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EFD42" w14:textId="66D5DAC8" w:rsidR="00C40AF8" w:rsidRDefault="00734235" w:rsidP="00325A45">
      <w:pPr>
        <w:pStyle w:val="Title"/>
        <w:spacing w:before="0"/>
      </w:pPr>
      <w:r>
        <w:t xml:space="preserve"> </w:t>
      </w:r>
      <w:r w:rsidR="007F18F7">
        <w:t>Supporting Statement A</w:t>
      </w:r>
    </w:p>
    <w:p w14:paraId="56968B64" w14:textId="73F0F35A" w:rsidR="0064259F" w:rsidRPr="007F18F7" w:rsidRDefault="0064259F" w:rsidP="00325A45">
      <w:pPr>
        <w:pStyle w:val="Title"/>
      </w:pPr>
      <w:r w:rsidRPr="007F18F7">
        <w:t xml:space="preserve">Evaluation of the Medicare </w:t>
      </w:r>
      <w:r w:rsidR="000702BE" w:rsidRPr="007F18F7">
        <w:t xml:space="preserve">Patient </w:t>
      </w:r>
      <w:r w:rsidRPr="007F18F7">
        <w:t>Intravenous Immunoglobulin Demonstration</w:t>
      </w:r>
      <w:r w:rsidRPr="007F18F7">
        <w:tab/>
      </w:r>
    </w:p>
    <w:p w14:paraId="686E60EE" w14:textId="77777777" w:rsidR="0064259F" w:rsidRPr="00072448" w:rsidRDefault="0064259F" w:rsidP="00325A45">
      <w:pPr>
        <w:pStyle w:val="Heading1"/>
      </w:pPr>
      <w:bookmarkStart w:id="0" w:name="_Toc410331573"/>
      <w:bookmarkStart w:id="1" w:name="_Toc410331679"/>
      <w:bookmarkStart w:id="2" w:name="_Toc429570367"/>
      <w:bookmarkStart w:id="3" w:name="A_Background"/>
      <w:r w:rsidRPr="00072448">
        <w:t>Background</w:t>
      </w:r>
      <w:bookmarkEnd w:id="0"/>
      <w:bookmarkEnd w:id="1"/>
      <w:bookmarkEnd w:id="2"/>
      <w:bookmarkEnd w:id="3"/>
    </w:p>
    <w:p w14:paraId="42CA8830" w14:textId="3D4E6AAE" w:rsidR="00FB021D" w:rsidRDefault="00FB021D" w:rsidP="00325A45">
      <w:pPr>
        <w:pStyle w:val="BodyTextFirstIndent"/>
        <w:spacing w:after="160" w:line="276" w:lineRule="auto"/>
        <w:rPr>
          <w:szCs w:val="22"/>
        </w:rPr>
      </w:pPr>
      <w:r w:rsidRPr="00832B4C">
        <w:rPr>
          <w:szCs w:val="22"/>
        </w:rPr>
        <w:t xml:space="preserve">This section provides background on Primary Immune Deficiency Disease (PIDD), the Medicare Patient Intravenous Immunoglobulin (IVIG) Demonstration legislation, the objectives of the evaluation, and </w:t>
      </w:r>
      <w:r w:rsidR="00555CAA" w:rsidRPr="00832B4C">
        <w:rPr>
          <w:szCs w:val="22"/>
        </w:rPr>
        <w:t>an overview of the evaluation’s</w:t>
      </w:r>
      <w:r w:rsidRPr="00832B4C">
        <w:rPr>
          <w:szCs w:val="22"/>
        </w:rPr>
        <w:t xml:space="preserve"> data collection methods.</w:t>
      </w:r>
    </w:p>
    <w:p w14:paraId="7F16875F" w14:textId="6ED766B0" w:rsidR="00BB703E" w:rsidRPr="00102407" w:rsidRDefault="00BB703E" w:rsidP="00325A45">
      <w:pPr>
        <w:pStyle w:val="BodyTextFirstIndent"/>
        <w:spacing w:after="160" w:line="276" w:lineRule="auto"/>
        <w:rPr>
          <w:szCs w:val="22"/>
        </w:rPr>
      </w:pPr>
      <w:r w:rsidRPr="00DF28AC">
        <w:rPr>
          <w:szCs w:val="22"/>
        </w:rPr>
        <w:t>Primary Immune Deficiency Diseases (PIDD)</w:t>
      </w:r>
      <w:r w:rsidRPr="00DF28AC">
        <w:rPr>
          <w:szCs w:val="22"/>
          <w:vertAlign w:val="superscript"/>
        </w:rPr>
        <w:footnoteReference w:id="2"/>
      </w:r>
      <w:r w:rsidRPr="000668F3">
        <w:rPr>
          <w:szCs w:val="22"/>
          <w:vertAlign w:val="superscript"/>
        </w:rPr>
        <w:t xml:space="preserve"> </w:t>
      </w:r>
      <w:r w:rsidRPr="000668F3">
        <w:rPr>
          <w:szCs w:val="22"/>
        </w:rPr>
        <w:t>are caused by genetic defects that result in a lack of and/or impaired antibody function. Without ant</w:t>
      </w:r>
      <w:r w:rsidRPr="001C5D6E">
        <w:rPr>
          <w:szCs w:val="22"/>
        </w:rPr>
        <w:t>ibodies, the body’s immune system is not able to function effectively. Immunoglobulin (IG) therapy is used to temporarily replace some of the antibodies (immunoglobulins) that are missing or not working properly in people with PIDD</w:t>
      </w:r>
      <w:r>
        <w:rPr>
          <w:szCs w:val="22"/>
        </w:rPr>
        <w:t xml:space="preserve"> (</w:t>
      </w:r>
      <w:r w:rsidRPr="00E856C6">
        <w:rPr>
          <w:szCs w:val="22"/>
        </w:rPr>
        <w:t>Immune Deficiency Foundation, 2013</w:t>
      </w:r>
      <w:r>
        <w:rPr>
          <w:szCs w:val="22"/>
        </w:rPr>
        <w:t>)</w:t>
      </w:r>
      <w:r w:rsidRPr="001C5D6E">
        <w:rPr>
          <w:szCs w:val="22"/>
        </w:rPr>
        <w:t>.</w:t>
      </w:r>
      <w:r w:rsidRPr="00102407">
        <w:rPr>
          <w:szCs w:val="22"/>
          <w:vertAlign w:val="superscript"/>
        </w:rPr>
        <w:t xml:space="preserve"> </w:t>
      </w:r>
    </w:p>
    <w:p w14:paraId="1E543B21" w14:textId="77777777" w:rsidR="00BB703E" w:rsidRPr="00102407" w:rsidRDefault="00BB703E" w:rsidP="00325A45">
      <w:pPr>
        <w:pStyle w:val="BodyTextFirstIndent"/>
        <w:spacing w:before="0" w:beforeAutospacing="0" w:line="276" w:lineRule="auto"/>
        <w:rPr>
          <w:szCs w:val="22"/>
        </w:rPr>
      </w:pPr>
      <w:r w:rsidRPr="00102407">
        <w:rPr>
          <w:szCs w:val="22"/>
        </w:rPr>
        <w:t xml:space="preserve">By special statutory provision, Medicare Part B covers intravenous immunoglobulin (IVIG) for persons with PIDD who wish to receive the drug in-home, </w:t>
      </w:r>
      <w:r>
        <w:rPr>
          <w:szCs w:val="22"/>
        </w:rPr>
        <w:t>but</w:t>
      </w:r>
      <w:r w:rsidRPr="00102407">
        <w:rPr>
          <w:szCs w:val="22"/>
        </w:rPr>
        <w:t xml:space="preserve"> does not allow for Medicare to cover any of the items and services needed to administer the drug unless the person is homebound or otherwise receiving services under a Medicare home health episode of care. Therefore, most beneficiaries with PIDD receive treatment at hospital outpatient departments, physicians’ offices, and other outpatient settings. A current alternative to IVIG is subcutaneous immunoglobulin (SCIG), a product that permits some beneficiaries to self-administer the immunoglobulin (IG) safely at home without an attending healthcare professional. SCIG at home is reimbursed by Medicare. However, there are limitations to SCIG—e.g., the need for more frequent administration and higher volumes of solution, which can reach a maximum absorbable level for some patients that is below their optimum IG treatment level—that inhibit more widespread use of SCIG</w:t>
      </w:r>
      <w:r>
        <w:rPr>
          <w:szCs w:val="22"/>
        </w:rPr>
        <w:t xml:space="preserve">. </w:t>
      </w:r>
    </w:p>
    <w:p w14:paraId="206D1EF5" w14:textId="77777777" w:rsidR="00BB703E" w:rsidRPr="00102407" w:rsidRDefault="00BB703E" w:rsidP="00325A45">
      <w:pPr>
        <w:pStyle w:val="BodyTextFirstIndent"/>
        <w:spacing w:before="0" w:beforeAutospacing="0" w:after="0" w:line="276" w:lineRule="auto"/>
        <w:rPr>
          <w:szCs w:val="22"/>
        </w:rPr>
      </w:pPr>
      <w:r w:rsidRPr="007F18F7">
        <w:t>Under the Medicare Patient IVIG Access Demonstration project, by paying for the items and services needed to administer the IVIG drug in-home, Medicare will enable beneficiaries and their physicians to have greater flexibility in choosing the option that is most appropriate for the beneficiary. With the exception of coverage of these items and services, no other aspects of Medicare coverage for IVIG (e.g., drugs approved for coverage or PIDD diagnoses covered) will change under the demonstration</w:t>
      </w:r>
      <w:r w:rsidRPr="00102407">
        <w:rPr>
          <w:szCs w:val="22"/>
        </w:rPr>
        <w:t>.</w:t>
      </w:r>
    </w:p>
    <w:p w14:paraId="154958CD" w14:textId="77777777" w:rsidR="00BB703E" w:rsidRPr="00102407" w:rsidRDefault="00BB703E" w:rsidP="00325A45">
      <w:pPr>
        <w:pStyle w:val="BodyTextFirstIndent"/>
        <w:spacing w:line="276" w:lineRule="auto"/>
        <w:rPr>
          <w:szCs w:val="22"/>
        </w:rPr>
      </w:pPr>
      <w:r w:rsidRPr="00102407">
        <w:rPr>
          <w:szCs w:val="22"/>
        </w:rPr>
        <w:t>The Medicare Patient IVIG Access Demonstration project mandates CMS to</w:t>
      </w:r>
      <w:r>
        <w:rPr>
          <w:szCs w:val="22"/>
        </w:rPr>
        <w:t>:</w:t>
      </w:r>
    </w:p>
    <w:p w14:paraId="39E06200" w14:textId="77777777" w:rsidR="00BB703E" w:rsidRDefault="00BB703E" w:rsidP="00325A45">
      <w:pPr>
        <w:pStyle w:val="ListNumber"/>
        <w:spacing w:line="276" w:lineRule="auto"/>
        <w:rPr>
          <w:szCs w:val="22"/>
        </w:rPr>
      </w:pPr>
      <w:r w:rsidRPr="00102407">
        <w:rPr>
          <w:szCs w:val="22"/>
        </w:rPr>
        <w:t>Evaluate the impact of the Medicare IVIG Access Demonstration project on Medicare beneficiary access to IVIG at home,</w:t>
      </w:r>
    </w:p>
    <w:p w14:paraId="5C908562" w14:textId="1C2D2E0D" w:rsidR="00507A0C" w:rsidRPr="00832B4C" w:rsidRDefault="00B065F0" w:rsidP="005E62FD">
      <w:pPr>
        <w:pStyle w:val="ListNumber"/>
        <w:numPr>
          <w:ilvl w:val="0"/>
          <w:numId w:val="0"/>
        </w:numPr>
        <w:ind w:left="810"/>
        <w:rPr>
          <w:i/>
        </w:rPr>
      </w:pPr>
      <w:r w:rsidRPr="00832B4C">
        <w:rPr>
          <w:i/>
        </w:rPr>
        <w:t>[F</w:t>
      </w:r>
      <w:r w:rsidR="00507A0C" w:rsidRPr="00832B4C">
        <w:rPr>
          <w:i/>
        </w:rPr>
        <w:t xml:space="preserve">or purposes of the evaluation of the Medicare Patient IVIG Demonstration Project, impact is </w:t>
      </w:r>
      <w:r w:rsidR="00507A0C" w:rsidRPr="00832B4C">
        <w:rPr>
          <w:i/>
        </w:rPr>
        <w:lastRenderedPageBreak/>
        <w:t>defined as the effect of offering in home administration of IVIG to Medicare beneficiaries with PIDD on their healthcare utilization (i.e. treatments, hospitalizations, emergency room visits), treatment experience (i.e., side effects, wait times, switching medications, access to treatment), health outcomes (i.e., infections, complications) and Medicare costs over the 3-year Demonstration period.</w:t>
      </w:r>
      <w:r w:rsidR="00284148" w:rsidRPr="00284148">
        <w:rPr>
          <w:i/>
        </w:rPr>
        <w:t xml:space="preserve"> Access is defined as </w:t>
      </w:r>
      <w:r w:rsidR="00284148" w:rsidRPr="00832B4C">
        <w:rPr>
          <w:i/>
        </w:rPr>
        <w:t>receiving the desired treatment without delay in the setting selected by the beneficiary and physician.</w:t>
      </w:r>
      <w:r w:rsidRPr="00832B4C">
        <w:rPr>
          <w:i/>
        </w:rPr>
        <w:t>]</w:t>
      </w:r>
      <w:r w:rsidR="00507A0C" w:rsidRPr="00832B4C">
        <w:rPr>
          <w:i/>
        </w:rPr>
        <w:t xml:space="preserve">     </w:t>
      </w:r>
    </w:p>
    <w:p w14:paraId="701C764F" w14:textId="689DCAFA" w:rsidR="00BB703E" w:rsidRPr="00832B4C" w:rsidRDefault="00BB703E" w:rsidP="00325A45">
      <w:pPr>
        <w:pStyle w:val="ListNumber"/>
        <w:spacing w:line="276" w:lineRule="auto"/>
        <w:rPr>
          <w:szCs w:val="22"/>
        </w:rPr>
      </w:pPr>
      <w:r w:rsidRPr="00284148">
        <w:rPr>
          <w:szCs w:val="22"/>
        </w:rPr>
        <w:t>Determine the appropriateness of implementing a new methodology for payment for IVIG in all settings under Part B</w:t>
      </w:r>
      <w:r w:rsidRPr="00832B4C">
        <w:rPr>
          <w:szCs w:val="22"/>
        </w:rPr>
        <w:t>, and</w:t>
      </w:r>
    </w:p>
    <w:p w14:paraId="27483CDF" w14:textId="4CAEE1EE" w:rsidR="005E62FD" w:rsidRPr="00372870" w:rsidRDefault="00B065F0" w:rsidP="00372870">
      <w:pPr>
        <w:pStyle w:val="ListNumber"/>
        <w:numPr>
          <w:ilvl w:val="0"/>
          <w:numId w:val="0"/>
        </w:numPr>
        <w:ind w:left="810"/>
        <w:rPr>
          <w:i/>
        </w:rPr>
      </w:pPr>
      <w:r w:rsidRPr="00832B4C">
        <w:rPr>
          <w:i/>
        </w:rPr>
        <w:t>[</w:t>
      </w:r>
      <w:r w:rsidR="005E62FD" w:rsidRPr="00832B4C">
        <w:rPr>
          <w:i/>
        </w:rPr>
        <w:t>For purposes of the evaluation,</w:t>
      </w:r>
      <w:r w:rsidR="005E62FD" w:rsidRPr="00372870">
        <w:rPr>
          <w:i/>
        </w:rPr>
        <w:t xml:space="preserve"> an </w:t>
      </w:r>
      <w:r w:rsidR="005E62FD" w:rsidRPr="00832B4C">
        <w:rPr>
          <w:i/>
        </w:rPr>
        <w:t>analysis of new</w:t>
      </w:r>
      <w:r w:rsidR="005E62FD" w:rsidRPr="00372870">
        <w:rPr>
          <w:i/>
        </w:rPr>
        <w:t xml:space="preserve"> payment </w:t>
      </w:r>
      <w:r w:rsidR="005E62FD" w:rsidRPr="00832B4C">
        <w:rPr>
          <w:i/>
        </w:rPr>
        <w:t xml:space="preserve">models will be conducted to determine the feasibility </w:t>
      </w:r>
      <w:r w:rsidR="009F0ED0">
        <w:rPr>
          <w:i/>
        </w:rPr>
        <w:t xml:space="preserve">of </w:t>
      </w:r>
      <w:r w:rsidR="005E62FD" w:rsidRPr="00832B4C">
        <w:rPr>
          <w:i/>
        </w:rPr>
        <w:t xml:space="preserve">paying for IVIG under Part B in all care settings. Appropriateness of the payment model is defined as whether the model </w:t>
      </w:r>
      <w:r w:rsidR="00AF50A2">
        <w:rPr>
          <w:i/>
        </w:rPr>
        <w:t xml:space="preserve">saves or incurs additional Medicare </w:t>
      </w:r>
      <w:r w:rsidR="005E62FD" w:rsidRPr="00832B4C">
        <w:rPr>
          <w:i/>
        </w:rPr>
        <w:t xml:space="preserve">costs, and is </w:t>
      </w:r>
      <w:r w:rsidR="004D44E5" w:rsidRPr="00832B4C">
        <w:rPr>
          <w:i/>
        </w:rPr>
        <w:t>viable</w:t>
      </w:r>
      <w:r w:rsidR="005E62FD" w:rsidRPr="00832B4C">
        <w:rPr>
          <w:i/>
        </w:rPr>
        <w:t>.</w:t>
      </w:r>
      <w:r w:rsidRPr="00284148">
        <w:rPr>
          <w:i/>
        </w:rPr>
        <w:t>]</w:t>
      </w:r>
      <w:r w:rsidR="005E62FD" w:rsidRPr="00832B4C">
        <w:rPr>
          <w:i/>
        </w:rPr>
        <w:t xml:space="preserve"> </w:t>
      </w:r>
    </w:p>
    <w:p w14:paraId="0EF3AC83" w14:textId="6C1E4D5C" w:rsidR="00BB703E" w:rsidRPr="00832B4C" w:rsidRDefault="00BB703E" w:rsidP="00325A45">
      <w:pPr>
        <w:pStyle w:val="ListNumber"/>
        <w:spacing w:line="276" w:lineRule="auto"/>
        <w:ind w:left="446"/>
        <w:rPr>
          <w:szCs w:val="22"/>
        </w:rPr>
      </w:pPr>
      <w:r w:rsidRPr="00284148">
        <w:rPr>
          <w:szCs w:val="22"/>
        </w:rPr>
        <w:t xml:space="preserve">An update of </w:t>
      </w:r>
      <w:r w:rsidRPr="00832B4C">
        <w:rPr>
          <w:szCs w:val="22"/>
        </w:rPr>
        <w:t xml:space="preserve">the existing 2007 Office of the Assistant Secretary for Planning and Evaluation (ASPE) report </w:t>
      </w:r>
      <w:r w:rsidRPr="00832B4C">
        <w:rPr>
          <w:i/>
          <w:iCs/>
          <w:szCs w:val="22"/>
        </w:rPr>
        <w:t>Analysis of Supply, Distribution, Demand, and Access Issues Associated with Immune Globulin Intravenous (IGIV)</w:t>
      </w:r>
      <w:r w:rsidRPr="00832B4C">
        <w:rPr>
          <w:szCs w:val="22"/>
        </w:rPr>
        <w:t xml:space="preserve"> (2007 ASPE Report).</w:t>
      </w:r>
    </w:p>
    <w:p w14:paraId="5879D9BA" w14:textId="238743CE" w:rsidR="005E62FD" w:rsidRPr="00832B4C" w:rsidRDefault="00B065F0" w:rsidP="00832B4C">
      <w:pPr>
        <w:pStyle w:val="ListNumber"/>
        <w:numPr>
          <w:ilvl w:val="0"/>
          <w:numId w:val="0"/>
        </w:numPr>
        <w:ind w:left="810"/>
        <w:rPr>
          <w:i/>
        </w:rPr>
      </w:pPr>
      <w:r w:rsidRPr="00832B4C">
        <w:rPr>
          <w:i/>
        </w:rPr>
        <w:t>[</w:t>
      </w:r>
      <w:r w:rsidR="005E62FD" w:rsidRPr="00832B4C">
        <w:rPr>
          <w:i/>
        </w:rPr>
        <w:t>ASPE published a report in 2007 that investigated the shortage of IVIG and other IVIG access problems under Medicare reimbursement. The report addressed the IVIG market dynamics and IVIG access problems among 3 components: suppliers and manufacturers; demand for and utilization of IVIG products including how it is prescribed, administered and paid for; and physician and patient problems with access to IVIG. Anecdotally, there has been several changes in market dynamics and access to IVIG since the report was released, but no systematic formal study has been conducted. As such, this systematic formal study, will inform CMS and Congress of any changes since 2007.</w:t>
      </w:r>
      <w:r w:rsidRPr="00284148">
        <w:rPr>
          <w:i/>
        </w:rPr>
        <w:t>]</w:t>
      </w:r>
      <w:r w:rsidR="005E62FD" w:rsidRPr="00832B4C">
        <w:rPr>
          <w:i/>
        </w:rPr>
        <w:t xml:space="preserve">  </w:t>
      </w:r>
    </w:p>
    <w:p w14:paraId="01FE3345" w14:textId="77777777" w:rsidR="003408CB" w:rsidRPr="00832B4C" w:rsidRDefault="003408CB" w:rsidP="00325A45">
      <w:pPr>
        <w:pStyle w:val="BodyTextFirstIndent"/>
        <w:spacing w:line="276" w:lineRule="auto"/>
        <w:ind w:firstLine="0"/>
      </w:pPr>
      <w:r w:rsidRPr="00832B4C">
        <w:t xml:space="preserve">To accomplish these objectives, this evaluation includes three main data collection approaches: </w:t>
      </w:r>
    </w:p>
    <w:p w14:paraId="10019930" w14:textId="2302FE45" w:rsidR="003408CB" w:rsidRPr="00832B4C" w:rsidRDefault="007318BE" w:rsidP="00325A45">
      <w:pPr>
        <w:pStyle w:val="ListParagraph"/>
        <w:numPr>
          <w:ilvl w:val="0"/>
          <w:numId w:val="22"/>
        </w:numPr>
        <w:spacing w:line="276" w:lineRule="auto"/>
        <w:contextualSpacing/>
        <w:jc w:val="both"/>
        <w:rPr>
          <w:szCs w:val="22"/>
        </w:rPr>
      </w:pPr>
      <w:r w:rsidRPr="00832B4C">
        <w:rPr>
          <w:szCs w:val="22"/>
        </w:rPr>
        <w:t>I</w:t>
      </w:r>
      <w:r w:rsidR="003408CB" w:rsidRPr="00832B4C">
        <w:rPr>
          <w:szCs w:val="22"/>
        </w:rPr>
        <w:t xml:space="preserve">nterviews to provide perspectives on the Demonstration program, including access and barriers to care, benefits and disadvantages of </w:t>
      </w:r>
      <w:r w:rsidR="00C7381D">
        <w:rPr>
          <w:szCs w:val="22"/>
        </w:rPr>
        <w:t xml:space="preserve">different </w:t>
      </w:r>
      <w:r w:rsidR="003408CB" w:rsidRPr="00832B4C">
        <w:rPr>
          <w:szCs w:val="22"/>
        </w:rPr>
        <w:t xml:space="preserve">treatment </w:t>
      </w:r>
      <w:r w:rsidR="00C7381D">
        <w:rPr>
          <w:szCs w:val="22"/>
        </w:rPr>
        <w:t xml:space="preserve">site </w:t>
      </w:r>
      <w:r w:rsidR="003408CB" w:rsidRPr="00832B4C">
        <w:rPr>
          <w:szCs w:val="22"/>
        </w:rPr>
        <w:t xml:space="preserve">options, health outcomes and consequences, and cost and reimbursement issues; </w:t>
      </w:r>
    </w:p>
    <w:p w14:paraId="1D544166" w14:textId="455A4DFA" w:rsidR="004D44E5" w:rsidRDefault="0070722F" w:rsidP="002A4D64">
      <w:pPr>
        <w:pStyle w:val="ListParagraph"/>
        <w:numPr>
          <w:ilvl w:val="0"/>
          <w:numId w:val="22"/>
        </w:numPr>
        <w:spacing w:line="276" w:lineRule="auto"/>
        <w:contextualSpacing/>
        <w:jc w:val="both"/>
        <w:rPr>
          <w:szCs w:val="22"/>
        </w:rPr>
      </w:pPr>
      <w:r w:rsidRPr="004D44E5">
        <w:rPr>
          <w:szCs w:val="22"/>
        </w:rPr>
        <w:t>S</w:t>
      </w:r>
      <w:r w:rsidR="003408CB" w:rsidRPr="004D44E5">
        <w:rPr>
          <w:szCs w:val="22"/>
        </w:rPr>
        <w:t>urvey</w:t>
      </w:r>
      <w:r w:rsidRPr="004D44E5">
        <w:rPr>
          <w:szCs w:val="22"/>
        </w:rPr>
        <w:t xml:space="preserve"> of Medicare beneficiaries</w:t>
      </w:r>
      <w:r w:rsidR="003408CB" w:rsidRPr="004D44E5">
        <w:rPr>
          <w:szCs w:val="22"/>
        </w:rPr>
        <w:t xml:space="preserve"> to compare treatment experiences of beneficiaries participating and not participating in the Demonstration; and</w:t>
      </w:r>
    </w:p>
    <w:p w14:paraId="2D55184C" w14:textId="69A20A09" w:rsidR="003408CB" w:rsidRPr="004D44E5" w:rsidRDefault="003408CB" w:rsidP="002A4D64">
      <w:pPr>
        <w:pStyle w:val="ListParagraph"/>
        <w:numPr>
          <w:ilvl w:val="0"/>
          <w:numId w:val="22"/>
        </w:numPr>
        <w:spacing w:line="276" w:lineRule="auto"/>
        <w:contextualSpacing/>
        <w:jc w:val="both"/>
        <w:rPr>
          <w:szCs w:val="22"/>
        </w:rPr>
      </w:pPr>
      <w:r w:rsidRPr="004D44E5">
        <w:rPr>
          <w:szCs w:val="22"/>
        </w:rPr>
        <w:t>Medicare claims analysis to examine health and cost outcomes longitudinally</w:t>
      </w:r>
    </w:p>
    <w:p w14:paraId="66C72482" w14:textId="32DB75DC" w:rsidR="0054584E" w:rsidRPr="00832B4C" w:rsidRDefault="00594144" w:rsidP="0054584E">
      <w:pPr>
        <w:spacing w:line="276" w:lineRule="auto"/>
        <w:contextualSpacing/>
        <w:jc w:val="both"/>
      </w:pPr>
      <w:r w:rsidRPr="00832B4C">
        <w:rPr>
          <w:szCs w:val="22"/>
        </w:rPr>
        <w:fldChar w:fldCharType="begin"/>
      </w:r>
      <w:r w:rsidRPr="00832B4C">
        <w:rPr>
          <w:szCs w:val="22"/>
        </w:rPr>
        <w:instrText xml:space="preserve"> REF _Ref433196257 \h  \* MERGEFORMAT </w:instrText>
      </w:r>
      <w:r w:rsidRPr="00832B4C">
        <w:rPr>
          <w:szCs w:val="22"/>
        </w:rPr>
      </w:r>
      <w:r w:rsidRPr="00832B4C">
        <w:rPr>
          <w:szCs w:val="22"/>
        </w:rPr>
        <w:fldChar w:fldCharType="separate"/>
      </w:r>
    </w:p>
    <w:p w14:paraId="511AD70B" w14:textId="4310EAF8" w:rsidR="00594144" w:rsidRPr="00832B4C" w:rsidRDefault="00594144" w:rsidP="005010AE">
      <w:pPr>
        <w:spacing w:line="276" w:lineRule="auto"/>
        <w:contextualSpacing/>
        <w:jc w:val="both"/>
        <w:rPr>
          <w:szCs w:val="22"/>
        </w:rPr>
      </w:pPr>
      <w:r w:rsidRPr="00832B4C">
        <w:rPr>
          <w:szCs w:val="22"/>
        </w:rPr>
        <w:fldChar w:fldCharType="end"/>
      </w:r>
      <w:r w:rsidR="00C7381D">
        <w:rPr>
          <w:szCs w:val="22"/>
        </w:rPr>
        <w:t>Table 1 below</w:t>
      </w:r>
      <w:r w:rsidRPr="00832B4C">
        <w:rPr>
          <w:szCs w:val="22"/>
        </w:rPr>
        <w:t xml:space="preserve"> summarizes the purpose and the respondents for each type of data collection.</w:t>
      </w:r>
      <w:r w:rsidR="00FB021D" w:rsidRPr="00832B4C">
        <w:rPr>
          <w:szCs w:val="22"/>
        </w:rPr>
        <w:t xml:space="preserve"> </w:t>
      </w:r>
    </w:p>
    <w:p w14:paraId="0DB8A780" w14:textId="77777777" w:rsidR="00594144" w:rsidRPr="00832B4C" w:rsidRDefault="00594144" w:rsidP="00325A45">
      <w:pPr>
        <w:spacing w:line="276" w:lineRule="auto"/>
      </w:pPr>
      <w:bookmarkStart w:id="4" w:name="_Ref433196257"/>
    </w:p>
    <w:p w14:paraId="7FFE9F8E" w14:textId="2845596E" w:rsidR="00594144" w:rsidRPr="00832B4C" w:rsidRDefault="00594144" w:rsidP="00372870">
      <w:pPr>
        <w:pStyle w:val="Caption"/>
        <w:keepNext/>
        <w:spacing w:line="276" w:lineRule="auto"/>
        <w:ind w:left="1008"/>
      </w:pPr>
      <w:r w:rsidRPr="00832B4C">
        <w:t>Table 1: Purpose and Respondents for Data Collection Activities</w:t>
      </w:r>
    </w:p>
    <w:tbl>
      <w:tblPr>
        <w:tblStyle w:val="TableGrid"/>
        <w:tblW w:w="8995" w:type="dxa"/>
        <w:tblInd w:w="355" w:type="dxa"/>
        <w:tblLook w:val="04A0" w:firstRow="1" w:lastRow="0" w:firstColumn="1" w:lastColumn="0" w:noHBand="0" w:noVBand="1"/>
        <w:tblDescription w:val="Table 1 summarizes the purpose and the respondents for each type of data collection. There are three columns (Data Collection, Purpose, and Respondents) and two rows (Qualitative (interviews) and Quantitative (Interviews))."/>
      </w:tblPr>
      <w:tblGrid>
        <w:gridCol w:w="1795"/>
        <w:gridCol w:w="3600"/>
        <w:gridCol w:w="3600"/>
      </w:tblGrid>
      <w:tr w:rsidR="00594144" w:rsidRPr="00832B4C" w14:paraId="5E7B7417" w14:textId="77777777" w:rsidTr="003408CB">
        <w:trPr>
          <w:trHeight w:val="170"/>
          <w:tblHeader/>
        </w:trPr>
        <w:tc>
          <w:tcPr>
            <w:tcW w:w="1795" w:type="dxa"/>
            <w:tcBorders>
              <w:top w:val="single" w:sz="4" w:space="0" w:color="auto"/>
            </w:tcBorders>
            <w:shd w:val="clear" w:color="auto" w:fill="D9D9D9" w:themeFill="background1" w:themeFillShade="D9"/>
          </w:tcPr>
          <w:bookmarkEnd w:id="4"/>
          <w:p w14:paraId="663C046B" w14:textId="77777777" w:rsidR="00594144" w:rsidRPr="00832B4C" w:rsidRDefault="00594144" w:rsidP="00325A45">
            <w:pPr>
              <w:pStyle w:val="ListNumber"/>
              <w:numPr>
                <w:ilvl w:val="0"/>
                <w:numId w:val="0"/>
              </w:numPr>
              <w:spacing w:after="0" w:line="276" w:lineRule="auto"/>
              <w:jc w:val="center"/>
              <w:rPr>
                <w:b/>
                <w:szCs w:val="22"/>
              </w:rPr>
            </w:pPr>
            <w:r w:rsidRPr="00832B4C">
              <w:rPr>
                <w:b/>
                <w:szCs w:val="22"/>
              </w:rPr>
              <w:t>Data collection</w:t>
            </w:r>
          </w:p>
        </w:tc>
        <w:tc>
          <w:tcPr>
            <w:tcW w:w="3600" w:type="dxa"/>
            <w:tcBorders>
              <w:top w:val="single" w:sz="4" w:space="0" w:color="auto"/>
            </w:tcBorders>
            <w:shd w:val="clear" w:color="auto" w:fill="D9D9D9" w:themeFill="background1" w:themeFillShade="D9"/>
          </w:tcPr>
          <w:p w14:paraId="27826433" w14:textId="77777777" w:rsidR="00594144" w:rsidRPr="00832B4C" w:rsidRDefault="00594144" w:rsidP="00325A45">
            <w:pPr>
              <w:pStyle w:val="ListNumber"/>
              <w:numPr>
                <w:ilvl w:val="0"/>
                <w:numId w:val="0"/>
              </w:numPr>
              <w:spacing w:after="0" w:line="276" w:lineRule="auto"/>
              <w:jc w:val="center"/>
              <w:rPr>
                <w:b/>
                <w:szCs w:val="22"/>
              </w:rPr>
            </w:pPr>
            <w:r w:rsidRPr="00832B4C">
              <w:rPr>
                <w:b/>
                <w:szCs w:val="22"/>
              </w:rPr>
              <w:t>Purpose</w:t>
            </w:r>
          </w:p>
        </w:tc>
        <w:tc>
          <w:tcPr>
            <w:tcW w:w="3600" w:type="dxa"/>
            <w:tcBorders>
              <w:top w:val="single" w:sz="4" w:space="0" w:color="auto"/>
            </w:tcBorders>
            <w:shd w:val="clear" w:color="auto" w:fill="D9D9D9" w:themeFill="background1" w:themeFillShade="D9"/>
          </w:tcPr>
          <w:p w14:paraId="504ABE82" w14:textId="77777777" w:rsidR="00594144" w:rsidRPr="00832B4C" w:rsidRDefault="00594144" w:rsidP="00325A45">
            <w:pPr>
              <w:pStyle w:val="ListNumber"/>
              <w:numPr>
                <w:ilvl w:val="0"/>
                <w:numId w:val="0"/>
              </w:numPr>
              <w:tabs>
                <w:tab w:val="left" w:pos="1065"/>
                <w:tab w:val="center" w:pos="1692"/>
              </w:tabs>
              <w:spacing w:after="0" w:line="276" w:lineRule="auto"/>
              <w:rPr>
                <w:b/>
                <w:szCs w:val="22"/>
              </w:rPr>
            </w:pPr>
            <w:r w:rsidRPr="00832B4C">
              <w:rPr>
                <w:b/>
                <w:szCs w:val="22"/>
              </w:rPr>
              <w:tab/>
            </w:r>
            <w:r w:rsidRPr="00832B4C">
              <w:rPr>
                <w:b/>
                <w:szCs w:val="22"/>
              </w:rPr>
              <w:tab/>
              <w:t>Respondents</w:t>
            </w:r>
          </w:p>
        </w:tc>
      </w:tr>
      <w:tr w:rsidR="00594144" w:rsidRPr="00832B4C" w14:paraId="12C2E7DD" w14:textId="77777777" w:rsidTr="003408CB">
        <w:tc>
          <w:tcPr>
            <w:tcW w:w="1795" w:type="dxa"/>
          </w:tcPr>
          <w:p w14:paraId="412181A7" w14:textId="0518497F" w:rsidR="00594144" w:rsidRPr="00832B4C" w:rsidRDefault="00594144" w:rsidP="00325A45">
            <w:pPr>
              <w:pStyle w:val="ListNumber"/>
              <w:numPr>
                <w:ilvl w:val="0"/>
                <w:numId w:val="0"/>
              </w:numPr>
              <w:spacing w:after="0" w:line="276" w:lineRule="auto"/>
              <w:rPr>
                <w:szCs w:val="22"/>
              </w:rPr>
            </w:pPr>
            <w:r w:rsidRPr="00832B4C">
              <w:rPr>
                <w:szCs w:val="22"/>
              </w:rPr>
              <w:t>Interviews</w:t>
            </w:r>
          </w:p>
        </w:tc>
        <w:tc>
          <w:tcPr>
            <w:tcW w:w="3600" w:type="dxa"/>
          </w:tcPr>
          <w:p w14:paraId="4551548D" w14:textId="0C1E458B" w:rsidR="009143F9" w:rsidRPr="00832B4C" w:rsidRDefault="009143F9" w:rsidP="00325A45">
            <w:pPr>
              <w:pStyle w:val="ListNumber"/>
              <w:numPr>
                <w:ilvl w:val="0"/>
                <w:numId w:val="17"/>
              </w:numPr>
              <w:spacing w:after="0" w:line="276" w:lineRule="auto"/>
              <w:ind w:left="185" w:hanging="180"/>
              <w:rPr>
                <w:szCs w:val="22"/>
              </w:rPr>
            </w:pPr>
            <w:r w:rsidRPr="00832B4C">
              <w:rPr>
                <w:szCs w:val="22"/>
              </w:rPr>
              <w:t xml:space="preserve">To </w:t>
            </w:r>
            <w:r w:rsidR="00F362F0" w:rsidRPr="00832B4C">
              <w:rPr>
                <w:szCs w:val="22"/>
              </w:rPr>
              <w:t xml:space="preserve">examine </w:t>
            </w:r>
            <w:r w:rsidR="007318BE" w:rsidRPr="00832B4C">
              <w:rPr>
                <w:szCs w:val="22"/>
              </w:rPr>
              <w:t xml:space="preserve">the </w:t>
            </w:r>
            <w:r w:rsidR="00C7381D">
              <w:rPr>
                <w:szCs w:val="22"/>
              </w:rPr>
              <w:t xml:space="preserve">market dynamics including </w:t>
            </w:r>
            <w:r w:rsidR="007318BE" w:rsidRPr="00832B4C">
              <w:rPr>
                <w:szCs w:val="22"/>
              </w:rPr>
              <w:t>b</w:t>
            </w:r>
            <w:r w:rsidR="003408CB" w:rsidRPr="00832B4C">
              <w:rPr>
                <w:szCs w:val="22"/>
              </w:rPr>
              <w:t xml:space="preserve">enefits and disadvantages of different </w:t>
            </w:r>
            <w:r w:rsidRPr="00832B4C">
              <w:rPr>
                <w:szCs w:val="22"/>
              </w:rPr>
              <w:t xml:space="preserve">sites of treatment, including </w:t>
            </w:r>
            <w:r w:rsidR="007318BE" w:rsidRPr="00832B4C">
              <w:rPr>
                <w:szCs w:val="22"/>
              </w:rPr>
              <w:t>h</w:t>
            </w:r>
            <w:r w:rsidRPr="00832B4C">
              <w:rPr>
                <w:szCs w:val="22"/>
              </w:rPr>
              <w:t xml:space="preserve">ealth </w:t>
            </w:r>
            <w:r w:rsidR="003408CB" w:rsidRPr="00832B4C">
              <w:rPr>
                <w:szCs w:val="22"/>
              </w:rPr>
              <w:t>consequences of delays</w:t>
            </w:r>
            <w:r w:rsidRPr="00832B4C">
              <w:rPr>
                <w:szCs w:val="22"/>
              </w:rPr>
              <w:t xml:space="preserve"> or </w:t>
            </w:r>
            <w:r w:rsidR="003408CB" w:rsidRPr="00832B4C">
              <w:rPr>
                <w:szCs w:val="22"/>
              </w:rPr>
              <w:t xml:space="preserve">postponement of treatment, </w:t>
            </w:r>
            <w:r w:rsidR="003408CB" w:rsidRPr="00832B4C">
              <w:rPr>
                <w:szCs w:val="22"/>
              </w:rPr>
              <w:lastRenderedPageBreak/>
              <w:t>switching treatment</w:t>
            </w:r>
            <w:r w:rsidR="007318BE" w:rsidRPr="00832B4C">
              <w:rPr>
                <w:szCs w:val="22"/>
              </w:rPr>
              <w:t>, c</w:t>
            </w:r>
            <w:r w:rsidRPr="00832B4C">
              <w:rPr>
                <w:szCs w:val="22"/>
              </w:rPr>
              <w:t>onvenience, ease of use</w:t>
            </w:r>
            <w:r w:rsidR="007318BE" w:rsidRPr="00832B4C">
              <w:rPr>
                <w:szCs w:val="22"/>
              </w:rPr>
              <w:t xml:space="preserve">, </w:t>
            </w:r>
            <w:r w:rsidRPr="00832B4C">
              <w:rPr>
                <w:szCs w:val="22"/>
              </w:rPr>
              <w:t xml:space="preserve">and </w:t>
            </w:r>
            <w:r w:rsidR="007318BE" w:rsidRPr="00832B4C">
              <w:rPr>
                <w:szCs w:val="22"/>
              </w:rPr>
              <w:t>b</w:t>
            </w:r>
            <w:r w:rsidR="003408CB" w:rsidRPr="00832B4C">
              <w:rPr>
                <w:szCs w:val="22"/>
              </w:rPr>
              <w:t>arriers and facilitators of treatment</w:t>
            </w:r>
          </w:p>
          <w:p w14:paraId="3D77C1B4" w14:textId="12C5AD52" w:rsidR="00594144" w:rsidRPr="00372870" w:rsidRDefault="009143F9" w:rsidP="00372870">
            <w:pPr>
              <w:pStyle w:val="ListNumber"/>
              <w:numPr>
                <w:ilvl w:val="0"/>
                <w:numId w:val="17"/>
              </w:numPr>
              <w:spacing w:after="0" w:line="276" w:lineRule="auto"/>
              <w:ind w:left="185" w:hanging="180"/>
            </w:pPr>
            <w:r w:rsidRPr="00832B4C">
              <w:rPr>
                <w:szCs w:val="22"/>
              </w:rPr>
              <w:t xml:space="preserve">To </w:t>
            </w:r>
            <w:r w:rsidR="00F362F0" w:rsidRPr="00832B4C">
              <w:rPr>
                <w:szCs w:val="22"/>
              </w:rPr>
              <w:t>assess</w:t>
            </w:r>
            <w:r w:rsidRPr="00832B4C">
              <w:rPr>
                <w:szCs w:val="22"/>
              </w:rPr>
              <w:t xml:space="preserve"> </w:t>
            </w:r>
            <w:r w:rsidR="00F362F0" w:rsidRPr="00832B4C">
              <w:rPr>
                <w:szCs w:val="22"/>
              </w:rPr>
              <w:t xml:space="preserve">IVIG supply, demand, access, </w:t>
            </w:r>
            <w:r w:rsidRPr="00832B4C">
              <w:rPr>
                <w:szCs w:val="22"/>
              </w:rPr>
              <w:t>utilization, cost</w:t>
            </w:r>
            <w:r w:rsidR="00F362F0" w:rsidRPr="00832B4C">
              <w:rPr>
                <w:szCs w:val="22"/>
              </w:rPr>
              <w:t>,</w:t>
            </w:r>
            <w:r w:rsidRPr="00832B4C">
              <w:rPr>
                <w:szCs w:val="22"/>
              </w:rPr>
              <w:t xml:space="preserve"> and r</w:t>
            </w:r>
            <w:r w:rsidR="003408CB" w:rsidRPr="00832B4C">
              <w:t>eimbursement issues</w:t>
            </w:r>
            <w:r w:rsidR="00F362F0" w:rsidRPr="00832B4C">
              <w:t xml:space="preserve"> and changes since 2007</w:t>
            </w:r>
          </w:p>
        </w:tc>
        <w:tc>
          <w:tcPr>
            <w:tcW w:w="3600" w:type="dxa"/>
          </w:tcPr>
          <w:p w14:paraId="364EEEA8" w14:textId="77777777" w:rsidR="00594144" w:rsidRPr="00832B4C" w:rsidRDefault="00594144" w:rsidP="00325A45">
            <w:pPr>
              <w:pStyle w:val="ListNumber"/>
              <w:numPr>
                <w:ilvl w:val="0"/>
                <w:numId w:val="17"/>
              </w:numPr>
              <w:spacing w:after="0" w:line="276" w:lineRule="auto"/>
              <w:ind w:left="185" w:hanging="180"/>
              <w:rPr>
                <w:szCs w:val="22"/>
              </w:rPr>
            </w:pPr>
            <w:r w:rsidRPr="00832B4C">
              <w:rPr>
                <w:szCs w:val="22"/>
              </w:rPr>
              <w:lastRenderedPageBreak/>
              <w:t xml:space="preserve">Providers (physicians and nurses) treating patients with IVIG </w:t>
            </w:r>
          </w:p>
          <w:p w14:paraId="0D267BD3" w14:textId="6181F196" w:rsidR="00594144" w:rsidRPr="00832B4C" w:rsidRDefault="00F362F0" w:rsidP="00325A45">
            <w:pPr>
              <w:pStyle w:val="ListNumber"/>
              <w:numPr>
                <w:ilvl w:val="0"/>
                <w:numId w:val="17"/>
              </w:numPr>
              <w:spacing w:after="0" w:line="276" w:lineRule="auto"/>
              <w:ind w:left="185" w:hanging="180"/>
              <w:rPr>
                <w:szCs w:val="22"/>
              </w:rPr>
            </w:pPr>
            <w:r w:rsidRPr="00832B4C">
              <w:rPr>
                <w:szCs w:val="22"/>
              </w:rPr>
              <w:t xml:space="preserve">Caregivers of beneficiaries with PIDD </w:t>
            </w:r>
            <w:r w:rsidR="00594144" w:rsidRPr="00832B4C">
              <w:rPr>
                <w:szCs w:val="22"/>
              </w:rPr>
              <w:t>Manufacturers of IG</w:t>
            </w:r>
          </w:p>
          <w:p w14:paraId="07410B40" w14:textId="77777777" w:rsidR="00F362F0" w:rsidRPr="00832B4C" w:rsidRDefault="00F362F0" w:rsidP="00325A45">
            <w:pPr>
              <w:pStyle w:val="ListNumber"/>
              <w:numPr>
                <w:ilvl w:val="0"/>
                <w:numId w:val="17"/>
              </w:numPr>
              <w:spacing w:after="0" w:line="276" w:lineRule="auto"/>
              <w:ind w:left="185" w:hanging="180"/>
              <w:rPr>
                <w:szCs w:val="22"/>
              </w:rPr>
            </w:pPr>
            <w:r w:rsidRPr="00832B4C">
              <w:rPr>
                <w:szCs w:val="22"/>
              </w:rPr>
              <w:t xml:space="preserve">Patient advocate groups for IVIG beneficiaries </w:t>
            </w:r>
          </w:p>
          <w:p w14:paraId="18690A7F" w14:textId="77777777" w:rsidR="00594144" w:rsidRPr="00832B4C" w:rsidRDefault="00594144" w:rsidP="00325A45">
            <w:pPr>
              <w:pStyle w:val="ListNumber"/>
              <w:numPr>
                <w:ilvl w:val="0"/>
                <w:numId w:val="17"/>
              </w:numPr>
              <w:spacing w:after="0" w:line="276" w:lineRule="auto"/>
              <w:ind w:left="185" w:hanging="180"/>
              <w:rPr>
                <w:szCs w:val="22"/>
              </w:rPr>
            </w:pPr>
            <w:r w:rsidRPr="00832B4C">
              <w:rPr>
                <w:szCs w:val="22"/>
              </w:rPr>
              <w:lastRenderedPageBreak/>
              <w:t>IG distributors</w:t>
            </w:r>
          </w:p>
          <w:p w14:paraId="10C4707F" w14:textId="77777777" w:rsidR="00594144" w:rsidRPr="00832B4C" w:rsidRDefault="00594144" w:rsidP="00325A45">
            <w:pPr>
              <w:pStyle w:val="ListNumber"/>
              <w:numPr>
                <w:ilvl w:val="0"/>
                <w:numId w:val="17"/>
              </w:numPr>
              <w:spacing w:after="0" w:line="276" w:lineRule="auto"/>
              <w:ind w:left="185" w:hanging="180"/>
              <w:rPr>
                <w:szCs w:val="22"/>
              </w:rPr>
            </w:pPr>
            <w:r w:rsidRPr="00832B4C">
              <w:rPr>
                <w:szCs w:val="22"/>
              </w:rPr>
              <w:t xml:space="preserve">Group purchasing organization (GPO) representatives </w:t>
            </w:r>
          </w:p>
          <w:p w14:paraId="5B1C811E" w14:textId="77777777" w:rsidR="00594144" w:rsidRPr="00832B4C" w:rsidRDefault="00594144" w:rsidP="00325A45">
            <w:pPr>
              <w:pStyle w:val="ListNumber"/>
              <w:numPr>
                <w:ilvl w:val="0"/>
                <w:numId w:val="17"/>
              </w:numPr>
              <w:spacing w:after="0" w:line="276" w:lineRule="auto"/>
              <w:ind w:left="185" w:hanging="180"/>
              <w:rPr>
                <w:szCs w:val="22"/>
              </w:rPr>
            </w:pPr>
            <w:r w:rsidRPr="00832B4C">
              <w:rPr>
                <w:szCs w:val="22"/>
              </w:rPr>
              <w:t>Infusion centers that administer IVIG</w:t>
            </w:r>
          </w:p>
          <w:p w14:paraId="56ABAAC3" w14:textId="4E3A77F1" w:rsidR="00594144" w:rsidRPr="00832B4C" w:rsidRDefault="00594144" w:rsidP="00372870">
            <w:pPr>
              <w:pStyle w:val="ListNumber"/>
              <w:numPr>
                <w:ilvl w:val="0"/>
                <w:numId w:val="0"/>
              </w:numPr>
              <w:spacing w:after="0" w:line="276" w:lineRule="auto"/>
              <w:ind w:left="185"/>
              <w:rPr>
                <w:szCs w:val="22"/>
              </w:rPr>
            </w:pPr>
          </w:p>
        </w:tc>
      </w:tr>
      <w:tr w:rsidR="00594144" w:rsidRPr="00832B4C" w14:paraId="328D5137" w14:textId="77777777" w:rsidTr="003408CB">
        <w:tc>
          <w:tcPr>
            <w:tcW w:w="1795" w:type="dxa"/>
          </w:tcPr>
          <w:p w14:paraId="5A45C7C6" w14:textId="0BB95924" w:rsidR="00594144" w:rsidRPr="00832B4C" w:rsidRDefault="00594144" w:rsidP="00325A45">
            <w:pPr>
              <w:pStyle w:val="ListNumber"/>
              <w:numPr>
                <w:ilvl w:val="0"/>
                <w:numId w:val="0"/>
              </w:numPr>
              <w:spacing w:after="0" w:line="276" w:lineRule="auto"/>
              <w:rPr>
                <w:szCs w:val="22"/>
              </w:rPr>
            </w:pPr>
            <w:r w:rsidRPr="00832B4C">
              <w:rPr>
                <w:szCs w:val="22"/>
              </w:rPr>
              <w:lastRenderedPageBreak/>
              <w:t>Surveys</w:t>
            </w:r>
          </w:p>
        </w:tc>
        <w:tc>
          <w:tcPr>
            <w:tcW w:w="3600" w:type="dxa"/>
          </w:tcPr>
          <w:p w14:paraId="420DE380" w14:textId="609D7CFD" w:rsidR="00594144" w:rsidRPr="00372870" w:rsidRDefault="007318BE" w:rsidP="00372870">
            <w:pPr>
              <w:pStyle w:val="ListNumber"/>
              <w:numPr>
                <w:ilvl w:val="0"/>
                <w:numId w:val="17"/>
              </w:numPr>
              <w:spacing w:after="0" w:line="276" w:lineRule="auto"/>
              <w:ind w:left="185" w:hanging="180"/>
              <w:rPr>
                <w:sz w:val="20"/>
              </w:rPr>
            </w:pPr>
            <w:r w:rsidRPr="00832B4C">
              <w:rPr>
                <w:szCs w:val="22"/>
              </w:rPr>
              <w:t>To</w:t>
            </w:r>
            <w:r w:rsidR="00325CE2" w:rsidRPr="00832B4C">
              <w:rPr>
                <w:szCs w:val="22"/>
              </w:rPr>
              <w:t xml:space="preserve"> determine the </w:t>
            </w:r>
            <w:r w:rsidR="00C7381D">
              <w:rPr>
                <w:szCs w:val="22"/>
              </w:rPr>
              <w:t xml:space="preserve">experiences </w:t>
            </w:r>
            <w:r w:rsidR="00CE4DEC">
              <w:rPr>
                <w:szCs w:val="22"/>
              </w:rPr>
              <w:t xml:space="preserve">of </w:t>
            </w:r>
            <w:r w:rsidR="00325CE2" w:rsidRPr="00832B4C">
              <w:rPr>
                <w:szCs w:val="22"/>
              </w:rPr>
              <w:t xml:space="preserve">Medicare beneficiaries with PIDD </w:t>
            </w:r>
            <w:r w:rsidR="00CE4DEC">
              <w:rPr>
                <w:szCs w:val="22"/>
              </w:rPr>
              <w:t xml:space="preserve">who are </w:t>
            </w:r>
            <w:r w:rsidR="00C7381D">
              <w:rPr>
                <w:szCs w:val="22"/>
              </w:rPr>
              <w:t>receiving IVIG</w:t>
            </w:r>
            <w:r w:rsidR="00325CE2" w:rsidRPr="00832B4C">
              <w:rPr>
                <w:szCs w:val="22"/>
              </w:rPr>
              <w:t xml:space="preserve"> </w:t>
            </w:r>
            <w:r w:rsidRPr="00832B4C">
              <w:rPr>
                <w:szCs w:val="22"/>
              </w:rPr>
              <w:t xml:space="preserve">treatment </w:t>
            </w:r>
            <w:r w:rsidR="00325CE2" w:rsidRPr="00832B4C">
              <w:rPr>
                <w:szCs w:val="22"/>
              </w:rPr>
              <w:t>over the 3-year Demonstration period</w:t>
            </w:r>
            <w:r w:rsidRPr="00832B4C">
              <w:rPr>
                <w:szCs w:val="22"/>
              </w:rPr>
              <w:t>, including difficulty obtaining treatment and changes in treatment</w:t>
            </w:r>
          </w:p>
        </w:tc>
        <w:tc>
          <w:tcPr>
            <w:tcW w:w="3600" w:type="dxa"/>
          </w:tcPr>
          <w:p w14:paraId="29DD86E9" w14:textId="255603C9" w:rsidR="00594144" w:rsidRPr="00832B4C" w:rsidRDefault="00594144" w:rsidP="00EF21CC">
            <w:pPr>
              <w:pStyle w:val="ListNumber"/>
              <w:keepNext/>
              <w:numPr>
                <w:ilvl w:val="0"/>
                <w:numId w:val="17"/>
              </w:numPr>
              <w:spacing w:after="0" w:line="276" w:lineRule="auto"/>
              <w:ind w:left="185" w:hanging="180"/>
              <w:rPr>
                <w:szCs w:val="22"/>
              </w:rPr>
            </w:pPr>
            <w:r w:rsidRPr="00832B4C">
              <w:rPr>
                <w:szCs w:val="22"/>
              </w:rPr>
              <w:t xml:space="preserve">Medicare beneficiaries with PIDD who have </w:t>
            </w:r>
            <w:r w:rsidR="00C7381D">
              <w:rPr>
                <w:szCs w:val="22"/>
              </w:rPr>
              <w:t xml:space="preserve">Medicare </w:t>
            </w:r>
            <w:r w:rsidRPr="00832B4C">
              <w:rPr>
                <w:szCs w:val="22"/>
              </w:rPr>
              <w:t xml:space="preserve">claims for IVIG </w:t>
            </w:r>
            <w:r w:rsidR="007318BE" w:rsidRPr="00832B4C">
              <w:rPr>
                <w:szCs w:val="22"/>
              </w:rPr>
              <w:t xml:space="preserve">including beneficiaries </w:t>
            </w:r>
            <w:r w:rsidR="00C7381D">
              <w:rPr>
                <w:szCs w:val="22"/>
              </w:rPr>
              <w:t xml:space="preserve">who </w:t>
            </w:r>
            <w:r w:rsidR="007318BE" w:rsidRPr="00832B4C">
              <w:rPr>
                <w:szCs w:val="22"/>
              </w:rPr>
              <w:t>participat</w:t>
            </w:r>
            <w:r w:rsidR="00C7381D">
              <w:rPr>
                <w:szCs w:val="22"/>
              </w:rPr>
              <w:t>ed</w:t>
            </w:r>
            <w:r w:rsidR="007318BE" w:rsidRPr="00832B4C">
              <w:rPr>
                <w:szCs w:val="22"/>
              </w:rPr>
              <w:t xml:space="preserve"> and </w:t>
            </w:r>
            <w:r w:rsidR="00C7381D">
              <w:rPr>
                <w:szCs w:val="22"/>
              </w:rPr>
              <w:t xml:space="preserve">those who did </w:t>
            </w:r>
            <w:r w:rsidR="007318BE" w:rsidRPr="00832B4C">
              <w:rPr>
                <w:szCs w:val="22"/>
              </w:rPr>
              <w:t>not participat</w:t>
            </w:r>
            <w:r w:rsidR="00C7381D">
              <w:rPr>
                <w:szCs w:val="22"/>
              </w:rPr>
              <w:t xml:space="preserve">e </w:t>
            </w:r>
            <w:r w:rsidR="007318BE" w:rsidRPr="00832B4C">
              <w:rPr>
                <w:szCs w:val="22"/>
              </w:rPr>
              <w:t>in the Demonstration</w:t>
            </w:r>
          </w:p>
        </w:tc>
      </w:tr>
      <w:tr w:rsidR="00594144" w:rsidRPr="00832B4C" w14:paraId="74089EE2" w14:textId="77777777" w:rsidTr="003408CB">
        <w:tc>
          <w:tcPr>
            <w:tcW w:w="1795" w:type="dxa"/>
          </w:tcPr>
          <w:p w14:paraId="49C3F53C" w14:textId="59F49D0C" w:rsidR="00594144" w:rsidRPr="00832B4C" w:rsidRDefault="00594144" w:rsidP="00325A45">
            <w:pPr>
              <w:pStyle w:val="ListNumber"/>
              <w:numPr>
                <w:ilvl w:val="0"/>
                <w:numId w:val="0"/>
              </w:numPr>
              <w:spacing w:after="0" w:line="276" w:lineRule="auto"/>
              <w:rPr>
                <w:szCs w:val="22"/>
              </w:rPr>
            </w:pPr>
            <w:r w:rsidRPr="00832B4C">
              <w:rPr>
                <w:szCs w:val="22"/>
              </w:rPr>
              <w:t>Administrative claims</w:t>
            </w:r>
          </w:p>
        </w:tc>
        <w:tc>
          <w:tcPr>
            <w:tcW w:w="3600" w:type="dxa"/>
          </w:tcPr>
          <w:p w14:paraId="70331153" w14:textId="77777777" w:rsidR="00594144" w:rsidRPr="00832B4C" w:rsidRDefault="00F362F0" w:rsidP="00325A45">
            <w:pPr>
              <w:pStyle w:val="ListNumber"/>
              <w:numPr>
                <w:ilvl w:val="0"/>
                <w:numId w:val="17"/>
              </w:numPr>
              <w:spacing w:after="0" w:line="276" w:lineRule="auto"/>
              <w:ind w:left="185" w:hanging="180"/>
              <w:rPr>
                <w:szCs w:val="22"/>
              </w:rPr>
            </w:pPr>
            <w:r w:rsidRPr="00832B4C">
              <w:rPr>
                <w:szCs w:val="22"/>
              </w:rPr>
              <w:t>To examine IVIG utilization and healthcare utilization (hospital admission/readmission, ER, specialty care, antibiotics) of Medicare beneficiaries with PIDD over the 3-year Demonstration period</w:t>
            </w:r>
          </w:p>
          <w:p w14:paraId="7DA3E1A0" w14:textId="75B9F28C" w:rsidR="00F362F0" w:rsidRPr="00832B4C" w:rsidRDefault="00F362F0" w:rsidP="00325A45">
            <w:pPr>
              <w:pStyle w:val="ListNumber"/>
              <w:numPr>
                <w:ilvl w:val="0"/>
                <w:numId w:val="17"/>
              </w:numPr>
              <w:spacing w:after="0" w:line="276" w:lineRule="auto"/>
              <w:ind w:left="185" w:hanging="180"/>
              <w:rPr>
                <w:sz w:val="20"/>
                <w:szCs w:val="20"/>
              </w:rPr>
            </w:pPr>
            <w:r w:rsidRPr="00832B4C">
              <w:rPr>
                <w:szCs w:val="22"/>
              </w:rPr>
              <w:t xml:space="preserve">To examine Medicare costs </w:t>
            </w:r>
            <w:r w:rsidR="00C7381D">
              <w:rPr>
                <w:szCs w:val="22"/>
              </w:rPr>
              <w:t xml:space="preserve">under Part B </w:t>
            </w:r>
            <w:r w:rsidRPr="00832B4C">
              <w:rPr>
                <w:szCs w:val="22"/>
              </w:rPr>
              <w:t>to inform the payment methodology</w:t>
            </w:r>
            <w:r w:rsidR="00126052" w:rsidRPr="00832B4C">
              <w:rPr>
                <w:szCs w:val="22"/>
              </w:rPr>
              <w:t xml:space="preserve"> analysis</w:t>
            </w:r>
          </w:p>
        </w:tc>
        <w:tc>
          <w:tcPr>
            <w:tcW w:w="3600" w:type="dxa"/>
          </w:tcPr>
          <w:p w14:paraId="1313A75F" w14:textId="69E98916" w:rsidR="00594144" w:rsidRPr="00832B4C" w:rsidRDefault="00594144" w:rsidP="00325A45">
            <w:pPr>
              <w:pStyle w:val="ListNumber"/>
              <w:keepNext/>
              <w:numPr>
                <w:ilvl w:val="0"/>
                <w:numId w:val="17"/>
              </w:numPr>
              <w:spacing w:after="0" w:line="276" w:lineRule="auto"/>
              <w:ind w:left="185" w:hanging="180"/>
              <w:rPr>
                <w:szCs w:val="22"/>
              </w:rPr>
            </w:pPr>
            <w:r w:rsidRPr="00832B4C">
              <w:rPr>
                <w:szCs w:val="22"/>
              </w:rPr>
              <w:t>Medicare beneficiaries with PIDD who have claims for IVIG</w:t>
            </w:r>
          </w:p>
        </w:tc>
      </w:tr>
    </w:tbl>
    <w:p w14:paraId="65947D1F" w14:textId="77777777" w:rsidR="00594144" w:rsidRPr="00372870" w:rsidRDefault="00594144" w:rsidP="00372870">
      <w:pPr>
        <w:pStyle w:val="Default"/>
        <w:spacing w:line="276" w:lineRule="auto"/>
        <w:ind w:firstLine="720"/>
        <w:rPr>
          <w:sz w:val="22"/>
        </w:rPr>
      </w:pPr>
    </w:p>
    <w:p w14:paraId="2B89E9E9" w14:textId="509B527A" w:rsidR="00594144" w:rsidRPr="00832B4C" w:rsidRDefault="00594144" w:rsidP="00325A45">
      <w:pPr>
        <w:pStyle w:val="Default"/>
        <w:spacing w:line="276" w:lineRule="auto"/>
        <w:ind w:firstLine="720"/>
        <w:rPr>
          <w:sz w:val="22"/>
          <w:szCs w:val="22"/>
        </w:rPr>
      </w:pPr>
      <w:r w:rsidRPr="00832B4C">
        <w:rPr>
          <w:sz w:val="22"/>
          <w:szCs w:val="22"/>
        </w:rPr>
        <w:t xml:space="preserve">The contract for the evaluation of the Medicare Patient IVIG Access Demonstration project was awarded in September 2014. Interviews and survey data collection will occur in 2017. </w:t>
      </w:r>
    </w:p>
    <w:p w14:paraId="637A1FBF" w14:textId="7155835B" w:rsidR="00EC031C" w:rsidRPr="00767D59" w:rsidRDefault="00EC031C" w:rsidP="00372870">
      <w:pPr>
        <w:spacing w:after="200" w:line="276" w:lineRule="auto"/>
        <w:ind w:right="86" w:firstLine="360"/>
      </w:pPr>
    </w:p>
    <w:p w14:paraId="5BE0FA48" w14:textId="77777777" w:rsidR="0064259F" w:rsidRPr="00832B4C" w:rsidRDefault="0064259F" w:rsidP="00325A45">
      <w:pPr>
        <w:pStyle w:val="Heading1"/>
      </w:pPr>
      <w:bookmarkStart w:id="5" w:name="_Toc410331574"/>
      <w:bookmarkStart w:id="6" w:name="_Toc410331680"/>
      <w:bookmarkStart w:id="7" w:name="_Toc429570368"/>
      <w:bookmarkStart w:id="8" w:name="B_Justification"/>
      <w:r w:rsidRPr="00832B4C">
        <w:t>Justification</w:t>
      </w:r>
      <w:bookmarkEnd w:id="5"/>
      <w:bookmarkEnd w:id="6"/>
      <w:bookmarkEnd w:id="7"/>
    </w:p>
    <w:p w14:paraId="60EE8DF8" w14:textId="77777777" w:rsidR="0064259F" w:rsidRPr="00832B4C" w:rsidRDefault="0064259F" w:rsidP="00325A45">
      <w:pPr>
        <w:pStyle w:val="Heading2"/>
      </w:pPr>
      <w:bookmarkStart w:id="9" w:name="_Toc410331575"/>
      <w:bookmarkStart w:id="10" w:name="_Toc410331681"/>
      <w:bookmarkStart w:id="11" w:name="_Toc429570369"/>
      <w:bookmarkStart w:id="12" w:name="_Toc431546776"/>
      <w:bookmarkStart w:id="13" w:name="NeedsAndLegalBasis"/>
      <w:bookmarkEnd w:id="8"/>
      <w:r w:rsidRPr="00832B4C">
        <w:t>Need and Legal Basis</w:t>
      </w:r>
      <w:bookmarkEnd w:id="9"/>
      <w:bookmarkEnd w:id="10"/>
      <w:bookmarkEnd w:id="11"/>
      <w:bookmarkEnd w:id="12"/>
    </w:p>
    <w:bookmarkEnd w:id="13"/>
    <w:p w14:paraId="6C072E92" w14:textId="77777777" w:rsidR="00F36F67" w:rsidRPr="00832B4C" w:rsidRDefault="00F36F67" w:rsidP="00325A45">
      <w:pPr>
        <w:pStyle w:val="Default"/>
        <w:spacing w:line="276" w:lineRule="auto"/>
        <w:ind w:firstLine="720"/>
        <w:rPr>
          <w:sz w:val="22"/>
          <w:szCs w:val="22"/>
        </w:rPr>
      </w:pPr>
      <w:r w:rsidRPr="00832B4C">
        <w:rPr>
          <w:sz w:val="22"/>
          <w:szCs w:val="22"/>
        </w:rPr>
        <w:t>Section 101 of H.R. 1845 Medicare IVIG Access and Strengthening Medicare and Repaying Taxpayers Act of 2012, Public Law 112-242, mandates the establishment, implementation, and evaluation of a three-year Medicare Patient Intravenous Immunoglobulin (IVIG) Access Demonstration Project under Part B of title XVIII of the Social Security Act.</w:t>
      </w:r>
    </w:p>
    <w:p w14:paraId="01FE6F2D" w14:textId="77777777" w:rsidR="001D1D07" w:rsidRPr="00832B4C" w:rsidRDefault="00E07F82" w:rsidP="00325A45">
      <w:pPr>
        <w:pStyle w:val="Heading2"/>
      </w:pPr>
      <w:bookmarkStart w:id="14" w:name="_Toc410331576"/>
      <w:bookmarkStart w:id="15" w:name="_Toc410331682"/>
      <w:bookmarkStart w:id="16" w:name="_Toc429570370"/>
      <w:bookmarkStart w:id="17" w:name="_Toc431546777"/>
      <w:bookmarkStart w:id="18" w:name="PurposeandUseofInformationCollection"/>
      <w:r w:rsidRPr="00832B4C">
        <w:t xml:space="preserve">Purpose and Use of the Information Collection </w:t>
      </w:r>
    </w:p>
    <w:bookmarkEnd w:id="14"/>
    <w:bookmarkEnd w:id="15"/>
    <w:bookmarkEnd w:id="16"/>
    <w:bookmarkEnd w:id="17"/>
    <w:bookmarkEnd w:id="18"/>
    <w:p w14:paraId="018B887D" w14:textId="77777777" w:rsidR="004D44E5" w:rsidRDefault="003F3233" w:rsidP="004D44E5">
      <w:pPr>
        <w:pStyle w:val="BodyTextFirstIndent"/>
        <w:tabs>
          <w:tab w:val="left" w:pos="90"/>
        </w:tabs>
        <w:spacing w:before="0" w:beforeAutospacing="0" w:after="0" w:line="276" w:lineRule="auto"/>
        <w:ind w:left="720" w:hanging="630"/>
      </w:pPr>
      <w:r w:rsidRPr="00832B4C">
        <w:tab/>
        <w:t xml:space="preserve">The evaluation study will use a mixed methods </w:t>
      </w:r>
      <w:r w:rsidR="00555CAA" w:rsidRPr="00832B4C">
        <w:t>approach</w:t>
      </w:r>
      <w:r w:rsidRPr="00832B4C">
        <w:t xml:space="preserve"> using interviews, surveys</w:t>
      </w:r>
      <w:r w:rsidR="004E7648" w:rsidRPr="00832B4C">
        <w:t>,</w:t>
      </w:r>
      <w:r w:rsidRPr="00832B4C">
        <w:t xml:space="preserve"> and</w:t>
      </w:r>
      <w:r w:rsidR="00872B67">
        <w:t xml:space="preserve"> </w:t>
      </w:r>
    </w:p>
    <w:p w14:paraId="118D1F23" w14:textId="77777777" w:rsidR="004D44E5" w:rsidRDefault="003F3233" w:rsidP="004D44E5">
      <w:pPr>
        <w:pStyle w:val="BodyTextFirstIndent"/>
        <w:tabs>
          <w:tab w:val="left" w:pos="90"/>
        </w:tabs>
        <w:spacing w:before="0" w:beforeAutospacing="0" w:after="0" w:line="276" w:lineRule="auto"/>
        <w:ind w:left="720" w:hanging="630"/>
      </w:pPr>
      <w:r w:rsidRPr="00832B4C">
        <w:t xml:space="preserve">administrative claims information. </w:t>
      </w:r>
      <w:r w:rsidR="002B07A1" w:rsidRPr="00832B4C">
        <w:t>Th</w:t>
      </w:r>
      <w:r w:rsidR="00FB021D" w:rsidRPr="00832B4C">
        <w:t>is section describes the</w:t>
      </w:r>
      <w:r w:rsidR="002B07A1" w:rsidRPr="00832B4C">
        <w:t xml:space="preserve"> purpose</w:t>
      </w:r>
      <w:r w:rsidR="00555CAA" w:rsidRPr="00832B4C">
        <w:t>, use, and design o</w:t>
      </w:r>
      <w:r w:rsidR="002B07A1" w:rsidRPr="00832B4C">
        <w:t xml:space="preserve">f </w:t>
      </w:r>
      <w:r w:rsidR="00126052" w:rsidRPr="00832B4C">
        <w:t xml:space="preserve">each type of </w:t>
      </w:r>
    </w:p>
    <w:p w14:paraId="637289D0" w14:textId="6DF04A9E" w:rsidR="00126052" w:rsidRPr="00832B4C" w:rsidRDefault="00126052" w:rsidP="004D44E5">
      <w:pPr>
        <w:pStyle w:val="BodyTextFirstIndent"/>
        <w:tabs>
          <w:tab w:val="left" w:pos="90"/>
        </w:tabs>
        <w:spacing w:before="0" w:beforeAutospacing="0" w:after="0" w:line="276" w:lineRule="auto"/>
        <w:ind w:left="720" w:hanging="630"/>
      </w:pPr>
      <w:r w:rsidRPr="00832B4C">
        <w:t>information collection</w:t>
      </w:r>
      <w:r w:rsidR="00555CAA" w:rsidRPr="00832B4C">
        <w:t xml:space="preserve">, </w:t>
      </w:r>
      <w:r w:rsidR="00FB021D" w:rsidRPr="00832B4C">
        <w:t>defines the measures that will be collected, and lists our hypotheses</w:t>
      </w:r>
      <w:r w:rsidRPr="00832B4C">
        <w:t xml:space="preserve">. </w:t>
      </w:r>
    </w:p>
    <w:p w14:paraId="445DAD9C" w14:textId="77777777" w:rsidR="004D44E5" w:rsidRPr="00832B4C" w:rsidRDefault="004D44E5" w:rsidP="00325A45">
      <w:pPr>
        <w:pStyle w:val="BodyTextFirstIndent"/>
        <w:tabs>
          <w:tab w:val="left" w:pos="360"/>
        </w:tabs>
        <w:spacing w:before="0" w:beforeAutospacing="0" w:after="0" w:line="276" w:lineRule="auto"/>
        <w:ind w:firstLine="0"/>
      </w:pPr>
    </w:p>
    <w:p w14:paraId="74054283" w14:textId="360510DD" w:rsidR="00487CC8" w:rsidRPr="00832B4C" w:rsidRDefault="004E7648" w:rsidP="004D44E5">
      <w:pPr>
        <w:pStyle w:val="BodyTextFirstIndent"/>
        <w:spacing w:before="0" w:beforeAutospacing="0" w:after="0" w:line="276" w:lineRule="auto"/>
        <w:ind w:firstLine="810"/>
      </w:pPr>
      <w:r w:rsidRPr="00832B4C">
        <w:lastRenderedPageBreak/>
        <w:t xml:space="preserve">The purpose and use of interviews with providers, nurses, informal caregivers and patient advocates is to </w:t>
      </w:r>
      <w:r w:rsidR="00BC496C" w:rsidRPr="00832B4C">
        <w:t xml:space="preserve">provide </w:t>
      </w:r>
      <w:r w:rsidR="00A344B3" w:rsidRPr="00832B4C">
        <w:t>their</w:t>
      </w:r>
      <w:r w:rsidR="00BC496C" w:rsidRPr="00832B4C">
        <w:t xml:space="preserve"> perspectives on the Demonstration program, </w:t>
      </w:r>
      <w:r w:rsidR="00A344B3" w:rsidRPr="00832B4C">
        <w:t>including the</w:t>
      </w:r>
      <w:r w:rsidR="00BC496C" w:rsidRPr="00832B4C">
        <w:t xml:space="preserve"> advantages and disadvantages of different treatment options, perspectives on access, quality, cost, convenience, ease of use, safety, and health outcomes for beneficiaries using the services provided under the Demonstration. </w:t>
      </w:r>
      <w:r w:rsidR="00555CAA" w:rsidRPr="00832B4C">
        <w:t xml:space="preserve">These cross-sectional, semi-structured interviews will provide rich contextual information to supplement the survey and claims data. </w:t>
      </w:r>
    </w:p>
    <w:p w14:paraId="765A93DA" w14:textId="5BFD637C" w:rsidR="006A2208" w:rsidRPr="00832B4C" w:rsidRDefault="006E2A48" w:rsidP="00325A45">
      <w:pPr>
        <w:pStyle w:val="BodyTextFirstIndent"/>
        <w:spacing w:before="0" w:beforeAutospacing="0" w:after="0" w:line="276" w:lineRule="auto"/>
        <w:rPr>
          <w:szCs w:val="22"/>
        </w:rPr>
      </w:pPr>
      <w:r w:rsidRPr="00832B4C">
        <w:rPr>
          <w:szCs w:val="22"/>
        </w:rPr>
        <w:tab/>
      </w:r>
    </w:p>
    <w:p w14:paraId="1FB5F8ED" w14:textId="6145C223" w:rsidR="00126052" w:rsidRDefault="0070722F" w:rsidP="00325A45">
      <w:pPr>
        <w:pStyle w:val="BodyTextFirstIndent"/>
        <w:spacing w:before="0" w:beforeAutospacing="0" w:after="0" w:line="276" w:lineRule="auto"/>
        <w:rPr>
          <w:b/>
          <w:i/>
        </w:rPr>
      </w:pPr>
      <w:r w:rsidRPr="00832B4C">
        <w:t>The purpose and use of i</w:t>
      </w:r>
      <w:r w:rsidR="00BC496C" w:rsidRPr="00832B4C">
        <w:rPr>
          <w:szCs w:val="22"/>
        </w:rPr>
        <w:t>nterviews with manufacturers</w:t>
      </w:r>
      <w:r w:rsidR="00BC6F95" w:rsidRPr="00832B4C">
        <w:rPr>
          <w:szCs w:val="22"/>
        </w:rPr>
        <w:t xml:space="preserve">, </w:t>
      </w:r>
      <w:r w:rsidR="00BC496C" w:rsidRPr="00832B4C">
        <w:rPr>
          <w:szCs w:val="22"/>
        </w:rPr>
        <w:t>distributors</w:t>
      </w:r>
      <w:r w:rsidR="00BC6F95" w:rsidRPr="00832B4C">
        <w:rPr>
          <w:szCs w:val="22"/>
        </w:rPr>
        <w:t>, large GPOs, and home infusion therapy companies</w:t>
      </w:r>
      <w:r w:rsidR="00BC496C" w:rsidRPr="00832B4C">
        <w:rPr>
          <w:szCs w:val="22"/>
        </w:rPr>
        <w:t xml:space="preserve"> </w:t>
      </w:r>
      <w:r w:rsidRPr="00832B4C">
        <w:rPr>
          <w:szCs w:val="22"/>
        </w:rPr>
        <w:t>is to assess changes to date in the current IVIG market</w:t>
      </w:r>
      <w:r w:rsidR="005E62FD" w:rsidRPr="00832B4C">
        <w:t xml:space="preserve"> dynamics</w:t>
      </w:r>
      <w:r w:rsidRPr="00832B4C">
        <w:rPr>
          <w:szCs w:val="22"/>
        </w:rPr>
        <w:t xml:space="preserve">, including IVIG supply, distribution, demand, and access. </w:t>
      </w:r>
      <w:r w:rsidR="00126052" w:rsidRPr="00832B4C">
        <w:t>Access</w:t>
      </w:r>
      <w:r w:rsidRPr="00832B4C">
        <w:t xml:space="preserve"> is defined as the receiving the desired treatment without delay in the setting selected by the beneficiary and physician. </w:t>
      </w:r>
      <w:r w:rsidRPr="00832B4C">
        <w:rPr>
          <w:b/>
          <w:i/>
        </w:rPr>
        <w:t xml:space="preserve">We hypothesize that </w:t>
      </w:r>
      <w:r w:rsidR="009F5EEA">
        <w:rPr>
          <w:b/>
          <w:i/>
        </w:rPr>
        <w:t xml:space="preserve">compared to 2007, there is </w:t>
      </w:r>
      <w:r w:rsidR="00284148" w:rsidRPr="00832B4C">
        <w:rPr>
          <w:b/>
          <w:i/>
        </w:rPr>
        <w:t>improved IVIG supply, distribution, demand, and access</w:t>
      </w:r>
      <w:r w:rsidR="004D44E5">
        <w:rPr>
          <w:b/>
          <w:i/>
        </w:rPr>
        <w:t>.</w:t>
      </w:r>
    </w:p>
    <w:p w14:paraId="1C78CC63" w14:textId="77777777" w:rsidR="004D44E5" w:rsidRPr="00832B4C" w:rsidRDefault="004D44E5" w:rsidP="00325A45">
      <w:pPr>
        <w:pStyle w:val="BodyTextFirstIndent"/>
        <w:spacing w:before="0" w:beforeAutospacing="0" w:after="0" w:line="276" w:lineRule="auto"/>
      </w:pPr>
    </w:p>
    <w:p w14:paraId="5282AA37" w14:textId="4DB80C15" w:rsidR="00487CC8" w:rsidRPr="00832B4C" w:rsidRDefault="002B07A1" w:rsidP="00372870">
      <w:pPr>
        <w:pStyle w:val="BodyTextFirstIndent"/>
        <w:spacing w:before="0" w:beforeAutospacing="0" w:after="0" w:line="276" w:lineRule="auto"/>
        <w:rPr>
          <w:szCs w:val="22"/>
        </w:rPr>
      </w:pPr>
      <w:r w:rsidRPr="00832B4C">
        <w:t xml:space="preserve">The purpose and use of information </w:t>
      </w:r>
      <w:r w:rsidR="00A46720">
        <w:t>collected through</w:t>
      </w:r>
      <w:r w:rsidR="00A46720" w:rsidRPr="00832B4C">
        <w:t xml:space="preserve"> </w:t>
      </w:r>
      <w:r w:rsidRPr="00832B4C">
        <w:t xml:space="preserve">surveys is to determine the effect of offering in home administration of IVIG to Medicare beneficiaries with PIDD on their </w:t>
      </w:r>
      <w:r w:rsidR="004E7648" w:rsidRPr="00832B4C">
        <w:t>treatment experience</w:t>
      </w:r>
      <w:r w:rsidRPr="00832B4C">
        <w:t xml:space="preserve"> over the 3-year Demonstration period. </w:t>
      </w:r>
      <w:r w:rsidR="00BC496C" w:rsidRPr="00832B4C">
        <w:t>The survey will assess the experience of beneficiaries pa</w:t>
      </w:r>
      <w:r w:rsidR="00D9137D" w:rsidRPr="00832B4C">
        <w:t xml:space="preserve">rticipating in the Demonstration and </w:t>
      </w:r>
      <w:r w:rsidR="009F5EEA">
        <w:t>those</w:t>
      </w:r>
      <w:r w:rsidR="00BC496C" w:rsidRPr="00832B4C">
        <w:t xml:space="preserve"> not enrolled in the Demonstration. </w:t>
      </w:r>
      <w:r w:rsidR="00980652" w:rsidRPr="00832B4C">
        <w:rPr>
          <w:szCs w:val="22"/>
        </w:rPr>
        <w:t xml:space="preserve">The </w:t>
      </w:r>
      <w:r w:rsidR="009F5EEA">
        <w:rPr>
          <w:szCs w:val="22"/>
        </w:rPr>
        <w:t xml:space="preserve">purpose </w:t>
      </w:r>
      <w:r w:rsidR="00BC496C" w:rsidRPr="00832B4C">
        <w:rPr>
          <w:szCs w:val="22"/>
        </w:rPr>
        <w:t xml:space="preserve">of the survey is to </w:t>
      </w:r>
      <w:r w:rsidR="009F5EEA">
        <w:rPr>
          <w:szCs w:val="22"/>
        </w:rPr>
        <w:t xml:space="preserve">assess </w:t>
      </w:r>
      <w:r w:rsidR="00BC496C" w:rsidRPr="00832B4C">
        <w:rPr>
          <w:szCs w:val="22"/>
        </w:rPr>
        <w:t>beneficiaries’ experien</w:t>
      </w:r>
      <w:r w:rsidR="00D9137D" w:rsidRPr="00832B4C">
        <w:rPr>
          <w:szCs w:val="22"/>
        </w:rPr>
        <w:t>ces prior to</w:t>
      </w:r>
      <w:r w:rsidR="00BC496C" w:rsidRPr="00832B4C">
        <w:rPr>
          <w:szCs w:val="22"/>
        </w:rPr>
        <w:t xml:space="preserve"> and during the demonstration. Additional questions </w:t>
      </w:r>
      <w:r w:rsidR="009F5EEA">
        <w:rPr>
          <w:szCs w:val="22"/>
        </w:rPr>
        <w:t xml:space="preserve">will include assessing </w:t>
      </w:r>
      <w:r w:rsidR="00BC496C" w:rsidRPr="00832B4C">
        <w:rPr>
          <w:szCs w:val="22"/>
        </w:rPr>
        <w:t>why the beneficiary enrolled (or did not enroll) in the Demonstration.</w:t>
      </w:r>
      <w:r w:rsidR="00B16711" w:rsidRPr="00832B4C">
        <w:rPr>
          <w:szCs w:val="22"/>
        </w:rPr>
        <w:t xml:space="preserve"> </w:t>
      </w:r>
      <w:r w:rsidR="00B16711" w:rsidRPr="00832B4C">
        <w:rPr>
          <w:b/>
          <w:i/>
        </w:rPr>
        <w:t>We hypothesize that beneficiaries participating in the Demonstration will have i</w:t>
      </w:r>
      <w:r w:rsidR="009F5EEA">
        <w:rPr>
          <w:b/>
          <w:i/>
        </w:rPr>
        <w:t xml:space="preserve">ncreased </w:t>
      </w:r>
      <w:r w:rsidR="00B16711" w:rsidRPr="00832B4C">
        <w:rPr>
          <w:b/>
          <w:i/>
        </w:rPr>
        <w:t xml:space="preserve">access to IVIG </w:t>
      </w:r>
      <w:r w:rsidR="009F5EEA">
        <w:rPr>
          <w:b/>
          <w:i/>
        </w:rPr>
        <w:t>treatment</w:t>
      </w:r>
      <w:r w:rsidR="00B16711" w:rsidRPr="00832B4C">
        <w:rPr>
          <w:b/>
          <w:i/>
        </w:rPr>
        <w:t xml:space="preserve"> compared to </w:t>
      </w:r>
      <w:r w:rsidR="009F5EEA">
        <w:rPr>
          <w:b/>
          <w:i/>
        </w:rPr>
        <w:t xml:space="preserve">non </w:t>
      </w:r>
      <w:r w:rsidR="00B16711" w:rsidRPr="00832B4C">
        <w:rPr>
          <w:b/>
          <w:i/>
        </w:rPr>
        <w:t>participating</w:t>
      </w:r>
      <w:r w:rsidR="009F5EEA">
        <w:rPr>
          <w:b/>
          <w:i/>
        </w:rPr>
        <w:t xml:space="preserve"> beneficiaries</w:t>
      </w:r>
      <w:r w:rsidR="00B16711" w:rsidRPr="00832B4C">
        <w:t>.</w:t>
      </w:r>
    </w:p>
    <w:p w14:paraId="386F3F2F" w14:textId="77777777" w:rsidR="006A2208" w:rsidRPr="00832B4C" w:rsidRDefault="006A2208" w:rsidP="00325A45">
      <w:pPr>
        <w:pStyle w:val="BodyTextFirstIndent"/>
        <w:spacing w:before="0" w:beforeAutospacing="0" w:after="0" w:line="276" w:lineRule="auto"/>
        <w:rPr>
          <w:i/>
        </w:rPr>
      </w:pPr>
    </w:p>
    <w:p w14:paraId="610C6BE0" w14:textId="549CA8F6" w:rsidR="00BC496C" w:rsidRPr="00487CC8" w:rsidRDefault="002B07A1" w:rsidP="00284148">
      <w:pPr>
        <w:pStyle w:val="BodyTextFirstIndent"/>
        <w:spacing w:before="0" w:beforeAutospacing="0" w:after="0" w:line="276" w:lineRule="auto"/>
      </w:pPr>
      <w:r w:rsidRPr="00832B4C">
        <w:t xml:space="preserve">The purpose and use of information using administrative claims is </w:t>
      </w:r>
      <w:r w:rsidR="004E7648" w:rsidRPr="00832B4C">
        <w:t>twofold: 1.) to determine healthcare utilization and spending for beneficiaries with PIDD using IVIG during the 3-year Demonstration</w:t>
      </w:r>
      <w:r w:rsidR="0070722F" w:rsidRPr="00832B4C">
        <w:t>, and</w:t>
      </w:r>
      <w:r w:rsidR="004E7648" w:rsidRPr="00832B4C">
        <w:t xml:space="preserve"> 2.) to </w:t>
      </w:r>
      <w:r w:rsidR="009F5EEA">
        <w:t>inform</w:t>
      </w:r>
      <w:r w:rsidRPr="00832B4C">
        <w:t xml:space="preserve"> new payment m</w:t>
      </w:r>
      <w:r w:rsidR="009F5EEA">
        <w:t>ethods</w:t>
      </w:r>
      <w:r w:rsidRPr="00832B4C">
        <w:t xml:space="preserve"> for IVIG under Part B in all care settings. </w:t>
      </w:r>
      <w:r w:rsidR="004E7648" w:rsidRPr="00832B4C">
        <w:t>Health care utilization is defined as</w:t>
      </w:r>
      <w:r w:rsidR="0070722F" w:rsidRPr="00832B4C">
        <w:t xml:space="preserve"> a combination of</w:t>
      </w:r>
      <w:r w:rsidR="004E7648" w:rsidRPr="00832B4C">
        <w:t xml:space="preserve"> </w:t>
      </w:r>
      <w:r w:rsidR="0070722F" w:rsidRPr="00832B4C">
        <w:t xml:space="preserve">hospital admission and readmission; use of emergency rooms, specialty care, and other post-acute care; and antibiotic use </w:t>
      </w:r>
      <w:r w:rsidR="004E7648" w:rsidRPr="00832B4C">
        <w:t xml:space="preserve">and will be measured using </w:t>
      </w:r>
      <w:r w:rsidR="0070722F" w:rsidRPr="00832B4C">
        <w:t>claim codes. M</w:t>
      </w:r>
      <w:r w:rsidR="004E7648" w:rsidRPr="00832B4C">
        <w:t xml:space="preserve">edicare costs </w:t>
      </w:r>
      <w:r w:rsidR="0070722F" w:rsidRPr="00832B4C">
        <w:t>are</w:t>
      </w:r>
      <w:r w:rsidR="004E7648" w:rsidRPr="00832B4C">
        <w:t xml:space="preserve"> defined as</w:t>
      </w:r>
      <w:r w:rsidR="00762C4E" w:rsidRPr="00832B4C">
        <w:t xml:space="preserve"> </w:t>
      </w:r>
      <w:r w:rsidR="00DC3897" w:rsidRPr="00832B4C">
        <w:t>Medicare payment</w:t>
      </w:r>
      <w:r w:rsidR="009F5EEA">
        <w:t>s</w:t>
      </w:r>
      <w:r w:rsidR="00DC3897" w:rsidRPr="00832B4C">
        <w:t xml:space="preserve">, and beneficiary cost-sharing </w:t>
      </w:r>
      <w:r w:rsidR="004E7648" w:rsidRPr="00832B4C">
        <w:t xml:space="preserve">during </w:t>
      </w:r>
      <w:r w:rsidR="009F5EEA">
        <w:t xml:space="preserve">the </w:t>
      </w:r>
      <w:r w:rsidR="004E7648" w:rsidRPr="00832B4C">
        <w:t>demo</w:t>
      </w:r>
      <w:r w:rsidR="009F5EEA">
        <w:t>nstration</w:t>
      </w:r>
      <w:r w:rsidR="004E7648" w:rsidRPr="00832B4C">
        <w:t xml:space="preserve"> period</w:t>
      </w:r>
      <w:r w:rsidR="009F5EEA">
        <w:t xml:space="preserve">. </w:t>
      </w:r>
      <w:r w:rsidR="004E7648" w:rsidRPr="00832B4C">
        <w:t xml:space="preserve"> </w:t>
      </w:r>
      <w:r w:rsidR="009F5EEA">
        <w:t xml:space="preserve">Medicare cost will be </w:t>
      </w:r>
      <w:r w:rsidR="004E7648" w:rsidRPr="00832B4C">
        <w:t xml:space="preserve">measured </w:t>
      </w:r>
      <w:r w:rsidR="009F5EEA">
        <w:t xml:space="preserve">as Medicare payment </w:t>
      </w:r>
      <w:r w:rsidR="006B43A9" w:rsidRPr="00832B4C">
        <w:t xml:space="preserve">per beneficiary per treatment </w:t>
      </w:r>
      <w:r w:rsidR="009F5EEA">
        <w:t xml:space="preserve">per </w:t>
      </w:r>
      <w:r w:rsidR="006B43A9" w:rsidRPr="00832B4C">
        <w:t>month</w:t>
      </w:r>
      <w:r w:rsidR="004E7648" w:rsidRPr="00832B4C">
        <w:t>.</w:t>
      </w:r>
      <w:r w:rsidR="00762C4E" w:rsidRPr="00832B4C">
        <w:t xml:space="preserve"> </w:t>
      </w:r>
      <w:r w:rsidR="00BC496C" w:rsidRPr="00832B4C">
        <w:t xml:space="preserve">We will </w:t>
      </w:r>
      <w:r w:rsidR="009F5EEA">
        <w:t xml:space="preserve">also </w:t>
      </w:r>
      <w:r w:rsidR="00BC496C" w:rsidRPr="00832B4C">
        <w:t xml:space="preserve">analyze </w:t>
      </w:r>
      <w:r w:rsidR="004E7648" w:rsidRPr="00832B4C">
        <w:t xml:space="preserve">healthcare </w:t>
      </w:r>
      <w:r w:rsidR="00BC496C" w:rsidRPr="00832B4C">
        <w:t xml:space="preserve">utilization and spending data for both Demonstration and </w:t>
      </w:r>
      <w:r w:rsidR="00980652" w:rsidRPr="00832B4C">
        <w:t>c</w:t>
      </w:r>
      <w:r w:rsidR="00BC496C" w:rsidRPr="00832B4C">
        <w:t xml:space="preserve">omparison groups </w:t>
      </w:r>
      <w:r w:rsidR="004E7648" w:rsidRPr="00832B4C">
        <w:t xml:space="preserve">for both pre and post-Demonstration periods and </w:t>
      </w:r>
      <w:bookmarkStart w:id="19" w:name="_Ref402190056"/>
      <w:r w:rsidR="00BC496C" w:rsidRPr="00832B4C">
        <w:t>will use a difference-in-differences approach to compare the groups</w:t>
      </w:r>
      <w:r w:rsidR="00980652" w:rsidRPr="00832B4C">
        <w:t>.</w:t>
      </w:r>
      <w:r w:rsidR="00B16711" w:rsidRPr="00832B4C">
        <w:t xml:space="preserve"> </w:t>
      </w:r>
      <w:r w:rsidR="0070722F" w:rsidRPr="00832B4C">
        <w:rPr>
          <w:b/>
          <w:i/>
        </w:rPr>
        <w:t xml:space="preserve">We hypothesize that beneficiaries participating in the Demonstration will have </w:t>
      </w:r>
      <w:r w:rsidR="009F5EEA">
        <w:rPr>
          <w:b/>
          <w:i/>
        </w:rPr>
        <w:t xml:space="preserve">better </w:t>
      </w:r>
      <w:r w:rsidR="0070722F" w:rsidRPr="00832B4C">
        <w:rPr>
          <w:b/>
          <w:i/>
        </w:rPr>
        <w:t>health outcomes, lower healthcare utilization, and lower costs for IVIG care compared to beneficiaries not participating in the Demonstration</w:t>
      </w:r>
      <w:r w:rsidR="0070722F" w:rsidRPr="00832B4C">
        <w:t>.</w:t>
      </w:r>
    </w:p>
    <w:p w14:paraId="33FE95D3" w14:textId="1DD5828E" w:rsidR="00425423" w:rsidRPr="00487CC8" w:rsidRDefault="005518ED" w:rsidP="00325A45">
      <w:pPr>
        <w:pStyle w:val="Heading3"/>
      </w:pPr>
      <w:bookmarkStart w:id="20" w:name="InstitutionalReviewBoardApproval"/>
      <w:bookmarkEnd w:id="19"/>
      <w:r w:rsidRPr="00487CC8">
        <w:t>Institutional</w:t>
      </w:r>
      <w:r w:rsidR="00425423" w:rsidRPr="00487CC8">
        <w:t xml:space="preserve"> Review Board (IRB) Approval and Informed Consent</w:t>
      </w:r>
    </w:p>
    <w:bookmarkEnd w:id="20"/>
    <w:p w14:paraId="0CE48F03" w14:textId="2EFAC391" w:rsidR="005518ED" w:rsidRPr="008865A5" w:rsidRDefault="005518ED" w:rsidP="00325A45">
      <w:pPr>
        <w:pStyle w:val="BodyTextFirstIndent"/>
        <w:spacing w:line="276" w:lineRule="auto"/>
        <w:rPr>
          <w:szCs w:val="22"/>
        </w:rPr>
      </w:pPr>
      <w:r w:rsidRPr="00487CC8">
        <w:rPr>
          <w:szCs w:val="22"/>
        </w:rPr>
        <w:t>IRB exemption has been approved</w:t>
      </w:r>
      <w:r w:rsidRPr="008865A5">
        <w:rPr>
          <w:szCs w:val="22"/>
        </w:rPr>
        <w:t xml:space="preserve"> for </w:t>
      </w:r>
      <w:r w:rsidR="00DC3F1E">
        <w:rPr>
          <w:szCs w:val="22"/>
        </w:rPr>
        <w:t xml:space="preserve">the </w:t>
      </w:r>
      <w:r w:rsidR="00DC3F1E" w:rsidRPr="00DC3F1E">
        <w:rPr>
          <w:szCs w:val="22"/>
        </w:rPr>
        <w:t xml:space="preserve">research project </w:t>
      </w:r>
      <w:r w:rsidR="00DC3F1E">
        <w:rPr>
          <w:szCs w:val="22"/>
        </w:rPr>
        <w:t xml:space="preserve">which is </w:t>
      </w:r>
      <w:r w:rsidR="00DC3F1E" w:rsidRPr="00DC3F1E">
        <w:rPr>
          <w:szCs w:val="22"/>
        </w:rPr>
        <w:t xml:space="preserve">conducted pursuant to </w:t>
      </w:r>
      <w:r w:rsidR="00DC3F1E">
        <w:rPr>
          <w:szCs w:val="22"/>
        </w:rPr>
        <w:t xml:space="preserve">the </w:t>
      </w:r>
      <w:r w:rsidR="00DC3F1E" w:rsidRPr="00DC3F1E">
        <w:rPr>
          <w:szCs w:val="22"/>
        </w:rPr>
        <w:t>speci</w:t>
      </w:r>
      <w:r w:rsidR="00DC3F1E">
        <w:rPr>
          <w:szCs w:val="22"/>
        </w:rPr>
        <w:t xml:space="preserve">fic federal statutory authority </w:t>
      </w:r>
      <w:r w:rsidR="00DC3F1E" w:rsidRPr="00D36ACB">
        <w:rPr>
          <w:szCs w:val="22"/>
        </w:rPr>
        <w:t>Section 101 of H.R. 1845 Medicare IVIG Access and Strengthening Medicare and Repaying Taxpayers Act of 2012, Public Law 112-242</w:t>
      </w:r>
      <w:r w:rsidR="0077323F">
        <w:rPr>
          <w:szCs w:val="22"/>
        </w:rPr>
        <w:t>.</w:t>
      </w:r>
    </w:p>
    <w:p w14:paraId="0E776944" w14:textId="13E3EE0A" w:rsidR="00425423" w:rsidRPr="00DF28AC" w:rsidRDefault="00C528AF" w:rsidP="00325A45">
      <w:pPr>
        <w:pStyle w:val="BodyTextFirstIndent"/>
        <w:spacing w:line="276" w:lineRule="auto"/>
        <w:rPr>
          <w:szCs w:val="22"/>
        </w:rPr>
      </w:pPr>
      <w:r w:rsidRPr="008865A5">
        <w:rPr>
          <w:szCs w:val="22"/>
        </w:rPr>
        <w:t xml:space="preserve">In requesting an IRB exemption, the study team disclosed all informed consent procedures for both the </w:t>
      </w:r>
      <w:r w:rsidR="007537D6" w:rsidRPr="008865A5">
        <w:rPr>
          <w:szCs w:val="22"/>
        </w:rPr>
        <w:t>interview and survey data collection</w:t>
      </w:r>
      <w:r w:rsidR="00A01EE5">
        <w:rPr>
          <w:szCs w:val="22"/>
        </w:rPr>
        <w:t xml:space="preserve">. </w:t>
      </w:r>
      <w:r w:rsidR="007537D6" w:rsidRPr="008865A5">
        <w:rPr>
          <w:szCs w:val="22"/>
        </w:rPr>
        <w:t xml:space="preserve">For the interviews, each </w:t>
      </w:r>
      <w:r w:rsidR="00EF21CC">
        <w:rPr>
          <w:szCs w:val="22"/>
        </w:rPr>
        <w:t>individual</w:t>
      </w:r>
      <w:r w:rsidR="007537D6" w:rsidRPr="008865A5">
        <w:rPr>
          <w:szCs w:val="22"/>
        </w:rPr>
        <w:t xml:space="preserve"> will be provided </w:t>
      </w:r>
      <w:r w:rsidR="00B071FA">
        <w:rPr>
          <w:szCs w:val="22"/>
        </w:rPr>
        <w:t xml:space="preserve">with </w:t>
      </w:r>
      <w:r w:rsidR="007537D6" w:rsidRPr="008865A5">
        <w:rPr>
          <w:szCs w:val="22"/>
        </w:rPr>
        <w:t xml:space="preserve">an interview protocol in advance of the interview that will summarize the purpose of the interviews and </w:t>
      </w:r>
      <w:r w:rsidR="007537D6" w:rsidRPr="008865A5">
        <w:rPr>
          <w:szCs w:val="22"/>
        </w:rPr>
        <w:lastRenderedPageBreak/>
        <w:t xml:space="preserve">emphasize that participation is voluntary and </w:t>
      </w:r>
      <w:r w:rsidRPr="008865A5">
        <w:rPr>
          <w:szCs w:val="22"/>
        </w:rPr>
        <w:t xml:space="preserve">response to </w:t>
      </w:r>
      <w:r w:rsidR="00A46720">
        <w:rPr>
          <w:szCs w:val="22"/>
        </w:rPr>
        <w:t>any</w:t>
      </w:r>
      <w:r w:rsidR="00A46720" w:rsidRPr="008865A5">
        <w:rPr>
          <w:szCs w:val="22"/>
        </w:rPr>
        <w:t xml:space="preserve"> </w:t>
      </w:r>
      <w:r w:rsidR="007537D6" w:rsidRPr="008865A5">
        <w:rPr>
          <w:szCs w:val="22"/>
        </w:rPr>
        <w:t xml:space="preserve">single question is </w:t>
      </w:r>
      <w:r w:rsidR="00A46720">
        <w:rPr>
          <w:szCs w:val="22"/>
        </w:rPr>
        <w:t xml:space="preserve">not </w:t>
      </w:r>
      <w:r w:rsidR="007537D6" w:rsidRPr="008865A5">
        <w:rPr>
          <w:szCs w:val="22"/>
        </w:rPr>
        <w:t>required. As no signatures confirming informed consent will be gathered, participation in the interview will serve as a proxy for informed consent. Similarly, for the beneficiary survey, beneficiaries will receive the survey package and</w:t>
      </w:r>
      <w:r w:rsidR="00A01EE5">
        <w:rPr>
          <w:szCs w:val="22"/>
        </w:rPr>
        <w:t xml:space="preserve"> introductory cover letter and</w:t>
      </w:r>
      <w:r w:rsidR="007537D6" w:rsidRPr="008865A5">
        <w:rPr>
          <w:szCs w:val="22"/>
        </w:rPr>
        <w:t xml:space="preserve"> can choose to participate (there is no requirement for participation)</w:t>
      </w:r>
      <w:r w:rsidR="00A01EE5">
        <w:rPr>
          <w:szCs w:val="22"/>
        </w:rPr>
        <w:t xml:space="preserve">. </w:t>
      </w:r>
      <w:r w:rsidR="008865A5" w:rsidRPr="008865A5">
        <w:rPr>
          <w:szCs w:val="22"/>
        </w:rPr>
        <w:t>T</w:t>
      </w:r>
      <w:r w:rsidR="007537D6" w:rsidRPr="008865A5">
        <w:rPr>
          <w:szCs w:val="22"/>
        </w:rPr>
        <w:t>he survey cover</w:t>
      </w:r>
      <w:r w:rsidR="008865A5" w:rsidRPr="008865A5">
        <w:rPr>
          <w:szCs w:val="22"/>
        </w:rPr>
        <w:t xml:space="preserve"> </w:t>
      </w:r>
      <w:r w:rsidR="007537D6" w:rsidRPr="008865A5">
        <w:rPr>
          <w:szCs w:val="22"/>
        </w:rPr>
        <w:t xml:space="preserve">letter informs the participant of the purpose of the survey and how the information </w:t>
      </w:r>
      <w:r w:rsidR="008865A5" w:rsidRPr="008865A5">
        <w:rPr>
          <w:szCs w:val="22"/>
        </w:rPr>
        <w:t xml:space="preserve">provided </w:t>
      </w:r>
      <w:r w:rsidR="007537D6" w:rsidRPr="008865A5">
        <w:rPr>
          <w:szCs w:val="22"/>
        </w:rPr>
        <w:t>will be used</w:t>
      </w:r>
      <w:r w:rsidR="008865A5" w:rsidRPr="008865A5">
        <w:rPr>
          <w:szCs w:val="22"/>
        </w:rPr>
        <w:t xml:space="preserve">; therefore, a beneficiary’s </w:t>
      </w:r>
      <w:r w:rsidR="007537D6" w:rsidRPr="008865A5">
        <w:rPr>
          <w:szCs w:val="22"/>
        </w:rPr>
        <w:t>completion and submission of the survey is</w:t>
      </w:r>
      <w:r w:rsidR="00546916" w:rsidRPr="008865A5">
        <w:rPr>
          <w:szCs w:val="22"/>
        </w:rPr>
        <w:t xml:space="preserve"> considered a proxy for informed consent</w:t>
      </w:r>
      <w:r w:rsidR="00A01EE5">
        <w:rPr>
          <w:szCs w:val="22"/>
        </w:rPr>
        <w:t xml:space="preserve">. </w:t>
      </w:r>
      <w:r w:rsidR="00546916" w:rsidRPr="008865A5">
        <w:rPr>
          <w:szCs w:val="22"/>
        </w:rPr>
        <w:t>The IRB has confirmed that these methods for informed consent are appropriate.</w:t>
      </w:r>
      <w:r w:rsidR="00546916" w:rsidRPr="00546916">
        <w:rPr>
          <w:szCs w:val="22"/>
        </w:rPr>
        <w:t xml:space="preserve"> </w:t>
      </w:r>
    </w:p>
    <w:p w14:paraId="72586119" w14:textId="6DAAD04C" w:rsidR="0064259F" w:rsidRPr="00DF28AC" w:rsidRDefault="0064259F" w:rsidP="00325A45">
      <w:pPr>
        <w:pStyle w:val="Heading2"/>
      </w:pPr>
      <w:bookmarkStart w:id="21" w:name="_Toc410331577"/>
      <w:bookmarkStart w:id="22" w:name="_Toc410331683"/>
      <w:bookmarkStart w:id="23" w:name="_Toc429570371"/>
      <w:bookmarkStart w:id="24" w:name="_Toc431546778"/>
      <w:bookmarkStart w:id="25" w:name="UseofInformationTechnologyandBurdenReduc"/>
      <w:r w:rsidRPr="00DF28AC">
        <w:t>Use of Information Technology</w:t>
      </w:r>
      <w:bookmarkEnd w:id="21"/>
      <w:bookmarkEnd w:id="22"/>
      <w:bookmarkEnd w:id="23"/>
      <w:bookmarkEnd w:id="24"/>
      <w:r w:rsidR="00D05333" w:rsidRPr="00102407">
        <w:t xml:space="preserve"> a</w:t>
      </w:r>
      <w:r w:rsidR="00D05333" w:rsidRPr="00DF28AC">
        <w:t>nd Burden Reduction</w:t>
      </w:r>
    </w:p>
    <w:bookmarkEnd w:id="25"/>
    <w:p w14:paraId="3C9AE113" w14:textId="262D3C09" w:rsidR="00A2514F" w:rsidRDefault="00A2514F" w:rsidP="00325A45">
      <w:pPr>
        <w:pStyle w:val="BodyTextFirstIndent"/>
        <w:spacing w:line="276" w:lineRule="auto"/>
        <w:rPr>
          <w:szCs w:val="22"/>
        </w:rPr>
      </w:pPr>
      <w:r w:rsidRPr="00102407">
        <w:rPr>
          <w:szCs w:val="22"/>
        </w:rPr>
        <w:t xml:space="preserve">The interviews with </w:t>
      </w:r>
      <w:r w:rsidR="00682B49">
        <w:t xml:space="preserve">physicians, nurses, caregivers </w:t>
      </w:r>
      <w:r w:rsidR="00CE4DEC">
        <w:t xml:space="preserve">and advocates for patients with PIDD receiving IVIG; and IVIG manufacturers, distributors, Group Purchasing Organizations (GPOs), and infusion companies </w:t>
      </w:r>
      <w:r w:rsidRPr="00102407">
        <w:rPr>
          <w:szCs w:val="22"/>
        </w:rPr>
        <w:t>will be administered over the telephone</w:t>
      </w:r>
      <w:r>
        <w:rPr>
          <w:szCs w:val="22"/>
        </w:rPr>
        <w:t xml:space="preserve"> and will not be relying on information technology</w:t>
      </w:r>
      <w:r w:rsidRPr="00102407">
        <w:rPr>
          <w:szCs w:val="22"/>
        </w:rPr>
        <w:t xml:space="preserve">. </w:t>
      </w:r>
      <w:r>
        <w:rPr>
          <w:szCs w:val="22"/>
        </w:rPr>
        <w:t xml:space="preserve">These interviews will not be </w:t>
      </w:r>
      <w:r w:rsidRPr="00102407">
        <w:rPr>
          <w:szCs w:val="22"/>
        </w:rPr>
        <w:t xml:space="preserve">available electronically, and </w:t>
      </w:r>
      <w:r>
        <w:rPr>
          <w:szCs w:val="22"/>
        </w:rPr>
        <w:t xml:space="preserve">the respondents’ signature will not be </w:t>
      </w:r>
      <w:r w:rsidRPr="00102407">
        <w:rPr>
          <w:szCs w:val="22"/>
        </w:rPr>
        <w:t xml:space="preserve">required. </w:t>
      </w:r>
      <w:r w:rsidR="00DC3F1E">
        <w:rPr>
          <w:szCs w:val="22"/>
        </w:rPr>
        <w:t xml:space="preserve">The project team </w:t>
      </w:r>
      <w:r w:rsidRPr="00102407">
        <w:rPr>
          <w:szCs w:val="22"/>
        </w:rPr>
        <w:t>does not expect to make the interview data collection</w:t>
      </w:r>
      <w:r w:rsidR="00A01EE5">
        <w:rPr>
          <w:szCs w:val="22"/>
        </w:rPr>
        <w:t xml:space="preserve"> process</w:t>
      </w:r>
      <w:r w:rsidRPr="00102407">
        <w:rPr>
          <w:szCs w:val="22"/>
        </w:rPr>
        <w:t xml:space="preserve"> available electronically, as it would pose a higher burden on the participant to complete each of the questions in writing</w:t>
      </w:r>
      <w:r>
        <w:rPr>
          <w:szCs w:val="22"/>
        </w:rPr>
        <w:t xml:space="preserve">. </w:t>
      </w:r>
    </w:p>
    <w:p w14:paraId="75E08EE7" w14:textId="47586CA3" w:rsidR="00CF1343" w:rsidRPr="00102407" w:rsidRDefault="00CF1343" w:rsidP="00325A45">
      <w:pPr>
        <w:pStyle w:val="BodyTextFirstIndent"/>
        <w:spacing w:line="276" w:lineRule="auto"/>
        <w:rPr>
          <w:szCs w:val="22"/>
        </w:rPr>
      </w:pPr>
      <w:r w:rsidRPr="00D9137D">
        <w:rPr>
          <w:szCs w:val="22"/>
        </w:rPr>
        <w:t xml:space="preserve">For the beneficiary survey, each respondent </w:t>
      </w:r>
      <w:r w:rsidR="009706E6" w:rsidRPr="005010AE">
        <w:t xml:space="preserve">will </w:t>
      </w:r>
      <w:r w:rsidR="007B0AA0" w:rsidRPr="005010AE">
        <w:t>have the option to complete the survey online</w:t>
      </w:r>
      <w:r w:rsidR="007B0AA0" w:rsidRPr="00D9137D">
        <w:rPr>
          <w:szCs w:val="22"/>
        </w:rPr>
        <w:t xml:space="preserve">. </w:t>
      </w:r>
      <w:r w:rsidR="009706E6" w:rsidRPr="00D9137D">
        <w:rPr>
          <w:szCs w:val="22"/>
        </w:rPr>
        <w:t xml:space="preserve">A </w:t>
      </w:r>
      <w:r w:rsidRPr="00D9137D">
        <w:rPr>
          <w:szCs w:val="22"/>
        </w:rPr>
        <w:t>unique username and password</w:t>
      </w:r>
      <w:r w:rsidR="007B0AA0" w:rsidRPr="00D9137D">
        <w:rPr>
          <w:szCs w:val="22"/>
        </w:rPr>
        <w:t xml:space="preserve"> will be provided to all benefi</w:t>
      </w:r>
      <w:r w:rsidR="009706E6" w:rsidRPr="00D9137D">
        <w:rPr>
          <w:szCs w:val="22"/>
        </w:rPr>
        <w:t>ci</w:t>
      </w:r>
      <w:r w:rsidR="007B0AA0" w:rsidRPr="00D9137D">
        <w:rPr>
          <w:szCs w:val="22"/>
        </w:rPr>
        <w:t>aries to</w:t>
      </w:r>
      <w:r w:rsidRPr="00D9137D">
        <w:rPr>
          <w:szCs w:val="22"/>
        </w:rPr>
        <w:t xml:space="preserve"> enable them to access the survey online if they prefer </w:t>
      </w:r>
      <w:r w:rsidR="009706E6" w:rsidRPr="00D9137D">
        <w:rPr>
          <w:szCs w:val="22"/>
        </w:rPr>
        <w:t xml:space="preserve">to </w:t>
      </w:r>
      <w:r w:rsidR="007B0AA0" w:rsidRPr="00D9137D">
        <w:rPr>
          <w:szCs w:val="22"/>
        </w:rPr>
        <w:t xml:space="preserve">complete the survey online </w:t>
      </w:r>
      <w:r w:rsidR="00A46720">
        <w:rPr>
          <w:szCs w:val="22"/>
        </w:rPr>
        <w:t>rather than</w:t>
      </w:r>
      <w:r w:rsidRPr="00D9137D">
        <w:rPr>
          <w:szCs w:val="22"/>
        </w:rPr>
        <w:t xml:space="preserve"> mail back </w:t>
      </w:r>
      <w:r w:rsidR="007B0AA0" w:rsidRPr="00D9137D">
        <w:rPr>
          <w:szCs w:val="22"/>
        </w:rPr>
        <w:t>a hard copy</w:t>
      </w:r>
      <w:r w:rsidRPr="00D9137D">
        <w:rPr>
          <w:szCs w:val="22"/>
        </w:rPr>
        <w:t xml:space="preserve">. The online survey software eliminates the </w:t>
      </w:r>
      <w:r w:rsidR="009865D8" w:rsidRPr="00D9137D">
        <w:rPr>
          <w:szCs w:val="22"/>
        </w:rPr>
        <w:t xml:space="preserve">respondents’ </w:t>
      </w:r>
      <w:r w:rsidRPr="00D9137D">
        <w:rPr>
          <w:szCs w:val="22"/>
        </w:rPr>
        <w:t xml:space="preserve">burden of </w:t>
      </w:r>
      <w:r w:rsidR="009865D8" w:rsidRPr="00D9137D">
        <w:rPr>
          <w:szCs w:val="22"/>
        </w:rPr>
        <w:t xml:space="preserve">manually </w:t>
      </w:r>
      <w:r w:rsidRPr="00D9137D">
        <w:rPr>
          <w:szCs w:val="22"/>
        </w:rPr>
        <w:t xml:space="preserve">following the survey’s skip patterns, as </w:t>
      </w:r>
      <w:r w:rsidR="009865D8" w:rsidRPr="00D9137D">
        <w:rPr>
          <w:szCs w:val="22"/>
        </w:rPr>
        <w:t xml:space="preserve">the software </w:t>
      </w:r>
      <w:r w:rsidRPr="00D9137D">
        <w:rPr>
          <w:szCs w:val="22"/>
        </w:rPr>
        <w:t>follows the skip patterns automatically. The online survey will also have explanatory mouse-over pop-up balloons that explain some terms identified as</w:t>
      </w:r>
      <w:r w:rsidRPr="00102407">
        <w:rPr>
          <w:szCs w:val="22"/>
        </w:rPr>
        <w:t xml:space="preserve"> potential</w:t>
      </w:r>
      <w:r w:rsidR="009706E6">
        <w:rPr>
          <w:szCs w:val="22"/>
        </w:rPr>
        <w:t xml:space="preserve"> frequently asked questions (</w:t>
      </w:r>
      <w:r w:rsidRPr="00102407">
        <w:rPr>
          <w:szCs w:val="22"/>
        </w:rPr>
        <w:t>FAQs</w:t>
      </w:r>
      <w:r w:rsidR="009706E6">
        <w:rPr>
          <w:szCs w:val="22"/>
        </w:rPr>
        <w:t>)</w:t>
      </w:r>
      <w:r w:rsidRPr="00102407">
        <w:rPr>
          <w:szCs w:val="22"/>
        </w:rPr>
        <w:t xml:space="preserve">. This feature, </w:t>
      </w:r>
      <w:r w:rsidR="0065768E">
        <w:rPr>
          <w:szCs w:val="22"/>
        </w:rPr>
        <w:t>will</w:t>
      </w:r>
      <w:r w:rsidRPr="00102407">
        <w:rPr>
          <w:szCs w:val="22"/>
        </w:rPr>
        <w:t xml:space="preserve"> reduce respondent </w:t>
      </w:r>
      <w:r w:rsidR="001C4306">
        <w:rPr>
          <w:szCs w:val="22"/>
        </w:rPr>
        <w:t xml:space="preserve">difficulty and </w:t>
      </w:r>
      <w:r w:rsidRPr="00102407">
        <w:rPr>
          <w:szCs w:val="22"/>
        </w:rPr>
        <w:t xml:space="preserve">burden. The online survey can be submitted </w:t>
      </w:r>
      <w:r w:rsidR="00D23FB2">
        <w:rPr>
          <w:szCs w:val="22"/>
        </w:rPr>
        <w:t xml:space="preserve">electronically </w:t>
      </w:r>
      <w:r w:rsidRPr="00102407">
        <w:rPr>
          <w:szCs w:val="22"/>
        </w:rPr>
        <w:t xml:space="preserve">instead of </w:t>
      </w:r>
      <w:r w:rsidR="00D23FB2">
        <w:rPr>
          <w:szCs w:val="22"/>
        </w:rPr>
        <w:t xml:space="preserve">printed and mailed </w:t>
      </w:r>
      <w:r w:rsidRPr="00102407">
        <w:rPr>
          <w:szCs w:val="22"/>
        </w:rPr>
        <w:t xml:space="preserve">in the return envelope </w:t>
      </w:r>
      <w:r w:rsidR="00D23FB2">
        <w:rPr>
          <w:szCs w:val="22"/>
        </w:rPr>
        <w:t>via US Postal</w:t>
      </w:r>
      <w:r w:rsidRPr="00102407">
        <w:rPr>
          <w:szCs w:val="22"/>
        </w:rPr>
        <w:t xml:space="preserve"> mail, which also reduces respondent burden. </w:t>
      </w:r>
    </w:p>
    <w:p w14:paraId="079D437A" w14:textId="77777777" w:rsidR="0064259F" w:rsidRPr="00DF28AC" w:rsidRDefault="0064259F" w:rsidP="00325A45">
      <w:pPr>
        <w:pStyle w:val="Heading2"/>
      </w:pPr>
      <w:bookmarkStart w:id="26" w:name="_Toc410331578"/>
      <w:bookmarkStart w:id="27" w:name="_Toc410331684"/>
      <w:bookmarkStart w:id="28" w:name="_Toc429570372"/>
      <w:bookmarkStart w:id="29" w:name="_Toc431546779"/>
      <w:bookmarkStart w:id="30" w:name="DuplicationofEfforts"/>
      <w:r w:rsidRPr="00DF28AC">
        <w:t>Duplication of Efforts</w:t>
      </w:r>
      <w:bookmarkEnd w:id="26"/>
      <w:bookmarkEnd w:id="27"/>
      <w:bookmarkEnd w:id="28"/>
      <w:bookmarkEnd w:id="29"/>
    </w:p>
    <w:bookmarkEnd w:id="30"/>
    <w:p w14:paraId="373259D7" w14:textId="72C49E66" w:rsidR="0064259F" w:rsidRPr="000668F3" w:rsidRDefault="0064259F" w:rsidP="00325A45">
      <w:pPr>
        <w:pStyle w:val="BodyTextFirstIndent"/>
        <w:spacing w:line="276" w:lineRule="auto"/>
        <w:rPr>
          <w:szCs w:val="22"/>
        </w:rPr>
      </w:pPr>
      <w:r w:rsidRPr="00DF28AC">
        <w:rPr>
          <w:szCs w:val="22"/>
        </w:rPr>
        <w:t>This information collection does not duplicate any other effort</w:t>
      </w:r>
      <w:r w:rsidR="00DC3F1E">
        <w:rPr>
          <w:szCs w:val="22"/>
        </w:rPr>
        <w:t>.</w:t>
      </w:r>
      <w:r w:rsidRPr="00DF28AC">
        <w:rPr>
          <w:szCs w:val="22"/>
        </w:rPr>
        <w:t xml:space="preserve"> </w:t>
      </w:r>
    </w:p>
    <w:p w14:paraId="21AD61A0" w14:textId="77777777" w:rsidR="0064259F" w:rsidRPr="001C5D6E" w:rsidRDefault="0064259F" w:rsidP="00325A45">
      <w:pPr>
        <w:pStyle w:val="Heading2"/>
      </w:pPr>
      <w:bookmarkStart w:id="31" w:name="_Toc410331579"/>
      <w:bookmarkStart w:id="32" w:name="_Toc410331685"/>
      <w:bookmarkStart w:id="33" w:name="_Toc429570373"/>
      <w:bookmarkStart w:id="34" w:name="_Toc431546780"/>
      <w:bookmarkStart w:id="35" w:name="SmallBusinesses"/>
      <w:r w:rsidRPr="001C5D6E">
        <w:t>Small Businesses</w:t>
      </w:r>
      <w:bookmarkEnd w:id="31"/>
      <w:bookmarkEnd w:id="32"/>
      <w:bookmarkEnd w:id="33"/>
      <w:bookmarkEnd w:id="34"/>
    </w:p>
    <w:bookmarkEnd w:id="35"/>
    <w:p w14:paraId="2508C504" w14:textId="20F74D78" w:rsidR="00000406" w:rsidRDefault="0064259F" w:rsidP="00325A45">
      <w:pPr>
        <w:pStyle w:val="BodyTextFirstIndent"/>
        <w:spacing w:line="276" w:lineRule="auto"/>
        <w:rPr>
          <w:szCs w:val="22"/>
        </w:rPr>
      </w:pPr>
      <w:r w:rsidRPr="00102407">
        <w:rPr>
          <w:szCs w:val="22"/>
        </w:rPr>
        <w:t>The</w:t>
      </w:r>
      <w:r w:rsidRPr="00DF28AC">
        <w:rPr>
          <w:szCs w:val="22"/>
        </w:rPr>
        <w:t xml:space="preserve"> interviews will likely involve small businesses</w:t>
      </w:r>
      <w:r w:rsidR="005C36EE" w:rsidRPr="00DF28AC">
        <w:rPr>
          <w:szCs w:val="22"/>
        </w:rPr>
        <w:t xml:space="preserve">, as </w:t>
      </w:r>
      <w:r w:rsidRPr="00DF28AC">
        <w:rPr>
          <w:szCs w:val="22"/>
        </w:rPr>
        <w:t xml:space="preserve">approximately </w:t>
      </w:r>
      <w:r w:rsidR="00E01535" w:rsidRPr="000668F3">
        <w:rPr>
          <w:szCs w:val="22"/>
        </w:rPr>
        <w:t xml:space="preserve">98 </w:t>
      </w:r>
      <w:r w:rsidRPr="000668F3">
        <w:rPr>
          <w:szCs w:val="22"/>
        </w:rPr>
        <w:t xml:space="preserve">percent of </w:t>
      </w:r>
      <w:r w:rsidR="001C5AA5">
        <w:rPr>
          <w:szCs w:val="22"/>
        </w:rPr>
        <w:t xml:space="preserve">physician </w:t>
      </w:r>
      <w:r w:rsidRPr="000668F3">
        <w:rPr>
          <w:szCs w:val="22"/>
        </w:rPr>
        <w:t>offices are small (SBA, 201</w:t>
      </w:r>
      <w:r w:rsidR="00E01535" w:rsidRPr="001C5D6E">
        <w:rPr>
          <w:szCs w:val="22"/>
        </w:rPr>
        <w:t>4</w:t>
      </w:r>
      <w:r w:rsidRPr="00102407">
        <w:rPr>
          <w:szCs w:val="22"/>
        </w:rPr>
        <w:t xml:space="preserve">; Census Bureau, </w:t>
      </w:r>
      <w:r w:rsidR="00E01535" w:rsidRPr="00102407">
        <w:rPr>
          <w:szCs w:val="22"/>
        </w:rPr>
        <w:t>2012</w:t>
      </w:r>
      <w:r w:rsidRPr="00102407">
        <w:rPr>
          <w:szCs w:val="22"/>
        </w:rPr>
        <w:t xml:space="preserve">). </w:t>
      </w:r>
      <w:r w:rsidR="002A669A">
        <w:rPr>
          <w:szCs w:val="22"/>
        </w:rPr>
        <w:t xml:space="preserve">The interviews for the manufacturers, distributers, GPOs, infusion suite companies, and patient advocate groups may be </w:t>
      </w:r>
      <w:r w:rsidRPr="00102407">
        <w:rPr>
          <w:szCs w:val="22"/>
        </w:rPr>
        <w:t xml:space="preserve">large or small businesses. </w:t>
      </w:r>
      <w:r w:rsidR="005C36EE" w:rsidRPr="00102407">
        <w:rPr>
          <w:szCs w:val="22"/>
        </w:rPr>
        <w:t xml:space="preserve">To reduce the burden on small businesses, the interviews will be conducted with the use of a written interview protocol that will be provided to each interviewee </w:t>
      </w:r>
      <w:r w:rsidR="00D36ACB">
        <w:rPr>
          <w:szCs w:val="22"/>
        </w:rPr>
        <w:t xml:space="preserve">in advance of the </w:t>
      </w:r>
      <w:r w:rsidR="002A669A">
        <w:rPr>
          <w:szCs w:val="22"/>
        </w:rPr>
        <w:t xml:space="preserve">interview </w:t>
      </w:r>
      <w:r w:rsidR="00D36ACB">
        <w:rPr>
          <w:szCs w:val="22"/>
        </w:rPr>
        <w:t xml:space="preserve">(typically provided when the interview time is </w:t>
      </w:r>
      <w:r w:rsidR="002A669A">
        <w:rPr>
          <w:szCs w:val="22"/>
        </w:rPr>
        <w:t>scheduled</w:t>
      </w:r>
      <w:r w:rsidR="00D36ACB">
        <w:rPr>
          <w:szCs w:val="22"/>
        </w:rPr>
        <w:t>)</w:t>
      </w:r>
      <w:r w:rsidR="00A01EE5">
        <w:rPr>
          <w:szCs w:val="22"/>
        </w:rPr>
        <w:t xml:space="preserve">. </w:t>
      </w:r>
      <w:r w:rsidR="002A669A">
        <w:rPr>
          <w:szCs w:val="22"/>
        </w:rPr>
        <w:t>This will allow the interview</w:t>
      </w:r>
      <w:r w:rsidR="00414A31">
        <w:rPr>
          <w:szCs w:val="22"/>
        </w:rPr>
        <w:t>ee</w:t>
      </w:r>
      <w:r w:rsidR="002A669A">
        <w:rPr>
          <w:szCs w:val="22"/>
        </w:rPr>
        <w:t xml:space="preserve"> to </w:t>
      </w:r>
      <w:r w:rsidR="00D23FB2">
        <w:rPr>
          <w:szCs w:val="22"/>
        </w:rPr>
        <w:t xml:space="preserve">review </w:t>
      </w:r>
      <w:r w:rsidR="002A669A">
        <w:rPr>
          <w:szCs w:val="22"/>
        </w:rPr>
        <w:t xml:space="preserve">the content of the interview in advance (likely days or even weeks in advance, depending on </w:t>
      </w:r>
      <w:r w:rsidR="00B022B0">
        <w:rPr>
          <w:szCs w:val="22"/>
        </w:rPr>
        <w:t>how quickly the interview can be scheduled from the time approval for participation is obtained</w:t>
      </w:r>
      <w:r w:rsidR="002A669A">
        <w:rPr>
          <w:szCs w:val="22"/>
        </w:rPr>
        <w:t>)</w:t>
      </w:r>
      <w:r w:rsidR="00690CE7" w:rsidRPr="00102407">
        <w:rPr>
          <w:szCs w:val="22"/>
        </w:rPr>
        <w:t xml:space="preserve">. </w:t>
      </w:r>
      <w:r w:rsidR="00DF28AC" w:rsidRPr="00102407">
        <w:rPr>
          <w:szCs w:val="22"/>
        </w:rPr>
        <w:t xml:space="preserve">The use of the written protocol will keep the interview focused and targeted to the information needed. </w:t>
      </w:r>
      <w:r w:rsidR="005C36EE" w:rsidRPr="00102407">
        <w:rPr>
          <w:szCs w:val="22"/>
        </w:rPr>
        <w:t xml:space="preserve">As the </w:t>
      </w:r>
      <w:r w:rsidRPr="00102407">
        <w:rPr>
          <w:szCs w:val="22"/>
        </w:rPr>
        <w:t xml:space="preserve">interviews will require approximately 45 minutes of the respondent’s time, </w:t>
      </w:r>
      <w:r w:rsidR="005C36EE" w:rsidRPr="00102407">
        <w:rPr>
          <w:szCs w:val="22"/>
        </w:rPr>
        <w:t xml:space="preserve">the interviews </w:t>
      </w:r>
      <w:r w:rsidR="00C57FD2">
        <w:rPr>
          <w:szCs w:val="22"/>
        </w:rPr>
        <w:t xml:space="preserve">will </w:t>
      </w:r>
      <w:r w:rsidR="005C36EE" w:rsidRPr="00102407">
        <w:rPr>
          <w:szCs w:val="22"/>
        </w:rPr>
        <w:t>be scheduled prior to</w:t>
      </w:r>
      <w:r w:rsidR="002A669A">
        <w:rPr>
          <w:szCs w:val="22"/>
        </w:rPr>
        <w:t xml:space="preserve"> </w:t>
      </w:r>
      <w:r w:rsidR="005C36EE" w:rsidRPr="00102407">
        <w:rPr>
          <w:szCs w:val="22"/>
        </w:rPr>
        <w:t xml:space="preserve">or after regular business hours </w:t>
      </w:r>
      <w:r w:rsidR="005C36EE" w:rsidRPr="00102407">
        <w:rPr>
          <w:szCs w:val="22"/>
        </w:rPr>
        <w:lastRenderedPageBreak/>
        <w:t xml:space="preserve">to further reduce the burden on small businesses and not interrupt patient care or scheduled appointments. </w:t>
      </w:r>
      <w:r w:rsidR="002A669A">
        <w:rPr>
          <w:szCs w:val="22"/>
        </w:rPr>
        <w:t>If interviewees prefer, we can also schedule the meetings during business hours when no patient care</w:t>
      </w:r>
      <w:r w:rsidR="00D23FB2">
        <w:rPr>
          <w:szCs w:val="22"/>
        </w:rPr>
        <w:t xml:space="preserve"> or appointments are</w:t>
      </w:r>
      <w:r w:rsidR="002A669A">
        <w:rPr>
          <w:szCs w:val="22"/>
        </w:rPr>
        <w:t xml:space="preserve"> scheduled.</w:t>
      </w:r>
    </w:p>
    <w:p w14:paraId="7F5C440C" w14:textId="710C4448" w:rsidR="00A2514F" w:rsidRPr="00102407" w:rsidRDefault="00A2514F" w:rsidP="00325A45">
      <w:pPr>
        <w:pStyle w:val="BodyTextFirstIndent"/>
        <w:spacing w:line="276" w:lineRule="auto"/>
        <w:rPr>
          <w:szCs w:val="22"/>
        </w:rPr>
      </w:pPr>
      <w:r>
        <w:rPr>
          <w:szCs w:val="22"/>
        </w:rPr>
        <w:t>The beneficiary survey will not impact small businesses.</w:t>
      </w:r>
    </w:p>
    <w:p w14:paraId="3E490FEE" w14:textId="77777777" w:rsidR="0064259F" w:rsidRPr="00102407" w:rsidRDefault="0064259F" w:rsidP="00325A45">
      <w:pPr>
        <w:pStyle w:val="Heading2"/>
      </w:pPr>
      <w:bookmarkStart w:id="36" w:name="_Toc410331580"/>
      <w:bookmarkStart w:id="37" w:name="_Toc410331686"/>
      <w:bookmarkStart w:id="38" w:name="_Toc429570374"/>
      <w:bookmarkStart w:id="39" w:name="_Toc431546781"/>
      <w:bookmarkStart w:id="40" w:name="LessFrequentCollection"/>
      <w:r w:rsidRPr="00102407">
        <w:t>Less Frequent Collection</w:t>
      </w:r>
      <w:bookmarkEnd w:id="36"/>
      <w:bookmarkEnd w:id="37"/>
      <w:bookmarkEnd w:id="38"/>
      <w:bookmarkEnd w:id="39"/>
    </w:p>
    <w:bookmarkEnd w:id="40"/>
    <w:p w14:paraId="13F4FD13" w14:textId="3565D5AB" w:rsidR="0064259F" w:rsidRPr="00102407" w:rsidRDefault="00D23FB2" w:rsidP="00325A45">
      <w:pPr>
        <w:pStyle w:val="BodyTextFirstIndent"/>
        <w:spacing w:line="276" w:lineRule="auto"/>
      </w:pPr>
      <w:r>
        <w:t xml:space="preserve"> Less frequent collection will impact the </w:t>
      </w:r>
      <w:r w:rsidRPr="00102407">
        <w:t>abi</w:t>
      </w:r>
      <w:r>
        <w:t xml:space="preserve">lity </w:t>
      </w:r>
      <w:r w:rsidR="0064259F" w:rsidRPr="00102407">
        <w:t xml:space="preserve">to fulfill the </w:t>
      </w:r>
      <w:r>
        <w:t xml:space="preserve">legislative </w:t>
      </w:r>
      <w:r w:rsidR="0064259F" w:rsidRPr="00102407">
        <w:t xml:space="preserve">mandates of </w:t>
      </w:r>
      <w:r w:rsidR="00F9673B" w:rsidRPr="00102407">
        <w:t xml:space="preserve">the evaluation of the three-year Medicare </w:t>
      </w:r>
      <w:r>
        <w:t xml:space="preserve">Patient </w:t>
      </w:r>
      <w:r w:rsidR="00F9673B" w:rsidRPr="00102407">
        <w:t xml:space="preserve">IVIG </w:t>
      </w:r>
      <w:r w:rsidR="007A0B9D">
        <w:t>D</w:t>
      </w:r>
      <w:r w:rsidR="00F9673B" w:rsidRPr="00102407">
        <w:t>emonstration project</w:t>
      </w:r>
      <w:r w:rsidR="005C36EE" w:rsidRPr="00102407">
        <w:t>.</w:t>
      </w:r>
    </w:p>
    <w:p w14:paraId="389D6CB0" w14:textId="77777777" w:rsidR="0064259F" w:rsidRPr="00102407" w:rsidRDefault="0064259F" w:rsidP="00325A45">
      <w:pPr>
        <w:pStyle w:val="Heading2"/>
      </w:pPr>
      <w:bookmarkStart w:id="41" w:name="_Toc410331581"/>
      <w:bookmarkStart w:id="42" w:name="_Toc410331687"/>
      <w:bookmarkStart w:id="43" w:name="_Toc429570375"/>
      <w:bookmarkStart w:id="44" w:name="_Toc431546782"/>
      <w:bookmarkStart w:id="45" w:name="SpecialCircumstances"/>
      <w:r w:rsidRPr="00102407">
        <w:t>Special Circumstances</w:t>
      </w:r>
      <w:bookmarkEnd w:id="41"/>
      <w:bookmarkEnd w:id="42"/>
      <w:bookmarkEnd w:id="43"/>
      <w:bookmarkEnd w:id="44"/>
    </w:p>
    <w:bookmarkEnd w:id="45"/>
    <w:p w14:paraId="0A5F6AEA" w14:textId="0CC83AD5" w:rsidR="0064259F" w:rsidRPr="00102407" w:rsidRDefault="0064259F" w:rsidP="00325A45">
      <w:pPr>
        <w:pStyle w:val="BodyTextFirstIndent"/>
        <w:spacing w:line="276" w:lineRule="auto"/>
        <w:rPr>
          <w:szCs w:val="22"/>
        </w:rPr>
      </w:pPr>
      <w:r w:rsidRPr="00102407">
        <w:rPr>
          <w:szCs w:val="22"/>
        </w:rPr>
        <w:t>There are no special circumstances</w:t>
      </w:r>
      <w:r w:rsidR="00C249D1" w:rsidRPr="00102407">
        <w:rPr>
          <w:szCs w:val="22"/>
        </w:rPr>
        <w:t xml:space="preserve"> for this data collection effort</w:t>
      </w:r>
      <w:r w:rsidRPr="00102407">
        <w:rPr>
          <w:szCs w:val="22"/>
        </w:rPr>
        <w:t>.</w:t>
      </w:r>
    </w:p>
    <w:p w14:paraId="099557B9" w14:textId="77777777" w:rsidR="0064259F" w:rsidRPr="00102407" w:rsidRDefault="0064259F" w:rsidP="00325A45">
      <w:pPr>
        <w:pStyle w:val="Heading2"/>
      </w:pPr>
      <w:bookmarkStart w:id="46" w:name="_Toc403563680"/>
      <w:bookmarkStart w:id="47" w:name="_Toc403563696"/>
      <w:bookmarkStart w:id="48" w:name="_Toc403563712"/>
      <w:bookmarkStart w:id="49" w:name="_Toc410331582"/>
      <w:bookmarkStart w:id="50" w:name="_Toc410331688"/>
      <w:bookmarkStart w:id="51" w:name="_Toc429570376"/>
      <w:bookmarkStart w:id="52" w:name="_Toc431546783"/>
      <w:bookmarkStart w:id="53" w:name="FederalRegister_OutsideConsultation"/>
      <w:bookmarkEnd w:id="46"/>
      <w:bookmarkEnd w:id="47"/>
      <w:bookmarkEnd w:id="48"/>
      <w:r w:rsidRPr="00102407">
        <w:t>Federal Register/Outside Consultation</w:t>
      </w:r>
      <w:bookmarkEnd w:id="49"/>
      <w:bookmarkEnd w:id="50"/>
      <w:bookmarkEnd w:id="51"/>
      <w:bookmarkEnd w:id="52"/>
    </w:p>
    <w:bookmarkEnd w:id="53"/>
    <w:p w14:paraId="4152F6F9" w14:textId="20556649" w:rsidR="0064259F" w:rsidRPr="000668F3" w:rsidRDefault="0064259F" w:rsidP="00325A45">
      <w:pPr>
        <w:pStyle w:val="BodyTextFirstIndent"/>
        <w:spacing w:line="276" w:lineRule="auto"/>
        <w:ind w:firstLine="450"/>
        <w:rPr>
          <w:szCs w:val="22"/>
        </w:rPr>
      </w:pPr>
      <w:r w:rsidRPr="00102407">
        <w:rPr>
          <w:szCs w:val="22"/>
        </w:rPr>
        <w:t>The 60-day Federal Register notice published on</w:t>
      </w:r>
      <w:r w:rsidR="00265520">
        <w:rPr>
          <w:szCs w:val="22"/>
        </w:rPr>
        <w:t>:</w:t>
      </w:r>
      <w:r w:rsidRPr="00DF28AC">
        <w:rPr>
          <w:szCs w:val="22"/>
        </w:rPr>
        <w:t xml:space="preserve"> </w:t>
      </w:r>
      <w:r w:rsidR="0036084F">
        <w:rPr>
          <w:szCs w:val="22"/>
        </w:rPr>
        <w:t xml:space="preserve">February </w:t>
      </w:r>
      <w:r w:rsidR="007A0B9D">
        <w:rPr>
          <w:szCs w:val="22"/>
        </w:rPr>
        <w:t xml:space="preserve">10, 2016. The 30-day Federal Register notice </w:t>
      </w:r>
      <w:r w:rsidR="001340E0">
        <w:rPr>
          <w:szCs w:val="22"/>
        </w:rPr>
        <w:t xml:space="preserve">was </w:t>
      </w:r>
      <w:r w:rsidR="007A0B9D">
        <w:rPr>
          <w:szCs w:val="22"/>
        </w:rPr>
        <w:t xml:space="preserve">published on </w:t>
      </w:r>
      <w:r w:rsidR="00967496">
        <w:rPr>
          <w:szCs w:val="22"/>
        </w:rPr>
        <w:t xml:space="preserve">May </w:t>
      </w:r>
      <w:r w:rsidR="006E1355">
        <w:rPr>
          <w:szCs w:val="22"/>
        </w:rPr>
        <w:t>22</w:t>
      </w:r>
      <w:r w:rsidR="00967496">
        <w:rPr>
          <w:szCs w:val="22"/>
        </w:rPr>
        <w:t>, 20</w:t>
      </w:r>
      <w:r w:rsidR="006E1355">
        <w:rPr>
          <w:szCs w:val="22"/>
        </w:rPr>
        <w:t>16</w:t>
      </w:r>
      <w:r w:rsidR="00967496">
        <w:rPr>
          <w:szCs w:val="22"/>
        </w:rPr>
        <w:t>.</w:t>
      </w:r>
      <w:r w:rsidR="007A0B9D">
        <w:rPr>
          <w:szCs w:val="22"/>
        </w:rPr>
        <w:t xml:space="preserve"> </w:t>
      </w:r>
      <w:r w:rsidR="0036084F">
        <w:rPr>
          <w:szCs w:val="22"/>
        </w:rPr>
        <w:t>There were no comments received.</w:t>
      </w:r>
      <w:r w:rsidR="004D5232">
        <w:rPr>
          <w:szCs w:val="22"/>
        </w:rPr>
        <w:t xml:space="preserve"> </w:t>
      </w:r>
      <w:r w:rsidR="005C36EE" w:rsidRPr="00DF28AC">
        <w:rPr>
          <w:szCs w:val="22"/>
        </w:rPr>
        <w:t xml:space="preserve">There will be no </w:t>
      </w:r>
      <w:r w:rsidR="00000406" w:rsidRPr="00DF28AC">
        <w:rPr>
          <w:szCs w:val="22"/>
        </w:rPr>
        <w:t>outsid</w:t>
      </w:r>
      <w:r w:rsidR="00000406" w:rsidRPr="000668F3">
        <w:rPr>
          <w:szCs w:val="22"/>
        </w:rPr>
        <w:t>e consultati</w:t>
      </w:r>
      <w:r w:rsidR="00000406" w:rsidRPr="001C5D6E">
        <w:rPr>
          <w:szCs w:val="22"/>
        </w:rPr>
        <w:t>on</w:t>
      </w:r>
      <w:r w:rsidR="00000406" w:rsidRPr="00102407" w:rsidDel="00C249D1">
        <w:rPr>
          <w:szCs w:val="22"/>
        </w:rPr>
        <w:t xml:space="preserve"> </w:t>
      </w:r>
      <w:r w:rsidR="005C36EE" w:rsidRPr="00102407">
        <w:rPr>
          <w:szCs w:val="22"/>
        </w:rPr>
        <w:t>in this evaluation effort.</w:t>
      </w:r>
    </w:p>
    <w:p w14:paraId="26D99316" w14:textId="77777777" w:rsidR="0064259F" w:rsidRPr="000668F3" w:rsidRDefault="0064259F" w:rsidP="00325A45">
      <w:pPr>
        <w:pStyle w:val="Heading2"/>
      </w:pPr>
      <w:bookmarkStart w:id="54" w:name="_Toc410331583"/>
      <w:bookmarkStart w:id="55" w:name="_Toc410331689"/>
      <w:bookmarkStart w:id="56" w:name="_Toc429570377"/>
      <w:bookmarkStart w:id="57" w:name="_Toc431546784"/>
      <w:bookmarkStart w:id="58" w:name="Payments_GiftstoRespondents"/>
      <w:r w:rsidRPr="000668F3">
        <w:t>Payments/Gifts to Respondents</w:t>
      </w:r>
      <w:bookmarkEnd w:id="54"/>
      <w:bookmarkEnd w:id="55"/>
      <w:bookmarkEnd w:id="56"/>
      <w:bookmarkEnd w:id="57"/>
    </w:p>
    <w:bookmarkEnd w:id="58"/>
    <w:p w14:paraId="769CDE3B" w14:textId="324318F7" w:rsidR="00A3052E" w:rsidRDefault="00A3052E" w:rsidP="00325A45">
      <w:pPr>
        <w:pStyle w:val="BodyTextFirstIndent"/>
        <w:tabs>
          <w:tab w:val="left" w:pos="720"/>
        </w:tabs>
        <w:spacing w:line="276" w:lineRule="auto"/>
        <w:rPr>
          <w:szCs w:val="22"/>
        </w:rPr>
      </w:pPr>
      <w:r>
        <w:rPr>
          <w:szCs w:val="22"/>
        </w:rPr>
        <w:t xml:space="preserve">No payments or gifts will be offered to </w:t>
      </w:r>
      <w:r w:rsidR="00967496">
        <w:rPr>
          <w:szCs w:val="22"/>
        </w:rPr>
        <w:t xml:space="preserve">participants in </w:t>
      </w:r>
      <w:r w:rsidR="00822C1D">
        <w:rPr>
          <w:szCs w:val="22"/>
        </w:rPr>
        <w:t xml:space="preserve">the </w:t>
      </w:r>
      <w:r w:rsidR="008C707C">
        <w:rPr>
          <w:szCs w:val="22"/>
        </w:rPr>
        <w:t>interviews</w:t>
      </w:r>
      <w:r>
        <w:rPr>
          <w:szCs w:val="22"/>
        </w:rPr>
        <w:t>.</w:t>
      </w:r>
    </w:p>
    <w:p w14:paraId="1BAC9CDB" w14:textId="49A7BCE5" w:rsidR="00AE7252" w:rsidRPr="00DF28AC" w:rsidRDefault="00AE7252" w:rsidP="00325A45">
      <w:pPr>
        <w:pStyle w:val="BodyTextFirstIndent"/>
        <w:tabs>
          <w:tab w:val="left" w:pos="720"/>
        </w:tabs>
        <w:spacing w:line="276" w:lineRule="auto"/>
        <w:rPr>
          <w:szCs w:val="22"/>
        </w:rPr>
      </w:pPr>
      <w:r w:rsidRPr="00DF28AC">
        <w:rPr>
          <w:szCs w:val="22"/>
        </w:rPr>
        <w:t xml:space="preserve">All </w:t>
      </w:r>
      <w:r w:rsidR="00967496">
        <w:rPr>
          <w:szCs w:val="22"/>
        </w:rPr>
        <w:t xml:space="preserve">participants in the </w:t>
      </w:r>
      <w:r w:rsidRPr="00DF28AC">
        <w:rPr>
          <w:szCs w:val="22"/>
        </w:rPr>
        <w:t>survey will receive a $2 cash incentive enclosed in the survey package as a means to increase their likelihood of response. Although some ea</w:t>
      </w:r>
      <w:r w:rsidRPr="000668F3">
        <w:rPr>
          <w:szCs w:val="22"/>
        </w:rPr>
        <w:t xml:space="preserve">rlier </w:t>
      </w:r>
      <w:r w:rsidR="0088609D">
        <w:rPr>
          <w:szCs w:val="22"/>
        </w:rPr>
        <w:t>published studies</w:t>
      </w:r>
      <w:r w:rsidR="0088609D" w:rsidRPr="000668F3">
        <w:rPr>
          <w:szCs w:val="22"/>
        </w:rPr>
        <w:t xml:space="preserve"> </w:t>
      </w:r>
      <w:r w:rsidRPr="000668F3">
        <w:rPr>
          <w:szCs w:val="22"/>
        </w:rPr>
        <w:t xml:space="preserve">reported ambiguous results from enclosing small, noncontingent (i.e., the incentive is not contingent on participation) cash incentives with mailed surveys, more recent </w:t>
      </w:r>
      <w:r w:rsidR="0088609D">
        <w:rPr>
          <w:szCs w:val="22"/>
        </w:rPr>
        <w:t>studies</w:t>
      </w:r>
      <w:r w:rsidR="0088609D" w:rsidRPr="000668F3">
        <w:rPr>
          <w:szCs w:val="22"/>
        </w:rPr>
        <w:t xml:space="preserve"> </w:t>
      </w:r>
      <w:r w:rsidRPr="000668F3">
        <w:rPr>
          <w:szCs w:val="22"/>
        </w:rPr>
        <w:t xml:space="preserve">and meta-analyses have refined this view. Mercer et al. (2015) </w:t>
      </w:r>
      <w:r w:rsidRPr="001C5D6E">
        <w:rPr>
          <w:szCs w:val="22"/>
        </w:rPr>
        <w:t>analyzed results from over 40 research efforts and reported that surveys with a $2 noncontingent incentive resulted in a 10 percent higher response rate than those with no incentive.</w:t>
      </w:r>
      <w:r w:rsidRPr="00DF28AC">
        <w:rPr>
          <w:szCs w:val="22"/>
        </w:rPr>
        <w:t xml:space="preserve"> Parsons and Manierre (2014), in their study of incentives, response rates, and nonresponse bias, referenced Millar and Dillman (2011), who found that a mailed survey notification with a $2 incentive elevated response rates among college students to a web survey from 21.2 percent (notification without incentive) to 38.2 percent</w:t>
      </w:r>
      <w:r w:rsidRPr="000668F3">
        <w:rPr>
          <w:szCs w:val="22"/>
        </w:rPr>
        <w:t>.</w:t>
      </w:r>
      <w:r w:rsidRPr="00DF28AC">
        <w:rPr>
          <w:szCs w:val="22"/>
        </w:rPr>
        <w:t xml:space="preserve"> Parsons and Manierre further stated: “</w:t>
      </w:r>
      <w:r w:rsidRPr="00DF28AC">
        <w:rPr>
          <w:rFonts w:eastAsia="Arial Unicode MS"/>
          <w:color w:val="000000"/>
          <w:spacing w:val="-5"/>
          <w:szCs w:val="22"/>
        </w:rPr>
        <w:t>Overall, the research in this area suggests that unconditional incentives reduce nonresponse bias.” Gneezy and Rey-Biel (2014) assessed the impact of incentives in increments from zero to $30 and found that a $1 i</w:t>
      </w:r>
      <w:r w:rsidRPr="000668F3">
        <w:rPr>
          <w:rFonts w:eastAsia="Arial Unicode MS"/>
          <w:color w:val="000000"/>
          <w:spacing w:val="-5"/>
          <w:szCs w:val="22"/>
        </w:rPr>
        <w:t>ncentive doubled the response rate obtained without incentive (i.e., a 100 percent increase), and that a $2 incentive increased the no-incentive rate by over 140 percent.</w:t>
      </w:r>
      <w:r w:rsidRPr="00DF28AC">
        <w:rPr>
          <w:rFonts w:eastAsia="Arial Unicode MS"/>
          <w:color w:val="000000"/>
          <w:spacing w:val="-5"/>
          <w:szCs w:val="22"/>
        </w:rPr>
        <w:t xml:space="preserve"> </w:t>
      </w:r>
    </w:p>
    <w:p w14:paraId="24903CCE" w14:textId="77777777" w:rsidR="0064259F" w:rsidRPr="00DF28AC" w:rsidRDefault="0064259F" w:rsidP="00325A45">
      <w:pPr>
        <w:pStyle w:val="Heading2"/>
      </w:pPr>
      <w:bookmarkStart w:id="59" w:name="_Ref406140261"/>
      <w:bookmarkStart w:id="60" w:name="_Toc410331584"/>
      <w:bookmarkStart w:id="61" w:name="_Toc410331690"/>
      <w:bookmarkStart w:id="62" w:name="_Toc429570378"/>
      <w:bookmarkStart w:id="63" w:name="_Toc431546785"/>
      <w:bookmarkStart w:id="64" w:name="Confidentiality"/>
      <w:r w:rsidRPr="00DF28AC">
        <w:t>Confidentiality</w:t>
      </w:r>
      <w:bookmarkEnd w:id="59"/>
      <w:bookmarkEnd w:id="60"/>
      <w:bookmarkEnd w:id="61"/>
      <w:bookmarkEnd w:id="62"/>
      <w:bookmarkEnd w:id="63"/>
      <w:bookmarkEnd w:id="64"/>
    </w:p>
    <w:p w14:paraId="494B96E3" w14:textId="70798802" w:rsidR="00491BD7" w:rsidRPr="00601C2A" w:rsidRDefault="00491BD7" w:rsidP="00325A45">
      <w:pPr>
        <w:pStyle w:val="BodyTextFirstIndent"/>
        <w:spacing w:line="276" w:lineRule="auto"/>
        <w:rPr>
          <w:rFonts w:eastAsia="Calibri"/>
        </w:rPr>
      </w:pPr>
      <w:r w:rsidRPr="00A0637E">
        <w:rPr>
          <w:szCs w:val="22"/>
        </w:rPr>
        <w:t xml:space="preserve">The data collected through the </w:t>
      </w:r>
      <w:r w:rsidR="00A2514F" w:rsidRPr="00A0637E">
        <w:rPr>
          <w:szCs w:val="22"/>
        </w:rPr>
        <w:t xml:space="preserve">interviews and </w:t>
      </w:r>
      <w:r w:rsidRPr="00A0637E">
        <w:rPr>
          <w:szCs w:val="22"/>
        </w:rPr>
        <w:t xml:space="preserve">survey will be maintained as </w:t>
      </w:r>
      <w:r w:rsidR="0083047F">
        <w:rPr>
          <w:szCs w:val="22"/>
        </w:rPr>
        <w:t>required</w:t>
      </w:r>
      <w:r w:rsidRPr="00A0637E">
        <w:rPr>
          <w:szCs w:val="22"/>
        </w:rPr>
        <w:t xml:space="preserve"> by the Privacy Act of 1974 (5 U.S.C. 552a). </w:t>
      </w:r>
      <w:r>
        <w:rPr>
          <w:szCs w:val="22"/>
        </w:rPr>
        <w:t>In addition, t</w:t>
      </w:r>
      <w:r w:rsidRPr="00601C2A">
        <w:rPr>
          <w:rFonts w:eastAsia="Calibri"/>
        </w:rPr>
        <w:t xml:space="preserve">he </w:t>
      </w:r>
      <w:r>
        <w:rPr>
          <w:rFonts w:eastAsia="Calibri"/>
        </w:rPr>
        <w:t>Health Insurance Portability and Accountability Act (</w:t>
      </w:r>
      <w:r w:rsidRPr="00601C2A">
        <w:rPr>
          <w:rFonts w:eastAsia="Calibri"/>
        </w:rPr>
        <w:t>HIPAA</w:t>
      </w:r>
      <w:r>
        <w:rPr>
          <w:rFonts w:eastAsia="Calibri"/>
        </w:rPr>
        <w:t>)</w:t>
      </w:r>
      <w:r w:rsidRPr="00601C2A">
        <w:rPr>
          <w:rFonts w:eastAsia="Calibri"/>
        </w:rPr>
        <w:t xml:space="preserve"> Privacy Rule defines the standards for protecting individuals’ sensitive and private health </w:t>
      </w:r>
      <w:r w:rsidRPr="00601C2A">
        <w:rPr>
          <w:rFonts w:eastAsia="Calibri"/>
        </w:rPr>
        <w:lastRenderedPageBreak/>
        <w:t>information</w:t>
      </w:r>
      <w:r>
        <w:rPr>
          <w:rFonts w:eastAsia="Calibri"/>
        </w:rPr>
        <w:t xml:space="preserve"> and</w:t>
      </w:r>
      <w:r w:rsidRPr="00601C2A">
        <w:rPr>
          <w:rFonts w:eastAsia="Calibri"/>
        </w:rPr>
        <w:t xml:space="preserve"> covers all settings, personnel, and procedures that have access, handle, or share individuals’ health care information. </w:t>
      </w:r>
      <w:r w:rsidR="00C57FD2" w:rsidRPr="00102407">
        <w:rPr>
          <w:szCs w:val="22"/>
        </w:rPr>
        <w:t>Dobson DaVanzo &amp; Associates, LLC</w:t>
      </w:r>
      <w:r w:rsidR="00C57FD2">
        <w:rPr>
          <w:szCs w:val="22"/>
        </w:rPr>
        <w:t xml:space="preserve"> and its</w:t>
      </w:r>
      <w:r w:rsidRPr="00601C2A">
        <w:rPr>
          <w:rFonts w:eastAsia="Calibri"/>
        </w:rPr>
        <w:t xml:space="preserve"> </w:t>
      </w:r>
      <w:r>
        <w:rPr>
          <w:rFonts w:eastAsia="Calibri"/>
        </w:rPr>
        <w:t xml:space="preserve">team </w:t>
      </w:r>
      <w:r w:rsidRPr="00601C2A">
        <w:rPr>
          <w:rFonts w:eastAsia="Calibri"/>
        </w:rPr>
        <w:t>re</w:t>
      </w:r>
      <w:r>
        <w:rPr>
          <w:rFonts w:eastAsia="Calibri"/>
        </w:rPr>
        <w:t>ceive</w:t>
      </w:r>
      <w:r w:rsidR="00C57FD2">
        <w:rPr>
          <w:rFonts w:eastAsia="Calibri"/>
        </w:rPr>
        <w:t>d</w:t>
      </w:r>
      <w:r w:rsidRPr="00601C2A">
        <w:rPr>
          <w:rFonts w:eastAsia="Calibri"/>
        </w:rPr>
        <w:t xml:space="preserve"> annual mandatory HIPAA training </w:t>
      </w:r>
      <w:r>
        <w:rPr>
          <w:rFonts w:eastAsia="Calibri"/>
        </w:rPr>
        <w:t>on</w:t>
      </w:r>
      <w:r w:rsidRPr="00601C2A">
        <w:rPr>
          <w:rFonts w:eastAsia="Calibri"/>
        </w:rPr>
        <w:t xml:space="preserve"> handling of personal health information (PHI) and personal identifiable information (PII). In addition, </w:t>
      </w:r>
      <w:r w:rsidR="00C57FD2" w:rsidRPr="00102407">
        <w:rPr>
          <w:szCs w:val="22"/>
        </w:rPr>
        <w:t>Dobson DaVanzo &amp; Associates, LLC</w:t>
      </w:r>
      <w:r w:rsidR="00C57FD2">
        <w:rPr>
          <w:szCs w:val="22"/>
        </w:rPr>
        <w:t xml:space="preserve"> and its </w:t>
      </w:r>
      <w:r>
        <w:rPr>
          <w:rFonts w:eastAsia="Calibri"/>
        </w:rPr>
        <w:t>team</w:t>
      </w:r>
      <w:r w:rsidRPr="00601C2A">
        <w:rPr>
          <w:rFonts w:eastAsia="Calibri"/>
        </w:rPr>
        <w:t xml:space="preserve"> </w:t>
      </w:r>
      <w:r>
        <w:rPr>
          <w:rFonts w:eastAsia="Calibri"/>
        </w:rPr>
        <w:t>are trained in</w:t>
      </w:r>
      <w:r w:rsidRPr="00601C2A">
        <w:rPr>
          <w:rFonts w:eastAsia="Calibri"/>
        </w:rPr>
        <w:t xml:space="preserve"> HIPAA compliance procedures when transmitting or sharing information that might contain PHI or PII. These procedures include: </w:t>
      </w:r>
    </w:p>
    <w:p w14:paraId="73E8588E" w14:textId="43066845" w:rsidR="00491BD7" w:rsidRPr="00601C2A" w:rsidRDefault="00491BD7" w:rsidP="00325A45">
      <w:pPr>
        <w:pStyle w:val="Body"/>
        <w:numPr>
          <w:ilvl w:val="1"/>
          <w:numId w:val="12"/>
        </w:numPr>
        <w:spacing w:line="276" w:lineRule="auto"/>
        <w:ind w:left="720"/>
        <w:rPr>
          <w:rFonts w:ascii="Times New Roman" w:eastAsia="Calibri" w:hAnsi="Times New Roman"/>
        </w:rPr>
      </w:pPr>
      <w:r w:rsidRPr="00601C2A">
        <w:rPr>
          <w:rFonts w:ascii="Times New Roman" w:eastAsia="Calibri" w:hAnsi="Times New Roman"/>
        </w:rPr>
        <w:t>De-identifying records by removing enough PII so that the remaining information does not identify an individual and there is no reasonable basis to believe that the information can be used to identify an individual. De-identified records can be used when full records are not necessary, such as for examinations of correlations and trends</w:t>
      </w:r>
      <w:r w:rsidR="000F6415">
        <w:rPr>
          <w:rFonts w:ascii="Times New Roman" w:eastAsia="Calibri" w:hAnsi="Times New Roman"/>
        </w:rPr>
        <w:t>;</w:t>
      </w:r>
    </w:p>
    <w:p w14:paraId="339A347A" w14:textId="67DAF90E" w:rsidR="00491BD7" w:rsidRPr="00601C2A" w:rsidRDefault="00491BD7" w:rsidP="00325A45">
      <w:pPr>
        <w:pStyle w:val="Body"/>
        <w:numPr>
          <w:ilvl w:val="1"/>
          <w:numId w:val="12"/>
        </w:numPr>
        <w:spacing w:line="276" w:lineRule="auto"/>
        <w:ind w:left="720"/>
        <w:rPr>
          <w:rFonts w:ascii="Times New Roman" w:eastAsia="Calibri" w:hAnsi="Times New Roman"/>
        </w:rPr>
      </w:pPr>
      <w:r w:rsidRPr="00601C2A">
        <w:rPr>
          <w:rFonts w:ascii="Times New Roman" w:eastAsia="Calibri" w:hAnsi="Times New Roman"/>
        </w:rPr>
        <w:t>Controlling access to PII through access control policies and access enforcement mechanisms, such as access control lists</w:t>
      </w:r>
      <w:r>
        <w:rPr>
          <w:rFonts w:ascii="Times New Roman" w:eastAsia="Calibri" w:hAnsi="Times New Roman"/>
        </w:rPr>
        <w:t xml:space="preserve"> and data encryption and k</w:t>
      </w:r>
      <w:r w:rsidRPr="00601C2A">
        <w:rPr>
          <w:rFonts w:ascii="Times New Roman" w:eastAsia="Calibri" w:hAnsi="Times New Roman"/>
        </w:rPr>
        <w:t>eeping the information protected in highly restricted and locked locations</w:t>
      </w:r>
      <w:r w:rsidR="000F6415">
        <w:rPr>
          <w:rFonts w:ascii="Times New Roman" w:eastAsia="Calibri" w:hAnsi="Times New Roman"/>
        </w:rPr>
        <w:t>;</w:t>
      </w:r>
    </w:p>
    <w:p w14:paraId="3DDBED95" w14:textId="56916DB2" w:rsidR="00491BD7" w:rsidRPr="00601C2A" w:rsidRDefault="00491BD7" w:rsidP="00325A45">
      <w:pPr>
        <w:pStyle w:val="Body"/>
        <w:numPr>
          <w:ilvl w:val="1"/>
          <w:numId w:val="12"/>
        </w:numPr>
        <w:spacing w:line="276" w:lineRule="auto"/>
        <w:ind w:left="720"/>
        <w:rPr>
          <w:rFonts w:ascii="Times New Roman" w:eastAsia="Calibri" w:hAnsi="Times New Roman"/>
        </w:rPr>
      </w:pPr>
      <w:r>
        <w:rPr>
          <w:rFonts w:ascii="Times New Roman" w:eastAsia="Calibri" w:hAnsi="Times New Roman"/>
        </w:rPr>
        <w:t xml:space="preserve">Prohibiting </w:t>
      </w:r>
      <w:r w:rsidRPr="00601C2A">
        <w:rPr>
          <w:rFonts w:ascii="Times New Roman" w:eastAsia="Calibri" w:hAnsi="Times New Roman"/>
        </w:rPr>
        <w:t>access to PII from portable and mobile devices, such as laptops, cell phones, and personal digital assistants (PDAs), which are generally higher-risk than non-portable devices, such as desktop computers at the organization’s facilities</w:t>
      </w:r>
      <w:r w:rsidR="000F6415">
        <w:rPr>
          <w:rFonts w:ascii="Times New Roman" w:eastAsia="Calibri" w:hAnsi="Times New Roman"/>
        </w:rPr>
        <w:t>;</w:t>
      </w:r>
    </w:p>
    <w:p w14:paraId="39364EFC" w14:textId="242A16D0" w:rsidR="00491BD7" w:rsidRPr="00601C2A" w:rsidRDefault="00491BD7" w:rsidP="00325A45">
      <w:pPr>
        <w:pStyle w:val="Body"/>
        <w:numPr>
          <w:ilvl w:val="1"/>
          <w:numId w:val="12"/>
        </w:numPr>
        <w:spacing w:line="276" w:lineRule="auto"/>
        <w:ind w:left="720"/>
        <w:rPr>
          <w:rFonts w:ascii="Times New Roman" w:eastAsia="Calibri" w:hAnsi="Times New Roman"/>
        </w:rPr>
      </w:pPr>
      <w:r w:rsidRPr="00601C2A">
        <w:rPr>
          <w:rFonts w:ascii="Times New Roman" w:eastAsia="Calibri" w:hAnsi="Times New Roman"/>
        </w:rPr>
        <w:t xml:space="preserve">Protecting the </w:t>
      </w:r>
      <w:r w:rsidR="004F0B3A">
        <w:rPr>
          <w:rFonts w:ascii="Times New Roman" w:eastAsia="Calibri" w:hAnsi="Times New Roman"/>
        </w:rPr>
        <w:t>security</w:t>
      </w:r>
      <w:r w:rsidRPr="00601C2A">
        <w:rPr>
          <w:rFonts w:ascii="Times New Roman" w:eastAsia="Calibri" w:hAnsi="Times New Roman"/>
        </w:rPr>
        <w:t xml:space="preserve"> of transmitted PII by implement</w:t>
      </w:r>
      <w:r w:rsidR="00265520">
        <w:rPr>
          <w:rFonts w:ascii="Times New Roman" w:eastAsia="Calibri" w:hAnsi="Times New Roman"/>
        </w:rPr>
        <w:t>ing</w:t>
      </w:r>
      <w:r w:rsidRPr="00601C2A">
        <w:rPr>
          <w:rFonts w:ascii="Times New Roman" w:eastAsia="Calibri" w:hAnsi="Times New Roman"/>
        </w:rPr>
        <w:t xml:space="preserve"> encryption methodologies and mechanism during communications or by encrypting the information before it is transmitted</w:t>
      </w:r>
      <w:r w:rsidR="000F6415">
        <w:rPr>
          <w:rFonts w:ascii="Times New Roman" w:eastAsia="Calibri" w:hAnsi="Times New Roman"/>
        </w:rPr>
        <w:t>; and</w:t>
      </w:r>
    </w:p>
    <w:p w14:paraId="7380FBED" w14:textId="48E718B0" w:rsidR="00491BD7" w:rsidRDefault="00491BD7" w:rsidP="00325A45">
      <w:pPr>
        <w:pStyle w:val="Body"/>
        <w:numPr>
          <w:ilvl w:val="1"/>
          <w:numId w:val="12"/>
        </w:numPr>
        <w:spacing w:line="276" w:lineRule="auto"/>
        <w:ind w:left="720"/>
        <w:rPr>
          <w:rFonts w:ascii="Times New Roman" w:eastAsia="Calibri" w:hAnsi="Times New Roman"/>
        </w:rPr>
      </w:pPr>
      <w:r w:rsidRPr="00601C2A">
        <w:rPr>
          <w:rFonts w:ascii="Times New Roman" w:eastAsia="Calibri" w:hAnsi="Times New Roman"/>
        </w:rPr>
        <w:t>Monitoring</w:t>
      </w:r>
      <w:r>
        <w:rPr>
          <w:rFonts w:ascii="Times New Roman" w:eastAsia="Calibri" w:hAnsi="Times New Roman"/>
        </w:rPr>
        <w:t xml:space="preserve"> and reporting</w:t>
      </w:r>
      <w:r w:rsidRPr="00601C2A">
        <w:rPr>
          <w:rFonts w:ascii="Times New Roman" w:eastAsia="Calibri" w:hAnsi="Times New Roman"/>
        </w:rPr>
        <w:t xml:space="preserve"> events that affect the confidentiality of PII, such as inappropriate access to PII.</w:t>
      </w:r>
    </w:p>
    <w:p w14:paraId="2B5B3F6A" w14:textId="62808AD7" w:rsidR="00491BD7" w:rsidRPr="00072448" w:rsidRDefault="00491BD7" w:rsidP="00325A45">
      <w:pPr>
        <w:pStyle w:val="Heading3"/>
      </w:pPr>
      <w:r w:rsidRPr="00072448">
        <w:t>Interviews</w:t>
      </w:r>
    </w:p>
    <w:p w14:paraId="669C8EEF" w14:textId="77777777" w:rsidR="00491BD7" w:rsidRPr="00102407" w:rsidRDefault="00491BD7" w:rsidP="00325A45">
      <w:pPr>
        <w:pStyle w:val="Body"/>
        <w:spacing w:line="276" w:lineRule="auto"/>
        <w:ind w:firstLine="720"/>
        <w:rPr>
          <w:rFonts w:ascii="Times New Roman" w:eastAsia="Calibri" w:hAnsi="Times New Roman"/>
        </w:rPr>
      </w:pPr>
      <w:r w:rsidRPr="00102407">
        <w:rPr>
          <w:rFonts w:ascii="Times New Roman" w:eastAsia="Calibri" w:hAnsi="Times New Roman"/>
        </w:rPr>
        <w:t>Each interviewee will be given a unique identification (ID) number. This ID number will be the only information that is recorded on data-collection instruments, and the data-collection instruments will be stored separately from other data collected within this project. Contact information (names, telephone numbers, and email addresses) of interviewees will be stored separately from interview data files and will only be access by authorized team members for scheduling purposes. All team members have been trained in protecting information and data security procedures.</w:t>
      </w:r>
    </w:p>
    <w:p w14:paraId="1F246754" w14:textId="77777777" w:rsidR="00491BD7" w:rsidRPr="001C5D6E" w:rsidRDefault="00491BD7" w:rsidP="00325A45">
      <w:pPr>
        <w:pStyle w:val="Body"/>
        <w:spacing w:line="276" w:lineRule="auto"/>
        <w:ind w:firstLine="720"/>
        <w:rPr>
          <w:rFonts w:ascii="Times New Roman" w:eastAsia="Calibri" w:hAnsi="Times New Roman"/>
        </w:rPr>
      </w:pPr>
      <w:r w:rsidRPr="00102407">
        <w:rPr>
          <w:rFonts w:ascii="Times New Roman" w:eastAsia="Calibri" w:hAnsi="Times New Roman"/>
        </w:rPr>
        <w:t xml:space="preserve">Interviewers will conduct the interview in a private setting with </w:t>
      </w:r>
      <w:r w:rsidRPr="00F200F1">
        <w:rPr>
          <w:rFonts w:ascii="Times New Roman" w:eastAsia="Calibri" w:hAnsi="Times New Roman"/>
        </w:rPr>
        <w:t xml:space="preserve">only </w:t>
      </w:r>
      <w:r w:rsidRPr="00A57DBF">
        <w:rPr>
          <w:rFonts w:ascii="Times New Roman" w:eastAsia="Calibri" w:hAnsi="Times New Roman"/>
        </w:rPr>
        <w:t xml:space="preserve">staff involved with that interview. The interviewer will not be able to control the setting of the interviewee, but will suggest </w:t>
      </w:r>
      <w:r>
        <w:rPr>
          <w:rFonts w:ascii="Times New Roman" w:eastAsia="Calibri" w:hAnsi="Times New Roman"/>
        </w:rPr>
        <w:t xml:space="preserve">that they </w:t>
      </w:r>
      <w:r w:rsidRPr="00A57DBF">
        <w:rPr>
          <w:rFonts w:ascii="Times New Roman" w:eastAsia="Calibri" w:hAnsi="Times New Roman"/>
        </w:rPr>
        <w:t>talk somewhere private without the presence of anyone else. Interviews will be recorded using a telephone service with the interviewee’s permission and then transcribed</w:t>
      </w:r>
      <w:r w:rsidRPr="000668F3">
        <w:rPr>
          <w:rFonts w:ascii="Times New Roman" w:eastAsia="Calibri" w:hAnsi="Times New Roman"/>
        </w:rPr>
        <w:t xml:space="preserve">. Recordings and transcription files with be encrypted and only accessible to team members for data </w:t>
      </w:r>
      <w:r w:rsidRPr="001C5D6E">
        <w:rPr>
          <w:rFonts w:ascii="Times New Roman" w:eastAsia="Calibri" w:hAnsi="Times New Roman"/>
        </w:rPr>
        <w:t>validation and analysis. Any hard copies of files will be stored in a locked filing cabinet.</w:t>
      </w:r>
    </w:p>
    <w:p w14:paraId="529CC8B2" w14:textId="785B49AC" w:rsidR="00491BD7" w:rsidRPr="00102407" w:rsidRDefault="00491BD7" w:rsidP="00325A45">
      <w:pPr>
        <w:pStyle w:val="Body"/>
        <w:spacing w:line="276" w:lineRule="auto"/>
        <w:ind w:firstLine="720"/>
        <w:rPr>
          <w:rFonts w:ascii="Times New Roman" w:eastAsia="Calibri" w:hAnsi="Times New Roman"/>
        </w:rPr>
      </w:pPr>
      <w:r w:rsidRPr="00102407">
        <w:rPr>
          <w:rFonts w:ascii="Times New Roman" w:eastAsia="Calibri" w:hAnsi="Times New Roman"/>
        </w:rPr>
        <w:t>When data are entered or transcribed, personal identifiers will not be used and any identifying information of individuals will be removed and replaced with a qualifying codename. Interview data that has been de</w:t>
      </w:r>
      <w:r w:rsidR="005443C6">
        <w:rPr>
          <w:rFonts w:ascii="Times New Roman" w:eastAsia="Calibri" w:hAnsi="Times New Roman"/>
        </w:rPr>
        <w:t>-</w:t>
      </w:r>
      <w:r w:rsidRPr="00102407">
        <w:rPr>
          <w:rFonts w:ascii="Times New Roman" w:eastAsia="Calibri" w:hAnsi="Times New Roman"/>
        </w:rPr>
        <w:t xml:space="preserve">identified will be entered into NVivo, the qualitative data software, and stored on the </w:t>
      </w:r>
      <w:r w:rsidR="00C57FD2" w:rsidRPr="00B33BD8">
        <w:rPr>
          <w:rFonts w:ascii="Times New Roman" w:eastAsia="Calibri" w:hAnsi="Times New Roman"/>
        </w:rPr>
        <w:t>Dobson DaVanzo &amp; Associates, LLC</w:t>
      </w:r>
      <w:r w:rsidRPr="00102407">
        <w:rPr>
          <w:rFonts w:ascii="Times New Roman" w:eastAsia="Calibri" w:hAnsi="Times New Roman"/>
        </w:rPr>
        <w:t xml:space="preserve"> secure SharePoint site that is only accessible to authorized members. Reports on data collected will be presented in aggregate form only. At the end of the project, the Project </w:t>
      </w:r>
      <w:r w:rsidRPr="00102407">
        <w:rPr>
          <w:rFonts w:ascii="Times New Roman" w:eastAsia="Calibri" w:hAnsi="Times New Roman"/>
        </w:rPr>
        <w:lastRenderedPageBreak/>
        <w:t>Investigator will arrange for the proper storage and destruction of all data in compliance with all relevant government regulations and policies.</w:t>
      </w:r>
    </w:p>
    <w:p w14:paraId="18EFDAA8" w14:textId="121BF42D" w:rsidR="000F532F" w:rsidRPr="00B33BD8" w:rsidRDefault="000F532F" w:rsidP="00325A45">
      <w:pPr>
        <w:pStyle w:val="Heading3"/>
      </w:pPr>
      <w:r w:rsidRPr="00B33BD8">
        <w:t>Survey</w:t>
      </w:r>
    </w:p>
    <w:p w14:paraId="44A43067" w14:textId="1CEE0137" w:rsidR="000F532F" w:rsidRPr="00102407" w:rsidRDefault="000F532F" w:rsidP="00325A45">
      <w:pPr>
        <w:pStyle w:val="BodyTextFirstIndent"/>
        <w:tabs>
          <w:tab w:val="left" w:pos="720"/>
        </w:tabs>
        <w:spacing w:line="276" w:lineRule="auto"/>
        <w:ind w:firstLine="0"/>
        <w:rPr>
          <w:szCs w:val="22"/>
        </w:rPr>
      </w:pPr>
      <w:r w:rsidRPr="00DF28AC">
        <w:rPr>
          <w:szCs w:val="22"/>
        </w:rPr>
        <w:tab/>
        <w:t>The survey solicits medical information that is subject to protection under the HIPAA Privacy Rule, which, in §164.502(d), permits a covered entity or its business associate to create information that is not individually identifiable by</w:t>
      </w:r>
      <w:r w:rsidRPr="000668F3">
        <w:rPr>
          <w:szCs w:val="22"/>
        </w:rPr>
        <w:t xml:space="preserve"> following the de-identification standard and implementation specifications in §164.514(a)-(b). CMS is a covered entity under the Act, and the CMS contractors administering the survey </w:t>
      </w:r>
      <w:r w:rsidRPr="001C5D6E">
        <w:rPr>
          <w:szCs w:val="22"/>
        </w:rPr>
        <w:t xml:space="preserve">and interviews </w:t>
      </w:r>
      <w:r w:rsidRPr="00102407">
        <w:rPr>
          <w:szCs w:val="22"/>
        </w:rPr>
        <w:t xml:space="preserve">are covered as business associates of the covered entity. </w:t>
      </w:r>
    </w:p>
    <w:p w14:paraId="69E1C34C" w14:textId="75437DC8" w:rsidR="000F532F" w:rsidRPr="00102407" w:rsidRDefault="000F532F" w:rsidP="00325A45">
      <w:pPr>
        <w:pStyle w:val="BodyTextFirstIndent"/>
        <w:tabs>
          <w:tab w:val="left" w:pos="720"/>
        </w:tabs>
        <w:spacing w:line="276" w:lineRule="auto"/>
        <w:ind w:firstLine="0"/>
        <w:rPr>
          <w:szCs w:val="22"/>
        </w:rPr>
      </w:pPr>
      <w:r w:rsidRPr="00102407">
        <w:rPr>
          <w:szCs w:val="22"/>
        </w:rPr>
        <w:tab/>
        <w:t xml:space="preserve">Survey respondents will be de-identified through the use of randomly-assigned respondent ID numbers, which will also be their usernames for the on-line version of the survey. No one outside the </w:t>
      </w:r>
      <w:r w:rsidR="00AA3F2A" w:rsidRPr="00AA3F2A">
        <w:rPr>
          <w:szCs w:val="22"/>
        </w:rPr>
        <w:t>Dobson DaVanzo &amp; Associates, LLC</w:t>
      </w:r>
      <w:r w:rsidRPr="00102407">
        <w:rPr>
          <w:szCs w:val="22"/>
        </w:rPr>
        <w:t xml:space="preserve"> team will have access to the individual survey responses, nor will anyone outside the team be able to identify any individual respondent with their responses. All covered information </w:t>
      </w:r>
      <w:r w:rsidR="003E3273">
        <w:rPr>
          <w:szCs w:val="22"/>
        </w:rPr>
        <w:t xml:space="preserve">will be </w:t>
      </w:r>
      <w:r w:rsidRPr="00102407">
        <w:rPr>
          <w:szCs w:val="22"/>
        </w:rPr>
        <w:t xml:space="preserve">maintained in password-secured files on its internal server (i.e., only members of the team </w:t>
      </w:r>
      <w:r w:rsidR="003E3273">
        <w:rPr>
          <w:szCs w:val="22"/>
        </w:rPr>
        <w:t xml:space="preserve">will have </w:t>
      </w:r>
      <w:r w:rsidRPr="00102407">
        <w:rPr>
          <w:szCs w:val="22"/>
        </w:rPr>
        <w:t xml:space="preserve">access </w:t>
      </w:r>
      <w:r w:rsidR="003E3273">
        <w:rPr>
          <w:szCs w:val="22"/>
        </w:rPr>
        <w:t xml:space="preserve">to </w:t>
      </w:r>
      <w:r w:rsidRPr="00102407">
        <w:rPr>
          <w:szCs w:val="22"/>
        </w:rPr>
        <w:t>the files).</w:t>
      </w:r>
      <w:r w:rsidR="0088609D">
        <w:rPr>
          <w:szCs w:val="22"/>
        </w:rPr>
        <w:t xml:space="preserve"> The contractor’s internal servers are protected by Sonic firewall, and the servers are housed in a locked room accessible only to IT staff. </w:t>
      </w:r>
    </w:p>
    <w:p w14:paraId="150E1952" w14:textId="0C313F3A" w:rsidR="000F532F" w:rsidRPr="00102407" w:rsidRDefault="000F532F" w:rsidP="00325A45">
      <w:pPr>
        <w:pStyle w:val="BodyTextFirstIndent"/>
        <w:tabs>
          <w:tab w:val="left" w:pos="720"/>
        </w:tabs>
        <w:spacing w:line="276" w:lineRule="auto"/>
        <w:ind w:firstLine="0"/>
        <w:rPr>
          <w:szCs w:val="22"/>
        </w:rPr>
      </w:pPr>
      <w:r w:rsidRPr="00102407">
        <w:rPr>
          <w:szCs w:val="22"/>
        </w:rPr>
        <w:tab/>
        <w:t xml:space="preserve">The printing and mailing tasks associated with the survey (e.g., survey forms, letters, and envelopes) will be distributed in such a way that no outside printer(s) will be able to identify an individual respondent as a Medicare beneficiary or </w:t>
      </w:r>
      <w:r w:rsidR="003E3273">
        <w:rPr>
          <w:szCs w:val="22"/>
        </w:rPr>
        <w:t xml:space="preserve">a </w:t>
      </w:r>
      <w:r w:rsidRPr="00102407">
        <w:rPr>
          <w:szCs w:val="22"/>
        </w:rPr>
        <w:t xml:space="preserve">PIDD patient. </w:t>
      </w:r>
    </w:p>
    <w:p w14:paraId="58EE290B" w14:textId="2902134B" w:rsidR="000F532F" w:rsidRPr="00102407" w:rsidRDefault="000F532F" w:rsidP="00325A45">
      <w:pPr>
        <w:pStyle w:val="BodyTextFirstIndent"/>
        <w:tabs>
          <w:tab w:val="left" w:pos="720"/>
        </w:tabs>
        <w:spacing w:line="276" w:lineRule="auto"/>
        <w:ind w:firstLine="0"/>
        <w:rPr>
          <w:szCs w:val="22"/>
        </w:rPr>
      </w:pPr>
      <w:r w:rsidRPr="00102407">
        <w:rPr>
          <w:szCs w:val="22"/>
        </w:rPr>
        <w:tab/>
        <w:t xml:space="preserve">Completed surveys will </w:t>
      </w:r>
      <w:r w:rsidR="00102CF6">
        <w:rPr>
          <w:szCs w:val="22"/>
        </w:rPr>
        <w:t xml:space="preserve">have the option to </w:t>
      </w:r>
      <w:r w:rsidRPr="00102407">
        <w:rPr>
          <w:szCs w:val="22"/>
        </w:rPr>
        <w:t>be mail</w:t>
      </w:r>
      <w:r w:rsidR="00102CF6">
        <w:rPr>
          <w:szCs w:val="22"/>
        </w:rPr>
        <w:t>ed</w:t>
      </w:r>
      <w:r w:rsidRPr="00102407">
        <w:rPr>
          <w:szCs w:val="22"/>
        </w:rPr>
        <w:t xml:space="preserve"> to a dedicated mailbox or </w:t>
      </w:r>
      <w:r w:rsidR="00102CF6">
        <w:rPr>
          <w:szCs w:val="22"/>
        </w:rPr>
        <w:t>submitted electronically</w:t>
      </w:r>
      <w:r w:rsidRPr="00102407">
        <w:rPr>
          <w:szCs w:val="22"/>
        </w:rPr>
        <w:t>, via Qualtrics</w:t>
      </w:r>
      <w:r w:rsidR="003E3273">
        <w:rPr>
          <w:szCs w:val="22"/>
        </w:rPr>
        <w:t>,</w:t>
      </w:r>
      <w:r w:rsidRPr="00102407">
        <w:rPr>
          <w:szCs w:val="22"/>
        </w:rPr>
        <w:t xml:space="preserve"> </w:t>
      </w:r>
      <w:r w:rsidR="003E3273">
        <w:rPr>
          <w:szCs w:val="22"/>
        </w:rPr>
        <w:t xml:space="preserve">an </w:t>
      </w:r>
      <w:r w:rsidRPr="00102407">
        <w:rPr>
          <w:szCs w:val="22"/>
        </w:rPr>
        <w:t xml:space="preserve">on-line survey software. Qualtrics uses Transport Layer Security (TLS) encryption (also known as HTTPS) for all transmitted data. Qualtrics will also protect surveys with passwords (provided by the team) and HTTP referrer checking. Qualtrics services are hosted by trusted data centers, which are independently audited using the industry standard SSAE-16 method, to ensure the highest protection as per HITECH requirements. Qualtrics deploys the general requirements set forth by several federal Acts, including the FISMA Act of 2002, and meets or exceeds the minimum requirements as outlined in FIPS Publication 200. </w:t>
      </w:r>
    </w:p>
    <w:p w14:paraId="43A9650F" w14:textId="70D11E75" w:rsidR="000F532F" w:rsidRPr="00102407" w:rsidRDefault="000F532F" w:rsidP="00325A45">
      <w:pPr>
        <w:pStyle w:val="BodyTextFirstIndent"/>
        <w:tabs>
          <w:tab w:val="left" w:pos="720"/>
        </w:tabs>
        <w:spacing w:line="276" w:lineRule="auto"/>
        <w:ind w:firstLine="0"/>
        <w:rPr>
          <w:szCs w:val="22"/>
        </w:rPr>
      </w:pPr>
      <w:r w:rsidRPr="00102407">
        <w:rPr>
          <w:szCs w:val="22"/>
        </w:rPr>
        <w:tab/>
        <w:t xml:space="preserve">Undeliverable survey packages will be returned directly to </w:t>
      </w:r>
      <w:r w:rsidR="003E3273">
        <w:rPr>
          <w:szCs w:val="22"/>
        </w:rPr>
        <w:t xml:space="preserve">the </w:t>
      </w:r>
      <w:r w:rsidRPr="00102407">
        <w:rPr>
          <w:szCs w:val="22"/>
        </w:rPr>
        <w:t>CMS by the U.S. postal service.</w:t>
      </w:r>
    </w:p>
    <w:p w14:paraId="30739587" w14:textId="3E240E47" w:rsidR="000668F3" w:rsidRPr="003E1B89" w:rsidRDefault="000F532F" w:rsidP="00325A45">
      <w:pPr>
        <w:pStyle w:val="Body"/>
        <w:spacing w:line="276" w:lineRule="auto"/>
        <w:ind w:firstLine="720"/>
        <w:rPr>
          <w:rFonts w:ascii="Times New Roman" w:eastAsia="Calibri" w:hAnsi="Times New Roman"/>
        </w:rPr>
      </w:pPr>
      <w:r w:rsidRPr="00102407">
        <w:rPr>
          <w:rFonts w:ascii="Times New Roman" w:hAnsi="Times New Roman"/>
        </w:rPr>
        <w:t xml:space="preserve">Surveys submitted by mail will be opened and data-entered only by </w:t>
      </w:r>
      <w:r w:rsidR="00102CF6" w:rsidRPr="00102CF6">
        <w:rPr>
          <w:rFonts w:ascii="Times New Roman" w:hAnsi="Times New Roman"/>
        </w:rPr>
        <w:t xml:space="preserve">Dobson DaVanzo &amp; Associates, LLC </w:t>
      </w:r>
      <w:r w:rsidR="00102CF6">
        <w:rPr>
          <w:rFonts w:ascii="Times New Roman" w:hAnsi="Times New Roman"/>
        </w:rPr>
        <w:t xml:space="preserve">team </w:t>
      </w:r>
      <w:r w:rsidRPr="00102407">
        <w:rPr>
          <w:rFonts w:ascii="Times New Roman" w:hAnsi="Times New Roman"/>
        </w:rPr>
        <w:t>members</w:t>
      </w:r>
      <w:r w:rsidR="00DB761D">
        <w:rPr>
          <w:rFonts w:ascii="Times New Roman" w:hAnsi="Times New Roman"/>
        </w:rPr>
        <w:t>. D</w:t>
      </w:r>
      <w:r w:rsidRPr="00102407">
        <w:rPr>
          <w:rFonts w:ascii="Times New Roman" w:hAnsi="Times New Roman"/>
        </w:rPr>
        <w:t xml:space="preserve">ata </w:t>
      </w:r>
      <w:r w:rsidR="00102CF6">
        <w:rPr>
          <w:rFonts w:ascii="Times New Roman" w:hAnsi="Times New Roman"/>
        </w:rPr>
        <w:t>entry will be via Qualtrics</w:t>
      </w:r>
      <w:r w:rsidRPr="00102407">
        <w:rPr>
          <w:rFonts w:ascii="Times New Roman" w:hAnsi="Times New Roman"/>
        </w:rPr>
        <w:t xml:space="preserve">. Only </w:t>
      </w:r>
      <w:r w:rsidR="00102CF6">
        <w:rPr>
          <w:rFonts w:ascii="Times New Roman" w:hAnsi="Times New Roman"/>
        </w:rPr>
        <w:t xml:space="preserve">assigned </w:t>
      </w:r>
      <w:r w:rsidRPr="00102407">
        <w:rPr>
          <w:rFonts w:ascii="Times New Roman" w:hAnsi="Times New Roman"/>
        </w:rPr>
        <w:t>team members will be able</w:t>
      </w:r>
      <w:r w:rsidR="00414A31">
        <w:rPr>
          <w:rFonts w:ascii="Times New Roman" w:hAnsi="Times New Roman"/>
        </w:rPr>
        <w:t xml:space="preserve"> to</w:t>
      </w:r>
      <w:r w:rsidRPr="00102407">
        <w:rPr>
          <w:rFonts w:ascii="Times New Roman" w:hAnsi="Times New Roman"/>
        </w:rPr>
        <w:t xml:space="preserve"> crosswalk respondents’ names with their usernames. Upon completion of the survey field work and appropriate data cleaning steps, the identifiers that link a survey respondent with the respondent’s name and contact information will be destroyed. All </w:t>
      </w:r>
      <w:r w:rsidR="00102CF6">
        <w:rPr>
          <w:rFonts w:ascii="Times New Roman" w:hAnsi="Times New Roman"/>
        </w:rPr>
        <w:t xml:space="preserve">assigned </w:t>
      </w:r>
      <w:r w:rsidRPr="00102407">
        <w:rPr>
          <w:rFonts w:ascii="Times New Roman" w:hAnsi="Times New Roman"/>
        </w:rPr>
        <w:t>team members have acknowledged and signed the</w:t>
      </w:r>
      <w:r w:rsidR="00102CF6">
        <w:rPr>
          <w:rFonts w:ascii="Times New Roman" w:hAnsi="Times New Roman"/>
        </w:rPr>
        <w:t xml:space="preserve"> required</w:t>
      </w:r>
      <w:r w:rsidRPr="00102407">
        <w:rPr>
          <w:rFonts w:ascii="Times New Roman" w:hAnsi="Times New Roman"/>
        </w:rPr>
        <w:t xml:space="preserve"> Code of Business Conduct and Ethics, which (among other things) </w:t>
      </w:r>
      <w:r w:rsidR="00102CF6">
        <w:rPr>
          <w:rFonts w:ascii="Times New Roman" w:hAnsi="Times New Roman"/>
        </w:rPr>
        <w:t xml:space="preserve">enforces </w:t>
      </w:r>
      <w:r w:rsidRPr="00102407">
        <w:rPr>
          <w:rFonts w:ascii="Times New Roman" w:hAnsi="Times New Roman"/>
        </w:rPr>
        <w:t>to maintain the integrity, confidentiality, and accuracy of all data and information obtain</w:t>
      </w:r>
      <w:r w:rsidR="00102CF6">
        <w:rPr>
          <w:rFonts w:ascii="Times New Roman" w:hAnsi="Times New Roman"/>
        </w:rPr>
        <w:t>ed</w:t>
      </w:r>
      <w:r w:rsidRPr="00102407">
        <w:rPr>
          <w:rFonts w:ascii="Times New Roman" w:hAnsi="Times New Roman"/>
        </w:rPr>
        <w:t xml:space="preserve"> during the course of th</w:t>
      </w:r>
      <w:r w:rsidR="003E3273">
        <w:rPr>
          <w:rFonts w:ascii="Times New Roman" w:hAnsi="Times New Roman"/>
        </w:rPr>
        <w:t>is data collection effort</w:t>
      </w:r>
      <w:r w:rsidR="00DB761D">
        <w:rPr>
          <w:rFonts w:ascii="Times New Roman" w:hAnsi="Times New Roman"/>
        </w:rPr>
        <w:t xml:space="preserve">. </w:t>
      </w:r>
      <w:r w:rsidR="000668F3" w:rsidRPr="003E1B89">
        <w:rPr>
          <w:rFonts w:ascii="Times New Roman" w:eastAsia="Calibri" w:hAnsi="Times New Roman"/>
        </w:rPr>
        <w:t xml:space="preserve">At the end of the </w:t>
      </w:r>
      <w:r w:rsidR="007A0B9D">
        <w:rPr>
          <w:rFonts w:ascii="Times New Roman" w:eastAsia="Calibri" w:hAnsi="Times New Roman"/>
        </w:rPr>
        <w:t>D</w:t>
      </w:r>
      <w:r w:rsidR="003E3273">
        <w:rPr>
          <w:rFonts w:ascii="Times New Roman" w:eastAsia="Calibri" w:hAnsi="Times New Roman"/>
        </w:rPr>
        <w:t>emonstration</w:t>
      </w:r>
      <w:r w:rsidR="000668F3" w:rsidRPr="003E1B89">
        <w:rPr>
          <w:rFonts w:ascii="Times New Roman" w:eastAsia="Calibri" w:hAnsi="Times New Roman"/>
        </w:rPr>
        <w:t>,</w:t>
      </w:r>
      <w:r w:rsidR="003E3273" w:rsidRPr="003E3273">
        <w:t xml:space="preserve"> </w:t>
      </w:r>
      <w:r w:rsidR="003E3273" w:rsidRPr="00DB761D">
        <w:rPr>
          <w:rFonts w:ascii="Times New Roman" w:hAnsi="Times New Roman"/>
        </w:rPr>
        <w:t>Dobson DaVanzo &amp; Associates, LLC</w:t>
      </w:r>
      <w:r w:rsidR="00DB761D">
        <w:rPr>
          <w:rFonts w:ascii="Times New Roman" w:eastAsia="Calibri" w:hAnsi="Times New Roman"/>
        </w:rPr>
        <w:t xml:space="preserve"> </w:t>
      </w:r>
      <w:r w:rsidR="00102CF6">
        <w:rPr>
          <w:rFonts w:ascii="Times New Roman" w:eastAsia="Calibri" w:hAnsi="Times New Roman"/>
        </w:rPr>
        <w:t xml:space="preserve">team </w:t>
      </w:r>
      <w:r w:rsidR="000668F3" w:rsidRPr="003E1B89">
        <w:rPr>
          <w:rFonts w:ascii="Times New Roman" w:eastAsia="Calibri" w:hAnsi="Times New Roman"/>
        </w:rPr>
        <w:t xml:space="preserve">will </w:t>
      </w:r>
      <w:r w:rsidR="003E3273">
        <w:rPr>
          <w:rFonts w:ascii="Times New Roman" w:eastAsia="Calibri" w:hAnsi="Times New Roman"/>
        </w:rPr>
        <w:t xml:space="preserve">ensure </w:t>
      </w:r>
      <w:r w:rsidR="000668F3" w:rsidRPr="003E1B89">
        <w:rPr>
          <w:rFonts w:ascii="Times New Roman" w:eastAsia="Calibri" w:hAnsi="Times New Roman"/>
        </w:rPr>
        <w:t xml:space="preserve">the proper storage and destruction of all data in compliance with all relevant government regulations and policies. </w:t>
      </w:r>
    </w:p>
    <w:p w14:paraId="3E0495E4" w14:textId="77777777" w:rsidR="0064259F" w:rsidRDefault="0064259F" w:rsidP="00325A45">
      <w:pPr>
        <w:pStyle w:val="Heading2"/>
      </w:pPr>
      <w:bookmarkStart w:id="65" w:name="_Toc410331585"/>
      <w:bookmarkStart w:id="66" w:name="_Toc410331691"/>
      <w:bookmarkStart w:id="67" w:name="_Toc429570379"/>
      <w:bookmarkStart w:id="68" w:name="_Toc431546786"/>
      <w:r w:rsidRPr="00102407">
        <w:lastRenderedPageBreak/>
        <w:t>Sensitive Questions</w:t>
      </w:r>
      <w:bookmarkEnd w:id="65"/>
      <w:bookmarkEnd w:id="66"/>
      <w:bookmarkEnd w:id="67"/>
      <w:bookmarkEnd w:id="68"/>
    </w:p>
    <w:p w14:paraId="2089A701" w14:textId="5BD88CC8" w:rsidR="00414A31" w:rsidRPr="00414A31" w:rsidRDefault="00414A31" w:rsidP="00372870">
      <w:pPr>
        <w:pStyle w:val="BodyTextFirstIndent"/>
        <w:spacing w:line="276" w:lineRule="auto"/>
      </w:pPr>
      <w:r>
        <w:t xml:space="preserve">There are no sensitive questions. </w:t>
      </w:r>
    </w:p>
    <w:p w14:paraId="35A91491" w14:textId="77777777" w:rsidR="0064259F" w:rsidRPr="00DF28AC" w:rsidRDefault="0064259F" w:rsidP="00325A45">
      <w:pPr>
        <w:pStyle w:val="Heading2"/>
      </w:pPr>
      <w:bookmarkStart w:id="69" w:name="_Toc410331586"/>
      <w:bookmarkStart w:id="70" w:name="_Toc410331692"/>
      <w:bookmarkStart w:id="71" w:name="_Toc429570380"/>
      <w:bookmarkStart w:id="72" w:name="_Toc431546787"/>
      <w:bookmarkStart w:id="73" w:name="SensitiveQuestions"/>
      <w:bookmarkStart w:id="74" w:name="BurdenEstimates_HoursandWages"/>
      <w:r w:rsidRPr="00DF28AC">
        <w:t>Burden Estimates (Hours &amp; Wages)</w:t>
      </w:r>
      <w:bookmarkEnd w:id="69"/>
      <w:bookmarkEnd w:id="70"/>
      <w:bookmarkEnd w:id="71"/>
      <w:bookmarkEnd w:id="72"/>
    </w:p>
    <w:bookmarkEnd w:id="73"/>
    <w:bookmarkEnd w:id="74"/>
    <w:p w14:paraId="4C3B8074" w14:textId="492B67AC" w:rsidR="00E535D8" w:rsidRPr="000668F3" w:rsidRDefault="00E535D8" w:rsidP="00325A45">
      <w:pPr>
        <w:pStyle w:val="BodyTextFirstIndent"/>
        <w:spacing w:line="276" w:lineRule="auto"/>
        <w:rPr>
          <w:szCs w:val="22"/>
        </w:rPr>
      </w:pPr>
      <w:r w:rsidRPr="000668F3">
        <w:rPr>
          <w:szCs w:val="22"/>
        </w:rPr>
        <w:t xml:space="preserve">The </w:t>
      </w:r>
      <w:r w:rsidR="002824AF">
        <w:rPr>
          <w:szCs w:val="22"/>
        </w:rPr>
        <w:t>burden estimates are divided in</w:t>
      </w:r>
      <w:r w:rsidRPr="000668F3">
        <w:rPr>
          <w:szCs w:val="22"/>
        </w:rPr>
        <w:t xml:space="preserve">to </w:t>
      </w:r>
      <w:r w:rsidR="0082566F">
        <w:rPr>
          <w:szCs w:val="22"/>
        </w:rPr>
        <w:t xml:space="preserve">interviews and </w:t>
      </w:r>
      <w:r w:rsidR="007A0B9D">
        <w:rPr>
          <w:szCs w:val="22"/>
        </w:rPr>
        <w:t>s</w:t>
      </w:r>
      <w:r w:rsidR="0082566F">
        <w:rPr>
          <w:szCs w:val="22"/>
        </w:rPr>
        <w:t>urvey</w:t>
      </w:r>
      <w:r w:rsidR="00967496">
        <w:rPr>
          <w:szCs w:val="22"/>
        </w:rPr>
        <w:t xml:space="preserve"> data</w:t>
      </w:r>
      <w:r w:rsidR="00CF0598" w:rsidRPr="00D766D2">
        <w:rPr>
          <w:szCs w:val="22"/>
        </w:rPr>
        <w:t xml:space="preserve"> collection</w:t>
      </w:r>
      <w:r w:rsidR="00967496">
        <w:rPr>
          <w:szCs w:val="22"/>
        </w:rPr>
        <w:t xml:space="preserve">. </w:t>
      </w:r>
      <w:r w:rsidR="00CF0598" w:rsidRPr="00D766D2">
        <w:rPr>
          <w:szCs w:val="22"/>
        </w:rPr>
        <w:t xml:space="preserve"> </w:t>
      </w:r>
    </w:p>
    <w:p w14:paraId="7F090376" w14:textId="213501F6" w:rsidR="003F3233" w:rsidRPr="005010AE" w:rsidRDefault="003F3233" w:rsidP="00372870">
      <w:pPr>
        <w:pStyle w:val="BodyTextFirstIndent"/>
        <w:spacing w:line="276" w:lineRule="auto"/>
        <w:rPr>
          <w:u w:val="single"/>
        </w:rPr>
      </w:pPr>
      <w:bookmarkStart w:id="75" w:name="QualitativeDataCollection_Stakeholder"/>
      <w:r w:rsidRPr="005010AE">
        <w:rPr>
          <w:u w:val="single"/>
        </w:rPr>
        <w:t>Interviews</w:t>
      </w:r>
    </w:p>
    <w:bookmarkEnd w:id="75"/>
    <w:p w14:paraId="29D31E08" w14:textId="55F546A1" w:rsidR="00491BD7" w:rsidRPr="00D766D2" w:rsidRDefault="00491BD7" w:rsidP="00325A45">
      <w:pPr>
        <w:pStyle w:val="BodyTextFirstIndent"/>
        <w:spacing w:line="276" w:lineRule="auto"/>
        <w:rPr>
          <w:szCs w:val="22"/>
        </w:rPr>
      </w:pPr>
      <w:r w:rsidRPr="008F0C1E">
        <w:rPr>
          <w:szCs w:val="22"/>
        </w:rPr>
        <w:t>For the nurse interviews, the estimated number of interviewees includes a total of 60 nurse interviews</w:t>
      </w:r>
      <w:r w:rsidRPr="001C5D6E">
        <w:rPr>
          <w:szCs w:val="22"/>
        </w:rPr>
        <w:t xml:space="preserve">. </w:t>
      </w:r>
      <w:r w:rsidRPr="006C58D8">
        <w:rPr>
          <w:szCs w:val="22"/>
        </w:rPr>
        <w:t xml:space="preserve">No individual nurse will be interviewed more than once. The burden hours for the interviews are based on the planned length of the interviews (30 minutes). The wages used for nurse interviewees reflect a median hourly wage of $32.04 for nurses (specifically </w:t>
      </w:r>
      <w:r w:rsidRPr="006C58D8">
        <w:rPr>
          <w:i/>
          <w:szCs w:val="22"/>
        </w:rPr>
        <w:t>SOC 29-1141 Registered Nurses</w:t>
      </w:r>
      <w:r w:rsidR="00D9137D" w:rsidRPr="006C58D8">
        <w:rPr>
          <w:szCs w:val="22"/>
        </w:rPr>
        <w:t xml:space="preserve">). We then </w:t>
      </w:r>
      <w:r w:rsidR="00D9137D" w:rsidRPr="006C58D8">
        <w:t>calculated a</w:t>
      </w:r>
      <w:r w:rsidR="00D9137D">
        <w:t xml:space="preserve"> loaded hourly wage, with benefits </w:t>
      </w:r>
      <w:r w:rsidR="00D9137D" w:rsidRPr="00D766D2">
        <w:t>and overhead accounting for 100 percent of the total hourly wage</w:t>
      </w:r>
      <w:r w:rsidRPr="00D766D2">
        <w:rPr>
          <w:szCs w:val="22"/>
        </w:rPr>
        <w:t>. This results in a loaded hourly wage of $</w:t>
      </w:r>
      <w:r w:rsidR="00DD187E" w:rsidRPr="00D766D2">
        <w:rPr>
          <w:szCs w:val="22"/>
        </w:rPr>
        <w:t>64.08</w:t>
      </w:r>
      <w:r w:rsidRPr="00D766D2">
        <w:rPr>
          <w:szCs w:val="22"/>
        </w:rPr>
        <w:t>.</w:t>
      </w:r>
    </w:p>
    <w:p w14:paraId="2333EC61" w14:textId="67AD6DF2" w:rsidR="00491BD7" w:rsidRPr="00D766D2" w:rsidRDefault="00491BD7" w:rsidP="00325A45">
      <w:pPr>
        <w:pStyle w:val="BodyTextFirstIndent"/>
        <w:spacing w:line="276" w:lineRule="auto"/>
        <w:rPr>
          <w:szCs w:val="22"/>
        </w:rPr>
      </w:pPr>
      <w:r w:rsidRPr="00D766D2">
        <w:rPr>
          <w:szCs w:val="22"/>
        </w:rPr>
        <w:t xml:space="preserve">The estimated number of physician interviewees includes a total of 36 physician interviews. No individual physician will be interviewed more than once. The burden hours for the interviews are based on the planned length of the interviews (30 minutes). The wages used for physician interviewees reflect a mean hourly wage of $91.60 for physicians (specifically </w:t>
      </w:r>
      <w:r w:rsidRPr="00D766D2">
        <w:rPr>
          <w:i/>
          <w:szCs w:val="22"/>
        </w:rPr>
        <w:t>SOC 29-1063 Internists, General</w:t>
      </w:r>
      <w:r w:rsidRPr="00D766D2">
        <w:rPr>
          <w:szCs w:val="22"/>
        </w:rPr>
        <w:t xml:space="preserve">). </w:t>
      </w:r>
      <w:r w:rsidR="00D9137D" w:rsidRPr="00D766D2">
        <w:rPr>
          <w:szCs w:val="22"/>
        </w:rPr>
        <w:t xml:space="preserve">We then </w:t>
      </w:r>
      <w:r w:rsidR="00D9137D" w:rsidRPr="00D766D2">
        <w:t>calculated a loaded hourly wage, with benefits and overhead accounting for 100 percent of the total hourly wage</w:t>
      </w:r>
      <w:r w:rsidRPr="00D766D2">
        <w:rPr>
          <w:szCs w:val="22"/>
        </w:rPr>
        <w:t>. This results in a loaded hourly wage of $</w:t>
      </w:r>
      <w:r w:rsidR="00DD187E" w:rsidRPr="00D766D2">
        <w:rPr>
          <w:szCs w:val="22"/>
        </w:rPr>
        <w:t>183.20</w:t>
      </w:r>
      <w:r w:rsidRPr="00D766D2">
        <w:rPr>
          <w:szCs w:val="22"/>
        </w:rPr>
        <w:t xml:space="preserve"> for physicians.</w:t>
      </w:r>
    </w:p>
    <w:p w14:paraId="1A00060E" w14:textId="480236F6" w:rsidR="00491BD7" w:rsidRPr="00D766D2" w:rsidRDefault="00491BD7" w:rsidP="00325A45">
      <w:pPr>
        <w:pStyle w:val="BodyTextFirstIndent"/>
        <w:spacing w:line="276" w:lineRule="auto"/>
        <w:rPr>
          <w:szCs w:val="22"/>
        </w:rPr>
      </w:pPr>
      <w:r w:rsidRPr="00D766D2">
        <w:rPr>
          <w:szCs w:val="22"/>
        </w:rPr>
        <w:t xml:space="preserve">The estimated number of caregiver interviewees includes a total of 36 interviews. No individual caregiver will be interviewed more than once. The burden hours for the interviews are based on the planned length of the interviews (45 minutes). The wages used for caregivers reflect the median hourly wage for all occupations in the US, $17.09 (BLS, 2014a). </w:t>
      </w:r>
      <w:r w:rsidR="00D9137D" w:rsidRPr="00D766D2">
        <w:rPr>
          <w:szCs w:val="22"/>
        </w:rPr>
        <w:t xml:space="preserve">We then </w:t>
      </w:r>
      <w:r w:rsidR="00D9137D" w:rsidRPr="00D766D2">
        <w:t>calculated a loaded hourly wage, with benefits and overhead accounting for 100 percent of the total hourly wage</w:t>
      </w:r>
      <w:r w:rsidRPr="00D766D2">
        <w:rPr>
          <w:szCs w:val="22"/>
        </w:rPr>
        <w:t>. This results in a loaded hourly wage of $</w:t>
      </w:r>
      <w:r w:rsidR="00DD187E" w:rsidRPr="00D766D2">
        <w:rPr>
          <w:szCs w:val="22"/>
        </w:rPr>
        <w:t>34.18</w:t>
      </w:r>
      <w:r w:rsidRPr="00D766D2">
        <w:rPr>
          <w:szCs w:val="22"/>
        </w:rPr>
        <w:t>.</w:t>
      </w:r>
    </w:p>
    <w:p w14:paraId="0DF4FF23" w14:textId="37ECF3F5" w:rsidR="00491BD7" w:rsidRPr="00D766D2" w:rsidRDefault="00491BD7" w:rsidP="00325A45">
      <w:pPr>
        <w:pStyle w:val="BodyTextFirstIndent"/>
        <w:spacing w:line="276" w:lineRule="auto"/>
        <w:rPr>
          <w:szCs w:val="22"/>
        </w:rPr>
      </w:pPr>
      <w:r w:rsidRPr="00D766D2">
        <w:rPr>
          <w:szCs w:val="22"/>
        </w:rPr>
        <w:t xml:space="preserve">For the manufacturer and distributor interviews, the estimated number of interviewees includes six IVIG manufacturers, nine primary or secondary distributors of IVIG, nine of the largest GPOs, and nine home infusion therapy companies. </w:t>
      </w:r>
      <w:r w:rsidR="006F6E5D" w:rsidRPr="00D766D2">
        <w:rPr>
          <w:szCs w:val="22"/>
        </w:rPr>
        <w:t>T</w:t>
      </w:r>
      <w:r w:rsidRPr="00D766D2">
        <w:rPr>
          <w:szCs w:val="22"/>
        </w:rPr>
        <w:t xml:space="preserve">hese </w:t>
      </w:r>
      <w:r w:rsidR="00EF21CC">
        <w:rPr>
          <w:szCs w:val="22"/>
        </w:rPr>
        <w:t xml:space="preserve">individuals </w:t>
      </w:r>
      <w:r w:rsidRPr="00D766D2">
        <w:rPr>
          <w:szCs w:val="22"/>
        </w:rPr>
        <w:t xml:space="preserve">will be </w:t>
      </w:r>
      <w:r w:rsidR="006F6E5D" w:rsidRPr="00D766D2">
        <w:rPr>
          <w:szCs w:val="22"/>
        </w:rPr>
        <w:t>interviewed once</w:t>
      </w:r>
      <w:r w:rsidRPr="00D766D2">
        <w:rPr>
          <w:szCs w:val="22"/>
        </w:rPr>
        <w:t xml:space="preserve">. The burden hours are based on the planned length of the interviews (45 minutes). The wage used for manufacturer and distributor interviewees reflects a median hourly wage of $46.75 (for SOC 11-000 </w:t>
      </w:r>
      <w:r w:rsidRPr="00D766D2">
        <w:rPr>
          <w:i/>
          <w:szCs w:val="22"/>
        </w:rPr>
        <w:t>Management Occupations)</w:t>
      </w:r>
      <w:r w:rsidRPr="00D766D2">
        <w:rPr>
          <w:szCs w:val="22"/>
        </w:rPr>
        <w:t xml:space="preserve">. We then calculated a loaded hourly wage, with benefits accounting for </w:t>
      </w:r>
      <w:r w:rsidR="00942E34" w:rsidRPr="00D766D2">
        <w:rPr>
          <w:szCs w:val="22"/>
        </w:rPr>
        <w:t>100</w:t>
      </w:r>
      <w:r w:rsidRPr="00D766D2">
        <w:rPr>
          <w:szCs w:val="22"/>
        </w:rPr>
        <w:t xml:space="preserve"> percent of the total hourly wage (BLS, 2014). This results in a loaded hourly wage of $</w:t>
      </w:r>
      <w:r w:rsidR="00165D98" w:rsidRPr="00D766D2">
        <w:rPr>
          <w:szCs w:val="22"/>
        </w:rPr>
        <w:t>93.50</w:t>
      </w:r>
      <w:r w:rsidRPr="00D766D2">
        <w:rPr>
          <w:szCs w:val="22"/>
        </w:rPr>
        <w:t>.</w:t>
      </w:r>
    </w:p>
    <w:p w14:paraId="0AEC9019" w14:textId="46800CA3" w:rsidR="00491BD7" w:rsidRPr="00D766D2" w:rsidRDefault="00491BD7" w:rsidP="00325A45">
      <w:pPr>
        <w:pStyle w:val="BodyTextFirstIndent"/>
        <w:spacing w:line="276" w:lineRule="auto"/>
        <w:rPr>
          <w:szCs w:val="22"/>
        </w:rPr>
      </w:pPr>
      <w:r w:rsidRPr="00D766D2">
        <w:rPr>
          <w:szCs w:val="22"/>
        </w:rPr>
        <w:t>The patient advocate interviews will include six representatives from patient advocate organizations</w:t>
      </w:r>
      <w:r w:rsidR="006F6E5D" w:rsidRPr="00D766D2">
        <w:rPr>
          <w:szCs w:val="22"/>
        </w:rPr>
        <w:t xml:space="preserve"> who will be interviewed once</w:t>
      </w:r>
      <w:r w:rsidRPr="00D766D2">
        <w:rPr>
          <w:szCs w:val="22"/>
        </w:rPr>
        <w:t xml:space="preserve">. The burden hours are based on the planned length of the interviews (45 minutes). The wage used for patient advocate interviewees reflects a median hourly wage of $46.75 (for SOC 11-000 </w:t>
      </w:r>
      <w:r w:rsidRPr="00D766D2">
        <w:rPr>
          <w:i/>
          <w:szCs w:val="22"/>
        </w:rPr>
        <w:t>Management Occupations)</w:t>
      </w:r>
      <w:r w:rsidRPr="00D766D2">
        <w:rPr>
          <w:szCs w:val="22"/>
        </w:rPr>
        <w:t xml:space="preserve">. </w:t>
      </w:r>
      <w:r w:rsidR="00D9137D" w:rsidRPr="00D766D2">
        <w:rPr>
          <w:szCs w:val="22"/>
        </w:rPr>
        <w:t xml:space="preserve">We then </w:t>
      </w:r>
      <w:r w:rsidR="00D9137D" w:rsidRPr="00D766D2">
        <w:t>calculated a loaded hourly wage, with benefits and overhead accounting for 100 percent of the total hourly wage</w:t>
      </w:r>
      <w:r w:rsidRPr="00D766D2">
        <w:rPr>
          <w:szCs w:val="22"/>
        </w:rPr>
        <w:t>. This results in a loaded hourly wage of $</w:t>
      </w:r>
      <w:r w:rsidR="00165D98" w:rsidRPr="00D766D2">
        <w:rPr>
          <w:szCs w:val="22"/>
        </w:rPr>
        <w:t>93</w:t>
      </w:r>
      <w:r w:rsidRPr="00D766D2">
        <w:rPr>
          <w:szCs w:val="22"/>
        </w:rPr>
        <w:t>.</w:t>
      </w:r>
      <w:r w:rsidR="00165D98" w:rsidRPr="00D766D2">
        <w:rPr>
          <w:szCs w:val="22"/>
        </w:rPr>
        <w:t>50</w:t>
      </w:r>
      <w:r w:rsidRPr="00D766D2">
        <w:rPr>
          <w:szCs w:val="22"/>
        </w:rPr>
        <w:t>.</w:t>
      </w:r>
    </w:p>
    <w:p w14:paraId="79341EE4" w14:textId="3971A201" w:rsidR="00E535D8" w:rsidRPr="00D766D2" w:rsidRDefault="00E535D8" w:rsidP="00325A45">
      <w:pPr>
        <w:pStyle w:val="Heading3"/>
      </w:pPr>
      <w:bookmarkStart w:id="76" w:name="QuantitativeDataCollection_Beneficiary"/>
      <w:r w:rsidRPr="00D766D2">
        <w:lastRenderedPageBreak/>
        <w:t>Survey</w:t>
      </w:r>
    </w:p>
    <w:bookmarkEnd w:id="76"/>
    <w:p w14:paraId="3286DF1C" w14:textId="0949A84B" w:rsidR="0064259F" w:rsidRPr="00D766D2" w:rsidRDefault="0064259F" w:rsidP="00325A45">
      <w:pPr>
        <w:pStyle w:val="BodyTextFirstIndent"/>
        <w:spacing w:line="276" w:lineRule="auto"/>
        <w:rPr>
          <w:szCs w:val="22"/>
        </w:rPr>
      </w:pPr>
      <w:r w:rsidRPr="00D766D2">
        <w:rPr>
          <w:szCs w:val="22"/>
        </w:rPr>
        <w:t xml:space="preserve">For the survey, the estimated number of respondents reflects the planned sample of </w:t>
      </w:r>
      <w:r w:rsidR="00F54DE6" w:rsidRPr="00D766D2">
        <w:rPr>
          <w:szCs w:val="22"/>
        </w:rPr>
        <w:t>2,</w:t>
      </w:r>
      <w:r w:rsidR="00CF0598">
        <w:rPr>
          <w:szCs w:val="22"/>
        </w:rPr>
        <w:t>770</w:t>
      </w:r>
      <w:r w:rsidRPr="00D766D2">
        <w:rPr>
          <w:szCs w:val="22"/>
        </w:rPr>
        <w:t xml:space="preserve"> total </w:t>
      </w:r>
      <w:r w:rsidR="009B6927" w:rsidRPr="00D766D2">
        <w:rPr>
          <w:szCs w:val="22"/>
        </w:rPr>
        <w:t xml:space="preserve">Medicare </w:t>
      </w:r>
      <w:r w:rsidRPr="00D766D2">
        <w:rPr>
          <w:szCs w:val="22"/>
        </w:rPr>
        <w:t>beneficiaries</w:t>
      </w:r>
      <w:r w:rsidR="009B6927" w:rsidRPr="00D766D2">
        <w:rPr>
          <w:szCs w:val="22"/>
        </w:rPr>
        <w:t xml:space="preserve"> with PIDD</w:t>
      </w:r>
      <w:r w:rsidRPr="00D766D2">
        <w:rPr>
          <w:szCs w:val="22"/>
        </w:rPr>
        <w:t xml:space="preserve"> (reflecting a 100</w:t>
      </w:r>
      <w:r w:rsidR="008E5094" w:rsidRPr="00D766D2">
        <w:rPr>
          <w:szCs w:val="22"/>
        </w:rPr>
        <w:t xml:space="preserve"> percent</w:t>
      </w:r>
      <w:r w:rsidRPr="00D766D2">
        <w:rPr>
          <w:szCs w:val="22"/>
        </w:rPr>
        <w:t xml:space="preserve"> response rate) </w:t>
      </w:r>
      <w:r w:rsidR="00F54DE6" w:rsidRPr="00D766D2">
        <w:rPr>
          <w:szCs w:val="22"/>
        </w:rPr>
        <w:t xml:space="preserve">who could potentially </w:t>
      </w:r>
      <w:r w:rsidRPr="00D766D2">
        <w:rPr>
          <w:szCs w:val="22"/>
        </w:rPr>
        <w:t xml:space="preserve">choose to take the survey (and thus incur a response burden). </w:t>
      </w:r>
      <w:r w:rsidR="00C95280" w:rsidRPr="00D766D2">
        <w:rPr>
          <w:szCs w:val="22"/>
        </w:rPr>
        <w:t>We selected this response rate to be conservative and estimate the maximum amount of potential burden.</w:t>
      </w:r>
    </w:p>
    <w:p w14:paraId="7B2A063E" w14:textId="0B163E29" w:rsidR="0064259F" w:rsidRPr="00D766D2" w:rsidRDefault="0064259F" w:rsidP="00325A45">
      <w:pPr>
        <w:pStyle w:val="BodyTextFirstIndent"/>
        <w:spacing w:line="276" w:lineRule="auto"/>
        <w:rPr>
          <w:szCs w:val="22"/>
        </w:rPr>
      </w:pPr>
      <w:r w:rsidRPr="00D766D2">
        <w:rPr>
          <w:szCs w:val="22"/>
        </w:rPr>
        <w:t xml:space="preserve">The burden hour estimates for the survey are based on tests of the length of time each type of respondent is likely to need to read the survey invitation (5 minutes) and </w:t>
      </w:r>
      <w:r w:rsidR="00E9131D" w:rsidRPr="00D766D2">
        <w:rPr>
          <w:szCs w:val="22"/>
        </w:rPr>
        <w:t>complete t</w:t>
      </w:r>
      <w:r w:rsidRPr="00D766D2">
        <w:rPr>
          <w:szCs w:val="22"/>
        </w:rPr>
        <w:t>he survey questions (30 minutes)</w:t>
      </w:r>
      <w:r w:rsidR="005D277A" w:rsidRPr="00D766D2">
        <w:rPr>
          <w:szCs w:val="22"/>
        </w:rPr>
        <w:t xml:space="preserve">, and the assumption that </w:t>
      </w:r>
      <w:r w:rsidR="001B265C" w:rsidRPr="00D766D2">
        <w:rPr>
          <w:szCs w:val="22"/>
        </w:rPr>
        <w:t xml:space="preserve">100 </w:t>
      </w:r>
      <w:r w:rsidR="005D277A" w:rsidRPr="00D766D2">
        <w:rPr>
          <w:szCs w:val="22"/>
        </w:rPr>
        <w:t>percent of beneficiaries who receive the survey will complete it</w:t>
      </w:r>
      <w:r w:rsidRPr="00D766D2">
        <w:rPr>
          <w:szCs w:val="22"/>
        </w:rPr>
        <w:t>. The wages used for survey respondents reflect the median hourly wage for all occupations in the US, $</w:t>
      </w:r>
      <w:r w:rsidR="00A45BC1" w:rsidRPr="00D766D2">
        <w:rPr>
          <w:szCs w:val="22"/>
        </w:rPr>
        <w:t>17.09</w:t>
      </w:r>
      <w:r w:rsidRPr="00D766D2">
        <w:rPr>
          <w:szCs w:val="22"/>
        </w:rPr>
        <w:t xml:space="preserve"> (BLS, </w:t>
      </w:r>
      <w:r w:rsidR="00A45BC1" w:rsidRPr="00D766D2">
        <w:rPr>
          <w:szCs w:val="22"/>
        </w:rPr>
        <w:t>2014a</w:t>
      </w:r>
      <w:r w:rsidRPr="00D766D2">
        <w:rPr>
          <w:szCs w:val="22"/>
        </w:rPr>
        <w:t xml:space="preserve">). The survey respondents are eligible for Medicare, and thus are likely to be over 65 years-old and more likely than the general population to be retired. For those who are currently in the workforce or who were once in the workforce, they might have had any number of occupations. The median hourly wage for all occupations in the United States is used to capture the variety of occupations they might currently hold or once have held. </w:t>
      </w:r>
      <w:r w:rsidR="006C58D8" w:rsidRPr="00D766D2">
        <w:rPr>
          <w:szCs w:val="22"/>
        </w:rPr>
        <w:t xml:space="preserve">We then </w:t>
      </w:r>
      <w:r w:rsidR="006C58D8" w:rsidRPr="00D766D2">
        <w:t>calculated a loaded hourly wage, with benefits and overhead accounting for 100 percent of the total hourly wage</w:t>
      </w:r>
      <w:r w:rsidRPr="00D766D2">
        <w:rPr>
          <w:szCs w:val="22"/>
        </w:rPr>
        <w:t>. This results in a loaded hourly wage of $</w:t>
      </w:r>
      <w:r w:rsidR="00165D98" w:rsidRPr="00D766D2">
        <w:rPr>
          <w:szCs w:val="22"/>
        </w:rPr>
        <w:t>34.18</w:t>
      </w:r>
      <w:r w:rsidRPr="00D766D2">
        <w:rPr>
          <w:szCs w:val="22"/>
        </w:rPr>
        <w:t>.</w:t>
      </w:r>
    </w:p>
    <w:p w14:paraId="265D346A" w14:textId="38056E7E" w:rsidR="00794796" w:rsidRDefault="0064259F" w:rsidP="00325A45">
      <w:pPr>
        <w:pStyle w:val="BodyTextFirstIndent"/>
        <w:spacing w:line="276" w:lineRule="auto"/>
        <w:rPr>
          <w:szCs w:val="22"/>
        </w:rPr>
      </w:pPr>
      <w:r w:rsidRPr="00D766D2">
        <w:rPr>
          <w:szCs w:val="22"/>
        </w:rPr>
        <w:t xml:space="preserve">For </w:t>
      </w:r>
      <w:r w:rsidR="00162D89" w:rsidRPr="00D766D2">
        <w:rPr>
          <w:szCs w:val="22"/>
        </w:rPr>
        <w:t>all</w:t>
      </w:r>
      <w:r w:rsidR="00C4578C" w:rsidRPr="00D766D2">
        <w:rPr>
          <w:szCs w:val="22"/>
        </w:rPr>
        <w:t xml:space="preserve"> data collection activities, </w:t>
      </w:r>
      <w:r w:rsidRPr="00D766D2">
        <w:rPr>
          <w:szCs w:val="22"/>
        </w:rPr>
        <w:t xml:space="preserve">the </w:t>
      </w:r>
      <w:r w:rsidR="001057AD" w:rsidRPr="00D766D2">
        <w:rPr>
          <w:szCs w:val="22"/>
        </w:rPr>
        <w:t xml:space="preserve">burden hours </w:t>
      </w:r>
      <w:r w:rsidRPr="00D766D2">
        <w:rPr>
          <w:szCs w:val="22"/>
        </w:rPr>
        <w:t xml:space="preserve">is calculated by multiplying the number of responses </w:t>
      </w:r>
      <w:r w:rsidR="001057AD" w:rsidRPr="00D766D2">
        <w:rPr>
          <w:szCs w:val="22"/>
        </w:rPr>
        <w:t xml:space="preserve">estimated for each year </w:t>
      </w:r>
      <w:r w:rsidRPr="00D766D2">
        <w:rPr>
          <w:szCs w:val="22"/>
        </w:rPr>
        <w:t>by the hours per response.</w:t>
      </w:r>
      <w:r w:rsidR="001057AD" w:rsidRPr="00D766D2">
        <w:rPr>
          <w:szCs w:val="22"/>
        </w:rPr>
        <w:t xml:space="preserve"> </w:t>
      </w:r>
      <w:r w:rsidR="00CF0598">
        <w:rPr>
          <w:szCs w:val="22"/>
        </w:rPr>
        <w:t xml:space="preserve"> These activities are expected to be </w:t>
      </w:r>
      <w:r w:rsidR="002D4EFC">
        <w:rPr>
          <w:szCs w:val="22"/>
        </w:rPr>
        <w:t>initiated and completed</w:t>
      </w:r>
      <w:r w:rsidR="00CF0598">
        <w:rPr>
          <w:szCs w:val="22"/>
        </w:rPr>
        <w:t xml:space="preserve"> within one calendar year</w:t>
      </w:r>
      <w:r w:rsidR="00C86253">
        <w:rPr>
          <w:szCs w:val="22"/>
        </w:rPr>
        <w:t xml:space="preserve"> (2017)</w:t>
      </w:r>
      <w:r w:rsidR="00CF0598">
        <w:rPr>
          <w:szCs w:val="22"/>
        </w:rPr>
        <w:t xml:space="preserve">; therefore </w:t>
      </w:r>
      <w:r w:rsidR="002D4EFC">
        <w:rPr>
          <w:szCs w:val="22"/>
        </w:rPr>
        <w:t>Table 2</w:t>
      </w:r>
      <w:r w:rsidR="00CF0598">
        <w:rPr>
          <w:szCs w:val="22"/>
        </w:rPr>
        <w:t xml:space="preserve"> can be considered an “annual” burden estimate</w:t>
      </w:r>
      <w:r w:rsidR="00C86253">
        <w:rPr>
          <w:szCs w:val="22"/>
        </w:rPr>
        <w:t xml:space="preserve"> for the one calendar year in which burden would be realized</w:t>
      </w:r>
      <w:r w:rsidR="00CF0598">
        <w:rPr>
          <w:szCs w:val="22"/>
        </w:rPr>
        <w:t>.</w:t>
      </w:r>
    </w:p>
    <w:p w14:paraId="7CE16065" w14:textId="77777777" w:rsidR="00CF7EFD" w:rsidRDefault="00CF7EFD" w:rsidP="00CF7EFD">
      <w:pPr>
        <w:pStyle w:val="BodyTextFirstIndent"/>
        <w:spacing w:line="276" w:lineRule="auto"/>
        <w:rPr>
          <w:szCs w:val="22"/>
        </w:rPr>
      </w:pPr>
    </w:p>
    <w:p w14:paraId="1B9854BB" w14:textId="21C91933" w:rsidR="00E234F0" w:rsidRDefault="00E234F0" w:rsidP="00CF7EFD">
      <w:pPr>
        <w:pStyle w:val="Caption"/>
        <w:keepNext/>
        <w:spacing w:after="120"/>
      </w:pPr>
      <w:r>
        <w:t>Table 2: Estima</w:t>
      </w:r>
      <w:r w:rsidR="00CF3B7A">
        <w:t xml:space="preserve">ted Respondent </w:t>
      </w:r>
      <w:r w:rsidR="00CF7EFD">
        <w:t xml:space="preserve">Overall </w:t>
      </w:r>
      <w:r w:rsidR="00CF3B7A">
        <w:t xml:space="preserve">Burden </w:t>
      </w:r>
    </w:p>
    <w:tbl>
      <w:tblPr>
        <w:tblW w:w="9180" w:type="dxa"/>
        <w:jc w:val="center"/>
        <w:tblLook w:val="04A0" w:firstRow="1" w:lastRow="0" w:firstColumn="1" w:lastColumn="0" w:noHBand="0" w:noVBand="1"/>
      </w:tblPr>
      <w:tblGrid>
        <w:gridCol w:w="1836"/>
        <w:gridCol w:w="1836"/>
        <w:gridCol w:w="1836"/>
        <w:gridCol w:w="1836"/>
        <w:gridCol w:w="1836"/>
      </w:tblGrid>
      <w:tr w:rsidR="00CF7EFD" w:rsidRPr="00D766D2" w14:paraId="53D67196" w14:textId="77777777" w:rsidTr="00CF7EFD">
        <w:trPr>
          <w:trHeight w:val="1215"/>
          <w:tblHeader/>
          <w:jc w:val="center"/>
        </w:trPr>
        <w:tc>
          <w:tcPr>
            <w:tcW w:w="1836" w:type="dxa"/>
            <w:tcBorders>
              <w:top w:val="nil"/>
              <w:left w:val="single" w:sz="8" w:space="0" w:color="auto"/>
              <w:bottom w:val="single" w:sz="4" w:space="0" w:color="auto"/>
              <w:right w:val="single" w:sz="4" w:space="0" w:color="auto"/>
            </w:tcBorders>
            <w:shd w:val="clear" w:color="000000" w:fill="BFBFBF"/>
            <w:vAlign w:val="center"/>
            <w:hideMark/>
          </w:tcPr>
          <w:p w14:paraId="4B323012"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single" w:sz="8" w:space="0" w:color="auto"/>
              <w:bottom w:val="single" w:sz="4" w:space="0" w:color="auto"/>
              <w:right w:val="single" w:sz="4" w:space="0" w:color="auto"/>
            </w:tcBorders>
            <w:shd w:val="clear" w:color="000000" w:fill="BFBFBF"/>
            <w:vAlign w:val="center"/>
            <w:hideMark/>
          </w:tcPr>
          <w:p w14:paraId="5F6B04D8"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Estimated Number of Total Responses</w:t>
            </w:r>
          </w:p>
        </w:tc>
        <w:tc>
          <w:tcPr>
            <w:tcW w:w="1836" w:type="dxa"/>
            <w:tcBorders>
              <w:top w:val="nil"/>
              <w:left w:val="nil"/>
              <w:bottom w:val="single" w:sz="4" w:space="0" w:color="auto"/>
              <w:right w:val="single" w:sz="4" w:space="0" w:color="auto"/>
            </w:tcBorders>
            <w:shd w:val="clear" w:color="000000" w:fill="BFBFBF"/>
            <w:vAlign w:val="center"/>
            <w:hideMark/>
          </w:tcPr>
          <w:p w14:paraId="27A5B84C"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Estimated Number of Responses per Respondent</w:t>
            </w:r>
          </w:p>
        </w:tc>
        <w:tc>
          <w:tcPr>
            <w:tcW w:w="1836" w:type="dxa"/>
            <w:tcBorders>
              <w:top w:val="nil"/>
              <w:left w:val="nil"/>
              <w:bottom w:val="single" w:sz="4" w:space="0" w:color="auto"/>
              <w:right w:val="single" w:sz="4" w:space="0" w:color="auto"/>
            </w:tcBorders>
            <w:shd w:val="clear" w:color="000000" w:fill="BFBFBF"/>
            <w:vAlign w:val="center"/>
            <w:hideMark/>
          </w:tcPr>
          <w:p w14:paraId="1B9C0FAE"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 xml:space="preserve">Average Burden per Response (in hours) </w:t>
            </w:r>
          </w:p>
        </w:tc>
        <w:tc>
          <w:tcPr>
            <w:tcW w:w="1836" w:type="dxa"/>
            <w:tcBorders>
              <w:top w:val="nil"/>
              <w:left w:val="nil"/>
              <w:bottom w:val="single" w:sz="4" w:space="0" w:color="auto"/>
              <w:right w:val="single" w:sz="8" w:space="0" w:color="auto"/>
            </w:tcBorders>
            <w:shd w:val="clear" w:color="000000" w:fill="BFBFBF"/>
            <w:vAlign w:val="center"/>
            <w:hideMark/>
          </w:tcPr>
          <w:p w14:paraId="4D125868"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Estimated Total Annual Burden Hours</w:t>
            </w:r>
          </w:p>
        </w:tc>
      </w:tr>
      <w:tr w:rsidR="00CF7EFD" w:rsidRPr="00D766D2" w14:paraId="0B572B65" w14:textId="77777777" w:rsidTr="00CF7EFD">
        <w:trPr>
          <w:trHeight w:val="300"/>
          <w:jc w:val="center"/>
        </w:trPr>
        <w:tc>
          <w:tcPr>
            <w:tcW w:w="1836" w:type="dxa"/>
            <w:tcBorders>
              <w:top w:val="nil"/>
              <w:left w:val="single" w:sz="8" w:space="0" w:color="auto"/>
              <w:bottom w:val="single" w:sz="4" w:space="0" w:color="auto"/>
              <w:right w:val="nil"/>
            </w:tcBorders>
            <w:shd w:val="clear" w:color="000000" w:fill="D8E4BC"/>
            <w:vAlign w:val="center"/>
            <w:hideMark/>
          </w:tcPr>
          <w:p w14:paraId="64D05F3B"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Interviews</w:t>
            </w:r>
          </w:p>
        </w:tc>
        <w:tc>
          <w:tcPr>
            <w:tcW w:w="1836" w:type="dxa"/>
            <w:tcBorders>
              <w:top w:val="nil"/>
              <w:left w:val="nil"/>
              <w:bottom w:val="single" w:sz="4" w:space="0" w:color="auto"/>
              <w:right w:val="nil"/>
            </w:tcBorders>
            <w:shd w:val="clear" w:color="000000" w:fill="D8E4BC"/>
            <w:vAlign w:val="center"/>
            <w:hideMark/>
          </w:tcPr>
          <w:p w14:paraId="28E24F2C"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nil"/>
            </w:tcBorders>
            <w:shd w:val="clear" w:color="000000" w:fill="D8E4BC"/>
            <w:vAlign w:val="center"/>
            <w:hideMark/>
          </w:tcPr>
          <w:p w14:paraId="0D0424AD"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nil"/>
            </w:tcBorders>
            <w:shd w:val="clear" w:color="000000" w:fill="D8E4BC"/>
            <w:vAlign w:val="center"/>
            <w:hideMark/>
          </w:tcPr>
          <w:p w14:paraId="72FFC494"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single" w:sz="8" w:space="0" w:color="auto"/>
            </w:tcBorders>
            <w:shd w:val="clear" w:color="000000" w:fill="D8E4BC"/>
            <w:vAlign w:val="center"/>
            <w:hideMark/>
          </w:tcPr>
          <w:p w14:paraId="592569C2"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r>
      <w:tr w:rsidR="00CF7EFD" w:rsidRPr="00D766D2" w14:paraId="60AFBEE8"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2A287518"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Nurses</w:t>
            </w:r>
          </w:p>
        </w:tc>
        <w:tc>
          <w:tcPr>
            <w:tcW w:w="1836" w:type="dxa"/>
            <w:tcBorders>
              <w:top w:val="nil"/>
              <w:left w:val="nil"/>
              <w:bottom w:val="single" w:sz="4" w:space="0" w:color="auto"/>
              <w:right w:val="nil"/>
            </w:tcBorders>
            <w:shd w:val="clear" w:color="auto" w:fill="auto"/>
            <w:vAlign w:val="center"/>
            <w:hideMark/>
          </w:tcPr>
          <w:p w14:paraId="6D20E46B"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60</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21E7E0BF"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57A5CD3C"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0.50</w:t>
            </w:r>
          </w:p>
        </w:tc>
        <w:tc>
          <w:tcPr>
            <w:tcW w:w="1836" w:type="dxa"/>
            <w:tcBorders>
              <w:top w:val="nil"/>
              <w:left w:val="nil"/>
              <w:bottom w:val="single" w:sz="4" w:space="0" w:color="auto"/>
              <w:right w:val="single" w:sz="8" w:space="0" w:color="auto"/>
            </w:tcBorders>
            <w:shd w:val="clear" w:color="auto" w:fill="auto"/>
            <w:vAlign w:val="center"/>
            <w:hideMark/>
          </w:tcPr>
          <w:p w14:paraId="0EBF6C70"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30</w:t>
            </w:r>
          </w:p>
        </w:tc>
      </w:tr>
      <w:tr w:rsidR="00CF7EFD" w:rsidRPr="00D766D2" w14:paraId="2A4B65E7"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513BA94A"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Physicians</w:t>
            </w:r>
          </w:p>
        </w:tc>
        <w:tc>
          <w:tcPr>
            <w:tcW w:w="1836" w:type="dxa"/>
            <w:tcBorders>
              <w:top w:val="nil"/>
              <w:left w:val="nil"/>
              <w:bottom w:val="single" w:sz="4" w:space="0" w:color="auto"/>
              <w:right w:val="nil"/>
            </w:tcBorders>
            <w:shd w:val="clear" w:color="auto" w:fill="auto"/>
            <w:vAlign w:val="center"/>
            <w:hideMark/>
          </w:tcPr>
          <w:p w14:paraId="78DA6202"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36</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6CEED6AB"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21AE4659"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0.50</w:t>
            </w:r>
          </w:p>
        </w:tc>
        <w:tc>
          <w:tcPr>
            <w:tcW w:w="1836" w:type="dxa"/>
            <w:tcBorders>
              <w:top w:val="nil"/>
              <w:left w:val="nil"/>
              <w:bottom w:val="single" w:sz="4" w:space="0" w:color="auto"/>
              <w:right w:val="single" w:sz="8" w:space="0" w:color="auto"/>
            </w:tcBorders>
            <w:shd w:val="clear" w:color="auto" w:fill="auto"/>
            <w:vAlign w:val="center"/>
            <w:hideMark/>
          </w:tcPr>
          <w:p w14:paraId="35CD9149"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18</w:t>
            </w:r>
          </w:p>
        </w:tc>
      </w:tr>
      <w:tr w:rsidR="00CF7EFD" w:rsidRPr="00D766D2" w14:paraId="6B158C3D"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2991143A"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Caregivers</w:t>
            </w:r>
          </w:p>
        </w:tc>
        <w:tc>
          <w:tcPr>
            <w:tcW w:w="1836" w:type="dxa"/>
            <w:tcBorders>
              <w:top w:val="nil"/>
              <w:left w:val="nil"/>
              <w:bottom w:val="single" w:sz="4" w:space="0" w:color="auto"/>
              <w:right w:val="nil"/>
            </w:tcBorders>
            <w:shd w:val="clear" w:color="auto" w:fill="auto"/>
            <w:vAlign w:val="center"/>
            <w:hideMark/>
          </w:tcPr>
          <w:p w14:paraId="3DC1CF96"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36</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4F457127"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3612BFD5"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08561FFB"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27</w:t>
            </w:r>
          </w:p>
        </w:tc>
      </w:tr>
      <w:tr w:rsidR="00CF7EFD" w:rsidRPr="00D766D2" w14:paraId="794F4BD3"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34B1F8DF"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Manufacturers</w:t>
            </w:r>
          </w:p>
        </w:tc>
        <w:tc>
          <w:tcPr>
            <w:tcW w:w="1836" w:type="dxa"/>
            <w:tcBorders>
              <w:top w:val="nil"/>
              <w:left w:val="nil"/>
              <w:bottom w:val="single" w:sz="4" w:space="0" w:color="auto"/>
              <w:right w:val="nil"/>
            </w:tcBorders>
            <w:shd w:val="clear" w:color="auto" w:fill="auto"/>
            <w:vAlign w:val="center"/>
            <w:hideMark/>
          </w:tcPr>
          <w:p w14:paraId="2AA54E77"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6</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22C001B3"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3B0DFB08"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226434EE"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5</w:t>
            </w:r>
          </w:p>
        </w:tc>
      </w:tr>
      <w:tr w:rsidR="00CF7EFD" w:rsidRPr="00D766D2" w14:paraId="731A4BC0"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721CD4C9"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Distributors</w:t>
            </w:r>
          </w:p>
        </w:tc>
        <w:tc>
          <w:tcPr>
            <w:tcW w:w="1836" w:type="dxa"/>
            <w:tcBorders>
              <w:top w:val="nil"/>
              <w:left w:val="nil"/>
              <w:bottom w:val="single" w:sz="4" w:space="0" w:color="auto"/>
              <w:right w:val="nil"/>
            </w:tcBorders>
            <w:shd w:val="clear" w:color="auto" w:fill="auto"/>
            <w:vAlign w:val="center"/>
            <w:hideMark/>
          </w:tcPr>
          <w:p w14:paraId="571C1C07"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9</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6C6C1FDE"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0B0F7400"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6AE1CA49"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7</w:t>
            </w:r>
          </w:p>
        </w:tc>
      </w:tr>
      <w:tr w:rsidR="00CF7EFD" w:rsidRPr="00D766D2" w14:paraId="139BFB22"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52D9010E"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GPOs</w:t>
            </w:r>
          </w:p>
        </w:tc>
        <w:tc>
          <w:tcPr>
            <w:tcW w:w="1836" w:type="dxa"/>
            <w:tcBorders>
              <w:top w:val="nil"/>
              <w:left w:val="nil"/>
              <w:bottom w:val="single" w:sz="4" w:space="0" w:color="auto"/>
              <w:right w:val="nil"/>
            </w:tcBorders>
            <w:shd w:val="clear" w:color="auto" w:fill="auto"/>
            <w:vAlign w:val="center"/>
            <w:hideMark/>
          </w:tcPr>
          <w:p w14:paraId="6A0A5D1C"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9</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2AA2F203"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482B13B6"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37A016EB"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7</w:t>
            </w:r>
          </w:p>
        </w:tc>
      </w:tr>
      <w:tr w:rsidR="00CF7EFD" w:rsidRPr="00D766D2" w14:paraId="77C13B1F" w14:textId="77777777" w:rsidTr="00CF7EFD">
        <w:trPr>
          <w:trHeight w:val="368"/>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61FDFEF2"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Infusion Suite Companies</w:t>
            </w:r>
          </w:p>
        </w:tc>
        <w:tc>
          <w:tcPr>
            <w:tcW w:w="1836" w:type="dxa"/>
            <w:tcBorders>
              <w:top w:val="nil"/>
              <w:left w:val="nil"/>
              <w:bottom w:val="single" w:sz="4" w:space="0" w:color="auto"/>
              <w:right w:val="nil"/>
            </w:tcBorders>
            <w:shd w:val="clear" w:color="auto" w:fill="auto"/>
            <w:vAlign w:val="center"/>
            <w:hideMark/>
          </w:tcPr>
          <w:p w14:paraId="682A8193"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9</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41B9C150"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0E39FCE5"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61A7A712" w14:textId="77777777" w:rsidR="00CF7EFD" w:rsidRPr="00D766D2" w:rsidRDefault="00CF7EFD" w:rsidP="0031117A">
            <w:pPr>
              <w:widowControl/>
              <w:autoSpaceDE/>
              <w:autoSpaceDN/>
              <w:adjustRightInd/>
              <w:spacing w:line="276" w:lineRule="auto"/>
              <w:jc w:val="center"/>
              <w:rPr>
                <w:color w:val="000000"/>
                <w:sz w:val="20"/>
                <w:szCs w:val="20"/>
              </w:rPr>
            </w:pPr>
            <w:r>
              <w:rPr>
                <w:color w:val="000000"/>
                <w:sz w:val="20"/>
                <w:szCs w:val="20"/>
              </w:rPr>
              <w:t>7</w:t>
            </w:r>
          </w:p>
        </w:tc>
      </w:tr>
      <w:tr w:rsidR="00CF7EFD" w:rsidRPr="00D766D2" w14:paraId="7625A84F"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4B060F72"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Patient Advocates</w:t>
            </w:r>
          </w:p>
        </w:tc>
        <w:tc>
          <w:tcPr>
            <w:tcW w:w="1836" w:type="dxa"/>
            <w:tcBorders>
              <w:top w:val="nil"/>
              <w:left w:val="nil"/>
              <w:bottom w:val="single" w:sz="4" w:space="0" w:color="auto"/>
              <w:right w:val="nil"/>
            </w:tcBorders>
            <w:shd w:val="clear" w:color="auto" w:fill="auto"/>
            <w:vAlign w:val="center"/>
            <w:hideMark/>
          </w:tcPr>
          <w:p w14:paraId="428B5391"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6</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7611C2A1"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22649C57"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0.75</w:t>
            </w:r>
          </w:p>
        </w:tc>
        <w:tc>
          <w:tcPr>
            <w:tcW w:w="1836" w:type="dxa"/>
            <w:tcBorders>
              <w:top w:val="nil"/>
              <w:left w:val="nil"/>
              <w:bottom w:val="single" w:sz="4" w:space="0" w:color="auto"/>
              <w:right w:val="single" w:sz="8" w:space="0" w:color="auto"/>
            </w:tcBorders>
            <w:shd w:val="clear" w:color="auto" w:fill="auto"/>
            <w:vAlign w:val="center"/>
            <w:hideMark/>
          </w:tcPr>
          <w:p w14:paraId="08CE8735"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5</w:t>
            </w:r>
          </w:p>
        </w:tc>
      </w:tr>
      <w:tr w:rsidR="00CF7EFD" w:rsidRPr="00D766D2" w14:paraId="120D8989" w14:textId="77777777" w:rsidTr="00CF7EFD">
        <w:trPr>
          <w:trHeight w:val="315"/>
          <w:jc w:val="center"/>
        </w:trPr>
        <w:tc>
          <w:tcPr>
            <w:tcW w:w="1836" w:type="dxa"/>
            <w:tcBorders>
              <w:top w:val="nil"/>
              <w:left w:val="single" w:sz="8" w:space="0" w:color="auto"/>
              <w:bottom w:val="single" w:sz="4" w:space="0" w:color="auto"/>
              <w:right w:val="nil"/>
            </w:tcBorders>
            <w:shd w:val="clear" w:color="000000" w:fill="D8E4BC"/>
            <w:vAlign w:val="center"/>
            <w:hideMark/>
          </w:tcPr>
          <w:p w14:paraId="1DB6D769"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Survey</w:t>
            </w:r>
          </w:p>
        </w:tc>
        <w:tc>
          <w:tcPr>
            <w:tcW w:w="1836" w:type="dxa"/>
            <w:tcBorders>
              <w:top w:val="nil"/>
              <w:left w:val="nil"/>
              <w:bottom w:val="single" w:sz="4" w:space="0" w:color="auto"/>
              <w:right w:val="nil"/>
            </w:tcBorders>
            <w:shd w:val="clear" w:color="000000" w:fill="D8E4BC"/>
            <w:vAlign w:val="center"/>
            <w:hideMark/>
          </w:tcPr>
          <w:p w14:paraId="0A72A29A"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nil"/>
            </w:tcBorders>
            <w:shd w:val="clear" w:color="000000" w:fill="D8E4BC"/>
            <w:vAlign w:val="center"/>
            <w:hideMark/>
          </w:tcPr>
          <w:p w14:paraId="6AD49E0C"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nil"/>
            </w:tcBorders>
            <w:shd w:val="clear" w:color="000000" w:fill="D8E4BC"/>
            <w:vAlign w:val="center"/>
            <w:hideMark/>
          </w:tcPr>
          <w:p w14:paraId="79C023B9"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c>
          <w:tcPr>
            <w:tcW w:w="1836" w:type="dxa"/>
            <w:tcBorders>
              <w:top w:val="nil"/>
              <w:left w:val="nil"/>
              <w:bottom w:val="single" w:sz="4" w:space="0" w:color="auto"/>
              <w:right w:val="single" w:sz="8" w:space="0" w:color="auto"/>
            </w:tcBorders>
            <w:shd w:val="clear" w:color="000000" w:fill="D8E4BC"/>
            <w:vAlign w:val="center"/>
            <w:hideMark/>
          </w:tcPr>
          <w:p w14:paraId="5B2769AA"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t> </w:t>
            </w:r>
          </w:p>
        </w:tc>
      </w:tr>
      <w:tr w:rsidR="00CF7EFD" w:rsidRPr="00D766D2" w14:paraId="1CEEC219" w14:textId="77777777" w:rsidTr="00CF7EFD">
        <w:trPr>
          <w:trHeight w:val="255"/>
          <w:jc w:val="center"/>
        </w:trPr>
        <w:tc>
          <w:tcPr>
            <w:tcW w:w="1836" w:type="dxa"/>
            <w:tcBorders>
              <w:top w:val="nil"/>
              <w:left w:val="single" w:sz="8" w:space="0" w:color="auto"/>
              <w:bottom w:val="single" w:sz="4" w:space="0" w:color="auto"/>
              <w:right w:val="single" w:sz="4" w:space="0" w:color="auto"/>
            </w:tcBorders>
            <w:shd w:val="clear" w:color="auto" w:fill="auto"/>
            <w:vAlign w:val="center"/>
            <w:hideMark/>
          </w:tcPr>
          <w:p w14:paraId="2C61FA07" w14:textId="77777777" w:rsidR="00CF7EFD" w:rsidRPr="00D766D2" w:rsidRDefault="00CF7EFD" w:rsidP="0031117A">
            <w:pPr>
              <w:widowControl/>
              <w:autoSpaceDE/>
              <w:autoSpaceDN/>
              <w:adjustRightInd/>
              <w:spacing w:line="276" w:lineRule="auto"/>
              <w:rPr>
                <w:color w:val="000000"/>
                <w:sz w:val="20"/>
                <w:szCs w:val="20"/>
              </w:rPr>
            </w:pPr>
            <w:r w:rsidRPr="00D766D2">
              <w:rPr>
                <w:color w:val="000000"/>
                <w:sz w:val="20"/>
                <w:szCs w:val="20"/>
              </w:rPr>
              <w:t>Beneficiaries</w:t>
            </w:r>
          </w:p>
        </w:tc>
        <w:tc>
          <w:tcPr>
            <w:tcW w:w="1836" w:type="dxa"/>
            <w:tcBorders>
              <w:top w:val="nil"/>
              <w:left w:val="nil"/>
              <w:bottom w:val="single" w:sz="4" w:space="0" w:color="auto"/>
              <w:right w:val="nil"/>
            </w:tcBorders>
            <w:shd w:val="clear" w:color="auto" w:fill="auto"/>
            <w:vAlign w:val="center"/>
            <w:hideMark/>
          </w:tcPr>
          <w:p w14:paraId="45C1AD4B"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2,770</w:t>
            </w:r>
          </w:p>
        </w:tc>
        <w:tc>
          <w:tcPr>
            <w:tcW w:w="1836" w:type="dxa"/>
            <w:tcBorders>
              <w:top w:val="nil"/>
              <w:left w:val="single" w:sz="4" w:space="0" w:color="auto"/>
              <w:bottom w:val="single" w:sz="4" w:space="0" w:color="auto"/>
              <w:right w:val="single" w:sz="4" w:space="0" w:color="auto"/>
            </w:tcBorders>
            <w:shd w:val="clear" w:color="auto" w:fill="auto"/>
            <w:vAlign w:val="center"/>
            <w:hideMark/>
          </w:tcPr>
          <w:p w14:paraId="3221EC6A"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1</w:t>
            </w:r>
          </w:p>
        </w:tc>
        <w:tc>
          <w:tcPr>
            <w:tcW w:w="1836" w:type="dxa"/>
            <w:tcBorders>
              <w:top w:val="nil"/>
              <w:left w:val="nil"/>
              <w:bottom w:val="single" w:sz="4" w:space="0" w:color="auto"/>
              <w:right w:val="single" w:sz="4" w:space="0" w:color="auto"/>
            </w:tcBorders>
            <w:shd w:val="clear" w:color="auto" w:fill="auto"/>
            <w:vAlign w:val="center"/>
            <w:hideMark/>
          </w:tcPr>
          <w:p w14:paraId="5A777400" w14:textId="77777777" w:rsidR="00CF7EFD" w:rsidRPr="00D766D2" w:rsidRDefault="00CF7EFD" w:rsidP="0031117A">
            <w:pPr>
              <w:widowControl/>
              <w:autoSpaceDE/>
              <w:autoSpaceDN/>
              <w:adjustRightInd/>
              <w:spacing w:line="276" w:lineRule="auto"/>
              <w:jc w:val="center"/>
              <w:rPr>
                <w:color w:val="000000"/>
                <w:sz w:val="20"/>
                <w:szCs w:val="20"/>
              </w:rPr>
            </w:pPr>
            <w:r w:rsidRPr="00D766D2">
              <w:rPr>
                <w:color w:val="000000"/>
                <w:sz w:val="20"/>
                <w:szCs w:val="20"/>
              </w:rPr>
              <w:t>0.58</w:t>
            </w:r>
          </w:p>
        </w:tc>
        <w:tc>
          <w:tcPr>
            <w:tcW w:w="1836" w:type="dxa"/>
            <w:tcBorders>
              <w:top w:val="nil"/>
              <w:left w:val="nil"/>
              <w:bottom w:val="single" w:sz="4" w:space="0" w:color="auto"/>
              <w:right w:val="single" w:sz="8" w:space="0" w:color="auto"/>
            </w:tcBorders>
            <w:shd w:val="clear" w:color="auto" w:fill="auto"/>
            <w:vAlign w:val="center"/>
            <w:hideMark/>
          </w:tcPr>
          <w:p w14:paraId="33AA0781" w14:textId="77777777" w:rsidR="00CF7EFD" w:rsidRPr="00D766D2" w:rsidRDefault="00CF7EFD" w:rsidP="0031117A">
            <w:pPr>
              <w:widowControl/>
              <w:autoSpaceDE/>
              <w:autoSpaceDN/>
              <w:adjustRightInd/>
              <w:spacing w:line="276" w:lineRule="auto"/>
              <w:jc w:val="center"/>
              <w:rPr>
                <w:color w:val="000000"/>
                <w:sz w:val="20"/>
                <w:szCs w:val="20"/>
              </w:rPr>
            </w:pPr>
            <w:r w:rsidRPr="00B57D19">
              <w:rPr>
                <w:color w:val="000000"/>
                <w:sz w:val="20"/>
                <w:szCs w:val="20"/>
              </w:rPr>
              <w:t>1607</w:t>
            </w:r>
          </w:p>
        </w:tc>
      </w:tr>
      <w:tr w:rsidR="00CF7EFD" w:rsidRPr="00D766D2" w14:paraId="399D7C20" w14:textId="77777777" w:rsidTr="00CF7EFD">
        <w:trPr>
          <w:trHeight w:val="255"/>
          <w:jc w:val="center"/>
        </w:trPr>
        <w:tc>
          <w:tcPr>
            <w:tcW w:w="1836" w:type="dxa"/>
            <w:tcBorders>
              <w:top w:val="nil"/>
              <w:left w:val="single" w:sz="8" w:space="0" w:color="auto"/>
              <w:bottom w:val="single" w:sz="8" w:space="0" w:color="auto"/>
              <w:right w:val="single" w:sz="4" w:space="0" w:color="auto"/>
            </w:tcBorders>
            <w:shd w:val="clear" w:color="000000" w:fill="D9D9D9"/>
            <w:vAlign w:val="center"/>
            <w:hideMark/>
          </w:tcPr>
          <w:p w14:paraId="0E98F195" w14:textId="77777777" w:rsidR="00CF7EFD" w:rsidRPr="00D766D2" w:rsidRDefault="00CF7EFD" w:rsidP="0031117A">
            <w:pPr>
              <w:widowControl/>
              <w:autoSpaceDE/>
              <w:autoSpaceDN/>
              <w:adjustRightInd/>
              <w:spacing w:line="276" w:lineRule="auto"/>
              <w:rPr>
                <w:b/>
                <w:bCs/>
                <w:color w:val="000000"/>
                <w:sz w:val="20"/>
                <w:szCs w:val="20"/>
              </w:rPr>
            </w:pPr>
            <w:r w:rsidRPr="00D766D2">
              <w:rPr>
                <w:b/>
                <w:bCs/>
                <w:color w:val="000000"/>
                <w:sz w:val="20"/>
                <w:szCs w:val="20"/>
              </w:rPr>
              <w:lastRenderedPageBreak/>
              <w:t xml:space="preserve">Grand Total </w:t>
            </w:r>
            <w:r w:rsidRPr="00D766D2">
              <w:rPr>
                <w:b/>
                <w:bCs/>
                <w:color w:val="000000"/>
                <w:sz w:val="20"/>
                <w:szCs w:val="20"/>
              </w:rPr>
              <w:br/>
              <w:t>(Overall Average)</w:t>
            </w:r>
          </w:p>
        </w:tc>
        <w:tc>
          <w:tcPr>
            <w:tcW w:w="1836" w:type="dxa"/>
            <w:tcBorders>
              <w:top w:val="nil"/>
              <w:left w:val="nil"/>
              <w:bottom w:val="single" w:sz="8" w:space="0" w:color="auto"/>
              <w:right w:val="nil"/>
            </w:tcBorders>
            <w:shd w:val="clear" w:color="000000" w:fill="D9D9D9"/>
            <w:vAlign w:val="center"/>
            <w:hideMark/>
          </w:tcPr>
          <w:p w14:paraId="1C7892F5"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2,941</w:t>
            </w:r>
          </w:p>
        </w:tc>
        <w:tc>
          <w:tcPr>
            <w:tcW w:w="1836" w:type="dxa"/>
            <w:tcBorders>
              <w:top w:val="nil"/>
              <w:left w:val="single" w:sz="4" w:space="0" w:color="auto"/>
              <w:bottom w:val="single" w:sz="8" w:space="0" w:color="auto"/>
              <w:right w:val="single" w:sz="4" w:space="0" w:color="auto"/>
            </w:tcBorders>
            <w:shd w:val="clear" w:color="000000" w:fill="D9D9D9"/>
            <w:vAlign w:val="center"/>
            <w:hideMark/>
          </w:tcPr>
          <w:p w14:paraId="58AA92D3"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1</w:t>
            </w:r>
          </w:p>
        </w:tc>
        <w:tc>
          <w:tcPr>
            <w:tcW w:w="1836" w:type="dxa"/>
            <w:tcBorders>
              <w:top w:val="nil"/>
              <w:left w:val="nil"/>
              <w:bottom w:val="single" w:sz="8" w:space="0" w:color="auto"/>
              <w:right w:val="single" w:sz="4" w:space="0" w:color="auto"/>
            </w:tcBorders>
            <w:shd w:val="clear" w:color="000000" w:fill="D9D9D9"/>
            <w:vAlign w:val="center"/>
            <w:hideMark/>
          </w:tcPr>
          <w:p w14:paraId="22CF8FFB" w14:textId="77777777" w:rsidR="00CF7EFD" w:rsidRPr="00D766D2" w:rsidRDefault="00CF7EFD" w:rsidP="0031117A">
            <w:pPr>
              <w:widowControl/>
              <w:autoSpaceDE/>
              <w:autoSpaceDN/>
              <w:adjustRightInd/>
              <w:spacing w:line="276" w:lineRule="auto"/>
              <w:jc w:val="center"/>
              <w:rPr>
                <w:b/>
                <w:bCs/>
                <w:color w:val="000000"/>
                <w:sz w:val="20"/>
                <w:szCs w:val="20"/>
              </w:rPr>
            </w:pPr>
            <w:r w:rsidRPr="00D766D2">
              <w:rPr>
                <w:b/>
                <w:bCs/>
                <w:color w:val="000000"/>
                <w:sz w:val="20"/>
                <w:szCs w:val="20"/>
              </w:rPr>
              <w:t>0.58</w:t>
            </w:r>
          </w:p>
        </w:tc>
        <w:tc>
          <w:tcPr>
            <w:tcW w:w="1836" w:type="dxa"/>
            <w:tcBorders>
              <w:top w:val="nil"/>
              <w:left w:val="nil"/>
              <w:bottom w:val="single" w:sz="8" w:space="0" w:color="auto"/>
              <w:right w:val="single" w:sz="8" w:space="0" w:color="auto"/>
            </w:tcBorders>
            <w:shd w:val="clear" w:color="000000" w:fill="D9D9D9"/>
            <w:vAlign w:val="center"/>
            <w:hideMark/>
          </w:tcPr>
          <w:p w14:paraId="0FD3562B" w14:textId="77777777" w:rsidR="00CF7EFD" w:rsidRPr="00D766D2" w:rsidRDefault="00CF7EFD" w:rsidP="0031117A">
            <w:pPr>
              <w:widowControl/>
              <w:autoSpaceDE/>
              <w:autoSpaceDN/>
              <w:adjustRightInd/>
              <w:spacing w:line="276" w:lineRule="auto"/>
              <w:jc w:val="center"/>
              <w:rPr>
                <w:b/>
                <w:bCs/>
                <w:color w:val="000000"/>
                <w:sz w:val="20"/>
                <w:szCs w:val="20"/>
              </w:rPr>
            </w:pPr>
            <w:r w:rsidRPr="00B57D19">
              <w:rPr>
                <w:b/>
                <w:bCs/>
                <w:color w:val="000000"/>
                <w:sz w:val="20"/>
                <w:szCs w:val="20"/>
              </w:rPr>
              <w:t>1,711</w:t>
            </w:r>
          </w:p>
        </w:tc>
      </w:tr>
    </w:tbl>
    <w:p w14:paraId="1ADEDA2F" w14:textId="77777777" w:rsidR="00CF7EFD" w:rsidRPr="005F41B0" w:rsidRDefault="00CF7EFD" w:rsidP="00CF7EFD">
      <w:pPr>
        <w:pStyle w:val="BodyTextFirstIndent"/>
        <w:spacing w:before="0" w:beforeAutospacing="0" w:line="276" w:lineRule="auto"/>
        <w:ind w:firstLine="0"/>
        <w:rPr>
          <w:szCs w:val="22"/>
        </w:rPr>
      </w:pPr>
      <w:r>
        <w:rPr>
          <w:szCs w:val="22"/>
        </w:rPr>
        <w:t>Note: Totals may not sum and calculations may produce different results due to rounding and truncated inputs.</w:t>
      </w:r>
    </w:p>
    <w:p w14:paraId="1CE2DFB0" w14:textId="2049547B" w:rsidR="000E757B" w:rsidRPr="00B57D19" w:rsidRDefault="00B57D19" w:rsidP="00CF7EFD">
      <w:pPr>
        <w:pStyle w:val="BodyTextFirstIndent"/>
        <w:spacing w:line="276" w:lineRule="auto"/>
        <w:rPr>
          <w:szCs w:val="22"/>
        </w:rPr>
      </w:pPr>
      <w:r>
        <w:rPr>
          <w:szCs w:val="22"/>
        </w:rPr>
        <w:t>T</w:t>
      </w:r>
      <w:r w:rsidR="00370267" w:rsidRPr="00B57D19">
        <w:rPr>
          <w:szCs w:val="22"/>
        </w:rPr>
        <w:t xml:space="preserve">he total </w:t>
      </w:r>
      <w:r w:rsidR="00A1163D" w:rsidRPr="00B57D19">
        <w:rPr>
          <w:szCs w:val="22"/>
        </w:rPr>
        <w:t xml:space="preserve">annual </w:t>
      </w:r>
      <w:r w:rsidR="008F0C1E" w:rsidRPr="00B57D19">
        <w:rPr>
          <w:szCs w:val="22"/>
        </w:rPr>
        <w:t xml:space="preserve">burden </w:t>
      </w:r>
      <w:r w:rsidR="00370267" w:rsidRPr="00B57D19">
        <w:rPr>
          <w:szCs w:val="22"/>
        </w:rPr>
        <w:t xml:space="preserve">cost is calculated by multiplying the </w:t>
      </w:r>
      <w:r w:rsidR="00A1163D" w:rsidRPr="00B57D19">
        <w:rPr>
          <w:szCs w:val="22"/>
        </w:rPr>
        <w:t xml:space="preserve">estimated annual burden hours </w:t>
      </w:r>
      <w:r w:rsidR="00370267" w:rsidRPr="00B57D19">
        <w:rPr>
          <w:szCs w:val="22"/>
        </w:rPr>
        <w:t>by the loaded hourly wage</w:t>
      </w:r>
      <w:r w:rsidR="00A1163D" w:rsidRPr="00B57D19">
        <w:rPr>
          <w:szCs w:val="22"/>
        </w:rPr>
        <w:t xml:space="preserve"> r</w:t>
      </w:r>
      <w:r w:rsidR="00E91B7A">
        <w:rPr>
          <w:szCs w:val="22"/>
        </w:rPr>
        <w:t xml:space="preserve">ate </w:t>
      </w:r>
      <w:r w:rsidR="00370267" w:rsidRPr="00B57D19">
        <w:rPr>
          <w:szCs w:val="22"/>
        </w:rPr>
        <w:t>to derive the total cost for all respondents</w:t>
      </w:r>
      <w:r w:rsidR="008F0C1E" w:rsidRPr="00B57D19">
        <w:rPr>
          <w:szCs w:val="22"/>
        </w:rPr>
        <w:t xml:space="preserve"> (</w:t>
      </w:r>
      <w:r w:rsidR="00CE4DEC">
        <w:rPr>
          <w:szCs w:val="22"/>
        </w:rPr>
        <w:t>Table 3</w:t>
      </w:r>
      <w:r w:rsidR="008F0C1E" w:rsidRPr="00B57D19">
        <w:rPr>
          <w:szCs w:val="22"/>
        </w:rPr>
        <w:t>)</w:t>
      </w:r>
      <w:r w:rsidR="00370267" w:rsidRPr="00B57D19">
        <w:rPr>
          <w:szCs w:val="22"/>
        </w:rPr>
        <w:t>.</w:t>
      </w:r>
      <w:r w:rsidR="00370267" w:rsidRPr="00B57D19">
        <w:rPr>
          <w:szCs w:val="22"/>
        </w:rPr>
        <w:t xml:space="preserve"> </w:t>
      </w:r>
    </w:p>
    <w:p w14:paraId="18653A50" w14:textId="0A6DD142" w:rsidR="00E234F0" w:rsidRPr="00B57D19" w:rsidRDefault="00E234F0" w:rsidP="005010AE">
      <w:pPr>
        <w:pStyle w:val="Caption"/>
        <w:keepNext/>
        <w:spacing w:after="240" w:line="276" w:lineRule="auto"/>
        <w:ind w:right="1440"/>
      </w:pPr>
      <w:r w:rsidRPr="00B57D19">
        <w:t>Table 3: Esti</w:t>
      </w:r>
      <w:r w:rsidR="00CD699A" w:rsidRPr="00B57D19">
        <w:t>mated Respondent Annual Burden C</w:t>
      </w:r>
      <w:r w:rsidRPr="00B57D19">
        <w:t>ost by Year and Overall</w:t>
      </w:r>
    </w:p>
    <w:tbl>
      <w:tblPr>
        <w:tblW w:w="9270" w:type="dxa"/>
        <w:jc w:val="center"/>
        <w:tblLayout w:type="fixed"/>
        <w:tblLook w:val="04A0" w:firstRow="1" w:lastRow="0" w:firstColumn="1" w:lastColumn="0" w:noHBand="0" w:noVBand="1"/>
      </w:tblPr>
      <w:tblGrid>
        <w:gridCol w:w="1980"/>
        <w:gridCol w:w="1800"/>
        <w:gridCol w:w="1800"/>
        <w:gridCol w:w="1890"/>
        <w:gridCol w:w="1800"/>
      </w:tblGrid>
      <w:tr w:rsidR="00883F19" w:rsidRPr="00B57D19" w14:paraId="7C506A71" w14:textId="77777777" w:rsidTr="00CF7EFD">
        <w:trPr>
          <w:trHeight w:val="266"/>
          <w:tblHeader/>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750CC38"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
                <w:bCs/>
                <w:color w:val="000000"/>
                <w:sz w:val="20"/>
                <w:szCs w:val="20"/>
              </w:rPr>
              <w:t>Type of Respondent</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1B72F06"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
                <w:bCs/>
                <w:color w:val="000000"/>
                <w:sz w:val="20"/>
                <w:szCs w:val="20"/>
              </w:rPr>
              <w:t>Hourly Wage Rate (including Benefits)</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93D93D"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
                <w:bCs/>
                <w:color w:val="000000"/>
                <w:sz w:val="20"/>
                <w:szCs w:val="20"/>
              </w:rPr>
              <w:t>Average Burden per Response (in hours)</w:t>
            </w:r>
          </w:p>
        </w:tc>
        <w:tc>
          <w:tcPr>
            <w:tcW w:w="1890" w:type="dxa"/>
            <w:vMerge w:val="restart"/>
            <w:tcBorders>
              <w:top w:val="single" w:sz="4" w:space="0" w:color="auto"/>
              <w:left w:val="single" w:sz="4" w:space="0" w:color="auto"/>
              <w:bottom w:val="single" w:sz="4" w:space="0" w:color="auto"/>
              <w:right w:val="single" w:sz="12" w:space="0" w:color="auto"/>
            </w:tcBorders>
            <w:shd w:val="clear" w:color="000000" w:fill="BFBFBF"/>
            <w:vAlign w:val="center"/>
            <w:hideMark/>
          </w:tcPr>
          <w:p w14:paraId="6201CDC1"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
                <w:bCs/>
                <w:color w:val="000000"/>
                <w:sz w:val="20"/>
                <w:szCs w:val="20"/>
              </w:rPr>
              <w:t>Average Cost per Response</w:t>
            </w:r>
          </w:p>
        </w:tc>
        <w:tc>
          <w:tcPr>
            <w:tcW w:w="1800" w:type="dxa"/>
            <w:vMerge w:val="restart"/>
            <w:tcBorders>
              <w:top w:val="single" w:sz="4" w:space="0" w:color="auto"/>
              <w:left w:val="single" w:sz="12" w:space="0" w:color="auto"/>
              <w:bottom w:val="single" w:sz="4" w:space="0" w:color="auto"/>
              <w:right w:val="single" w:sz="4" w:space="0" w:color="auto"/>
            </w:tcBorders>
            <w:shd w:val="clear" w:color="000000" w:fill="BFBFBF"/>
            <w:vAlign w:val="center"/>
            <w:hideMark/>
          </w:tcPr>
          <w:p w14:paraId="6FBE8DBC" w14:textId="5B8E5572" w:rsidR="00883F19" w:rsidRPr="00B57D19" w:rsidRDefault="00883F19" w:rsidP="00325A45">
            <w:pPr>
              <w:widowControl/>
              <w:autoSpaceDE/>
              <w:autoSpaceDN/>
              <w:adjustRightInd/>
              <w:spacing w:line="276" w:lineRule="auto"/>
              <w:jc w:val="center"/>
              <w:rPr>
                <w:b/>
                <w:bCs/>
                <w:color w:val="000000"/>
                <w:sz w:val="20"/>
                <w:szCs w:val="20"/>
              </w:rPr>
            </w:pPr>
            <w:r w:rsidRPr="00B57D19">
              <w:rPr>
                <w:b/>
                <w:bCs/>
                <w:color w:val="000000"/>
                <w:sz w:val="20"/>
                <w:szCs w:val="20"/>
              </w:rPr>
              <w:t xml:space="preserve">Estimated Total Burden Cost </w:t>
            </w:r>
          </w:p>
        </w:tc>
      </w:tr>
      <w:tr w:rsidR="00883F19" w:rsidRPr="00B57D19" w14:paraId="456B1104" w14:textId="77777777" w:rsidTr="00CF7EFD">
        <w:trPr>
          <w:trHeight w:val="755"/>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41068B6" w14:textId="77777777" w:rsidR="00883F19" w:rsidRPr="00B57D19" w:rsidRDefault="00883F19" w:rsidP="00325A45">
            <w:pPr>
              <w:widowControl/>
              <w:autoSpaceDE/>
              <w:autoSpaceDN/>
              <w:adjustRightInd/>
              <w:spacing w:line="276" w:lineRule="auto"/>
              <w:rPr>
                <w:b/>
                <w:bCs/>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48DEB1A" w14:textId="77777777" w:rsidR="00883F19" w:rsidRPr="00B57D19" w:rsidRDefault="00883F19" w:rsidP="00325A45">
            <w:pPr>
              <w:widowControl/>
              <w:autoSpaceDE/>
              <w:autoSpaceDN/>
              <w:adjustRightInd/>
              <w:spacing w:line="276" w:lineRule="auto"/>
              <w:rPr>
                <w:b/>
                <w:bCs/>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3812E40" w14:textId="77777777" w:rsidR="00883F19" w:rsidRPr="00B57D19" w:rsidRDefault="00883F19" w:rsidP="00325A45">
            <w:pPr>
              <w:widowControl/>
              <w:autoSpaceDE/>
              <w:autoSpaceDN/>
              <w:adjustRightInd/>
              <w:spacing w:line="276" w:lineRule="auto"/>
              <w:rPr>
                <w:b/>
                <w:bCs/>
                <w:color w:val="000000"/>
                <w:sz w:val="20"/>
                <w:szCs w:val="20"/>
              </w:rPr>
            </w:pPr>
          </w:p>
        </w:tc>
        <w:tc>
          <w:tcPr>
            <w:tcW w:w="1890" w:type="dxa"/>
            <w:vMerge/>
            <w:tcBorders>
              <w:top w:val="single" w:sz="4" w:space="0" w:color="auto"/>
              <w:left w:val="single" w:sz="4" w:space="0" w:color="auto"/>
              <w:bottom w:val="single" w:sz="4" w:space="0" w:color="auto"/>
              <w:right w:val="single" w:sz="12" w:space="0" w:color="auto"/>
            </w:tcBorders>
            <w:vAlign w:val="center"/>
            <w:hideMark/>
          </w:tcPr>
          <w:p w14:paraId="0DD7ECA6" w14:textId="77777777" w:rsidR="00883F19" w:rsidRPr="00B57D19" w:rsidRDefault="00883F19" w:rsidP="00325A45">
            <w:pPr>
              <w:widowControl/>
              <w:autoSpaceDE/>
              <w:autoSpaceDN/>
              <w:adjustRightInd/>
              <w:spacing w:line="276" w:lineRule="auto"/>
              <w:rPr>
                <w:b/>
                <w:bCs/>
                <w:color w:val="000000"/>
                <w:sz w:val="20"/>
                <w:szCs w:val="20"/>
              </w:rPr>
            </w:pPr>
          </w:p>
        </w:tc>
        <w:tc>
          <w:tcPr>
            <w:tcW w:w="1800" w:type="dxa"/>
            <w:vMerge/>
            <w:tcBorders>
              <w:top w:val="single" w:sz="4" w:space="0" w:color="auto"/>
              <w:left w:val="single" w:sz="12" w:space="0" w:color="auto"/>
              <w:bottom w:val="single" w:sz="4" w:space="0" w:color="auto"/>
              <w:right w:val="single" w:sz="4" w:space="0" w:color="auto"/>
            </w:tcBorders>
            <w:vAlign w:val="center"/>
            <w:hideMark/>
          </w:tcPr>
          <w:p w14:paraId="3C3B2E46" w14:textId="77777777" w:rsidR="00883F19" w:rsidRPr="00B57D19" w:rsidRDefault="00883F19" w:rsidP="00325A45">
            <w:pPr>
              <w:widowControl/>
              <w:autoSpaceDE/>
              <w:autoSpaceDN/>
              <w:adjustRightInd/>
              <w:spacing w:line="276" w:lineRule="auto"/>
              <w:rPr>
                <w:b/>
                <w:bCs/>
                <w:color w:val="000000"/>
                <w:sz w:val="20"/>
                <w:szCs w:val="20"/>
              </w:rPr>
            </w:pPr>
          </w:p>
        </w:tc>
      </w:tr>
      <w:tr w:rsidR="00883F19" w:rsidRPr="00B57D19" w14:paraId="5275AD63" w14:textId="77777777" w:rsidTr="00CF7EFD">
        <w:trPr>
          <w:trHeight w:val="243"/>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789B46"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Cs/>
                <w:i/>
                <w:color w:val="000000"/>
                <w:sz w:val="16"/>
                <w:szCs w:val="20"/>
              </w:rPr>
              <w:t>column</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99796"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Cs/>
                <w:i/>
                <w:color w:val="000000"/>
                <w:sz w:val="16"/>
                <w:szCs w:val="20"/>
              </w:rPr>
              <w:t>(1)</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691017"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Cs/>
                <w:i/>
                <w:color w:val="000000"/>
                <w:sz w:val="16"/>
                <w:szCs w:val="20"/>
              </w:rPr>
              <w:t>(2)</w:t>
            </w:r>
          </w:p>
        </w:tc>
        <w:tc>
          <w:tcPr>
            <w:tcW w:w="1890"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D9AF77A" w14:textId="77777777" w:rsidR="00883F19" w:rsidRPr="00B57D19" w:rsidRDefault="00883F19" w:rsidP="00325A45">
            <w:pPr>
              <w:widowControl/>
              <w:autoSpaceDE/>
              <w:autoSpaceDN/>
              <w:adjustRightInd/>
              <w:spacing w:line="276" w:lineRule="auto"/>
              <w:jc w:val="center"/>
              <w:rPr>
                <w:b/>
                <w:bCs/>
                <w:color w:val="000000"/>
                <w:sz w:val="20"/>
                <w:szCs w:val="20"/>
              </w:rPr>
            </w:pPr>
            <w:r w:rsidRPr="00B57D19">
              <w:rPr>
                <w:bCs/>
                <w:i/>
                <w:color w:val="000000"/>
                <w:sz w:val="16"/>
                <w:szCs w:val="20"/>
              </w:rPr>
              <w:t>(3)=(1)*(2)</w:t>
            </w:r>
          </w:p>
        </w:tc>
        <w:tc>
          <w:tcPr>
            <w:tcW w:w="1800"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530212D" w14:textId="53506E33" w:rsidR="00883F19" w:rsidRPr="00B57D19" w:rsidRDefault="00883F19" w:rsidP="00325A45">
            <w:pPr>
              <w:widowControl/>
              <w:autoSpaceDE/>
              <w:autoSpaceDN/>
              <w:adjustRightInd/>
              <w:spacing w:line="276" w:lineRule="auto"/>
              <w:jc w:val="center"/>
              <w:rPr>
                <w:b/>
                <w:bCs/>
                <w:color w:val="000000"/>
                <w:sz w:val="20"/>
                <w:szCs w:val="20"/>
              </w:rPr>
            </w:pPr>
            <w:r w:rsidRPr="00B57D19">
              <w:rPr>
                <w:bCs/>
                <w:i/>
                <w:color w:val="000000"/>
                <w:sz w:val="16"/>
                <w:szCs w:val="20"/>
              </w:rPr>
              <w:t>(4)</w:t>
            </w:r>
          </w:p>
        </w:tc>
      </w:tr>
      <w:tr w:rsidR="00883F19" w:rsidRPr="00B57D19" w14:paraId="0B6CAAD1" w14:textId="77777777" w:rsidTr="00CF7EFD">
        <w:trPr>
          <w:trHeight w:val="317"/>
          <w:jc w:val="center"/>
        </w:trPr>
        <w:tc>
          <w:tcPr>
            <w:tcW w:w="9270" w:type="dxa"/>
            <w:gridSpan w:val="5"/>
            <w:tcBorders>
              <w:top w:val="single" w:sz="4" w:space="0" w:color="auto"/>
              <w:left w:val="single" w:sz="4" w:space="0" w:color="auto"/>
              <w:bottom w:val="single" w:sz="4" w:space="0" w:color="auto"/>
              <w:right w:val="single" w:sz="4" w:space="0" w:color="auto"/>
            </w:tcBorders>
            <w:shd w:val="clear" w:color="000000" w:fill="D8E4BC"/>
            <w:vAlign w:val="center"/>
            <w:hideMark/>
          </w:tcPr>
          <w:p w14:paraId="44F879FD" w14:textId="22C7DF03" w:rsidR="00883F19" w:rsidRPr="00B57D19" w:rsidRDefault="00B57D19" w:rsidP="00325A45">
            <w:pPr>
              <w:spacing w:line="276" w:lineRule="auto"/>
              <w:rPr>
                <w:b/>
                <w:bCs/>
                <w:color w:val="000000"/>
                <w:sz w:val="20"/>
                <w:szCs w:val="20"/>
              </w:rPr>
            </w:pPr>
            <w:r w:rsidRPr="00B57D19">
              <w:rPr>
                <w:b/>
                <w:bCs/>
                <w:color w:val="000000"/>
                <w:sz w:val="20"/>
                <w:szCs w:val="20"/>
              </w:rPr>
              <w:t>Interviews</w:t>
            </w:r>
          </w:p>
        </w:tc>
      </w:tr>
      <w:tr w:rsidR="00883F19" w:rsidRPr="00B57D19" w14:paraId="55877477"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2E1C77A"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Nurses</w:t>
            </w:r>
          </w:p>
        </w:tc>
        <w:tc>
          <w:tcPr>
            <w:tcW w:w="1800" w:type="dxa"/>
            <w:tcBorders>
              <w:top w:val="nil"/>
              <w:left w:val="nil"/>
              <w:bottom w:val="single" w:sz="4" w:space="0" w:color="auto"/>
              <w:right w:val="single" w:sz="4" w:space="0" w:color="auto"/>
            </w:tcBorders>
            <w:shd w:val="clear" w:color="auto" w:fill="auto"/>
            <w:noWrap/>
            <w:vAlign w:val="center"/>
            <w:hideMark/>
          </w:tcPr>
          <w:p w14:paraId="0AAE6BF7" w14:textId="26B0A423"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$64.08 </w:t>
            </w:r>
          </w:p>
        </w:tc>
        <w:tc>
          <w:tcPr>
            <w:tcW w:w="1800" w:type="dxa"/>
            <w:tcBorders>
              <w:top w:val="nil"/>
              <w:left w:val="nil"/>
              <w:bottom w:val="single" w:sz="4" w:space="0" w:color="auto"/>
              <w:right w:val="single" w:sz="4" w:space="0" w:color="auto"/>
            </w:tcBorders>
            <w:shd w:val="clear" w:color="auto" w:fill="auto"/>
            <w:vAlign w:val="center"/>
            <w:hideMark/>
          </w:tcPr>
          <w:p w14:paraId="607091A2"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0.50</w:t>
            </w:r>
          </w:p>
        </w:tc>
        <w:tc>
          <w:tcPr>
            <w:tcW w:w="1890" w:type="dxa"/>
            <w:tcBorders>
              <w:top w:val="nil"/>
              <w:left w:val="nil"/>
              <w:bottom w:val="single" w:sz="4" w:space="0" w:color="auto"/>
              <w:right w:val="single" w:sz="12" w:space="0" w:color="auto"/>
            </w:tcBorders>
            <w:shd w:val="clear" w:color="auto" w:fill="auto"/>
            <w:noWrap/>
            <w:vAlign w:val="center"/>
            <w:hideMark/>
          </w:tcPr>
          <w:p w14:paraId="598FE8D0" w14:textId="721DF44D"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$32.04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042D3644" w14:textId="161026B2"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$1,922</w:t>
            </w:r>
          </w:p>
        </w:tc>
      </w:tr>
      <w:tr w:rsidR="00883F19" w:rsidRPr="00B57D19" w14:paraId="2E46A3D3"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88BE80D"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Physicians</w:t>
            </w:r>
          </w:p>
        </w:tc>
        <w:tc>
          <w:tcPr>
            <w:tcW w:w="1800" w:type="dxa"/>
            <w:tcBorders>
              <w:top w:val="nil"/>
              <w:left w:val="nil"/>
              <w:bottom w:val="single" w:sz="4" w:space="0" w:color="auto"/>
              <w:right w:val="single" w:sz="4" w:space="0" w:color="auto"/>
            </w:tcBorders>
            <w:shd w:val="clear" w:color="auto" w:fill="auto"/>
            <w:noWrap/>
            <w:vAlign w:val="center"/>
            <w:hideMark/>
          </w:tcPr>
          <w:p w14:paraId="3A520700" w14:textId="57B6CE04"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$183.20 </w:t>
            </w:r>
          </w:p>
        </w:tc>
        <w:tc>
          <w:tcPr>
            <w:tcW w:w="1800" w:type="dxa"/>
            <w:tcBorders>
              <w:top w:val="nil"/>
              <w:left w:val="nil"/>
              <w:bottom w:val="single" w:sz="4" w:space="0" w:color="auto"/>
              <w:right w:val="single" w:sz="4" w:space="0" w:color="auto"/>
            </w:tcBorders>
            <w:shd w:val="clear" w:color="auto" w:fill="auto"/>
            <w:vAlign w:val="center"/>
            <w:hideMark/>
          </w:tcPr>
          <w:p w14:paraId="77E36164"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0.50</w:t>
            </w:r>
          </w:p>
        </w:tc>
        <w:tc>
          <w:tcPr>
            <w:tcW w:w="1890" w:type="dxa"/>
            <w:tcBorders>
              <w:top w:val="nil"/>
              <w:left w:val="nil"/>
              <w:bottom w:val="single" w:sz="4" w:space="0" w:color="auto"/>
              <w:right w:val="single" w:sz="12" w:space="0" w:color="auto"/>
            </w:tcBorders>
            <w:shd w:val="clear" w:color="auto" w:fill="auto"/>
            <w:noWrap/>
            <w:vAlign w:val="center"/>
            <w:hideMark/>
          </w:tcPr>
          <w:p w14:paraId="691C23B9" w14:textId="0F8B5A1C"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$91.60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197EBDDE" w14:textId="6AD75BAD"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$3</w:t>
            </w:r>
            <w:r w:rsidR="00B57D19" w:rsidRPr="00B57D19">
              <w:rPr>
                <w:color w:val="000000"/>
                <w:sz w:val="20"/>
                <w:szCs w:val="20"/>
              </w:rPr>
              <w:t>,298</w:t>
            </w:r>
          </w:p>
        </w:tc>
      </w:tr>
      <w:tr w:rsidR="00883F19" w:rsidRPr="00B57D19" w14:paraId="7E06F3EB"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70795A4"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Caregivers</w:t>
            </w:r>
          </w:p>
        </w:tc>
        <w:tc>
          <w:tcPr>
            <w:tcW w:w="1800" w:type="dxa"/>
            <w:tcBorders>
              <w:top w:val="nil"/>
              <w:left w:val="nil"/>
              <w:bottom w:val="single" w:sz="4" w:space="0" w:color="auto"/>
              <w:right w:val="single" w:sz="4" w:space="0" w:color="auto"/>
            </w:tcBorders>
            <w:shd w:val="clear" w:color="auto" w:fill="auto"/>
            <w:noWrap/>
            <w:vAlign w:val="center"/>
            <w:hideMark/>
          </w:tcPr>
          <w:p w14:paraId="29049310" w14:textId="306D3FA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$34.18 </w:t>
            </w:r>
          </w:p>
        </w:tc>
        <w:tc>
          <w:tcPr>
            <w:tcW w:w="1800" w:type="dxa"/>
            <w:tcBorders>
              <w:top w:val="nil"/>
              <w:left w:val="nil"/>
              <w:bottom w:val="single" w:sz="4" w:space="0" w:color="auto"/>
              <w:right w:val="single" w:sz="4" w:space="0" w:color="auto"/>
            </w:tcBorders>
            <w:shd w:val="clear" w:color="auto" w:fill="auto"/>
            <w:vAlign w:val="center"/>
            <w:hideMark/>
          </w:tcPr>
          <w:p w14:paraId="2F8AA887"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7570031B" w14:textId="116AB3AA"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$25.64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2C2762D3" w14:textId="048C9D26"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$923</w:t>
            </w:r>
          </w:p>
        </w:tc>
      </w:tr>
      <w:tr w:rsidR="00883F19" w:rsidRPr="00B57D19" w14:paraId="52DB1887"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C87235"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Manufacturers</w:t>
            </w:r>
          </w:p>
        </w:tc>
        <w:tc>
          <w:tcPr>
            <w:tcW w:w="1800" w:type="dxa"/>
            <w:tcBorders>
              <w:top w:val="nil"/>
              <w:left w:val="nil"/>
              <w:bottom w:val="single" w:sz="4" w:space="0" w:color="auto"/>
              <w:right w:val="single" w:sz="4" w:space="0" w:color="auto"/>
            </w:tcBorders>
            <w:shd w:val="clear" w:color="auto" w:fill="auto"/>
            <w:noWrap/>
            <w:vAlign w:val="center"/>
            <w:hideMark/>
          </w:tcPr>
          <w:p w14:paraId="03D25491" w14:textId="31A82A2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$93.50 </w:t>
            </w:r>
          </w:p>
        </w:tc>
        <w:tc>
          <w:tcPr>
            <w:tcW w:w="1800" w:type="dxa"/>
            <w:tcBorders>
              <w:top w:val="nil"/>
              <w:left w:val="nil"/>
              <w:bottom w:val="single" w:sz="4" w:space="0" w:color="auto"/>
              <w:right w:val="single" w:sz="4" w:space="0" w:color="auto"/>
            </w:tcBorders>
            <w:shd w:val="clear" w:color="auto" w:fill="auto"/>
            <w:vAlign w:val="center"/>
            <w:hideMark/>
          </w:tcPr>
          <w:p w14:paraId="3702F526"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07838EAC" w14:textId="29D9375B"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$70.13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0D5D643C" w14:textId="2F5705E0"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$421</w:t>
            </w:r>
          </w:p>
        </w:tc>
      </w:tr>
      <w:tr w:rsidR="00883F19" w:rsidRPr="00B57D19" w14:paraId="3E090887"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48DEDE"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Distributors</w:t>
            </w:r>
          </w:p>
        </w:tc>
        <w:tc>
          <w:tcPr>
            <w:tcW w:w="1800" w:type="dxa"/>
            <w:tcBorders>
              <w:top w:val="nil"/>
              <w:left w:val="nil"/>
              <w:bottom w:val="single" w:sz="4" w:space="0" w:color="auto"/>
              <w:right w:val="single" w:sz="4" w:space="0" w:color="auto"/>
            </w:tcBorders>
            <w:shd w:val="clear" w:color="auto" w:fill="auto"/>
            <w:noWrap/>
            <w:vAlign w:val="center"/>
            <w:hideMark/>
          </w:tcPr>
          <w:p w14:paraId="189AACBD" w14:textId="02B53988"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$93.50 </w:t>
            </w:r>
          </w:p>
        </w:tc>
        <w:tc>
          <w:tcPr>
            <w:tcW w:w="1800" w:type="dxa"/>
            <w:tcBorders>
              <w:top w:val="nil"/>
              <w:left w:val="nil"/>
              <w:bottom w:val="single" w:sz="4" w:space="0" w:color="auto"/>
              <w:right w:val="single" w:sz="4" w:space="0" w:color="auto"/>
            </w:tcBorders>
            <w:shd w:val="clear" w:color="auto" w:fill="auto"/>
            <w:vAlign w:val="center"/>
            <w:hideMark/>
          </w:tcPr>
          <w:p w14:paraId="00E18A15"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677AFCAD" w14:textId="0A188D9F"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$70.13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593E1719" w14:textId="01C41395"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$631</w:t>
            </w:r>
          </w:p>
        </w:tc>
      </w:tr>
      <w:tr w:rsidR="00883F19" w:rsidRPr="00B57D19" w14:paraId="4E936002"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B9909D7"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GPOs</w:t>
            </w:r>
          </w:p>
        </w:tc>
        <w:tc>
          <w:tcPr>
            <w:tcW w:w="1800" w:type="dxa"/>
            <w:tcBorders>
              <w:top w:val="nil"/>
              <w:left w:val="nil"/>
              <w:bottom w:val="single" w:sz="4" w:space="0" w:color="auto"/>
              <w:right w:val="single" w:sz="4" w:space="0" w:color="auto"/>
            </w:tcBorders>
            <w:shd w:val="clear" w:color="auto" w:fill="auto"/>
            <w:noWrap/>
            <w:vAlign w:val="center"/>
            <w:hideMark/>
          </w:tcPr>
          <w:p w14:paraId="391B8567" w14:textId="40BBC5F1"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$93.50 </w:t>
            </w:r>
          </w:p>
        </w:tc>
        <w:tc>
          <w:tcPr>
            <w:tcW w:w="1800" w:type="dxa"/>
            <w:tcBorders>
              <w:top w:val="nil"/>
              <w:left w:val="nil"/>
              <w:bottom w:val="single" w:sz="4" w:space="0" w:color="auto"/>
              <w:right w:val="single" w:sz="4" w:space="0" w:color="auto"/>
            </w:tcBorders>
            <w:shd w:val="clear" w:color="auto" w:fill="auto"/>
            <w:vAlign w:val="center"/>
            <w:hideMark/>
          </w:tcPr>
          <w:p w14:paraId="6FD9837A"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0695CEF8" w14:textId="6215D9C4"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$70.13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0650387A" w14:textId="7B156B29"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$631</w:t>
            </w:r>
          </w:p>
        </w:tc>
      </w:tr>
      <w:tr w:rsidR="00883F19" w:rsidRPr="00B57D19" w14:paraId="7A6CF982" w14:textId="77777777" w:rsidTr="00CF7EFD">
        <w:trPr>
          <w:trHeight w:val="514"/>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6D715B4"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Infusion Suite Companies</w:t>
            </w:r>
          </w:p>
        </w:tc>
        <w:tc>
          <w:tcPr>
            <w:tcW w:w="1800" w:type="dxa"/>
            <w:tcBorders>
              <w:top w:val="nil"/>
              <w:left w:val="nil"/>
              <w:bottom w:val="single" w:sz="4" w:space="0" w:color="auto"/>
              <w:right w:val="single" w:sz="4" w:space="0" w:color="auto"/>
            </w:tcBorders>
            <w:shd w:val="clear" w:color="auto" w:fill="auto"/>
            <w:noWrap/>
            <w:vAlign w:val="center"/>
            <w:hideMark/>
          </w:tcPr>
          <w:p w14:paraId="0468603A" w14:textId="78C65E21"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$93.50 </w:t>
            </w:r>
          </w:p>
        </w:tc>
        <w:tc>
          <w:tcPr>
            <w:tcW w:w="1800" w:type="dxa"/>
            <w:tcBorders>
              <w:top w:val="nil"/>
              <w:left w:val="nil"/>
              <w:bottom w:val="single" w:sz="4" w:space="0" w:color="auto"/>
              <w:right w:val="single" w:sz="4" w:space="0" w:color="auto"/>
            </w:tcBorders>
            <w:shd w:val="clear" w:color="auto" w:fill="auto"/>
            <w:vAlign w:val="center"/>
            <w:hideMark/>
          </w:tcPr>
          <w:p w14:paraId="33404FA3"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453BED64" w14:textId="2C37867C"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$70.13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398690C7" w14:textId="128F369B"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$631</w:t>
            </w:r>
          </w:p>
        </w:tc>
      </w:tr>
      <w:tr w:rsidR="00883F19" w:rsidRPr="00B57D19" w14:paraId="1B33044F"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1ACE604"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Patient Advocates</w:t>
            </w:r>
          </w:p>
        </w:tc>
        <w:tc>
          <w:tcPr>
            <w:tcW w:w="1800" w:type="dxa"/>
            <w:tcBorders>
              <w:top w:val="nil"/>
              <w:left w:val="nil"/>
              <w:bottom w:val="single" w:sz="4" w:space="0" w:color="auto"/>
              <w:right w:val="single" w:sz="4" w:space="0" w:color="auto"/>
            </w:tcBorders>
            <w:shd w:val="clear" w:color="auto" w:fill="auto"/>
            <w:noWrap/>
            <w:vAlign w:val="center"/>
            <w:hideMark/>
          </w:tcPr>
          <w:p w14:paraId="2100EF9C" w14:textId="145299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$93.50 </w:t>
            </w:r>
          </w:p>
        </w:tc>
        <w:tc>
          <w:tcPr>
            <w:tcW w:w="1800" w:type="dxa"/>
            <w:tcBorders>
              <w:top w:val="nil"/>
              <w:left w:val="nil"/>
              <w:bottom w:val="single" w:sz="4" w:space="0" w:color="auto"/>
              <w:right w:val="single" w:sz="4" w:space="0" w:color="auto"/>
            </w:tcBorders>
            <w:shd w:val="clear" w:color="auto" w:fill="auto"/>
            <w:vAlign w:val="center"/>
            <w:hideMark/>
          </w:tcPr>
          <w:p w14:paraId="3BF50A70"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0.75</w:t>
            </w:r>
          </w:p>
        </w:tc>
        <w:tc>
          <w:tcPr>
            <w:tcW w:w="1890" w:type="dxa"/>
            <w:tcBorders>
              <w:top w:val="nil"/>
              <w:left w:val="nil"/>
              <w:bottom w:val="single" w:sz="4" w:space="0" w:color="auto"/>
              <w:right w:val="single" w:sz="12" w:space="0" w:color="auto"/>
            </w:tcBorders>
            <w:shd w:val="clear" w:color="auto" w:fill="auto"/>
            <w:noWrap/>
            <w:vAlign w:val="center"/>
            <w:hideMark/>
          </w:tcPr>
          <w:p w14:paraId="429E5190" w14:textId="754DB668"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$70.13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547803B4" w14:textId="65C09827"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$421</w:t>
            </w:r>
          </w:p>
        </w:tc>
      </w:tr>
      <w:tr w:rsidR="00883F19" w:rsidRPr="00B57D19" w14:paraId="7387ED50" w14:textId="77777777" w:rsidTr="00CF7EFD">
        <w:trPr>
          <w:trHeight w:val="257"/>
          <w:jc w:val="center"/>
        </w:trPr>
        <w:tc>
          <w:tcPr>
            <w:tcW w:w="9270" w:type="dxa"/>
            <w:gridSpan w:val="5"/>
            <w:tcBorders>
              <w:top w:val="single" w:sz="4" w:space="0" w:color="auto"/>
              <w:left w:val="single" w:sz="4" w:space="0" w:color="auto"/>
              <w:bottom w:val="single" w:sz="4" w:space="0" w:color="auto"/>
              <w:right w:val="single" w:sz="4" w:space="0" w:color="auto"/>
            </w:tcBorders>
            <w:shd w:val="clear" w:color="000000" w:fill="D8E4BC"/>
            <w:vAlign w:val="center"/>
            <w:hideMark/>
          </w:tcPr>
          <w:p w14:paraId="1878F627" w14:textId="243AD909" w:rsidR="00883F19" w:rsidRPr="00B57D19" w:rsidRDefault="00B57D19" w:rsidP="00325A45">
            <w:pPr>
              <w:spacing w:line="276" w:lineRule="auto"/>
              <w:rPr>
                <w:b/>
                <w:bCs/>
                <w:color w:val="000000"/>
                <w:sz w:val="20"/>
                <w:szCs w:val="20"/>
              </w:rPr>
            </w:pPr>
            <w:r w:rsidRPr="00B57D19">
              <w:rPr>
                <w:b/>
                <w:bCs/>
                <w:color w:val="000000"/>
                <w:sz w:val="20"/>
                <w:szCs w:val="20"/>
              </w:rPr>
              <w:t>Survey</w:t>
            </w:r>
          </w:p>
        </w:tc>
      </w:tr>
      <w:tr w:rsidR="00883F19" w:rsidRPr="00B57D19" w14:paraId="0852AD9D" w14:textId="77777777" w:rsidTr="00CF7EFD">
        <w:trPr>
          <w:trHeight w:val="257"/>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0A80A47" w14:textId="77777777" w:rsidR="00883F19" w:rsidRPr="00B57D19" w:rsidRDefault="00883F19" w:rsidP="00325A45">
            <w:pPr>
              <w:widowControl/>
              <w:autoSpaceDE/>
              <w:autoSpaceDN/>
              <w:adjustRightInd/>
              <w:spacing w:line="276" w:lineRule="auto"/>
              <w:rPr>
                <w:color w:val="000000"/>
                <w:sz w:val="20"/>
                <w:szCs w:val="20"/>
              </w:rPr>
            </w:pPr>
            <w:r w:rsidRPr="00B57D19">
              <w:rPr>
                <w:color w:val="000000"/>
                <w:sz w:val="20"/>
                <w:szCs w:val="20"/>
              </w:rPr>
              <w:t>Beneficiaries</w:t>
            </w:r>
          </w:p>
        </w:tc>
        <w:tc>
          <w:tcPr>
            <w:tcW w:w="1800" w:type="dxa"/>
            <w:tcBorders>
              <w:top w:val="nil"/>
              <w:left w:val="nil"/>
              <w:bottom w:val="single" w:sz="4" w:space="0" w:color="auto"/>
              <w:right w:val="single" w:sz="4" w:space="0" w:color="auto"/>
            </w:tcBorders>
            <w:shd w:val="clear" w:color="auto" w:fill="auto"/>
            <w:noWrap/>
            <w:vAlign w:val="center"/>
            <w:hideMark/>
          </w:tcPr>
          <w:p w14:paraId="099F1525"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$24.48 </w:t>
            </w:r>
          </w:p>
        </w:tc>
        <w:tc>
          <w:tcPr>
            <w:tcW w:w="1800" w:type="dxa"/>
            <w:tcBorders>
              <w:top w:val="nil"/>
              <w:left w:val="nil"/>
              <w:bottom w:val="single" w:sz="4" w:space="0" w:color="auto"/>
              <w:right w:val="single" w:sz="4" w:space="0" w:color="auto"/>
            </w:tcBorders>
            <w:shd w:val="clear" w:color="auto" w:fill="auto"/>
            <w:vAlign w:val="center"/>
            <w:hideMark/>
          </w:tcPr>
          <w:p w14:paraId="36FAEDA1"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0.58</w:t>
            </w:r>
          </w:p>
        </w:tc>
        <w:tc>
          <w:tcPr>
            <w:tcW w:w="1890" w:type="dxa"/>
            <w:tcBorders>
              <w:top w:val="nil"/>
              <w:left w:val="nil"/>
              <w:bottom w:val="single" w:sz="4" w:space="0" w:color="auto"/>
              <w:right w:val="single" w:sz="12" w:space="0" w:color="auto"/>
            </w:tcBorders>
            <w:shd w:val="clear" w:color="auto" w:fill="auto"/>
            <w:noWrap/>
            <w:vAlign w:val="center"/>
            <w:hideMark/>
          </w:tcPr>
          <w:p w14:paraId="537B1460" w14:textId="77777777" w:rsidR="00883F19" w:rsidRPr="00B57D19" w:rsidRDefault="00883F19" w:rsidP="00325A45">
            <w:pPr>
              <w:widowControl/>
              <w:autoSpaceDE/>
              <w:autoSpaceDN/>
              <w:adjustRightInd/>
              <w:spacing w:line="276" w:lineRule="auto"/>
              <w:jc w:val="center"/>
              <w:rPr>
                <w:color w:val="000000"/>
                <w:sz w:val="20"/>
                <w:szCs w:val="20"/>
              </w:rPr>
            </w:pPr>
            <w:r w:rsidRPr="00B57D19">
              <w:rPr>
                <w:color w:val="000000"/>
                <w:sz w:val="20"/>
                <w:szCs w:val="20"/>
              </w:rPr>
              <w:t xml:space="preserve">$14.20 </w:t>
            </w:r>
          </w:p>
        </w:tc>
        <w:tc>
          <w:tcPr>
            <w:tcW w:w="1800" w:type="dxa"/>
            <w:tcBorders>
              <w:top w:val="nil"/>
              <w:left w:val="single" w:sz="12" w:space="0" w:color="auto"/>
              <w:bottom w:val="single" w:sz="4" w:space="0" w:color="auto"/>
              <w:right w:val="single" w:sz="4" w:space="0" w:color="auto"/>
            </w:tcBorders>
            <w:shd w:val="clear" w:color="auto" w:fill="auto"/>
            <w:vAlign w:val="center"/>
            <w:hideMark/>
          </w:tcPr>
          <w:p w14:paraId="752E3275" w14:textId="3637036E" w:rsidR="00883F19" w:rsidRPr="00B57D19" w:rsidRDefault="00B57D19" w:rsidP="00325A45">
            <w:pPr>
              <w:widowControl/>
              <w:autoSpaceDE/>
              <w:autoSpaceDN/>
              <w:adjustRightInd/>
              <w:spacing w:line="276" w:lineRule="auto"/>
              <w:jc w:val="center"/>
              <w:rPr>
                <w:color w:val="000000"/>
                <w:sz w:val="20"/>
                <w:szCs w:val="20"/>
              </w:rPr>
            </w:pPr>
            <w:r w:rsidRPr="00B57D19">
              <w:rPr>
                <w:color w:val="000000"/>
                <w:sz w:val="20"/>
                <w:szCs w:val="20"/>
              </w:rPr>
              <w:t>$54,914</w:t>
            </w:r>
          </w:p>
        </w:tc>
      </w:tr>
      <w:tr w:rsidR="00883F19" w:rsidRPr="00B57D19" w14:paraId="0860A4EC" w14:textId="77777777" w:rsidTr="00CF7EFD">
        <w:trPr>
          <w:trHeight w:val="257"/>
          <w:jc w:val="center"/>
        </w:trPr>
        <w:tc>
          <w:tcPr>
            <w:tcW w:w="1980" w:type="dxa"/>
            <w:tcBorders>
              <w:top w:val="nil"/>
              <w:left w:val="single" w:sz="4" w:space="0" w:color="auto"/>
              <w:bottom w:val="single" w:sz="2" w:space="0" w:color="auto"/>
              <w:right w:val="single" w:sz="4" w:space="0" w:color="auto"/>
            </w:tcBorders>
            <w:shd w:val="clear" w:color="000000" w:fill="D9D9D9"/>
            <w:vAlign w:val="center"/>
            <w:hideMark/>
          </w:tcPr>
          <w:p w14:paraId="66DB244B" w14:textId="77777777" w:rsidR="00883F19" w:rsidRPr="00B57D19" w:rsidRDefault="00883F19" w:rsidP="00325A45">
            <w:pPr>
              <w:widowControl/>
              <w:autoSpaceDE/>
              <w:autoSpaceDN/>
              <w:adjustRightInd/>
              <w:spacing w:line="276" w:lineRule="auto"/>
              <w:rPr>
                <w:b/>
                <w:bCs/>
                <w:color w:val="000000"/>
                <w:sz w:val="20"/>
                <w:szCs w:val="20"/>
              </w:rPr>
            </w:pPr>
            <w:r w:rsidRPr="00B57D19">
              <w:rPr>
                <w:b/>
                <w:bCs/>
                <w:color w:val="000000"/>
                <w:sz w:val="20"/>
                <w:szCs w:val="20"/>
              </w:rPr>
              <w:t>Grand Total</w:t>
            </w:r>
          </w:p>
        </w:tc>
        <w:tc>
          <w:tcPr>
            <w:tcW w:w="1800" w:type="dxa"/>
            <w:tcBorders>
              <w:top w:val="nil"/>
              <w:left w:val="nil"/>
              <w:bottom w:val="single" w:sz="2" w:space="0" w:color="auto"/>
              <w:right w:val="single" w:sz="4" w:space="0" w:color="auto"/>
            </w:tcBorders>
            <w:shd w:val="clear" w:color="000000" w:fill="D9D9D9"/>
            <w:noWrap/>
            <w:vAlign w:val="center"/>
            <w:hideMark/>
          </w:tcPr>
          <w:p w14:paraId="000C3D4C" w14:textId="77777777" w:rsidR="00883F19" w:rsidRPr="00B57D19" w:rsidRDefault="00883F19" w:rsidP="00325A45">
            <w:pPr>
              <w:widowControl/>
              <w:autoSpaceDE/>
              <w:autoSpaceDN/>
              <w:adjustRightInd/>
              <w:spacing w:line="276" w:lineRule="auto"/>
              <w:jc w:val="center"/>
              <w:rPr>
                <w:b/>
                <w:bCs/>
                <w:color w:val="000000"/>
                <w:sz w:val="20"/>
                <w:szCs w:val="20"/>
              </w:rPr>
            </w:pPr>
          </w:p>
        </w:tc>
        <w:tc>
          <w:tcPr>
            <w:tcW w:w="1800" w:type="dxa"/>
            <w:tcBorders>
              <w:top w:val="nil"/>
              <w:left w:val="nil"/>
              <w:bottom w:val="single" w:sz="2" w:space="0" w:color="auto"/>
              <w:right w:val="single" w:sz="4" w:space="0" w:color="auto"/>
            </w:tcBorders>
            <w:shd w:val="clear" w:color="000000" w:fill="D9D9D9"/>
            <w:vAlign w:val="center"/>
            <w:hideMark/>
          </w:tcPr>
          <w:p w14:paraId="70983D3C" w14:textId="77777777" w:rsidR="00883F19" w:rsidRPr="00B57D19" w:rsidRDefault="00883F19" w:rsidP="00325A45">
            <w:pPr>
              <w:widowControl/>
              <w:autoSpaceDE/>
              <w:autoSpaceDN/>
              <w:adjustRightInd/>
              <w:spacing w:line="276" w:lineRule="auto"/>
              <w:jc w:val="center"/>
              <w:rPr>
                <w:b/>
                <w:bCs/>
                <w:color w:val="000000"/>
                <w:sz w:val="20"/>
                <w:szCs w:val="20"/>
              </w:rPr>
            </w:pPr>
          </w:p>
        </w:tc>
        <w:tc>
          <w:tcPr>
            <w:tcW w:w="1890" w:type="dxa"/>
            <w:tcBorders>
              <w:top w:val="nil"/>
              <w:left w:val="nil"/>
              <w:bottom w:val="single" w:sz="2" w:space="0" w:color="auto"/>
              <w:right w:val="single" w:sz="12" w:space="0" w:color="auto"/>
            </w:tcBorders>
            <w:shd w:val="clear" w:color="000000" w:fill="D9D9D9"/>
            <w:noWrap/>
            <w:vAlign w:val="center"/>
            <w:hideMark/>
          </w:tcPr>
          <w:p w14:paraId="1B722295" w14:textId="77777777" w:rsidR="00883F19" w:rsidRPr="00B57D19" w:rsidRDefault="00883F19" w:rsidP="00325A45">
            <w:pPr>
              <w:widowControl/>
              <w:autoSpaceDE/>
              <w:autoSpaceDN/>
              <w:adjustRightInd/>
              <w:spacing w:line="276" w:lineRule="auto"/>
              <w:jc w:val="center"/>
              <w:rPr>
                <w:b/>
                <w:bCs/>
                <w:color w:val="000000"/>
                <w:sz w:val="20"/>
                <w:szCs w:val="20"/>
              </w:rPr>
            </w:pPr>
          </w:p>
        </w:tc>
        <w:tc>
          <w:tcPr>
            <w:tcW w:w="1800" w:type="dxa"/>
            <w:tcBorders>
              <w:top w:val="nil"/>
              <w:left w:val="single" w:sz="12" w:space="0" w:color="auto"/>
              <w:bottom w:val="single" w:sz="2" w:space="0" w:color="auto"/>
              <w:right w:val="single" w:sz="4" w:space="0" w:color="auto"/>
            </w:tcBorders>
            <w:shd w:val="clear" w:color="000000" w:fill="D9D9D9"/>
            <w:vAlign w:val="center"/>
            <w:hideMark/>
          </w:tcPr>
          <w:p w14:paraId="30B7706C" w14:textId="711F9AFC" w:rsidR="00883F19" w:rsidRPr="00B57D19" w:rsidRDefault="00B57D19" w:rsidP="00325A45">
            <w:pPr>
              <w:widowControl/>
              <w:autoSpaceDE/>
              <w:autoSpaceDN/>
              <w:adjustRightInd/>
              <w:spacing w:line="276" w:lineRule="auto"/>
              <w:jc w:val="center"/>
              <w:rPr>
                <w:b/>
                <w:bCs/>
                <w:color w:val="000000"/>
                <w:sz w:val="20"/>
                <w:szCs w:val="20"/>
              </w:rPr>
            </w:pPr>
            <w:r w:rsidRPr="00B57D19">
              <w:rPr>
                <w:b/>
                <w:bCs/>
                <w:color w:val="000000"/>
                <w:sz w:val="20"/>
                <w:szCs w:val="20"/>
              </w:rPr>
              <w:t>$63,791</w:t>
            </w:r>
          </w:p>
        </w:tc>
      </w:tr>
    </w:tbl>
    <w:p w14:paraId="178DDCA2" w14:textId="77777777" w:rsidR="00E91B7A" w:rsidRDefault="005F41B0" w:rsidP="00325A45">
      <w:pPr>
        <w:pStyle w:val="BodyTextFirstIndent"/>
        <w:spacing w:before="0" w:beforeAutospacing="0" w:line="276" w:lineRule="auto"/>
        <w:ind w:firstLine="0"/>
        <w:rPr>
          <w:szCs w:val="22"/>
        </w:rPr>
      </w:pPr>
      <w:r w:rsidRPr="00B57D19">
        <w:rPr>
          <w:szCs w:val="22"/>
        </w:rPr>
        <w:t>Note: Totals may not sum and calculations may produce different results due to rounding and truncated inputs.</w:t>
      </w:r>
    </w:p>
    <w:p w14:paraId="6D46D808" w14:textId="7FD35013" w:rsidR="00665BEE" w:rsidRPr="001057AD" w:rsidRDefault="00665BEE" w:rsidP="005010AE">
      <w:pPr>
        <w:pStyle w:val="BodyTextFirstIndent"/>
        <w:spacing w:before="0" w:beforeAutospacing="0" w:line="276" w:lineRule="auto"/>
        <w:ind w:firstLine="0"/>
        <w:sectPr w:rsidR="00665BEE" w:rsidRPr="001057AD" w:rsidSect="00CF7EFD">
          <w:footerReference w:type="default" r:id="rId8"/>
          <w:footerReference w:type="first" r:id="rId9"/>
          <w:pgSz w:w="12240" w:h="15840" w:code="1"/>
          <w:pgMar w:top="1440" w:right="1440" w:bottom="1440" w:left="1440" w:header="720" w:footer="720" w:gutter="0"/>
          <w:cols w:space="720"/>
          <w:docGrid w:linePitch="326"/>
        </w:sectPr>
      </w:pPr>
    </w:p>
    <w:p w14:paraId="0FE82C35" w14:textId="77777777" w:rsidR="0064259F" w:rsidRDefault="0064259F" w:rsidP="00325A45">
      <w:pPr>
        <w:pStyle w:val="Heading2"/>
      </w:pPr>
      <w:bookmarkStart w:id="77" w:name="_Toc410331587"/>
      <w:bookmarkStart w:id="78" w:name="_Toc410331693"/>
      <w:bookmarkStart w:id="79" w:name="_Toc429570381"/>
      <w:bookmarkStart w:id="80" w:name="_Toc431546788"/>
      <w:bookmarkStart w:id="81" w:name="CapitalCosts"/>
      <w:r w:rsidRPr="001E1BD3">
        <w:t>Capital Costs</w:t>
      </w:r>
      <w:bookmarkEnd w:id="77"/>
      <w:bookmarkEnd w:id="78"/>
      <w:bookmarkEnd w:id="79"/>
      <w:bookmarkEnd w:id="80"/>
    </w:p>
    <w:bookmarkEnd w:id="81"/>
    <w:p w14:paraId="58F4987D" w14:textId="3F17540E" w:rsidR="0064259F" w:rsidRPr="00E32F53" w:rsidRDefault="00C64B37" w:rsidP="00325A45">
      <w:pPr>
        <w:pStyle w:val="BodyTextFirstIndent"/>
        <w:spacing w:line="276" w:lineRule="auto"/>
      </w:pPr>
      <w:r>
        <w:t xml:space="preserve">There </w:t>
      </w:r>
      <w:r w:rsidR="00414A31">
        <w:t>are no</w:t>
      </w:r>
      <w:r w:rsidR="000F5F4B">
        <w:t xml:space="preserve"> </w:t>
      </w:r>
      <w:r>
        <w:t>capital costs</w:t>
      </w:r>
      <w:r w:rsidR="0064259F" w:rsidRPr="00E32F53">
        <w:t>.</w:t>
      </w:r>
    </w:p>
    <w:p w14:paraId="3A8AC5D5" w14:textId="77777777" w:rsidR="0064259F" w:rsidRDefault="0064259F" w:rsidP="00325A45">
      <w:pPr>
        <w:pStyle w:val="Heading2"/>
      </w:pPr>
      <w:bookmarkStart w:id="82" w:name="_Toc410331588"/>
      <w:bookmarkStart w:id="83" w:name="_Toc410331694"/>
      <w:bookmarkStart w:id="84" w:name="_Toc429570382"/>
      <w:bookmarkStart w:id="85" w:name="_Toc431546789"/>
      <w:bookmarkStart w:id="86" w:name="CostToFederalGovernment"/>
      <w:r w:rsidRPr="002F2D3D">
        <w:t>Cost to Federal Government</w:t>
      </w:r>
      <w:bookmarkEnd w:id="82"/>
      <w:bookmarkEnd w:id="83"/>
      <w:bookmarkEnd w:id="84"/>
      <w:bookmarkEnd w:id="85"/>
    </w:p>
    <w:bookmarkEnd w:id="86"/>
    <w:p w14:paraId="5E1A3486" w14:textId="1CEEB20A" w:rsidR="008E5094" w:rsidRDefault="0064259F" w:rsidP="00325A45">
      <w:pPr>
        <w:pStyle w:val="BodyTextFirstIndent"/>
        <w:spacing w:line="276" w:lineRule="auto"/>
      </w:pPr>
      <w:r w:rsidRPr="00E32F53">
        <w:t xml:space="preserve">The cost of this information collection effort </w:t>
      </w:r>
      <w:r w:rsidR="008C7179">
        <w:t xml:space="preserve">for each of the 3 years of the project and overall cost </w:t>
      </w:r>
      <w:r w:rsidRPr="00E32F53">
        <w:t xml:space="preserve">to the Federal government </w:t>
      </w:r>
      <w:r w:rsidR="008C7179">
        <w:t xml:space="preserve">is provided in Table 4. </w:t>
      </w:r>
      <w:r w:rsidR="00014653">
        <w:t>While the survey will not be fielded until 2017 (Year 3), preparations will be made in 2016</w:t>
      </w:r>
      <w:r w:rsidR="00C86253">
        <w:t>; therefore there is a cost to the federal government for data collection activities in all three years (2015-2017)</w:t>
      </w:r>
      <w:r w:rsidR="00014653">
        <w:t>.</w:t>
      </w:r>
    </w:p>
    <w:p w14:paraId="39134218" w14:textId="14B6710C" w:rsidR="00C86253" w:rsidRDefault="00C86253" w:rsidP="00325A45">
      <w:pPr>
        <w:widowControl/>
        <w:autoSpaceDE/>
        <w:autoSpaceDN/>
        <w:adjustRightInd/>
        <w:spacing w:line="276" w:lineRule="auto"/>
        <w:rPr>
          <w:b/>
          <w:bCs/>
          <w:szCs w:val="18"/>
        </w:rPr>
      </w:pPr>
    </w:p>
    <w:p w14:paraId="5C35F0B8" w14:textId="38B5FF63" w:rsidR="00E234F0" w:rsidRDefault="00E234F0" w:rsidP="00372870">
      <w:pPr>
        <w:pStyle w:val="Caption"/>
        <w:keepNext/>
        <w:spacing w:line="276" w:lineRule="auto"/>
      </w:pPr>
      <w:r>
        <w:t xml:space="preserve">Table 4: Cost to the Federal Government </w:t>
      </w:r>
    </w:p>
    <w:tbl>
      <w:tblPr>
        <w:tblW w:w="90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0"/>
        <w:gridCol w:w="960"/>
        <w:gridCol w:w="1060"/>
        <w:gridCol w:w="1060"/>
        <w:gridCol w:w="1460"/>
      </w:tblGrid>
      <w:tr w:rsidR="00DD187E" w:rsidRPr="00B75EDC" w14:paraId="2F7035A4" w14:textId="77777777" w:rsidTr="00CF7EFD">
        <w:trPr>
          <w:trHeight w:val="245"/>
          <w:tblHeader/>
          <w:jc w:val="center"/>
        </w:trPr>
        <w:tc>
          <w:tcPr>
            <w:tcW w:w="5460" w:type="dxa"/>
            <w:gridSpan w:val="2"/>
            <w:tcBorders>
              <w:top w:val="single" w:sz="4" w:space="0" w:color="auto"/>
            </w:tcBorders>
            <w:shd w:val="clear" w:color="000000" w:fill="C0C0C0"/>
            <w:vAlign w:val="center"/>
            <w:hideMark/>
          </w:tcPr>
          <w:p w14:paraId="511ECAEE" w14:textId="77777777" w:rsidR="00414A31" w:rsidRPr="00372870" w:rsidRDefault="00414A31" w:rsidP="00325A45">
            <w:pPr>
              <w:widowControl/>
              <w:autoSpaceDE/>
              <w:autoSpaceDN/>
              <w:adjustRightInd/>
              <w:spacing w:line="276" w:lineRule="auto"/>
              <w:jc w:val="right"/>
              <w:rPr>
                <w:b/>
                <w:color w:val="000000"/>
                <w:sz w:val="20"/>
              </w:rPr>
            </w:pPr>
            <w:r w:rsidRPr="00372870">
              <w:rPr>
                <w:b/>
                <w:color w:val="000000"/>
                <w:sz w:val="20"/>
              </w:rPr>
              <w:t xml:space="preserve">Year 1 </w:t>
            </w:r>
          </w:p>
          <w:p w14:paraId="255BDBF6" w14:textId="77777777" w:rsidR="00414A31" w:rsidRPr="00372870" w:rsidRDefault="00414A31" w:rsidP="00325A45">
            <w:pPr>
              <w:widowControl/>
              <w:autoSpaceDE/>
              <w:autoSpaceDN/>
              <w:adjustRightInd/>
              <w:spacing w:line="276" w:lineRule="auto"/>
              <w:jc w:val="right"/>
              <w:rPr>
                <w:b/>
                <w:color w:val="000000"/>
                <w:sz w:val="20"/>
              </w:rPr>
            </w:pPr>
            <w:r w:rsidRPr="00372870">
              <w:rPr>
                <w:b/>
                <w:color w:val="000000"/>
                <w:sz w:val="20"/>
              </w:rPr>
              <w:t>(2015)</w:t>
            </w:r>
          </w:p>
        </w:tc>
        <w:tc>
          <w:tcPr>
            <w:tcW w:w="1060" w:type="dxa"/>
            <w:tcBorders>
              <w:top w:val="single" w:sz="4" w:space="0" w:color="auto"/>
            </w:tcBorders>
            <w:shd w:val="clear" w:color="000000" w:fill="C0C0C0"/>
            <w:vAlign w:val="center"/>
            <w:hideMark/>
          </w:tcPr>
          <w:p w14:paraId="50123B7E" w14:textId="77777777" w:rsidR="00414A31" w:rsidRPr="00372870" w:rsidRDefault="00414A31" w:rsidP="00325A45">
            <w:pPr>
              <w:widowControl/>
              <w:autoSpaceDE/>
              <w:autoSpaceDN/>
              <w:adjustRightInd/>
              <w:spacing w:line="276" w:lineRule="auto"/>
              <w:jc w:val="center"/>
              <w:rPr>
                <w:b/>
                <w:color w:val="000000"/>
                <w:sz w:val="20"/>
              </w:rPr>
            </w:pPr>
            <w:r w:rsidRPr="00372870">
              <w:rPr>
                <w:b/>
                <w:color w:val="000000"/>
                <w:sz w:val="20"/>
              </w:rPr>
              <w:t>Year 2 (2016)</w:t>
            </w:r>
          </w:p>
        </w:tc>
        <w:tc>
          <w:tcPr>
            <w:tcW w:w="1060" w:type="dxa"/>
            <w:tcBorders>
              <w:top w:val="single" w:sz="4" w:space="0" w:color="auto"/>
            </w:tcBorders>
            <w:shd w:val="clear" w:color="000000" w:fill="C0C0C0"/>
            <w:vAlign w:val="center"/>
            <w:hideMark/>
          </w:tcPr>
          <w:p w14:paraId="6681236B" w14:textId="77777777" w:rsidR="00414A31" w:rsidRPr="00372870" w:rsidRDefault="00414A31" w:rsidP="00325A45">
            <w:pPr>
              <w:widowControl/>
              <w:autoSpaceDE/>
              <w:autoSpaceDN/>
              <w:adjustRightInd/>
              <w:spacing w:line="276" w:lineRule="auto"/>
              <w:jc w:val="center"/>
              <w:rPr>
                <w:b/>
                <w:color w:val="000000"/>
                <w:sz w:val="20"/>
              </w:rPr>
            </w:pPr>
            <w:r w:rsidRPr="00372870">
              <w:rPr>
                <w:b/>
                <w:color w:val="000000"/>
                <w:sz w:val="20"/>
              </w:rPr>
              <w:t>Year 3 (2017)</w:t>
            </w:r>
          </w:p>
        </w:tc>
        <w:tc>
          <w:tcPr>
            <w:tcW w:w="1460" w:type="dxa"/>
            <w:tcBorders>
              <w:top w:val="single" w:sz="4" w:space="0" w:color="auto"/>
            </w:tcBorders>
            <w:shd w:val="clear" w:color="000000" w:fill="C0C0C0"/>
            <w:vAlign w:val="center"/>
            <w:hideMark/>
          </w:tcPr>
          <w:p w14:paraId="0338A720" w14:textId="77777777" w:rsidR="00414A31" w:rsidRPr="00372870" w:rsidRDefault="00414A31" w:rsidP="00325A45">
            <w:pPr>
              <w:widowControl/>
              <w:autoSpaceDE/>
              <w:autoSpaceDN/>
              <w:adjustRightInd/>
              <w:spacing w:line="276" w:lineRule="auto"/>
              <w:jc w:val="center"/>
              <w:rPr>
                <w:b/>
                <w:color w:val="000000"/>
                <w:sz w:val="20"/>
              </w:rPr>
            </w:pPr>
            <w:r w:rsidRPr="00372870">
              <w:rPr>
                <w:b/>
                <w:color w:val="000000"/>
                <w:sz w:val="20"/>
              </w:rPr>
              <w:t xml:space="preserve">Total </w:t>
            </w:r>
            <w:r w:rsidRPr="00372870">
              <w:rPr>
                <w:b/>
                <w:color w:val="000000"/>
                <w:sz w:val="20"/>
              </w:rPr>
              <w:br/>
              <w:t>(2015-2017)</w:t>
            </w:r>
          </w:p>
        </w:tc>
      </w:tr>
      <w:tr w:rsidR="00414A31" w:rsidRPr="00B75EDC" w14:paraId="25BC9774" w14:textId="77777777" w:rsidTr="00CF7EFD">
        <w:trPr>
          <w:trHeight w:val="245"/>
          <w:jc w:val="center"/>
        </w:trPr>
        <w:tc>
          <w:tcPr>
            <w:tcW w:w="9040" w:type="dxa"/>
            <w:gridSpan w:val="5"/>
            <w:shd w:val="clear" w:color="auto" w:fill="D6E3BC" w:themeFill="accent3" w:themeFillTint="66"/>
            <w:vAlign w:val="center"/>
            <w:hideMark/>
          </w:tcPr>
          <w:p w14:paraId="7EC6A533" w14:textId="77777777" w:rsidR="00414A31" w:rsidRPr="00372870" w:rsidRDefault="00414A31" w:rsidP="00325A45">
            <w:pPr>
              <w:widowControl/>
              <w:autoSpaceDE/>
              <w:autoSpaceDN/>
              <w:adjustRightInd/>
              <w:spacing w:line="276" w:lineRule="auto"/>
              <w:jc w:val="center"/>
              <w:rPr>
                <w:b/>
                <w:color w:val="000000"/>
                <w:sz w:val="20"/>
              </w:rPr>
            </w:pPr>
            <w:r w:rsidRPr="00372870">
              <w:rPr>
                <w:b/>
                <w:color w:val="000000"/>
                <w:sz w:val="20"/>
              </w:rPr>
              <w:t>Government Activity</w:t>
            </w:r>
          </w:p>
        </w:tc>
      </w:tr>
      <w:tr w:rsidR="00DD187E" w:rsidRPr="00B75EDC" w14:paraId="70FCCAC3" w14:textId="77777777" w:rsidTr="00CF7EFD">
        <w:trPr>
          <w:trHeight w:val="245"/>
          <w:jc w:val="center"/>
        </w:trPr>
        <w:tc>
          <w:tcPr>
            <w:tcW w:w="4500" w:type="dxa"/>
            <w:shd w:val="clear" w:color="auto" w:fill="auto"/>
            <w:vAlign w:val="center"/>
            <w:hideMark/>
          </w:tcPr>
          <w:p w14:paraId="4F0B15C8" w14:textId="77777777" w:rsidR="00414A31" w:rsidRPr="00372870" w:rsidRDefault="00414A31" w:rsidP="00325A45">
            <w:pPr>
              <w:widowControl/>
              <w:autoSpaceDE/>
              <w:autoSpaceDN/>
              <w:adjustRightInd/>
              <w:spacing w:line="276" w:lineRule="auto"/>
              <w:rPr>
                <w:color w:val="000000"/>
                <w:sz w:val="20"/>
              </w:rPr>
            </w:pPr>
            <w:r w:rsidRPr="00372870">
              <w:rPr>
                <w:color w:val="000000"/>
                <w:sz w:val="20"/>
              </w:rPr>
              <w:t>Reviewing and providing guidance on instruments, OMB clearance, and data collection approach</w:t>
            </w:r>
            <w:r w:rsidRPr="005010AE">
              <w:rPr>
                <w:sz w:val="20"/>
                <w:vertAlign w:val="superscript"/>
              </w:rPr>
              <w:footnoteReference w:id="3"/>
            </w:r>
          </w:p>
        </w:tc>
        <w:tc>
          <w:tcPr>
            <w:tcW w:w="960" w:type="dxa"/>
            <w:shd w:val="clear" w:color="auto" w:fill="auto"/>
            <w:vAlign w:val="center"/>
            <w:hideMark/>
          </w:tcPr>
          <w:p w14:paraId="774F6EEC" w14:textId="77777777" w:rsidR="00414A31" w:rsidRPr="00372870" w:rsidRDefault="00414A31" w:rsidP="00325A45">
            <w:pPr>
              <w:widowControl/>
              <w:autoSpaceDE/>
              <w:autoSpaceDN/>
              <w:adjustRightInd/>
              <w:spacing w:line="276" w:lineRule="auto"/>
              <w:jc w:val="right"/>
              <w:rPr>
                <w:b/>
                <w:color w:val="000000"/>
                <w:sz w:val="20"/>
              </w:rPr>
            </w:pPr>
            <w:r w:rsidRPr="00372870">
              <w:rPr>
                <w:b/>
                <w:color w:val="000000"/>
                <w:sz w:val="20"/>
              </w:rPr>
              <w:t xml:space="preserve">$10,194 </w:t>
            </w:r>
          </w:p>
        </w:tc>
        <w:tc>
          <w:tcPr>
            <w:tcW w:w="1060" w:type="dxa"/>
            <w:shd w:val="clear" w:color="auto" w:fill="auto"/>
            <w:vAlign w:val="center"/>
            <w:hideMark/>
          </w:tcPr>
          <w:p w14:paraId="3D5F48B3" w14:textId="515532FE" w:rsidR="00414A31" w:rsidRPr="00372870" w:rsidRDefault="00DD187E"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2</w:t>
            </w:r>
            <w:r w:rsidR="00414A31" w:rsidRPr="00B75EDC">
              <w:rPr>
                <w:b/>
                <w:bCs/>
                <w:color w:val="000000"/>
                <w:sz w:val="20"/>
                <w:szCs w:val="20"/>
              </w:rPr>
              <w:t>,</w:t>
            </w:r>
            <w:r w:rsidRPr="00B75EDC">
              <w:rPr>
                <w:b/>
                <w:bCs/>
                <w:color w:val="000000"/>
                <w:sz w:val="20"/>
                <w:szCs w:val="20"/>
              </w:rPr>
              <w:t>549</w:t>
            </w:r>
          </w:p>
        </w:tc>
        <w:tc>
          <w:tcPr>
            <w:tcW w:w="1060" w:type="dxa"/>
            <w:shd w:val="clear" w:color="auto" w:fill="auto"/>
            <w:vAlign w:val="center"/>
            <w:hideMark/>
          </w:tcPr>
          <w:p w14:paraId="0B74C356" w14:textId="4C9219BB" w:rsidR="00414A31" w:rsidRPr="00372870" w:rsidRDefault="00414A31" w:rsidP="00325A45">
            <w:pPr>
              <w:widowControl/>
              <w:autoSpaceDE/>
              <w:autoSpaceDN/>
              <w:adjustRightInd/>
              <w:spacing w:line="276" w:lineRule="auto"/>
              <w:jc w:val="right"/>
              <w:rPr>
                <w:b/>
                <w:color w:val="000000"/>
                <w:sz w:val="20"/>
              </w:rPr>
            </w:pPr>
            <w:r w:rsidRPr="00372870">
              <w:rPr>
                <w:b/>
                <w:color w:val="000000"/>
                <w:sz w:val="20"/>
              </w:rPr>
              <w:t>$</w:t>
            </w:r>
            <w:r w:rsidR="00DD187E" w:rsidRPr="00B75EDC">
              <w:rPr>
                <w:b/>
                <w:bCs/>
                <w:color w:val="000000"/>
                <w:sz w:val="20"/>
                <w:szCs w:val="20"/>
              </w:rPr>
              <w:t>7</w:t>
            </w:r>
            <w:r w:rsidRPr="00B75EDC">
              <w:rPr>
                <w:b/>
                <w:bCs/>
                <w:color w:val="000000"/>
                <w:sz w:val="20"/>
                <w:szCs w:val="20"/>
              </w:rPr>
              <w:t>,</w:t>
            </w:r>
            <w:r w:rsidR="00DD187E" w:rsidRPr="00B75EDC">
              <w:rPr>
                <w:b/>
                <w:bCs/>
                <w:color w:val="000000"/>
                <w:sz w:val="20"/>
                <w:szCs w:val="20"/>
              </w:rPr>
              <w:t>646</w:t>
            </w:r>
            <w:r w:rsidRPr="00372870">
              <w:rPr>
                <w:b/>
                <w:color w:val="000000"/>
                <w:sz w:val="20"/>
              </w:rPr>
              <w:t xml:space="preserve"> </w:t>
            </w:r>
          </w:p>
        </w:tc>
        <w:tc>
          <w:tcPr>
            <w:tcW w:w="1460" w:type="dxa"/>
            <w:shd w:val="clear" w:color="auto" w:fill="auto"/>
            <w:vAlign w:val="center"/>
            <w:hideMark/>
          </w:tcPr>
          <w:p w14:paraId="19767896" w14:textId="77777777" w:rsidR="00414A31" w:rsidRPr="00372870" w:rsidRDefault="00414A31" w:rsidP="00325A45">
            <w:pPr>
              <w:widowControl/>
              <w:autoSpaceDE/>
              <w:autoSpaceDN/>
              <w:adjustRightInd/>
              <w:spacing w:line="276" w:lineRule="auto"/>
              <w:jc w:val="right"/>
              <w:rPr>
                <w:b/>
                <w:color w:val="000000"/>
                <w:sz w:val="20"/>
              </w:rPr>
            </w:pPr>
            <w:r w:rsidRPr="00372870">
              <w:rPr>
                <w:b/>
                <w:color w:val="000000"/>
                <w:sz w:val="20"/>
              </w:rPr>
              <w:t xml:space="preserve">$20,388 </w:t>
            </w:r>
          </w:p>
        </w:tc>
      </w:tr>
      <w:tr w:rsidR="00414A31" w:rsidRPr="00B75EDC" w14:paraId="48168DBF" w14:textId="77777777" w:rsidTr="00CF7EFD">
        <w:trPr>
          <w:trHeight w:val="245"/>
          <w:jc w:val="center"/>
        </w:trPr>
        <w:tc>
          <w:tcPr>
            <w:tcW w:w="9040" w:type="dxa"/>
            <w:gridSpan w:val="5"/>
            <w:shd w:val="clear" w:color="auto" w:fill="D6E3BC" w:themeFill="accent3" w:themeFillTint="66"/>
            <w:vAlign w:val="center"/>
            <w:hideMark/>
          </w:tcPr>
          <w:p w14:paraId="2CFB847E" w14:textId="77777777" w:rsidR="00414A31" w:rsidRPr="00372870" w:rsidRDefault="00414A31" w:rsidP="00325A45">
            <w:pPr>
              <w:widowControl/>
              <w:autoSpaceDE/>
              <w:autoSpaceDN/>
              <w:adjustRightInd/>
              <w:spacing w:line="276" w:lineRule="auto"/>
              <w:jc w:val="center"/>
              <w:rPr>
                <w:b/>
                <w:color w:val="000000"/>
                <w:sz w:val="20"/>
              </w:rPr>
            </w:pPr>
            <w:r w:rsidRPr="00372870">
              <w:rPr>
                <w:b/>
                <w:color w:val="000000"/>
                <w:sz w:val="20"/>
              </w:rPr>
              <w:t>Contractor Activity</w:t>
            </w:r>
            <w:r w:rsidRPr="005010AE">
              <w:rPr>
                <w:b/>
                <w:color w:val="000000"/>
                <w:sz w:val="20"/>
                <w:vertAlign w:val="superscript"/>
              </w:rPr>
              <w:footnoteReference w:id="4"/>
            </w:r>
          </w:p>
        </w:tc>
      </w:tr>
      <w:tr w:rsidR="00414A31" w:rsidRPr="00B75EDC" w14:paraId="121B6191" w14:textId="77777777" w:rsidTr="00CF7EFD">
        <w:trPr>
          <w:trHeight w:val="245"/>
          <w:jc w:val="center"/>
        </w:trPr>
        <w:tc>
          <w:tcPr>
            <w:tcW w:w="9040" w:type="dxa"/>
            <w:gridSpan w:val="5"/>
            <w:shd w:val="clear" w:color="auto" w:fill="D9D9D9" w:themeFill="background1" w:themeFillShade="D9"/>
            <w:vAlign w:val="center"/>
            <w:hideMark/>
          </w:tcPr>
          <w:p w14:paraId="2448A62A" w14:textId="77777777" w:rsidR="00414A31" w:rsidRPr="00372870" w:rsidRDefault="00414A31" w:rsidP="00325A45">
            <w:pPr>
              <w:widowControl/>
              <w:autoSpaceDE/>
              <w:autoSpaceDN/>
              <w:adjustRightInd/>
              <w:spacing w:line="276" w:lineRule="auto"/>
              <w:rPr>
                <w:b/>
                <w:color w:val="000000"/>
                <w:sz w:val="20"/>
              </w:rPr>
            </w:pPr>
            <w:r w:rsidRPr="00372870">
              <w:rPr>
                <w:b/>
                <w:color w:val="000000"/>
                <w:sz w:val="20"/>
              </w:rPr>
              <w:t>Interviews</w:t>
            </w:r>
          </w:p>
        </w:tc>
      </w:tr>
      <w:tr w:rsidR="00014653" w:rsidRPr="00B75EDC" w14:paraId="750AF18B" w14:textId="77777777" w:rsidTr="00CF7EFD">
        <w:trPr>
          <w:trHeight w:val="245"/>
          <w:jc w:val="center"/>
        </w:trPr>
        <w:tc>
          <w:tcPr>
            <w:tcW w:w="4500" w:type="dxa"/>
            <w:shd w:val="clear" w:color="auto" w:fill="auto"/>
            <w:vAlign w:val="center"/>
            <w:hideMark/>
          </w:tcPr>
          <w:p w14:paraId="3F7AB604" w14:textId="77777777" w:rsidR="00014653" w:rsidRPr="00372870" w:rsidRDefault="00014653" w:rsidP="00325A45">
            <w:pPr>
              <w:widowControl/>
              <w:autoSpaceDE/>
              <w:autoSpaceDN/>
              <w:adjustRightInd/>
              <w:spacing w:line="276" w:lineRule="auto"/>
              <w:rPr>
                <w:color w:val="000000"/>
                <w:sz w:val="20"/>
              </w:rPr>
            </w:pPr>
            <w:r w:rsidRPr="00372870">
              <w:rPr>
                <w:color w:val="000000"/>
                <w:sz w:val="20"/>
              </w:rPr>
              <w:t>Design interview guide</w:t>
            </w:r>
          </w:p>
        </w:tc>
        <w:tc>
          <w:tcPr>
            <w:tcW w:w="960" w:type="dxa"/>
            <w:shd w:val="clear" w:color="auto" w:fill="auto"/>
            <w:vAlign w:val="center"/>
            <w:hideMark/>
          </w:tcPr>
          <w:p w14:paraId="61A59616" w14:textId="3A60B645"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$6,614 </w:t>
            </w:r>
          </w:p>
        </w:tc>
        <w:tc>
          <w:tcPr>
            <w:tcW w:w="1060" w:type="dxa"/>
            <w:shd w:val="clear" w:color="auto" w:fill="auto"/>
            <w:vAlign w:val="center"/>
            <w:hideMark/>
          </w:tcPr>
          <w:p w14:paraId="287BB3A5" w14:textId="2B3D4A7C"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060" w:type="dxa"/>
            <w:shd w:val="clear" w:color="auto" w:fill="auto"/>
            <w:vAlign w:val="center"/>
            <w:hideMark/>
          </w:tcPr>
          <w:p w14:paraId="2CA778C4" w14:textId="695F5395"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460" w:type="dxa"/>
            <w:shd w:val="clear" w:color="auto" w:fill="auto"/>
            <w:vAlign w:val="center"/>
            <w:hideMark/>
          </w:tcPr>
          <w:p w14:paraId="2FD0B70B" w14:textId="0916617C"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$6,614 </w:t>
            </w:r>
          </w:p>
        </w:tc>
      </w:tr>
      <w:tr w:rsidR="00014653" w:rsidRPr="00B75EDC" w14:paraId="4E1602BB" w14:textId="77777777" w:rsidTr="00CF7EFD">
        <w:trPr>
          <w:trHeight w:val="245"/>
          <w:jc w:val="center"/>
        </w:trPr>
        <w:tc>
          <w:tcPr>
            <w:tcW w:w="4500" w:type="dxa"/>
            <w:shd w:val="clear" w:color="auto" w:fill="auto"/>
            <w:vAlign w:val="center"/>
            <w:hideMark/>
          </w:tcPr>
          <w:p w14:paraId="3FE14573" w14:textId="77777777" w:rsidR="00014653" w:rsidRPr="00372870" w:rsidRDefault="00014653" w:rsidP="00325A45">
            <w:pPr>
              <w:widowControl/>
              <w:autoSpaceDE/>
              <w:autoSpaceDN/>
              <w:adjustRightInd/>
              <w:spacing w:line="276" w:lineRule="auto"/>
              <w:rPr>
                <w:color w:val="000000"/>
                <w:sz w:val="20"/>
              </w:rPr>
            </w:pPr>
            <w:r w:rsidRPr="00372870">
              <w:rPr>
                <w:color w:val="000000"/>
                <w:sz w:val="20"/>
              </w:rPr>
              <w:t>Train interviewers</w:t>
            </w:r>
          </w:p>
        </w:tc>
        <w:tc>
          <w:tcPr>
            <w:tcW w:w="960" w:type="dxa"/>
            <w:shd w:val="clear" w:color="auto" w:fill="auto"/>
            <w:vAlign w:val="center"/>
            <w:hideMark/>
          </w:tcPr>
          <w:p w14:paraId="4032329B" w14:textId="3AA68A2B"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060" w:type="dxa"/>
            <w:shd w:val="clear" w:color="auto" w:fill="auto"/>
            <w:vAlign w:val="center"/>
            <w:hideMark/>
          </w:tcPr>
          <w:p w14:paraId="60CC3860" w14:textId="220F6F56"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$4,134 </w:t>
            </w:r>
          </w:p>
        </w:tc>
        <w:tc>
          <w:tcPr>
            <w:tcW w:w="1060" w:type="dxa"/>
            <w:shd w:val="clear" w:color="auto" w:fill="auto"/>
            <w:vAlign w:val="center"/>
            <w:hideMark/>
          </w:tcPr>
          <w:p w14:paraId="159BB370" w14:textId="452EF64E"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460" w:type="dxa"/>
            <w:shd w:val="clear" w:color="auto" w:fill="auto"/>
            <w:vAlign w:val="center"/>
            <w:hideMark/>
          </w:tcPr>
          <w:p w14:paraId="113F8D22" w14:textId="35ABF3CA"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$4,134 </w:t>
            </w:r>
          </w:p>
        </w:tc>
      </w:tr>
      <w:tr w:rsidR="00014653" w:rsidRPr="00B75EDC" w14:paraId="2BC4BCA0" w14:textId="77777777" w:rsidTr="00CF7EFD">
        <w:trPr>
          <w:trHeight w:val="245"/>
          <w:jc w:val="center"/>
        </w:trPr>
        <w:tc>
          <w:tcPr>
            <w:tcW w:w="4500" w:type="dxa"/>
            <w:shd w:val="clear" w:color="auto" w:fill="auto"/>
            <w:vAlign w:val="center"/>
            <w:hideMark/>
          </w:tcPr>
          <w:p w14:paraId="3D738E4F" w14:textId="77777777" w:rsidR="00014653" w:rsidRPr="00372870" w:rsidRDefault="00014653" w:rsidP="00325A45">
            <w:pPr>
              <w:widowControl/>
              <w:autoSpaceDE/>
              <w:autoSpaceDN/>
              <w:adjustRightInd/>
              <w:spacing w:line="276" w:lineRule="auto"/>
              <w:rPr>
                <w:color w:val="000000"/>
                <w:sz w:val="20"/>
              </w:rPr>
            </w:pPr>
            <w:r w:rsidRPr="00372870">
              <w:rPr>
                <w:color w:val="000000"/>
                <w:sz w:val="20"/>
              </w:rPr>
              <w:t>Administer interviews</w:t>
            </w:r>
          </w:p>
        </w:tc>
        <w:tc>
          <w:tcPr>
            <w:tcW w:w="960" w:type="dxa"/>
            <w:shd w:val="clear" w:color="auto" w:fill="auto"/>
            <w:vAlign w:val="center"/>
            <w:hideMark/>
          </w:tcPr>
          <w:p w14:paraId="15274664" w14:textId="20B463FA"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060" w:type="dxa"/>
            <w:shd w:val="clear" w:color="auto" w:fill="auto"/>
            <w:vAlign w:val="center"/>
            <w:hideMark/>
          </w:tcPr>
          <w:p w14:paraId="1EC42E11" w14:textId="1BF20483"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0</w:t>
            </w:r>
            <w:r w:rsidRPr="00372870">
              <w:rPr>
                <w:color w:val="000000"/>
                <w:sz w:val="20"/>
              </w:rPr>
              <w:t xml:space="preserve"> </w:t>
            </w:r>
          </w:p>
        </w:tc>
        <w:tc>
          <w:tcPr>
            <w:tcW w:w="1060" w:type="dxa"/>
            <w:shd w:val="clear" w:color="auto" w:fill="auto"/>
            <w:vAlign w:val="center"/>
            <w:hideMark/>
          </w:tcPr>
          <w:p w14:paraId="6727FD71" w14:textId="2EA3C672"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20,049</w:t>
            </w:r>
            <w:r w:rsidRPr="00372870">
              <w:rPr>
                <w:color w:val="000000"/>
                <w:sz w:val="20"/>
              </w:rPr>
              <w:t xml:space="preserve"> </w:t>
            </w:r>
          </w:p>
        </w:tc>
        <w:tc>
          <w:tcPr>
            <w:tcW w:w="1460" w:type="dxa"/>
            <w:shd w:val="clear" w:color="auto" w:fill="auto"/>
            <w:vAlign w:val="center"/>
            <w:hideMark/>
          </w:tcPr>
          <w:p w14:paraId="0432CBE5" w14:textId="73995CA1"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$20,049 </w:t>
            </w:r>
          </w:p>
        </w:tc>
      </w:tr>
      <w:tr w:rsidR="00014653" w:rsidRPr="00B75EDC" w14:paraId="0B40654D" w14:textId="77777777" w:rsidTr="00CF7EFD">
        <w:trPr>
          <w:trHeight w:val="245"/>
          <w:jc w:val="center"/>
        </w:trPr>
        <w:tc>
          <w:tcPr>
            <w:tcW w:w="4500" w:type="dxa"/>
            <w:shd w:val="clear" w:color="auto" w:fill="auto"/>
            <w:vAlign w:val="center"/>
            <w:hideMark/>
          </w:tcPr>
          <w:p w14:paraId="358514F3" w14:textId="77777777" w:rsidR="00014653" w:rsidRPr="00372870" w:rsidRDefault="00014653" w:rsidP="00325A45">
            <w:pPr>
              <w:widowControl/>
              <w:autoSpaceDE/>
              <w:autoSpaceDN/>
              <w:adjustRightInd/>
              <w:spacing w:line="276" w:lineRule="auto"/>
              <w:rPr>
                <w:color w:val="000000"/>
                <w:sz w:val="20"/>
              </w:rPr>
            </w:pPr>
            <w:r w:rsidRPr="00372870">
              <w:rPr>
                <w:color w:val="000000"/>
                <w:sz w:val="20"/>
              </w:rPr>
              <w:t>Transcribe interviews</w:t>
            </w:r>
          </w:p>
        </w:tc>
        <w:tc>
          <w:tcPr>
            <w:tcW w:w="960" w:type="dxa"/>
            <w:shd w:val="clear" w:color="auto" w:fill="auto"/>
            <w:vAlign w:val="center"/>
            <w:hideMark/>
          </w:tcPr>
          <w:p w14:paraId="4D818B6A" w14:textId="5D837529"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060" w:type="dxa"/>
            <w:shd w:val="clear" w:color="auto" w:fill="auto"/>
            <w:vAlign w:val="center"/>
            <w:hideMark/>
          </w:tcPr>
          <w:p w14:paraId="7DCE32E0" w14:textId="5C00C75F"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0</w:t>
            </w:r>
            <w:r w:rsidRPr="00372870">
              <w:rPr>
                <w:color w:val="000000"/>
                <w:sz w:val="20"/>
              </w:rPr>
              <w:t xml:space="preserve"> </w:t>
            </w:r>
          </w:p>
        </w:tc>
        <w:tc>
          <w:tcPr>
            <w:tcW w:w="1060" w:type="dxa"/>
            <w:shd w:val="clear" w:color="auto" w:fill="auto"/>
            <w:vAlign w:val="center"/>
            <w:hideMark/>
          </w:tcPr>
          <w:p w14:paraId="6A82C59E" w14:textId="24ED7E0D"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20,049</w:t>
            </w:r>
            <w:r w:rsidRPr="00372870">
              <w:rPr>
                <w:color w:val="000000"/>
                <w:sz w:val="20"/>
              </w:rPr>
              <w:t xml:space="preserve"> </w:t>
            </w:r>
          </w:p>
        </w:tc>
        <w:tc>
          <w:tcPr>
            <w:tcW w:w="1460" w:type="dxa"/>
            <w:shd w:val="clear" w:color="auto" w:fill="auto"/>
            <w:vAlign w:val="center"/>
            <w:hideMark/>
          </w:tcPr>
          <w:p w14:paraId="35E41D2F" w14:textId="14384D48"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$20,049 </w:t>
            </w:r>
          </w:p>
        </w:tc>
      </w:tr>
      <w:tr w:rsidR="00014653" w:rsidRPr="00B75EDC" w14:paraId="66AB9255" w14:textId="77777777" w:rsidTr="00CF7EFD">
        <w:trPr>
          <w:trHeight w:val="245"/>
          <w:jc w:val="center"/>
        </w:trPr>
        <w:tc>
          <w:tcPr>
            <w:tcW w:w="4500" w:type="dxa"/>
            <w:shd w:val="clear" w:color="auto" w:fill="auto"/>
            <w:vAlign w:val="center"/>
            <w:hideMark/>
          </w:tcPr>
          <w:p w14:paraId="407AEA8D" w14:textId="77777777" w:rsidR="00014653" w:rsidRPr="00372870" w:rsidRDefault="00014653" w:rsidP="00325A45">
            <w:pPr>
              <w:widowControl/>
              <w:autoSpaceDE/>
              <w:autoSpaceDN/>
              <w:adjustRightInd/>
              <w:spacing w:line="276" w:lineRule="auto"/>
              <w:rPr>
                <w:color w:val="000000"/>
                <w:sz w:val="20"/>
              </w:rPr>
            </w:pPr>
            <w:r w:rsidRPr="00372870">
              <w:rPr>
                <w:color w:val="000000"/>
                <w:sz w:val="20"/>
              </w:rPr>
              <w:t>Code findings</w:t>
            </w:r>
          </w:p>
        </w:tc>
        <w:tc>
          <w:tcPr>
            <w:tcW w:w="960" w:type="dxa"/>
            <w:shd w:val="clear" w:color="auto" w:fill="auto"/>
            <w:vAlign w:val="center"/>
            <w:hideMark/>
          </w:tcPr>
          <w:p w14:paraId="46850A2D" w14:textId="4EF9888A"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$0 </w:t>
            </w:r>
          </w:p>
        </w:tc>
        <w:tc>
          <w:tcPr>
            <w:tcW w:w="1060" w:type="dxa"/>
            <w:shd w:val="clear" w:color="auto" w:fill="auto"/>
            <w:vAlign w:val="center"/>
            <w:hideMark/>
          </w:tcPr>
          <w:p w14:paraId="78E429D9" w14:textId="460979D6"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0</w:t>
            </w:r>
            <w:r w:rsidRPr="00372870">
              <w:rPr>
                <w:color w:val="000000"/>
                <w:sz w:val="20"/>
              </w:rPr>
              <w:t xml:space="preserve"> </w:t>
            </w:r>
          </w:p>
        </w:tc>
        <w:tc>
          <w:tcPr>
            <w:tcW w:w="1060" w:type="dxa"/>
            <w:shd w:val="clear" w:color="auto" w:fill="auto"/>
            <w:vAlign w:val="center"/>
            <w:hideMark/>
          </w:tcPr>
          <w:p w14:paraId="6426714D" w14:textId="7493DAA9"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w:t>
            </w:r>
            <w:r w:rsidRPr="00B75EDC">
              <w:rPr>
                <w:color w:val="000000"/>
                <w:sz w:val="20"/>
                <w:szCs w:val="20"/>
              </w:rPr>
              <w:t>16,535</w:t>
            </w:r>
            <w:r w:rsidRPr="00372870">
              <w:rPr>
                <w:color w:val="000000"/>
                <w:sz w:val="20"/>
              </w:rPr>
              <w:t xml:space="preserve"> </w:t>
            </w:r>
          </w:p>
        </w:tc>
        <w:tc>
          <w:tcPr>
            <w:tcW w:w="1460" w:type="dxa"/>
            <w:shd w:val="clear" w:color="auto" w:fill="auto"/>
            <w:vAlign w:val="center"/>
            <w:hideMark/>
          </w:tcPr>
          <w:p w14:paraId="31D58066" w14:textId="397FFD3A" w:rsidR="00014653" w:rsidRPr="00372870" w:rsidRDefault="00014653" w:rsidP="00325A45">
            <w:pPr>
              <w:widowControl/>
              <w:autoSpaceDE/>
              <w:autoSpaceDN/>
              <w:adjustRightInd/>
              <w:spacing w:line="276" w:lineRule="auto"/>
              <w:jc w:val="right"/>
              <w:rPr>
                <w:color w:val="000000"/>
                <w:sz w:val="20"/>
              </w:rPr>
            </w:pPr>
            <w:r w:rsidRPr="00372870">
              <w:rPr>
                <w:color w:val="000000"/>
                <w:sz w:val="20"/>
              </w:rPr>
              <w:t xml:space="preserve">$16,535 </w:t>
            </w:r>
          </w:p>
        </w:tc>
      </w:tr>
      <w:tr w:rsidR="00014653" w:rsidRPr="00B75EDC" w14:paraId="7145885D" w14:textId="77777777" w:rsidTr="00CF7EFD">
        <w:trPr>
          <w:trHeight w:val="245"/>
          <w:jc w:val="center"/>
        </w:trPr>
        <w:tc>
          <w:tcPr>
            <w:tcW w:w="4500" w:type="dxa"/>
            <w:shd w:val="clear" w:color="auto" w:fill="auto"/>
            <w:vAlign w:val="center"/>
            <w:hideMark/>
          </w:tcPr>
          <w:p w14:paraId="5F19B971" w14:textId="77777777" w:rsidR="00014653" w:rsidRPr="00372870" w:rsidRDefault="00014653" w:rsidP="00325A45">
            <w:pPr>
              <w:widowControl/>
              <w:autoSpaceDE/>
              <w:autoSpaceDN/>
              <w:adjustRightInd/>
              <w:spacing w:line="276" w:lineRule="auto"/>
              <w:rPr>
                <w:b/>
                <w:color w:val="000000"/>
                <w:sz w:val="20"/>
              </w:rPr>
            </w:pPr>
            <w:r w:rsidRPr="00372870">
              <w:rPr>
                <w:b/>
                <w:color w:val="000000"/>
                <w:sz w:val="20"/>
              </w:rPr>
              <w:t>Subtotal</w:t>
            </w:r>
          </w:p>
        </w:tc>
        <w:tc>
          <w:tcPr>
            <w:tcW w:w="960" w:type="dxa"/>
            <w:shd w:val="clear" w:color="auto" w:fill="auto"/>
            <w:vAlign w:val="center"/>
            <w:hideMark/>
          </w:tcPr>
          <w:p w14:paraId="78EC19D6" w14:textId="7E226824"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$6,614 </w:t>
            </w:r>
          </w:p>
        </w:tc>
        <w:tc>
          <w:tcPr>
            <w:tcW w:w="1060" w:type="dxa"/>
            <w:shd w:val="clear" w:color="auto" w:fill="auto"/>
            <w:vAlign w:val="center"/>
            <w:hideMark/>
          </w:tcPr>
          <w:p w14:paraId="14A81544" w14:textId="67387004"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4,134</w:t>
            </w:r>
            <w:r w:rsidRPr="00372870">
              <w:rPr>
                <w:b/>
                <w:color w:val="000000"/>
                <w:sz w:val="20"/>
              </w:rPr>
              <w:t xml:space="preserve"> </w:t>
            </w:r>
          </w:p>
        </w:tc>
        <w:tc>
          <w:tcPr>
            <w:tcW w:w="1060" w:type="dxa"/>
            <w:shd w:val="clear" w:color="auto" w:fill="auto"/>
            <w:vAlign w:val="center"/>
            <w:hideMark/>
          </w:tcPr>
          <w:p w14:paraId="0F44822F" w14:textId="7B2E3592"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56,633</w:t>
            </w:r>
            <w:r w:rsidRPr="00372870">
              <w:rPr>
                <w:b/>
                <w:color w:val="000000"/>
                <w:sz w:val="20"/>
              </w:rPr>
              <w:t xml:space="preserve"> </w:t>
            </w:r>
          </w:p>
        </w:tc>
        <w:tc>
          <w:tcPr>
            <w:tcW w:w="1460" w:type="dxa"/>
            <w:shd w:val="clear" w:color="auto" w:fill="auto"/>
            <w:vAlign w:val="center"/>
            <w:hideMark/>
          </w:tcPr>
          <w:p w14:paraId="52430C8E" w14:textId="26A83730"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$67,380 </w:t>
            </w:r>
          </w:p>
        </w:tc>
      </w:tr>
      <w:tr w:rsidR="00414A31" w:rsidRPr="00B75EDC" w14:paraId="2C78E47F" w14:textId="77777777" w:rsidTr="00CF7EFD">
        <w:trPr>
          <w:trHeight w:val="245"/>
          <w:jc w:val="center"/>
        </w:trPr>
        <w:tc>
          <w:tcPr>
            <w:tcW w:w="9040" w:type="dxa"/>
            <w:gridSpan w:val="5"/>
            <w:shd w:val="clear" w:color="auto" w:fill="D9D9D9" w:themeFill="background1" w:themeFillShade="D9"/>
            <w:vAlign w:val="center"/>
          </w:tcPr>
          <w:p w14:paraId="138D3D64" w14:textId="77777777" w:rsidR="00414A31" w:rsidRPr="00372870" w:rsidRDefault="00414A31" w:rsidP="00325A45">
            <w:pPr>
              <w:widowControl/>
              <w:autoSpaceDE/>
              <w:autoSpaceDN/>
              <w:adjustRightInd/>
              <w:spacing w:line="276" w:lineRule="auto"/>
              <w:rPr>
                <w:b/>
                <w:color w:val="000000"/>
                <w:sz w:val="20"/>
              </w:rPr>
            </w:pPr>
            <w:r w:rsidRPr="00372870">
              <w:rPr>
                <w:b/>
                <w:color w:val="000000"/>
                <w:sz w:val="20"/>
              </w:rPr>
              <w:t>Beneficiary Survey </w:t>
            </w:r>
          </w:p>
        </w:tc>
      </w:tr>
      <w:tr w:rsidR="00014653" w:rsidRPr="00B75EDC" w14:paraId="7F758C53" w14:textId="77777777" w:rsidTr="00CF7EFD">
        <w:trPr>
          <w:trHeight w:val="245"/>
          <w:jc w:val="center"/>
        </w:trPr>
        <w:tc>
          <w:tcPr>
            <w:tcW w:w="4500" w:type="dxa"/>
            <w:shd w:val="clear" w:color="auto" w:fill="auto"/>
            <w:vAlign w:val="center"/>
          </w:tcPr>
          <w:p w14:paraId="34E29455" w14:textId="77777777" w:rsidR="00014653" w:rsidRPr="00372870" w:rsidRDefault="00014653" w:rsidP="00325A45">
            <w:pPr>
              <w:widowControl/>
              <w:autoSpaceDE/>
              <w:autoSpaceDN/>
              <w:adjustRightInd/>
              <w:spacing w:line="276" w:lineRule="auto"/>
              <w:rPr>
                <w:b/>
                <w:color w:val="000000"/>
                <w:sz w:val="20"/>
              </w:rPr>
            </w:pPr>
            <w:r w:rsidRPr="00372870">
              <w:rPr>
                <w:color w:val="000000"/>
                <w:sz w:val="20"/>
              </w:rPr>
              <w:t>Survey instrument design</w:t>
            </w:r>
          </w:p>
        </w:tc>
        <w:tc>
          <w:tcPr>
            <w:tcW w:w="960" w:type="dxa"/>
            <w:shd w:val="clear" w:color="auto" w:fill="auto"/>
            <w:vAlign w:val="center"/>
          </w:tcPr>
          <w:p w14:paraId="7361638F" w14:textId="1E5A03E2"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$42,169 </w:t>
            </w:r>
          </w:p>
        </w:tc>
        <w:tc>
          <w:tcPr>
            <w:tcW w:w="1060" w:type="dxa"/>
            <w:shd w:val="clear" w:color="auto" w:fill="auto"/>
            <w:vAlign w:val="center"/>
          </w:tcPr>
          <w:p w14:paraId="7A354740" w14:textId="7E53A79A"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$0 </w:t>
            </w:r>
          </w:p>
        </w:tc>
        <w:tc>
          <w:tcPr>
            <w:tcW w:w="1060" w:type="dxa"/>
            <w:shd w:val="clear" w:color="auto" w:fill="auto"/>
            <w:vAlign w:val="center"/>
          </w:tcPr>
          <w:p w14:paraId="68FB6E70" w14:textId="6A51A91E"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$0 </w:t>
            </w:r>
          </w:p>
        </w:tc>
        <w:tc>
          <w:tcPr>
            <w:tcW w:w="1460" w:type="dxa"/>
            <w:shd w:val="clear" w:color="auto" w:fill="auto"/>
            <w:vAlign w:val="center"/>
          </w:tcPr>
          <w:p w14:paraId="10C8B933" w14:textId="59D1CC92"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$42,169 </w:t>
            </w:r>
          </w:p>
        </w:tc>
      </w:tr>
      <w:tr w:rsidR="00014653" w:rsidRPr="00B75EDC" w14:paraId="6149B352" w14:textId="77777777" w:rsidTr="00CF7EFD">
        <w:trPr>
          <w:trHeight w:val="245"/>
          <w:jc w:val="center"/>
        </w:trPr>
        <w:tc>
          <w:tcPr>
            <w:tcW w:w="4500" w:type="dxa"/>
            <w:shd w:val="clear" w:color="auto" w:fill="auto"/>
            <w:vAlign w:val="center"/>
          </w:tcPr>
          <w:p w14:paraId="5B955233" w14:textId="77777777" w:rsidR="00014653" w:rsidRPr="00372870" w:rsidRDefault="00014653" w:rsidP="00325A45">
            <w:pPr>
              <w:widowControl/>
              <w:autoSpaceDE/>
              <w:autoSpaceDN/>
              <w:adjustRightInd/>
              <w:spacing w:line="276" w:lineRule="auto"/>
              <w:rPr>
                <w:b/>
                <w:color w:val="000000"/>
                <w:sz w:val="20"/>
              </w:rPr>
            </w:pPr>
            <w:r w:rsidRPr="00372870">
              <w:rPr>
                <w:color w:val="000000"/>
                <w:sz w:val="20"/>
              </w:rPr>
              <w:t>Data collection</w:t>
            </w:r>
          </w:p>
        </w:tc>
        <w:tc>
          <w:tcPr>
            <w:tcW w:w="960" w:type="dxa"/>
            <w:shd w:val="clear" w:color="auto" w:fill="auto"/>
            <w:vAlign w:val="center"/>
          </w:tcPr>
          <w:p w14:paraId="0A7F46B9" w14:textId="60A1F3B9"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$0 </w:t>
            </w:r>
          </w:p>
        </w:tc>
        <w:tc>
          <w:tcPr>
            <w:tcW w:w="1060" w:type="dxa"/>
            <w:shd w:val="clear" w:color="auto" w:fill="auto"/>
            <w:vAlign w:val="center"/>
          </w:tcPr>
          <w:p w14:paraId="4FC8D2AA" w14:textId="36CA265D"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w:t>
            </w:r>
            <w:r w:rsidRPr="00B75EDC">
              <w:rPr>
                <w:color w:val="000000"/>
                <w:sz w:val="20"/>
                <w:szCs w:val="20"/>
              </w:rPr>
              <w:t>27,334</w:t>
            </w:r>
            <w:r w:rsidRPr="00372870">
              <w:rPr>
                <w:color w:val="000000"/>
                <w:sz w:val="20"/>
              </w:rPr>
              <w:t xml:space="preserve"> </w:t>
            </w:r>
          </w:p>
        </w:tc>
        <w:tc>
          <w:tcPr>
            <w:tcW w:w="1060" w:type="dxa"/>
            <w:shd w:val="clear" w:color="auto" w:fill="auto"/>
            <w:vAlign w:val="center"/>
          </w:tcPr>
          <w:p w14:paraId="6646AB15" w14:textId="042E8F3C"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w:t>
            </w:r>
            <w:r w:rsidRPr="00B75EDC">
              <w:rPr>
                <w:color w:val="000000"/>
                <w:sz w:val="20"/>
                <w:szCs w:val="20"/>
              </w:rPr>
              <w:t>137,506</w:t>
            </w:r>
            <w:r w:rsidRPr="00372870">
              <w:rPr>
                <w:color w:val="000000"/>
                <w:sz w:val="20"/>
              </w:rPr>
              <w:t xml:space="preserve"> </w:t>
            </w:r>
          </w:p>
        </w:tc>
        <w:tc>
          <w:tcPr>
            <w:tcW w:w="1460" w:type="dxa"/>
            <w:shd w:val="clear" w:color="auto" w:fill="auto"/>
            <w:vAlign w:val="center"/>
          </w:tcPr>
          <w:p w14:paraId="401E30FA" w14:textId="466DD40F"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$164,840 </w:t>
            </w:r>
          </w:p>
        </w:tc>
      </w:tr>
      <w:tr w:rsidR="00014653" w:rsidRPr="00B75EDC" w14:paraId="47EF8D42" w14:textId="77777777" w:rsidTr="00CF7EFD">
        <w:trPr>
          <w:trHeight w:val="245"/>
          <w:jc w:val="center"/>
        </w:trPr>
        <w:tc>
          <w:tcPr>
            <w:tcW w:w="4500" w:type="dxa"/>
            <w:shd w:val="clear" w:color="auto" w:fill="auto"/>
            <w:vAlign w:val="center"/>
          </w:tcPr>
          <w:p w14:paraId="63713C16" w14:textId="77777777" w:rsidR="00014653" w:rsidRPr="00372870" w:rsidRDefault="00014653" w:rsidP="00325A45">
            <w:pPr>
              <w:widowControl/>
              <w:autoSpaceDE/>
              <w:autoSpaceDN/>
              <w:adjustRightInd/>
              <w:spacing w:line="276" w:lineRule="auto"/>
              <w:rPr>
                <w:b/>
                <w:color w:val="000000"/>
                <w:sz w:val="20"/>
              </w:rPr>
            </w:pPr>
            <w:r w:rsidRPr="00372870">
              <w:rPr>
                <w:color w:val="000000"/>
                <w:sz w:val="20"/>
              </w:rPr>
              <w:t>Data analysis</w:t>
            </w:r>
          </w:p>
        </w:tc>
        <w:tc>
          <w:tcPr>
            <w:tcW w:w="960" w:type="dxa"/>
            <w:shd w:val="clear" w:color="auto" w:fill="auto"/>
            <w:vAlign w:val="center"/>
          </w:tcPr>
          <w:p w14:paraId="0A1AF608" w14:textId="7E6D2873"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$0 </w:t>
            </w:r>
          </w:p>
        </w:tc>
        <w:tc>
          <w:tcPr>
            <w:tcW w:w="1060" w:type="dxa"/>
            <w:shd w:val="clear" w:color="auto" w:fill="auto"/>
            <w:vAlign w:val="center"/>
          </w:tcPr>
          <w:p w14:paraId="475D42CF" w14:textId="3CB5BE49"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$0 </w:t>
            </w:r>
          </w:p>
        </w:tc>
        <w:tc>
          <w:tcPr>
            <w:tcW w:w="1060" w:type="dxa"/>
            <w:shd w:val="clear" w:color="auto" w:fill="auto"/>
            <w:vAlign w:val="center"/>
          </w:tcPr>
          <w:p w14:paraId="5FD8D7FD" w14:textId="2351CFC3"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$55,804 </w:t>
            </w:r>
          </w:p>
        </w:tc>
        <w:tc>
          <w:tcPr>
            <w:tcW w:w="1460" w:type="dxa"/>
            <w:shd w:val="clear" w:color="auto" w:fill="auto"/>
            <w:vAlign w:val="center"/>
          </w:tcPr>
          <w:p w14:paraId="1CE2E81E" w14:textId="149C2C22" w:rsidR="00014653" w:rsidRPr="00372870" w:rsidRDefault="00014653" w:rsidP="00325A45">
            <w:pPr>
              <w:widowControl/>
              <w:autoSpaceDE/>
              <w:autoSpaceDN/>
              <w:adjustRightInd/>
              <w:spacing w:line="276" w:lineRule="auto"/>
              <w:jc w:val="right"/>
              <w:rPr>
                <w:b/>
                <w:color w:val="000000"/>
                <w:sz w:val="20"/>
              </w:rPr>
            </w:pPr>
            <w:r w:rsidRPr="00372870">
              <w:rPr>
                <w:color w:val="000000"/>
                <w:sz w:val="20"/>
              </w:rPr>
              <w:t xml:space="preserve">$55,804 </w:t>
            </w:r>
          </w:p>
        </w:tc>
      </w:tr>
      <w:tr w:rsidR="00014653" w:rsidRPr="00B75EDC" w14:paraId="01F4026B" w14:textId="77777777" w:rsidTr="00CF7EFD">
        <w:trPr>
          <w:trHeight w:val="245"/>
          <w:jc w:val="center"/>
        </w:trPr>
        <w:tc>
          <w:tcPr>
            <w:tcW w:w="4500" w:type="dxa"/>
            <w:shd w:val="clear" w:color="auto" w:fill="auto"/>
            <w:vAlign w:val="center"/>
          </w:tcPr>
          <w:p w14:paraId="4C0AE5F5" w14:textId="77777777" w:rsidR="00014653" w:rsidRPr="00372870" w:rsidRDefault="00014653" w:rsidP="00325A45">
            <w:pPr>
              <w:widowControl/>
              <w:autoSpaceDE/>
              <w:autoSpaceDN/>
              <w:adjustRightInd/>
              <w:spacing w:line="276" w:lineRule="auto"/>
              <w:rPr>
                <w:b/>
                <w:color w:val="000000"/>
                <w:sz w:val="20"/>
              </w:rPr>
            </w:pPr>
            <w:r w:rsidRPr="00372870">
              <w:rPr>
                <w:b/>
                <w:color w:val="000000"/>
                <w:sz w:val="20"/>
              </w:rPr>
              <w:t>Subtotal</w:t>
            </w:r>
          </w:p>
        </w:tc>
        <w:tc>
          <w:tcPr>
            <w:tcW w:w="960" w:type="dxa"/>
            <w:shd w:val="clear" w:color="auto" w:fill="auto"/>
            <w:vAlign w:val="center"/>
          </w:tcPr>
          <w:p w14:paraId="5924BEB2" w14:textId="4655C1FC"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$42,169 </w:t>
            </w:r>
          </w:p>
        </w:tc>
        <w:tc>
          <w:tcPr>
            <w:tcW w:w="1060" w:type="dxa"/>
            <w:shd w:val="clear" w:color="auto" w:fill="auto"/>
            <w:vAlign w:val="center"/>
          </w:tcPr>
          <w:p w14:paraId="71B49292" w14:textId="0939B549"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27,334</w:t>
            </w:r>
            <w:r w:rsidRPr="00372870">
              <w:rPr>
                <w:b/>
                <w:color w:val="000000"/>
                <w:sz w:val="20"/>
              </w:rPr>
              <w:t xml:space="preserve"> </w:t>
            </w:r>
          </w:p>
        </w:tc>
        <w:tc>
          <w:tcPr>
            <w:tcW w:w="1060" w:type="dxa"/>
            <w:shd w:val="clear" w:color="auto" w:fill="auto"/>
            <w:vAlign w:val="center"/>
          </w:tcPr>
          <w:p w14:paraId="3767D810" w14:textId="05EC65C0"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193,310</w:t>
            </w:r>
            <w:r w:rsidRPr="00372870">
              <w:rPr>
                <w:b/>
                <w:color w:val="000000"/>
                <w:sz w:val="20"/>
              </w:rPr>
              <w:t xml:space="preserve"> </w:t>
            </w:r>
          </w:p>
        </w:tc>
        <w:tc>
          <w:tcPr>
            <w:tcW w:w="1460" w:type="dxa"/>
            <w:shd w:val="clear" w:color="auto" w:fill="auto"/>
            <w:vAlign w:val="center"/>
          </w:tcPr>
          <w:p w14:paraId="25D89C61" w14:textId="5C7352EC"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$262,813 </w:t>
            </w:r>
          </w:p>
        </w:tc>
      </w:tr>
      <w:tr w:rsidR="00414A31" w:rsidRPr="00B75EDC" w14:paraId="6506400E" w14:textId="77777777" w:rsidTr="00CF7EFD">
        <w:trPr>
          <w:trHeight w:val="245"/>
          <w:jc w:val="center"/>
        </w:trPr>
        <w:tc>
          <w:tcPr>
            <w:tcW w:w="9040" w:type="dxa"/>
            <w:gridSpan w:val="5"/>
            <w:shd w:val="clear" w:color="auto" w:fill="D9D9D9" w:themeFill="background1" w:themeFillShade="D9"/>
            <w:vAlign w:val="center"/>
            <w:hideMark/>
          </w:tcPr>
          <w:p w14:paraId="090D79CC" w14:textId="77777777" w:rsidR="00414A31" w:rsidRPr="00372870" w:rsidRDefault="00414A31" w:rsidP="00325A45">
            <w:pPr>
              <w:widowControl/>
              <w:autoSpaceDE/>
              <w:autoSpaceDN/>
              <w:adjustRightInd/>
              <w:spacing w:line="276" w:lineRule="auto"/>
              <w:rPr>
                <w:b/>
                <w:color w:val="000000"/>
                <w:sz w:val="20"/>
              </w:rPr>
            </w:pPr>
            <w:r w:rsidRPr="00372870">
              <w:rPr>
                <w:b/>
                <w:color w:val="000000"/>
                <w:sz w:val="20"/>
              </w:rPr>
              <w:t>Total Costs</w:t>
            </w:r>
          </w:p>
        </w:tc>
      </w:tr>
      <w:tr w:rsidR="00014653" w:rsidRPr="00B75EDC" w14:paraId="30FA8F52" w14:textId="77777777" w:rsidTr="00CF7EFD">
        <w:trPr>
          <w:trHeight w:val="245"/>
          <w:jc w:val="center"/>
        </w:trPr>
        <w:tc>
          <w:tcPr>
            <w:tcW w:w="4500" w:type="dxa"/>
            <w:shd w:val="clear" w:color="auto" w:fill="auto"/>
            <w:vAlign w:val="center"/>
            <w:hideMark/>
          </w:tcPr>
          <w:p w14:paraId="3BD44BB8" w14:textId="77777777" w:rsidR="00014653" w:rsidRPr="00372870" w:rsidRDefault="00014653" w:rsidP="00325A45">
            <w:pPr>
              <w:widowControl/>
              <w:autoSpaceDE/>
              <w:autoSpaceDN/>
              <w:adjustRightInd/>
              <w:spacing w:line="276" w:lineRule="auto"/>
              <w:rPr>
                <w:b/>
                <w:color w:val="000000"/>
                <w:sz w:val="20"/>
              </w:rPr>
            </w:pPr>
            <w:r w:rsidRPr="00372870">
              <w:rPr>
                <w:b/>
                <w:color w:val="000000"/>
                <w:sz w:val="20"/>
              </w:rPr>
              <w:t>Total Costs</w:t>
            </w:r>
          </w:p>
        </w:tc>
        <w:tc>
          <w:tcPr>
            <w:tcW w:w="960" w:type="dxa"/>
            <w:shd w:val="clear" w:color="auto" w:fill="auto"/>
            <w:vAlign w:val="center"/>
            <w:hideMark/>
          </w:tcPr>
          <w:p w14:paraId="5A6998F3" w14:textId="4F411FFE"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$58,977 </w:t>
            </w:r>
          </w:p>
        </w:tc>
        <w:tc>
          <w:tcPr>
            <w:tcW w:w="1060" w:type="dxa"/>
            <w:shd w:val="clear" w:color="auto" w:fill="auto"/>
            <w:vAlign w:val="center"/>
            <w:hideMark/>
          </w:tcPr>
          <w:p w14:paraId="201D8A94" w14:textId="59081B04"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34,016</w:t>
            </w:r>
            <w:r w:rsidRPr="00372870">
              <w:rPr>
                <w:b/>
                <w:color w:val="000000"/>
                <w:sz w:val="20"/>
              </w:rPr>
              <w:t xml:space="preserve"> </w:t>
            </w:r>
          </w:p>
        </w:tc>
        <w:tc>
          <w:tcPr>
            <w:tcW w:w="1060" w:type="dxa"/>
            <w:shd w:val="clear" w:color="auto" w:fill="auto"/>
            <w:vAlign w:val="center"/>
            <w:hideMark/>
          </w:tcPr>
          <w:p w14:paraId="285A239D" w14:textId="27013EFF"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w:t>
            </w:r>
            <w:r w:rsidRPr="00B75EDC">
              <w:rPr>
                <w:b/>
                <w:bCs/>
                <w:color w:val="000000"/>
                <w:sz w:val="20"/>
                <w:szCs w:val="20"/>
              </w:rPr>
              <w:t>257,588</w:t>
            </w:r>
            <w:r w:rsidRPr="00372870">
              <w:rPr>
                <w:b/>
                <w:color w:val="000000"/>
                <w:sz w:val="20"/>
              </w:rPr>
              <w:t xml:space="preserve"> </w:t>
            </w:r>
          </w:p>
        </w:tc>
        <w:tc>
          <w:tcPr>
            <w:tcW w:w="1460" w:type="dxa"/>
            <w:shd w:val="clear" w:color="auto" w:fill="auto"/>
            <w:vAlign w:val="center"/>
            <w:hideMark/>
          </w:tcPr>
          <w:p w14:paraId="2514FB54" w14:textId="16DD4DCC" w:rsidR="00014653" w:rsidRPr="00372870" w:rsidRDefault="00014653" w:rsidP="00325A45">
            <w:pPr>
              <w:widowControl/>
              <w:autoSpaceDE/>
              <w:autoSpaceDN/>
              <w:adjustRightInd/>
              <w:spacing w:line="276" w:lineRule="auto"/>
              <w:jc w:val="right"/>
              <w:rPr>
                <w:b/>
                <w:color w:val="000000"/>
                <w:sz w:val="20"/>
              </w:rPr>
            </w:pPr>
            <w:r w:rsidRPr="00372870">
              <w:rPr>
                <w:b/>
                <w:color w:val="000000"/>
                <w:sz w:val="20"/>
              </w:rPr>
              <w:t xml:space="preserve">$350,581 </w:t>
            </w:r>
          </w:p>
        </w:tc>
      </w:tr>
    </w:tbl>
    <w:p w14:paraId="5F00ECCD" w14:textId="77777777" w:rsidR="0064259F" w:rsidRPr="00102407" w:rsidRDefault="0064259F" w:rsidP="00325A45">
      <w:pPr>
        <w:pStyle w:val="Heading2"/>
      </w:pPr>
      <w:bookmarkStart w:id="87" w:name="_Toc410331589"/>
      <w:bookmarkStart w:id="88" w:name="_Toc410331695"/>
      <w:bookmarkStart w:id="89" w:name="_Toc429570383"/>
      <w:bookmarkStart w:id="90" w:name="_Toc431546790"/>
      <w:bookmarkStart w:id="91" w:name="ChangestoBurden"/>
      <w:r w:rsidRPr="00102407">
        <w:t>Changes to Burden</w:t>
      </w:r>
      <w:bookmarkEnd w:id="87"/>
      <w:bookmarkEnd w:id="88"/>
      <w:bookmarkEnd w:id="89"/>
      <w:bookmarkEnd w:id="90"/>
    </w:p>
    <w:bookmarkEnd w:id="91"/>
    <w:p w14:paraId="41895B20" w14:textId="5FA7C5D3" w:rsidR="0064259F" w:rsidRPr="00102407" w:rsidRDefault="003A3542" w:rsidP="00325A45">
      <w:pPr>
        <w:pStyle w:val="BodyTextFirstIndent"/>
        <w:spacing w:line="276" w:lineRule="auto"/>
        <w:rPr>
          <w:szCs w:val="22"/>
        </w:rPr>
      </w:pPr>
      <w:r w:rsidRPr="00102407">
        <w:rPr>
          <w:szCs w:val="22"/>
        </w:rPr>
        <w:t>Not applicable as t</w:t>
      </w:r>
      <w:r w:rsidR="0064259F" w:rsidRPr="00102407">
        <w:rPr>
          <w:szCs w:val="22"/>
        </w:rPr>
        <w:t>his is a new information collection.</w:t>
      </w:r>
    </w:p>
    <w:p w14:paraId="4D79AE9E" w14:textId="77777777" w:rsidR="0064259F" w:rsidRPr="00102407" w:rsidRDefault="0064259F" w:rsidP="00325A45">
      <w:pPr>
        <w:pStyle w:val="Heading2"/>
      </w:pPr>
      <w:bookmarkStart w:id="92" w:name="_Toc410331590"/>
      <w:bookmarkStart w:id="93" w:name="_Toc410331696"/>
      <w:bookmarkStart w:id="94" w:name="_Toc429570384"/>
      <w:bookmarkStart w:id="95" w:name="_Toc431546791"/>
      <w:bookmarkStart w:id="96" w:name="Publication_TabulationDates"/>
      <w:r w:rsidRPr="00102407">
        <w:t>Publication/Tabulation Dates</w:t>
      </w:r>
      <w:bookmarkEnd w:id="92"/>
      <w:bookmarkEnd w:id="93"/>
      <w:bookmarkEnd w:id="94"/>
      <w:bookmarkEnd w:id="95"/>
    </w:p>
    <w:bookmarkEnd w:id="96"/>
    <w:p w14:paraId="62F3D5D5" w14:textId="7739C833" w:rsidR="0064259F" w:rsidRPr="00102407" w:rsidRDefault="00C86253" w:rsidP="00325A45">
      <w:pPr>
        <w:pStyle w:val="BodyTextFirstIndent"/>
        <w:spacing w:line="276" w:lineRule="auto"/>
      </w:pPr>
      <w:r>
        <w:t xml:space="preserve">Planning for the </w:t>
      </w:r>
      <w:r w:rsidR="0064259F" w:rsidRPr="00102407">
        <w:t xml:space="preserve">evaluation of the three-year Demonstration </w:t>
      </w:r>
      <w:r>
        <w:t xml:space="preserve">started in </w:t>
      </w:r>
      <w:r w:rsidR="0064259F" w:rsidRPr="00102407">
        <w:t>September 2014</w:t>
      </w:r>
      <w:r>
        <w:t xml:space="preserve">. All evaluation activities will be completed by </w:t>
      </w:r>
      <w:r w:rsidR="0064259F" w:rsidRPr="00102407">
        <w:t xml:space="preserve">August 2019, with several data collection, analyses, and reporting activities occurring concurrently. </w:t>
      </w:r>
      <w:r w:rsidR="008E5094">
        <w:fldChar w:fldCharType="begin"/>
      </w:r>
      <w:r w:rsidR="008E5094">
        <w:instrText xml:space="preserve"> REF _Ref433197340 \h </w:instrText>
      </w:r>
      <w:r w:rsidR="00A01EE5">
        <w:instrText xml:space="preserve"> \* MERGEFORMAT </w:instrText>
      </w:r>
      <w:r w:rsidR="008E5094">
        <w:fldChar w:fldCharType="separate"/>
      </w:r>
      <w:r w:rsidR="0054584E">
        <w:rPr>
          <w:b/>
          <w:bCs/>
        </w:rPr>
        <w:t>.</w:t>
      </w:r>
      <w:r w:rsidR="008E5094">
        <w:fldChar w:fldCharType="end"/>
      </w:r>
      <w:r w:rsidR="00AE7252" w:rsidRPr="00102407">
        <w:t xml:space="preserve">  </w:t>
      </w:r>
      <w:r w:rsidR="0064259F" w:rsidRPr="00102407">
        <w:t xml:space="preserve">The findings from this three-pronged evaluation will be summarized in several reports during the course of the </w:t>
      </w:r>
      <w:r w:rsidR="007A0B9D">
        <w:t>D</w:t>
      </w:r>
      <w:r w:rsidR="0064259F" w:rsidRPr="00102407">
        <w:t>emonstration evaluation, including:</w:t>
      </w:r>
    </w:p>
    <w:p w14:paraId="3F5F4A1C" w14:textId="7202F4F2" w:rsidR="0064259F" w:rsidRPr="00102407" w:rsidRDefault="0064259F" w:rsidP="00325A45">
      <w:pPr>
        <w:pStyle w:val="ListNumber"/>
        <w:numPr>
          <w:ilvl w:val="0"/>
          <w:numId w:val="13"/>
        </w:numPr>
        <w:spacing w:line="276" w:lineRule="auto"/>
        <w:rPr>
          <w:szCs w:val="22"/>
        </w:rPr>
      </w:pPr>
      <w:r w:rsidRPr="00102407">
        <w:rPr>
          <w:b/>
          <w:szCs w:val="22"/>
        </w:rPr>
        <w:t>Beneficiary Experience Report</w:t>
      </w:r>
      <w:r w:rsidRPr="00102407">
        <w:rPr>
          <w:szCs w:val="22"/>
        </w:rPr>
        <w:t xml:space="preserve"> – Results on the beneficiary experience s based on the IVIG Demonstration project. The</w:t>
      </w:r>
      <w:r w:rsidR="00000379" w:rsidRPr="00102407">
        <w:rPr>
          <w:szCs w:val="22"/>
        </w:rPr>
        <w:t xml:space="preserve"> </w:t>
      </w:r>
      <w:r w:rsidRPr="00102407">
        <w:rPr>
          <w:szCs w:val="22"/>
        </w:rPr>
        <w:t>Beneficiary Experience Report</w:t>
      </w:r>
      <w:r w:rsidR="00C86253">
        <w:rPr>
          <w:szCs w:val="22"/>
        </w:rPr>
        <w:t>s</w:t>
      </w:r>
      <w:r w:rsidRPr="00102407">
        <w:rPr>
          <w:szCs w:val="22"/>
        </w:rPr>
        <w:t xml:space="preserve"> will include </w:t>
      </w:r>
      <w:r w:rsidR="00000379" w:rsidRPr="00102407">
        <w:rPr>
          <w:szCs w:val="22"/>
        </w:rPr>
        <w:t xml:space="preserve">input </w:t>
      </w:r>
      <w:r w:rsidR="00000379" w:rsidRPr="00822C1D">
        <w:rPr>
          <w:szCs w:val="22"/>
        </w:rPr>
        <w:t xml:space="preserve">from </w:t>
      </w:r>
      <w:r w:rsidRPr="00822C1D">
        <w:rPr>
          <w:szCs w:val="22"/>
        </w:rPr>
        <w:t>Medicare claims analyses</w:t>
      </w:r>
      <w:r w:rsidR="00C86253">
        <w:rPr>
          <w:szCs w:val="22"/>
        </w:rPr>
        <w:t xml:space="preserve"> as well as findings from the </w:t>
      </w:r>
      <w:r w:rsidRPr="00102407">
        <w:rPr>
          <w:szCs w:val="22"/>
        </w:rPr>
        <w:t>interview</w:t>
      </w:r>
      <w:r w:rsidR="00C86253">
        <w:rPr>
          <w:szCs w:val="22"/>
        </w:rPr>
        <w:t xml:space="preserve">s and </w:t>
      </w:r>
      <w:r w:rsidR="00000379" w:rsidRPr="00102407">
        <w:rPr>
          <w:szCs w:val="22"/>
        </w:rPr>
        <w:t>b</w:t>
      </w:r>
      <w:r w:rsidRPr="00102407">
        <w:rPr>
          <w:szCs w:val="22"/>
        </w:rPr>
        <w:t xml:space="preserve">eneficiary </w:t>
      </w:r>
      <w:r w:rsidR="00000379" w:rsidRPr="00102407">
        <w:rPr>
          <w:szCs w:val="22"/>
        </w:rPr>
        <w:t>s</w:t>
      </w:r>
      <w:r w:rsidRPr="00102407">
        <w:rPr>
          <w:szCs w:val="22"/>
        </w:rPr>
        <w:t>urvey.</w:t>
      </w:r>
    </w:p>
    <w:p w14:paraId="45AAE612" w14:textId="316B107C" w:rsidR="0064259F" w:rsidRPr="00102407" w:rsidRDefault="0064259F" w:rsidP="00325A45">
      <w:pPr>
        <w:pStyle w:val="ListNumber"/>
        <w:spacing w:line="276" w:lineRule="auto"/>
        <w:rPr>
          <w:szCs w:val="22"/>
        </w:rPr>
      </w:pPr>
      <w:r w:rsidRPr="00102407">
        <w:rPr>
          <w:b/>
          <w:szCs w:val="22"/>
        </w:rPr>
        <w:t>Payment Me</w:t>
      </w:r>
      <w:r w:rsidRPr="00500161">
        <w:rPr>
          <w:b/>
          <w:szCs w:val="22"/>
        </w:rPr>
        <w:t>t</w:t>
      </w:r>
      <w:r w:rsidRPr="00102407">
        <w:rPr>
          <w:b/>
          <w:szCs w:val="22"/>
        </w:rPr>
        <w:t>hodology Report</w:t>
      </w:r>
      <w:r w:rsidRPr="00102407">
        <w:rPr>
          <w:szCs w:val="22"/>
        </w:rPr>
        <w:t xml:space="preserve"> – Results of the analysis of </w:t>
      </w:r>
      <w:r w:rsidR="001E6520" w:rsidRPr="00832B4C">
        <w:rPr>
          <w:szCs w:val="22"/>
        </w:rPr>
        <w:t xml:space="preserve">Medicare costs </w:t>
      </w:r>
      <w:r w:rsidR="001E6520">
        <w:rPr>
          <w:szCs w:val="22"/>
        </w:rPr>
        <w:t xml:space="preserve">under Part B </w:t>
      </w:r>
      <w:r w:rsidR="001E6520" w:rsidRPr="00832B4C">
        <w:rPr>
          <w:szCs w:val="22"/>
        </w:rPr>
        <w:t xml:space="preserve">to inform the payment methodology </w:t>
      </w:r>
      <w:r w:rsidRPr="00102407">
        <w:rPr>
          <w:szCs w:val="22"/>
        </w:rPr>
        <w:t>in various care settings. This report will be developed from April through September 2017, with a final version submitted at the end of September 2017.</w:t>
      </w:r>
    </w:p>
    <w:p w14:paraId="48490878" w14:textId="641BA6AF" w:rsidR="0064259F" w:rsidRPr="00102407" w:rsidRDefault="0064259F" w:rsidP="00325A45">
      <w:pPr>
        <w:pStyle w:val="ListNumber"/>
        <w:spacing w:line="276" w:lineRule="auto"/>
        <w:rPr>
          <w:szCs w:val="22"/>
        </w:rPr>
      </w:pPr>
      <w:r w:rsidRPr="00102407">
        <w:rPr>
          <w:b/>
          <w:szCs w:val="22"/>
        </w:rPr>
        <w:lastRenderedPageBreak/>
        <w:t>Analysis of Supply, Distribution, Demand, and Access Issues Report</w:t>
      </w:r>
      <w:r w:rsidR="00500161" w:rsidRPr="00102407">
        <w:rPr>
          <w:szCs w:val="22"/>
        </w:rPr>
        <w:t xml:space="preserve"> –</w:t>
      </w:r>
      <w:r w:rsidR="00CE4DEC">
        <w:rPr>
          <w:szCs w:val="22"/>
        </w:rPr>
        <w:t xml:space="preserve"> </w:t>
      </w:r>
      <w:r w:rsidR="001E6520">
        <w:rPr>
          <w:szCs w:val="22"/>
        </w:rPr>
        <w:t>This report will include changes in market dynamics since the release of the 2007 ASPE report</w:t>
      </w:r>
      <w:r w:rsidR="00CE4DEC">
        <w:rPr>
          <w:szCs w:val="22"/>
        </w:rPr>
        <w:t xml:space="preserve"> identified </w:t>
      </w:r>
      <w:r w:rsidRPr="00102407">
        <w:rPr>
          <w:szCs w:val="22"/>
        </w:rPr>
        <w:t xml:space="preserve">from interviews, the </w:t>
      </w:r>
      <w:r w:rsidR="001869E3" w:rsidRPr="00102407">
        <w:rPr>
          <w:szCs w:val="22"/>
        </w:rPr>
        <w:t>b</w:t>
      </w:r>
      <w:r w:rsidRPr="00102407">
        <w:rPr>
          <w:szCs w:val="22"/>
        </w:rPr>
        <w:t xml:space="preserve">eneficiary </w:t>
      </w:r>
      <w:r w:rsidR="001869E3" w:rsidRPr="00102407">
        <w:rPr>
          <w:szCs w:val="22"/>
        </w:rPr>
        <w:t>s</w:t>
      </w:r>
      <w:r w:rsidRPr="00102407">
        <w:rPr>
          <w:szCs w:val="22"/>
        </w:rPr>
        <w:t>urvey and Medicare claims analyses. The final version will be submitted in at the end of December 2017.</w:t>
      </w:r>
    </w:p>
    <w:p w14:paraId="34D6CBD2" w14:textId="5E526A3B" w:rsidR="0064259F" w:rsidRPr="00102407" w:rsidRDefault="0064259F" w:rsidP="00325A45">
      <w:pPr>
        <w:pStyle w:val="ListNumber"/>
        <w:spacing w:line="276" w:lineRule="auto"/>
        <w:rPr>
          <w:szCs w:val="22"/>
        </w:rPr>
      </w:pPr>
      <w:r w:rsidRPr="00102407">
        <w:rPr>
          <w:b/>
          <w:szCs w:val="22"/>
        </w:rPr>
        <w:t>Final Report to Congress</w:t>
      </w:r>
      <w:r w:rsidR="00500161" w:rsidRPr="00102407">
        <w:rPr>
          <w:szCs w:val="22"/>
        </w:rPr>
        <w:t xml:space="preserve"> –</w:t>
      </w:r>
      <w:r w:rsidR="00CE4DEC">
        <w:rPr>
          <w:szCs w:val="22"/>
        </w:rPr>
        <w:t xml:space="preserve"> </w:t>
      </w:r>
      <w:r w:rsidRPr="00102407">
        <w:rPr>
          <w:szCs w:val="22"/>
        </w:rPr>
        <w:t xml:space="preserve">The findings </w:t>
      </w:r>
      <w:r w:rsidR="001E6520">
        <w:rPr>
          <w:szCs w:val="22"/>
        </w:rPr>
        <w:t xml:space="preserve">from the reports 1, 2 and 3 </w:t>
      </w:r>
      <w:r w:rsidRPr="00102407">
        <w:rPr>
          <w:szCs w:val="22"/>
        </w:rPr>
        <w:t>will be incorporated into the Final Report to Congress</w:t>
      </w:r>
      <w:r w:rsidR="00CE4DEC">
        <w:rPr>
          <w:szCs w:val="22"/>
        </w:rPr>
        <w:t>,</w:t>
      </w:r>
      <w:r w:rsidRPr="00102407">
        <w:rPr>
          <w:szCs w:val="22"/>
        </w:rPr>
        <w:t xml:space="preserve"> </w:t>
      </w:r>
      <w:r w:rsidR="0032118C">
        <w:rPr>
          <w:szCs w:val="22"/>
        </w:rPr>
        <w:t>to be submitted by</w:t>
      </w:r>
      <w:r w:rsidRPr="00102407">
        <w:rPr>
          <w:szCs w:val="22"/>
        </w:rPr>
        <w:t xml:space="preserve"> September 2018.</w:t>
      </w:r>
      <w:r w:rsidR="00C06410" w:rsidRPr="00102407">
        <w:rPr>
          <w:szCs w:val="22"/>
        </w:rPr>
        <w:t xml:space="preserve"> </w:t>
      </w:r>
    </w:p>
    <w:p w14:paraId="4C8CE30F" w14:textId="2A5F5C85" w:rsidR="008E5094" w:rsidRDefault="0064259F" w:rsidP="00325A45">
      <w:pPr>
        <w:pStyle w:val="ListNumber"/>
        <w:spacing w:line="276" w:lineRule="auto"/>
      </w:pPr>
      <w:r w:rsidRPr="00102407">
        <w:rPr>
          <w:b/>
          <w:szCs w:val="22"/>
        </w:rPr>
        <w:t>Final Evaluation</w:t>
      </w:r>
      <w:r w:rsidRPr="00102407">
        <w:rPr>
          <w:szCs w:val="22"/>
        </w:rPr>
        <w:t xml:space="preserve"> </w:t>
      </w:r>
      <w:r w:rsidRPr="00102407">
        <w:rPr>
          <w:b/>
          <w:szCs w:val="22"/>
        </w:rPr>
        <w:t>Report</w:t>
      </w:r>
      <w:r w:rsidRPr="00102407">
        <w:rPr>
          <w:szCs w:val="22"/>
        </w:rPr>
        <w:t xml:space="preserve"> – Final </w:t>
      </w:r>
      <w:r w:rsidR="0032118C">
        <w:rPr>
          <w:szCs w:val="22"/>
        </w:rPr>
        <w:t xml:space="preserve">evaluation </w:t>
      </w:r>
      <w:r w:rsidRPr="00102407">
        <w:rPr>
          <w:szCs w:val="22"/>
        </w:rPr>
        <w:t xml:space="preserve">findings </w:t>
      </w:r>
      <w:r w:rsidR="0032118C">
        <w:rPr>
          <w:szCs w:val="22"/>
        </w:rPr>
        <w:t xml:space="preserve">which will include lagged claims data and updated survey and/or interviews data will be reported </w:t>
      </w:r>
      <w:r w:rsidRPr="00102407">
        <w:rPr>
          <w:szCs w:val="22"/>
        </w:rPr>
        <w:t xml:space="preserve">the final report </w:t>
      </w:r>
      <w:r w:rsidR="0032118C">
        <w:rPr>
          <w:szCs w:val="22"/>
        </w:rPr>
        <w:t>to</w:t>
      </w:r>
      <w:r w:rsidRPr="00102407">
        <w:rPr>
          <w:szCs w:val="22"/>
        </w:rPr>
        <w:t xml:space="preserve"> be submitted </w:t>
      </w:r>
      <w:r w:rsidR="0032118C">
        <w:rPr>
          <w:szCs w:val="22"/>
        </w:rPr>
        <w:t>by</w:t>
      </w:r>
      <w:r w:rsidRPr="00102407">
        <w:rPr>
          <w:szCs w:val="22"/>
        </w:rPr>
        <w:t xml:space="preserve"> August </w:t>
      </w:r>
      <w:r w:rsidR="00B0532F" w:rsidRPr="00102407">
        <w:rPr>
          <w:szCs w:val="22"/>
        </w:rPr>
        <w:t>2019</w:t>
      </w:r>
      <w:r w:rsidRPr="00102407">
        <w:rPr>
          <w:szCs w:val="22"/>
        </w:rPr>
        <w:t xml:space="preserve">. </w:t>
      </w:r>
    </w:p>
    <w:p w14:paraId="52C0FC5C" w14:textId="463E1307" w:rsidR="00CD699A" w:rsidRDefault="00CD699A" w:rsidP="00372870">
      <w:pPr>
        <w:pStyle w:val="Caption"/>
        <w:keepNext/>
        <w:spacing w:before="240" w:after="120" w:line="276" w:lineRule="auto"/>
      </w:pPr>
      <w:r>
        <w:t>Table 5: Deliverable Schedule for Data Collection and Reporting Activities</w:t>
      </w:r>
    </w:p>
    <w:tbl>
      <w:tblPr>
        <w:tblW w:w="74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Description w:val="Table 5 lists the deliverable schedule for data collection and reporting activities. The Deliverables make up the first column and the second column consists of the Timeline. "/>
      </w:tblPr>
      <w:tblGrid>
        <w:gridCol w:w="5130"/>
        <w:gridCol w:w="2327"/>
      </w:tblGrid>
      <w:tr w:rsidR="00AE7252" w:rsidRPr="00E12FFB" w14:paraId="11A9E899" w14:textId="77777777" w:rsidTr="005010AE">
        <w:trPr>
          <w:trHeight w:val="323"/>
          <w:tblHeader/>
          <w:jc w:val="center"/>
        </w:trPr>
        <w:tc>
          <w:tcPr>
            <w:tcW w:w="5130" w:type="dxa"/>
            <w:tcBorders>
              <w:top w:val="single" w:sz="4" w:space="0" w:color="auto"/>
              <w:right w:val="single" w:sz="4" w:space="0" w:color="auto"/>
            </w:tcBorders>
            <w:shd w:val="clear" w:color="auto" w:fill="D6E3BC" w:themeFill="accent3" w:themeFillTint="66"/>
            <w:vAlign w:val="center"/>
            <w:hideMark/>
          </w:tcPr>
          <w:p w14:paraId="291265A8" w14:textId="324CE9DF" w:rsidR="00AE7252" w:rsidRPr="008E5094" w:rsidRDefault="00AE7252" w:rsidP="00325A45">
            <w:pPr>
              <w:spacing w:line="276" w:lineRule="auto"/>
              <w:jc w:val="center"/>
              <w:rPr>
                <w:color w:val="000000"/>
                <w:sz w:val="20"/>
              </w:rPr>
            </w:pPr>
            <w:r w:rsidRPr="008E5094">
              <w:rPr>
                <w:b/>
                <w:color w:val="000000"/>
                <w:sz w:val="20"/>
              </w:rPr>
              <w:t>Deliverables</w:t>
            </w:r>
          </w:p>
        </w:tc>
        <w:tc>
          <w:tcPr>
            <w:tcW w:w="2327" w:type="dxa"/>
            <w:tcBorders>
              <w:top w:val="single" w:sz="4" w:space="0" w:color="auto"/>
              <w:left w:val="single" w:sz="4" w:space="0" w:color="auto"/>
            </w:tcBorders>
            <w:shd w:val="clear" w:color="auto" w:fill="D6E3BC" w:themeFill="accent3" w:themeFillTint="66"/>
            <w:noWrap/>
            <w:vAlign w:val="bottom"/>
            <w:hideMark/>
          </w:tcPr>
          <w:p w14:paraId="79C19CEB" w14:textId="3D3CF08B" w:rsidR="00AE7252" w:rsidRPr="008E5094" w:rsidRDefault="00AE7252" w:rsidP="00325A45">
            <w:pPr>
              <w:spacing w:line="276" w:lineRule="auto"/>
              <w:jc w:val="center"/>
              <w:rPr>
                <w:b/>
                <w:color w:val="000000"/>
                <w:sz w:val="20"/>
              </w:rPr>
            </w:pPr>
            <w:r w:rsidRPr="008E5094">
              <w:rPr>
                <w:b/>
                <w:color w:val="000000"/>
                <w:sz w:val="20"/>
              </w:rPr>
              <w:t>Timeline</w:t>
            </w:r>
          </w:p>
        </w:tc>
      </w:tr>
      <w:tr w:rsidR="008111D2" w:rsidRPr="00E12FFB" w14:paraId="75F00352" w14:textId="6820AF0C" w:rsidTr="005010AE">
        <w:trPr>
          <w:trHeight w:val="300"/>
          <w:jc w:val="center"/>
        </w:trPr>
        <w:tc>
          <w:tcPr>
            <w:tcW w:w="5130" w:type="dxa"/>
            <w:tcBorders>
              <w:right w:val="single" w:sz="4" w:space="0" w:color="auto"/>
            </w:tcBorders>
            <w:shd w:val="clear" w:color="auto" w:fill="auto"/>
            <w:noWrap/>
            <w:vAlign w:val="center"/>
            <w:hideMark/>
          </w:tcPr>
          <w:p w14:paraId="6B11DD9C" w14:textId="0C9ED4DF" w:rsidR="008111D2" w:rsidRPr="008E5094" w:rsidRDefault="008111D2" w:rsidP="00325A45">
            <w:pPr>
              <w:spacing w:line="276" w:lineRule="auto"/>
              <w:rPr>
                <w:b/>
                <w:sz w:val="18"/>
                <w:szCs w:val="20"/>
              </w:rPr>
            </w:pPr>
            <w:r w:rsidRPr="008E5094">
              <w:rPr>
                <w:b/>
                <w:color w:val="000000"/>
                <w:sz w:val="20"/>
              </w:rPr>
              <w:t>Data Collection and Analysis</w:t>
            </w:r>
          </w:p>
        </w:tc>
        <w:tc>
          <w:tcPr>
            <w:tcW w:w="2327" w:type="dxa"/>
            <w:tcBorders>
              <w:left w:val="single" w:sz="4" w:space="0" w:color="auto"/>
            </w:tcBorders>
            <w:shd w:val="clear" w:color="auto" w:fill="auto"/>
            <w:vAlign w:val="center"/>
          </w:tcPr>
          <w:p w14:paraId="48E859B8" w14:textId="77777777" w:rsidR="008111D2" w:rsidRPr="008E5094" w:rsidRDefault="008111D2" w:rsidP="008111D2">
            <w:pPr>
              <w:spacing w:line="276" w:lineRule="auto"/>
              <w:rPr>
                <w:b/>
                <w:sz w:val="18"/>
                <w:szCs w:val="20"/>
              </w:rPr>
            </w:pPr>
          </w:p>
        </w:tc>
      </w:tr>
      <w:tr w:rsidR="00A81D48" w:rsidRPr="00E12FFB" w14:paraId="20A856D0" w14:textId="77777777" w:rsidTr="005010AE">
        <w:trPr>
          <w:trHeight w:val="300"/>
          <w:jc w:val="center"/>
        </w:trPr>
        <w:tc>
          <w:tcPr>
            <w:tcW w:w="5130" w:type="dxa"/>
            <w:tcBorders>
              <w:right w:val="single" w:sz="4" w:space="0" w:color="auto"/>
            </w:tcBorders>
            <w:shd w:val="clear" w:color="auto" w:fill="auto"/>
            <w:noWrap/>
            <w:vAlign w:val="center"/>
          </w:tcPr>
          <w:p w14:paraId="3565C8FA" w14:textId="085650D3" w:rsidR="00A81D48" w:rsidRPr="008E5094" w:rsidRDefault="00A81D48" w:rsidP="00EF21CC">
            <w:pPr>
              <w:spacing w:line="276" w:lineRule="auto"/>
              <w:ind w:firstLineChars="78" w:firstLine="156"/>
              <w:rPr>
                <w:color w:val="000000"/>
                <w:sz w:val="20"/>
              </w:rPr>
            </w:pPr>
            <w:r w:rsidRPr="008E5094">
              <w:rPr>
                <w:color w:val="000000"/>
                <w:sz w:val="20"/>
              </w:rPr>
              <w:t>Conduct Interviews</w:t>
            </w:r>
          </w:p>
        </w:tc>
        <w:tc>
          <w:tcPr>
            <w:tcW w:w="2327" w:type="dxa"/>
            <w:tcBorders>
              <w:left w:val="single" w:sz="4" w:space="0" w:color="auto"/>
            </w:tcBorders>
            <w:shd w:val="clear" w:color="auto" w:fill="auto"/>
            <w:noWrap/>
            <w:vAlign w:val="center"/>
          </w:tcPr>
          <w:p w14:paraId="3E4F5806" w14:textId="0229A94E" w:rsidR="00A81D48" w:rsidRPr="008E5094" w:rsidRDefault="00D766D2" w:rsidP="00325A45">
            <w:pPr>
              <w:spacing w:line="276" w:lineRule="auto"/>
              <w:jc w:val="center"/>
              <w:rPr>
                <w:color w:val="000000"/>
                <w:sz w:val="20"/>
              </w:rPr>
            </w:pPr>
            <w:r>
              <w:rPr>
                <w:color w:val="000000"/>
                <w:sz w:val="20"/>
              </w:rPr>
              <w:t>1/1/2017-9/30/2017</w:t>
            </w:r>
          </w:p>
        </w:tc>
      </w:tr>
      <w:tr w:rsidR="00C039DA" w:rsidRPr="00E12FFB" w14:paraId="2BD97C1F" w14:textId="77777777" w:rsidTr="00372870">
        <w:trPr>
          <w:trHeight w:val="300"/>
          <w:jc w:val="center"/>
        </w:trPr>
        <w:tc>
          <w:tcPr>
            <w:tcW w:w="5130" w:type="dxa"/>
            <w:shd w:val="clear" w:color="auto" w:fill="auto"/>
            <w:noWrap/>
            <w:vAlign w:val="center"/>
          </w:tcPr>
          <w:p w14:paraId="38D6C813" w14:textId="4C0DFE3E" w:rsidR="00C039DA" w:rsidRPr="008E5094" w:rsidRDefault="00C039DA" w:rsidP="00325A45">
            <w:pPr>
              <w:spacing w:line="276" w:lineRule="auto"/>
              <w:ind w:firstLineChars="78" w:firstLine="156"/>
              <w:rPr>
                <w:color w:val="000000"/>
                <w:sz w:val="20"/>
              </w:rPr>
            </w:pPr>
            <w:r w:rsidRPr="008E5094">
              <w:rPr>
                <w:color w:val="000000"/>
                <w:sz w:val="20"/>
              </w:rPr>
              <w:t xml:space="preserve">Conduct </w:t>
            </w:r>
            <w:r>
              <w:rPr>
                <w:color w:val="000000"/>
                <w:sz w:val="20"/>
              </w:rPr>
              <w:t>B</w:t>
            </w:r>
            <w:r w:rsidRPr="008E5094">
              <w:rPr>
                <w:color w:val="000000"/>
                <w:sz w:val="20"/>
              </w:rPr>
              <w:t xml:space="preserve">eneficiary </w:t>
            </w:r>
            <w:r>
              <w:rPr>
                <w:color w:val="000000"/>
                <w:sz w:val="20"/>
              </w:rPr>
              <w:t>S</w:t>
            </w:r>
            <w:r w:rsidRPr="008E5094">
              <w:rPr>
                <w:color w:val="000000"/>
                <w:sz w:val="20"/>
              </w:rPr>
              <w:t>urvey</w:t>
            </w:r>
          </w:p>
        </w:tc>
        <w:tc>
          <w:tcPr>
            <w:tcW w:w="2327" w:type="dxa"/>
            <w:shd w:val="clear" w:color="auto" w:fill="auto"/>
            <w:noWrap/>
            <w:vAlign w:val="center"/>
          </w:tcPr>
          <w:p w14:paraId="22C64889" w14:textId="35134314" w:rsidR="00C039DA" w:rsidRPr="008E5094" w:rsidRDefault="00C039DA" w:rsidP="00325A45">
            <w:pPr>
              <w:spacing w:line="276" w:lineRule="auto"/>
              <w:jc w:val="center"/>
              <w:rPr>
                <w:color w:val="000000"/>
                <w:sz w:val="20"/>
              </w:rPr>
            </w:pPr>
            <w:r w:rsidRPr="008E5094">
              <w:rPr>
                <w:color w:val="000000"/>
                <w:sz w:val="20"/>
              </w:rPr>
              <w:t>1/1/201</w:t>
            </w:r>
            <w:r w:rsidR="00C86253">
              <w:rPr>
                <w:color w:val="000000"/>
                <w:sz w:val="20"/>
              </w:rPr>
              <w:t>7</w:t>
            </w:r>
            <w:r w:rsidRPr="008E5094">
              <w:rPr>
                <w:color w:val="000000"/>
                <w:sz w:val="20"/>
              </w:rPr>
              <w:t xml:space="preserve"> to </w:t>
            </w:r>
            <w:r w:rsidR="00C86253">
              <w:rPr>
                <w:color w:val="000000"/>
                <w:sz w:val="20"/>
              </w:rPr>
              <w:t>6</w:t>
            </w:r>
            <w:r w:rsidRPr="008E5094">
              <w:rPr>
                <w:color w:val="000000"/>
                <w:sz w:val="20"/>
              </w:rPr>
              <w:t>/30/2017</w:t>
            </w:r>
          </w:p>
        </w:tc>
      </w:tr>
      <w:tr w:rsidR="00C039DA" w:rsidRPr="00E12FFB" w14:paraId="60F7ADF6" w14:textId="77777777" w:rsidTr="00372870">
        <w:trPr>
          <w:trHeight w:val="300"/>
          <w:jc w:val="center"/>
        </w:trPr>
        <w:tc>
          <w:tcPr>
            <w:tcW w:w="5130" w:type="dxa"/>
            <w:shd w:val="clear" w:color="auto" w:fill="auto"/>
            <w:noWrap/>
            <w:vAlign w:val="center"/>
          </w:tcPr>
          <w:p w14:paraId="0F987F3C" w14:textId="520901C6" w:rsidR="00C039DA" w:rsidRPr="008E5094" w:rsidRDefault="00C039DA" w:rsidP="00325A45">
            <w:pPr>
              <w:spacing w:line="276" w:lineRule="auto"/>
              <w:rPr>
                <w:b/>
                <w:color w:val="000000"/>
                <w:sz w:val="20"/>
              </w:rPr>
            </w:pPr>
            <w:r w:rsidRPr="008E5094">
              <w:rPr>
                <w:b/>
                <w:color w:val="000000"/>
                <w:sz w:val="20"/>
              </w:rPr>
              <w:t>Beneficiary Experience Report</w:t>
            </w:r>
          </w:p>
        </w:tc>
        <w:tc>
          <w:tcPr>
            <w:tcW w:w="2327" w:type="dxa"/>
            <w:shd w:val="clear" w:color="auto" w:fill="auto"/>
            <w:noWrap/>
            <w:vAlign w:val="center"/>
          </w:tcPr>
          <w:p w14:paraId="6855D9AA" w14:textId="237E2D85" w:rsidR="00C039DA" w:rsidRPr="008E5094" w:rsidRDefault="00C039DA" w:rsidP="00325A45">
            <w:pPr>
              <w:spacing w:line="276" w:lineRule="auto"/>
              <w:jc w:val="center"/>
              <w:rPr>
                <w:color w:val="000000"/>
                <w:sz w:val="20"/>
              </w:rPr>
            </w:pPr>
            <w:r w:rsidRPr="008E5094">
              <w:rPr>
                <w:color w:val="000000"/>
                <w:sz w:val="20"/>
              </w:rPr>
              <w:t>9/30/2017</w:t>
            </w:r>
          </w:p>
        </w:tc>
      </w:tr>
      <w:tr w:rsidR="00C039DA" w:rsidRPr="00E12FFB" w14:paraId="15D49609" w14:textId="77777777" w:rsidTr="00372870">
        <w:trPr>
          <w:trHeight w:val="300"/>
          <w:jc w:val="center"/>
        </w:trPr>
        <w:tc>
          <w:tcPr>
            <w:tcW w:w="5130" w:type="dxa"/>
            <w:shd w:val="clear" w:color="auto" w:fill="auto"/>
            <w:noWrap/>
            <w:vAlign w:val="center"/>
          </w:tcPr>
          <w:p w14:paraId="478E4CAE" w14:textId="75A0E153" w:rsidR="00C039DA" w:rsidRPr="008E5094" w:rsidRDefault="00C039DA" w:rsidP="00325A45">
            <w:pPr>
              <w:spacing w:line="276" w:lineRule="auto"/>
              <w:rPr>
                <w:b/>
                <w:color w:val="000000"/>
                <w:sz w:val="20"/>
              </w:rPr>
            </w:pPr>
            <w:r w:rsidRPr="008E5094">
              <w:rPr>
                <w:b/>
                <w:color w:val="000000"/>
                <w:sz w:val="20"/>
              </w:rPr>
              <w:t>Payment Methodology Report</w:t>
            </w:r>
          </w:p>
        </w:tc>
        <w:tc>
          <w:tcPr>
            <w:tcW w:w="2327" w:type="dxa"/>
            <w:shd w:val="clear" w:color="auto" w:fill="auto"/>
            <w:noWrap/>
            <w:vAlign w:val="center"/>
          </w:tcPr>
          <w:p w14:paraId="39208707" w14:textId="33BAAACF" w:rsidR="00C039DA" w:rsidRPr="008E5094" w:rsidRDefault="00C039DA" w:rsidP="00325A45">
            <w:pPr>
              <w:spacing w:line="276" w:lineRule="auto"/>
              <w:jc w:val="center"/>
              <w:rPr>
                <w:color w:val="000000"/>
                <w:sz w:val="20"/>
              </w:rPr>
            </w:pPr>
            <w:r w:rsidRPr="008E5094">
              <w:rPr>
                <w:color w:val="000000"/>
                <w:sz w:val="20"/>
              </w:rPr>
              <w:t>9/30/2017</w:t>
            </w:r>
          </w:p>
        </w:tc>
      </w:tr>
      <w:tr w:rsidR="00C039DA" w:rsidRPr="00E12FFB" w14:paraId="14B3B099" w14:textId="77777777" w:rsidTr="00372870">
        <w:trPr>
          <w:trHeight w:val="300"/>
          <w:jc w:val="center"/>
        </w:trPr>
        <w:tc>
          <w:tcPr>
            <w:tcW w:w="5130" w:type="dxa"/>
            <w:shd w:val="clear" w:color="auto" w:fill="auto"/>
            <w:noWrap/>
            <w:vAlign w:val="center"/>
            <w:hideMark/>
          </w:tcPr>
          <w:p w14:paraId="4EF92CE3" w14:textId="1B378BD6" w:rsidR="00C039DA" w:rsidRPr="008E5094" w:rsidRDefault="00C039DA" w:rsidP="00325A45">
            <w:pPr>
              <w:spacing w:line="276" w:lineRule="auto"/>
              <w:rPr>
                <w:b/>
                <w:color w:val="000000"/>
                <w:sz w:val="20"/>
              </w:rPr>
            </w:pPr>
            <w:r w:rsidRPr="008E5094">
              <w:rPr>
                <w:b/>
                <w:color w:val="000000"/>
                <w:sz w:val="20"/>
              </w:rPr>
              <w:t>Update 2007 ASPE Report</w:t>
            </w:r>
          </w:p>
        </w:tc>
        <w:tc>
          <w:tcPr>
            <w:tcW w:w="2327" w:type="dxa"/>
            <w:shd w:val="clear" w:color="auto" w:fill="auto"/>
            <w:noWrap/>
            <w:vAlign w:val="center"/>
          </w:tcPr>
          <w:p w14:paraId="6114703C" w14:textId="77777777" w:rsidR="00C039DA" w:rsidRPr="008E5094" w:rsidRDefault="00C039DA" w:rsidP="00325A45">
            <w:pPr>
              <w:spacing w:line="276" w:lineRule="auto"/>
              <w:jc w:val="center"/>
              <w:rPr>
                <w:color w:val="000000"/>
                <w:sz w:val="20"/>
              </w:rPr>
            </w:pPr>
            <w:r w:rsidRPr="008E5094">
              <w:rPr>
                <w:color w:val="000000"/>
                <w:sz w:val="20"/>
              </w:rPr>
              <w:t>12/31/2017</w:t>
            </w:r>
          </w:p>
        </w:tc>
      </w:tr>
      <w:tr w:rsidR="00C039DA" w:rsidRPr="00E12FFB" w14:paraId="57EDB064" w14:textId="77777777" w:rsidTr="00372870">
        <w:trPr>
          <w:trHeight w:val="300"/>
          <w:jc w:val="center"/>
        </w:trPr>
        <w:tc>
          <w:tcPr>
            <w:tcW w:w="5130" w:type="dxa"/>
            <w:shd w:val="clear" w:color="auto" w:fill="auto"/>
            <w:noWrap/>
            <w:vAlign w:val="center"/>
            <w:hideMark/>
          </w:tcPr>
          <w:p w14:paraId="4C8AA06B" w14:textId="4F1734BA" w:rsidR="00C039DA" w:rsidRPr="008E5094" w:rsidRDefault="00C039DA" w:rsidP="00325A45">
            <w:pPr>
              <w:spacing w:line="276" w:lineRule="auto"/>
              <w:rPr>
                <w:b/>
                <w:color w:val="000000"/>
                <w:sz w:val="20"/>
              </w:rPr>
            </w:pPr>
            <w:r w:rsidRPr="008E5094">
              <w:rPr>
                <w:b/>
                <w:color w:val="000000"/>
                <w:sz w:val="20"/>
              </w:rPr>
              <w:t>Final Report to Congress</w:t>
            </w:r>
          </w:p>
        </w:tc>
        <w:tc>
          <w:tcPr>
            <w:tcW w:w="2327" w:type="dxa"/>
            <w:shd w:val="clear" w:color="auto" w:fill="auto"/>
            <w:noWrap/>
            <w:vAlign w:val="center"/>
          </w:tcPr>
          <w:p w14:paraId="39CDABA5" w14:textId="77777777" w:rsidR="00C039DA" w:rsidRPr="008E5094" w:rsidRDefault="00C039DA" w:rsidP="00325A45">
            <w:pPr>
              <w:spacing w:line="276" w:lineRule="auto"/>
              <w:jc w:val="center"/>
              <w:rPr>
                <w:color w:val="000000"/>
                <w:sz w:val="20"/>
              </w:rPr>
            </w:pPr>
            <w:r w:rsidRPr="008E5094">
              <w:rPr>
                <w:color w:val="000000"/>
                <w:sz w:val="20"/>
              </w:rPr>
              <w:t>9/30/2018</w:t>
            </w:r>
          </w:p>
        </w:tc>
      </w:tr>
      <w:tr w:rsidR="00C039DA" w:rsidRPr="00E12FFB" w14:paraId="156BBBE9" w14:textId="77777777" w:rsidTr="00372870">
        <w:trPr>
          <w:trHeight w:val="300"/>
          <w:jc w:val="center"/>
        </w:trPr>
        <w:tc>
          <w:tcPr>
            <w:tcW w:w="5130" w:type="dxa"/>
            <w:shd w:val="clear" w:color="auto" w:fill="auto"/>
            <w:noWrap/>
            <w:vAlign w:val="center"/>
            <w:hideMark/>
          </w:tcPr>
          <w:p w14:paraId="5494D1A1" w14:textId="06FE47DE" w:rsidR="00C039DA" w:rsidRPr="008E5094" w:rsidRDefault="00C039DA" w:rsidP="00325A45">
            <w:pPr>
              <w:spacing w:line="276" w:lineRule="auto"/>
              <w:rPr>
                <w:b/>
                <w:color w:val="000000"/>
                <w:sz w:val="20"/>
              </w:rPr>
            </w:pPr>
            <w:r w:rsidRPr="008E5094">
              <w:rPr>
                <w:b/>
                <w:color w:val="000000"/>
                <w:sz w:val="20"/>
              </w:rPr>
              <w:t>Final Evaluation Report</w:t>
            </w:r>
          </w:p>
        </w:tc>
        <w:tc>
          <w:tcPr>
            <w:tcW w:w="2327" w:type="dxa"/>
            <w:shd w:val="clear" w:color="auto" w:fill="auto"/>
            <w:noWrap/>
            <w:vAlign w:val="center"/>
          </w:tcPr>
          <w:p w14:paraId="2A83CF48" w14:textId="77777777" w:rsidR="00C039DA" w:rsidRPr="008E5094" w:rsidRDefault="00C039DA" w:rsidP="00325A45">
            <w:pPr>
              <w:spacing w:line="276" w:lineRule="auto"/>
              <w:jc w:val="center"/>
              <w:rPr>
                <w:color w:val="000000"/>
                <w:sz w:val="20"/>
              </w:rPr>
            </w:pPr>
            <w:r w:rsidRPr="008E5094">
              <w:rPr>
                <w:color w:val="000000"/>
                <w:sz w:val="20"/>
              </w:rPr>
              <w:t>8/31/2019</w:t>
            </w:r>
          </w:p>
        </w:tc>
      </w:tr>
    </w:tbl>
    <w:p w14:paraId="229CCF85" w14:textId="77777777" w:rsidR="00F724A2" w:rsidRPr="002E073B" w:rsidRDefault="00F724A2" w:rsidP="00325A45">
      <w:pPr>
        <w:spacing w:line="276" w:lineRule="auto"/>
        <w:jc w:val="center"/>
      </w:pPr>
    </w:p>
    <w:p w14:paraId="2C8DF383" w14:textId="77777777" w:rsidR="0064259F" w:rsidRPr="00F0202A" w:rsidRDefault="0064259F" w:rsidP="00325A45">
      <w:pPr>
        <w:pStyle w:val="Heading2"/>
      </w:pPr>
      <w:bookmarkStart w:id="97" w:name="_Toc410331593"/>
      <w:bookmarkStart w:id="98" w:name="_Toc410331699"/>
      <w:bookmarkStart w:id="99" w:name="_Toc429570388"/>
      <w:bookmarkStart w:id="100" w:name="_Toc431546794"/>
      <w:bookmarkStart w:id="101" w:name="ExpirationDate"/>
      <w:r w:rsidRPr="00F0202A">
        <w:t>Expiration Date</w:t>
      </w:r>
      <w:bookmarkEnd w:id="97"/>
      <w:bookmarkEnd w:id="98"/>
      <w:bookmarkEnd w:id="99"/>
      <w:bookmarkEnd w:id="100"/>
    </w:p>
    <w:bookmarkEnd w:id="101"/>
    <w:p w14:paraId="14318486" w14:textId="3E95E1DF" w:rsidR="009776AD" w:rsidRDefault="00031B65" w:rsidP="00325A45">
      <w:pPr>
        <w:pStyle w:val="BodyTextFirstIndent"/>
        <w:spacing w:line="276" w:lineRule="auto"/>
        <w:rPr>
          <w:szCs w:val="22"/>
        </w:rPr>
      </w:pPr>
      <w:r>
        <w:rPr>
          <w:szCs w:val="22"/>
        </w:rPr>
        <w:t xml:space="preserve">The project team </w:t>
      </w:r>
      <w:r w:rsidR="00B24BEE">
        <w:rPr>
          <w:szCs w:val="22"/>
        </w:rPr>
        <w:t>will display t</w:t>
      </w:r>
      <w:r w:rsidR="0064259F" w:rsidRPr="00B627FA">
        <w:rPr>
          <w:szCs w:val="22"/>
        </w:rPr>
        <w:t>he expiration date on the front page of the survey</w:t>
      </w:r>
      <w:r w:rsidR="006C58D8">
        <w:rPr>
          <w:szCs w:val="22"/>
        </w:rPr>
        <w:t xml:space="preserve"> and interview guides</w:t>
      </w:r>
      <w:r w:rsidR="0064259F">
        <w:rPr>
          <w:szCs w:val="22"/>
        </w:rPr>
        <w:t>.</w:t>
      </w:r>
      <w:bookmarkStart w:id="102" w:name="_GoBack"/>
      <w:bookmarkEnd w:id="102"/>
      <w:r w:rsidR="009776AD">
        <w:rPr>
          <w:szCs w:val="22"/>
        </w:rPr>
        <w:t xml:space="preserve"> </w:t>
      </w:r>
      <w:r w:rsidR="00EF21CC">
        <w:rPr>
          <w:szCs w:val="22"/>
        </w:rPr>
        <w:t>Those</w:t>
      </w:r>
      <w:r w:rsidR="006C58D8">
        <w:rPr>
          <w:szCs w:val="22"/>
        </w:rPr>
        <w:t xml:space="preserve"> participating in phone interviews will receive the interview guide by email before the scheduled interview. If an email address is not available, w</w:t>
      </w:r>
      <w:r w:rsidR="009776AD">
        <w:rPr>
          <w:szCs w:val="22"/>
        </w:rPr>
        <w:t xml:space="preserve">e will </w:t>
      </w:r>
      <w:r w:rsidR="006C58D8">
        <w:rPr>
          <w:szCs w:val="22"/>
        </w:rPr>
        <w:t xml:space="preserve">read </w:t>
      </w:r>
      <w:r w:rsidR="009776AD">
        <w:rPr>
          <w:szCs w:val="22"/>
        </w:rPr>
        <w:t xml:space="preserve">the </w:t>
      </w:r>
      <w:r w:rsidR="006C58D8">
        <w:rPr>
          <w:szCs w:val="22"/>
        </w:rPr>
        <w:t xml:space="preserve">PRA </w:t>
      </w:r>
      <w:r w:rsidR="009776AD">
        <w:rPr>
          <w:szCs w:val="22"/>
        </w:rPr>
        <w:t>statement</w:t>
      </w:r>
      <w:r w:rsidR="006C58D8">
        <w:rPr>
          <w:szCs w:val="22"/>
        </w:rPr>
        <w:t xml:space="preserve"> to the participant</w:t>
      </w:r>
      <w:r w:rsidR="009776AD">
        <w:rPr>
          <w:szCs w:val="22"/>
        </w:rPr>
        <w:t xml:space="preserve"> at the beginning of the</w:t>
      </w:r>
      <w:r w:rsidR="006C58D8">
        <w:rPr>
          <w:szCs w:val="22"/>
        </w:rPr>
        <w:t xml:space="preserve"> telephone</w:t>
      </w:r>
      <w:r w:rsidR="009776AD">
        <w:rPr>
          <w:szCs w:val="22"/>
        </w:rPr>
        <w:t xml:space="preserve"> interview</w:t>
      </w:r>
      <w:r w:rsidR="006C58D8">
        <w:rPr>
          <w:szCs w:val="22"/>
        </w:rPr>
        <w:t>.</w:t>
      </w:r>
    </w:p>
    <w:p w14:paraId="68FEBE49" w14:textId="531A40C8" w:rsidR="003A3542" w:rsidRPr="00F0202A" w:rsidRDefault="003A3542" w:rsidP="00325A45">
      <w:pPr>
        <w:pStyle w:val="Heading2"/>
      </w:pPr>
      <w:bookmarkStart w:id="103" w:name="CertificationStatement"/>
      <w:r>
        <w:t xml:space="preserve">Certification </w:t>
      </w:r>
      <w:r w:rsidR="008E5094">
        <w:t>S</w:t>
      </w:r>
      <w:r>
        <w:t xml:space="preserve">tatement </w:t>
      </w:r>
    </w:p>
    <w:bookmarkEnd w:id="103"/>
    <w:p w14:paraId="7674C783" w14:textId="39FF285B" w:rsidR="003A3542" w:rsidRPr="00102407" w:rsidRDefault="0073520F" w:rsidP="00325A45">
      <w:pPr>
        <w:pStyle w:val="BodyTextFirstIndent"/>
        <w:spacing w:line="276" w:lineRule="auto"/>
      </w:pPr>
      <w:r>
        <w:t>N</w:t>
      </w:r>
      <w:r w:rsidR="003A3542" w:rsidRPr="00102407">
        <w:t xml:space="preserve">o exceptions </w:t>
      </w:r>
      <w:r>
        <w:t>are requested</w:t>
      </w:r>
      <w:r w:rsidR="00675815">
        <w:t>.</w:t>
      </w:r>
      <w:r>
        <w:t xml:space="preserve"> </w:t>
      </w:r>
    </w:p>
    <w:p w14:paraId="7916D0EA" w14:textId="114101B1" w:rsidR="009634E7" w:rsidRDefault="009634E7" w:rsidP="00325A45">
      <w:pPr>
        <w:widowControl/>
        <w:autoSpaceDE/>
        <w:autoSpaceDN/>
        <w:adjustRightInd/>
        <w:spacing w:line="276" w:lineRule="auto"/>
        <w:rPr>
          <w:bCs/>
          <w:szCs w:val="22"/>
        </w:rPr>
      </w:pPr>
      <w:r>
        <w:rPr>
          <w:bCs/>
          <w:szCs w:val="22"/>
        </w:rPr>
        <w:br w:type="page"/>
      </w:r>
    </w:p>
    <w:p w14:paraId="51C83623" w14:textId="7742CF91" w:rsidR="00A17FA3" w:rsidRPr="00C73AFC" w:rsidRDefault="009634E7" w:rsidP="00325A45">
      <w:pPr>
        <w:pStyle w:val="Heading2"/>
        <w:numPr>
          <w:ilvl w:val="0"/>
          <w:numId w:val="0"/>
        </w:numPr>
        <w:ind w:left="360" w:hanging="360"/>
      </w:pPr>
      <w:bookmarkStart w:id="104" w:name="References"/>
      <w:r w:rsidRPr="00C73AFC">
        <w:lastRenderedPageBreak/>
        <w:t>References:</w:t>
      </w:r>
    </w:p>
    <w:bookmarkEnd w:id="104"/>
    <w:p w14:paraId="03BC4539" w14:textId="77E4DE97" w:rsidR="00B95A4C" w:rsidRDefault="00B95A4C" w:rsidP="00372870">
      <w:pPr>
        <w:pStyle w:val="Sources"/>
        <w:spacing w:line="276" w:lineRule="auto"/>
        <w:ind w:left="180" w:hanging="180"/>
      </w:pPr>
      <w:r>
        <w:t xml:space="preserve">Bureau of Labor Statistics (BLS). </w:t>
      </w:r>
      <w:r w:rsidR="004461F4">
        <w:t>(</w:t>
      </w:r>
      <w:r>
        <w:t>2014a</w:t>
      </w:r>
      <w:r w:rsidR="004461F4">
        <w:t>)</w:t>
      </w:r>
      <w:r>
        <w:t xml:space="preserve">. May 2014 National Occupational Employment and Wage Estimates. Available at </w:t>
      </w:r>
      <w:hyperlink r:id="rId10" w:tooltip="Link to &quot;May 2014 National Occupational Employment and Wage Estimates,&quot; on the Bureau of Labor Statistics website" w:history="1">
        <w:r>
          <w:rPr>
            <w:rStyle w:val="Hyperlink"/>
          </w:rPr>
          <w:t>http://www.bls.gov/oes/current/oes_nat.htm</w:t>
        </w:r>
      </w:hyperlink>
      <w:r>
        <w:t>. (Accessed March 25, 2015).</w:t>
      </w:r>
    </w:p>
    <w:p w14:paraId="68B86103" w14:textId="7C1E5965" w:rsidR="00B95A4C" w:rsidRDefault="00B95A4C" w:rsidP="00372870">
      <w:pPr>
        <w:pStyle w:val="Sources"/>
        <w:spacing w:line="276" w:lineRule="auto"/>
        <w:ind w:left="180" w:hanging="180"/>
      </w:pPr>
      <w:r>
        <w:t xml:space="preserve">Bureau of Labor Statistics (BLS). </w:t>
      </w:r>
      <w:r w:rsidR="004461F4">
        <w:t>(</w:t>
      </w:r>
      <w:r>
        <w:t>2014b</w:t>
      </w:r>
      <w:r w:rsidR="004461F4">
        <w:t>)</w:t>
      </w:r>
      <w:r>
        <w:t xml:space="preserve">. Employer Costs for Employee Compensation June 2014. Available at </w:t>
      </w:r>
      <w:hyperlink r:id="rId11" w:tooltip="Link to &quot;Employer Costs for Employee Compensation,&quot; on the Bureau of Labor Statistics website" w:history="1">
        <w:r>
          <w:rPr>
            <w:rStyle w:val="Hyperlink"/>
          </w:rPr>
          <w:t>http://www.bls.gov/news.release/ecec.nr0.htm</w:t>
        </w:r>
      </w:hyperlink>
      <w:r>
        <w:t xml:space="preserve">. </w:t>
      </w:r>
    </w:p>
    <w:p w14:paraId="58BE6717" w14:textId="1706F2CB" w:rsidR="00B95A4C" w:rsidRDefault="00B95A4C" w:rsidP="00372870">
      <w:pPr>
        <w:pStyle w:val="Sources"/>
        <w:spacing w:line="276" w:lineRule="auto"/>
        <w:ind w:left="180" w:hanging="180"/>
      </w:pPr>
      <w:r>
        <w:t xml:space="preserve">Census Bureau, </w:t>
      </w:r>
      <w:r w:rsidR="004461F4">
        <w:t>(</w:t>
      </w:r>
      <w:r>
        <w:t>2012a</w:t>
      </w:r>
      <w:r w:rsidR="004461F4">
        <w:t>)</w:t>
      </w:r>
      <w:r>
        <w:t xml:space="preserve">. Statistics of U.S. Businesses. Available at </w:t>
      </w:r>
      <w:r w:rsidR="000817AD" w:rsidRPr="000817AD">
        <w:t>http://www.census.gov/programs-surveys/susb.html</w:t>
      </w:r>
      <w:r>
        <w:t>.</w:t>
      </w:r>
    </w:p>
    <w:p w14:paraId="47C2A501" w14:textId="77777777" w:rsidR="009634E7" w:rsidRDefault="009634E7" w:rsidP="00325A45">
      <w:pPr>
        <w:pStyle w:val="BodyTextFirstIndent"/>
        <w:spacing w:before="0" w:beforeAutospacing="0" w:after="200" w:line="276" w:lineRule="auto"/>
        <w:ind w:left="180" w:hanging="180"/>
        <w:rPr>
          <w:szCs w:val="22"/>
        </w:rPr>
      </w:pPr>
      <w:r w:rsidRPr="005E0571">
        <w:rPr>
          <w:szCs w:val="22"/>
        </w:rPr>
        <w:t xml:space="preserve">Gneezy. U., and Rey-Biel, P. (2014). On the relative efficiency of performance pay and noncontingent incentives. </w:t>
      </w:r>
      <w:r w:rsidRPr="005E0571">
        <w:rPr>
          <w:i/>
          <w:szCs w:val="22"/>
        </w:rPr>
        <w:t>Journal of the European Economic Association.</w:t>
      </w:r>
      <w:r w:rsidRPr="005E0571">
        <w:rPr>
          <w:szCs w:val="22"/>
        </w:rPr>
        <w:t xml:space="preserve"> February. 12(1):62-72. doi:10.1111/jeea.12062</w:t>
      </w:r>
    </w:p>
    <w:p w14:paraId="486D0DDF" w14:textId="1210EB88" w:rsidR="00E856C6" w:rsidRPr="009634E7" w:rsidRDefault="00E856C6" w:rsidP="00325A45">
      <w:pPr>
        <w:spacing w:after="200" w:line="276" w:lineRule="auto"/>
        <w:ind w:left="180" w:hanging="180"/>
        <w:rPr>
          <w:szCs w:val="22"/>
        </w:rPr>
      </w:pPr>
      <w:r w:rsidRPr="00E856C6">
        <w:rPr>
          <w:szCs w:val="22"/>
        </w:rPr>
        <w:t>Immune Deficiency Foundation. (2013). Patient &amp; Family Handbook for Primary Immunodeficiency Diseases, 5</w:t>
      </w:r>
      <w:r w:rsidRPr="00E856C6">
        <w:rPr>
          <w:szCs w:val="22"/>
          <w:vertAlign w:val="superscript"/>
        </w:rPr>
        <w:t>th</w:t>
      </w:r>
      <w:r w:rsidRPr="00E856C6">
        <w:rPr>
          <w:szCs w:val="22"/>
        </w:rPr>
        <w:t xml:space="preserve"> Edition. Available at </w:t>
      </w:r>
      <w:hyperlink r:id="rId12" w:tooltip="Link to &quot;Patient &amp; Family Handbook for Primary Immunodeficiency Diseases, 5th Edition&quot; on the Immune Deficiency Foundation website" w:history="1">
        <w:r w:rsidRPr="00E856C6">
          <w:rPr>
            <w:rStyle w:val="Hyperlink"/>
            <w:szCs w:val="22"/>
          </w:rPr>
          <w:t>http://primaryimmune.org/patient-family-handbook/</w:t>
        </w:r>
      </w:hyperlink>
      <w:r w:rsidRPr="00E856C6">
        <w:rPr>
          <w:szCs w:val="22"/>
        </w:rPr>
        <w:t xml:space="preserve"> (Accessed January 25, 2016)</w:t>
      </w:r>
    </w:p>
    <w:p w14:paraId="06DBE775" w14:textId="77777777" w:rsidR="009634E7" w:rsidRPr="009634E7" w:rsidRDefault="009634E7" w:rsidP="00325A45">
      <w:pPr>
        <w:spacing w:after="200" w:line="276" w:lineRule="auto"/>
        <w:ind w:left="180" w:hanging="180"/>
        <w:rPr>
          <w:szCs w:val="22"/>
        </w:rPr>
      </w:pPr>
      <w:r w:rsidRPr="009634E7">
        <w:rPr>
          <w:szCs w:val="22"/>
        </w:rPr>
        <w:t xml:space="preserve">Mercer, A.W., Caporaso, A., Cantor, D., Townsend, R. (2015). How much gets you how much?  Monetary incentives and response rates in household surveys. </w:t>
      </w:r>
      <w:r w:rsidRPr="009634E7">
        <w:rPr>
          <w:i/>
          <w:szCs w:val="22"/>
        </w:rPr>
        <w:t>Public Opinion Quarterly,</w:t>
      </w:r>
      <w:r w:rsidRPr="009634E7">
        <w:rPr>
          <w:szCs w:val="22"/>
        </w:rPr>
        <w:t xml:space="preserve"> 79(1, Spring), 105-129. </w:t>
      </w:r>
      <w:r w:rsidRPr="009634E7">
        <w:rPr>
          <w:color w:val="000000"/>
          <w:spacing w:val="-1"/>
          <w:szCs w:val="22"/>
        </w:rPr>
        <w:t>doi:10.1093/poq/nfu059</w:t>
      </w:r>
    </w:p>
    <w:p w14:paraId="394DAF15" w14:textId="77777777" w:rsidR="009634E7" w:rsidRDefault="009634E7" w:rsidP="00325A45">
      <w:pPr>
        <w:spacing w:after="200" w:line="276" w:lineRule="auto"/>
        <w:ind w:left="180" w:hanging="180"/>
        <w:rPr>
          <w:szCs w:val="22"/>
        </w:rPr>
      </w:pPr>
      <w:r w:rsidRPr="00B8720C">
        <w:rPr>
          <w:szCs w:val="22"/>
        </w:rPr>
        <w:t xml:space="preserve">Millar, M.M., and Dillman, D.A. (2011). Improving response to web and mixed-mode surveys. </w:t>
      </w:r>
      <w:r w:rsidRPr="00B8720C">
        <w:rPr>
          <w:i/>
          <w:szCs w:val="22"/>
        </w:rPr>
        <w:t>Public Opinion Quarterly</w:t>
      </w:r>
      <w:r w:rsidRPr="00B8720C">
        <w:rPr>
          <w:szCs w:val="22"/>
        </w:rPr>
        <w:t xml:space="preserve">, 75, 249-269. doi:10.1093/poq/nfr003 </w:t>
      </w:r>
    </w:p>
    <w:p w14:paraId="7A4F4FDF" w14:textId="29119448" w:rsidR="00C73AFC" w:rsidRDefault="00C73AFC" w:rsidP="00372870">
      <w:pPr>
        <w:pStyle w:val="Sources"/>
        <w:spacing w:line="276" w:lineRule="auto"/>
        <w:ind w:left="180" w:hanging="180"/>
      </w:pPr>
      <w:r>
        <w:t xml:space="preserve">Office of the Assistant Secretary for Planning and Evaluation (ASPE). </w:t>
      </w:r>
      <w:r w:rsidR="004461F4">
        <w:t>(</w:t>
      </w:r>
      <w:r>
        <w:t>2007</w:t>
      </w:r>
      <w:r w:rsidR="004461F4">
        <w:t>)</w:t>
      </w:r>
      <w:r>
        <w:t xml:space="preserve">. Analysis of Supply, Distribution, Demand, and Access Issues Associated with Immune Globulin Intravenous (IGIV) (2007 ASPE Report). Available at </w:t>
      </w:r>
      <w:hyperlink r:id="rId13" w:tooltip="Link to &quot;Analysis of Supply, Distribution, Demand, and Access Issues Associated with Immune Globulin Intravenous (IGIV),&quot; on the Office of the Assistant Secretary for Planning and Evaluation website " w:history="1">
        <w:r>
          <w:rPr>
            <w:rStyle w:val="Hyperlink"/>
          </w:rPr>
          <w:t>http://aspe.hhs.gov/sp/reports/2007/igiv/report.pdf</w:t>
        </w:r>
      </w:hyperlink>
      <w:r>
        <w:t>. (Accessed October 8, 2014).</w:t>
      </w:r>
    </w:p>
    <w:p w14:paraId="69FC15C4" w14:textId="123452A7" w:rsidR="009634E7" w:rsidRPr="00D766D2" w:rsidRDefault="009634E7" w:rsidP="00325A45">
      <w:pPr>
        <w:spacing w:after="200" w:line="276" w:lineRule="auto"/>
        <w:ind w:left="180" w:hanging="180"/>
        <w:rPr>
          <w:szCs w:val="22"/>
        </w:rPr>
      </w:pPr>
      <w:r w:rsidRPr="009634E7">
        <w:rPr>
          <w:szCs w:val="22"/>
        </w:rPr>
        <w:t xml:space="preserve">Parsons, N.L., and Manierre, M.J. (2014). Investigating the relationship among prepaid token incentives, response rates, and nonresponse bias in a web survey. </w:t>
      </w:r>
      <w:r w:rsidRPr="009634E7">
        <w:rPr>
          <w:i/>
          <w:szCs w:val="22"/>
        </w:rPr>
        <w:t xml:space="preserve">Field Methods, </w:t>
      </w:r>
      <w:r w:rsidRPr="009634E7">
        <w:rPr>
          <w:szCs w:val="22"/>
        </w:rPr>
        <w:t xml:space="preserve">26(2), 191-204. </w:t>
      </w:r>
      <w:r w:rsidRPr="00D766D2">
        <w:rPr>
          <w:szCs w:val="22"/>
        </w:rPr>
        <w:t>doi:10.1177/1525822X13500120</w:t>
      </w:r>
    </w:p>
    <w:p w14:paraId="432EAB85" w14:textId="77777777" w:rsidR="00D766D2" w:rsidRPr="00D766D2" w:rsidRDefault="00D766D2" w:rsidP="00325A45">
      <w:pPr>
        <w:spacing w:after="200" w:line="276" w:lineRule="auto"/>
        <w:ind w:left="180" w:hanging="180"/>
        <w:rPr>
          <w:szCs w:val="22"/>
        </w:rPr>
      </w:pPr>
      <w:r w:rsidRPr="00D766D2">
        <w:rPr>
          <w:szCs w:val="22"/>
        </w:rPr>
        <w:t xml:space="preserve">Schulman, Ronca &amp; Bucuvalas, Inc. (2003). Primary Immune Deficiency Diseases in America: 2002. The second national survey of patients. Accessed from </w:t>
      </w:r>
      <w:hyperlink r:id="rId14" w:history="1">
        <w:r w:rsidRPr="00D766D2">
          <w:rPr>
            <w:rStyle w:val="Hyperlink"/>
            <w:rFonts w:eastAsia="Cambria"/>
          </w:rPr>
          <w:t>https://primaryimmune.org/idf-publications/</w:t>
        </w:r>
      </w:hyperlink>
      <w:r w:rsidRPr="00D766D2">
        <w:rPr>
          <w:rStyle w:val="Hyperlink"/>
          <w:rFonts w:eastAsia="Cambria"/>
        </w:rPr>
        <w:t xml:space="preserve"> </w:t>
      </w:r>
      <w:r w:rsidRPr="00D766D2">
        <w:rPr>
          <w:szCs w:val="22"/>
        </w:rPr>
        <w:t>on December 15, 2014.</w:t>
      </w:r>
    </w:p>
    <w:p w14:paraId="64CCC52C" w14:textId="75996F59" w:rsidR="00B95A4C" w:rsidRDefault="00B95A4C" w:rsidP="00372870">
      <w:pPr>
        <w:pStyle w:val="Sources"/>
        <w:spacing w:line="276" w:lineRule="auto"/>
        <w:ind w:left="180" w:hanging="180"/>
      </w:pPr>
      <w:r>
        <w:t xml:space="preserve">Small Business Administration (SBA), </w:t>
      </w:r>
      <w:r w:rsidR="004461F4">
        <w:t>(</w:t>
      </w:r>
      <w:r>
        <w:t>2014</w:t>
      </w:r>
      <w:r w:rsidR="004461F4">
        <w:t>)</w:t>
      </w:r>
      <w:r>
        <w:t>. Table of Small Business Size Standards Matched to North American Industry Classification System Codes. Available at http://www.sba.gov/content/table-small-business-size-standards (Accessed July 7, 2015).</w:t>
      </w:r>
    </w:p>
    <w:p w14:paraId="1B85D2FF" w14:textId="77777777" w:rsidR="00B95A4C" w:rsidRPr="009634E7" w:rsidRDefault="00B95A4C" w:rsidP="00325A45">
      <w:pPr>
        <w:spacing w:after="200" w:line="276" w:lineRule="auto"/>
        <w:ind w:left="180" w:hanging="180"/>
        <w:rPr>
          <w:szCs w:val="22"/>
        </w:rPr>
      </w:pPr>
    </w:p>
    <w:p w14:paraId="499EB41B" w14:textId="77777777" w:rsidR="00325A45" w:rsidRPr="009634E7" w:rsidRDefault="00325A45">
      <w:pPr>
        <w:spacing w:after="200" w:line="276" w:lineRule="auto"/>
        <w:ind w:left="180" w:hanging="180"/>
        <w:rPr>
          <w:szCs w:val="22"/>
        </w:rPr>
      </w:pPr>
    </w:p>
    <w:sectPr w:rsidR="00325A45" w:rsidRPr="009634E7" w:rsidSect="00CF7EFD">
      <w:headerReference w:type="even" r:id="rId15"/>
      <w:headerReference w:type="default" r:id="rId16"/>
      <w:headerReference w:type="first" r:id="rId17"/>
      <w:type w:val="continuous"/>
      <w:pgSz w:w="12240" w:h="15840" w:code="1"/>
      <w:pgMar w:top="1440" w:right="1440" w:bottom="1440" w:left="1440" w:header="720" w:footer="720" w:gutter="0"/>
      <w:pgNumType w:chapStyle="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71413" w14:textId="77777777" w:rsidR="007D2E5D" w:rsidRDefault="007D2E5D">
      <w:r>
        <w:separator/>
      </w:r>
    </w:p>
    <w:p w14:paraId="1F1A1132" w14:textId="77777777" w:rsidR="007D2E5D" w:rsidRDefault="007D2E5D"/>
  </w:endnote>
  <w:endnote w:type="continuationSeparator" w:id="0">
    <w:p w14:paraId="493B9175" w14:textId="77777777" w:rsidR="007D2E5D" w:rsidRDefault="007D2E5D">
      <w:r>
        <w:continuationSeparator/>
      </w:r>
    </w:p>
    <w:p w14:paraId="0D4814E4" w14:textId="77777777" w:rsidR="007D2E5D" w:rsidRDefault="007D2E5D"/>
  </w:endnote>
  <w:endnote w:type="continuationNotice" w:id="1">
    <w:p w14:paraId="01BF2CE1" w14:textId="77777777" w:rsidR="007D2E5D" w:rsidRDefault="007D2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129375"/>
      <w:docPartObj>
        <w:docPartGallery w:val="Page Numbers (Bottom of Page)"/>
        <w:docPartUnique/>
      </w:docPartObj>
    </w:sdtPr>
    <w:sdtEndPr>
      <w:rPr>
        <w:noProof/>
      </w:rPr>
    </w:sdtEndPr>
    <w:sdtContent>
      <w:p w14:paraId="20219913" w14:textId="020DE7AB" w:rsidR="00372870" w:rsidRDefault="00372870">
        <w:pPr>
          <w:pStyle w:val="Footer"/>
          <w:jc w:val="right"/>
        </w:pPr>
        <w:r>
          <w:t>Statement A-</w:t>
        </w:r>
        <w:r>
          <w:fldChar w:fldCharType="begin"/>
        </w:r>
        <w:r>
          <w:instrText xml:space="preserve"> PAGE   \* MERGEFORMAT </w:instrText>
        </w:r>
        <w:r>
          <w:fldChar w:fldCharType="separate"/>
        </w:r>
        <w:r w:rsidR="005010AE">
          <w:rPr>
            <w:noProof/>
          </w:rPr>
          <w:t>14</w:t>
        </w:r>
        <w:r>
          <w:rPr>
            <w:noProof/>
          </w:rPr>
          <w:fldChar w:fldCharType="end"/>
        </w:r>
      </w:p>
    </w:sdtContent>
  </w:sdt>
  <w:p w14:paraId="43FA3EAD" w14:textId="512E6F8D" w:rsidR="00372870" w:rsidRDefault="00372870" w:rsidP="00B91430">
    <w:pPr>
      <w:pStyle w:val="Footer"/>
      <w:tabs>
        <w:tab w:val="clear" w:pos="4320"/>
        <w:tab w:val="clear" w:pos="8640"/>
        <w:tab w:val="left" w:pos="56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563009"/>
      <w:docPartObj>
        <w:docPartGallery w:val="Page Numbers (Bottom of Page)"/>
        <w:docPartUnique/>
      </w:docPartObj>
    </w:sdtPr>
    <w:sdtEndPr>
      <w:rPr>
        <w:noProof/>
      </w:rPr>
    </w:sdtEndPr>
    <w:sdtContent>
      <w:p w14:paraId="19C81A49" w14:textId="77777777" w:rsidR="00372870" w:rsidRDefault="00372870">
        <w:pPr>
          <w:pStyle w:val="Footer"/>
          <w:jc w:val="right"/>
        </w:pPr>
        <w:r>
          <w:t>Statement A-</w:t>
        </w:r>
        <w:r>
          <w:fldChar w:fldCharType="begin"/>
        </w:r>
        <w:r>
          <w:instrText xml:space="preserve"> PAGE   \* MERGEFORMAT </w:instrText>
        </w:r>
        <w:r>
          <w:fldChar w:fldCharType="separate"/>
        </w:r>
        <w:r>
          <w:rPr>
            <w:noProof/>
          </w:rPr>
          <w:t>51</w:t>
        </w:r>
        <w:r>
          <w:rPr>
            <w:noProof/>
          </w:rPr>
          <w:fldChar w:fldCharType="end"/>
        </w:r>
      </w:p>
    </w:sdtContent>
  </w:sdt>
  <w:p w14:paraId="2CA529C7" w14:textId="77777777" w:rsidR="00372870" w:rsidRDefault="00372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8C24D" w14:textId="77777777" w:rsidR="007D2E5D" w:rsidRDefault="007D2E5D">
      <w:r>
        <w:separator/>
      </w:r>
    </w:p>
  </w:footnote>
  <w:footnote w:type="continuationSeparator" w:id="0">
    <w:p w14:paraId="4BD54965" w14:textId="77777777" w:rsidR="007D2E5D" w:rsidRDefault="007D2E5D">
      <w:r>
        <w:continuationSeparator/>
      </w:r>
    </w:p>
    <w:p w14:paraId="506D82CE" w14:textId="77777777" w:rsidR="007D2E5D" w:rsidRDefault="007D2E5D"/>
  </w:footnote>
  <w:footnote w:type="continuationNotice" w:id="1">
    <w:p w14:paraId="7395B0CB" w14:textId="77777777" w:rsidR="007D2E5D" w:rsidRDefault="007D2E5D"/>
  </w:footnote>
  <w:footnote w:id="2">
    <w:p w14:paraId="352DE226" w14:textId="77777777" w:rsidR="00372870" w:rsidRDefault="00372870" w:rsidP="00BB703E">
      <w:pPr>
        <w:pStyle w:val="FootnoteText"/>
        <w:ind w:left="0" w:firstLine="0"/>
        <w:rPr>
          <w:rFonts w:ascii="Calibri" w:hAnsi="Calibri"/>
        </w:rPr>
      </w:pPr>
      <w:r>
        <w:rPr>
          <w:rStyle w:val="FootnoteReference"/>
        </w:rPr>
        <w:footnoteRef/>
      </w:r>
      <w:r>
        <w:t xml:space="preserve"> PIDD diseases included in the demonstration project include common variable immunodeficiency, selective IgM immunodeficiency, Wiskott-Aldrich syndrome, congenital hypogammaglobulemia, and immunodeficiency with increased IgM. </w:t>
      </w:r>
    </w:p>
  </w:footnote>
  <w:footnote w:id="3">
    <w:p w14:paraId="25583138" w14:textId="77777777" w:rsidR="00372870" w:rsidRDefault="00372870" w:rsidP="00414A31">
      <w:pPr>
        <w:pStyle w:val="FootnoteText"/>
      </w:pPr>
      <w:r>
        <w:rPr>
          <w:rStyle w:val="FootnoteReference"/>
        </w:rPr>
        <w:footnoteRef/>
      </w:r>
      <w:r>
        <w:t xml:space="preserve"> </w:t>
      </w:r>
      <w:r w:rsidRPr="00941BA3">
        <w:t>Assumes a single GS-14 staff. According to national industry-specific occupational employment and wage estimates, social scientist and related workers in “Management, Scientific, and Technical Consulting Services” (NAICS 541600) on average earned $43.75 in 2011, which is approximately $101.94 including overhead, fringe and general and administrative indirect rate ($43.75 * 2.3)</w:t>
      </w:r>
      <w:r>
        <w:t xml:space="preserve">. </w:t>
      </w:r>
      <w:r w:rsidRPr="00941BA3">
        <w:t>http://www.bls.gov/oes/current/naics4_541600.htm</w:t>
      </w:r>
    </w:p>
  </w:footnote>
  <w:footnote w:id="4">
    <w:p w14:paraId="4364FC20" w14:textId="77777777" w:rsidR="00372870" w:rsidRDefault="00372870" w:rsidP="00414A31">
      <w:pPr>
        <w:pStyle w:val="FootnoteText"/>
      </w:pPr>
      <w:r>
        <w:rPr>
          <w:rStyle w:val="FootnoteReference"/>
        </w:rPr>
        <w:footnoteRef/>
      </w:r>
      <w:r>
        <w:t xml:space="preserve"> </w:t>
      </w:r>
      <w:r w:rsidRPr="00941BA3">
        <w:t>Consists of contractor costs estimated at $103.34 per hour on average, including labor and overhead charges.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6F66" w14:textId="589880E0" w:rsidR="00372870" w:rsidRDefault="003728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4DC95" w14:textId="6D94FE8B" w:rsidR="00372870" w:rsidRDefault="003728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D9317" w14:textId="18E30737" w:rsidR="00372870" w:rsidRDefault="00372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0C5D8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6114CC66"/>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2" w15:restartNumberingAfterBreak="0">
    <w:nsid w:val="0423706E"/>
    <w:multiLevelType w:val="multilevel"/>
    <w:tmpl w:val="F1A86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FF2D21"/>
    <w:multiLevelType w:val="hybridMultilevel"/>
    <w:tmpl w:val="B9AEE5A6"/>
    <w:lvl w:ilvl="0" w:tplc="BB68131A">
      <w:start w:val="1"/>
      <w:numFmt w:val="lowerLetter"/>
      <w:pStyle w:val="WorksheetLettered11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495B4A"/>
    <w:multiLevelType w:val="hybridMultilevel"/>
    <w:tmpl w:val="0A325F62"/>
    <w:lvl w:ilvl="0" w:tplc="9AC633EA">
      <w:start w:val="1"/>
      <w:numFmt w:val="decimal"/>
      <w:pStyle w:val="Workshe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6" w15:restartNumberingAfterBreak="0">
    <w:nsid w:val="13560893"/>
    <w:multiLevelType w:val="hybridMultilevel"/>
    <w:tmpl w:val="451A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486"/>
    <w:multiLevelType w:val="multilevel"/>
    <w:tmpl w:val="1E10B4A0"/>
    <w:lvl w:ilvl="0">
      <w:start w:val="1"/>
      <w:numFmt w:val="decimal"/>
      <w:lvlText w:val="%1."/>
      <w:lvlJc w:val="left"/>
      <w:pPr>
        <w:ind w:left="360" w:hanging="360"/>
      </w:pPr>
      <w:rPr>
        <w:rFonts w:hint="default"/>
        <w:u w:val="words"/>
      </w:rPr>
    </w:lvl>
    <w:lvl w:ilvl="1">
      <w:start w:val="1"/>
      <w:numFmt w:val="decimal"/>
      <w:pStyle w:val="Interview1"/>
      <w:lvlText w:val="%2."/>
      <w:lvlJc w:val="left"/>
      <w:pPr>
        <w:ind w:left="630" w:hanging="360"/>
      </w:pPr>
      <w:rPr>
        <w:rFonts w:hint="default"/>
        <w:u w:val="none"/>
      </w:rPr>
    </w:lvl>
    <w:lvl w:ilvl="2">
      <w:start w:val="1"/>
      <w:numFmt w:val="decimal"/>
      <w:lvlText w:val="%2.%3."/>
      <w:lvlJc w:val="left"/>
      <w:pPr>
        <w:ind w:left="1620" w:hanging="360"/>
      </w:pPr>
      <w:rPr>
        <w:rFonts w:hint="default"/>
        <w:u w:val="none"/>
      </w:rPr>
    </w:lvl>
    <w:lvl w:ilvl="3">
      <w:start w:val="1"/>
      <w:numFmt w:val="decimal"/>
      <w:lvlText w:val="%1.%2.%3.%4."/>
      <w:lvlJc w:val="left"/>
      <w:pPr>
        <w:ind w:left="1440" w:hanging="360"/>
      </w:pPr>
      <w:rPr>
        <w:rFonts w:hint="default"/>
      </w:rPr>
    </w:lvl>
    <w:lvl w:ilvl="4">
      <w:start w:val="18"/>
      <w:numFmt w:val="upperLetter"/>
      <w:lvlRestart w:val="0"/>
      <w:suff w:val="space"/>
      <w:lvlText w:val="%5EFERENCES"/>
      <w:lvlJc w:val="center"/>
      <w:pPr>
        <w:ind w:left="0" w:firstLine="288"/>
      </w:pPr>
      <w:rPr>
        <w:rFonts w:hint="default"/>
      </w:rPr>
    </w:lvl>
    <w:lvl w:ilvl="5">
      <w:start w:val="1"/>
      <w:numFmt w:val="upperLetter"/>
      <w:lvlRestart w:val="0"/>
      <w:suff w:val="space"/>
      <w:lvlText w:val="APPENDIX %6."/>
      <w:lvlJc w:val="center"/>
      <w:pPr>
        <w:ind w:left="0" w:firstLine="288"/>
      </w:pPr>
      <w:rPr>
        <w:rFonts w:hint="default"/>
      </w:rPr>
    </w:lvl>
    <w:lvl w:ilvl="6">
      <w:start w:val="1"/>
      <w:numFmt w:val="decimal"/>
      <w:lvlText w:val="%6.%7."/>
      <w:lvlJc w:val="left"/>
      <w:pPr>
        <w:ind w:left="720" w:hanging="360"/>
      </w:pPr>
      <w:rPr>
        <w:rFonts w:hint="default"/>
      </w:rPr>
    </w:lvl>
    <w:lvl w:ilvl="7">
      <w:start w:val="5"/>
      <w:numFmt w:val="upperLetter"/>
      <w:lvlRestart w:val="0"/>
      <w:suff w:val="space"/>
      <w:lvlText w:val="%8XECUTIVE SUMMARY"/>
      <w:lvlJc w:val="center"/>
      <w:pPr>
        <w:ind w:left="0" w:firstLine="0"/>
      </w:pPr>
      <w:rPr>
        <w:rFonts w:hint="default"/>
      </w:rPr>
    </w:lvl>
    <w:lvl w:ilvl="8">
      <w:start w:val="1"/>
      <w:numFmt w:val="decimal"/>
      <w:lvlText w:val="%8.%9."/>
      <w:lvlJc w:val="left"/>
      <w:pPr>
        <w:ind w:left="720" w:hanging="360"/>
      </w:pPr>
      <w:rPr>
        <w:rFonts w:hint="default"/>
      </w:rPr>
    </w:lvl>
  </w:abstractNum>
  <w:abstractNum w:abstractNumId="8"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CB53CE9"/>
    <w:multiLevelType w:val="hybridMultilevel"/>
    <w:tmpl w:val="156AD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50222"/>
    <w:multiLevelType w:val="hybridMultilevel"/>
    <w:tmpl w:val="E2D0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04E56"/>
    <w:multiLevelType w:val="hybridMultilevel"/>
    <w:tmpl w:val="28387406"/>
    <w:lvl w:ilvl="0" w:tplc="FE7C7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E9717E"/>
    <w:multiLevelType w:val="hybridMultilevel"/>
    <w:tmpl w:val="6508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52F69"/>
    <w:multiLevelType w:val="hybridMultilevel"/>
    <w:tmpl w:val="51021018"/>
    <w:lvl w:ilvl="0" w:tplc="B614CE68">
      <w:start w:val="1"/>
      <w:numFmt w:val="lowerRoman"/>
      <w:pStyle w:val="ListNumber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C3DD9"/>
    <w:multiLevelType w:val="hybridMultilevel"/>
    <w:tmpl w:val="7338C0EC"/>
    <w:lvl w:ilvl="0" w:tplc="1EF4C3FE">
      <w:start w:val="1"/>
      <w:numFmt w:val="bullet"/>
      <w:pStyle w:val="RoundBullet"/>
      <w:lvlText w:val=""/>
      <w:lvlJc w:val="left"/>
      <w:pPr>
        <w:ind w:left="720" w:hanging="360"/>
      </w:pPr>
      <w:rPr>
        <w:rFonts w:ascii="Wingdings" w:hAnsi="Wingdings" w:hint="default"/>
        <w:color w:val="auto"/>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FF3"/>
    <w:multiLevelType w:val="hybridMultilevel"/>
    <w:tmpl w:val="DDDAB7B2"/>
    <w:lvl w:ilvl="0" w:tplc="9848A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557FCB"/>
    <w:multiLevelType w:val="hybridMultilevel"/>
    <w:tmpl w:val="81ECB0D4"/>
    <w:lvl w:ilvl="0" w:tplc="34AAC068">
      <w:start w:val="1"/>
      <w:numFmt w:val="upperLetter"/>
      <w:pStyle w:val="Heading1"/>
      <w:lvlText w:val="%1."/>
      <w:lvlJc w:val="left"/>
      <w:pPr>
        <w:ind w:left="720" w:hanging="360"/>
      </w:pPr>
      <w:rPr>
        <w:rFonts w:hint="default"/>
      </w:rPr>
    </w:lvl>
    <w:lvl w:ilvl="1" w:tplc="7EB0CBA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30DA1"/>
    <w:multiLevelType w:val="hybridMultilevel"/>
    <w:tmpl w:val="2E04D28E"/>
    <w:lvl w:ilvl="0" w:tplc="32240CC6">
      <w:start w:val="1"/>
      <w:numFmt w:val="bullet"/>
      <w:pStyle w:val="ListBullet"/>
      <w:lvlText w:val=""/>
      <w:lvlJc w:val="left"/>
      <w:pPr>
        <w:ind w:left="1080" w:hanging="360"/>
      </w:pPr>
      <w:rPr>
        <w:rFonts w:ascii="Wingdings" w:hAnsi="Wingdings" w:hint="default"/>
        <w:color w:val="auto"/>
        <w:sz w:val="22"/>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19" w15:restartNumberingAfterBreak="0">
    <w:nsid w:val="70E302E5"/>
    <w:multiLevelType w:val="hybridMultilevel"/>
    <w:tmpl w:val="6B621D0C"/>
    <w:lvl w:ilvl="0" w:tplc="08842628">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A81947"/>
    <w:multiLevelType w:val="multilevel"/>
    <w:tmpl w:val="2AD818FE"/>
    <w:lvl w:ilvl="0">
      <w:start w:val="1"/>
      <w:numFmt w:val="none"/>
      <w:suff w:val="nothing"/>
      <w:lvlText w:val=""/>
      <w:lvlJc w:val="center"/>
      <w:pPr>
        <w:ind w:left="360" w:hanging="72"/>
      </w:pPr>
      <w:rPr>
        <w:rFonts w:hint="default"/>
      </w:rPr>
    </w:lvl>
    <w:lvl w:ilvl="1">
      <w:start w:val="1"/>
      <w:numFmt w:val="none"/>
      <w:suff w:val="nothing"/>
      <w:lvlText w:val=""/>
      <w:lvlJc w:val="center"/>
      <w:pPr>
        <w:ind w:left="720" w:hanging="360"/>
      </w:pPr>
      <w:rPr>
        <w:rFonts w:hint="default"/>
      </w:rPr>
    </w:lvl>
    <w:lvl w:ilvl="2">
      <w:start w:val="1"/>
      <w:numFmt w:val="upperLetter"/>
      <w:suff w:val="nothing"/>
      <w:lvlText w:val="Supporting Statement %3"/>
      <w:lvlJc w:val="center"/>
      <w:pPr>
        <w:ind w:left="0" w:firstLine="1440"/>
      </w:pPr>
      <w:rPr>
        <w:rFonts w:ascii="Arial" w:hAnsi="Arial" w:hint="default"/>
        <w:b/>
        <w:i w:val="0"/>
        <w:sz w:val="26"/>
      </w:rPr>
    </w:lvl>
    <w:lvl w:ilvl="3">
      <w:start w:val="1"/>
      <w:numFmt w:val="decimal"/>
      <w:pStyle w:val="Heading4"/>
      <w:lvlText w:val="%4."/>
      <w:lvlJc w:val="left"/>
      <w:pPr>
        <w:ind w:left="360" w:hanging="360"/>
      </w:pPr>
      <w:rPr>
        <w:rFonts w:hint="default"/>
      </w:rPr>
    </w:lvl>
    <w:lvl w:ilvl="4">
      <w:start w:val="1"/>
      <w:numFmt w:val="lowerLetter"/>
      <w:pStyle w:val="Heading5"/>
      <w:lvlText w:val="%5."/>
      <w:lvlJc w:val="left"/>
      <w:pPr>
        <w:ind w:left="1080" w:hanging="360"/>
      </w:pPr>
      <w:rPr>
        <w:rFonts w:hint="default"/>
      </w:rPr>
    </w:lvl>
    <w:lvl w:ilvl="5">
      <w:start w:val="1"/>
      <w:numFmt w:val="decimal"/>
      <w:pStyle w:val="Heading6"/>
      <w:lvlText w:val="%5.%6."/>
      <w:lvlJc w:val="left"/>
      <w:pPr>
        <w:ind w:left="1440" w:hanging="360"/>
      </w:pPr>
      <w:rPr>
        <w:rFonts w:hint="default"/>
      </w:rPr>
    </w:lvl>
    <w:lvl w:ilvl="6">
      <w:start w:val="1"/>
      <w:numFmt w:val="upperLetter"/>
      <w:pStyle w:val="Heading7"/>
      <w:suff w:val="nothing"/>
      <w:lvlText w:val="Appendix %7."/>
      <w:lvlJc w:val="center"/>
      <w:pPr>
        <w:ind w:left="2520" w:hanging="360"/>
      </w:pPr>
      <w:rPr>
        <w:rFonts w:hint="default"/>
      </w:rPr>
    </w:lvl>
    <w:lvl w:ilvl="7">
      <w:start w:val="1"/>
      <w:numFmt w:val="decimal"/>
      <w:pStyle w:val="Heading8"/>
      <w:suff w:val="space"/>
      <w:lvlText w:val="%7.%8."/>
      <w:lvlJc w:val="left"/>
      <w:pPr>
        <w:ind w:left="720" w:hanging="360"/>
      </w:pPr>
      <w:rPr>
        <w:rFonts w:hint="default"/>
      </w:rPr>
    </w:lvl>
    <w:lvl w:ilvl="8">
      <w:start w:val="1"/>
      <w:numFmt w:val="lowerLetter"/>
      <w:pStyle w:val="Heading9"/>
      <w:lvlText w:val="%7.%8.%9."/>
      <w:lvlJc w:val="left"/>
      <w:pPr>
        <w:ind w:left="1080" w:hanging="360"/>
      </w:pPr>
      <w:rPr>
        <w:rFonts w:hint="default"/>
      </w:rPr>
    </w:lvl>
  </w:abstractNum>
  <w:abstractNum w:abstractNumId="21" w15:restartNumberingAfterBreak="0">
    <w:nsid w:val="773E66E3"/>
    <w:multiLevelType w:val="hybridMultilevel"/>
    <w:tmpl w:val="BA3AD3C8"/>
    <w:lvl w:ilvl="0" w:tplc="08842628">
      <w:start w:val="1"/>
      <w:numFmt w:val="bullet"/>
      <w:lvlText w:val="•"/>
      <w:lvlJc w:val="left"/>
      <w:pPr>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21FA8"/>
    <w:multiLevelType w:val="hybridMultilevel"/>
    <w:tmpl w:val="776A8914"/>
    <w:lvl w:ilvl="0" w:tplc="2E0E3DD0">
      <w:start w:val="1"/>
      <w:numFmt w:val="decimal"/>
      <w:pStyle w:val="ListNumberSurvey"/>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0"/>
  </w:num>
  <w:num w:numId="4">
    <w:abstractNumId w:val="9"/>
  </w:num>
  <w:num w:numId="5">
    <w:abstractNumId w:val="8"/>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8"/>
    </w:lvlOverride>
    <w:lvlOverride w:ilvl="5">
      <w:startOverride w:val="1"/>
    </w:lvlOverride>
    <w:lvlOverride w:ilvl="6">
      <w:startOverride w:val="1"/>
    </w:lvlOverride>
    <w:lvlOverride w:ilvl="7">
      <w:startOverride w:val="5"/>
    </w:lvlOverride>
    <w:lvlOverride w:ilvl="8">
      <w:startOverride w:val="1"/>
    </w:lvlOverride>
  </w:num>
  <w:num w:numId="8">
    <w:abstractNumId w:val="3"/>
  </w:num>
  <w:num w:numId="9">
    <w:abstractNumId w:val="15"/>
  </w:num>
  <w:num w:numId="10">
    <w:abstractNumId w:val="20"/>
  </w:num>
  <w:num w:numId="11">
    <w:abstractNumId w:val="4"/>
  </w:num>
  <w:num w:numId="12">
    <w:abstractNumId w:val="17"/>
  </w:num>
  <w:num w:numId="13">
    <w:abstractNumId w:val="1"/>
    <w:lvlOverride w:ilvl="0">
      <w:startOverride w:val="1"/>
    </w:lvlOverride>
  </w:num>
  <w:num w:numId="14">
    <w:abstractNumId w:val="22"/>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8"/>
    </w:lvlOverride>
  </w:num>
  <w:num w:numId="17">
    <w:abstractNumId w:val="6"/>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19"/>
  </w:num>
  <w:num w:numId="25">
    <w:abstractNumId w:val="11"/>
  </w:num>
  <w:num w:numId="26">
    <w:abstractNumId w:val="21"/>
  </w:num>
  <w:num w:numId="27">
    <w:abstractNumId w:val="13"/>
  </w:num>
  <w:num w:numId="28">
    <w:abstractNumId w:val="1"/>
  </w:num>
  <w:num w:numId="29">
    <w:abstractNumId w:val="1"/>
  </w:num>
  <w:num w:numId="30">
    <w:abstractNumId w:val="1"/>
  </w:num>
  <w:num w:numId="31">
    <w:abstractNumId w:val="10"/>
  </w:num>
  <w:num w:numId="32">
    <w:abstractNumId w:val="1"/>
  </w:num>
  <w:num w:numId="33">
    <w:abstractNumId w:val="1"/>
  </w:num>
  <w:num w:numId="34">
    <w:abstractNumId w:val="1"/>
  </w:num>
  <w:num w:numId="35">
    <w:abstractNumId w:val="1"/>
  </w:num>
  <w:num w:numId="36">
    <w:abstractNumId w:val="1"/>
    <w:lvlOverride w:ilvl="0">
      <w:startOverride w:val="1"/>
    </w:lvlOverride>
  </w:num>
  <w:num w:numId="37">
    <w:abstractNumId w:val="1"/>
  </w:num>
  <w:num w:numId="38">
    <w:abstractNumId w:val="1"/>
  </w:num>
  <w:num w:numId="39">
    <w:abstractNumId w:val="1"/>
  </w:num>
  <w:num w:numId="40">
    <w:abstractNumId w:val="1"/>
  </w:num>
  <w:num w:numId="4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A4"/>
    <w:rsid w:val="00000379"/>
    <w:rsid w:val="000003C1"/>
    <w:rsid w:val="00000406"/>
    <w:rsid w:val="00005EFC"/>
    <w:rsid w:val="000100A1"/>
    <w:rsid w:val="000111F7"/>
    <w:rsid w:val="000122AE"/>
    <w:rsid w:val="00012DC6"/>
    <w:rsid w:val="00014653"/>
    <w:rsid w:val="00016CD9"/>
    <w:rsid w:val="00017744"/>
    <w:rsid w:val="00017941"/>
    <w:rsid w:val="00017B66"/>
    <w:rsid w:val="00023FEA"/>
    <w:rsid w:val="000255C5"/>
    <w:rsid w:val="00025B29"/>
    <w:rsid w:val="00026689"/>
    <w:rsid w:val="00031B65"/>
    <w:rsid w:val="000321C9"/>
    <w:rsid w:val="00034DFB"/>
    <w:rsid w:val="0003559B"/>
    <w:rsid w:val="00036254"/>
    <w:rsid w:val="0003695F"/>
    <w:rsid w:val="00037348"/>
    <w:rsid w:val="000412CD"/>
    <w:rsid w:val="0004200D"/>
    <w:rsid w:val="00043901"/>
    <w:rsid w:val="00044175"/>
    <w:rsid w:val="00046CC3"/>
    <w:rsid w:val="00047FBC"/>
    <w:rsid w:val="0005073A"/>
    <w:rsid w:val="00051563"/>
    <w:rsid w:val="000522D5"/>
    <w:rsid w:val="00053A29"/>
    <w:rsid w:val="00053F43"/>
    <w:rsid w:val="00056BF2"/>
    <w:rsid w:val="00057298"/>
    <w:rsid w:val="00060362"/>
    <w:rsid w:val="00060BF4"/>
    <w:rsid w:val="0006268B"/>
    <w:rsid w:val="00065945"/>
    <w:rsid w:val="00065D32"/>
    <w:rsid w:val="00065D49"/>
    <w:rsid w:val="000668F3"/>
    <w:rsid w:val="000702BE"/>
    <w:rsid w:val="00072448"/>
    <w:rsid w:val="0007437A"/>
    <w:rsid w:val="00076D32"/>
    <w:rsid w:val="00077767"/>
    <w:rsid w:val="00077E7F"/>
    <w:rsid w:val="000817AD"/>
    <w:rsid w:val="00081863"/>
    <w:rsid w:val="00083DEE"/>
    <w:rsid w:val="00084296"/>
    <w:rsid w:val="00084C79"/>
    <w:rsid w:val="0008571A"/>
    <w:rsid w:val="00085724"/>
    <w:rsid w:val="000908A7"/>
    <w:rsid w:val="000926E3"/>
    <w:rsid w:val="000956B3"/>
    <w:rsid w:val="00096F99"/>
    <w:rsid w:val="000A2565"/>
    <w:rsid w:val="000A2982"/>
    <w:rsid w:val="000A2E41"/>
    <w:rsid w:val="000A4F63"/>
    <w:rsid w:val="000A54B8"/>
    <w:rsid w:val="000B0552"/>
    <w:rsid w:val="000B1B6D"/>
    <w:rsid w:val="000B262A"/>
    <w:rsid w:val="000B37A2"/>
    <w:rsid w:val="000B3905"/>
    <w:rsid w:val="000B434D"/>
    <w:rsid w:val="000B55FB"/>
    <w:rsid w:val="000B7697"/>
    <w:rsid w:val="000C010B"/>
    <w:rsid w:val="000C1B97"/>
    <w:rsid w:val="000C2457"/>
    <w:rsid w:val="000C449F"/>
    <w:rsid w:val="000C7D67"/>
    <w:rsid w:val="000D1D22"/>
    <w:rsid w:val="000D3E1E"/>
    <w:rsid w:val="000D4817"/>
    <w:rsid w:val="000D4C05"/>
    <w:rsid w:val="000D6A0A"/>
    <w:rsid w:val="000E0E21"/>
    <w:rsid w:val="000E0F42"/>
    <w:rsid w:val="000E4CED"/>
    <w:rsid w:val="000E757B"/>
    <w:rsid w:val="000F0193"/>
    <w:rsid w:val="000F532F"/>
    <w:rsid w:val="000F5F4B"/>
    <w:rsid w:val="000F6415"/>
    <w:rsid w:val="000F734C"/>
    <w:rsid w:val="000F79BB"/>
    <w:rsid w:val="00100982"/>
    <w:rsid w:val="00101351"/>
    <w:rsid w:val="00102407"/>
    <w:rsid w:val="00102CF6"/>
    <w:rsid w:val="001057AD"/>
    <w:rsid w:val="00110E98"/>
    <w:rsid w:val="0011183D"/>
    <w:rsid w:val="00113E8C"/>
    <w:rsid w:val="0011483D"/>
    <w:rsid w:val="00117415"/>
    <w:rsid w:val="00117593"/>
    <w:rsid w:val="001210D5"/>
    <w:rsid w:val="00121DED"/>
    <w:rsid w:val="00124D5A"/>
    <w:rsid w:val="00126052"/>
    <w:rsid w:val="001272AF"/>
    <w:rsid w:val="001279A3"/>
    <w:rsid w:val="0013042C"/>
    <w:rsid w:val="00130C21"/>
    <w:rsid w:val="00133FB3"/>
    <w:rsid w:val="001340E0"/>
    <w:rsid w:val="00134848"/>
    <w:rsid w:val="001362CE"/>
    <w:rsid w:val="00136DD1"/>
    <w:rsid w:val="0014124C"/>
    <w:rsid w:val="00143041"/>
    <w:rsid w:val="001453C8"/>
    <w:rsid w:val="001457A2"/>
    <w:rsid w:val="0014596E"/>
    <w:rsid w:val="001471F0"/>
    <w:rsid w:val="001522AD"/>
    <w:rsid w:val="00154430"/>
    <w:rsid w:val="001550D3"/>
    <w:rsid w:val="00155703"/>
    <w:rsid w:val="00155E71"/>
    <w:rsid w:val="0016177B"/>
    <w:rsid w:val="00161E17"/>
    <w:rsid w:val="00162D89"/>
    <w:rsid w:val="00164D7B"/>
    <w:rsid w:val="00165D98"/>
    <w:rsid w:val="00166BFB"/>
    <w:rsid w:val="001678CF"/>
    <w:rsid w:val="00170D19"/>
    <w:rsid w:val="00171F21"/>
    <w:rsid w:val="00172825"/>
    <w:rsid w:val="0017295D"/>
    <w:rsid w:val="00174ECE"/>
    <w:rsid w:val="0017546D"/>
    <w:rsid w:val="00181475"/>
    <w:rsid w:val="0018154E"/>
    <w:rsid w:val="00181CB8"/>
    <w:rsid w:val="0018298D"/>
    <w:rsid w:val="00184973"/>
    <w:rsid w:val="001869E3"/>
    <w:rsid w:val="00186EAE"/>
    <w:rsid w:val="00192DCD"/>
    <w:rsid w:val="00193DA9"/>
    <w:rsid w:val="00195A5F"/>
    <w:rsid w:val="001977CA"/>
    <w:rsid w:val="00197854"/>
    <w:rsid w:val="001A1819"/>
    <w:rsid w:val="001A28E5"/>
    <w:rsid w:val="001A7A5E"/>
    <w:rsid w:val="001B1CC2"/>
    <w:rsid w:val="001B1FD0"/>
    <w:rsid w:val="001B265C"/>
    <w:rsid w:val="001B2D27"/>
    <w:rsid w:val="001B490C"/>
    <w:rsid w:val="001B59BD"/>
    <w:rsid w:val="001B6E6E"/>
    <w:rsid w:val="001B7DA8"/>
    <w:rsid w:val="001C12E7"/>
    <w:rsid w:val="001C18FC"/>
    <w:rsid w:val="001C4306"/>
    <w:rsid w:val="001C496E"/>
    <w:rsid w:val="001C5AA5"/>
    <w:rsid w:val="001C5D6E"/>
    <w:rsid w:val="001D1D07"/>
    <w:rsid w:val="001D3735"/>
    <w:rsid w:val="001D3DB1"/>
    <w:rsid w:val="001D5EE8"/>
    <w:rsid w:val="001E12C2"/>
    <w:rsid w:val="001E3A1D"/>
    <w:rsid w:val="001E3E6F"/>
    <w:rsid w:val="001E4007"/>
    <w:rsid w:val="001E6520"/>
    <w:rsid w:val="001E69C9"/>
    <w:rsid w:val="001E7612"/>
    <w:rsid w:val="001F1BDA"/>
    <w:rsid w:val="001F3EC7"/>
    <w:rsid w:val="002016F6"/>
    <w:rsid w:val="002028B4"/>
    <w:rsid w:val="002041B7"/>
    <w:rsid w:val="00204896"/>
    <w:rsid w:val="00207328"/>
    <w:rsid w:val="00207F68"/>
    <w:rsid w:val="00210E03"/>
    <w:rsid w:val="0021228C"/>
    <w:rsid w:val="0021637A"/>
    <w:rsid w:val="002165F8"/>
    <w:rsid w:val="00217A00"/>
    <w:rsid w:val="00217E0F"/>
    <w:rsid w:val="00220FAD"/>
    <w:rsid w:val="002278CF"/>
    <w:rsid w:val="002278D9"/>
    <w:rsid w:val="00227D1E"/>
    <w:rsid w:val="002329AF"/>
    <w:rsid w:val="00237563"/>
    <w:rsid w:val="00241DCA"/>
    <w:rsid w:val="00244017"/>
    <w:rsid w:val="002467D3"/>
    <w:rsid w:val="00251BAB"/>
    <w:rsid w:val="00252461"/>
    <w:rsid w:val="0025325A"/>
    <w:rsid w:val="00253EA1"/>
    <w:rsid w:val="00261459"/>
    <w:rsid w:val="00262375"/>
    <w:rsid w:val="00262C32"/>
    <w:rsid w:val="00265520"/>
    <w:rsid w:val="00267241"/>
    <w:rsid w:val="002704B4"/>
    <w:rsid w:val="00273CD1"/>
    <w:rsid w:val="00281DA5"/>
    <w:rsid w:val="00281F8E"/>
    <w:rsid w:val="002824AF"/>
    <w:rsid w:val="00284148"/>
    <w:rsid w:val="00285B56"/>
    <w:rsid w:val="00290D81"/>
    <w:rsid w:val="002943F1"/>
    <w:rsid w:val="002945CE"/>
    <w:rsid w:val="002959B8"/>
    <w:rsid w:val="00297876"/>
    <w:rsid w:val="002A0233"/>
    <w:rsid w:val="002A42DE"/>
    <w:rsid w:val="002A4518"/>
    <w:rsid w:val="002A4D64"/>
    <w:rsid w:val="002A669A"/>
    <w:rsid w:val="002A7397"/>
    <w:rsid w:val="002A77E1"/>
    <w:rsid w:val="002B005E"/>
    <w:rsid w:val="002B024E"/>
    <w:rsid w:val="002B07A1"/>
    <w:rsid w:val="002B2140"/>
    <w:rsid w:val="002B51C6"/>
    <w:rsid w:val="002C0490"/>
    <w:rsid w:val="002C0F98"/>
    <w:rsid w:val="002C2882"/>
    <w:rsid w:val="002C3566"/>
    <w:rsid w:val="002C3F22"/>
    <w:rsid w:val="002C5289"/>
    <w:rsid w:val="002C59CF"/>
    <w:rsid w:val="002C5E2F"/>
    <w:rsid w:val="002C67E0"/>
    <w:rsid w:val="002D0851"/>
    <w:rsid w:val="002D1018"/>
    <w:rsid w:val="002D2A8F"/>
    <w:rsid w:val="002D4EFC"/>
    <w:rsid w:val="002E0498"/>
    <w:rsid w:val="002E073B"/>
    <w:rsid w:val="002E2012"/>
    <w:rsid w:val="002E27D9"/>
    <w:rsid w:val="002E33E0"/>
    <w:rsid w:val="002E4BB7"/>
    <w:rsid w:val="002F0AE2"/>
    <w:rsid w:val="002F3E88"/>
    <w:rsid w:val="002F7E11"/>
    <w:rsid w:val="00300890"/>
    <w:rsid w:val="00304882"/>
    <w:rsid w:val="00307638"/>
    <w:rsid w:val="003158E5"/>
    <w:rsid w:val="003160DF"/>
    <w:rsid w:val="003165DB"/>
    <w:rsid w:val="00320B6A"/>
    <w:rsid w:val="0032118C"/>
    <w:rsid w:val="003232DE"/>
    <w:rsid w:val="0032341A"/>
    <w:rsid w:val="00325A45"/>
    <w:rsid w:val="00325CE2"/>
    <w:rsid w:val="00326DE5"/>
    <w:rsid w:val="00327FC8"/>
    <w:rsid w:val="00330957"/>
    <w:rsid w:val="00331C3B"/>
    <w:rsid w:val="00332851"/>
    <w:rsid w:val="00334F3E"/>
    <w:rsid w:val="00336514"/>
    <w:rsid w:val="003402DB"/>
    <w:rsid w:val="003408CB"/>
    <w:rsid w:val="00344418"/>
    <w:rsid w:val="003450E3"/>
    <w:rsid w:val="00350605"/>
    <w:rsid w:val="003513EF"/>
    <w:rsid w:val="00353597"/>
    <w:rsid w:val="00355285"/>
    <w:rsid w:val="003566AE"/>
    <w:rsid w:val="00357196"/>
    <w:rsid w:val="0035733C"/>
    <w:rsid w:val="00357D22"/>
    <w:rsid w:val="0036033B"/>
    <w:rsid w:val="0036084F"/>
    <w:rsid w:val="00360887"/>
    <w:rsid w:val="00361468"/>
    <w:rsid w:val="0036481E"/>
    <w:rsid w:val="003649C3"/>
    <w:rsid w:val="003657A3"/>
    <w:rsid w:val="0037021B"/>
    <w:rsid w:val="00370267"/>
    <w:rsid w:val="003704F2"/>
    <w:rsid w:val="00372870"/>
    <w:rsid w:val="00372BD7"/>
    <w:rsid w:val="00373BB4"/>
    <w:rsid w:val="003766F4"/>
    <w:rsid w:val="0038268F"/>
    <w:rsid w:val="0038597D"/>
    <w:rsid w:val="00387254"/>
    <w:rsid w:val="00390166"/>
    <w:rsid w:val="00390743"/>
    <w:rsid w:val="00395736"/>
    <w:rsid w:val="0039687B"/>
    <w:rsid w:val="00397031"/>
    <w:rsid w:val="00397772"/>
    <w:rsid w:val="003A1571"/>
    <w:rsid w:val="003A317F"/>
    <w:rsid w:val="003A3542"/>
    <w:rsid w:val="003B1E29"/>
    <w:rsid w:val="003B37A8"/>
    <w:rsid w:val="003B6092"/>
    <w:rsid w:val="003B6FCA"/>
    <w:rsid w:val="003B7571"/>
    <w:rsid w:val="003B7885"/>
    <w:rsid w:val="003B7CE1"/>
    <w:rsid w:val="003B7D6D"/>
    <w:rsid w:val="003C139A"/>
    <w:rsid w:val="003C15D0"/>
    <w:rsid w:val="003C26DD"/>
    <w:rsid w:val="003C4228"/>
    <w:rsid w:val="003C4ABD"/>
    <w:rsid w:val="003C6C5E"/>
    <w:rsid w:val="003C7D22"/>
    <w:rsid w:val="003D3527"/>
    <w:rsid w:val="003D3A71"/>
    <w:rsid w:val="003D4535"/>
    <w:rsid w:val="003D4906"/>
    <w:rsid w:val="003D63C8"/>
    <w:rsid w:val="003E0984"/>
    <w:rsid w:val="003E1E9A"/>
    <w:rsid w:val="003E3273"/>
    <w:rsid w:val="003E38B4"/>
    <w:rsid w:val="003E3C93"/>
    <w:rsid w:val="003E5018"/>
    <w:rsid w:val="003F0F37"/>
    <w:rsid w:val="003F1F22"/>
    <w:rsid w:val="003F3138"/>
    <w:rsid w:val="003F3233"/>
    <w:rsid w:val="003F398E"/>
    <w:rsid w:val="003F553E"/>
    <w:rsid w:val="003F58A9"/>
    <w:rsid w:val="003F6165"/>
    <w:rsid w:val="003F618C"/>
    <w:rsid w:val="00401262"/>
    <w:rsid w:val="00403065"/>
    <w:rsid w:val="0040733F"/>
    <w:rsid w:val="00407AED"/>
    <w:rsid w:val="0041045C"/>
    <w:rsid w:val="00414A31"/>
    <w:rsid w:val="00415EB5"/>
    <w:rsid w:val="00416764"/>
    <w:rsid w:val="0041716D"/>
    <w:rsid w:val="0041767A"/>
    <w:rsid w:val="00420D60"/>
    <w:rsid w:val="00420FEC"/>
    <w:rsid w:val="00421A41"/>
    <w:rsid w:val="00422CBA"/>
    <w:rsid w:val="00422F5B"/>
    <w:rsid w:val="004240C2"/>
    <w:rsid w:val="00425423"/>
    <w:rsid w:val="0042552E"/>
    <w:rsid w:val="00425656"/>
    <w:rsid w:val="00427567"/>
    <w:rsid w:val="0043025D"/>
    <w:rsid w:val="00431296"/>
    <w:rsid w:val="00432C5E"/>
    <w:rsid w:val="00434951"/>
    <w:rsid w:val="00436DF9"/>
    <w:rsid w:val="00441634"/>
    <w:rsid w:val="0044276E"/>
    <w:rsid w:val="00445291"/>
    <w:rsid w:val="004461F4"/>
    <w:rsid w:val="004469EB"/>
    <w:rsid w:val="00447DDF"/>
    <w:rsid w:val="004525B3"/>
    <w:rsid w:val="00452BB4"/>
    <w:rsid w:val="00453961"/>
    <w:rsid w:val="004559ED"/>
    <w:rsid w:val="00456B49"/>
    <w:rsid w:val="004603F5"/>
    <w:rsid w:val="00462BBC"/>
    <w:rsid w:val="00465079"/>
    <w:rsid w:val="004650F0"/>
    <w:rsid w:val="00465D0D"/>
    <w:rsid w:val="00467DDF"/>
    <w:rsid w:val="00470666"/>
    <w:rsid w:val="00472B96"/>
    <w:rsid w:val="004816DC"/>
    <w:rsid w:val="004827EA"/>
    <w:rsid w:val="00483A82"/>
    <w:rsid w:val="004853D1"/>
    <w:rsid w:val="00487CC8"/>
    <w:rsid w:val="0049087D"/>
    <w:rsid w:val="004914AF"/>
    <w:rsid w:val="00491BD7"/>
    <w:rsid w:val="004920A6"/>
    <w:rsid w:val="004A13E0"/>
    <w:rsid w:val="004A5D4B"/>
    <w:rsid w:val="004A737C"/>
    <w:rsid w:val="004A7E8B"/>
    <w:rsid w:val="004B4EBA"/>
    <w:rsid w:val="004B5A14"/>
    <w:rsid w:val="004C0AB0"/>
    <w:rsid w:val="004D3FAA"/>
    <w:rsid w:val="004D44E5"/>
    <w:rsid w:val="004D5232"/>
    <w:rsid w:val="004D6CF5"/>
    <w:rsid w:val="004E0C9A"/>
    <w:rsid w:val="004E12CB"/>
    <w:rsid w:val="004E5FBF"/>
    <w:rsid w:val="004E6B84"/>
    <w:rsid w:val="004E7648"/>
    <w:rsid w:val="004E7850"/>
    <w:rsid w:val="004E7AFE"/>
    <w:rsid w:val="004F0B3A"/>
    <w:rsid w:val="004F0FA1"/>
    <w:rsid w:val="004F2841"/>
    <w:rsid w:val="004F356B"/>
    <w:rsid w:val="004F499D"/>
    <w:rsid w:val="004F4DB7"/>
    <w:rsid w:val="004F54B8"/>
    <w:rsid w:val="004F589B"/>
    <w:rsid w:val="004F7238"/>
    <w:rsid w:val="00500161"/>
    <w:rsid w:val="005010AE"/>
    <w:rsid w:val="0050322D"/>
    <w:rsid w:val="00507761"/>
    <w:rsid w:val="00507A0C"/>
    <w:rsid w:val="00511547"/>
    <w:rsid w:val="00513466"/>
    <w:rsid w:val="00517F8F"/>
    <w:rsid w:val="00520D24"/>
    <w:rsid w:val="00530A8E"/>
    <w:rsid w:val="00533845"/>
    <w:rsid w:val="005342BC"/>
    <w:rsid w:val="00535910"/>
    <w:rsid w:val="00535F02"/>
    <w:rsid w:val="00542CFE"/>
    <w:rsid w:val="00543AAB"/>
    <w:rsid w:val="005443C6"/>
    <w:rsid w:val="00544D47"/>
    <w:rsid w:val="00545410"/>
    <w:rsid w:val="0054542A"/>
    <w:rsid w:val="0054584E"/>
    <w:rsid w:val="00545CCB"/>
    <w:rsid w:val="00546916"/>
    <w:rsid w:val="00547138"/>
    <w:rsid w:val="005472C8"/>
    <w:rsid w:val="00547701"/>
    <w:rsid w:val="005518ED"/>
    <w:rsid w:val="005537A5"/>
    <w:rsid w:val="00555CAA"/>
    <w:rsid w:val="00556408"/>
    <w:rsid w:val="005620AE"/>
    <w:rsid w:val="00567B3E"/>
    <w:rsid w:val="005704D0"/>
    <w:rsid w:val="00571391"/>
    <w:rsid w:val="0057158C"/>
    <w:rsid w:val="00571A01"/>
    <w:rsid w:val="00571C2C"/>
    <w:rsid w:val="00572F59"/>
    <w:rsid w:val="005750F3"/>
    <w:rsid w:val="005751D1"/>
    <w:rsid w:val="005752A3"/>
    <w:rsid w:val="00576716"/>
    <w:rsid w:val="0058134F"/>
    <w:rsid w:val="00586DAB"/>
    <w:rsid w:val="005871F0"/>
    <w:rsid w:val="00594144"/>
    <w:rsid w:val="0059461E"/>
    <w:rsid w:val="00594832"/>
    <w:rsid w:val="0059731E"/>
    <w:rsid w:val="005A1C9B"/>
    <w:rsid w:val="005A4D50"/>
    <w:rsid w:val="005B53BD"/>
    <w:rsid w:val="005B5FA4"/>
    <w:rsid w:val="005B6A03"/>
    <w:rsid w:val="005C092C"/>
    <w:rsid w:val="005C36EE"/>
    <w:rsid w:val="005C385B"/>
    <w:rsid w:val="005C60CE"/>
    <w:rsid w:val="005D277A"/>
    <w:rsid w:val="005D27FF"/>
    <w:rsid w:val="005D5BD7"/>
    <w:rsid w:val="005E1C38"/>
    <w:rsid w:val="005E2AC0"/>
    <w:rsid w:val="005E62FD"/>
    <w:rsid w:val="005F2298"/>
    <w:rsid w:val="005F309C"/>
    <w:rsid w:val="005F41B0"/>
    <w:rsid w:val="005F4324"/>
    <w:rsid w:val="005F5A55"/>
    <w:rsid w:val="005F7F3A"/>
    <w:rsid w:val="006017F8"/>
    <w:rsid w:val="00602139"/>
    <w:rsid w:val="00602E80"/>
    <w:rsid w:val="00604364"/>
    <w:rsid w:val="00606A7A"/>
    <w:rsid w:val="00607401"/>
    <w:rsid w:val="00610027"/>
    <w:rsid w:val="006108FD"/>
    <w:rsid w:val="0061121D"/>
    <w:rsid w:val="00611EC5"/>
    <w:rsid w:val="006123D8"/>
    <w:rsid w:val="00614509"/>
    <w:rsid w:val="0062161A"/>
    <w:rsid w:val="006217C9"/>
    <w:rsid w:val="00622531"/>
    <w:rsid w:val="00623A36"/>
    <w:rsid w:val="006240AB"/>
    <w:rsid w:val="006305DE"/>
    <w:rsid w:val="0063446C"/>
    <w:rsid w:val="00634AE6"/>
    <w:rsid w:val="006370C5"/>
    <w:rsid w:val="00640169"/>
    <w:rsid w:val="00640E90"/>
    <w:rsid w:val="0064259F"/>
    <w:rsid w:val="00642F78"/>
    <w:rsid w:val="0064438C"/>
    <w:rsid w:val="006460C5"/>
    <w:rsid w:val="00646677"/>
    <w:rsid w:val="006475D0"/>
    <w:rsid w:val="00647F6A"/>
    <w:rsid w:val="0065181E"/>
    <w:rsid w:val="0065220C"/>
    <w:rsid w:val="006540E2"/>
    <w:rsid w:val="00654FC0"/>
    <w:rsid w:val="006557EB"/>
    <w:rsid w:val="00655FDC"/>
    <w:rsid w:val="0065768E"/>
    <w:rsid w:val="00657ECB"/>
    <w:rsid w:val="006601A4"/>
    <w:rsid w:val="00662533"/>
    <w:rsid w:val="00663573"/>
    <w:rsid w:val="00663C94"/>
    <w:rsid w:val="006653E2"/>
    <w:rsid w:val="00665BEE"/>
    <w:rsid w:val="006717C7"/>
    <w:rsid w:val="00673B18"/>
    <w:rsid w:val="0067512D"/>
    <w:rsid w:val="00675815"/>
    <w:rsid w:val="00675FAA"/>
    <w:rsid w:val="006767B2"/>
    <w:rsid w:val="00676E2E"/>
    <w:rsid w:val="0068171C"/>
    <w:rsid w:val="00682B49"/>
    <w:rsid w:val="00686921"/>
    <w:rsid w:val="00690070"/>
    <w:rsid w:val="00690CE7"/>
    <w:rsid w:val="00692E2E"/>
    <w:rsid w:val="00693538"/>
    <w:rsid w:val="00694CD9"/>
    <w:rsid w:val="006966D0"/>
    <w:rsid w:val="00697BB6"/>
    <w:rsid w:val="006A2208"/>
    <w:rsid w:val="006A2ADE"/>
    <w:rsid w:val="006A4FDF"/>
    <w:rsid w:val="006A5635"/>
    <w:rsid w:val="006A5821"/>
    <w:rsid w:val="006A6D5A"/>
    <w:rsid w:val="006A7FEA"/>
    <w:rsid w:val="006B0AED"/>
    <w:rsid w:val="006B0C1D"/>
    <w:rsid w:val="006B2F86"/>
    <w:rsid w:val="006B357B"/>
    <w:rsid w:val="006B43A9"/>
    <w:rsid w:val="006B462D"/>
    <w:rsid w:val="006B7820"/>
    <w:rsid w:val="006C24B7"/>
    <w:rsid w:val="006C48E3"/>
    <w:rsid w:val="006C4F27"/>
    <w:rsid w:val="006C4F44"/>
    <w:rsid w:val="006C5182"/>
    <w:rsid w:val="006C58D8"/>
    <w:rsid w:val="006C627A"/>
    <w:rsid w:val="006C6672"/>
    <w:rsid w:val="006C671C"/>
    <w:rsid w:val="006C6C29"/>
    <w:rsid w:val="006D09CF"/>
    <w:rsid w:val="006D1A58"/>
    <w:rsid w:val="006D3378"/>
    <w:rsid w:val="006E0ABD"/>
    <w:rsid w:val="006E1355"/>
    <w:rsid w:val="006E2A48"/>
    <w:rsid w:val="006E6D30"/>
    <w:rsid w:val="006E7A4A"/>
    <w:rsid w:val="006F1405"/>
    <w:rsid w:val="006F2141"/>
    <w:rsid w:val="006F4A4B"/>
    <w:rsid w:val="006F57C7"/>
    <w:rsid w:val="006F6E5D"/>
    <w:rsid w:val="007001F2"/>
    <w:rsid w:val="00701FBB"/>
    <w:rsid w:val="00703702"/>
    <w:rsid w:val="007051BA"/>
    <w:rsid w:val="00705574"/>
    <w:rsid w:val="0070722F"/>
    <w:rsid w:val="00713361"/>
    <w:rsid w:val="0071631F"/>
    <w:rsid w:val="007167A4"/>
    <w:rsid w:val="0072065F"/>
    <w:rsid w:val="00721812"/>
    <w:rsid w:val="00724372"/>
    <w:rsid w:val="00724D70"/>
    <w:rsid w:val="00727B69"/>
    <w:rsid w:val="00727FF9"/>
    <w:rsid w:val="007318BE"/>
    <w:rsid w:val="00731B5C"/>
    <w:rsid w:val="007328E7"/>
    <w:rsid w:val="00734235"/>
    <w:rsid w:val="0073520F"/>
    <w:rsid w:val="00736475"/>
    <w:rsid w:val="007366D3"/>
    <w:rsid w:val="007369FE"/>
    <w:rsid w:val="00742C2B"/>
    <w:rsid w:val="007440B2"/>
    <w:rsid w:val="0074453A"/>
    <w:rsid w:val="00744854"/>
    <w:rsid w:val="007464B8"/>
    <w:rsid w:val="0074730C"/>
    <w:rsid w:val="00747A1D"/>
    <w:rsid w:val="00751B5E"/>
    <w:rsid w:val="007521E1"/>
    <w:rsid w:val="007532FB"/>
    <w:rsid w:val="0075370E"/>
    <w:rsid w:val="007537D6"/>
    <w:rsid w:val="00755B58"/>
    <w:rsid w:val="007609F9"/>
    <w:rsid w:val="00760EA7"/>
    <w:rsid w:val="00761936"/>
    <w:rsid w:val="00761E58"/>
    <w:rsid w:val="00762C4E"/>
    <w:rsid w:val="00767D59"/>
    <w:rsid w:val="0077035A"/>
    <w:rsid w:val="00771038"/>
    <w:rsid w:val="0077323F"/>
    <w:rsid w:val="007736CF"/>
    <w:rsid w:val="00773B78"/>
    <w:rsid w:val="00773DA7"/>
    <w:rsid w:val="0077422B"/>
    <w:rsid w:val="00774F01"/>
    <w:rsid w:val="00775C90"/>
    <w:rsid w:val="00777B52"/>
    <w:rsid w:val="007913BF"/>
    <w:rsid w:val="00794601"/>
    <w:rsid w:val="00794796"/>
    <w:rsid w:val="00796476"/>
    <w:rsid w:val="007A01DC"/>
    <w:rsid w:val="007A0319"/>
    <w:rsid w:val="007A0B9D"/>
    <w:rsid w:val="007A39C4"/>
    <w:rsid w:val="007A4217"/>
    <w:rsid w:val="007A47AB"/>
    <w:rsid w:val="007A4FC9"/>
    <w:rsid w:val="007B0AA0"/>
    <w:rsid w:val="007B12E0"/>
    <w:rsid w:val="007B1E98"/>
    <w:rsid w:val="007B3DFA"/>
    <w:rsid w:val="007B421F"/>
    <w:rsid w:val="007C009D"/>
    <w:rsid w:val="007C6DF4"/>
    <w:rsid w:val="007D034F"/>
    <w:rsid w:val="007D2E5D"/>
    <w:rsid w:val="007D4672"/>
    <w:rsid w:val="007E03B5"/>
    <w:rsid w:val="007E05C4"/>
    <w:rsid w:val="007E1557"/>
    <w:rsid w:val="007E2149"/>
    <w:rsid w:val="007E5075"/>
    <w:rsid w:val="007E5E2A"/>
    <w:rsid w:val="007E691B"/>
    <w:rsid w:val="007F0032"/>
    <w:rsid w:val="007F18F7"/>
    <w:rsid w:val="007F286E"/>
    <w:rsid w:val="007F2EA4"/>
    <w:rsid w:val="007F4AC8"/>
    <w:rsid w:val="007F4F74"/>
    <w:rsid w:val="007F7313"/>
    <w:rsid w:val="00800F0F"/>
    <w:rsid w:val="00810019"/>
    <w:rsid w:val="008111D2"/>
    <w:rsid w:val="00812532"/>
    <w:rsid w:val="00812AE7"/>
    <w:rsid w:val="00820454"/>
    <w:rsid w:val="00821254"/>
    <w:rsid w:val="008228BA"/>
    <w:rsid w:val="00822AB3"/>
    <w:rsid w:val="00822C1D"/>
    <w:rsid w:val="00823136"/>
    <w:rsid w:val="00823297"/>
    <w:rsid w:val="00824932"/>
    <w:rsid w:val="0082566F"/>
    <w:rsid w:val="008264D5"/>
    <w:rsid w:val="0083047F"/>
    <w:rsid w:val="00832866"/>
    <w:rsid w:val="0083287C"/>
    <w:rsid w:val="00832B4C"/>
    <w:rsid w:val="00833653"/>
    <w:rsid w:val="0083453E"/>
    <w:rsid w:val="00834B96"/>
    <w:rsid w:val="0084003A"/>
    <w:rsid w:val="00841560"/>
    <w:rsid w:val="00841D51"/>
    <w:rsid w:val="00845128"/>
    <w:rsid w:val="00847423"/>
    <w:rsid w:val="00847638"/>
    <w:rsid w:val="00851858"/>
    <w:rsid w:val="00851CBE"/>
    <w:rsid w:val="0085278C"/>
    <w:rsid w:val="008527EC"/>
    <w:rsid w:val="00852B35"/>
    <w:rsid w:val="00852E56"/>
    <w:rsid w:val="00856E9E"/>
    <w:rsid w:val="00857694"/>
    <w:rsid w:val="00857CE3"/>
    <w:rsid w:val="008654E9"/>
    <w:rsid w:val="00866FBC"/>
    <w:rsid w:val="008670BE"/>
    <w:rsid w:val="00870D1B"/>
    <w:rsid w:val="00872B67"/>
    <w:rsid w:val="008730BA"/>
    <w:rsid w:val="00873158"/>
    <w:rsid w:val="00874937"/>
    <w:rsid w:val="008768BF"/>
    <w:rsid w:val="00876BBE"/>
    <w:rsid w:val="00881709"/>
    <w:rsid w:val="00881E3D"/>
    <w:rsid w:val="008835D9"/>
    <w:rsid w:val="008838F6"/>
    <w:rsid w:val="00883F19"/>
    <w:rsid w:val="00884006"/>
    <w:rsid w:val="00884DE1"/>
    <w:rsid w:val="00885F6D"/>
    <w:rsid w:val="0088609D"/>
    <w:rsid w:val="008865A5"/>
    <w:rsid w:val="00887A4A"/>
    <w:rsid w:val="00894113"/>
    <w:rsid w:val="00894B9F"/>
    <w:rsid w:val="00897EA5"/>
    <w:rsid w:val="008A1116"/>
    <w:rsid w:val="008A165D"/>
    <w:rsid w:val="008A1D29"/>
    <w:rsid w:val="008A1D8C"/>
    <w:rsid w:val="008A3625"/>
    <w:rsid w:val="008A3BB1"/>
    <w:rsid w:val="008A3CEA"/>
    <w:rsid w:val="008A56FE"/>
    <w:rsid w:val="008A58D1"/>
    <w:rsid w:val="008B3EA0"/>
    <w:rsid w:val="008B5785"/>
    <w:rsid w:val="008B7703"/>
    <w:rsid w:val="008B7959"/>
    <w:rsid w:val="008C05FB"/>
    <w:rsid w:val="008C4D15"/>
    <w:rsid w:val="008C60D2"/>
    <w:rsid w:val="008C66BB"/>
    <w:rsid w:val="008C707C"/>
    <w:rsid w:val="008C7179"/>
    <w:rsid w:val="008C731E"/>
    <w:rsid w:val="008D19E2"/>
    <w:rsid w:val="008D2A14"/>
    <w:rsid w:val="008D451F"/>
    <w:rsid w:val="008D4B0E"/>
    <w:rsid w:val="008E05B0"/>
    <w:rsid w:val="008E0A4D"/>
    <w:rsid w:val="008E4444"/>
    <w:rsid w:val="008E5094"/>
    <w:rsid w:val="008E5570"/>
    <w:rsid w:val="008E5CE0"/>
    <w:rsid w:val="008F0C1E"/>
    <w:rsid w:val="008F3858"/>
    <w:rsid w:val="008F38D8"/>
    <w:rsid w:val="008F47B9"/>
    <w:rsid w:val="008F57F9"/>
    <w:rsid w:val="008F7F86"/>
    <w:rsid w:val="00905085"/>
    <w:rsid w:val="00905CDA"/>
    <w:rsid w:val="00910AA1"/>
    <w:rsid w:val="009115E7"/>
    <w:rsid w:val="0091227F"/>
    <w:rsid w:val="00913E9E"/>
    <w:rsid w:val="009143F9"/>
    <w:rsid w:val="00920B22"/>
    <w:rsid w:val="009213CA"/>
    <w:rsid w:val="00921D2B"/>
    <w:rsid w:val="00927706"/>
    <w:rsid w:val="00930B24"/>
    <w:rsid w:val="00933622"/>
    <w:rsid w:val="00934F0D"/>
    <w:rsid w:val="009366CB"/>
    <w:rsid w:val="00937133"/>
    <w:rsid w:val="009408F0"/>
    <w:rsid w:val="009413F9"/>
    <w:rsid w:val="00941BA3"/>
    <w:rsid w:val="00942873"/>
    <w:rsid w:val="00942BB1"/>
    <w:rsid w:val="00942E34"/>
    <w:rsid w:val="00952E0F"/>
    <w:rsid w:val="0095489F"/>
    <w:rsid w:val="00956C5A"/>
    <w:rsid w:val="00957BAA"/>
    <w:rsid w:val="0096023D"/>
    <w:rsid w:val="009634E7"/>
    <w:rsid w:val="0096462E"/>
    <w:rsid w:val="00967496"/>
    <w:rsid w:val="0096784A"/>
    <w:rsid w:val="009706E6"/>
    <w:rsid w:val="00971CFC"/>
    <w:rsid w:val="00971DA0"/>
    <w:rsid w:val="009730AA"/>
    <w:rsid w:val="00975755"/>
    <w:rsid w:val="00975C0D"/>
    <w:rsid w:val="009776AD"/>
    <w:rsid w:val="00980652"/>
    <w:rsid w:val="00981106"/>
    <w:rsid w:val="00985170"/>
    <w:rsid w:val="00985F9B"/>
    <w:rsid w:val="009865D8"/>
    <w:rsid w:val="00987C96"/>
    <w:rsid w:val="009906DF"/>
    <w:rsid w:val="00991855"/>
    <w:rsid w:val="009919FE"/>
    <w:rsid w:val="0099519B"/>
    <w:rsid w:val="00995BCA"/>
    <w:rsid w:val="00996EE7"/>
    <w:rsid w:val="009A1895"/>
    <w:rsid w:val="009A2342"/>
    <w:rsid w:val="009A56BE"/>
    <w:rsid w:val="009A6005"/>
    <w:rsid w:val="009B3697"/>
    <w:rsid w:val="009B5674"/>
    <w:rsid w:val="009B6927"/>
    <w:rsid w:val="009C0B90"/>
    <w:rsid w:val="009C1CBC"/>
    <w:rsid w:val="009C4A3A"/>
    <w:rsid w:val="009C5C68"/>
    <w:rsid w:val="009C5C99"/>
    <w:rsid w:val="009D1653"/>
    <w:rsid w:val="009D3987"/>
    <w:rsid w:val="009D3D22"/>
    <w:rsid w:val="009D6BFC"/>
    <w:rsid w:val="009E118E"/>
    <w:rsid w:val="009E14E9"/>
    <w:rsid w:val="009E42A2"/>
    <w:rsid w:val="009E53B8"/>
    <w:rsid w:val="009E566D"/>
    <w:rsid w:val="009E747D"/>
    <w:rsid w:val="009F0239"/>
    <w:rsid w:val="009F05DC"/>
    <w:rsid w:val="009F0ED0"/>
    <w:rsid w:val="009F1A6A"/>
    <w:rsid w:val="009F249C"/>
    <w:rsid w:val="009F3FF9"/>
    <w:rsid w:val="009F42A1"/>
    <w:rsid w:val="009F4ADC"/>
    <w:rsid w:val="009F4D58"/>
    <w:rsid w:val="009F5EEA"/>
    <w:rsid w:val="009F7AFD"/>
    <w:rsid w:val="00A01EE5"/>
    <w:rsid w:val="00A0350D"/>
    <w:rsid w:val="00A03738"/>
    <w:rsid w:val="00A037D9"/>
    <w:rsid w:val="00A0395D"/>
    <w:rsid w:val="00A1163D"/>
    <w:rsid w:val="00A138A1"/>
    <w:rsid w:val="00A13E38"/>
    <w:rsid w:val="00A151EF"/>
    <w:rsid w:val="00A15864"/>
    <w:rsid w:val="00A15FAF"/>
    <w:rsid w:val="00A17FA3"/>
    <w:rsid w:val="00A206E1"/>
    <w:rsid w:val="00A20D0E"/>
    <w:rsid w:val="00A21E23"/>
    <w:rsid w:val="00A22B38"/>
    <w:rsid w:val="00A241DF"/>
    <w:rsid w:val="00A2514F"/>
    <w:rsid w:val="00A25FE6"/>
    <w:rsid w:val="00A3052E"/>
    <w:rsid w:val="00A30FDE"/>
    <w:rsid w:val="00A33013"/>
    <w:rsid w:val="00A330AD"/>
    <w:rsid w:val="00A33F0E"/>
    <w:rsid w:val="00A344B3"/>
    <w:rsid w:val="00A3537F"/>
    <w:rsid w:val="00A35ACD"/>
    <w:rsid w:val="00A363A1"/>
    <w:rsid w:val="00A436EA"/>
    <w:rsid w:val="00A45BC1"/>
    <w:rsid w:val="00A4657D"/>
    <w:rsid w:val="00A46720"/>
    <w:rsid w:val="00A50059"/>
    <w:rsid w:val="00A51EE2"/>
    <w:rsid w:val="00A52BF4"/>
    <w:rsid w:val="00A52F73"/>
    <w:rsid w:val="00A546D5"/>
    <w:rsid w:val="00A54898"/>
    <w:rsid w:val="00A5658E"/>
    <w:rsid w:val="00A56787"/>
    <w:rsid w:val="00A57DBF"/>
    <w:rsid w:val="00A60EBB"/>
    <w:rsid w:val="00A630FD"/>
    <w:rsid w:val="00A6499E"/>
    <w:rsid w:val="00A6720E"/>
    <w:rsid w:val="00A70938"/>
    <w:rsid w:val="00A7417A"/>
    <w:rsid w:val="00A76FC9"/>
    <w:rsid w:val="00A771F7"/>
    <w:rsid w:val="00A77276"/>
    <w:rsid w:val="00A80522"/>
    <w:rsid w:val="00A80B1E"/>
    <w:rsid w:val="00A81D48"/>
    <w:rsid w:val="00A8247B"/>
    <w:rsid w:val="00A82F31"/>
    <w:rsid w:val="00A90B3C"/>
    <w:rsid w:val="00A90EB6"/>
    <w:rsid w:val="00A9320A"/>
    <w:rsid w:val="00A9344F"/>
    <w:rsid w:val="00A95538"/>
    <w:rsid w:val="00A9557A"/>
    <w:rsid w:val="00A962B9"/>
    <w:rsid w:val="00AA067C"/>
    <w:rsid w:val="00AA1280"/>
    <w:rsid w:val="00AA1476"/>
    <w:rsid w:val="00AA1CB2"/>
    <w:rsid w:val="00AA3F2A"/>
    <w:rsid w:val="00AA6395"/>
    <w:rsid w:val="00AA7E25"/>
    <w:rsid w:val="00AB09F3"/>
    <w:rsid w:val="00AB1F3D"/>
    <w:rsid w:val="00AB4661"/>
    <w:rsid w:val="00AC128F"/>
    <w:rsid w:val="00AC2717"/>
    <w:rsid w:val="00AC6626"/>
    <w:rsid w:val="00AD51C0"/>
    <w:rsid w:val="00AD5C75"/>
    <w:rsid w:val="00AD7BE4"/>
    <w:rsid w:val="00AE00BA"/>
    <w:rsid w:val="00AE1450"/>
    <w:rsid w:val="00AE269B"/>
    <w:rsid w:val="00AE7252"/>
    <w:rsid w:val="00AF50A2"/>
    <w:rsid w:val="00AF633F"/>
    <w:rsid w:val="00B01517"/>
    <w:rsid w:val="00B019F1"/>
    <w:rsid w:val="00B022B0"/>
    <w:rsid w:val="00B028CB"/>
    <w:rsid w:val="00B0532F"/>
    <w:rsid w:val="00B065F0"/>
    <w:rsid w:val="00B0712A"/>
    <w:rsid w:val="00B071FA"/>
    <w:rsid w:val="00B10E38"/>
    <w:rsid w:val="00B10E97"/>
    <w:rsid w:val="00B11B74"/>
    <w:rsid w:val="00B12191"/>
    <w:rsid w:val="00B1353F"/>
    <w:rsid w:val="00B16711"/>
    <w:rsid w:val="00B20F5E"/>
    <w:rsid w:val="00B22248"/>
    <w:rsid w:val="00B228F4"/>
    <w:rsid w:val="00B22A3E"/>
    <w:rsid w:val="00B22F9C"/>
    <w:rsid w:val="00B24BEE"/>
    <w:rsid w:val="00B265BC"/>
    <w:rsid w:val="00B27B59"/>
    <w:rsid w:val="00B27B85"/>
    <w:rsid w:val="00B33BD8"/>
    <w:rsid w:val="00B346E2"/>
    <w:rsid w:val="00B353F4"/>
    <w:rsid w:val="00B41D0E"/>
    <w:rsid w:val="00B43214"/>
    <w:rsid w:val="00B432DE"/>
    <w:rsid w:val="00B44B3F"/>
    <w:rsid w:val="00B44B6A"/>
    <w:rsid w:val="00B46A58"/>
    <w:rsid w:val="00B53763"/>
    <w:rsid w:val="00B53A0D"/>
    <w:rsid w:val="00B53DE9"/>
    <w:rsid w:val="00B56AD8"/>
    <w:rsid w:val="00B57629"/>
    <w:rsid w:val="00B57D19"/>
    <w:rsid w:val="00B57F59"/>
    <w:rsid w:val="00B620CE"/>
    <w:rsid w:val="00B64682"/>
    <w:rsid w:val="00B65208"/>
    <w:rsid w:val="00B65CF8"/>
    <w:rsid w:val="00B711EC"/>
    <w:rsid w:val="00B71374"/>
    <w:rsid w:val="00B740C5"/>
    <w:rsid w:val="00B74B98"/>
    <w:rsid w:val="00B75EDC"/>
    <w:rsid w:val="00B81872"/>
    <w:rsid w:val="00B81AB9"/>
    <w:rsid w:val="00B83534"/>
    <w:rsid w:val="00B84800"/>
    <w:rsid w:val="00B84945"/>
    <w:rsid w:val="00B850C5"/>
    <w:rsid w:val="00B86192"/>
    <w:rsid w:val="00B87B1C"/>
    <w:rsid w:val="00B90B26"/>
    <w:rsid w:val="00B91430"/>
    <w:rsid w:val="00B91886"/>
    <w:rsid w:val="00B9366E"/>
    <w:rsid w:val="00B9523C"/>
    <w:rsid w:val="00B954B9"/>
    <w:rsid w:val="00B95A4C"/>
    <w:rsid w:val="00B95F4E"/>
    <w:rsid w:val="00B96454"/>
    <w:rsid w:val="00B9745B"/>
    <w:rsid w:val="00BA0059"/>
    <w:rsid w:val="00BA0385"/>
    <w:rsid w:val="00BA046F"/>
    <w:rsid w:val="00BA3110"/>
    <w:rsid w:val="00BA761F"/>
    <w:rsid w:val="00BA7D77"/>
    <w:rsid w:val="00BB00E8"/>
    <w:rsid w:val="00BB1AF8"/>
    <w:rsid w:val="00BB3301"/>
    <w:rsid w:val="00BB703E"/>
    <w:rsid w:val="00BB745B"/>
    <w:rsid w:val="00BB780F"/>
    <w:rsid w:val="00BC08DD"/>
    <w:rsid w:val="00BC1B7F"/>
    <w:rsid w:val="00BC496C"/>
    <w:rsid w:val="00BC4EF5"/>
    <w:rsid w:val="00BC6F95"/>
    <w:rsid w:val="00BD0AF3"/>
    <w:rsid w:val="00BD146A"/>
    <w:rsid w:val="00BD1A7C"/>
    <w:rsid w:val="00BD26CE"/>
    <w:rsid w:val="00BD2B03"/>
    <w:rsid w:val="00BD2CC1"/>
    <w:rsid w:val="00BD3C79"/>
    <w:rsid w:val="00BD5483"/>
    <w:rsid w:val="00BE2981"/>
    <w:rsid w:val="00BE46CC"/>
    <w:rsid w:val="00BE78E2"/>
    <w:rsid w:val="00BF1584"/>
    <w:rsid w:val="00BF1FD4"/>
    <w:rsid w:val="00BF5067"/>
    <w:rsid w:val="00BF5EA6"/>
    <w:rsid w:val="00BF64B4"/>
    <w:rsid w:val="00BF6AD9"/>
    <w:rsid w:val="00BF757B"/>
    <w:rsid w:val="00BF763E"/>
    <w:rsid w:val="00C00891"/>
    <w:rsid w:val="00C01A3B"/>
    <w:rsid w:val="00C01E10"/>
    <w:rsid w:val="00C039DA"/>
    <w:rsid w:val="00C0439A"/>
    <w:rsid w:val="00C0441D"/>
    <w:rsid w:val="00C04D72"/>
    <w:rsid w:val="00C05B58"/>
    <w:rsid w:val="00C0621A"/>
    <w:rsid w:val="00C06410"/>
    <w:rsid w:val="00C100B9"/>
    <w:rsid w:val="00C11AD9"/>
    <w:rsid w:val="00C1371D"/>
    <w:rsid w:val="00C15371"/>
    <w:rsid w:val="00C1605B"/>
    <w:rsid w:val="00C16D35"/>
    <w:rsid w:val="00C22CEA"/>
    <w:rsid w:val="00C249D1"/>
    <w:rsid w:val="00C25547"/>
    <w:rsid w:val="00C3193A"/>
    <w:rsid w:val="00C31D29"/>
    <w:rsid w:val="00C32F33"/>
    <w:rsid w:val="00C33856"/>
    <w:rsid w:val="00C340F7"/>
    <w:rsid w:val="00C35858"/>
    <w:rsid w:val="00C35C0B"/>
    <w:rsid w:val="00C36CB9"/>
    <w:rsid w:val="00C36CFA"/>
    <w:rsid w:val="00C37D61"/>
    <w:rsid w:val="00C40325"/>
    <w:rsid w:val="00C40877"/>
    <w:rsid w:val="00C40AF8"/>
    <w:rsid w:val="00C40FBC"/>
    <w:rsid w:val="00C41A0A"/>
    <w:rsid w:val="00C4238F"/>
    <w:rsid w:val="00C4316C"/>
    <w:rsid w:val="00C4538A"/>
    <w:rsid w:val="00C4578C"/>
    <w:rsid w:val="00C528AF"/>
    <w:rsid w:val="00C53132"/>
    <w:rsid w:val="00C55719"/>
    <w:rsid w:val="00C557F3"/>
    <w:rsid w:val="00C55922"/>
    <w:rsid w:val="00C55F14"/>
    <w:rsid w:val="00C57FD2"/>
    <w:rsid w:val="00C60A04"/>
    <w:rsid w:val="00C613D3"/>
    <w:rsid w:val="00C623B9"/>
    <w:rsid w:val="00C64B37"/>
    <w:rsid w:val="00C64F89"/>
    <w:rsid w:val="00C67F1D"/>
    <w:rsid w:val="00C7381D"/>
    <w:rsid w:val="00C73AFC"/>
    <w:rsid w:val="00C73DE1"/>
    <w:rsid w:val="00C73E0A"/>
    <w:rsid w:val="00C73ECB"/>
    <w:rsid w:val="00C77020"/>
    <w:rsid w:val="00C77290"/>
    <w:rsid w:val="00C80A0B"/>
    <w:rsid w:val="00C849A4"/>
    <w:rsid w:val="00C85124"/>
    <w:rsid w:val="00C851BA"/>
    <w:rsid w:val="00C86253"/>
    <w:rsid w:val="00C90BEC"/>
    <w:rsid w:val="00C9170F"/>
    <w:rsid w:val="00C918A9"/>
    <w:rsid w:val="00C925CC"/>
    <w:rsid w:val="00C927C3"/>
    <w:rsid w:val="00C95280"/>
    <w:rsid w:val="00C95F41"/>
    <w:rsid w:val="00C963EF"/>
    <w:rsid w:val="00C968FF"/>
    <w:rsid w:val="00C97147"/>
    <w:rsid w:val="00C97808"/>
    <w:rsid w:val="00CA1084"/>
    <w:rsid w:val="00CA315A"/>
    <w:rsid w:val="00CA35CC"/>
    <w:rsid w:val="00CA4C7A"/>
    <w:rsid w:val="00CA7DDA"/>
    <w:rsid w:val="00CB4103"/>
    <w:rsid w:val="00CB46DF"/>
    <w:rsid w:val="00CB5DA8"/>
    <w:rsid w:val="00CB6A28"/>
    <w:rsid w:val="00CC05CA"/>
    <w:rsid w:val="00CC0B32"/>
    <w:rsid w:val="00CC31D6"/>
    <w:rsid w:val="00CD0820"/>
    <w:rsid w:val="00CD32C2"/>
    <w:rsid w:val="00CD699A"/>
    <w:rsid w:val="00CD72C9"/>
    <w:rsid w:val="00CD7839"/>
    <w:rsid w:val="00CE14D0"/>
    <w:rsid w:val="00CE1B50"/>
    <w:rsid w:val="00CE2BF1"/>
    <w:rsid w:val="00CE30D7"/>
    <w:rsid w:val="00CE457F"/>
    <w:rsid w:val="00CE4DEC"/>
    <w:rsid w:val="00CE60A8"/>
    <w:rsid w:val="00CF0598"/>
    <w:rsid w:val="00CF086B"/>
    <w:rsid w:val="00CF12AE"/>
    <w:rsid w:val="00CF1343"/>
    <w:rsid w:val="00CF19B4"/>
    <w:rsid w:val="00CF3B7A"/>
    <w:rsid w:val="00CF4375"/>
    <w:rsid w:val="00CF5E74"/>
    <w:rsid w:val="00CF76C9"/>
    <w:rsid w:val="00CF7EFD"/>
    <w:rsid w:val="00D0147B"/>
    <w:rsid w:val="00D022A7"/>
    <w:rsid w:val="00D022FF"/>
    <w:rsid w:val="00D0285C"/>
    <w:rsid w:val="00D03F1C"/>
    <w:rsid w:val="00D05333"/>
    <w:rsid w:val="00D07949"/>
    <w:rsid w:val="00D10E05"/>
    <w:rsid w:val="00D11D0E"/>
    <w:rsid w:val="00D13F64"/>
    <w:rsid w:val="00D17EA4"/>
    <w:rsid w:val="00D21DED"/>
    <w:rsid w:val="00D22B75"/>
    <w:rsid w:val="00D23026"/>
    <w:rsid w:val="00D23C07"/>
    <w:rsid w:val="00D23FB2"/>
    <w:rsid w:val="00D27B5E"/>
    <w:rsid w:val="00D31388"/>
    <w:rsid w:val="00D32C8F"/>
    <w:rsid w:val="00D343AC"/>
    <w:rsid w:val="00D3457A"/>
    <w:rsid w:val="00D34F83"/>
    <w:rsid w:val="00D36ACB"/>
    <w:rsid w:val="00D41562"/>
    <w:rsid w:val="00D45D53"/>
    <w:rsid w:val="00D46CA9"/>
    <w:rsid w:val="00D531F2"/>
    <w:rsid w:val="00D53406"/>
    <w:rsid w:val="00D56AB7"/>
    <w:rsid w:val="00D579EF"/>
    <w:rsid w:val="00D57FE3"/>
    <w:rsid w:val="00D61AF3"/>
    <w:rsid w:val="00D62B4A"/>
    <w:rsid w:val="00D6324C"/>
    <w:rsid w:val="00D67B68"/>
    <w:rsid w:val="00D766D2"/>
    <w:rsid w:val="00D77077"/>
    <w:rsid w:val="00D8252C"/>
    <w:rsid w:val="00D85B61"/>
    <w:rsid w:val="00D9137D"/>
    <w:rsid w:val="00D95B64"/>
    <w:rsid w:val="00D95CF4"/>
    <w:rsid w:val="00D961C9"/>
    <w:rsid w:val="00D97E45"/>
    <w:rsid w:val="00DA2C0F"/>
    <w:rsid w:val="00DA67C8"/>
    <w:rsid w:val="00DB0DBA"/>
    <w:rsid w:val="00DB1C35"/>
    <w:rsid w:val="00DB1CFA"/>
    <w:rsid w:val="00DB268C"/>
    <w:rsid w:val="00DB3830"/>
    <w:rsid w:val="00DB3E73"/>
    <w:rsid w:val="00DB60F3"/>
    <w:rsid w:val="00DB761D"/>
    <w:rsid w:val="00DC24C7"/>
    <w:rsid w:val="00DC2D60"/>
    <w:rsid w:val="00DC316C"/>
    <w:rsid w:val="00DC3897"/>
    <w:rsid w:val="00DC3F1E"/>
    <w:rsid w:val="00DC40EA"/>
    <w:rsid w:val="00DC7881"/>
    <w:rsid w:val="00DC7C2F"/>
    <w:rsid w:val="00DD13D8"/>
    <w:rsid w:val="00DD187E"/>
    <w:rsid w:val="00DD6004"/>
    <w:rsid w:val="00DD67DB"/>
    <w:rsid w:val="00DE040C"/>
    <w:rsid w:val="00DE0442"/>
    <w:rsid w:val="00DE05D2"/>
    <w:rsid w:val="00DE0AE5"/>
    <w:rsid w:val="00DE20E5"/>
    <w:rsid w:val="00DE4014"/>
    <w:rsid w:val="00DE452C"/>
    <w:rsid w:val="00DE5B13"/>
    <w:rsid w:val="00DE5C12"/>
    <w:rsid w:val="00DF28AC"/>
    <w:rsid w:val="00DF51BB"/>
    <w:rsid w:val="00E01535"/>
    <w:rsid w:val="00E015BF"/>
    <w:rsid w:val="00E02AC9"/>
    <w:rsid w:val="00E03DD7"/>
    <w:rsid w:val="00E04431"/>
    <w:rsid w:val="00E05DA8"/>
    <w:rsid w:val="00E06057"/>
    <w:rsid w:val="00E06583"/>
    <w:rsid w:val="00E06A65"/>
    <w:rsid w:val="00E06C5C"/>
    <w:rsid w:val="00E07F82"/>
    <w:rsid w:val="00E13173"/>
    <w:rsid w:val="00E13A4B"/>
    <w:rsid w:val="00E14D8F"/>
    <w:rsid w:val="00E1605C"/>
    <w:rsid w:val="00E22241"/>
    <w:rsid w:val="00E225A0"/>
    <w:rsid w:val="00E22FA7"/>
    <w:rsid w:val="00E234F0"/>
    <w:rsid w:val="00E30303"/>
    <w:rsid w:val="00E3133A"/>
    <w:rsid w:val="00E3502F"/>
    <w:rsid w:val="00E35413"/>
    <w:rsid w:val="00E3609D"/>
    <w:rsid w:val="00E378D7"/>
    <w:rsid w:val="00E37CF7"/>
    <w:rsid w:val="00E41386"/>
    <w:rsid w:val="00E420CA"/>
    <w:rsid w:val="00E4292E"/>
    <w:rsid w:val="00E51686"/>
    <w:rsid w:val="00E535D8"/>
    <w:rsid w:val="00E55517"/>
    <w:rsid w:val="00E601B7"/>
    <w:rsid w:val="00E603C3"/>
    <w:rsid w:val="00E60DFE"/>
    <w:rsid w:val="00E654E9"/>
    <w:rsid w:val="00E67A1B"/>
    <w:rsid w:val="00E67A30"/>
    <w:rsid w:val="00E70287"/>
    <w:rsid w:val="00E70F04"/>
    <w:rsid w:val="00E732C9"/>
    <w:rsid w:val="00E73731"/>
    <w:rsid w:val="00E73A49"/>
    <w:rsid w:val="00E73FA7"/>
    <w:rsid w:val="00E74F8D"/>
    <w:rsid w:val="00E756B3"/>
    <w:rsid w:val="00E75D22"/>
    <w:rsid w:val="00E75FF2"/>
    <w:rsid w:val="00E77F70"/>
    <w:rsid w:val="00E8040C"/>
    <w:rsid w:val="00E81260"/>
    <w:rsid w:val="00E822C0"/>
    <w:rsid w:val="00E856C6"/>
    <w:rsid w:val="00E90342"/>
    <w:rsid w:val="00E9131D"/>
    <w:rsid w:val="00E9164B"/>
    <w:rsid w:val="00E91B7A"/>
    <w:rsid w:val="00E970E7"/>
    <w:rsid w:val="00EA0289"/>
    <w:rsid w:val="00EA198A"/>
    <w:rsid w:val="00EA341D"/>
    <w:rsid w:val="00EA58F1"/>
    <w:rsid w:val="00EB03B0"/>
    <w:rsid w:val="00EB5FD1"/>
    <w:rsid w:val="00EB620D"/>
    <w:rsid w:val="00EB77B3"/>
    <w:rsid w:val="00EC031C"/>
    <w:rsid w:val="00EC0A27"/>
    <w:rsid w:val="00EC57C9"/>
    <w:rsid w:val="00EC6FC3"/>
    <w:rsid w:val="00EC6FC5"/>
    <w:rsid w:val="00ED0B8D"/>
    <w:rsid w:val="00ED2796"/>
    <w:rsid w:val="00ED377B"/>
    <w:rsid w:val="00ED3B3B"/>
    <w:rsid w:val="00ED4A6B"/>
    <w:rsid w:val="00ED5577"/>
    <w:rsid w:val="00ED5D48"/>
    <w:rsid w:val="00ED5E7E"/>
    <w:rsid w:val="00ED71D0"/>
    <w:rsid w:val="00ED730F"/>
    <w:rsid w:val="00ED7DBD"/>
    <w:rsid w:val="00EE097F"/>
    <w:rsid w:val="00EE2AD7"/>
    <w:rsid w:val="00EE3125"/>
    <w:rsid w:val="00EE31A1"/>
    <w:rsid w:val="00EE70A2"/>
    <w:rsid w:val="00EF11D4"/>
    <w:rsid w:val="00EF21CC"/>
    <w:rsid w:val="00EF3F46"/>
    <w:rsid w:val="00EF4165"/>
    <w:rsid w:val="00EF4825"/>
    <w:rsid w:val="00EF4A2C"/>
    <w:rsid w:val="00EF6FCD"/>
    <w:rsid w:val="00F0045C"/>
    <w:rsid w:val="00F00A0C"/>
    <w:rsid w:val="00F01C41"/>
    <w:rsid w:val="00F01EF3"/>
    <w:rsid w:val="00F02519"/>
    <w:rsid w:val="00F04F89"/>
    <w:rsid w:val="00F0662B"/>
    <w:rsid w:val="00F103E9"/>
    <w:rsid w:val="00F1127C"/>
    <w:rsid w:val="00F122B5"/>
    <w:rsid w:val="00F1276B"/>
    <w:rsid w:val="00F12D8F"/>
    <w:rsid w:val="00F15F9B"/>
    <w:rsid w:val="00F16EC1"/>
    <w:rsid w:val="00F201DE"/>
    <w:rsid w:val="00F2358E"/>
    <w:rsid w:val="00F23C9D"/>
    <w:rsid w:val="00F25576"/>
    <w:rsid w:val="00F268BA"/>
    <w:rsid w:val="00F27882"/>
    <w:rsid w:val="00F27FF4"/>
    <w:rsid w:val="00F30A54"/>
    <w:rsid w:val="00F312B9"/>
    <w:rsid w:val="00F314D3"/>
    <w:rsid w:val="00F31849"/>
    <w:rsid w:val="00F31C57"/>
    <w:rsid w:val="00F34683"/>
    <w:rsid w:val="00F34C25"/>
    <w:rsid w:val="00F35A90"/>
    <w:rsid w:val="00F35BBA"/>
    <w:rsid w:val="00F362F0"/>
    <w:rsid w:val="00F36F67"/>
    <w:rsid w:val="00F37977"/>
    <w:rsid w:val="00F37BFD"/>
    <w:rsid w:val="00F41AD3"/>
    <w:rsid w:val="00F41BDA"/>
    <w:rsid w:val="00F41FE6"/>
    <w:rsid w:val="00F447CE"/>
    <w:rsid w:val="00F4722D"/>
    <w:rsid w:val="00F47F83"/>
    <w:rsid w:val="00F502AD"/>
    <w:rsid w:val="00F50568"/>
    <w:rsid w:val="00F52110"/>
    <w:rsid w:val="00F543B0"/>
    <w:rsid w:val="00F54D72"/>
    <w:rsid w:val="00F54DE6"/>
    <w:rsid w:val="00F56553"/>
    <w:rsid w:val="00F5765A"/>
    <w:rsid w:val="00F57CAA"/>
    <w:rsid w:val="00F60629"/>
    <w:rsid w:val="00F60674"/>
    <w:rsid w:val="00F60F06"/>
    <w:rsid w:val="00F613FC"/>
    <w:rsid w:val="00F61D24"/>
    <w:rsid w:val="00F61FE1"/>
    <w:rsid w:val="00F661DA"/>
    <w:rsid w:val="00F66FB6"/>
    <w:rsid w:val="00F70110"/>
    <w:rsid w:val="00F720E0"/>
    <w:rsid w:val="00F7233C"/>
    <w:rsid w:val="00F724A2"/>
    <w:rsid w:val="00F72A55"/>
    <w:rsid w:val="00F72C4D"/>
    <w:rsid w:val="00F72D22"/>
    <w:rsid w:val="00F72FDA"/>
    <w:rsid w:val="00F738A6"/>
    <w:rsid w:val="00F739EC"/>
    <w:rsid w:val="00F76298"/>
    <w:rsid w:val="00F7694C"/>
    <w:rsid w:val="00F80C70"/>
    <w:rsid w:val="00F80D5D"/>
    <w:rsid w:val="00F83A2D"/>
    <w:rsid w:val="00F83D4F"/>
    <w:rsid w:val="00F8651B"/>
    <w:rsid w:val="00F87DF9"/>
    <w:rsid w:val="00F93292"/>
    <w:rsid w:val="00F934B2"/>
    <w:rsid w:val="00F95A0F"/>
    <w:rsid w:val="00F9673B"/>
    <w:rsid w:val="00F97F0D"/>
    <w:rsid w:val="00FA10FA"/>
    <w:rsid w:val="00FA460F"/>
    <w:rsid w:val="00FA5D52"/>
    <w:rsid w:val="00FA6A0E"/>
    <w:rsid w:val="00FA790F"/>
    <w:rsid w:val="00FA7F92"/>
    <w:rsid w:val="00FB021D"/>
    <w:rsid w:val="00FB172D"/>
    <w:rsid w:val="00FB1E25"/>
    <w:rsid w:val="00FB41EA"/>
    <w:rsid w:val="00FB521C"/>
    <w:rsid w:val="00FB5396"/>
    <w:rsid w:val="00FB6146"/>
    <w:rsid w:val="00FB723B"/>
    <w:rsid w:val="00FC686B"/>
    <w:rsid w:val="00FD2BF5"/>
    <w:rsid w:val="00FD4611"/>
    <w:rsid w:val="00FD47FB"/>
    <w:rsid w:val="00FD55BA"/>
    <w:rsid w:val="00FD740C"/>
    <w:rsid w:val="00FE15B4"/>
    <w:rsid w:val="00FE29DE"/>
    <w:rsid w:val="00FE2D05"/>
    <w:rsid w:val="00FE4606"/>
    <w:rsid w:val="00FE4CB8"/>
    <w:rsid w:val="00FE6E50"/>
    <w:rsid w:val="00FE749B"/>
    <w:rsid w:val="00FF199A"/>
    <w:rsid w:val="00FF3220"/>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F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30"/>
    <w:pPr>
      <w:widowControl w:val="0"/>
      <w:autoSpaceDE w:val="0"/>
      <w:autoSpaceDN w:val="0"/>
      <w:adjustRightInd w:val="0"/>
    </w:pPr>
    <w:rPr>
      <w:sz w:val="22"/>
      <w:szCs w:val="24"/>
      <w:lang w:eastAsia="en-US"/>
    </w:rPr>
  </w:style>
  <w:style w:type="paragraph" w:styleId="Heading1">
    <w:name w:val="heading 1"/>
    <w:basedOn w:val="MockHeading1"/>
    <w:next w:val="BodyTextFirstIndent"/>
    <w:link w:val="Heading1Char"/>
    <w:autoRedefine/>
    <w:qFormat/>
    <w:rsid w:val="00072448"/>
    <w:pPr>
      <w:numPr>
        <w:numId w:val="12"/>
      </w:numPr>
      <w:spacing w:line="276" w:lineRule="auto"/>
      <w:jc w:val="left"/>
      <w:outlineLvl w:val="0"/>
    </w:pPr>
  </w:style>
  <w:style w:type="paragraph" w:styleId="Heading2">
    <w:name w:val="heading 2"/>
    <w:basedOn w:val="Heading4"/>
    <w:next w:val="BodyTextFirstIndent"/>
    <w:link w:val="Heading2Char"/>
    <w:qFormat/>
    <w:rsid w:val="00072448"/>
    <w:pPr>
      <w:spacing w:line="276" w:lineRule="auto"/>
      <w:outlineLvl w:val="1"/>
    </w:pPr>
    <w:rPr>
      <w:rFonts w:cs="Times New Roman"/>
      <w:szCs w:val="22"/>
    </w:rPr>
  </w:style>
  <w:style w:type="paragraph" w:styleId="Heading3">
    <w:name w:val="heading 3"/>
    <w:basedOn w:val="BodyTextFirstIndent"/>
    <w:next w:val="BodyTextFirstIndent"/>
    <w:link w:val="Heading3Char"/>
    <w:qFormat/>
    <w:rsid w:val="00072448"/>
    <w:pPr>
      <w:spacing w:line="276" w:lineRule="auto"/>
      <w:outlineLvl w:val="2"/>
    </w:pPr>
    <w:rPr>
      <w:szCs w:val="22"/>
      <w:u w:val="single"/>
    </w:rPr>
  </w:style>
  <w:style w:type="paragraph" w:styleId="Heading4">
    <w:name w:val="heading 4"/>
    <w:basedOn w:val="Normal"/>
    <w:next w:val="BodyTextFirstIndent"/>
    <w:link w:val="Heading4Char"/>
    <w:qFormat/>
    <w:rsid w:val="001E69C9"/>
    <w:pPr>
      <w:keepNext/>
      <w:widowControl/>
      <w:numPr>
        <w:ilvl w:val="3"/>
        <w:numId w:val="10"/>
      </w:numPr>
      <w:autoSpaceDE/>
      <w:autoSpaceDN/>
      <w:adjustRightInd/>
      <w:spacing w:before="240" w:after="240"/>
      <w:outlineLvl w:val="3"/>
    </w:pPr>
    <w:rPr>
      <w:rFonts w:cs="Arial"/>
      <w:szCs w:val="32"/>
      <w:u w:val="single"/>
    </w:rPr>
  </w:style>
  <w:style w:type="paragraph" w:styleId="Heading5">
    <w:name w:val="heading 5"/>
    <w:basedOn w:val="Normal"/>
    <w:next w:val="Normal"/>
    <w:link w:val="Heading5Char"/>
    <w:qFormat/>
    <w:rsid w:val="00C40FBC"/>
    <w:pPr>
      <w:widowControl/>
      <w:numPr>
        <w:ilvl w:val="4"/>
        <w:numId w:val="10"/>
      </w:numPr>
      <w:autoSpaceDE/>
      <w:autoSpaceDN/>
      <w:adjustRightInd/>
      <w:spacing w:before="240" w:after="240"/>
      <w:outlineLvl w:val="4"/>
    </w:pPr>
    <w:rPr>
      <w:u w:val="single"/>
    </w:rPr>
  </w:style>
  <w:style w:type="paragraph" w:styleId="Heading6">
    <w:name w:val="heading 6"/>
    <w:basedOn w:val="Normal"/>
    <w:next w:val="Normal"/>
    <w:link w:val="Heading6Char"/>
    <w:autoRedefine/>
    <w:qFormat/>
    <w:rsid w:val="00812AE7"/>
    <w:pPr>
      <w:widowControl/>
      <w:numPr>
        <w:ilvl w:val="5"/>
        <w:numId w:val="10"/>
      </w:numPr>
      <w:autoSpaceDE/>
      <w:autoSpaceDN/>
      <w:adjustRightInd/>
      <w:spacing w:before="240" w:after="240"/>
      <w:outlineLvl w:val="5"/>
    </w:pPr>
    <w:rPr>
      <w:bCs/>
      <w:szCs w:val="28"/>
      <w:u w:val="single"/>
    </w:rPr>
  </w:style>
  <w:style w:type="paragraph" w:styleId="Heading7">
    <w:name w:val="heading 7"/>
    <w:basedOn w:val="Normal"/>
    <w:next w:val="Normal"/>
    <w:link w:val="Heading7Char"/>
    <w:qFormat/>
    <w:rsid w:val="00452BB4"/>
    <w:pPr>
      <w:keepNext/>
      <w:widowControl/>
      <w:numPr>
        <w:ilvl w:val="6"/>
        <w:numId w:val="10"/>
      </w:numPr>
      <w:autoSpaceDE/>
      <w:autoSpaceDN/>
      <w:adjustRightInd/>
      <w:spacing w:before="240" w:after="240"/>
      <w:ind w:left="0" w:firstLine="0"/>
      <w:jc w:val="center"/>
      <w:outlineLvl w:val="6"/>
    </w:pPr>
    <w:rPr>
      <w:rFonts w:ascii="Arial" w:hAnsi="Arial" w:cs="Arial"/>
      <w:b/>
      <w:bCs/>
      <w:sz w:val="26"/>
    </w:rPr>
  </w:style>
  <w:style w:type="paragraph" w:styleId="Heading8">
    <w:name w:val="heading 8"/>
    <w:basedOn w:val="Normal"/>
    <w:next w:val="Normal"/>
    <w:link w:val="Heading8Char"/>
    <w:qFormat/>
    <w:rsid w:val="00693538"/>
    <w:pPr>
      <w:widowControl/>
      <w:numPr>
        <w:ilvl w:val="7"/>
        <w:numId w:val="10"/>
      </w:numPr>
      <w:autoSpaceDE/>
      <w:autoSpaceDN/>
      <w:adjustRightInd/>
      <w:spacing w:before="240" w:after="240"/>
      <w:ind w:left="0" w:firstLine="0"/>
      <w:outlineLvl w:val="7"/>
    </w:pPr>
    <w:rPr>
      <w:rFonts w:ascii="Arial" w:hAnsi="Arial"/>
      <w:b/>
      <w:sz w:val="26"/>
    </w:rPr>
  </w:style>
  <w:style w:type="paragraph" w:styleId="Heading9">
    <w:name w:val="heading 9"/>
    <w:basedOn w:val="Normal"/>
    <w:next w:val="Normal"/>
    <w:link w:val="Heading9Char"/>
    <w:qFormat/>
    <w:rsid w:val="00FC686B"/>
    <w:pPr>
      <w:widowControl/>
      <w:numPr>
        <w:ilvl w:val="8"/>
        <w:numId w:val="10"/>
      </w:numPr>
      <w:autoSpaceDE/>
      <w:autoSpaceDN/>
      <w:adjustRightInd/>
      <w:spacing w:before="240" w:after="24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liases w:val="Survey Bullet"/>
    <w:autoRedefine/>
    <w:qFormat/>
    <w:rsid w:val="00773B78"/>
    <w:pPr>
      <w:numPr>
        <w:numId w:val="2"/>
      </w:numPr>
      <w:spacing w:after="120"/>
      <w:ind w:left="1440" w:hanging="720"/>
    </w:pPr>
    <w:rPr>
      <w:sz w:val="22"/>
      <w:szCs w:val="18"/>
      <w:lang w:eastAsia="en-US"/>
    </w:rPr>
  </w:style>
  <w:style w:type="paragraph" w:styleId="BodyTextFirstIndent">
    <w:name w:val="Body Text First Indent"/>
    <w:basedOn w:val="BodyText"/>
    <w:link w:val="BodyTextFirstIndentChar"/>
    <w:qFormat/>
    <w:rsid w:val="00CF12AE"/>
    <w:pPr>
      <w:widowControl/>
      <w:autoSpaceDE/>
      <w:autoSpaceDN/>
      <w:adjustRightInd/>
      <w:spacing w:after="240" w:afterAutospacing="0"/>
      <w:ind w:firstLine="720"/>
    </w:pPr>
  </w:style>
  <w:style w:type="paragraph" w:styleId="BodyText">
    <w:name w:val="Body Text"/>
    <w:basedOn w:val="Normal"/>
    <w:link w:val="BodyTextChar"/>
    <w:autoRedefine/>
    <w:rsid w:val="00D022A7"/>
    <w:pPr>
      <w:spacing w:before="100" w:beforeAutospacing="1" w:after="100" w:afterAutospacing="1"/>
    </w:pPr>
    <w:rPr>
      <w:szCs w:val="18"/>
    </w:rPr>
  </w:style>
  <w:style w:type="character" w:styleId="Hyperlink">
    <w:name w:val="Hyperlink"/>
    <w:basedOn w:val="DefaultParagraphFont"/>
    <w:uiPriority w:val="99"/>
    <w:rsid w:val="00991855"/>
    <w:rPr>
      <w:color w:val="0000FF"/>
      <w:u w:val="single"/>
    </w:rPr>
  </w:style>
  <w:style w:type="paragraph" w:styleId="TOC1">
    <w:name w:val="toc 1"/>
    <w:basedOn w:val="Normal"/>
    <w:next w:val="Normal"/>
    <w:autoRedefine/>
    <w:uiPriority w:val="39"/>
    <w:rsid w:val="00452BB4"/>
    <w:pPr>
      <w:tabs>
        <w:tab w:val="right" w:leader="dot" w:pos="9350"/>
      </w:tabs>
      <w:spacing w:before="120" w:after="120"/>
    </w:pPr>
    <w:rPr>
      <w:b/>
      <w:bCs/>
      <w:caps/>
      <w:noProof/>
      <w:sz w:val="28"/>
    </w:rPr>
  </w:style>
  <w:style w:type="paragraph" w:styleId="TOC2">
    <w:name w:val="toc 2"/>
    <w:basedOn w:val="Normal"/>
    <w:next w:val="Normal"/>
    <w:autoRedefine/>
    <w:uiPriority w:val="39"/>
    <w:rsid w:val="005F309C"/>
    <w:pPr>
      <w:tabs>
        <w:tab w:val="left" w:pos="960"/>
        <w:tab w:val="right" w:leader="dot" w:pos="9350"/>
      </w:tabs>
      <w:ind w:left="990" w:right="1440" w:hanging="540"/>
    </w:pPr>
    <w:rPr>
      <w:rFonts w:cs="Arial"/>
      <w:smallCaps/>
      <w:noProof/>
    </w:rPr>
  </w:style>
  <w:style w:type="paragraph" w:styleId="TOC3">
    <w:name w:val="toc 3"/>
    <w:basedOn w:val="Normal"/>
    <w:next w:val="Normal"/>
    <w:autoRedefine/>
    <w:uiPriority w:val="39"/>
    <w:rsid w:val="00991855"/>
    <w:pPr>
      <w:ind w:left="480"/>
    </w:pPr>
    <w:rPr>
      <w:i/>
      <w:iCs/>
    </w:rPr>
  </w:style>
  <w:style w:type="paragraph" w:styleId="Caption">
    <w:name w:val="caption"/>
    <w:next w:val="Normal"/>
    <w:uiPriority w:val="35"/>
    <w:unhideWhenUsed/>
    <w:qFormat/>
    <w:rsid w:val="00812AE7"/>
    <w:pPr>
      <w:jc w:val="center"/>
    </w:pPr>
    <w:rPr>
      <w:b/>
      <w:bCs/>
      <w:sz w:val="22"/>
      <w:szCs w:val="18"/>
      <w:lang w:eastAsia="en-US"/>
    </w:rPr>
  </w:style>
  <w:style w:type="paragraph" w:styleId="FootnoteText">
    <w:name w:val="footnote text"/>
    <w:basedOn w:val="Normal"/>
    <w:link w:val="FootnoteTextChar"/>
    <w:uiPriority w:val="99"/>
    <w:rsid w:val="00991855"/>
    <w:pPr>
      <w:ind w:left="360" w:hanging="360"/>
    </w:pPr>
    <w:rPr>
      <w:sz w:val="20"/>
      <w:szCs w:val="20"/>
    </w:rPr>
  </w:style>
  <w:style w:type="character" w:styleId="PageNumber">
    <w:name w:val="page number"/>
    <w:basedOn w:val="DefaultParagraphFont"/>
    <w:rsid w:val="00991855"/>
    <w:rPr>
      <w:rFonts w:ascii="Times New Roman" w:hAnsi="Times New Roman"/>
      <w:sz w:val="22"/>
    </w:rPr>
  </w:style>
  <w:style w:type="paragraph" w:styleId="Footer">
    <w:name w:val="footer"/>
    <w:basedOn w:val="Normal"/>
    <w:link w:val="FooterChar"/>
    <w:uiPriority w:val="99"/>
    <w:rsid w:val="00991855"/>
    <w:pPr>
      <w:tabs>
        <w:tab w:val="center" w:pos="4320"/>
        <w:tab w:val="right" w:pos="8640"/>
      </w:tabs>
    </w:pPr>
    <w:rPr>
      <w:rFonts w:ascii="Arial" w:hAnsi="Arial"/>
      <w:sz w:val="20"/>
    </w:rPr>
  </w:style>
  <w:style w:type="paragraph" w:styleId="Header">
    <w:name w:val="header"/>
    <w:basedOn w:val="Normal"/>
    <w:link w:val="HeaderChar"/>
    <w:uiPriority w:val="99"/>
    <w:rsid w:val="00991855"/>
    <w:pPr>
      <w:jc w:val="right"/>
    </w:pPr>
    <w:rPr>
      <w:rFonts w:ascii="Arial" w:hAnsi="Arial"/>
      <w:smallCaps/>
      <w:sz w:val="20"/>
      <w:szCs w:val="20"/>
    </w:rPr>
  </w:style>
  <w:style w:type="paragraph" w:styleId="CommentText">
    <w:name w:val="annotation text"/>
    <w:basedOn w:val="Normal"/>
    <w:link w:val="CommentTextChar"/>
    <w:uiPriority w:val="99"/>
    <w:rsid w:val="00991855"/>
    <w:rPr>
      <w:sz w:val="20"/>
      <w:szCs w:val="20"/>
    </w:rPr>
  </w:style>
  <w:style w:type="paragraph" w:customStyle="1" w:styleId="TableText">
    <w:name w:val="Table Text"/>
    <w:basedOn w:val="FootnoteText"/>
    <w:rsid w:val="00991855"/>
    <w:pPr>
      <w:ind w:left="0" w:firstLine="0"/>
    </w:pPr>
  </w:style>
  <w:style w:type="paragraph" w:styleId="TOC4">
    <w:name w:val="toc 4"/>
    <w:basedOn w:val="Normal"/>
    <w:next w:val="Normal"/>
    <w:autoRedefine/>
    <w:uiPriority w:val="39"/>
    <w:rsid w:val="00AB09F3"/>
    <w:pPr>
      <w:ind w:left="720"/>
    </w:pPr>
    <w:rPr>
      <w:i/>
      <w:szCs w:val="21"/>
    </w:rPr>
  </w:style>
  <w:style w:type="paragraph" w:styleId="Title">
    <w:name w:val="Title"/>
    <w:basedOn w:val="MockHeading1"/>
    <w:link w:val="TitleChar"/>
    <w:qFormat/>
    <w:rsid w:val="007F18F7"/>
    <w:pPr>
      <w:spacing w:line="276" w:lineRule="auto"/>
    </w:pPr>
  </w:style>
  <w:style w:type="paragraph" w:styleId="TOC5">
    <w:name w:val="toc 5"/>
    <w:basedOn w:val="Normal"/>
    <w:next w:val="Normal"/>
    <w:autoRedefine/>
    <w:uiPriority w:val="39"/>
    <w:rsid w:val="00991855"/>
    <w:pPr>
      <w:ind w:left="960"/>
    </w:pPr>
    <w:rPr>
      <w:szCs w:val="21"/>
    </w:rPr>
  </w:style>
  <w:style w:type="paragraph" w:styleId="TOC6">
    <w:name w:val="toc 6"/>
    <w:basedOn w:val="Normal"/>
    <w:next w:val="Normal"/>
    <w:autoRedefine/>
    <w:uiPriority w:val="39"/>
    <w:rsid w:val="00991855"/>
    <w:pPr>
      <w:ind w:left="1200"/>
    </w:pPr>
    <w:rPr>
      <w:szCs w:val="21"/>
    </w:rPr>
  </w:style>
  <w:style w:type="paragraph" w:styleId="TOC7">
    <w:name w:val="toc 7"/>
    <w:basedOn w:val="Normal"/>
    <w:next w:val="Normal"/>
    <w:autoRedefine/>
    <w:uiPriority w:val="39"/>
    <w:rsid w:val="00991855"/>
    <w:pPr>
      <w:ind w:left="1440"/>
    </w:pPr>
    <w:rPr>
      <w:szCs w:val="21"/>
    </w:rPr>
  </w:style>
  <w:style w:type="paragraph" w:styleId="TOC8">
    <w:name w:val="toc 8"/>
    <w:basedOn w:val="Normal"/>
    <w:next w:val="Normal"/>
    <w:autoRedefine/>
    <w:uiPriority w:val="39"/>
    <w:rsid w:val="00991855"/>
    <w:pPr>
      <w:ind w:left="1680"/>
    </w:pPr>
    <w:rPr>
      <w:szCs w:val="21"/>
    </w:rPr>
  </w:style>
  <w:style w:type="paragraph" w:styleId="TOC9">
    <w:name w:val="toc 9"/>
    <w:basedOn w:val="Normal"/>
    <w:next w:val="Normal"/>
    <w:autoRedefine/>
    <w:uiPriority w:val="39"/>
    <w:rsid w:val="00991855"/>
    <w:pPr>
      <w:ind w:left="1920"/>
    </w:pPr>
    <w:rPr>
      <w:szCs w:val="21"/>
    </w:rPr>
  </w:style>
  <w:style w:type="paragraph" w:customStyle="1" w:styleId="CP">
    <w:name w:val="CP"/>
    <w:rsid w:val="00991855"/>
    <w:pPr>
      <w:jc w:val="right"/>
    </w:pPr>
    <w:rPr>
      <w:rFonts w:ascii="Arial" w:hAnsi="Arial"/>
      <w:b/>
      <w:smallCaps/>
      <w:sz w:val="24"/>
    </w:rPr>
  </w:style>
  <w:style w:type="paragraph" w:styleId="TableofFigures">
    <w:name w:val="table of figures"/>
    <w:basedOn w:val="Normal"/>
    <w:next w:val="Normal"/>
    <w:semiHidden/>
    <w:rsid w:val="00991855"/>
    <w:pPr>
      <w:ind w:left="480" w:hanging="480"/>
    </w:pPr>
    <w:rPr>
      <w:b/>
      <w:bCs/>
    </w:rPr>
  </w:style>
  <w:style w:type="paragraph" w:styleId="BalloonText">
    <w:name w:val="Balloon Text"/>
    <w:basedOn w:val="Normal"/>
    <w:link w:val="BalloonTextChar"/>
    <w:rsid w:val="00991855"/>
    <w:rPr>
      <w:rFonts w:ascii="Tahoma" w:hAnsi="Tahoma" w:cs="Tahoma"/>
      <w:sz w:val="16"/>
      <w:szCs w:val="16"/>
    </w:rPr>
  </w:style>
  <w:style w:type="character" w:styleId="CommentReference">
    <w:name w:val="annotation reference"/>
    <w:basedOn w:val="DefaultParagraphFont"/>
    <w:rsid w:val="00991855"/>
    <w:rPr>
      <w:sz w:val="16"/>
      <w:szCs w:val="16"/>
    </w:rPr>
  </w:style>
  <w:style w:type="paragraph" w:styleId="CommentSubject">
    <w:name w:val="annotation subject"/>
    <w:basedOn w:val="CommentText"/>
    <w:next w:val="CommentText"/>
    <w:link w:val="CommentSubjectChar"/>
    <w:semiHidden/>
    <w:rsid w:val="00991855"/>
    <w:pPr>
      <w:autoSpaceDE/>
      <w:autoSpaceDN/>
      <w:adjustRightInd/>
    </w:pPr>
    <w:rPr>
      <w:b/>
      <w:bCs/>
    </w:rPr>
  </w:style>
  <w:style w:type="character" w:styleId="FootnoteReference">
    <w:name w:val="footnote reference"/>
    <w:basedOn w:val="DefaultParagraphFont"/>
    <w:uiPriority w:val="99"/>
    <w:rsid w:val="00991855"/>
    <w:rPr>
      <w:vertAlign w:val="superscript"/>
    </w:rPr>
  </w:style>
  <w:style w:type="paragraph" w:styleId="BodyTextIndent2">
    <w:name w:val="Body Text Indent 2"/>
    <w:basedOn w:val="Normal"/>
    <w:rsid w:val="00547138"/>
    <w:pPr>
      <w:spacing w:after="120" w:line="480" w:lineRule="auto"/>
      <w:ind w:left="360"/>
    </w:pPr>
  </w:style>
  <w:style w:type="paragraph" w:styleId="ListBullet2">
    <w:name w:val="List Bullet 2"/>
    <w:basedOn w:val="Normal"/>
    <w:qFormat/>
    <w:rsid w:val="006601A4"/>
    <w:pPr>
      <w:widowControl/>
      <w:numPr>
        <w:numId w:val="3"/>
      </w:numPr>
      <w:autoSpaceDE/>
      <w:autoSpaceDN/>
      <w:adjustRightInd/>
      <w:spacing w:after="120"/>
    </w:pPr>
  </w:style>
  <w:style w:type="paragraph" w:styleId="ListNumber">
    <w:name w:val="List Number"/>
    <w:basedOn w:val="Normal"/>
    <w:uiPriority w:val="99"/>
    <w:rsid w:val="00BC08DD"/>
    <w:pPr>
      <w:numPr>
        <w:numId w:val="1"/>
      </w:numPr>
      <w:spacing w:after="240"/>
    </w:pPr>
  </w:style>
  <w:style w:type="paragraph" w:styleId="ListContinue">
    <w:name w:val="List Continue"/>
    <w:basedOn w:val="Normal"/>
    <w:rsid w:val="00991855"/>
    <w:pPr>
      <w:spacing w:before="100" w:beforeAutospacing="1" w:after="100" w:afterAutospacing="1"/>
      <w:ind w:left="1080"/>
    </w:pPr>
  </w:style>
  <w:style w:type="paragraph" w:styleId="BodyText2">
    <w:name w:val="Body Text 2"/>
    <w:basedOn w:val="Normal"/>
    <w:autoRedefine/>
    <w:rsid w:val="00445291"/>
    <w:pPr>
      <w:spacing w:after="240"/>
      <w:ind w:left="720" w:hanging="720"/>
    </w:pPr>
  </w:style>
  <w:style w:type="character" w:customStyle="1" w:styleId="Heading2Char">
    <w:name w:val="Heading 2 Char"/>
    <w:basedOn w:val="DefaultParagraphFont"/>
    <w:link w:val="Heading2"/>
    <w:rsid w:val="00072448"/>
    <w:rPr>
      <w:sz w:val="22"/>
      <w:szCs w:val="22"/>
      <w:u w:val="single"/>
      <w:lang w:eastAsia="en-US"/>
    </w:rPr>
  </w:style>
  <w:style w:type="table" w:styleId="TableGrid">
    <w:name w:val="Table Grid"/>
    <w:basedOn w:val="TableNormal"/>
    <w:uiPriority w:val="39"/>
    <w:rsid w:val="0061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55703"/>
    <w:rPr>
      <w:szCs w:val="22"/>
    </w:rPr>
  </w:style>
  <w:style w:type="character" w:customStyle="1" w:styleId="BodyTextChar">
    <w:name w:val="Body Text Char"/>
    <w:basedOn w:val="DefaultParagraphFont"/>
    <w:link w:val="BodyText"/>
    <w:rsid w:val="00D022A7"/>
    <w:rPr>
      <w:sz w:val="22"/>
      <w:szCs w:val="18"/>
      <w:lang w:val="en-US" w:eastAsia="en-US" w:bidi="ar-SA"/>
    </w:rPr>
  </w:style>
  <w:style w:type="character" w:customStyle="1" w:styleId="BodyTextFirstIndentChar">
    <w:name w:val="Body Text First Indent Char"/>
    <w:link w:val="BodyTextFirstIndent"/>
    <w:rsid w:val="00CF12AE"/>
    <w:rPr>
      <w:sz w:val="22"/>
      <w:szCs w:val="18"/>
      <w:lang w:eastAsia="en-US"/>
    </w:rPr>
  </w:style>
  <w:style w:type="character" w:styleId="FollowedHyperlink">
    <w:name w:val="FollowedHyperlink"/>
    <w:basedOn w:val="DefaultParagraphFont"/>
    <w:rsid w:val="0064438C"/>
    <w:rPr>
      <w:color w:val="800080"/>
      <w:u w:val="single"/>
    </w:rPr>
  </w:style>
  <w:style w:type="paragraph" w:customStyle="1" w:styleId="Sources">
    <w:name w:val="Sources"/>
    <w:basedOn w:val="Normal"/>
    <w:rsid w:val="00AB4661"/>
    <w:pPr>
      <w:spacing w:after="240"/>
      <w:ind w:left="720" w:hanging="720"/>
    </w:pPr>
  </w:style>
  <w:style w:type="character" w:customStyle="1" w:styleId="Heading1Char">
    <w:name w:val="Heading 1 Char"/>
    <w:basedOn w:val="DefaultParagraphFont"/>
    <w:link w:val="Heading1"/>
    <w:rsid w:val="00072448"/>
    <w:rPr>
      <w:rFonts w:ascii="Arial" w:hAnsi="Arial" w:cs="Arial"/>
      <w:b/>
      <w:sz w:val="26"/>
      <w:szCs w:val="26"/>
      <w:lang w:eastAsia="en-US"/>
    </w:rPr>
  </w:style>
  <w:style w:type="character" w:customStyle="1" w:styleId="Heading3Char">
    <w:name w:val="Heading 3 Char"/>
    <w:basedOn w:val="DefaultParagraphFont"/>
    <w:link w:val="Heading3"/>
    <w:rsid w:val="00072448"/>
    <w:rPr>
      <w:sz w:val="22"/>
      <w:szCs w:val="22"/>
      <w:u w:val="single"/>
      <w:lang w:eastAsia="en-US"/>
    </w:rPr>
  </w:style>
  <w:style w:type="character" w:customStyle="1" w:styleId="Heading4Char">
    <w:name w:val="Heading 4 Char"/>
    <w:basedOn w:val="DefaultParagraphFont"/>
    <w:link w:val="Heading4"/>
    <w:rsid w:val="001E69C9"/>
    <w:rPr>
      <w:rFonts w:cs="Arial"/>
      <w:sz w:val="22"/>
      <w:szCs w:val="32"/>
      <w:u w:val="single"/>
      <w:lang w:eastAsia="en-US"/>
    </w:rPr>
  </w:style>
  <w:style w:type="character" w:customStyle="1" w:styleId="Heading5Char">
    <w:name w:val="Heading 5 Char"/>
    <w:basedOn w:val="DefaultParagraphFont"/>
    <w:link w:val="Heading5"/>
    <w:rsid w:val="00C40FBC"/>
    <w:rPr>
      <w:sz w:val="22"/>
      <w:szCs w:val="24"/>
      <w:u w:val="single"/>
      <w:lang w:eastAsia="en-US"/>
    </w:rPr>
  </w:style>
  <w:style w:type="character" w:customStyle="1" w:styleId="Heading6Char">
    <w:name w:val="Heading 6 Char"/>
    <w:basedOn w:val="DefaultParagraphFont"/>
    <w:link w:val="Heading6"/>
    <w:rsid w:val="00812AE7"/>
    <w:rPr>
      <w:bCs/>
      <w:sz w:val="22"/>
      <w:szCs w:val="28"/>
      <w:u w:val="single"/>
      <w:lang w:eastAsia="en-US"/>
    </w:rPr>
  </w:style>
  <w:style w:type="character" w:customStyle="1" w:styleId="Heading7Char">
    <w:name w:val="Heading 7 Char"/>
    <w:basedOn w:val="DefaultParagraphFont"/>
    <w:link w:val="Heading7"/>
    <w:rsid w:val="00452BB4"/>
    <w:rPr>
      <w:rFonts w:ascii="Arial" w:hAnsi="Arial" w:cs="Arial"/>
      <w:b/>
      <w:bCs/>
      <w:sz w:val="26"/>
      <w:szCs w:val="24"/>
      <w:lang w:eastAsia="en-US"/>
    </w:rPr>
  </w:style>
  <w:style w:type="character" w:customStyle="1" w:styleId="Heading8Char">
    <w:name w:val="Heading 8 Char"/>
    <w:basedOn w:val="DefaultParagraphFont"/>
    <w:link w:val="Heading8"/>
    <w:rsid w:val="00693538"/>
    <w:rPr>
      <w:rFonts w:ascii="Arial" w:hAnsi="Arial"/>
      <w:b/>
      <w:sz w:val="26"/>
      <w:szCs w:val="24"/>
      <w:lang w:eastAsia="en-US"/>
    </w:rPr>
  </w:style>
  <w:style w:type="character" w:customStyle="1" w:styleId="Heading9Char">
    <w:name w:val="Heading 9 Char"/>
    <w:basedOn w:val="DefaultParagraphFont"/>
    <w:link w:val="Heading9"/>
    <w:rsid w:val="00FC686B"/>
    <w:rPr>
      <w:rFonts w:ascii="Arial" w:hAnsi="Arial"/>
      <w:b/>
      <w:sz w:val="24"/>
      <w:szCs w:val="24"/>
      <w:lang w:eastAsia="en-US"/>
    </w:rPr>
  </w:style>
  <w:style w:type="paragraph" w:styleId="ListParagraph">
    <w:name w:val="List Paragraph"/>
    <w:aliases w:val="List Paragraph Survey"/>
    <w:link w:val="ListParagraphChar"/>
    <w:uiPriority w:val="99"/>
    <w:qFormat/>
    <w:rsid w:val="00154430"/>
    <w:pPr>
      <w:ind w:left="720"/>
    </w:pPr>
    <w:rPr>
      <w:sz w:val="22"/>
      <w:szCs w:val="24"/>
      <w:lang w:eastAsia="en-US"/>
    </w:rPr>
  </w:style>
  <w:style w:type="paragraph" w:customStyle="1" w:styleId="ListLetter">
    <w:name w:val="List Letter"/>
    <w:qFormat/>
    <w:rsid w:val="006601A4"/>
    <w:pPr>
      <w:numPr>
        <w:numId w:val="4"/>
      </w:numPr>
      <w:spacing w:after="240"/>
    </w:pPr>
    <w:rPr>
      <w:sz w:val="22"/>
      <w:szCs w:val="18"/>
      <w:lang w:eastAsia="en-US"/>
    </w:rPr>
  </w:style>
  <w:style w:type="paragraph" w:customStyle="1" w:styleId="ListLetter2">
    <w:name w:val="List Letter 2"/>
    <w:qFormat/>
    <w:rsid w:val="006601A4"/>
    <w:pPr>
      <w:numPr>
        <w:ilvl w:val="1"/>
        <w:numId w:val="5"/>
      </w:numPr>
      <w:spacing w:after="240"/>
    </w:pPr>
    <w:rPr>
      <w:sz w:val="22"/>
      <w:szCs w:val="18"/>
      <w:lang w:eastAsia="en-US"/>
    </w:rPr>
  </w:style>
  <w:style w:type="paragraph" w:customStyle="1" w:styleId="Default">
    <w:name w:val="Default"/>
    <w:rsid w:val="006601A4"/>
    <w:pPr>
      <w:autoSpaceDE w:val="0"/>
      <w:autoSpaceDN w:val="0"/>
      <w:adjustRightInd w:val="0"/>
    </w:pPr>
    <w:rPr>
      <w:color w:val="000000"/>
      <w:sz w:val="24"/>
      <w:szCs w:val="24"/>
    </w:rPr>
  </w:style>
  <w:style w:type="table" w:styleId="MediumGrid1-Accent5">
    <w:name w:val="Medium Grid 1 Accent 5"/>
    <w:basedOn w:val="TableNormal"/>
    <w:uiPriority w:val="67"/>
    <w:rsid w:val="006601A4"/>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uiPriority w:val="99"/>
    <w:unhideWhenUsed/>
    <w:rsid w:val="00BC08DD"/>
    <w:pPr>
      <w:keepNext/>
      <w:numPr>
        <w:numId w:val="6"/>
      </w:numPr>
      <w:spacing w:after="240"/>
    </w:pPr>
    <w:rPr>
      <w:sz w:val="22"/>
      <w:szCs w:val="22"/>
      <w:lang w:eastAsia="en-US"/>
    </w:rPr>
  </w:style>
  <w:style w:type="paragraph" w:styleId="DocumentMap">
    <w:name w:val="Document Map"/>
    <w:basedOn w:val="Normal"/>
    <w:link w:val="DocumentMapChar"/>
    <w:rsid w:val="006601A4"/>
    <w:rPr>
      <w:rFonts w:ascii="Tahoma" w:hAnsi="Tahoma" w:cs="Tahoma"/>
      <w:sz w:val="16"/>
      <w:szCs w:val="16"/>
    </w:rPr>
  </w:style>
  <w:style w:type="character" w:customStyle="1" w:styleId="DocumentMapChar">
    <w:name w:val="Document Map Char"/>
    <w:basedOn w:val="DefaultParagraphFont"/>
    <w:link w:val="DocumentMap"/>
    <w:rsid w:val="006601A4"/>
    <w:rPr>
      <w:rFonts w:ascii="Tahoma" w:hAnsi="Tahoma" w:cs="Tahoma"/>
      <w:sz w:val="16"/>
      <w:szCs w:val="16"/>
      <w:lang w:eastAsia="en-US"/>
    </w:rPr>
  </w:style>
  <w:style w:type="character" w:customStyle="1" w:styleId="ListParagraphChar">
    <w:name w:val="List Paragraph Char"/>
    <w:aliases w:val="List Paragraph Survey Char"/>
    <w:basedOn w:val="DefaultParagraphFont"/>
    <w:link w:val="ListParagraph"/>
    <w:uiPriority w:val="99"/>
    <w:locked/>
    <w:rsid w:val="00154430"/>
    <w:rPr>
      <w:sz w:val="22"/>
      <w:szCs w:val="24"/>
      <w:lang w:eastAsia="en-US"/>
    </w:rPr>
  </w:style>
  <w:style w:type="character" w:customStyle="1" w:styleId="CommentTextChar">
    <w:name w:val="Comment Text Char"/>
    <w:basedOn w:val="DefaultParagraphFont"/>
    <w:link w:val="CommentText"/>
    <w:uiPriority w:val="99"/>
    <w:rsid w:val="00E03DD7"/>
    <w:rPr>
      <w:lang w:eastAsia="en-US"/>
    </w:rPr>
  </w:style>
  <w:style w:type="paragraph" w:styleId="Revision">
    <w:name w:val="Revision"/>
    <w:hidden/>
    <w:uiPriority w:val="99"/>
    <w:semiHidden/>
    <w:rsid w:val="00F34C25"/>
    <w:rPr>
      <w:sz w:val="22"/>
      <w:szCs w:val="24"/>
      <w:lang w:eastAsia="en-US"/>
    </w:rPr>
  </w:style>
  <w:style w:type="character" w:customStyle="1" w:styleId="HeaderChar">
    <w:name w:val="Header Char"/>
    <w:basedOn w:val="DefaultParagraphFont"/>
    <w:link w:val="Header"/>
    <w:uiPriority w:val="99"/>
    <w:rsid w:val="00841560"/>
    <w:rPr>
      <w:rFonts w:ascii="Arial" w:hAnsi="Arial"/>
      <w:smallCaps/>
      <w:lang w:eastAsia="en-US"/>
    </w:rPr>
  </w:style>
  <w:style w:type="paragraph" w:customStyle="1" w:styleId="coltext">
    <w:name w:val="col text"/>
    <w:aliases w:val="9 col text,ct"/>
    <w:basedOn w:val="Normal"/>
    <w:rsid w:val="00841560"/>
    <w:pPr>
      <w:widowControl/>
      <w:tabs>
        <w:tab w:val="left" w:pos="259"/>
      </w:tabs>
      <w:autoSpaceDE/>
      <w:autoSpaceDN/>
      <w:adjustRightInd/>
      <w:spacing w:before="80" w:after="80"/>
    </w:pPr>
    <w:rPr>
      <w:rFonts w:ascii="Book Antiqua" w:hAnsi="Book Antiqua"/>
      <w:sz w:val="24"/>
      <w:szCs w:val="20"/>
    </w:rPr>
  </w:style>
  <w:style w:type="character" w:customStyle="1" w:styleId="FooterChar">
    <w:name w:val="Footer Char"/>
    <w:basedOn w:val="DefaultParagraphFont"/>
    <w:link w:val="Footer"/>
    <w:uiPriority w:val="99"/>
    <w:rsid w:val="00EA198A"/>
    <w:rPr>
      <w:rFonts w:ascii="Arial" w:hAnsi="Arial"/>
      <w:szCs w:val="24"/>
      <w:lang w:eastAsia="en-US"/>
    </w:rPr>
  </w:style>
  <w:style w:type="character" w:customStyle="1" w:styleId="BalloonTextChar">
    <w:name w:val="Balloon Text Char"/>
    <w:basedOn w:val="DefaultParagraphFont"/>
    <w:link w:val="BalloonText"/>
    <w:rsid w:val="005F7F3A"/>
    <w:rPr>
      <w:rFonts w:ascii="Tahoma" w:hAnsi="Tahoma" w:cs="Tahoma"/>
      <w:sz w:val="16"/>
      <w:szCs w:val="16"/>
      <w:lang w:eastAsia="en-US"/>
    </w:rPr>
  </w:style>
  <w:style w:type="character" w:customStyle="1" w:styleId="CommentSubjectChar">
    <w:name w:val="Comment Subject Char"/>
    <w:basedOn w:val="CommentTextChar"/>
    <w:link w:val="CommentSubject"/>
    <w:semiHidden/>
    <w:rsid w:val="005F7F3A"/>
    <w:rPr>
      <w:b/>
      <w:bCs/>
      <w:lang w:eastAsia="en-US"/>
    </w:rPr>
  </w:style>
  <w:style w:type="character" w:customStyle="1" w:styleId="FootnoteTextChar">
    <w:name w:val="Footnote Text Char"/>
    <w:basedOn w:val="DefaultParagraphFont"/>
    <w:link w:val="FootnoteText"/>
    <w:uiPriority w:val="99"/>
    <w:rsid w:val="0064259F"/>
    <w:rPr>
      <w:lang w:eastAsia="en-US"/>
    </w:rPr>
  </w:style>
  <w:style w:type="character" w:customStyle="1" w:styleId="TitleChar">
    <w:name w:val="Title Char"/>
    <w:basedOn w:val="DefaultParagraphFont"/>
    <w:link w:val="Title"/>
    <w:rsid w:val="007F18F7"/>
    <w:rPr>
      <w:rFonts w:ascii="Arial" w:hAnsi="Arial" w:cs="Arial"/>
      <w:b/>
      <w:sz w:val="26"/>
      <w:szCs w:val="26"/>
      <w:lang w:eastAsia="en-US"/>
    </w:rPr>
  </w:style>
  <w:style w:type="paragraph" w:customStyle="1" w:styleId="RoundBullet">
    <w:name w:val="Round Bullet"/>
    <w:qFormat/>
    <w:rsid w:val="000956B3"/>
    <w:pPr>
      <w:numPr>
        <w:numId w:val="9"/>
      </w:numPr>
    </w:pPr>
    <w:rPr>
      <w:sz w:val="22"/>
      <w:szCs w:val="22"/>
      <w:lang w:eastAsia="en-US"/>
    </w:rPr>
  </w:style>
  <w:style w:type="paragraph" w:styleId="TOCHeading">
    <w:name w:val="TOC Heading"/>
    <w:basedOn w:val="Heading1"/>
    <w:next w:val="Normal"/>
    <w:uiPriority w:val="39"/>
    <w:unhideWhenUsed/>
    <w:qFormat/>
    <w:rsid w:val="00D57FE3"/>
    <w:pPr>
      <w:keepNext/>
      <w:keepLines/>
      <w:spacing w:after="0" w:line="259" w:lineRule="auto"/>
      <w:outlineLvl w:val="9"/>
    </w:pPr>
    <w:rPr>
      <w:rFonts w:asciiTheme="majorHAnsi" w:eastAsiaTheme="majorEastAsia" w:hAnsiTheme="majorHAnsi" w:cstheme="majorBidi"/>
      <w:b w:val="0"/>
      <w:bCs/>
      <w:color w:val="365F91" w:themeColor="accent1" w:themeShade="BF"/>
      <w:sz w:val="32"/>
      <w:szCs w:val="32"/>
    </w:rPr>
  </w:style>
  <w:style w:type="paragraph" w:customStyle="1" w:styleId="Sectiontitle-second">
    <w:name w:val="Section title-second"/>
    <w:basedOn w:val="Normal"/>
    <w:qFormat/>
    <w:rsid w:val="006F4A4B"/>
    <w:pPr>
      <w:widowControl/>
      <w:pBdr>
        <w:bottom w:val="single" w:sz="18" w:space="1" w:color="92D050"/>
      </w:pBdr>
      <w:autoSpaceDE/>
      <w:autoSpaceDN/>
      <w:adjustRightInd/>
      <w:spacing w:after="160" w:line="259" w:lineRule="auto"/>
      <w:ind w:right="-3125"/>
      <w:jc w:val="right"/>
    </w:pPr>
    <w:rPr>
      <w:rFonts w:ascii="Calibri" w:hAnsi="Calibri"/>
      <w:i/>
      <w:color w:val="000066"/>
      <w:sz w:val="48"/>
      <w:szCs w:val="48"/>
      <w:lang w:eastAsia="zh-TW"/>
    </w:rPr>
  </w:style>
  <w:style w:type="paragraph" w:customStyle="1" w:styleId="RecipientAddress">
    <w:name w:val="Recipient Address"/>
    <w:basedOn w:val="NoSpacing"/>
    <w:uiPriority w:val="3"/>
    <w:qFormat/>
    <w:rsid w:val="006F4A4B"/>
    <w:pPr>
      <w:widowControl/>
      <w:autoSpaceDE/>
      <w:autoSpaceDN/>
      <w:adjustRightInd/>
      <w:spacing w:after="480"/>
      <w:contextualSpacing/>
    </w:pPr>
    <w:rPr>
      <w:rFonts w:asciiTheme="minorHAnsi" w:eastAsiaTheme="minorHAnsi" w:hAnsiTheme="minorHAnsi" w:cstheme="minorHAnsi"/>
      <w:color w:val="000000" w:themeColor="text1"/>
      <w:sz w:val="20"/>
      <w:szCs w:val="20"/>
      <w:lang w:eastAsia="ja-JP" w:bidi="he-IL"/>
    </w:rPr>
  </w:style>
  <w:style w:type="paragraph" w:styleId="NoSpacing">
    <w:name w:val="No Spacing"/>
    <w:uiPriority w:val="1"/>
    <w:qFormat/>
    <w:rsid w:val="006F4A4B"/>
    <w:pPr>
      <w:widowControl w:val="0"/>
      <w:autoSpaceDE w:val="0"/>
      <w:autoSpaceDN w:val="0"/>
      <w:adjustRightInd w:val="0"/>
    </w:pPr>
    <w:rPr>
      <w:sz w:val="22"/>
      <w:szCs w:val="24"/>
      <w:lang w:eastAsia="en-US"/>
    </w:rPr>
  </w:style>
  <w:style w:type="paragraph" w:customStyle="1" w:styleId="SurveySection">
    <w:name w:val="Survey Section"/>
    <w:qFormat/>
    <w:rsid w:val="00760EA7"/>
    <w:pPr>
      <w:spacing w:before="240" w:after="240"/>
      <w:jc w:val="center"/>
    </w:pPr>
    <w:rPr>
      <w:b/>
      <w:sz w:val="22"/>
      <w:szCs w:val="24"/>
      <w:lang w:eastAsia="en-US"/>
    </w:rPr>
  </w:style>
  <w:style w:type="paragraph" w:customStyle="1" w:styleId="FormTitle">
    <w:name w:val="Form Title"/>
    <w:rsid w:val="002C0490"/>
    <w:pPr>
      <w:jc w:val="center"/>
    </w:pPr>
    <w:rPr>
      <w:rFonts w:ascii="Arial" w:hAnsi="Arial" w:cs="Arial"/>
      <w:b/>
      <w:sz w:val="26"/>
      <w:szCs w:val="26"/>
      <w:lang w:eastAsia="en-US"/>
    </w:rPr>
  </w:style>
  <w:style w:type="paragraph" w:customStyle="1" w:styleId="MockHeading1">
    <w:name w:val="Mock Heading 1"/>
    <w:qFormat/>
    <w:rsid w:val="00C40AF8"/>
    <w:pPr>
      <w:spacing w:before="240" w:after="240"/>
      <w:jc w:val="center"/>
    </w:pPr>
    <w:rPr>
      <w:rFonts w:ascii="Arial" w:hAnsi="Arial" w:cs="Arial"/>
      <w:b/>
      <w:sz w:val="26"/>
      <w:szCs w:val="26"/>
      <w:lang w:eastAsia="en-US"/>
    </w:rPr>
  </w:style>
  <w:style w:type="paragraph" w:customStyle="1" w:styleId="Interview1">
    <w:name w:val="Interview 1"/>
    <w:qFormat/>
    <w:rsid w:val="002E33E0"/>
    <w:pPr>
      <w:numPr>
        <w:ilvl w:val="1"/>
        <w:numId w:val="7"/>
      </w:numPr>
      <w:spacing w:after="240"/>
      <w:ind w:left="634"/>
    </w:pPr>
    <w:rPr>
      <w:bCs/>
      <w:sz w:val="22"/>
      <w:szCs w:val="24"/>
      <w:u w:val="single"/>
      <w:lang w:eastAsia="en-US"/>
    </w:rPr>
  </w:style>
  <w:style w:type="paragraph" w:customStyle="1" w:styleId="Worksheet">
    <w:name w:val="Worksheet"/>
    <w:qFormat/>
    <w:rsid w:val="008A1D29"/>
    <w:rPr>
      <w:rFonts w:ascii="Shruti" w:hAnsi="Shruti" w:cs="Arial"/>
      <w:bCs/>
      <w:sz w:val="16"/>
      <w:szCs w:val="26"/>
      <w:lang w:eastAsia="en-US"/>
    </w:rPr>
  </w:style>
  <w:style w:type="paragraph" w:customStyle="1" w:styleId="WorksheetNumbered">
    <w:name w:val="Worksheet Numbered"/>
    <w:qFormat/>
    <w:rsid w:val="00453961"/>
    <w:pPr>
      <w:numPr>
        <w:numId w:val="11"/>
      </w:numPr>
    </w:pPr>
    <w:rPr>
      <w:rFonts w:ascii="Shruti" w:hAnsi="Shruti" w:cs="Arial"/>
      <w:b/>
      <w:bCs/>
      <w:sz w:val="16"/>
      <w:szCs w:val="26"/>
      <w:lang w:eastAsia="en-US"/>
    </w:rPr>
  </w:style>
  <w:style w:type="paragraph" w:customStyle="1" w:styleId="WorksheetLettered113">
    <w:name w:val="Worksheet Lettered + 1.13"/>
    <w:qFormat/>
    <w:rsid w:val="00453961"/>
    <w:pPr>
      <w:numPr>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contextualSpacing/>
    </w:pPr>
    <w:rPr>
      <w:rFonts w:ascii="Shruti" w:hAnsi="Shruti" w:cs="Shruti"/>
      <w:sz w:val="16"/>
      <w:szCs w:val="16"/>
      <w:lang w:eastAsia="en-US"/>
    </w:rPr>
  </w:style>
  <w:style w:type="paragraph" w:customStyle="1" w:styleId="Worksheet113">
    <w:name w:val="Worksheet + 1.13"/>
    <w:basedOn w:val="Normal"/>
    <w:qFormat/>
    <w:rsid w:val="004539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Pr>
      <w:rFonts w:ascii="Shruti" w:hAnsi="Shruti" w:cs="Shruti"/>
      <w:sz w:val="16"/>
      <w:szCs w:val="16"/>
    </w:rPr>
  </w:style>
  <w:style w:type="paragraph" w:customStyle="1" w:styleId="ListNumberSurvey">
    <w:name w:val="List Number Survey"/>
    <w:qFormat/>
    <w:rsid w:val="00ED0B8D"/>
    <w:pPr>
      <w:numPr>
        <w:numId w:val="14"/>
      </w:numPr>
      <w:spacing w:before="240" w:after="240"/>
    </w:pPr>
    <w:rPr>
      <w:sz w:val="22"/>
      <w:szCs w:val="24"/>
      <w:lang w:eastAsia="en-US"/>
    </w:rPr>
  </w:style>
  <w:style w:type="character" w:styleId="Strong">
    <w:name w:val="Strong"/>
    <w:basedOn w:val="DefaultParagraphFont"/>
    <w:uiPriority w:val="22"/>
    <w:qFormat/>
    <w:rsid w:val="00CF19B4"/>
    <w:rPr>
      <w:b/>
      <w:bCs/>
    </w:rPr>
  </w:style>
  <w:style w:type="paragraph" w:styleId="ListNumber3">
    <w:name w:val="List Number 3"/>
    <w:unhideWhenUsed/>
    <w:rsid w:val="00BC08DD"/>
    <w:pPr>
      <w:numPr>
        <w:numId w:val="15"/>
      </w:numPr>
      <w:spacing w:after="240"/>
      <w:ind w:left="1440"/>
    </w:pPr>
    <w:rPr>
      <w:sz w:val="22"/>
      <w:szCs w:val="24"/>
      <w:lang w:eastAsia="en-US"/>
    </w:rPr>
  </w:style>
  <w:style w:type="paragraph" w:customStyle="1" w:styleId="CaretakerXA">
    <w:name w:val="Caretaker XA"/>
    <w:qFormat/>
    <w:rsid w:val="005F4324"/>
    <w:pPr>
      <w:spacing w:after="240"/>
      <w:ind w:left="1080"/>
    </w:pPr>
    <w:rPr>
      <w:sz w:val="22"/>
      <w:szCs w:val="24"/>
      <w:lang w:eastAsia="en-US"/>
    </w:rPr>
  </w:style>
  <w:style w:type="paragraph" w:customStyle="1" w:styleId="Body">
    <w:name w:val="Body"/>
    <w:basedOn w:val="Normal"/>
    <w:uiPriority w:val="99"/>
    <w:rsid w:val="00DC316C"/>
    <w:pPr>
      <w:widowControl/>
      <w:autoSpaceDE/>
      <w:autoSpaceDN/>
      <w:adjustRightInd/>
      <w:spacing w:after="180"/>
    </w:pPr>
    <w:rPr>
      <w:rFonts w:ascii="Arial" w:hAnsi="Arial"/>
      <w:szCs w:val="22"/>
    </w:rPr>
  </w:style>
  <w:style w:type="character" w:customStyle="1" w:styleId="spelle">
    <w:name w:val="spelle"/>
    <w:basedOn w:val="DefaultParagraphFont"/>
    <w:rsid w:val="005518ED"/>
  </w:style>
  <w:style w:type="character" w:customStyle="1" w:styleId="grame">
    <w:name w:val="grame"/>
    <w:basedOn w:val="DefaultParagraphFont"/>
    <w:rsid w:val="005518ED"/>
  </w:style>
  <w:style w:type="paragraph" w:styleId="EndnoteText">
    <w:name w:val="endnote text"/>
    <w:basedOn w:val="Normal"/>
    <w:link w:val="EndnoteTextChar"/>
    <w:semiHidden/>
    <w:unhideWhenUsed/>
    <w:rsid w:val="00A363A1"/>
    <w:rPr>
      <w:sz w:val="20"/>
      <w:szCs w:val="20"/>
    </w:rPr>
  </w:style>
  <w:style w:type="character" w:customStyle="1" w:styleId="EndnoteTextChar">
    <w:name w:val="Endnote Text Char"/>
    <w:basedOn w:val="DefaultParagraphFont"/>
    <w:link w:val="EndnoteText"/>
    <w:semiHidden/>
    <w:rsid w:val="00A363A1"/>
    <w:rPr>
      <w:lang w:eastAsia="en-US"/>
    </w:rPr>
  </w:style>
  <w:style w:type="character" w:styleId="EndnoteReference">
    <w:name w:val="endnote reference"/>
    <w:basedOn w:val="DefaultParagraphFont"/>
    <w:semiHidden/>
    <w:unhideWhenUsed/>
    <w:rsid w:val="00A36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9142">
      <w:bodyDiv w:val="1"/>
      <w:marLeft w:val="0"/>
      <w:marRight w:val="0"/>
      <w:marTop w:val="0"/>
      <w:marBottom w:val="0"/>
      <w:divBdr>
        <w:top w:val="none" w:sz="0" w:space="0" w:color="auto"/>
        <w:left w:val="none" w:sz="0" w:space="0" w:color="auto"/>
        <w:bottom w:val="none" w:sz="0" w:space="0" w:color="auto"/>
        <w:right w:val="none" w:sz="0" w:space="0" w:color="auto"/>
      </w:divBdr>
    </w:div>
    <w:div w:id="100491393">
      <w:bodyDiv w:val="1"/>
      <w:marLeft w:val="0"/>
      <w:marRight w:val="0"/>
      <w:marTop w:val="0"/>
      <w:marBottom w:val="0"/>
      <w:divBdr>
        <w:top w:val="none" w:sz="0" w:space="0" w:color="auto"/>
        <w:left w:val="none" w:sz="0" w:space="0" w:color="auto"/>
        <w:bottom w:val="none" w:sz="0" w:space="0" w:color="auto"/>
        <w:right w:val="none" w:sz="0" w:space="0" w:color="auto"/>
      </w:divBdr>
    </w:div>
    <w:div w:id="260770673">
      <w:bodyDiv w:val="1"/>
      <w:marLeft w:val="0"/>
      <w:marRight w:val="0"/>
      <w:marTop w:val="0"/>
      <w:marBottom w:val="0"/>
      <w:divBdr>
        <w:top w:val="none" w:sz="0" w:space="0" w:color="auto"/>
        <w:left w:val="none" w:sz="0" w:space="0" w:color="auto"/>
        <w:bottom w:val="none" w:sz="0" w:space="0" w:color="auto"/>
        <w:right w:val="none" w:sz="0" w:space="0" w:color="auto"/>
      </w:divBdr>
    </w:div>
    <w:div w:id="294214466">
      <w:bodyDiv w:val="1"/>
      <w:marLeft w:val="0"/>
      <w:marRight w:val="0"/>
      <w:marTop w:val="0"/>
      <w:marBottom w:val="0"/>
      <w:divBdr>
        <w:top w:val="none" w:sz="0" w:space="0" w:color="auto"/>
        <w:left w:val="none" w:sz="0" w:space="0" w:color="auto"/>
        <w:bottom w:val="none" w:sz="0" w:space="0" w:color="auto"/>
        <w:right w:val="none" w:sz="0" w:space="0" w:color="auto"/>
      </w:divBdr>
    </w:div>
    <w:div w:id="294214845">
      <w:bodyDiv w:val="1"/>
      <w:marLeft w:val="0"/>
      <w:marRight w:val="0"/>
      <w:marTop w:val="0"/>
      <w:marBottom w:val="0"/>
      <w:divBdr>
        <w:top w:val="none" w:sz="0" w:space="0" w:color="auto"/>
        <w:left w:val="none" w:sz="0" w:space="0" w:color="auto"/>
        <w:bottom w:val="none" w:sz="0" w:space="0" w:color="auto"/>
        <w:right w:val="none" w:sz="0" w:space="0" w:color="auto"/>
      </w:divBdr>
    </w:div>
    <w:div w:id="356661655">
      <w:bodyDiv w:val="1"/>
      <w:marLeft w:val="0"/>
      <w:marRight w:val="0"/>
      <w:marTop w:val="0"/>
      <w:marBottom w:val="0"/>
      <w:divBdr>
        <w:top w:val="none" w:sz="0" w:space="0" w:color="auto"/>
        <w:left w:val="none" w:sz="0" w:space="0" w:color="auto"/>
        <w:bottom w:val="none" w:sz="0" w:space="0" w:color="auto"/>
        <w:right w:val="none" w:sz="0" w:space="0" w:color="auto"/>
      </w:divBdr>
    </w:div>
    <w:div w:id="426076506">
      <w:bodyDiv w:val="1"/>
      <w:marLeft w:val="0"/>
      <w:marRight w:val="0"/>
      <w:marTop w:val="0"/>
      <w:marBottom w:val="0"/>
      <w:divBdr>
        <w:top w:val="none" w:sz="0" w:space="0" w:color="auto"/>
        <w:left w:val="none" w:sz="0" w:space="0" w:color="auto"/>
        <w:bottom w:val="none" w:sz="0" w:space="0" w:color="auto"/>
        <w:right w:val="none" w:sz="0" w:space="0" w:color="auto"/>
      </w:divBdr>
    </w:div>
    <w:div w:id="571505896">
      <w:bodyDiv w:val="1"/>
      <w:marLeft w:val="0"/>
      <w:marRight w:val="0"/>
      <w:marTop w:val="0"/>
      <w:marBottom w:val="0"/>
      <w:divBdr>
        <w:top w:val="none" w:sz="0" w:space="0" w:color="auto"/>
        <w:left w:val="none" w:sz="0" w:space="0" w:color="auto"/>
        <w:bottom w:val="none" w:sz="0" w:space="0" w:color="auto"/>
        <w:right w:val="none" w:sz="0" w:space="0" w:color="auto"/>
      </w:divBdr>
    </w:div>
    <w:div w:id="625114325">
      <w:bodyDiv w:val="1"/>
      <w:marLeft w:val="0"/>
      <w:marRight w:val="0"/>
      <w:marTop w:val="0"/>
      <w:marBottom w:val="0"/>
      <w:divBdr>
        <w:top w:val="none" w:sz="0" w:space="0" w:color="auto"/>
        <w:left w:val="none" w:sz="0" w:space="0" w:color="auto"/>
        <w:bottom w:val="none" w:sz="0" w:space="0" w:color="auto"/>
        <w:right w:val="none" w:sz="0" w:space="0" w:color="auto"/>
      </w:divBdr>
    </w:div>
    <w:div w:id="652757777">
      <w:bodyDiv w:val="1"/>
      <w:marLeft w:val="0"/>
      <w:marRight w:val="0"/>
      <w:marTop w:val="0"/>
      <w:marBottom w:val="0"/>
      <w:divBdr>
        <w:top w:val="none" w:sz="0" w:space="0" w:color="auto"/>
        <w:left w:val="none" w:sz="0" w:space="0" w:color="auto"/>
        <w:bottom w:val="none" w:sz="0" w:space="0" w:color="auto"/>
        <w:right w:val="none" w:sz="0" w:space="0" w:color="auto"/>
      </w:divBdr>
    </w:div>
    <w:div w:id="672993452">
      <w:bodyDiv w:val="1"/>
      <w:marLeft w:val="0"/>
      <w:marRight w:val="0"/>
      <w:marTop w:val="0"/>
      <w:marBottom w:val="0"/>
      <w:divBdr>
        <w:top w:val="none" w:sz="0" w:space="0" w:color="auto"/>
        <w:left w:val="none" w:sz="0" w:space="0" w:color="auto"/>
        <w:bottom w:val="none" w:sz="0" w:space="0" w:color="auto"/>
        <w:right w:val="none" w:sz="0" w:space="0" w:color="auto"/>
      </w:divBdr>
    </w:div>
    <w:div w:id="721170876">
      <w:bodyDiv w:val="1"/>
      <w:marLeft w:val="0"/>
      <w:marRight w:val="0"/>
      <w:marTop w:val="0"/>
      <w:marBottom w:val="0"/>
      <w:divBdr>
        <w:top w:val="none" w:sz="0" w:space="0" w:color="auto"/>
        <w:left w:val="none" w:sz="0" w:space="0" w:color="auto"/>
        <w:bottom w:val="none" w:sz="0" w:space="0" w:color="auto"/>
        <w:right w:val="none" w:sz="0" w:space="0" w:color="auto"/>
      </w:divBdr>
    </w:div>
    <w:div w:id="743138025">
      <w:bodyDiv w:val="1"/>
      <w:marLeft w:val="0"/>
      <w:marRight w:val="0"/>
      <w:marTop w:val="0"/>
      <w:marBottom w:val="0"/>
      <w:divBdr>
        <w:top w:val="none" w:sz="0" w:space="0" w:color="auto"/>
        <w:left w:val="none" w:sz="0" w:space="0" w:color="auto"/>
        <w:bottom w:val="none" w:sz="0" w:space="0" w:color="auto"/>
        <w:right w:val="none" w:sz="0" w:space="0" w:color="auto"/>
      </w:divBdr>
    </w:div>
    <w:div w:id="759371105">
      <w:bodyDiv w:val="1"/>
      <w:marLeft w:val="0"/>
      <w:marRight w:val="0"/>
      <w:marTop w:val="0"/>
      <w:marBottom w:val="0"/>
      <w:divBdr>
        <w:top w:val="none" w:sz="0" w:space="0" w:color="auto"/>
        <w:left w:val="none" w:sz="0" w:space="0" w:color="auto"/>
        <w:bottom w:val="none" w:sz="0" w:space="0" w:color="auto"/>
        <w:right w:val="none" w:sz="0" w:space="0" w:color="auto"/>
      </w:divBdr>
    </w:div>
    <w:div w:id="785662801">
      <w:bodyDiv w:val="1"/>
      <w:marLeft w:val="0"/>
      <w:marRight w:val="0"/>
      <w:marTop w:val="0"/>
      <w:marBottom w:val="0"/>
      <w:divBdr>
        <w:top w:val="none" w:sz="0" w:space="0" w:color="auto"/>
        <w:left w:val="none" w:sz="0" w:space="0" w:color="auto"/>
        <w:bottom w:val="none" w:sz="0" w:space="0" w:color="auto"/>
        <w:right w:val="none" w:sz="0" w:space="0" w:color="auto"/>
      </w:divBdr>
    </w:div>
    <w:div w:id="795414752">
      <w:bodyDiv w:val="1"/>
      <w:marLeft w:val="0"/>
      <w:marRight w:val="0"/>
      <w:marTop w:val="0"/>
      <w:marBottom w:val="0"/>
      <w:divBdr>
        <w:top w:val="none" w:sz="0" w:space="0" w:color="auto"/>
        <w:left w:val="none" w:sz="0" w:space="0" w:color="auto"/>
        <w:bottom w:val="none" w:sz="0" w:space="0" w:color="auto"/>
        <w:right w:val="none" w:sz="0" w:space="0" w:color="auto"/>
      </w:divBdr>
    </w:div>
    <w:div w:id="883099989">
      <w:bodyDiv w:val="1"/>
      <w:marLeft w:val="0"/>
      <w:marRight w:val="0"/>
      <w:marTop w:val="0"/>
      <w:marBottom w:val="0"/>
      <w:divBdr>
        <w:top w:val="none" w:sz="0" w:space="0" w:color="auto"/>
        <w:left w:val="none" w:sz="0" w:space="0" w:color="auto"/>
        <w:bottom w:val="none" w:sz="0" w:space="0" w:color="auto"/>
        <w:right w:val="none" w:sz="0" w:space="0" w:color="auto"/>
      </w:divBdr>
    </w:div>
    <w:div w:id="1016543810">
      <w:bodyDiv w:val="1"/>
      <w:marLeft w:val="0"/>
      <w:marRight w:val="0"/>
      <w:marTop w:val="0"/>
      <w:marBottom w:val="0"/>
      <w:divBdr>
        <w:top w:val="none" w:sz="0" w:space="0" w:color="auto"/>
        <w:left w:val="none" w:sz="0" w:space="0" w:color="auto"/>
        <w:bottom w:val="none" w:sz="0" w:space="0" w:color="auto"/>
        <w:right w:val="none" w:sz="0" w:space="0" w:color="auto"/>
      </w:divBdr>
    </w:div>
    <w:div w:id="1017318509">
      <w:bodyDiv w:val="1"/>
      <w:marLeft w:val="0"/>
      <w:marRight w:val="0"/>
      <w:marTop w:val="0"/>
      <w:marBottom w:val="0"/>
      <w:divBdr>
        <w:top w:val="none" w:sz="0" w:space="0" w:color="auto"/>
        <w:left w:val="none" w:sz="0" w:space="0" w:color="auto"/>
        <w:bottom w:val="none" w:sz="0" w:space="0" w:color="auto"/>
        <w:right w:val="none" w:sz="0" w:space="0" w:color="auto"/>
      </w:divBdr>
    </w:div>
    <w:div w:id="1119956134">
      <w:bodyDiv w:val="1"/>
      <w:marLeft w:val="0"/>
      <w:marRight w:val="0"/>
      <w:marTop w:val="0"/>
      <w:marBottom w:val="0"/>
      <w:divBdr>
        <w:top w:val="none" w:sz="0" w:space="0" w:color="auto"/>
        <w:left w:val="none" w:sz="0" w:space="0" w:color="auto"/>
        <w:bottom w:val="none" w:sz="0" w:space="0" w:color="auto"/>
        <w:right w:val="none" w:sz="0" w:space="0" w:color="auto"/>
      </w:divBdr>
    </w:div>
    <w:div w:id="1136265213">
      <w:bodyDiv w:val="1"/>
      <w:marLeft w:val="0"/>
      <w:marRight w:val="0"/>
      <w:marTop w:val="0"/>
      <w:marBottom w:val="0"/>
      <w:divBdr>
        <w:top w:val="none" w:sz="0" w:space="0" w:color="auto"/>
        <w:left w:val="none" w:sz="0" w:space="0" w:color="auto"/>
        <w:bottom w:val="none" w:sz="0" w:space="0" w:color="auto"/>
        <w:right w:val="none" w:sz="0" w:space="0" w:color="auto"/>
      </w:divBdr>
    </w:div>
    <w:div w:id="1233392506">
      <w:bodyDiv w:val="1"/>
      <w:marLeft w:val="0"/>
      <w:marRight w:val="0"/>
      <w:marTop w:val="0"/>
      <w:marBottom w:val="0"/>
      <w:divBdr>
        <w:top w:val="none" w:sz="0" w:space="0" w:color="auto"/>
        <w:left w:val="none" w:sz="0" w:space="0" w:color="auto"/>
        <w:bottom w:val="none" w:sz="0" w:space="0" w:color="auto"/>
        <w:right w:val="none" w:sz="0" w:space="0" w:color="auto"/>
      </w:divBdr>
    </w:div>
    <w:div w:id="1238782811">
      <w:bodyDiv w:val="1"/>
      <w:marLeft w:val="0"/>
      <w:marRight w:val="0"/>
      <w:marTop w:val="0"/>
      <w:marBottom w:val="0"/>
      <w:divBdr>
        <w:top w:val="none" w:sz="0" w:space="0" w:color="auto"/>
        <w:left w:val="none" w:sz="0" w:space="0" w:color="auto"/>
        <w:bottom w:val="none" w:sz="0" w:space="0" w:color="auto"/>
        <w:right w:val="none" w:sz="0" w:space="0" w:color="auto"/>
      </w:divBdr>
    </w:div>
    <w:div w:id="1245186255">
      <w:bodyDiv w:val="1"/>
      <w:marLeft w:val="0"/>
      <w:marRight w:val="0"/>
      <w:marTop w:val="0"/>
      <w:marBottom w:val="0"/>
      <w:divBdr>
        <w:top w:val="none" w:sz="0" w:space="0" w:color="auto"/>
        <w:left w:val="none" w:sz="0" w:space="0" w:color="auto"/>
        <w:bottom w:val="none" w:sz="0" w:space="0" w:color="auto"/>
        <w:right w:val="none" w:sz="0" w:space="0" w:color="auto"/>
      </w:divBdr>
    </w:div>
    <w:div w:id="1286085415">
      <w:bodyDiv w:val="1"/>
      <w:marLeft w:val="0"/>
      <w:marRight w:val="0"/>
      <w:marTop w:val="0"/>
      <w:marBottom w:val="0"/>
      <w:divBdr>
        <w:top w:val="none" w:sz="0" w:space="0" w:color="auto"/>
        <w:left w:val="none" w:sz="0" w:space="0" w:color="auto"/>
        <w:bottom w:val="none" w:sz="0" w:space="0" w:color="auto"/>
        <w:right w:val="none" w:sz="0" w:space="0" w:color="auto"/>
      </w:divBdr>
    </w:div>
    <w:div w:id="1312174547">
      <w:bodyDiv w:val="1"/>
      <w:marLeft w:val="0"/>
      <w:marRight w:val="0"/>
      <w:marTop w:val="0"/>
      <w:marBottom w:val="0"/>
      <w:divBdr>
        <w:top w:val="none" w:sz="0" w:space="0" w:color="auto"/>
        <w:left w:val="none" w:sz="0" w:space="0" w:color="auto"/>
        <w:bottom w:val="none" w:sz="0" w:space="0" w:color="auto"/>
        <w:right w:val="none" w:sz="0" w:space="0" w:color="auto"/>
      </w:divBdr>
    </w:div>
    <w:div w:id="1330981198">
      <w:bodyDiv w:val="1"/>
      <w:marLeft w:val="0"/>
      <w:marRight w:val="0"/>
      <w:marTop w:val="0"/>
      <w:marBottom w:val="0"/>
      <w:divBdr>
        <w:top w:val="none" w:sz="0" w:space="0" w:color="auto"/>
        <w:left w:val="none" w:sz="0" w:space="0" w:color="auto"/>
        <w:bottom w:val="none" w:sz="0" w:space="0" w:color="auto"/>
        <w:right w:val="none" w:sz="0" w:space="0" w:color="auto"/>
      </w:divBdr>
    </w:div>
    <w:div w:id="1345211448">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27649223">
      <w:bodyDiv w:val="1"/>
      <w:marLeft w:val="0"/>
      <w:marRight w:val="0"/>
      <w:marTop w:val="0"/>
      <w:marBottom w:val="0"/>
      <w:divBdr>
        <w:top w:val="none" w:sz="0" w:space="0" w:color="auto"/>
        <w:left w:val="none" w:sz="0" w:space="0" w:color="auto"/>
        <w:bottom w:val="none" w:sz="0" w:space="0" w:color="auto"/>
        <w:right w:val="none" w:sz="0" w:space="0" w:color="auto"/>
      </w:divBdr>
    </w:div>
    <w:div w:id="1430352784">
      <w:bodyDiv w:val="1"/>
      <w:marLeft w:val="0"/>
      <w:marRight w:val="0"/>
      <w:marTop w:val="0"/>
      <w:marBottom w:val="0"/>
      <w:divBdr>
        <w:top w:val="none" w:sz="0" w:space="0" w:color="auto"/>
        <w:left w:val="none" w:sz="0" w:space="0" w:color="auto"/>
        <w:bottom w:val="none" w:sz="0" w:space="0" w:color="auto"/>
        <w:right w:val="none" w:sz="0" w:space="0" w:color="auto"/>
      </w:divBdr>
    </w:div>
    <w:div w:id="1443183256">
      <w:bodyDiv w:val="1"/>
      <w:marLeft w:val="0"/>
      <w:marRight w:val="0"/>
      <w:marTop w:val="0"/>
      <w:marBottom w:val="0"/>
      <w:divBdr>
        <w:top w:val="none" w:sz="0" w:space="0" w:color="auto"/>
        <w:left w:val="none" w:sz="0" w:space="0" w:color="auto"/>
        <w:bottom w:val="none" w:sz="0" w:space="0" w:color="auto"/>
        <w:right w:val="none" w:sz="0" w:space="0" w:color="auto"/>
      </w:divBdr>
    </w:div>
    <w:div w:id="1444961433">
      <w:bodyDiv w:val="1"/>
      <w:marLeft w:val="0"/>
      <w:marRight w:val="0"/>
      <w:marTop w:val="0"/>
      <w:marBottom w:val="0"/>
      <w:divBdr>
        <w:top w:val="none" w:sz="0" w:space="0" w:color="auto"/>
        <w:left w:val="none" w:sz="0" w:space="0" w:color="auto"/>
        <w:bottom w:val="none" w:sz="0" w:space="0" w:color="auto"/>
        <w:right w:val="none" w:sz="0" w:space="0" w:color="auto"/>
      </w:divBdr>
    </w:div>
    <w:div w:id="1470132329">
      <w:bodyDiv w:val="1"/>
      <w:marLeft w:val="0"/>
      <w:marRight w:val="0"/>
      <w:marTop w:val="0"/>
      <w:marBottom w:val="0"/>
      <w:divBdr>
        <w:top w:val="none" w:sz="0" w:space="0" w:color="auto"/>
        <w:left w:val="none" w:sz="0" w:space="0" w:color="auto"/>
        <w:bottom w:val="none" w:sz="0" w:space="0" w:color="auto"/>
        <w:right w:val="none" w:sz="0" w:space="0" w:color="auto"/>
      </w:divBdr>
    </w:div>
    <w:div w:id="1510867602">
      <w:bodyDiv w:val="1"/>
      <w:marLeft w:val="0"/>
      <w:marRight w:val="0"/>
      <w:marTop w:val="0"/>
      <w:marBottom w:val="0"/>
      <w:divBdr>
        <w:top w:val="none" w:sz="0" w:space="0" w:color="auto"/>
        <w:left w:val="none" w:sz="0" w:space="0" w:color="auto"/>
        <w:bottom w:val="none" w:sz="0" w:space="0" w:color="auto"/>
        <w:right w:val="none" w:sz="0" w:space="0" w:color="auto"/>
      </w:divBdr>
    </w:div>
    <w:div w:id="1555506044">
      <w:bodyDiv w:val="1"/>
      <w:marLeft w:val="0"/>
      <w:marRight w:val="0"/>
      <w:marTop w:val="0"/>
      <w:marBottom w:val="0"/>
      <w:divBdr>
        <w:top w:val="none" w:sz="0" w:space="0" w:color="auto"/>
        <w:left w:val="none" w:sz="0" w:space="0" w:color="auto"/>
        <w:bottom w:val="none" w:sz="0" w:space="0" w:color="auto"/>
        <w:right w:val="none" w:sz="0" w:space="0" w:color="auto"/>
      </w:divBdr>
    </w:div>
    <w:div w:id="1595934272">
      <w:bodyDiv w:val="1"/>
      <w:marLeft w:val="0"/>
      <w:marRight w:val="0"/>
      <w:marTop w:val="0"/>
      <w:marBottom w:val="0"/>
      <w:divBdr>
        <w:top w:val="none" w:sz="0" w:space="0" w:color="auto"/>
        <w:left w:val="none" w:sz="0" w:space="0" w:color="auto"/>
        <w:bottom w:val="none" w:sz="0" w:space="0" w:color="auto"/>
        <w:right w:val="none" w:sz="0" w:space="0" w:color="auto"/>
      </w:divBdr>
    </w:div>
    <w:div w:id="1743945716">
      <w:bodyDiv w:val="1"/>
      <w:marLeft w:val="0"/>
      <w:marRight w:val="0"/>
      <w:marTop w:val="0"/>
      <w:marBottom w:val="0"/>
      <w:divBdr>
        <w:top w:val="none" w:sz="0" w:space="0" w:color="auto"/>
        <w:left w:val="none" w:sz="0" w:space="0" w:color="auto"/>
        <w:bottom w:val="none" w:sz="0" w:space="0" w:color="auto"/>
        <w:right w:val="none" w:sz="0" w:space="0" w:color="auto"/>
      </w:divBdr>
    </w:div>
    <w:div w:id="1790392578">
      <w:bodyDiv w:val="1"/>
      <w:marLeft w:val="0"/>
      <w:marRight w:val="0"/>
      <w:marTop w:val="0"/>
      <w:marBottom w:val="0"/>
      <w:divBdr>
        <w:top w:val="none" w:sz="0" w:space="0" w:color="auto"/>
        <w:left w:val="none" w:sz="0" w:space="0" w:color="auto"/>
        <w:bottom w:val="none" w:sz="0" w:space="0" w:color="auto"/>
        <w:right w:val="none" w:sz="0" w:space="0" w:color="auto"/>
      </w:divBdr>
    </w:div>
    <w:div w:id="1793742334">
      <w:bodyDiv w:val="1"/>
      <w:marLeft w:val="0"/>
      <w:marRight w:val="0"/>
      <w:marTop w:val="0"/>
      <w:marBottom w:val="0"/>
      <w:divBdr>
        <w:top w:val="none" w:sz="0" w:space="0" w:color="auto"/>
        <w:left w:val="none" w:sz="0" w:space="0" w:color="auto"/>
        <w:bottom w:val="none" w:sz="0" w:space="0" w:color="auto"/>
        <w:right w:val="none" w:sz="0" w:space="0" w:color="auto"/>
      </w:divBdr>
    </w:div>
    <w:div w:id="1869641654">
      <w:bodyDiv w:val="1"/>
      <w:marLeft w:val="0"/>
      <w:marRight w:val="0"/>
      <w:marTop w:val="0"/>
      <w:marBottom w:val="0"/>
      <w:divBdr>
        <w:top w:val="none" w:sz="0" w:space="0" w:color="auto"/>
        <w:left w:val="none" w:sz="0" w:space="0" w:color="auto"/>
        <w:bottom w:val="none" w:sz="0" w:space="0" w:color="auto"/>
        <w:right w:val="none" w:sz="0" w:space="0" w:color="auto"/>
      </w:divBdr>
    </w:div>
    <w:div w:id="1901403635">
      <w:bodyDiv w:val="1"/>
      <w:marLeft w:val="0"/>
      <w:marRight w:val="0"/>
      <w:marTop w:val="0"/>
      <w:marBottom w:val="0"/>
      <w:divBdr>
        <w:top w:val="none" w:sz="0" w:space="0" w:color="auto"/>
        <w:left w:val="none" w:sz="0" w:space="0" w:color="auto"/>
        <w:bottom w:val="none" w:sz="0" w:space="0" w:color="auto"/>
        <w:right w:val="none" w:sz="0" w:space="0" w:color="auto"/>
      </w:divBdr>
    </w:div>
    <w:div w:id="1958096780">
      <w:bodyDiv w:val="1"/>
      <w:marLeft w:val="0"/>
      <w:marRight w:val="0"/>
      <w:marTop w:val="0"/>
      <w:marBottom w:val="0"/>
      <w:divBdr>
        <w:top w:val="none" w:sz="0" w:space="0" w:color="auto"/>
        <w:left w:val="none" w:sz="0" w:space="0" w:color="auto"/>
        <w:bottom w:val="none" w:sz="0" w:space="0" w:color="auto"/>
        <w:right w:val="none" w:sz="0" w:space="0" w:color="auto"/>
      </w:divBdr>
    </w:div>
    <w:div w:id="1981956416">
      <w:bodyDiv w:val="1"/>
      <w:marLeft w:val="0"/>
      <w:marRight w:val="0"/>
      <w:marTop w:val="0"/>
      <w:marBottom w:val="0"/>
      <w:divBdr>
        <w:top w:val="none" w:sz="0" w:space="0" w:color="auto"/>
        <w:left w:val="none" w:sz="0" w:space="0" w:color="auto"/>
        <w:bottom w:val="none" w:sz="0" w:space="0" w:color="auto"/>
        <w:right w:val="none" w:sz="0" w:space="0" w:color="auto"/>
      </w:divBdr>
    </w:div>
    <w:div w:id="2002076434">
      <w:bodyDiv w:val="1"/>
      <w:marLeft w:val="0"/>
      <w:marRight w:val="0"/>
      <w:marTop w:val="0"/>
      <w:marBottom w:val="0"/>
      <w:divBdr>
        <w:top w:val="none" w:sz="0" w:space="0" w:color="auto"/>
        <w:left w:val="none" w:sz="0" w:space="0" w:color="auto"/>
        <w:bottom w:val="none" w:sz="0" w:space="0" w:color="auto"/>
        <w:right w:val="none" w:sz="0" w:space="0" w:color="auto"/>
      </w:divBdr>
    </w:div>
    <w:div w:id="2017610113">
      <w:bodyDiv w:val="1"/>
      <w:marLeft w:val="0"/>
      <w:marRight w:val="0"/>
      <w:marTop w:val="0"/>
      <w:marBottom w:val="0"/>
      <w:divBdr>
        <w:top w:val="none" w:sz="0" w:space="0" w:color="auto"/>
        <w:left w:val="none" w:sz="0" w:space="0" w:color="auto"/>
        <w:bottom w:val="none" w:sz="0" w:space="0" w:color="auto"/>
        <w:right w:val="none" w:sz="0" w:space="0" w:color="auto"/>
      </w:divBdr>
    </w:div>
    <w:div w:id="2122651764">
      <w:bodyDiv w:val="1"/>
      <w:marLeft w:val="0"/>
      <w:marRight w:val="0"/>
      <w:marTop w:val="0"/>
      <w:marBottom w:val="0"/>
      <w:divBdr>
        <w:top w:val="none" w:sz="0" w:space="0" w:color="auto"/>
        <w:left w:val="none" w:sz="0" w:space="0" w:color="auto"/>
        <w:bottom w:val="none" w:sz="0" w:space="0" w:color="auto"/>
        <w:right w:val="none" w:sz="0" w:space="0" w:color="auto"/>
      </w:divBdr>
    </w:div>
    <w:div w:id="214226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spe.hhs.gov/sp/reports/2007/igiv/repor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imaryimmune.org/patient-family-handboo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s.gov/oes/current/oes_nat.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imaryimmune.org/idf-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B26D-4442-4534-B31F-898C2E01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2016-10-21T14:15:00Z</dcterms:created>
  <dcterms:modified xsi:type="dcterms:W3CDTF">2016-10-21T14:15:00Z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-154335575</vt:i4>
  </property>
  <property fmtid="{D5CDD505-2E9C-101B-9397-08002B2CF9AE}" pid="5" name="_PreviousAdHocReviewCycleID">
    <vt:i4>-358562435</vt:i4>
  </property>
</Properties>
</file>