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0DC" w:rsidRPr="00EB555A" w:rsidRDefault="00FC77D9">
      <w:pPr>
        <w:pStyle w:val="Heading1"/>
        <w:spacing w:before="42"/>
        <w:jc w:val="center"/>
        <w:rPr>
          <w:bCs w:val="0"/>
          <w:u w:val="none"/>
        </w:rPr>
      </w:pPr>
      <w:bookmarkStart w:id="0" w:name="Supporting_Statement"/>
      <w:bookmarkStart w:id="1" w:name="_for_Information_Collection_Requirements"/>
      <w:bookmarkStart w:id="2" w:name="_GoBack"/>
      <w:bookmarkEnd w:id="0"/>
      <w:bookmarkEnd w:id="1"/>
      <w:bookmarkEnd w:id="2"/>
      <w:r w:rsidRPr="00EB555A">
        <w:rPr>
          <w:u w:val="none"/>
        </w:rPr>
        <w:t>Supporting</w:t>
      </w:r>
      <w:r w:rsidRPr="00EB555A">
        <w:rPr>
          <w:spacing w:val="-18"/>
          <w:u w:val="none"/>
        </w:rPr>
        <w:t xml:space="preserve"> </w:t>
      </w:r>
      <w:r w:rsidRPr="00EB555A">
        <w:rPr>
          <w:u w:val="none"/>
        </w:rPr>
        <w:t>Statement</w:t>
      </w:r>
      <w:r w:rsidR="00EB555A" w:rsidRPr="00EB555A">
        <w:rPr>
          <w:u w:val="none"/>
        </w:rPr>
        <w:t xml:space="preserve"> – Part A</w:t>
      </w:r>
    </w:p>
    <w:p w:rsidR="00CB60DC" w:rsidRPr="00EB555A" w:rsidRDefault="00FC77D9">
      <w:pPr>
        <w:spacing w:before="2"/>
        <w:ind w:left="23"/>
        <w:jc w:val="center"/>
        <w:rPr>
          <w:rFonts w:ascii="Times New Roman"/>
          <w:b/>
          <w:sz w:val="28"/>
        </w:rPr>
      </w:pPr>
      <w:r w:rsidRPr="00EB555A">
        <w:rPr>
          <w:rFonts w:ascii="Times New Roman"/>
          <w:b/>
          <w:w w:val="99"/>
          <w:sz w:val="28"/>
        </w:rPr>
        <w:t xml:space="preserve"> </w:t>
      </w:r>
      <w:r w:rsidRPr="00EB555A">
        <w:rPr>
          <w:rFonts w:ascii="Times New Roman"/>
          <w:b/>
          <w:sz w:val="28"/>
        </w:rPr>
        <w:t>for</w:t>
      </w:r>
      <w:r w:rsidRPr="00EB555A">
        <w:rPr>
          <w:rFonts w:ascii="Times New Roman"/>
          <w:b/>
          <w:spacing w:val="-13"/>
          <w:sz w:val="28"/>
        </w:rPr>
        <w:t xml:space="preserve"> </w:t>
      </w:r>
      <w:r w:rsidRPr="00EB555A">
        <w:rPr>
          <w:rFonts w:ascii="Times New Roman"/>
          <w:b/>
          <w:sz w:val="28"/>
        </w:rPr>
        <w:t>Information</w:t>
      </w:r>
      <w:r w:rsidRPr="00EB555A">
        <w:rPr>
          <w:rFonts w:ascii="Times New Roman"/>
          <w:b/>
          <w:spacing w:val="-11"/>
          <w:sz w:val="28"/>
        </w:rPr>
        <w:t xml:space="preserve"> </w:t>
      </w:r>
      <w:r w:rsidRPr="00EB555A">
        <w:rPr>
          <w:rFonts w:ascii="Times New Roman"/>
          <w:b/>
          <w:sz w:val="28"/>
        </w:rPr>
        <w:t>Collection</w:t>
      </w:r>
      <w:r w:rsidRPr="00EB555A">
        <w:rPr>
          <w:rFonts w:ascii="Times New Roman"/>
          <w:b/>
          <w:spacing w:val="-11"/>
          <w:sz w:val="28"/>
        </w:rPr>
        <w:t xml:space="preserve"> </w:t>
      </w:r>
      <w:r w:rsidRPr="00EB555A">
        <w:rPr>
          <w:rFonts w:ascii="Times New Roman"/>
          <w:b/>
          <w:sz w:val="28"/>
        </w:rPr>
        <w:t>Requirements</w:t>
      </w:r>
      <w:r w:rsidRPr="00EB555A">
        <w:rPr>
          <w:rFonts w:ascii="Times New Roman"/>
          <w:b/>
          <w:spacing w:val="-12"/>
          <w:sz w:val="28"/>
        </w:rPr>
        <w:t xml:space="preserve"> </w:t>
      </w:r>
      <w:r w:rsidRPr="00EB555A">
        <w:rPr>
          <w:rFonts w:ascii="Times New Roman"/>
          <w:b/>
          <w:sz w:val="28"/>
        </w:rPr>
        <w:t>for</w:t>
      </w:r>
      <w:r w:rsidRPr="00EB555A">
        <w:rPr>
          <w:rFonts w:ascii="Times New Roman"/>
          <w:b/>
          <w:spacing w:val="-13"/>
          <w:sz w:val="28"/>
        </w:rPr>
        <w:t xml:space="preserve"> </w:t>
      </w:r>
      <w:r w:rsidRPr="00EB555A">
        <w:rPr>
          <w:rFonts w:ascii="Times New Roman"/>
          <w:b/>
          <w:sz w:val="28"/>
        </w:rPr>
        <w:t>QHP</w:t>
      </w:r>
      <w:r w:rsidRPr="00EB555A">
        <w:rPr>
          <w:rFonts w:ascii="Times New Roman"/>
          <w:b/>
          <w:spacing w:val="-12"/>
          <w:sz w:val="28"/>
        </w:rPr>
        <w:t xml:space="preserve"> </w:t>
      </w:r>
      <w:r w:rsidRPr="00EB555A">
        <w:rPr>
          <w:rFonts w:ascii="Times New Roman"/>
          <w:b/>
          <w:sz w:val="28"/>
        </w:rPr>
        <w:t>Issuer</w:t>
      </w:r>
      <w:r w:rsidRPr="00EB555A">
        <w:rPr>
          <w:rFonts w:ascii="Times New Roman"/>
          <w:b/>
          <w:spacing w:val="-14"/>
          <w:sz w:val="28"/>
        </w:rPr>
        <w:t xml:space="preserve"> </w:t>
      </w:r>
      <w:r w:rsidRPr="00EB555A">
        <w:rPr>
          <w:rFonts w:ascii="Times New Roman"/>
          <w:b/>
          <w:sz w:val="28"/>
        </w:rPr>
        <w:t>Notices</w:t>
      </w:r>
    </w:p>
    <w:p w:rsidR="00CB60DC" w:rsidRDefault="00EB555A" w:rsidP="00DE48CF">
      <w:pPr>
        <w:spacing w:before="2"/>
        <w:ind w:left="23"/>
        <w:jc w:val="center"/>
        <w:rPr>
          <w:rFonts w:ascii="Times New Roman" w:eastAsia="Times New Roman" w:hAnsi="Times New Roman" w:cs="Times New Roman"/>
          <w:b/>
          <w:bCs/>
          <w:sz w:val="20"/>
          <w:szCs w:val="20"/>
        </w:rPr>
      </w:pPr>
      <w:r w:rsidRPr="00EB555A">
        <w:rPr>
          <w:rFonts w:ascii="Times New Roman" w:eastAsia="Times New Roman" w:hAnsi="Times New Roman" w:cs="Times New Roman"/>
          <w:b/>
          <w:sz w:val="28"/>
          <w:szCs w:val="28"/>
        </w:rPr>
        <w:t>CMS-10595/OMB Control Number: 0938-1301</w:t>
      </w:r>
    </w:p>
    <w:p w:rsidR="00CB60DC" w:rsidRDefault="00CB60DC">
      <w:pPr>
        <w:spacing w:before="8"/>
        <w:rPr>
          <w:rFonts w:ascii="Times New Roman" w:eastAsia="Times New Roman" w:hAnsi="Times New Roman" w:cs="Times New Roman"/>
          <w:b/>
          <w:bCs/>
          <w:sz w:val="26"/>
          <w:szCs w:val="26"/>
        </w:rPr>
      </w:pPr>
    </w:p>
    <w:p w:rsidR="00CB60DC" w:rsidRDefault="00FC77D9">
      <w:pPr>
        <w:pStyle w:val="Heading2"/>
        <w:numPr>
          <w:ilvl w:val="0"/>
          <w:numId w:val="4"/>
        </w:numPr>
        <w:tabs>
          <w:tab w:val="left" w:pos="413"/>
        </w:tabs>
        <w:spacing w:before="68"/>
        <w:ind w:right="185" w:hanging="292"/>
        <w:rPr>
          <w:b w:val="0"/>
          <w:bCs w:val="0"/>
        </w:rPr>
      </w:pPr>
      <w:bookmarkStart w:id="3" w:name="A._Background"/>
      <w:bookmarkEnd w:id="3"/>
      <w:r>
        <w:t>Background</w:t>
      </w:r>
    </w:p>
    <w:p w:rsidR="00CB60DC" w:rsidRDefault="00CB60DC">
      <w:pPr>
        <w:rPr>
          <w:rFonts w:ascii="Times New Roman" w:eastAsia="Times New Roman" w:hAnsi="Times New Roman" w:cs="Times New Roman"/>
          <w:b/>
          <w:bCs/>
          <w:sz w:val="24"/>
          <w:szCs w:val="24"/>
        </w:rPr>
      </w:pPr>
    </w:p>
    <w:p w:rsidR="00CB60DC" w:rsidRDefault="00FC77D9">
      <w:pPr>
        <w:pStyle w:val="BodyText"/>
        <w:spacing w:line="247" w:lineRule="auto"/>
        <w:ind w:left="119" w:right="185"/>
      </w:pPr>
      <w:bookmarkStart w:id="4" w:name="On_March_23,_2010,_the_President_signed_"/>
      <w:bookmarkEnd w:id="4"/>
      <w:r>
        <w:t>On March 23, 2010, the President signed into law the Patient Protection and Affordable Care</w:t>
      </w:r>
      <w:r>
        <w:rPr>
          <w:spacing w:val="-29"/>
        </w:rPr>
        <w:t xml:space="preserve"> </w:t>
      </w:r>
      <w:r>
        <w:t>Act</w:t>
      </w:r>
      <w:r>
        <w:t xml:space="preserve"> (P.L. 111-148). On March 30, 2010, the Health Care and Education Reconciliation Act of</w:t>
      </w:r>
      <w:r>
        <w:rPr>
          <w:spacing w:val="-24"/>
        </w:rPr>
        <w:t xml:space="preserve"> </w:t>
      </w:r>
      <w:r>
        <w:t>2010 (P.L.111-152) was signed into law. The two laws are collectively referred to as the</w:t>
      </w:r>
      <w:r>
        <w:rPr>
          <w:spacing w:val="-39"/>
        </w:rPr>
        <w:t xml:space="preserve"> </w:t>
      </w:r>
      <w:r>
        <w:t xml:space="preserve">Affordable Care Act. The Affordable Care Act (ACA) established new competitive </w:t>
      </w:r>
      <w:r>
        <w:t>private health</w:t>
      </w:r>
      <w:r>
        <w:rPr>
          <w:spacing w:val="-33"/>
        </w:rPr>
        <w:t xml:space="preserve"> </w:t>
      </w:r>
      <w:r>
        <w:t>insurance</w:t>
      </w:r>
      <w:r>
        <w:rPr>
          <w:spacing w:val="-1"/>
        </w:rPr>
        <w:t xml:space="preserve"> </w:t>
      </w:r>
      <w:r>
        <w:t>markets called Marketplaces, or Exchanges, which gave millions of Americans and</w:t>
      </w:r>
      <w:r>
        <w:rPr>
          <w:spacing w:val="-17"/>
        </w:rPr>
        <w:t xml:space="preserve"> </w:t>
      </w:r>
      <w:r>
        <w:t>small businesses access to qualified health plans (QHPs), including stand-alone dental plans</w:t>
      </w:r>
      <w:r>
        <w:rPr>
          <w:spacing w:val="-31"/>
        </w:rPr>
        <w:t xml:space="preserve"> </w:t>
      </w:r>
      <w:r>
        <w:t>(SADPs)— private health and dental insurance plans that ha</w:t>
      </w:r>
      <w:r>
        <w:t>ve been certified as meeting certain</w:t>
      </w:r>
      <w:r>
        <w:rPr>
          <w:spacing w:val="-36"/>
        </w:rPr>
        <w:t xml:space="preserve"> </w:t>
      </w:r>
      <w:r>
        <w:t>standards.</w:t>
      </w:r>
    </w:p>
    <w:p w:rsidR="00CB60DC" w:rsidRDefault="00CB60DC">
      <w:pPr>
        <w:spacing w:before="6"/>
        <w:rPr>
          <w:rFonts w:ascii="Times New Roman" w:eastAsia="Times New Roman" w:hAnsi="Times New Roman" w:cs="Times New Roman"/>
          <w:sz w:val="24"/>
          <w:szCs w:val="24"/>
        </w:rPr>
      </w:pPr>
    </w:p>
    <w:p w:rsidR="00CB60DC" w:rsidRDefault="00FC77D9">
      <w:pPr>
        <w:pStyle w:val="BodyText"/>
        <w:spacing w:line="247" w:lineRule="auto"/>
        <w:ind w:left="120" w:right="99"/>
      </w:pPr>
      <w:r>
        <w:rPr>
          <w:spacing w:val="-3"/>
        </w:rPr>
        <w:t xml:space="preserve">In </w:t>
      </w:r>
      <w:r>
        <w:t xml:space="preserve">the proposed rule, the </w:t>
      </w:r>
      <w:r>
        <w:rPr>
          <w:rFonts w:cs="Times New Roman"/>
          <w:i/>
        </w:rPr>
        <w:t>Patient Protection and Affordable Care Act; HHS Notice of Benefit</w:t>
      </w:r>
      <w:r>
        <w:rPr>
          <w:rFonts w:cs="Times New Roman"/>
          <w:i/>
          <w:spacing w:val="-18"/>
        </w:rPr>
        <w:t xml:space="preserve"> </w:t>
      </w:r>
      <w:r>
        <w:rPr>
          <w:rFonts w:cs="Times New Roman"/>
          <w:i/>
        </w:rPr>
        <w:t xml:space="preserve">and Payment Parameters for 2017 </w:t>
      </w:r>
      <w:r>
        <w:t>(CMS-9937-P), we proposed to amend 45 CFR 156.1250 to</w:t>
      </w:r>
      <w:r>
        <w:rPr>
          <w:spacing w:val="-17"/>
        </w:rPr>
        <w:t xml:space="preserve"> </w:t>
      </w:r>
      <w:r>
        <w:t>make clarifications on standa</w:t>
      </w:r>
      <w:r>
        <w:t>rds related to the acceptance of third party payments. As part of</w:t>
      </w:r>
      <w:r>
        <w:rPr>
          <w:spacing w:val="-35"/>
        </w:rPr>
        <w:t xml:space="preserve"> </w:t>
      </w:r>
      <w:r>
        <w:t>these revisions, we proposed to require entities that make third party payments of premiums under</w:t>
      </w:r>
      <w:r>
        <w:rPr>
          <w:spacing w:val="-35"/>
        </w:rPr>
        <w:t xml:space="preserve"> </w:t>
      </w:r>
      <w:r>
        <w:t>this section</w:t>
      </w:r>
      <w:r>
        <w:rPr>
          <w:spacing w:val="-3"/>
        </w:rPr>
        <w:t xml:space="preserve"> </w:t>
      </w:r>
      <w:r>
        <w:t>to</w:t>
      </w:r>
      <w:r>
        <w:rPr>
          <w:spacing w:val="-3"/>
        </w:rPr>
        <w:t xml:space="preserve"> </w:t>
      </w:r>
      <w:r>
        <w:t>notify</w:t>
      </w:r>
      <w:r>
        <w:rPr>
          <w:spacing w:val="-10"/>
        </w:rPr>
        <w:t xml:space="preserve"> </w:t>
      </w:r>
      <w:r>
        <w:t>HHS,</w:t>
      </w:r>
      <w:r>
        <w:rPr>
          <w:spacing w:val="-3"/>
        </w:rPr>
        <w:t xml:space="preserve"> </w:t>
      </w:r>
      <w:r>
        <w:t>in</w:t>
      </w:r>
      <w:r>
        <w:rPr>
          <w:spacing w:val="-3"/>
        </w:rPr>
        <w:t xml:space="preserve"> </w:t>
      </w:r>
      <w:r>
        <w:t>a</w:t>
      </w:r>
      <w:r>
        <w:rPr>
          <w:spacing w:val="-4"/>
        </w:rPr>
        <w:t xml:space="preserve"> </w:t>
      </w:r>
      <w:r>
        <w:t>format</w:t>
      </w:r>
      <w:r>
        <w:rPr>
          <w:spacing w:val="-3"/>
        </w:rPr>
        <w:t xml:space="preserve"> </w:t>
      </w:r>
      <w:r>
        <w:t>and</w:t>
      </w:r>
      <w:r>
        <w:rPr>
          <w:spacing w:val="-3"/>
        </w:rPr>
        <w:t xml:space="preserve"> </w:t>
      </w:r>
      <w:r>
        <w:t>timeline</w:t>
      </w:r>
      <w:r>
        <w:rPr>
          <w:spacing w:val="-4"/>
        </w:rPr>
        <w:t xml:space="preserve"> </w:t>
      </w:r>
      <w:r>
        <w:t>specified</w:t>
      </w:r>
      <w:r>
        <w:rPr>
          <w:spacing w:val="-3"/>
        </w:rPr>
        <w:t xml:space="preserve"> </w:t>
      </w:r>
      <w:r>
        <w:t>in</w:t>
      </w:r>
      <w:r>
        <w:rPr>
          <w:spacing w:val="-3"/>
        </w:rPr>
        <w:t xml:space="preserve"> </w:t>
      </w:r>
      <w:r>
        <w:t>guidance.</w:t>
      </w:r>
      <w:r>
        <w:rPr>
          <w:spacing w:val="-1"/>
        </w:rPr>
        <w:t xml:space="preserve"> </w:t>
      </w:r>
      <w:r>
        <w:t>After</w:t>
      </w:r>
      <w:r>
        <w:rPr>
          <w:spacing w:val="-4"/>
        </w:rPr>
        <w:t xml:space="preserve"> </w:t>
      </w:r>
      <w:r>
        <w:t>careful</w:t>
      </w:r>
      <w:r>
        <w:rPr>
          <w:spacing w:val="-3"/>
        </w:rPr>
        <w:t xml:space="preserve"> </w:t>
      </w:r>
      <w:r>
        <w:t>ev</w:t>
      </w:r>
      <w:r>
        <w:t>aluation,</w:t>
      </w:r>
      <w:r>
        <w:rPr>
          <w:spacing w:val="-3"/>
        </w:rPr>
        <w:t xml:space="preserve"> </w:t>
      </w:r>
      <w:r>
        <w:t>and based on public comments received to the proposed rule, we are removing the</w:t>
      </w:r>
      <w:r>
        <w:rPr>
          <w:spacing w:val="-18"/>
        </w:rPr>
        <w:t xml:space="preserve"> </w:t>
      </w:r>
      <w:r>
        <w:t>information collection e. We believe it would unduly burden Indian tribes and federal, state, and</w:t>
      </w:r>
      <w:r>
        <w:rPr>
          <w:spacing w:val="-24"/>
        </w:rPr>
        <w:t xml:space="preserve"> </w:t>
      </w:r>
      <w:r>
        <w:t>local government programs to be required to provide such notificatio</w:t>
      </w:r>
      <w:r>
        <w:t>n to HHS. We also believe that</w:t>
      </w:r>
      <w:r>
        <w:rPr>
          <w:spacing w:val="-28"/>
        </w:rPr>
        <w:t xml:space="preserve"> </w:t>
      </w:r>
      <w:r>
        <w:t>the proposed information collection from these entities would be unlikely to inform the impacts on</w:t>
      </w:r>
      <w:r>
        <w:rPr>
          <w:spacing w:val="-31"/>
        </w:rPr>
        <w:t xml:space="preserve"> </w:t>
      </w:r>
      <w:r>
        <w:t>the risk pool that may result from expanding the requirement at §156.1250 to third party</w:t>
      </w:r>
      <w:r>
        <w:rPr>
          <w:spacing w:val="-37"/>
        </w:rPr>
        <w:t xml:space="preserve"> </w:t>
      </w:r>
      <w:r>
        <w:t>payments</w:t>
      </w:r>
      <w:r>
        <w:t xml:space="preserve"> made by non-profit, charitable</w:t>
      </w:r>
      <w:r>
        <w:rPr>
          <w:spacing w:val="-23"/>
        </w:rPr>
        <w:t xml:space="preserve"> </w:t>
      </w:r>
      <w:r>
        <w:t>organizations.</w:t>
      </w:r>
    </w:p>
    <w:p w:rsidR="00CB60DC" w:rsidRDefault="00CB60DC">
      <w:pPr>
        <w:spacing w:before="6"/>
        <w:rPr>
          <w:rFonts w:ascii="Times New Roman" w:eastAsia="Times New Roman" w:hAnsi="Times New Roman" w:cs="Times New Roman"/>
          <w:sz w:val="24"/>
          <w:szCs w:val="24"/>
        </w:rPr>
      </w:pPr>
    </w:p>
    <w:p w:rsidR="00CB60DC" w:rsidRDefault="00FC77D9">
      <w:pPr>
        <w:pStyle w:val="BodyText"/>
        <w:spacing w:line="247" w:lineRule="auto"/>
        <w:ind w:left="120" w:right="99"/>
      </w:pPr>
      <w:bookmarkStart w:id="5" w:name="In_§156.1256,_we_are_also_proposing_to_r"/>
      <w:bookmarkEnd w:id="5"/>
      <w:r>
        <w:rPr>
          <w:spacing w:val="-3"/>
        </w:rPr>
        <w:t xml:space="preserve">In </w:t>
      </w:r>
      <w:r>
        <w:t>§156.1256, we are also proposing to require QHP issuers, in the case of a plan or benefit</w:t>
      </w:r>
      <w:r>
        <w:rPr>
          <w:spacing w:val="-28"/>
        </w:rPr>
        <w:t xml:space="preserve"> </w:t>
      </w:r>
      <w:r>
        <w:t xml:space="preserve">display error included in 45 CFR 155.420(d)(4), to notify their enrollees within 30 calendar </w:t>
      </w:r>
      <w:r>
        <w:rPr>
          <w:spacing w:val="-3"/>
        </w:rPr>
        <w:t xml:space="preserve">days </w:t>
      </w:r>
      <w:r>
        <w:t>after</w:t>
      </w:r>
      <w:r>
        <w:rPr>
          <w:spacing w:val="-29"/>
        </w:rPr>
        <w:t xml:space="preserve"> </w:t>
      </w:r>
      <w:r>
        <w:t>the issuer</w:t>
      </w:r>
      <w:r>
        <w:rPr>
          <w:spacing w:val="-5"/>
        </w:rPr>
        <w:t xml:space="preserve"> </w:t>
      </w:r>
      <w:r>
        <w:t>is</w:t>
      </w:r>
      <w:r>
        <w:rPr>
          <w:spacing w:val="-4"/>
        </w:rPr>
        <w:t xml:space="preserve"> </w:t>
      </w:r>
      <w:r>
        <w:t>informed</w:t>
      </w:r>
      <w:r>
        <w:rPr>
          <w:spacing w:val="-4"/>
        </w:rPr>
        <w:t xml:space="preserve"> </w:t>
      </w:r>
      <w:r>
        <w:t>by</w:t>
      </w:r>
      <w:r>
        <w:rPr>
          <w:spacing w:val="-11"/>
        </w:rPr>
        <w:t xml:space="preserve"> </w:t>
      </w:r>
      <w:r>
        <w:t>an</w:t>
      </w:r>
      <w:r>
        <w:rPr>
          <w:spacing w:val="-4"/>
        </w:rPr>
        <w:t xml:space="preserve"> </w:t>
      </w:r>
      <w:r>
        <w:t>Federally-facilitated</w:t>
      </w:r>
      <w:r>
        <w:rPr>
          <w:spacing w:val="-4"/>
        </w:rPr>
        <w:t xml:space="preserve"> </w:t>
      </w:r>
      <w:r>
        <w:t>Exchange</w:t>
      </w:r>
      <w:r>
        <w:rPr>
          <w:spacing w:val="-5"/>
        </w:rPr>
        <w:t xml:space="preserve"> </w:t>
      </w:r>
      <w:r>
        <w:t>(FFE)</w:t>
      </w:r>
      <w:r>
        <w:rPr>
          <w:spacing w:val="-5"/>
        </w:rPr>
        <w:t xml:space="preserve"> </w:t>
      </w:r>
      <w:r>
        <w:t>that</w:t>
      </w:r>
      <w:r>
        <w:rPr>
          <w:spacing w:val="-4"/>
        </w:rPr>
        <w:t xml:space="preserve"> </w:t>
      </w:r>
      <w:r>
        <w:t>the</w:t>
      </w:r>
      <w:r>
        <w:rPr>
          <w:spacing w:val="-5"/>
        </w:rPr>
        <w:t xml:space="preserve"> </w:t>
      </w:r>
      <w:r>
        <w:t>error</w:t>
      </w:r>
      <w:r>
        <w:rPr>
          <w:spacing w:val="-5"/>
        </w:rPr>
        <w:t xml:space="preserve"> </w:t>
      </w:r>
      <w:r>
        <w:t>is</w:t>
      </w:r>
      <w:r>
        <w:rPr>
          <w:spacing w:val="-4"/>
        </w:rPr>
        <w:t xml:space="preserve"> </w:t>
      </w:r>
      <w:r>
        <w:t>corrected,</w:t>
      </w:r>
      <w:r>
        <w:rPr>
          <w:spacing w:val="-4"/>
        </w:rPr>
        <w:t xml:space="preserve"> </w:t>
      </w:r>
      <w:r>
        <w:t>if</w:t>
      </w:r>
      <w:r>
        <w:rPr>
          <w:spacing w:val="-5"/>
        </w:rPr>
        <w:t xml:space="preserve"> </w:t>
      </w:r>
      <w:r>
        <w:t>directed</w:t>
      </w:r>
      <w:r>
        <w:rPr>
          <w:spacing w:val="-1"/>
        </w:rPr>
        <w:t xml:space="preserve"> </w:t>
      </w:r>
      <w:r>
        <w:t>to do so by the FFE. This new requirement will provide notification to QHP enrollees of errors</w:t>
      </w:r>
      <w:r>
        <w:rPr>
          <w:spacing w:val="-40"/>
        </w:rPr>
        <w:t xml:space="preserve"> </w:t>
      </w:r>
      <w:r>
        <w:t>that may have impacted their QHP selection and enrollment and any</w:t>
      </w:r>
      <w:r>
        <w:t xml:space="preserve"> associated monthly or</w:t>
      </w:r>
      <w:r>
        <w:rPr>
          <w:spacing w:val="-41"/>
        </w:rPr>
        <w:t xml:space="preserve"> </w:t>
      </w:r>
      <w:r>
        <w:t>annual costs, as well as the availability of a special enrollment period, under §155.420(d)(4), for</w:t>
      </w:r>
      <w:r>
        <w:rPr>
          <w:spacing w:val="-26"/>
        </w:rPr>
        <w:t xml:space="preserve"> </w:t>
      </w:r>
      <w:r>
        <w:t>the enrollee to select a different QHP, if</w:t>
      </w:r>
      <w:r>
        <w:rPr>
          <w:spacing w:val="-19"/>
        </w:rPr>
        <w:t xml:space="preserve"> </w:t>
      </w:r>
      <w:r>
        <w:t>desired.</w:t>
      </w:r>
    </w:p>
    <w:p w:rsidR="00CB60DC" w:rsidRDefault="00CB60DC">
      <w:pPr>
        <w:spacing w:before="6"/>
        <w:rPr>
          <w:rFonts w:ascii="Times New Roman" w:eastAsia="Times New Roman" w:hAnsi="Times New Roman" w:cs="Times New Roman"/>
          <w:sz w:val="24"/>
          <w:szCs w:val="24"/>
        </w:rPr>
      </w:pPr>
    </w:p>
    <w:p w:rsidR="00CB60DC" w:rsidRDefault="00FC77D9">
      <w:pPr>
        <w:pStyle w:val="BodyText"/>
        <w:spacing w:line="247" w:lineRule="auto"/>
        <w:ind w:left="120" w:right="185"/>
      </w:pPr>
      <w:bookmarkStart w:id="6" w:name="The_Centers_for_Medicare_and_Medicaid_Se"/>
      <w:bookmarkEnd w:id="6"/>
      <w:r>
        <w:t>The Centers for Medicare and Medicaid Services (CMS) is creating a new informati</w:t>
      </w:r>
      <w:r>
        <w:t>on</w:t>
      </w:r>
      <w:r>
        <w:rPr>
          <w:spacing w:val="-38"/>
        </w:rPr>
        <w:t xml:space="preserve"> </w:t>
      </w:r>
      <w:r>
        <w:t>collection request (ICR) in connection with these standards. The burden estimate for this new ICR</w:t>
      </w:r>
      <w:r>
        <w:rPr>
          <w:spacing w:val="-38"/>
        </w:rPr>
        <w:t xml:space="preserve"> </w:t>
      </w:r>
      <w:r>
        <w:t>included in this package reflects the additional time and effort for QHP issuers to provide notifications</w:t>
      </w:r>
      <w:r>
        <w:rPr>
          <w:spacing w:val="-29"/>
        </w:rPr>
        <w:t xml:space="preserve"> </w:t>
      </w:r>
      <w:r>
        <w:t>to enrollees.</w:t>
      </w:r>
    </w:p>
    <w:p w:rsidR="00CB60DC" w:rsidRDefault="00CB60DC">
      <w:pPr>
        <w:spacing w:line="247" w:lineRule="auto"/>
        <w:sectPr w:rsidR="00CB60DC">
          <w:footerReference w:type="default" r:id="rId7"/>
          <w:type w:val="continuous"/>
          <w:pgSz w:w="12240" w:h="15840"/>
          <w:pgMar w:top="1400" w:right="1200" w:bottom="1780" w:left="1320" w:header="720" w:footer="1584" w:gutter="0"/>
          <w:pgNumType w:start="1"/>
          <w:cols w:space="720"/>
        </w:sectPr>
      </w:pPr>
    </w:p>
    <w:p w:rsidR="00CB60DC" w:rsidRDefault="00FC77D9">
      <w:pPr>
        <w:pStyle w:val="Heading2"/>
        <w:numPr>
          <w:ilvl w:val="0"/>
          <w:numId w:val="4"/>
        </w:numPr>
        <w:tabs>
          <w:tab w:val="left" w:pos="381"/>
        </w:tabs>
        <w:ind w:left="380" w:right="185" w:hanging="280"/>
        <w:rPr>
          <w:b w:val="0"/>
          <w:bCs w:val="0"/>
        </w:rPr>
      </w:pPr>
      <w:bookmarkStart w:id="7" w:name="B._Justification"/>
      <w:bookmarkEnd w:id="7"/>
      <w:r>
        <w:lastRenderedPageBreak/>
        <w:t>Justification</w:t>
      </w:r>
    </w:p>
    <w:p w:rsidR="00CB60DC" w:rsidRDefault="00CB60DC">
      <w:pPr>
        <w:spacing w:before="6"/>
        <w:rPr>
          <w:rFonts w:ascii="Times New Roman" w:eastAsia="Times New Roman" w:hAnsi="Times New Roman" w:cs="Times New Roman"/>
          <w:b/>
          <w:bCs/>
          <w:sz w:val="27"/>
          <w:szCs w:val="27"/>
        </w:rPr>
      </w:pPr>
    </w:p>
    <w:p w:rsidR="00CB60DC" w:rsidRDefault="00FC77D9">
      <w:pPr>
        <w:pStyle w:val="ListParagraph"/>
        <w:numPr>
          <w:ilvl w:val="0"/>
          <w:numId w:val="3"/>
        </w:numPr>
        <w:tabs>
          <w:tab w:val="left" w:pos="460"/>
        </w:tabs>
        <w:ind w:right="185"/>
        <w:rPr>
          <w:rFonts w:ascii="Times New Roman" w:eastAsia="Times New Roman" w:hAnsi="Times New Roman" w:cs="Times New Roman"/>
          <w:sz w:val="24"/>
          <w:szCs w:val="24"/>
        </w:rPr>
      </w:pPr>
      <w:bookmarkStart w:id="8" w:name="1._Need_and_Legal_Basis"/>
      <w:bookmarkEnd w:id="8"/>
      <w:r>
        <w:rPr>
          <w:rFonts w:ascii="Times New Roman"/>
          <w:sz w:val="24"/>
          <w:u w:val="single" w:color="000000"/>
        </w:rPr>
        <w:t xml:space="preserve">Need and </w:t>
      </w:r>
      <w:r>
        <w:rPr>
          <w:rFonts w:ascii="Times New Roman"/>
          <w:spacing w:val="-3"/>
          <w:sz w:val="24"/>
          <w:u w:val="single" w:color="000000"/>
        </w:rPr>
        <w:t>Legal</w:t>
      </w:r>
      <w:r>
        <w:rPr>
          <w:rFonts w:ascii="Times New Roman"/>
          <w:sz w:val="24"/>
          <w:u w:val="single" w:color="000000"/>
        </w:rPr>
        <w:t xml:space="preserve"> Basis</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line="247" w:lineRule="auto"/>
        <w:ind w:right="247"/>
      </w:pPr>
      <w:bookmarkStart w:id="9" w:name="Under_proposed_§156.1256,_a_QHP_issuer_o"/>
      <w:bookmarkEnd w:id="9"/>
      <w:r>
        <w:t>Under proposed §156.1256, a QHP issuer on an FFE must, in the case of a plan or benefit</w:t>
      </w:r>
      <w:r>
        <w:rPr>
          <w:spacing w:val="-28"/>
        </w:rPr>
        <w:t xml:space="preserve"> </w:t>
      </w:r>
      <w:r>
        <w:t>display</w:t>
      </w:r>
      <w:r>
        <w:t xml:space="preserve"> error included in §155.420(d)(4), notify their enrollees within 30 calendar </w:t>
      </w:r>
      <w:r>
        <w:rPr>
          <w:spacing w:val="-3"/>
        </w:rPr>
        <w:t xml:space="preserve">days </w:t>
      </w:r>
      <w:r>
        <w:t>after the issuer</w:t>
      </w:r>
      <w:r>
        <w:rPr>
          <w:spacing w:val="-30"/>
        </w:rPr>
        <w:t xml:space="preserve"> </w:t>
      </w:r>
      <w:r>
        <w:t>is informed</w:t>
      </w:r>
      <w:r>
        <w:rPr>
          <w:spacing w:val="-2"/>
        </w:rPr>
        <w:t xml:space="preserve"> </w:t>
      </w:r>
      <w:r>
        <w:t>by</w:t>
      </w:r>
      <w:r>
        <w:rPr>
          <w:spacing w:val="-10"/>
        </w:rPr>
        <w:t xml:space="preserve"> </w:t>
      </w:r>
      <w:r>
        <w:t>the</w:t>
      </w:r>
      <w:r>
        <w:rPr>
          <w:spacing w:val="-3"/>
        </w:rPr>
        <w:t xml:space="preserve"> </w:t>
      </w:r>
      <w:r>
        <w:t>FFE</w:t>
      </w:r>
      <w:r>
        <w:rPr>
          <w:spacing w:val="-3"/>
        </w:rPr>
        <w:t xml:space="preserve"> </w:t>
      </w:r>
      <w:r>
        <w:t>that</w:t>
      </w:r>
      <w:r>
        <w:rPr>
          <w:spacing w:val="-2"/>
        </w:rPr>
        <w:t xml:space="preserve"> </w:t>
      </w:r>
      <w:r>
        <w:t>the</w:t>
      </w:r>
      <w:r>
        <w:rPr>
          <w:spacing w:val="-3"/>
        </w:rPr>
        <w:t xml:space="preserve"> </w:t>
      </w:r>
      <w:r>
        <w:t>error</w:t>
      </w:r>
      <w:r>
        <w:rPr>
          <w:spacing w:val="-3"/>
        </w:rPr>
        <w:t xml:space="preserve"> </w:t>
      </w:r>
      <w:r>
        <w:t>is</w:t>
      </w:r>
      <w:r>
        <w:rPr>
          <w:spacing w:val="-2"/>
        </w:rPr>
        <w:t xml:space="preserve"> </w:t>
      </w:r>
      <w:r>
        <w:t>corrected,</w:t>
      </w:r>
      <w:r>
        <w:rPr>
          <w:spacing w:val="-2"/>
        </w:rPr>
        <w:t xml:space="preserve"> </w:t>
      </w:r>
      <w:r>
        <w:t>if</w:t>
      </w:r>
      <w:r>
        <w:rPr>
          <w:spacing w:val="-3"/>
        </w:rPr>
        <w:t xml:space="preserve"> </w:t>
      </w:r>
      <w:r>
        <w:t>directed</w:t>
      </w:r>
      <w:r>
        <w:rPr>
          <w:spacing w:val="-2"/>
        </w:rPr>
        <w:t xml:space="preserve"> </w:t>
      </w:r>
      <w:r>
        <w:t>to</w:t>
      </w:r>
      <w:r>
        <w:rPr>
          <w:spacing w:val="-2"/>
        </w:rPr>
        <w:t xml:space="preserve"> </w:t>
      </w:r>
      <w:r>
        <w:t>do</w:t>
      </w:r>
      <w:r>
        <w:rPr>
          <w:spacing w:val="-2"/>
        </w:rPr>
        <w:t xml:space="preserve"> </w:t>
      </w:r>
      <w:r>
        <w:t>so</w:t>
      </w:r>
      <w:r>
        <w:rPr>
          <w:spacing w:val="-2"/>
        </w:rPr>
        <w:t xml:space="preserve"> </w:t>
      </w:r>
      <w:r>
        <w:t>by</w:t>
      </w:r>
      <w:r>
        <w:rPr>
          <w:spacing w:val="-10"/>
        </w:rPr>
        <w:t xml:space="preserve"> </w:t>
      </w:r>
      <w:r>
        <w:t>the</w:t>
      </w:r>
      <w:r>
        <w:rPr>
          <w:spacing w:val="-3"/>
        </w:rPr>
        <w:t xml:space="preserve"> </w:t>
      </w:r>
      <w:r>
        <w:t>FFE.</w:t>
      </w:r>
      <w:r>
        <w:rPr>
          <w:spacing w:val="-2"/>
        </w:rPr>
        <w:t xml:space="preserve"> </w:t>
      </w:r>
      <w:r>
        <w:t>We</w:t>
      </w:r>
      <w:r>
        <w:rPr>
          <w:spacing w:val="-3"/>
        </w:rPr>
        <w:t xml:space="preserve"> </w:t>
      </w:r>
      <w:r>
        <w:t>believe</w:t>
      </w:r>
      <w:r>
        <w:rPr>
          <w:spacing w:val="-3"/>
        </w:rPr>
        <w:t xml:space="preserve"> </w:t>
      </w:r>
      <w:r>
        <w:t>that enrollees</w:t>
      </w:r>
      <w:r>
        <w:rPr>
          <w:spacing w:val="-2"/>
        </w:rPr>
        <w:t xml:space="preserve"> </w:t>
      </w:r>
      <w:r>
        <w:t>should</w:t>
      </w:r>
      <w:r>
        <w:rPr>
          <w:spacing w:val="-2"/>
        </w:rPr>
        <w:t xml:space="preserve"> </w:t>
      </w:r>
      <w:r>
        <w:t>be</w:t>
      </w:r>
      <w:r>
        <w:rPr>
          <w:spacing w:val="-3"/>
        </w:rPr>
        <w:t xml:space="preserve"> </w:t>
      </w:r>
      <w:r>
        <w:t>made</w:t>
      </w:r>
      <w:r>
        <w:rPr>
          <w:spacing w:val="-3"/>
        </w:rPr>
        <w:t xml:space="preserve"> </w:t>
      </w:r>
      <w:r>
        <w:t>aware</w:t>
      </w:r>
      <w:r>
        <w:rPr>
          <w:spacing w:val="-3"/>
        </w:rPr>
        <w:t xml:space="preserve"> </w:t>
      </w:r>
      <w:r>
        <w:t>of</w:t>
      </w:r>
      <w:r>
        <w:rPr>
          <w:spacing w:val="-3"/>
        </w:rPr>
        <w:t xml:space="preserve"> </w:t>
      </w:r>
      <w:r>
        <w:t>any</w:t>
      </w:r>
      <w:r>
        <w:rPr>
          <w:spacing w:val="-10"/>
        </w:rPr>
        <w:t xml:space="preserve"> </w:t>
      </w:r>
      <w:r>
        <w:t>error</w:t>
      </w:r>
      <w:r>
        <w:rPr>
          <w:spacing w:val="-3"/>
        </w:rPr>
        <w:t xml:space="preserve"> </w:t>
      </w:r>
      <w:r>
        <w:t>that</w:t>
      </w:r>
      <w:r>
        <w:rPr>
          <w:spacing w:val="-2"/>
        </w:rPr>
        <w:t xml:space="preserve"> </w:t>
      </w:r>
      <w:r>
        <w:t>may</w:t>
      </w:r>
      <w:r>
        <w:rPr>
          <w:spacing w:val="-10"/>
        </w:rPr>
        <w:t xml:space="preserve"> </w:t>
      </w:r>
      <w:r>
        <w:t>have</w:t>
      </w:r>
      <w:r>
        <w:rPr>
          <w:spacing w:val="-3"/>
        </w:rPr>
        <w:t xml:space="preserve"> </w:t>
      </w:r>
      <w:r>
        <w:t>impacted</w:t>
      </w:r>
      <w:r>
        <w:rPr>
          <w:spacing w:val="-3"/>
        </w:rPr>
        <w:t xml:space="preserve"> </w:t>
      </w:r>
      <w:r>
        <w:t>their</w:t>
      </w:r>
      <w:r>
        <w:rPr>
          <w:spacing w:val="-3"/>
        </w:rPr>
        <w:t xml:space="preserve"> </w:t>
      </w:r>
      <w:r>
        <w:t>QHP</w:t>
      </w:r>
      <w:r>
        <w:rPr>
          <w:spacing w:val="-2"/>
        </w:rPr>
        <w:t xml:space="preserve"> </w:t>
      </w:r>
      <w:r>
        <w:t>selection</w:t>
      </w:r>
      <w:r>
        <w:rPr>
          <w:spacing w:val="-2"/>
        </w:rPr>
        <w:t xml:space="preserve"> </w:t>
      </w:r>
      <w:r>
        <w:t>and enrollment and any associated monthly or annual costs. Therefore, we are proposing</w:t>
      </w:r>
      <w:r>
        <w:rPr>
          <w:spacing w:val="-32"/>
        </w:rPr>
        <w:t xml:space="preserve"> </w:t>
      </w:r>
      <w:r>
        <w:t>a requirement for issuers to notify their enrollees of such error, should such error occur, as well</w:t>
      </w:r>
      <w:r>
        <w:rPr>
          <w:spacing w:val="-38"/>
        </w:rPr>
        <w:t xml:space="preserve"> </w:t>
      </w:r>
      <w:r>
        <w:t>as the availability of a special en</w:t>
      </w:r>
      <w:r>
        <w:t>rollment period, under §155.420(d)(4), for the enrollee to select</w:t>
      </w:r>
      <w:r>
        <w:rPr>
          <w:spacing w:val="-34"/>
        </w:rPr>
        <w:t xml:space="preserve"> </w:t>
      </w:r>
      <w:r>
        <w:t>a different QHP, if</w:t>
      </w:r>
      <w:r>
        <w:rPr>
          <w:spacing w:val="-11"/>
        </w:rPr>
        <w:t xml:space="preserve"> </w:t>
      </w:r>
      <w:r>
        <w:t>desired.</w:t>
      </w:r>
    </w:p>
    <w:p w:rsidR="00CB60DC" w:rsidRDefault="00CB60DC">
      <w:pPr>
        <w:spacing w:before="3"/>
        <w:rPr>
          <w:rFonts w:ascii="Times New Roman" w:eastAsia="Times New Roman" w:hAnsi="Times New Roman" w:cs="Times New Roman"/>
          <w:sz w:val="27"/>
          <w:szCs w:val="27"/>
        </w:rPr>
      </w:pPr>
    </w:p>
    <w:p w:rsidR="00CB60DC" w:rsidRDefault="00FC77D9">
      <w:pPr>
        <w:pStyle w:val="ListParagraph"/>
        <w:numPr>
          <w:ilvl w:val="0"/>
          <w:numId w:val="3"/>
        </w:numPr>
        <w:tabs>
          <w:tab w:val="left" w:pos="460"/>
        </w:tabs>
        <w:ind w:right="185"/>
        <w:rPr>
          <w:rFonts w:ascii="Times New Roman" w:eastAsia="Times New Roman" w:hAnsi="Times New Roman" w:cs="Times New Roman"/>
          <w:sz w:val="24"/>
          <w:szCs w:val="24"/>
        </w:rPr>
      </w:pPr>
      <w:bookmarkStart w:id="10" w:name="2._Information_Users"/>
      <w:bookmarkEnd w:id="10"/>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line="247" w:lineRule="auto"/>
        <w:ind w:right="185"/>
      </w:pPr>
      <w:bookmarkStart w:id="11" w:name="The_notifications_that_the_QHP_issuers_w"/>
      <w:bookmarkEnd w:id="11"/>
      <w:r>
        <w:t>The notifications that the QHP issuers will be required to send under this information</w:t>
      </w:r>
      <w:r>
        <w:rPr>
          <w:spacing w:val="-22"/>
        </w:rPr>
        <w:t xml:space="preserve"> </w:t>
      </w:r>
      <w:r>
        <w:t>collection will</w:t>
      </w:r>
      <w:r>
        <w:rPr>
          <w:spacing w:val="-2"/>
        </w:rPr>
        <w:t xml:space="preserve"> </w:t>
      </w:r>
      <w:r>
        <w:t>be</w:t>
      </w:r>
      <w:r>
        <w:rPr>
          <w:spacing w:val="-3"/>
        </w:rPr>
        <w:t xml:space="preserve"> </w:t>
      </w:r>
      <w:r>
        <w:t>sent</w:t>
      </w:r>
      <w:r>
        <w:rPr>
          <w:spacing w:val="-2"/>
        </w:rPr>
        <w:t xml:space="preserve"> </w:t>
      </w:r>
      <w:r>
        <w:t>to</w:t>
      </w:r>
      <w:r>
        <w:rPr>
          <w:spacing w:val="-2"/>
        </w:rPr>
        <w:t xml:space="preserve"> </w:t>
      </w:r>
      <w:r>
        <w:t>the</w:t>
      </w:r>
      <w:r>
        <w:rPr>
          <w:spacing w:val="-3"/>
        </w:rPr>
        <w:t xml:space="preserve"> </w:t>
      </w:r>
      <w:r>
        <w:t>QHP</w:t>
      </w:r>
      <w:r>
        <w:rPr>
          <w:spacing w:val="-2"/>
        </w:rPr>
        <w:t xml:space="preserve"> </w:t>
      </w:r>
      <w:r>
        <w:t>issuers’</w:t>
      </w:r>
      <w:r>
        <w:rPr>
          <w:spacing w:val="-3"/>
        </w:rPr>
        <w:t xml:space="preserve"> </w:t>
      </w:r>
      <w:r>
        <w:t>enrollees</w:t>
      </w:r>
      <w:r>
        <w:rPr>
          <w:spacing w:val="-2"/>
        </w:rPr>
        <w:t xml:space="preserve"> </w:t>
      </w:r>
      <w:r>
        <w:t>who</w:t>
      </w:r>
      <w:r>
        <w:rPr>
          <w:spacing w:val="-2"/>
        </w:rPr>
        <w:t xml:space="preserve"> </w:t>
      </w:r>
      <w:r>
        <w:t>may</w:t>
      </w:r>
      <w:r>
        <w:rPr>
          <w:spacing w:val="-9"/>
        </w:rPr>
        <w:t xml:space="preserve"> </w:t>
      </w:r>
      <w:r>
        <w:t>be</w:t>
      </w:r>
      <w:r>
        <w:rPr>
          <w:spacing w:val="-3"/>
        </w:rPr>
        <w:t xml:space="preserve"> </w:t>
      </w:r>
      <w:r>
        <w:t>adversely</w:t>
      </w:r>
      <w:r>
        <w:rPr>
          <w:spacing w:val="-9"/>
        </w:rPr>
        <w:t xml:space="preserve"> </w:t>
      </w:r>
      <w:r>
        <w:t>affected</w:t>
      </w:r>
      <w:r>
        <w:rPr>
          <w:spacing w:val="-2"/>
        </w:rPr>
        <w:t xml:space="preserve"> </w:t>
      </w:r>
      <w:r>
        <w:t>by</w:t>
      </w:r>
      <w:r>
        <w:rPr>
          <w:spacing w:val="-9"/>
        </w:rPr>
        <w:t xml:space="preserve"> </w:t>
      </w:r>
      <w:r>
        <w:t>an</w:t>
      </w:r>
      <w:r>
        <w:rPr>
          <w:spacing w:val="-2"/>
        </w:rPr>
        <w:t xml:space="preserve"> </w:t>
      </w:r>
      <w:r>
        <w:t>error</w:t>
      </w:r>
      <w:r>
        <w:rPr>
          <w:spacing w:val="-3"/>
        </w:rPr>
        <w:t xml:space="preserve"> </w:t>
      </w:r>
      <w:r>
        <w:t>in</w:t>
      </w:r>
      <w:r>
        <w:rPr>
          <w:spacing w:val="-2"/>
        </w:rPr>
        <w:t xml:space="preserve"> </w:t>
      </w:r>
      <w:r>
        <w:t>plan</w:t>
      </w:r>
      <w:r>
        <w:rPr>
          <w:spacing w:val="-2"/>
        </w:rPr>
        <w:t xml:space="preserve"> </w:t>
      </w:r>
      <w:r>
        <w:t>or benefit data displayed during their QHP selection. The notifications are intended to inform</w:t>
      </w:r>
      <w:r>
        <w:rPr>
          <w:spacing w:val="-28"/>
        </w:rPr>
        <w:t xml:space="preserve"> </w:t>
      </w:r>
      <w:r>
        <w:t>the consumer about his or her health insurance coverage to make choices based on accurate plan</w:t>
      </w:r>
      <w:r>
        <w:rPr>
          <w:spacing w:val="-38"/>
        </w:rPr>
        <w:t xml:space="preserve"> </w:t>
      </w:r>
      <w:r>
        <w:t>data.</w:t>
      </w:r>
    </w:p>
    <w:p w:rsidR="00CB60DC" w:rsidRDefault="00CB60DC">
      <w:pPr>
        <w:spacing w:before="3"/>
        <w:rPr>
          <w:rFonts w:ascii="Times New Roman" w:eastAsia="Times New Roman" w:hAnsi="Times New Roman" w:cs="Times New Roman"/>
          <w:sz w:val="27"/>
          <w:szCs w:val="27"/>
        </w:rPr>
      </w:pPr>
    </w:p>
    <w:p w:rsidR="00CB60DC" w:rsidRDefault="00FC77D9">
      <w:pPr>
        <w:pStyle w:val="ListParagraph"/>
        <w:numPr>
          <w:ilvl w:val="0"/>
          <w:numId w:val="3"/>
        </w:numPr>
        <w:tabs>
          <w:tab w:val="left" w:pos="460"/>
        </w:tabs>
        <w:ind w:right="185"/>
        <w:rPr>
          <w:rFonts w:ascii="Times New Roman" w:eastAsia="Times New Roman" w:hAnsi="Times New Roman" w:cs="Times New Roman"/>
          <w:sz w:val="24"/>
          <w:szCs w:val="24"/>
        </w:rPr>
      </w:pPr>
      <w:bookmarkStart w:id="12" w:name="3._Use_of_Information_Technology"/>
      <w:bookmarkEnd w:id="12"/>
      <w:r>
        <w:rPr>
          <w:rFonts w:ascii="Times New Roman"/>
          <w:sz w:val="24"/>
          <w:u w:val="single" w:color="000000"/>
        </w:rPr>
        <w:t>Use of In</w:t>
      </w:r>
      <w:r>
        <w:rPr>
          <w:rFonts w:ascii="Times New Roman"/>
          <w:sz w:val="24"/>
          <w:u w:val="single" w:color="000000"/>
        </w:rPr>
        <w:t>formation</w:t>
      </w:r>
      <w:r>
        <w:rPr>
          <w:rFonts w:ascii="Times New Roman"/>
          <w:spacing w:val="-3"/>
          <w:sz w:val="24"/>
          <w:u w:val="single" w:color="000000"/>
        </w:rPr>
        <w:t xml:space="preserve"> </w:t>
      </w:r>
      <w:r>
        <w:rPr>
          <w:rFonts w:ascii="Times New Roman"/>
          <w:sz w:val="24"/>
          <w:u w:val="single" w:color="000000"/>
        </w:rPr>
        <w:t>Technology</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line="247" w:lineRule="auto"/>
        <w:ind w:right="185"/>
      </w:pPr>
      <w:bookmarkStart w:id="13" w:name="CMS_anticipates_that_QHP_issuers_will_us"/>
      <w:bookmarkEnd w:id="13"/>
      <w:r>
        <w:t>CMS</w:t>
      </w:r>
      <w:r>
        <w:rPr>
          <w:spacing w:val="-3"/>
        </w:rPr>
        <w:t xml:space="preserve"> </w:t>
      </w:r>
      <w:r>
        <w:t>anticipates</w:t>
      </w:r>
      <w:r>
        <w:rPr>
          <w:spacing w:val="-3"/>
        </w:rPr>
        <w:t xml:space="preserve"> </w:t>
      </w:r>
      <w:r>
        <w:t>that</w:t>
      </w:r>
      <w:r>
        <w:rPr>
          <w:spacing w:val="-3"/>
        </w:rPr>
        <w:t xml:space="preserve"> </w:t>
      </w:r>
      <w:r>
        <w:t>QHP</w:t>
      </w:r>
      <w:r>
        <w:rPr>
          <w:spacing w:val="-3"/>
        </w:rPr>
        <w:t xml:space="preserve"> </w:t>
      </w:r>
      <w:r>
        <w:t>issuers</w:t>
      </w:r>
      <w:r>
        <w:rPr>
          <w:spacing w:val="-3"/>
        </w:rPr>
        <w:t xml:space="preserve"> </w:t>
      </w:r>
      <w:r>
        <w:t>will</w:t>
      </w:r>
      <w:r>
        <w:rPr>
          <w:spacing w:val="-3"/>
        </w:rPr>
        <w:t xml:space="preserve"> </w:t>
      </w:r>
      <w:r>
        <w:t>use</w:t>
      </w:r>
      <w:r>
        <w:rPr>
          <w:spacing w:val="-4"/>
        </w:rPr>
        <w:t xml:space="preserve"> </w:t>
      </w:r>
      <w:r>
        <w:t>their</w:t>
      </w:r>
      <w:r>
        <w:rPr>
          <w:spacing w:val="-4"/>
        </w:rPr>
        <w:t xml:space="preserve"> </w:t>
      </w:r>
      <w:r>
        <w:t>claims</w:t>
      </w:r>
      <w:r>
        <w:rPr>
          <w:spacing w:val="-3"/>
        </w:rPr>
        <w:t xml:space="preserve"> </w:t>
      </w:r>
      <w:r>
        <w:t>data</w:t>
      </w:r>
      <w:r>
        <w:rPr>
          <w:spacing w:val="-4"/>
        </w:rPr>
        <w:t xml:space="preserve"> </w:t>
      </w:r>
      <w:r>
        <w:t>systems</w:t>
      </w:r>
      <w:r>
        <w:rPr>
          <w:spacing w:val="-3"/>
        </w:rPr>
        <w:t xml:space="preserve"> </w:t>
      </w:r>
      <w:r>
        <w:t>to</w:t>
      </w:r>
      <w:r>
        <w:rPr>
          <w:spacing w:val="-3"/>
        </w:rPr>
        <w:t xml:space="preserve"> </w:t>
      </w:r>
      <w:r>
        <w:t>identify</w:t>
      </w:r>
      <w:r>
        <w:rPr>
          <w:spacing w:val="-10"/>
        </w:rPr>
        <w:t xml:space="preserve"> </w:t>
      </w:r>
      <w:r>
        <w:t>enrollees</w:t>
      </w:r>
      <w:r>
        <w:rPr>
          <w:spacing w:val="-3"/>
        </w:rPr>
        <w:t xml:space="preserve"> </w:t>
      </w:r>
      <w:r>
        <w:t>that</w:t>
      </w:r>
      <w:r>
        <w:rPr>
          <w:spacing w:val="-3"/>
        </w:rPr>
        <w:t xml:space="preserve"> </w:t>
      </w:r>
      <w:r>
        <w:t>need</w:t>
      </w:r>
      <w:r>
        <w:rPr>
          <w:spacing w:val="-1"/>
        </w:rPr>
        <w:t xml:space="preserve"> </w:t>
      </w:r>
      <w:r>
        <w:t>to be notified. The notification can be sent to the enrollee electronically or by</w:t>
      </w:r>
      <w:r>
        <w:rPr>
          <w:spacing w:val="-41"/>
        </w:rPr>
        <w:t xml:space="preserve"> </w:t>
      </w:r>
      <w:r>
        <w:t>mail.</w:t>
      </w:r>
    </w:p>
    <w:p w:rsidR="00CB60DC" w:rsidRDefault="00CB60DC">
      <w:pPr>
        <w:spacing w:before="3"/>
        <w:rPr>
          <w:rFonts w:ascii="Times New Roman" w:eastAsia="Times New Roman" w:hAnsi="Times New Roman" w:cs="Times New Roman"/>
          <w:sz w:val="27"/>
          <w:szCs w:val="27"/>
        </w:rPr>
      </w:pPr>
    </w:p>
    <w:p w:rsidR="00CB60DC" w:rsidRDefault="00FC77D9">
      <w:pPr>
        <w:pStyle w:val="ListParagraph"/>
        <w:numPr>
          <w:ilvl w:val="0"/>
          <w:numId w:val="3"/>
        </w:numPr>
        <w:tabs>
          <w:tab w:val="left" w:pos="460"/>
        </w:tabs>
        <w:ind w:right="185"/>
        <w:rPr>
          <w:rFonts w:ascii="Times New Roman" w:eastAsia="Times New Roman" w:hAnsi="Times New Roman" w:cs="Times New Roman"/>
          <w:sz w:val="24"/>
          <w:szCs w:val="24"/>
        </w:rPr>
      </w:pPr>
      <w:bookmarkStart w:id="14" w:name="4._Duplication_of_Efforts"/>
      <w:bookmarkEnd w:id="14"/>
      <w:r>
        <w:rPr>
          <w:rFonts w:ascii="Times New Roman"/>
          <w:sz w:val="24"/>
          <w:u w:val="single" w:color="000000"/>
        </w:rPr>
        <w:t>Duplication of</w:t>
      </w:r>
      <w:r>
        <w:rPr>
          <w:rFonts w:ascii="Times New Roman"/>
          <w:spacing w:val="-2"/>
          <w:sz w:val="24"/>
          <w:u w:val="single" w:color="000000"/>
        </w:rPr>
        <w:t xml:space="preserve"> </w:t>
      </w:r>
      <w:r>
        <w:rPr>
          <w:rFonts w:ascii="Times New Roman"/>
          <w:sz w:val="24"/>
          <w:u w:val="single" w:color="000000"/>
        </w:rPr>
        <w:t>Efforts</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ind w:left="531" w:right="185"/>
      </w:pPr>
      <w:bookmarkStart w:id="15" w:name="Notices_to_enrollees_under_proposed_§156"/>
      <w:bookmarkEnd w:id="15"/>
      <w:r>
        <w:t>Notices to enrollees under proposed §156.1256 do not duplicate any other Federal</w:t>
      </w:r>
      <w:r>
        <w:rPr>
          <w:spacing w:val="-35"/>
        </w:rPr>
        <w:t xml:space="preserve"> </w:t>
      </w:r>
      <w:r>
        <w:t>effort.</w:t>
      </w:r>
    </w:p>
    <w:p w:rsidR="00CB60DC" w:rsidRDefault="00CB60DC">
      <w:pPr>
        <w:spacing w:before="11"/>
        <w:rPr>
          <w:rFonts w:ascii="Times New Roman" w:eastAsia="Times New Roman" w:hAnsi="Times New Roman" w:cs="Times New Roman"/>
          <w:sz w:val="27"/>
          <w:szCs w:val="27"/>
        </w:rPr>
      </w:pPr>
    </w:p>
    <w:p w:rsidR="00CB60DC" w:rsidRDefault="00FC77D9">
      <w:pPr>
        <w:pStyle w:val="ListParagraph"/>
        <w:numPr>
          <w:ilvl w:val="0"/>
          <w:numId w:val="3"/>
        </w:numPr>
        <w:tabs>
          <w:tab w:val="left" w:pos="460"/>
        </w:tabs>
        <w:ind w:right="185"/>
        <w:rPr>
          <w:rFonts w:ascii="Times New Roman" w:eastAsia="Times New Roman" w:hAnsi="Times New Roman" w:cs="Times New Roman"/>
          <w:sz w:val="24"/>
          <w:szCs w:val="24"/>
        </w:rPr>
      </w:pPr>
      <w:bookmarkStart w:id="16" w:name="5._Small_Businesses"/>
      <w:bookmarkEnd w:id="16"/>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ind w:right="185"/>
      </w:pPr>
      <w:bookmarkStart w:id="17" w:name="We_do_not_anticipate_that_small_business"/>
      <w:bookmarkEnd w:id="17"/>
      <w:r>
        <w:t>We do not anticipate that small businesses will be significantly burdened by this data</w:t>
      </w:r>
      <w:r>
        <w:rPr>
          <w:spacing w:val="-40"/>
        </w:rPr>
        <w:t xml:space="preserve"> </w:t>
      </w:r>
      <w:r>
        <w:t>collection.</w:t>
      </w:r>
    </w:p>
    <w:p w:rsidR="00CB60DC" w:rsidRDefault="00CB60DC">
      <w:pPr>
        <w:spacing w:before="11"/>
        <w:rPr>
          <w:rFonts w:ascii="Times New Roman" w:eastAsia="Times New Roman" w:hAnsi="Times New Roman" w:cs="Times New Roman"/>
          <w:sz w:val="26"/>
          <w:szCs w:val="26"/>
        </w:rPr>
      </w:pPr>
    </w:p>
    <w:p w:rsidR="00CB60DC" w:rsidRDefault="00FC77D9">
      <w:pPr>
        <w:pStyle w:val="ListParagraph"/>
        <w:numPr>
          <w:ilvl w:val="0"/>
          <w:numId w:val="3"/>
        </w:numPr>
        <w:tabs>
          <w:tab w:val="left" w:pos="460"/>
        </w:tabs>
        <w:ind w:right="185"/>
        <w:rPr>
          <w:rFonts w:ascii="Times New Roman" w:eastAsia="Times New Roman" w:hAnsi="Times New Roman" w:cs="Times New Roman"/>
          <w:sz w:val="24"/>
          <w:szCs w:val="24"/>
        </w:rPr>
      </w:pPr>
      <w:bookmarkStart w:id="18" w:name="6._Less_Frequent_Collection"/>
      <w:bookmarkEnd w:id="18"/>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line="247" w:lineRule="auto"/>
        <w:ind w:right="115"/>
      </w:pPr>
      <w:bookmarkStart w:id="19" w:name="The_burden_associated_with_this_informat"/>
      <w:bookmarkEnd w:id="19"/>
      <w:r>
        <w:t xml:space="preserve">The burden associated </w:t>
      </w:r>
      <w:r>
        <w:t>with this information collection consists of QHP issuers in an FFE</w:t>
      </w:r>
      <w:r>
        <w:rPr>
          <w:spacing w:val="-37"/>
        </w:rPr>
        <w:t xml:space="preserve"> </w:t>
      </w:r>
      <w:r>
        <w:t>notifying enrollees about the plan’s incorrect plan display. Additionally, accurate plan data is needed</w:t>
      </w:r>
      <w:r>
        <w:rPr>
          <w:spacing w:val="-7"/>
        </w:rPr>
        <w:t xml:space="preserve"> </w:t>
      </w:r>
      <w:r>
        <w:t>to make this information available to the plan’s enrollees. We recognize that the not</w:t>
      </w:r>
      <w:r>
        <w:t>ification of</w:t>
      </w:r>
      <w:r>
        <w:rPr>
          <w:spacing w:val="-23"/>
        </w:rPr>
        <w:t xml:space="preserve"> </w:t>
      </w:r>
      <w:r>
        <w:t>the plan display error is a good faith effort as there are certain situations that the issuer</w:t>
      </w:r>
      <w:r>
        <w:rPr>
          <w:spacing w:val="-29"/>
        </w:rPr>
        <w:t xml:space="preserve"> </w:t>
      </w:r>
      <w:r>
        <w:t xml:space="preserve">cannot anticipate. For these reasons, the regulation requires the notification 30 calendar </w:t>
      </w:r>
      <w:r>
        <w:rPr>
          <w:spacing w:val="-3"/>
        </w:rPr>
        <w:t xml:space="preserve">days </w:t>
      </w:r>
      <w:r>
        <w:t>after</w:t>
      </w:r>
      <w:r>
        <w:rPr>
          <w:spacing w:val="-20"/>
        </w:rPr>
        <w:t xml:space="preserve"> </w:t>
      </w:r>
      <w:r>
        <w:t>the</w:t>
      </w:r>
      <w:r>
        <w:t xml:space="preserve"> issuer is informed by the FFE that the error entitling affected enrollees to a special</w:t>
      </w:r>
      <w:r>
        <w:rPr>
          <w:spacing w:val="-35"/>
        </w:rPr>
        <w:t xml:space="preserve"> </w:t>
      </w:r>
      <w:r>
        <w:t>enrollment period has been</w:t>
      </w:r>
      <w:r>
        <w:rPr>
          <w:spacing w:val="-11"/>
        </w:rPr>
        <w:t xml:space="preserve"> </w:t>
      </w:r>
      <w:r>
        <w:t>corrected.</w:t>
      </w:r>
    </w:p>
    <w:p w:rsidR="00CB60DC" w:rsidRDefault="00CB60DC">
      <w:pPr>
        <w:spacing w:line="247" w:lineRule="auto"/>
        <w:sectPr w:rsidR="00CB60DC">
          <w:pgSz w:w="12240" w:h="15840"/>
          <w:pgMar w:top="1380" w:right="1180" w:bottom="1780" w:left="1340" w:header="0" w:footer="1584" w:gutter="0"/>
          <w:cols w:space="720"/>
        </w:sectPr>
      </w:pPr>
    </w:p>
    <w:p w:rsidR="00CB60DC" w:rsidRDefault="00FC77D9">
      <w:pPr>
        <w:pStyle w:val="ListParagraph"/>
        <w:numPr>
          <w:ilvl w:val="0"/>
          <w:numId w:val="3"/>
        </w:numPr>
        <w:tabs>
          <w:tab w:val="left" w:pos="480"/>
        </w:tabs>
        <w:spacing w:before="44"/>
        <w:ind w:left="480" w:right="185"/>
        <w:rPr>
          <w:rFonts w:ascii="Times New Roman" w:eastAsia="Times New Roman" w:hAnsi="Times New Roman" w:cs="Times New Roman"/>
          <w:sz w:val="24"/>
          <w:szCs w:val="24"/>
        </w:rPr>
      </w:pPr>
      <w:bookmarkStart w:id="20" w:name="7._Special_Circumstances"/>
      <w:bookmarkEnd w:id="20"/>
      <w:r>
        <w:rPr>
          <w:rFonts w:ascii="Times New Roman"/>
          <w:sz w:val="24"/>
          <w:u w:val="single" w:color="000000"/>
        </w:rPr>
        <w:t>Special Circumstances</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ind w:left="120" w:right="185"/>
      </w:pPr>
      <w:bookmarkStart w:id="21" w:name="There_are_no_anticipated_special_circums"/>
      <w:bookmarkEnd w:id="21"/>
      <w:r>
        <w:t>There are no anticipated special</w:t>
      </w:r>
      <w:r>
        <w:rPr>
          <w:spacing w:val="-21"/>
        </w:rPr>
        <w:t xml:space="preserve"> </w:t>
      </w:r>
      <w:r>
        <w:t>circumstances.</w:t>
      </w:r>
    </w:p>
    <w:p w:rsidR="00CB60DC" w:rsidRDefault="00CB60DC">
      <w:pPr>
        <w:spacing w:before="11"/>
        <w:rPr>
          <w:rFonts w:ascii="Times New Roman" w:eastAsia="Times New Roman" w:hAnsi="Times New Roman" w:cs="Times New Roman"/>
          <w:sz w:val="27"/>
          <w:szCs w:val="27"/>
        </w:rPr>
      </w:pPr>
    </w:p>
    <w:p w:rsidR="00CB60DC" w:rsidRDefault="00FC77D9">
      <w:pPr>
        <w:pStyle w:val="ListParagraph"/>
        <w:numPr>
          <w:ilvl w:val="0"/>
          <w:numId w:val="3"/>
        </w:numPr>
        <w:tabs>
          <w:tab w:val="left" w:pos="480"/>
        </w:tabs>
        <w:ind w:left="480" w:right="185"/>
        <w:rPr>
          <w:rFonts w:ascii="Times New Roman" w:eastAsia="Times New Roman" w:hAnsi="Times New Roman" w:cs="Times New Roman"/>
          <w:sz w:val="24"/>
          <w:szCs w:val="24"/>
        </w:rPr>
      </w:pPr>
      <w:bookmarkStart w:id="22" w:name="8._Federal_Register/Outside_Consultation"/>
      <w:bookmarkEnd w:id="22"/>
      <w:r>
        <w:rPr>
          <w:rFonts w:ascii="Times New Roman"/>
          <w:sz w:val="24"/>
          <w:u w:val="single" w:color="000000"/>
        </w:rPr>
        <w:t>Federal Register/Outside</w:t>
      </w:r>
      <w:r>
        <w:rPr>
          <w:rFonts w:ascii="Times New Roman"/>
          <w:spacing w:val="-2"/>
          <w:sz w:val="24"/>
          <w:u w:val="single" w:color="000000"/>
        </w:rPr>
        <w:t xml:space="preserve"> </w:t>
      </w:r>
      <w:r>
        <w:rPr>
          <w:rFonts w:ascii="Times New Roman"/>
          <w:sz w:val="24"/>
          <w:u w:val="single" w:color="000000"/>
        </w:rPr>
        <w:t>Consultation</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line="247" w:lineRule="auto"/>
        <w:ind w:left="119" w:right="99"/>
      </w:pPr>
      <w:bookmarkStart w:id="23" w:name="In_the_proposed_rule,_the_Patient_Protec"/>
      <w:bookmarkEnd w:id="23"/>
      <w:r>
        <w:rPr>
          <w:spacing w:val="-3"/>
        </w:rPr>
        <w:t xml:space="preserve">In </w:t>
      </w:r>
      <w:r>
        <w:t>the proposed rule, the Patient Protection and Affordable Care Act; HHS Notice of Benefit</w:t>
      </w:r>
      <w:r>
        <w:rPr>
          <w:spacing w:val="-27"/>
        </w:rPr>
        <w:t xml:space="preserve"> </w:t>
      </w:r>
      <w:r>
        <w:t>and Payment Parameters for 2017 (CMS-9937-P), CMS proposed 45 CFR 156.1250 and 156.1256</w:t>
      </w:r>
      <w:r>
        <w:rPr>
          <w:spacing w:val="-28"/>
        </w:rPr>
        <w:t xml:space="preserve"> </w:t>
      </w:r>
      <w:r>
        <w:t>and did not receive comments on the proposed information collection. CMS has al</w:t>
      </w:r>
      <w:r>
        <w:t>so</w:t>
      </w:r>
      <w:r>
        <w:rPr>
          <w:spacing w:val="-11"/>
        </w:rPr>
        <w:t xml:space="preserve"> </w:t>
      </w:r>
      <w:r>
        <w:t>solicited comments during a 60-day comment period for this information collection. CMS will consider</w:t>
      </w:r>
      <w:r>
        <w:rPr>
          <w:spacing w:val="-34"/>
        </w:rPr>
        <w:t xml:space="preserve"> </w:t>
      </w:r>
      <w:r>
        <w:t>any additional comments that are received during the 30-day comment period for this</w:t>
      </w:r>
      <w:r>
        <w:rPr>
          <w:spacing w:val="-28"/>
        </w:rPr>
        <w:t xml:space="preserve"> </w:t>
      </w:r>
      <w:r>
        <w:t xml:space="preserve">information collection. We do not anticipate any significant public </w:t>
      </w:r>
      <w:r>
        <w:t>reaction to this information</w:t>
      </w:r>
      <w:r>
        <w:rPr>
          <w:spacing w:val="-34"/>
        </w:rPr>
        <w:t xml:space="preserve"> </w:t>
      </w:r>
      <w:r>
        <w:t>collection.</w:t>
      </w:r>
    </w:p>
    <w:p w:rsidR="00CB60DC" w:rsidRDefault="00CB60DC">
      <w:pPr>
        <w:spacing w:before="3"/>
        <w:rPr>
          <w:rFonts w:ascii="Times New Roman" w:eastAsia="Times New Roman" w:hAnsi="Times New Roman" w:cs="Times New Roman"/>
          <w:sz w:val="27"/>
          <w:szCs w:val="27"/>
        </w:rPr>
      </w:pPr>
    </w:p>
    <w:p w:rsidR="00CB60DC" w:rsidRDefault="00FC77D9">
      <w:pPr>
        <w:pStyle w:val="ListParagraph"/>
        <w:numPr>
          <w:ilvl w:val="0"/>
          <w:numId w:val="3"/>
        </w:numPr>
        <w:tabs>
          <w:tab w:val="left" w:pos="480"/>
        </w:tabs>
        <w:ind w:left="480" w:right="185"/>
        <w:rPr>
          <w:rFonts w:ascii="Times New Roman" w:eastAsia="Times New Roman" w:hAnsi="Times New Roman" w:cs="Times New Roman"/>
          <w:sz w:val="24"/>
          <w:szCs w:val="24"/>
        </w:rPr>
      </w:pPr>
      <w:bookmarkStart w:id="24" w:name="9._Payments/Gifts_to_Respondents"/>
      <w:bookmarkEnd w:id="24"/>
      <w:r>
        <w:rPr>
          <w:rFonts w:ascii="Times New Roman"/>
          <w:sz w:val="24"/>
          <w:u w:val="single" w:color="000000"/>
        </w:rPr>
        <w:t>Payments/Gifts to</w:t>
      </w:r>
      <w:r>
        <w:rPr>
          <w:rFonts w:ascii="Times New Roman"/>
          <w:spacing w:val="-1"/>
          <w:sz w:val="24"/>
          <w:u w:val="single" w:color="000000"/>
        </w:rPr>
        <w:t xml:space="preserve"> </w:t>
      </w:r>
      <w:r>
        <w:rPr>
          <w:rFonts w:ascii="Times New Roman"/>
          <w:sz w:val="24"/>
          <w:u w:val="single" w:color="000000"/>
        </w:rPr>
        <w:t>Respondents</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ind w:left="120" w:right="185"/>
      </w:pPr>
      <w:bookmarkStart w:id="25" w:name="No_payments_and/or_gifts_will_be_provide"/>
      <w:bookmarkEnd w:id="25"/>
      <w:r>
        <w:t>No payments and/or gifts will be</w:t>
      </w:r>
      <w:r>
        <w:rPr>
          <w:spacing w:val="-21"/>
        </w:rPr>
        <w:t xml:space="preserve"> </w:t>
      </w:r>
      <w:r>
        <w:t>provided.</w:t>
      </w:r>
    </w:p>
    <w:p w:rsidR="00CB60DC" w:rsidRDefault="00CB60DC">
      <w:pPr>
        <w:spacing w:before="11"/>
        <w:rPr>
          <w:rFonts w:ascii="Times New Roman" w:eastAsia="Times New Roman" w:hAnsi="Times New Roman" w:cs="Times New Roman"/>
          <w:sz w:val="27"/>
          <w:szCs w:val="27"/>
        </w:rPr>
      </w:pPr>
    </w:p>
    <w:p w:rsidR="00CB60DC" w:rsidRDefault="00FC77D9">
      <w:pPr>
        <w:pStyle w:val="ListParagraph"/>
        <w:numPr>
          <w:ilvl w:val="0"/>
          <w:numId w:val="3"/>
        </w:numPr>
        <w:tabs>
          <w:tab w:val="left" w:pos="480"/>
        </w:tabs>
        <w:ind w:left="480" w:right="185"/>
        <w:rPr>
          <w:rFonts w:ascii="Times New Roman" w:eastAsia="Times New Roman" w:hAnsi="Times New Roman" w:cs="Times New Roman"/>
          <w:sz w:val="24"/>
          <w:szCs w:val="24"/>
        </w:rPr>
      </w:pPr>
      <w:bookmarkStart w:id="26" w:name="10._Confidentiality"/>
      <w:bookmarkEnd w:id="26"/>
      <w:r>
        <w:rPr>
          <w:rFonts w:ascii="Times New Roman"/>
          <w:sz w:val="24"/>
          <w:u w:val="single" w:color="000000"/>
        </w:rPr>
        <w:t>Confidentiality</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line="247" w:lineRule="auto"/>
        <w:ind w:left="120" w:right="185"/>
      </w:pPr>
      <w:bookmarkStart w:id="27" w:name="To_the_extent_of_the_applicable_law_and_"/>
      <w:bookmarkEnd w:id="27"/>
      <w:r>
        <w:t>To the extent of the applicable law and HHS policies, we will maintain consumer privacy</w:t>
      </w:r>
      <w:r>
        <w:rPr>
          <w:spacing w:val="-35"/>
        </w:rPr>
        <w:t xml:space="preserve"> </w:t>
      </w:r>
      <w:r>
        <w:t>with respect to the information</w:t>
      </w:r>
      <w:r>
        <w:rPr>
          <w:spacing w:val="-10"/>
        </w:rPr>
        <w:t xml:space="preserve"> </w:t>
      </w:r>
      <w:r>
        <w:t>disclosed.</w:t>
      </w:r>
    </w:p>
    <w:p w:rsidR="00CB60DC" w:rsidRDefault="00CB60DC">
      <w:pPr>
        <w:spacing w:before="3"/>
        <w:rPr>
          <w:rFonts w:ascii="Times New Roman" w:eastAsia="Times New Roman" w:hAnsi="Times New Roman" w:cs="Times New Roman"/>
          <w:sz w:val="27"/>
          <w:szCs w:val="27"/>
        </w:rPr>
      </w:pPr>
    </w:p>
    <w:p w:rsidR="00CB60DC" w:rsidRDefault="00FC77D9">
      <w:pPr>
        <w:pStyle w:val="ListParagraph"/>
        <w:numPr>
          <w:ilvl w:val="0"/>
          <w:numId w:val="3"/>
        </w:numPr>
        <w:tabs>
          <w:tab w:val="left" w:pos="480"/>
        </w:tabs>
        <w:ind w:left="480" w:right="185"/>
        <w:rPr>
          <w:rFonts w:ascii="Times New Roman" w:eastAsia="Times New Roman" w:hAnsi="Times New Roman" w:cs="Times New Roman"/>
          <w:sz w:val="24"/>
          <w:szCs w:val="24"/>
        </w:rPr>
      </w:pPr>
      <w:bookmarkStart w:id="28" w:name="11._Sensitive_Questions"/>
      <w:bookmarkEnd w:id="28"/>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ind w:left="120" w:right="185"/>
      </w:pPr>
      <w:bookmarkStart w:id="29" w:name="No_sensitive_questions_are_included_in_t"/>
      <w:bookmarkEnd w:id="29"/>
      <w:r>
        <w:t>No sensitive questions are included in these notice</w:t>
      </w:r>
      <w:r>
        <w:rPr>
          <w:spacing w:val="-18"/>
        </w:rPr>
        <w:t xml:space="preserve"> </w:t>
      </w:r>
      <w:r>
        <w:t>requirements.</w:t>
      </w:r>
    </w:p>
    <w:p w:rsidR="00CB60DC" w:rsidRDefault="00CB60DC">
      <w:pPr>
        <w:spacing w:before="11"/>
        <w:rPr>
          <w:rFonts w:ascii="Times New Roman" w:eastAsia="Times New Roman" w:hAnsi="Times New Roman" w:cs="Times New Roman"/>
          <w:sz w:val="27"/>
          <w:szCs w:val="27"/>
        </w:rPr>
      </w:pPr>
    </w:p>
    <w:p w:rsidR="00CB60DC" w:rsidRDefault="00FC77D9">
      <w:pPr>
        <w:pStyle w:val="ListParagraph"/>
        <w:numPr>
          <w:ilvl w:val="0"/>
          <w:numId w:val="3"/>
        </w:numPr>
        <w:tabs>
          <w:tab w:val="left" w:pos="480"/>
        </w:tabs>
        <w:ind w:left="480" w:right="185"/>
        <w:rPr>
          <w:rFonts w:ascii="Times New Roman" w:eastAsia="Times New Roman" w:hAnsi="Times New Roman" w:cs="Times New Roman"/>
          <w:sz w:val="24"/>
          <w:szCs w:val="24"/>
        </w:rPr>
      </w:pPr>
      <w:bookmarkStart w:id="30" w:name="12._Burden_Estimates_(Hours_&amp;_Wages)"/>
      <w:bookmarkEnd w:id="30"/>
      <w:r>
        <w:rPr>
          <w:rFonts w:ascii="Times New Roman"/>
          <w:sz w:val="24"/>
          <w:u w:val="single" w:color="000000"/>
        </w:rPr>
        <w:t>Burden Estimates (Hours &amp;</w:t>
      </w:r>
      <w:r>
        <w:rPr>
          <w:rFonts w:ascii="Times New Roman"/>
          <w:spacing w:val="-2"/>
          <w:sz w:val="24"/>
          <w:u w:val="single" w:color="000000"/>
        </w:rPr>
        <w:t xml:space="preserve"> </w:t>
      </w:r>
      <w:r>
        <w:rPr>
          <w:rFonts w:ascii="Times New Roman"/>
          <w:sz w:val="24"/>
          <w:u w:val="single" w:color="000000"/>
        </w:rPr>
        <w:t>Wages)</w:t>
      </w:r>
    </w:p>
    <w:p w:rsidR="00CB60DC" w:rsidRDefault="00CB60DC">
      <w:pPr>
        <w:spacing w:before="11"/>
        <w:rPr>
          <w:rFonts w:ascii="Times New Roman" w:eastAsia="Times New Roman" w:hAnsi="Times New Roman" w:cs="Times New Roman"/>
          <w:sz w:val="17"/>
          <w:szCs w:val="17"/>
        </w:rPr>
      </w:pPr>
    </w:p>
    <w:p w:rsidR="0051702D" w:rsidRPr="0051702D" w:rsidRDefault="0051702D" w:rsidP="0051702D">
      <w:pPr>
        <w:pStyle w:val="BodyText"/>
        <w:spacing w:line="275" w:lineRule="exact"/>
        <w:ind w:right="185"/>
        <w:rPr>
          <w:bCs/>
        </w:rPr>
      </w:pPr>
      <w:bookmarkStart w:id="31" w:name="Proposed_§156.1256_would_require_that,_i"/>
      <w:bookmarkEnd w:id="31"/>
      <w:r w:rsidRPr="0051702D">
        <w:rPr>
          <w:bCs/>
        </w:rPr>
        <w:t>ICRs Regarding Other Notices (§ 156.1256)</w:t>
      </w:r>
    </w:p>
    <w:p w:rsidR="0051702D" w:rsidRPr="0051702D" w:rsidRDefault="0051702D" w:rsidP="0051702D">
      <w:pPr>
        <w:pStyle w:val="BodyText"/>
        <w:spacing w:line="275" w:lineRule="exact"/>
        <w:ind w:left="840" w:right="185"/>
        <w:rPr>
          <w:b/>
          <w:bCs/>
        </w:rPr>
      </w:pPr>
    </w:p>
    <w:p w:rsidR="0051702D" w:rsidRPr="0051702D" w:rsidRDefault="0051702D" w:rsidP="0051702D">
      <w:pPr>
        <w:pStyle w:val="BodyText"/>
        <w:spacing w:line="275" w:lineRule="exact"/>
        <w:ind w:left="120" w:right="185"/>
      </w:pPr>
      <w:r>
        <w:t xml:space="preserve">CMS is </w:t>
      </w:r>
      <w:r w:rsidRPr="0051702D">
        <w:t>adding a new section at § 156.1256 to require that, in the event of a plan or benefit display error, QHP issuers notify their enrollees within 30 calendar days after the issuer is informed by the FFE that the error has been fixed, if directed to do so by the FFE, both of the plan or benefit display error and of the opportunity to enroll in a new QHP under a special enrollment period at § 155.420(d)(4), if directed to do so by the FFE. This provision would apply to all QHPs in the FFEs, as well as all QHPs in the SBE-FPs, which includes 475 issuers. We anticipate that issuers will need to notify multiple enrollees of the same display error, and therefore estimate that one form notice would cover approximately 100 of the enrollees receiving such a notice. For each group of 100 form notices, we estimate that it would take approximately 30 minutes for an issuer's mid-level health policy analyst (at an hourly wage rate of $54.87) to amend, add SEP language provided by the FFE, and send the information. We estimate that approximately 4 percent of enrollees would receive such a notice. Assuming approximately 19 million FFE and SBE-FP enrollees in 2017,</w:t>
      </w:r>
      <w:hyperlink r:id="rId8" w:anchor="footnote-72" w:history="1">
        <w:r w:rsidRPr="0051702D">
          <w:rPr>
            <w:rStyle w:val="Hyperlink"/>
          </w:rPr>
          <w:t>[72] </w:t>
        </w:r>
      </w:hyperlink>
      <w:r w:rsidRPr="0051702D">
        <w:t>we estimate QHPs in the FFEs and SBE-FPs would send approximately 760,000 total notices (4 percent of the estimated 19 million FFE and SBE-FP enrollees), for a total hours of 3,800, with a total cost of $208,506.</w:t>
      </w:r>
    </w:p>
    <w:p w:rsidR="00CB60DC" w:rsidRDefault="00CB60DC">
      <w:pPr>
        <w:pStyle w:val="BodyText"/>
        <w:spacing w:line="275" w:lineRule="exact"/>
        <w:ind w:left="120" w:right="185"/>
      </w:pPr>
    </w:p>
    <w:p w:rsidR="00CB60DC" w:rsidRDefault="00CB60DC">
      <w:pPr>
        <w:spacing w:before="1"/>
        <w:rPr>
          <w:rFonts w:ascii="Times New Roman" w:eastAsia="Times New Roman" w:hAnsi="Times New Roman" w:cs="Times New Roman"/>
          <w:sz w:val="25"/>
          <w:szCs w:val="25"/>
        </w:rPr>
      </w:pPr>
    </w:p>
    <w:tbl>
      <w:tblPr>
        <w:tblW w:w="0" w:type="auto"/>
        <w:tblInd w:w="439" w:type="dxa"/>
        <w:tblLayout w:type="fixed"/>
        <w:tblCellMar>
          <w:left w:w="0" w:type="dxa"/>
          <w:right w:w="0" w:type="dxa"/>
        </w:tblCellMar>
        <w:tblLook w:val="01E0" w:firstRow="1" w:lastRow="1" w:firstColumn="1" w:lastColumn="1" w:noHBand="0" w:noVBand="0"/>
      </w:tblPr>
      <w:tblGrid>
        <w:gridCol w:w="1560"/>
        <w:gridCol w:w="1548"/>
        <w:gridCol w:w="1543"/>
        <w:gridCol w:w="1550"/>
        <w:gridCol w:w="2545"/>
      </w:tblGrid>
      <w:tr w:rsidR="00CB60DC" w:rsidTr="00EB555A">
        <w:trPr>
          <w:trHeight w:hRule="exact" w:val="1037"/>
        </w:trPr>
        <w:tc>
          <w:tcPr>
            <w:tcW w:w="1560" w:type="dxa"/>
            <w:tcBorders>
              <w:top w:val="single" w:sz="4" w:space="0" w:color="000000"/>
              <w:left w:val="single" w:sz="4" w:space="0" w:color="000000"/>
              <w:bottom w:val="single" w:sz="4" w:space="0" w:color="000000"/>
              <w:right w:val="single" w:sz="4" w:space="0" w:color="000000"/>
            </w:tcBorders>
          </w:tcPr>
          <w:p w:rsidR="00CB60DC" w:rsidRDefault="00FC77D9">
            <w:pPr>
              <w:pStyle w:val="TableParagraph"/>
              <w:spacing w:line="244" w:lineRule="auto"/>
              <w:ind w:left="103" w:right="649"/>
              <w:rPr>
                <w:rFonts w:ascii="Times New Roman" w:eastAsia="Times New Roman" w:hAnsi="Times New Roman" w:cs="Times New Roman"/>
              </w:rPr>
            </w:pPr>
            <w:bookmarkStart w:id="32" w:name="Labor_Category_"/>
            <w:bookmarkEnd w:id="32"/>
            <w:r>
              <w:rPr>
                <w:rFonts w:ascii="Times New Roman"/>
              </w:rPr>
              <w:t>Labor</w:t>
            </w:r>
            <w:r>
              <w:rPr>
                <w:rFonts w:ascii="Times New Roman"/>
                <w:w w:val="99"/>
              </w:rPr>
              <w:t xml:space="preserve"> </w:t>
            </w:r>
            <w:r>
              <w:rPr>
                <w:rFonts w:ascii="Times New Roman"/>
                <w:w w:val="95"/>
              </w:rPr>
              <w:t>Category</w:t>
            </w:r>
          </w:p>
        </w:tc>
        <w:tc>
          <w:tcPr>
            <w:tcW w:w="1548" w:type="dxa"/>
            <w:tcBorders>
              <w:top w:val="single" w:sz="4" w:space="0" w:color="000000"/>
              <w:left w:val="single" w:sz="4" w:space="0" w:color="000000"/>
              <w:bottom w:val="single" w:sz="4" w:space="0" w:color="000000"/>
              <w:right w:val="single" w:sz="4" w:space="0" w:color="000000"/>
            </w:tcBorders>
          </w:tcPr>
          <w:p w:rsidR="00CB60DC" w:rsidRDefault="00FC77D9">
            <w:pPr>
              <w:pStyle w:val="TableParagraph"/>
              <w:spacing w:line="244" w:lineRule="auto"/>
              <w:ind w:left="103" w:right="205"/>
              <w:jc w:val="both"/>
              <w:rPr>
                <w:rFonts w:ascii="Times New Roman" w:eastAsia="Times New Roman" w:hAnsi="Times New Roman" w:cs="Times New Roman"/>
              </w:rPr>
            </w:pPr>
            <w:bookmarkStart w:id="33" w:name="Hourly_Labor_"/>
            <w:bookmarkStart w:id="34" w:name="Costs_(Hourly_rate_"/>
            <w:bookmarkEnd w:id="33"/>
            <w:bookmarkEnd w:id="34"/>
            <w:r>
              <w:rPr>
                <w:rFonts w:ascii="Times New Roman"/>
              </w:rPr>
              <w:t>Hourly</w:t>
            </w:r>
            <w:r>
              <w:rPr>
                <w:rFonts w:ascii="Times New Roman"/>
                <w:spacing w:val="-14"/>
              </w:rPr>
              <w:t xml:space="preserve"> </w:t>
            </w:r>
            <w:r>
              <w:rPr>
                <w:rFonts w:ascii="Times New Roman"/>
              </w:rPr>
              <w:t>Labor</w:t>
            </w:r>
            <w:r>
              <w:rPr>
                <w:rFonts w:ascii="Times New Roman"/>
                <w:w w:val="99"/>
              </w:rPr>
              <w:t xml:space="preserve"> </w:t>
            </w:r>
            <w:r>
              <w:rPr>
                <w:rFonts w:ascii="Times New Roman"/>
              </w:rPr>
              <w:t>Costs</w:t>
            </w:r>
            <w:r>
              <w:rPr>
                <w:rFonts w:ascii="Times New Roman"/>
                <w:spacing w:val="-15"/>
              </w:rPr>
              <w:t xml:space="preserve"> </w:t>
            </w:r>
            <w:r>
              <w:rPr>
                <w:rFonts w:ascii="Times New Roman"/>
              </w:rPr>
              <w:t>(Hourly</w:t>
            </w:r>
            <w:r>
              <w:rPr>
                <w:rFonts w:ascii="Times New Roman"/>
                <w:spacing w:val="-1"/>
                <w:w w:val="99"/>
              </w:rPr>
              <w:t xml:space="preserve"> </w:t>
            </w:r>
            <w:bookmarkStart w:id="35" w:name="+_35%_Fringe_benefits"/>
            <w:bookmarkEnd w:id="35"/>
            <w:r>
              <w:rPr>
                <w:rFonts w:ascii="Times New Roman"/>
              </w:rPr>
              <w:t>rate</w:t>
            </w:r>
          </w:p>
          <w:p w:rsidR="00CB60DC" w:rsidRDefault="00FC77D9">
            <w:pPr>
              <w:pStyle w:val="TableParagraph"/>
              <w:spacing w:line="252" w:lineRule="exact"/>
              <w:ind w:left="103"/>
              <w:jc w:val="both"/>
              <w:rPr>
                <w:rFonts w:ascii="Times New Roman" w:eastAsia="Times New Roman" w:hAnsi="Times New Roman" w:cs="Times New Roman"/>
              </w:rPr>
            </w:pPr>
            <w:r>
              <w:rPr>
                <w:rFonts w:ascii="Times New Roman"/>
              </w:rPr>
              <w:t>+ 35%</w:t>
            </w:r>
            <w:r>
              <w:rPr>
                <w:rFonts w:ascii="Times New Roman"/>
                <w:spacing w:val="-9"/>
              </w:rPr>
              <w:t xml:space="preserve"> </w:t>
            </w:r>
            <w:r>
              <w:rPr>
                <w:rFonts w:ascii="Times New Roman"/>
              </w:rPr>
              <w:t>Fringe</w:t>
            </w:r>
          </w:p>
        </w:tc>
        <w:tc>
          <w:tcPr>
            <w:tcW w:w="1543" w:type="dxa"/>
            <w:tcBorders>
              <w:top w:val="single" w:sz="4" w:space="0" w:color="000000"/>
              <w:left w:val="single" w:sz="4" w:space="0" w:color="000000"/>
              <w:bottom w:val="single" w:sz="4" w:space="0" w:color="000000"/>
              <w:right w:val="single" w:sz="4" w:space="0" w:color="000000"/>
            </w:tcBorders>
          </w:tcPr>
          <w:p w:rsidR="00CB60DC" w:rsidRDefault="00FC77D9">
            <w:pPr>
              <w:pStyle w:val="TableParagraph"/>
              <w:spacing w:line="244" w:lineRule="auto"/>
              <w:ind w:left="103" w:right="268"/>
              <w:rPr>
                <w:rFonts w:ascii="Times New Roman" w:eastAsia="Times New Roman" w:hAnsi="Times New Roman" w:cs="Times New Roman"/>
              </w:rPr>
            </w:pPr>
            <w:bookmarkStart w:id="36" w:name="Total_Annual_Burden"/>
            <w:bookmarkEnd w:id="36"/>
            <w:r>
              <w:rPr>
                <w:rFonts w:ascii="Times New Roman"/>
              </w:rPr>
              <w:t>Total</w:t>
            </w:r>
            <w:r>
              <w:rPr>
                <w:rFonts w:ascii="Times New Roman"/>
                <w:spacing w:val="-9"/>
              </w:rPr>
              <w:t xml:space="preserve"> </w:t>
            </w:r>
            <w:r>
              <w:rPr>
                <w:rFonts w:ascii="Times New Roman"/>
              </w:rPr>
              <w:t>Annual</w:t>
            </w:r>
            <w:r>
              <w:rPr>
                <w:rFonts w:ascii="Times New Roman"/>
                <w:w w:val="99"/>
              </w:rPr>
              <w:t xml:space="preserve"> </w:t>
            </w:r>
            <w:bookmarkStart w:id="37" w:name="Hours"/>
            <w:bookmarkEnd w:id="37"/>
            <w:r>
              <w:rPr>
                <w:rFonts w:ascii="Times New Roman"/>
              </w:rPr>
              <w:t>Burden</w:t>
            </w:r>
            <w:r>
              <w:rPr>
                <w:rFonts w:ascii="Times New Roman"/>
                <w:w w:val="99"/>
              </w:rPr>
              <w:t xml:space="preserve"> </w:t>
            </w:r>
            <w:r>
              <w:rPr>
                <w:rFonts w:ascii="Times New Roman"/>
              </w:rPr>
              <w:t>Hours</w:t>
            </w:r>
          </w:p>
        </w:tc>
        <w:tc>
          <w:tcPr>
            <w:tcW w:w="1550" w:type="dxa"/>
            <w:tcBorders>
              <w:top w:val="single" w:sz="4" w:space="0" w:color="000000"/>
              <w:left w:val="single" w:sz="4" w:space="0" w:color="000000"/>
              <w:bottom w:val="single" w:sz="4" w:space="0" w:color="000000"/>
              <w:right w:val="single" w:sz="4" w:space="0" w:color="000000"/>
            </w:tcBorders>
          </w:tcPr>
          <w:p w:rsidR="00CB60DC" w:rsidRDefault="00FC77D9">
            <w:pPr>
              <w:pStyle w:val="TableParagraph"/>
              <w:spacing w:line="244" w:lineRule="auto"/>
              <w:ind w:left="103" w:right="484"/>
              <w:rPr>
                <w:rFonts w:ascii="Times New Roman" w:eastAsia="Times New Roman" w:hAnsi="Times New Roman" w:cs="Times New Roman"/>
              </w:rPr>
            </w:pPr>
            <w:bookmarkStart w:id="38" w:name="Number_of_Notices"/>
            <w:bookmarkEnd w:id="38"/>
            <w:r>
              <w:rPr>
                <w:rFonts w:ascii="Times New Roman"/>
              </w:rPr>
              <w:t>Number</w:t>
            </w:r>
            <w:r>
              <w:rPr>
                <w:rFonts w:ascii="Times New Roman"/>
                <w:spacing w:val="-9"/>
              </w:rPr>
              <w:t xml:space="preserve"> </w:t>
            </w:r>
            <w:r>
              <w:rPr>
                <w:rFonts w:ascii="Times New Roman"/>
              </w:rPr>
              <w:t>of</w:t>
            </w:r>
            <w:r>
              <w:rPr>
                <w:rFonts w:ascii="Times New Roman"/>
                <w:w w:val="99"/>
              </w:rPr>
              <w:t xml:space="preserve"> </w:t>
            </w:r>
            <w:r>
              <w:rPr>
                <w:rFonts w:ascii="Times New Roman"/>
              </w:rPr>
              <w:t>Notices</w:t>
            </w:r>
          </w:p>
        </w:tc>
        <w:tc>
          <w:tcPr>
            <w:tcW w:w="2545" w:type="dxa"/>
            <w:tcBorders>
              <w:top w:val="single" w:sz="4" w:space="0" w:color="000000"/>
              <w:left w:val="single" w:sz="4" w:space="0" w:color="000000"/>
              <w:bottom w:val="single" w:sz="4" w:space="0" w:color="000000"/>
              <w:right w:val="single" w:sz="4" w:space="0" w:color="000000"/>
            </w:tcBorders>
          </w:tcPr>
          <w:p w:rsidR="00CB60DC" w:rsidRDefault="00FC77D9">
            <w:pPr>
              <w:pStyle w:val="TableParagraph"/>
              <w:spacing w:line="244" w:lineRule="auto"/>
              <w:ind w:left="103" w:right="268"/>
              <w:rPr>
                <w:rFonts w:ascii="Times New Roman" w:eastAsia="Times New Roman" w:hAnsi="Times New Roman" w:cs="Times New Roman"/>
              </w:rPr>
            </w:pPr>
            <w:bookmarkStart w:id="39" w:name="Total_Annual_Burden_"/>
            <w:bookmarkEnd w:id="39"/>
            <w:r>
              <w:rPr>
                <w:rFonts w:ascii="Times New Roman"/>
              </w:rPr>
              <w:t>Total</w:t>
            </w:r>
            <w:r>
              <w:rPr>
                <w:rFonts w:ascii="Times New Roman"/>
                <w:spacing w:val="-9"/>
              </w:rPr>
              <w:t xml:space="preserve"> </w:t>
            </w:r>
            <w:r>
              <w:rPr>
                <w:rFonts w:ascii="Times New Roman"/>
              </w:rPr>
              <w:t>Annual</w:t>
            </w:r>
            <w:r>
              <w:rPr>
                <w:rFonts w:ascii="Times New Roman"/>
                <w:w w:val="99"/>
              </w:rPr>
              <w:t xml:space="preserve"> </w:t>
            </w:r>
            <w:r>
              <w:rPr>
                <w:rFonts w:ascii="Times New Roman"/>
              </w:rPr>
              <w:t>Burden</w:t>
            </w:r>
          </w:p>
        </w:tc>
      </w:tr>
    </w:tbl>
    <w:p w:rsidR="00CB60DC" w:rsidRDefault="00CB60DC">
      <w:pPr>
        <w:spacing w:before="11"/>
        <w:rPr>
          <w:rFonts w:ascii="Times New Roman" w:eastAsia="Times New Roman" w:hAnsi="Times New Roman" w:cs="Times New Roman"/>
          <w:sz w:val="6"/>
          <w:szCs w:val="6"/>
        </w:rPr>
      </w:pPr>
    </w:p>
    <w:tbl>
      <w:tblPr>
        <w:tblW w:w="0" w:type="auto"/>
        <w:tblInd w:w="419" w:type="dxa"/>
        <w:tblLayout w:type="fixed"/>
        <w:tblCellMar>
          <w:left w:w="0" w:type="dxa"/>
          <w:right w:w="0" w:type="dxa"/>
        </w:tblCellMar>
        <w:tblLook w:val="01E0" w:firstRow="1" w:lastRow="1" w:firstColumn="1" w:lastColumn="1" w:noHBand="0" w:noVBand="0"/>
      </w:tblPr>
      <w:tblGrid>
        <w:gridCol w:w="1560"/>
        <w:gridCol w:w="1548"/>
        <w:gridCol w:w="1543"/>
        <w:gridCol w:w="1550"/>
        <w:gridCol w:w="2565"/>
      </w:tblGrid>
      <w:tr w:rsidR="00CB60DC" w:rsidTr="00EB555A">
        <w:trPr>
          <w:trHeight w:hRule="exact" w:val="266"/>
        </w:trPr>
        <w:tc>
          <w:tcPr>
            <w:tcW w:w="1560" w:type="dxa"/>
            <w:tcBorders>
              <w:top w:val="single" w:sz="4" w:space="0" w:color="000000"/>
              <w:left w:val="single" w:sz="4" w:space="0" w:color="000000"/>
              <w:bottom w:val="single" w:sz="4" w:space="0" w:color="000000"/>
              <w:right w:val="single" w:sz="4" w:space="0" w:color="000000"/>
            </w:tcBorders>
          </w:tcPr>
          <w:p w:rsidR="00CB60DC" w:rsidRDefault="00CB60DC"/>
        </w:tc>
        <w:tc>
          <w:tcPr>
            <w:tcW w:w="1548" w:type="dxa"/>
            <w:tcBorders>
              <w:top w:val="single" w:sz="4" w:space="0" w:color="000000"/>
              <w:left w:val="single" w:sz="4" w:space="0" w:color="000000"/>
              <w:bottom w:val="single" w:sz="4" w:space="0" w:color="000000"/>
              <w:right w:val="single" w:sz="4" w:space="0" w:color="000000"/>
            </w:tcBorders>
          </w:tcPr>
          <w:p w:rsidR="00CB60DC" w:rsidRDefault="00FC77D9">
            <w:pPr>
              <w:pStyle w:val="TableParagraph"/>
              <w:spacing w:line="252" w:lineRule="exact"/>
              <w:ind w:left="103"/>
              <w:rPr>
                <w:rFonts w:ascii="Times New Roman" w:eastAsia="Times New Roman" w:hAnsi="Times New Roman" w:cs="Times New Roman"/>
              </w:rPr>
            </w:pPr>
            <w:r>
              <w:rPr>
                <w:rFonts w:ascii="Times New Roman"/>
              </w:rPr>
              <w:t>benefits</w:t>
            </w:r>
          </w:p>
        </w:tc>
        <w:tc>
          <w:tcPr>
            <w:tcW w:w="1543" w:type="dxa"/>
            <w:tcBorders>
              <w:top w:val="single" w:sz="4" w:space="0" w:color="000000"/>
              <w:left w:val="single" w:sz="4" w:space="0" w:color="000000"/>
              <w:bottom w:val="single" w:sz="4" w:space="0" w:color="000000"/>
              <w:right w:val="single" w:sz="4" w:space="0" w:color="000000"/>
            </w:tcBorders>
          </w:tcPr>
          <w:p w:rsidR="00CB60DC" w:rsidRDefault="00CB60DC"/>
        </w:tc>
        <w:tc>
          <w:tcPr>
            <w:tcW w:w="1550" w:type="dxa"/>
            <w:tcBorders>
              <w:top w:val="single" w:sz="4" w:space="0" w:color="000000"/>
              <w:left w:val="single" w:sz="4" w:space="0" w:color="000000"/>
              <w:bottom w:val="single" w:sz="4" w:space="0" w:color="000000"/>
              <w:right w:val="single" w:sz="4" w:space="0" w:color="000000"/>
            </w:tcBorders>
          </w:tcPr>
          <w:p w:rsidR="00CB60DC" w:rsidRDefault="00CB60DC"/>
        </w:tc>
        <w:tc>
          <w:tcPr>
            <w:tcW w:w="2565" w:type="dxa"/>
            <w:tcBorders>
              <w:top w:val="single" w:sz="4" w:space="0" w:color="000000"/>
              <w:left w:val="single" w:sz="4" w:space="0" w:color="000000"/>
              <w:bottom w:val="single" w:sz="4" w:space="0" w:color="000000"/>
              <w:right w:val="single" w:sz="4" w:space="0" w:color="000000"/>
            </w:tcBorders>
          </w:tcPr>
          <w:p w:rsidR="00CB60DC" w:rsidRDefault="00CB60DC"/>
        </w:tc>
      </w:tr>
      <w:tr w:rsidR="00CB60DC" w:rsidTr="00EB555A">
        <w:trPr>
          <w:trHeight w:hRule="exact" w:val="523"/>
        </w:trPr>
        <w:tc>
          <w:tcPr>
            <w:tcW w:w="1560" w:type="dxa"/>
            <w:tcBorders>
              <w:top w:val="single" w:sz="4" w:space="0" w:color="000000"/>
              <w:left w:val="single" w:sz="4" w:space="0" w:color="000000"/>
              <w:bottom w:val="single" w:sz="4" w:space="0" w:color="000000"/>
              <w:right w:val="single" w:sz="4" w:space="0" w:color="000000"/>
            </w:tcBorders>
          </w:tcPr>
          <w:p w:rsidR="00CB60DC" w:rsidRPr="0051702D" w:rsidRDefault="00FC77D9" w:rsidP="00EB555A">
            <w:pPr>
              <w:pStyle w:val="TableParagraph"/>
              <w:spacing w:line="244" w:lineRule="auto"/>
              <w:ind w:left="103" w:right="253"/>
              <w:rPr>
                <w:rFonts w:ascii="Times New Roman" w:eastAsia="Times New Roman" w:hAnsi="Times New Roman" w:cs="Times New Roman"/>
                <w:b/>
              </w:rPr>
            </w:pPr>
            <w:bookmarkStart w:id="40" w:name="Health_Policy_Analyst"/>
            <w:bookmarkEnd w:id="40"/>
            <w:r w:rsidRPr="0051702D">
              <w:rPr>
                <w:rFonts w:ascii="Times New Roman"/>
                <w:b/>
              </w:rPr>
              <w:t>H</w:t>
            </w:r>
            <w:r w:rsidRPr="0051702D">
              <w:rPr>
                <w:rFonts w:ascii="Times New Roman"/>
                <w:b/>
              </w:rPr>
              <w:t>ealth</w:t>
            </w:r>
            <w:r w:rsidRPr="0051702D">
              <w:rPr>
                <w:rFonts w:ascii="Times New Roman"/>
                <w:b/>
                <w:spacing w:val="-12"/>
              </w:rPr>
              <w:t xml:space="preserve"> </w:t>
            </w:r>
            <w:r w:rsidRPr="0051702D">
              <w:rPr>
                <w:rFonts w:ascii="Times New Roman"/>
                <w:b/>
              </w:rPr>
              <w:t>Policy</w:t>
            </w:r>
            <w:r w:rsidRPr="0051702D">
              <w:rPr>
                <w:rFonts w:ascii="Times New Roman"/>
                <w:b/>
                <w:w w:val="99"/>
              </w:rPr>
              <w:t xml:space="preserve"> </w:t>
            </w:r>
            <w:r w:rsidRPr="0051702D">
              <w:rPr>
                <w:rFonts w:ascii="Times New Roman"/>
                <w:b/>
              </w:rPr>
              <w:t>Analyst</w:t>
            </w:r>
          </w:p>
        </w:tc>
        <w:tc>
          <w:tcPr>
            <w:tcW w:w="1548" w:type="dxa"/>
            <w:tcBorders>
              <w:top w:val="single" w:sz="4" w:space="0" w:color="000000"/>
              <w:left w:val="single" w:sz="4" w:space="0" w:color="000000"/>
              <w:bottom w:val="single" w:sz="4" w:space="0" w:color="000000"/>
              <w:right w:val="single" w:sz="4" w:space="0" w:color="000000"/>
            </w:tcBorders>
          </w:tcPr>
          <w:p w:rsidR="00CB60DC" w:rsidRPr="0051702D" w:rsidRDefault="00FC77D9" w:rsidP="00EB555A">
            <w:pPr>
              <w:pStyle w:val="TableParagraph"/>
              <w:spacing w:line="252" w:lineRule="exact"/>
              <w:ind w:left="103"/>
              <w:jc w:val="center"/>
              <w:rPr>
                <w:rFonts w:ascii="Times New Roman" w:eastAsia="Times New Roman" w:hAnsi="Times New Roman" w:cs="Times New Roman"/>
                <w:b/>
              </w:rPr>
            </w:pPr>
            <w:bookmarkStart w:id="41" w:name="$54.87"/>
            <w:bookmarkEnd w:id="41"/>
            <w:r w:rsidRPr="0051702D">
              <w:rPr>
                <w:rFonts w:ascii="Times New Roman"/>
                <w:b/>
              </w:rPr>
              <w:t>$54.87</w:t>
            </w:r>
          </w:p>
        </w:tc>
        <w:tc>
          <w:tcPr>
            <w:tcW w:w="1543" w:type="dxa"/>
            <w:tcBorders>
              <w:top w:val="single" w:sz="4" w:space="0" w:color="000000"/>
              <w:left w:val="single" w:sz="4" w:space="0" w:color="000000"/>
              <w:bottom w:val="single" w:sz="4" w:space="0" w:color="000000"/>
              <w:right w:val="single" w:sz="4" w:space="0" w:color="000000"/>
            </w:tcBorders>
          </w:tcPr>
          <w:p w:rsidR="00CB60DC" w:rsidRPr="0051702D" w:rsidRDefault="0051702D" w:rsidP="00EB555A">
            <w:pPr>
              <w:pStyle w:val="TableParagraph"/>
              <w:spacing w:line="252" w:lineRule="exact"/>
              <w:ind w:left="103"/>
              <w:jc w:val="center"/>
              <w:rPr>
                <w:rFonts w:ascii="Times New Roman" w:eastAsia="Times New Roman" w:hAnsi="Times New Roman" w:cs="Times New Roman"/>
                <w:b/>
              </w:rPr>
            </w:pPr>
            <w:bookmarkStart w:id="42" w:name="140,000"/>
            <w:bookmarkEnd w:id="42"/>
            <w:r w:rsidRPr="0051702D">
              <w:rPr>
                <w:rFonts w:ascii="Times New Roman"/>
                <w:b/>
              </w:rPr>
              <w:t>3,8</w:t>
            </w:r>
            <w:r w:rsidR="00FC77D9" w:rsidRPr="0051702D">
              <w:rPr>
                <w:rFonts w:ascii="Times New Roman"/>
                <w:b/>
              </w:rPr>
              <w:t>00</w:t>
            </w:r>
          </w:p>
        </w:tc>
        <w:tc>
          <w:tcPr>
            <w:tcW w:w="1550" w:type="dxa"/>
            <w:tcBorders>
              <w:top w:val="single" w:sz="4" w:space="0" w:color="000000"/>
              <w:left w:val="single" w:sz="4" w:space="0" w:color="000000"/>
              <w:bottom w:val="single" w:sz="4" w:space="0" w:color="000000"/>
              <w:right w:val="single" w:sz="4" w:space="0" w:color="000000"/>
            </w:tcBorders>
          </w:tcPr>
          <w:p w:rsidR="00CB60DC" w:rsidRPr="0051702D" w:rsidRDefault="0051702D" w:rsidP="00EB555A">
            <w:pPr>
              <w:pStyle w:val="TableParagraph"/>
              <w:spacing w:line="252" w:lineRule="exact"/>
              <w:ind w:left="103"/>
              <w:jc w:val="center"/>
              <w:rPr>
                <w:rFonts w:ascii="Times New Roman" w:eastAsia="Times New Roman" w:hAnsi="Times New Roman" w:cs="Times New Roman"/>
                <w:b/>
              </w:rPr>
            </w:pPr>
            <w:bookmarkStart w:id="43" w:name="280,000"/>
            <w:bookmarkEnd w:id="43"/>
            <w:r w:rsidRPr="0051702D">
              <w:rPr>
                <w:rFonts w:ascii="Times New Roman"/>
                <w:b/>
              </w:rPr>
              <w:t>760,000</w:t>
            </w:r>
          </w:p>
        </w:tc>
        <w:tc>
          <w:tcPr>
            <w:tcW w:w="2565" w:type="dxa"/>
            <w:tcBorders>
              <w:top w:val="single" w:sz="4" w:space="0" w:color="000000"/>
              <w:left w:val="single" w:sz="4" w:space="0" w:color="000000"/>
              <w:bottom w:val="single" w:sz="4" w:space="0" w:color="000000"/>
              <w:right w:val="single" w:sz="4" w:space="0" w:color="000000"/>
            </w:tcBorders>
          </w:tcPr>
          <w:p w:rsidR="00CB60DC" w:rsidRPr="0051702D" w:rsidRDefault="00FC77D9" w:rsidP="00EB555A">
            <w:pPr>
              <w:pStyle w:val="TableParagraph"/>
              <w:spacing w:line="252" w:lineRule="exact"/>
              <w:ind w:left="103"/>
              <w:jc w:val="center"/>
              <w:rPr>
                <w:rFonts w:ascii="Times New Roman" w:eastAsia="Times New Roman" w:hAnsi="Times New Roman" w:cs="Times New Roman"/>
                <w:b/>
              </w:rPr>
            </w:pPr>
            <w:bookmarkStart w:id="44" w:name="$7,681,800"/>
            <w:bookmarkEnd w:id="44"/>
            <w:r w:rsidRPr="0051702D">
              <w:rPr>
                <w:rFonts w:ascii="Times New Roman"/>
                <w:b/>
              </w:rPr>
              <w:t>$</w:t>
            </w:r>
            <w:r w:rsidR="0051702D" w:rsidRPr="0051702D">
              <w:rPr>
                <w:rFonts w:ascii="Times New Roman"/>
                <w:b/>
              </w:rPr>
              <w:t>208,506</w:t>
            </w:r>
          </w:p>
        </w:tc>
      </w:tr>
    </w:tbl>
    <w:p w:rsidR="00CB60DC" w:rsidRDefault="00CB60DC">
      <w:pPr>
        <w:rPr>
          <w:rFonts w:ascii="Times New Roman" w:eastAsia="Times New Roman" w:hAnsi="Times New Roman" w:cs="Times New Roman"/>
          <w:sz w:val="20"/>
          <w:szCs w:val="20"/>
        </w:rPr>
      </w:pPr>
    </w:p>
    <w:p w:rsidR="00CB60DC" w:rsidRDefault="00FC77D9">
      <w:pPr>
        <w:pStyle w:val="ListParagraph"/>
        <w:numPr>
          <w:ilvl w:val="0"/>
          <w:numId w:val="3"/>
        </w:numPr>
        <w:tabs>
          <w:tab w:val="left" w:pos="460"/>
        </w:tabs>
        <w:spacing w:before="69"/>
        <w:rPr>
          <w:rFonts w:ascii="Times New Roman" w:eastAsia="Times New Roman" w:hAnsi="Times New Roman" w:cs="Times New Roman"/>
          <w:sz w:val="24"/>
          <w:szCs w:val="24"/>
        </w:rPr>
      </w:pPr>
      <w:bookmarkStart w:id="45" w:name="13._Capital_Costs"/>
      <w:bookmarkEnd w:id="45"/>
      <w:r>
        <w:rPr>
          <w:rFonts w:ascii="Times New Roman"/>
          <w:sz w:val="24"/>
          <w:u w:val="single" w:color="000000"/>
        </w:rPr>
        <w:t>Capital Costs</w:t>
      </w:r>
    </w:p>
    <w:p w:rsidR="00CB60DC" w:rsidRDefault="00CB60DC">
      <w:pPr>
        <w:spacing w:before="11"/>
        <w:rPr>
          <w:rFonts w:ascii="Times New Roman" w:eastAsia="Times New Roman" w:hAnsi="Times New Roman" w:cs="Times New Roman"/>
          <w:sz w:val="17"/>
          <w:szCs w:val="17"/>
        </w:rPr>
      </w:pPr>
    </w:p>
    <w:p w:rsidR="00CB60DC" w:rsidRDefault="00FC77D9">
      <w:pPr>
        <w:pStyle w:val="BodyText"/>
        <w:spacing w:before="69"/>
      </w:pPr>
      <w:bookmarkStart w:id="46" w:name="There_are_no_additional_capital_costs.__"/>
      <w:bookmarkEnd w:id="46"/>
      <w:r>
        <w:t>There are no additional capital</w:t>
      </w:r>
      <w:r>
        <w:rPr>
          <w:spacing w:val="-14"/>
        </w:rPr>
        <w:t xml:space="preserve"> </w:t>
      </w:r>
      <w:r>
        <w:t>costs.</w:t>
      </w:r>
    </w:p>
    <w:p w:rsidR="00CB60DC" w:rsidRDefault="00CB60DC">
      <w:pPr>
        <w:spacing w:before="7"/>
        <w:rPr>
          <w:rFonts w:ascii="Times New Roman" w:eastAsia="Times New Roman" w:hAnsi="Times New Roman" w:cs="Times New Roman"/>
          <w:sz w:val="27"/>
          <w:szCs w:val="27"/>
        </w:rPr>
      </w:pPr>
    </w:p>
    <w:p w:rsidR="00CB60DC" w:rsidRDefault="00FC77D9">
      <w:pPr>
        <w:pStyle w:val="ListParagraph"/>
        <w:numPr>
          <w:ilvl w:val="0"/>
          <w:numId w:val="2"/>
        </w:numPr>
        <w:tabs>
          <w:tab w:val="left" w:pos="462"/>
        </w:tabs>
        <w:rPr>
          <w:rFonts w:ascii="Times New Roman" w:eastAsia="Times New Roman" w:hAnsi="Times New Roman" w:cs="Times New Roman"/>
          <w:sz w:val="24"/>
          <w:szCs w:val="24"/>
        </w:rPr>
      </w:pPr>
      <w:bookmarkStart w:id="47" w:name="14._Cost_to_Federal_Government"/>
      <w:bookmarkEnd w:id="47"/>
      <w:r>
        <w:rPr>
          <w:rFonts w:ascii="Times New Roman"/>
          <w:sz w:val="24"/>
          <w:u w:val="single" w:color="000000"/>
        </w:rPr>
        <w:t>Cost to Federal</w:t>
      </w:r>
      <w:r>
        <w:rPr>
          <w:rFonts w:ascii="Times New Roman"/>
          <w:spacing w:val="-1"/>
          <w:sz w:val="24"/>
          <w:u w:val="single" w:color="000000"/>
        </w:rPr>
        <w:t xml:space="preserve"> </w:t>
      </w:r>
      <w:r>
        <w:rPr>
          <w:rFonts w:ascii="Times New Roman"/>
          <w:sz w:val="24"/>
          <w:u w:val="single" w:color="000000"/>
        </w:rPr>
        <w:t>Government</w:t>
      </w:r>
    </w:p>
    <w:p w:rsidR="00CB60DC" w:rsidRDefault="00CB60DC">
      <w:pPr>
        <w:rPr>
          <w:rFonts w:ascii="Times New Roman" w:eastAsia="Times New Roman" w:hAnsi="Times New Roman" w:cs="Times New Roman"/>
          <w:sz w:val="24"/>
          <w:szCs w:val="24"/>
        </w:rPr>
      </w:pPr>
    </w:p>
    <w:p w:rsidR="00CB60DC" w:rsidRDefault="00FC77D9" w:rsidP="00EB555A">
      <w:pPr>
        <w:pStyle w:val="BodyText"/>
        <w:ind w:left="0"/>
        <w:rPr>
          <w:rFonts w:cs="Times New Roman"/>
        </w:rPr>
      </w:pPr>
      <w:bookmarkStart w:id="48" w:name="_$2,263.04"/>
      <w:bookmarkEnd w:id="48"/>
      <w:r>
        <w:t>There are no costs to the Federal Government.</w:t>
      </w:r>
    </w:p>
    <w:p w:rsidR="00CB60DC" w:rsidRDefault="00CB60DC">
      <w:pPr>
        <w:spacing w:before="11"/>
        <w:rPr>
          <w:rFonts w:ascii="Times New Roman" w:eastAsia="Times New Roman" w:hAnsi="Times New Roman" w:cs="Times New Roman"/>
          <w:sz w:val="27"/>
          <w:szCs w:val="27"/>
        </w:rPr>
      </w:pPr>
    </w:p>
    <w:p w:rsidR="00CB60DC" w:rsidRDefault="00FC77D9">
      <w:pPr>
        <w:pStyle w:val="ListParagraph"/>
        <w:numPr>
          <w:ilvl w:val="0"/>
          <w:numId w:val="2"/>
        </w:numPr>
        <w:tabs>
          <w:tab w:val="left" w:pos="462"/>
        </w:tabs>
        <w:rPr>
          <w:rFonts w:ascii="Times New Roman" w:eastAsia="Times New Roman" w:hAnsi="Times New Roman" w:cs="Times New Roman"/>
          <w:sz w:val="24"/>
          <w:szCs w:val="24"/>
        </w:rPr>
      </w:pPr>
      <w:bookmarkStart w:id="49" w:name="15._Changes_to_Burden"/>
      <w:bookmarkEnd w:id="49"/>
      <w:r>
        <w:rPr>
          <w:rFonts w:ascii="Times New Roman"/>
          <w:sz w:val="24"/>
          <w:u w:val="single" w:color="000000"/>
        </w:rPr>
        <w:t>Changes to Burden</w:t>
      </w:r>
    </w:p>
    <w:p w:rsidR="00CB60DC" w:rsidRDefault="00CB60DC">
      <w:pPr>
        <w:spacing w:before="4"/>
        <w:rPr>
          <w:rFonts w:ascii="Times New Roman" w:eastAsia="Times New Roman" w:hAnsi="Times New Roman" w:cs="Times New Roman"/>
          <w:sz w:val="24"/>
          <w:szCs w:val="24"/>
        </w:rPr>
      </w:pPr>
    </w:p>
    <w:p w:rsidR="00CB60DC" w:rsidRDefault="00FC77D9">
      <w:pPr>
        <w:pStyle w:val="BodyText"/>
      </w:pPr>
      <w:bookmarkStart w:id="50" w:name="There_are_no_changes_to_burden._"/>
      <w:bookmarkEnd w:id="50"/>
      <w:r>
        <w:t>There are no changes to</w:t>
      </w:r>
      <w:r>
        <w:rPr>
          <w:spacing w:val="-15"/>
        </w:rPr>
        <w:t xml:space="preserve"> </w:t>
      </w:r>
      <w:r>
        <w:t>burden.</w:t>
      </w:r>
    </w:p>
    <w:p w:rsidR="00CB60DC" w:rsidRDefault="00CB60DC">
      <w:pPr>
        <w:spacing w:before="3"/>
        <w:rPr>
          <w:rFonts w:ascii="Times New Roman" w:eastAsia="Times New Roman" w:hAnsi="Times New Roman" w:cs="Times New Roman"/>
          <w:sz w:val="25"/>
          <w:szCs w:val="25"/>
        </w:rPr>
      </w:pPr>
    </w:p>
    <w:p w:rsidR="00CB60DC" w:rsidRDefault="00FC77D9">
      <w:pPr>
        <w:pStyle w:val="ListParagraph"/>
        <w:numPr>
          <w:ilvl w:val="0"/>
          <w:numId w:val="1"/>
        </w:numPr>
        <w:tabs>
          <w:tab w:val="left" w:pos="532"/>
        </w:tabs>
        <w:rPr>
          <w:rFonts w:ascii="Times New Roman" w:eastAsia="Times New Roman" w:hAnsi="Times New Roman" w:cs="Times New Roman"/>
          <w:sz w:val="24"/>
          <w:szCs w:val="24"/>
        </w:rPr>
      </w:pPr>
      <w:bookmarkStart w:id="51" w:name="16._Publication/Tabulation_Dates"/>
      <w:bookmarkEnd w:id="51"/>
      <w:r>
        <w:rPr>
          <w:rFonts w:ascii="Times New Roman"/>
          <w:sz w:val="24"/>
          <w:u w:val="single" w:color="000000"/>
        </w:rPr>
        <w:t>Publication/Tabulation</w:t>
      </w:r>
      <w:r>
        <w:rPr>
          <w:rFonts w:ascii="Times New Roman"/>
          <w:spacing w:val="-1"/>
          <w:sz w:val="24"/>
          <w:u w:val="single" w:color="000000"/>
        </w:rPr>
        <w:t xml:space="preserve"> </w:t>
      </w:r>
      <w:r>
        <w:rPr>
          <w:rFonts w:ascii="Times New Roman"/>
          <w:sz w:val="24"/>
          <w:u w:val="single" w:color="000000"/>
        </w:rPr>
        <w:t>Dates</w:t>
      </w:r>
    </w:p>
    <w:p w:rsidR="00CB60DC" w:rsidRDefault="00CB60DC">
      <w:pPr>
        <w:spacing w:before="3"/>
        <w:rPr>
          <w:rFonts w:ascii="Times New Roman" w:eastAsia="Times New Roman" w:hAnsi="Times New Roman" w:cs="Times New Roman"/>
          <w:sz w:val="19"/>
          <w:szCs w:val="19"/>
        </w:rPr>
      </w:pPr>
    </w:p>
    <w:p w:rsidR="00CB60DC" w:rsidRDefault="00FC77D9">
      <w:pPr>
        <w:pStyle w:val="BodyText"/>
        <w:spacing w:before="69"/>
      </w:pPr>
      <w:bookmarkStart w:id="52" w:name="Not_applicable._"/>
      <w:bookmarkEnd w:id="52"/>
      <w:r>
        <w:t>Not</w:t>
      </w:r>
      <w:r>
        <w:rPr>
          <w:spacing w:val="-5"/>
        </w:rPr>
        <w:t xml:space="preserve"> </w:t>
      </w:r>
      <w:r>
        <w:t>applicable.</w:t>
      </w:r>
    </w:p>
    <w:p w:rsidR="00CB60DC" w:rsidRDefault="00CB60DC">
      <w:pPr>
        <w:spacing w:before="3"/>
        <w:rPr>
          <w:rFonts w:ascii="Times New Roman" w:eastAsia="Times New Roman" w:hAnsi="Times New Roman" w:cs="Times New Roman"/>
          <w:sz w:val="25"/>
          <w:szCs w:val="25"/>
        </w:rPr>
      </w:pPr>
    </w:p>
    <w:p w:rsidR="00CB60DC" w:rsidRDefault="00FC77D9">
      <w:pPr>
        <w:pStyle w:val="ListParagraph"/>
        <w:numPr>
          <w:ilvl w:val="0"/>
          <w:numId w:val="1"/>
        </w:numPr>
        <w:tabs>
          <w:tab w:val="left" w:pos="532"/>
        </w:tabs>
        <w:rPr>
          <w:rFonts w:ascii="Times New Roman" w:eastAsia="Times New Roman" w:hAnsi="Times New Roman" w:cs="Times New Roman"/>
          <w:sz w:val="24"/>
          <w:szCs w:val="24"/>
        </w:rPr>
      </w:pPr>
      <w:bookmarkStart w:id="53" w:name="17._Expiration_Date"/>
      <w:bookmarkEnd w:id="53"/>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rsidR="00CB60DC" w:rsidRDefault="00CB60DC">
      <w:pPr>
        <w:spacing w:before="3"/>
        <w:rPr>
          <w:rFonts w:ascii="Times New Roman" w:eastAsia="Times New Roman" w:hAnsi="Times New Roman" w:cs="Times New Roman"/>
          <w:sz w:val="19"/>
          <w:szCs w:val="19"/>
        </w:rPr>
      </w:pPr>
    </w:p>
    <w:p w:rsidR="00CB60DC" w:rsidRDefault="00FC77D9">
      <w:pPr>
        <w:pStyle w:val="BodyText"/>
        <w:spacing w:before="69"/>
      </w:pPr>
      <w:bookmarkStart w:id="54" w:name="This_collection_does_not_lend_itself_to_"/>
      <w:bookmarkEnd w:id="54"/>
      <w:r>
        <w:t>This collection does not lend itself to the displaying of an expiration</w:t>
      </w:r>
      <w:r>
        <w:rPr>
          <w:spacing w:val="-26"/>
        </w:rPr>
        <w:t xml:space="preserve"> </w:t>
      </w:r>
      <w:r>
        <w:t>date.</w:t>
      </w:r>
    </w:p>
    <w:sectPr w:rsidR="00CB60DC">
      <w:pgSz w:w="12240" w:h="15840"/>
      <w:pgMar w:top="1360" w:right="1720" w:bottom="1780" w:left="1340" w:header="0" w:footer="1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D9" w:rsidRDefault="00FC77D9">
      <w:r>
        <w:separator/>
      </w:r>
    </w:p>
  </w:endnote>
  <w:endnote w:type="continuationSeparator" w:id="0">
    <w:p w:rsidR="00FC77D9" w:rsidRDefault="00FC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DC" w:rsidRDefault="00EB555A">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3829050</wp:posOffset>
              </wp:positionH>
              <wp:positionV relativeFrom="page">
                <wp:posOffset>8912860</wp:posOffset>
              </wp:positionV>
              <wp:extent cx="114935" cy="15240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0DC" w:rsidRDefault="00FC77D9">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5pt;margin-top:701.8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uo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" filled="f" stroked="f">
              <v:textbox inset="0,0,0,0">
                <w:txbxContent>
                  <w:p w:rsidR="00CB60DC" w:rsidRDefault="00FC77D9">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Pr>
                        <w:rFonts w:ascii="Calibri"/>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D9" w:rsidRDefault="00FC77D9">
      <w:r>
        <w:separator/>
      </w:r>
    </w:p>
  </w:footnote>
  <w:footnote w:type="continuationSeparator" w:id="0">
    <w:p w:rsidR="00FC77D9" w:rsidRDefault="00FC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405"/>
    <w:multiLevelType w:val="hybridMultilevel"/>
    <w:tmpl w:val="A8D8177E"/>
    <w:lvl w:ilvl="0" w:tplc="B396EEF6">
      <w:start w:val="16"/>
      <w:numFmt w:val="decimal"/>
      <w:lvlText w:val="%1."/>
      <w:lvlJc w:val="left"/>
      <w:pPr>
        <w:ind w:left="532" w:hanging="432"/>
        <w:jc w:val="left"/>
      </w:pPr>
      <w:rPr>
        <w:rFonts w:ascii="Times New Roman" w:eastAsia="Times New Roman" w:hAnsi="Times New Roman" w:hint="default"/>
        <w:w w:val="100"/>
        <w:sz w:val="24"/>
        <w:szCs w:val="24"/>
      </w:rPr>
    </w:lvl>
    <w:lvl w:ilvl="1" w:tplc="F88EEAD8">
      <w:start w:val="1"/>
      <w:numFmt w:val="bullet"/>
      <w:lvlText w:val="•"/>
      <w:lvlJc w:val="left"/>
      <w:pPr>
        <w:ind w:left="1404" w:hanging="432"/>
      </w:pPr>
      <w:rPr>
        <w:rFonts w:hint="default"/>
      </w:rPr>
    </w:lvl>
    <w:lvl w:ilvl="2" w:tplc="E4D2E294">
      <w:start w:val="1"/>
      <w:numFmt w:val="bullet"/>
      <w:lvlText w:val="•"/>
      <w:lvlJc w:val="left"/>
      <w:pPr>
        <w:ind w:left="2268" w:hanging="432"/>
      </w:pPr>
      <w:rPr>
        <w:rFonts w:hint="default"/>
      </w:rPr>
    </w:lvl>
    <w:lvl w:ilvl="3" w:tplc="D49264A8">
      <w:start w:val="1"/>
      <w:numFmt w:val="bullet"/>
      <w:lvlText w:val="•"/>
      <w:lvlJc w:val="left"/>
      <w:pPr>
        <w:ind w:left="3132" w:hanging="432"/>
      </w:pPr>
      <w:rPr>
        <w:rFonts w:hint="default"/>
      </w:rPr>
    </w:lvl>
    <w:lvl w:ilvl="4" w:tplc="0C8A7F92">
      <w:start w:val="1"/>
      <w:numFmt w:val="bullet"/>
      <w:lvlText w:val="•"/>
      <w:lvlJc w:val="left"/>
      <w:pPr>
        <w:ind w:left="3996" w:hanging="432"/>
      </w:pPr>
      <w:rPr>
        <w:rFonts w:hint="default"/>
      </w:rPr>
    </w:lvl>
    <w:lvl w:ilvl="5" w:tplc="857EA43A">
      <w:start w:val="1"/>
      <w:numFmt w:val="bullet"/>
      <w:lvlText w:val="•"/>
      <w:lvlJc w:val="left"/>
      <w:pPr>
        <w:ind w:left="4860" w:hanging="432"/>
      </w:pPr>
      <w:rPr>
        <w:rFonts w:hint="default"/>
      </w:rPr>
    </w:lvl>
    <w:lvl w:ilvl="6" w:tplc="D5861A8C">
      <w:start w:val="1"/>
      <w:numFmt w:val="bullet"/>
      <w:lvlText w:val="•"/>
      <w:lvlJc w:val="left"/>
      <w:pPr>
        <w:ind w:left="5724" w:hanging="432"/>
      </w:pPr>
      <w:rPr>
        <w:rFonts w:hint="default"/>
      </w:rPr>
    </w:lvl>
    <w:lvl w:ilvl="7" w:tplc="E4F4E4EC">
      <w:start w:val="1"/>
      <w:numFmt w:val="bullet"/>
      <w:lvlText w:val="•"/>
      <w:lvlJc w:val="left"/>
      <w:pPr>
        <w:ind w:left="6588" w:hanging="432"/>
      </w:pPr>
      <w:rPr>
        <w:rFonts w:hint="default"/>
      </w:rPr>
    </w:lvl>
    <w:lvl w:ilvl="8" w:tplc="B19C1D90">
      <w:start w:val="1"/>
      <w:numFmt w:val="bullet"/>
      <w:lvlText w:val="•"/>
      <w:lvlJc w:val="left"/>
      <w:pPr>
        <w:ind w:left="7452" w:hanging="432"/>
      </w:pPr>
      <w:rPr>
        <w:rFonts w:hint="default"/>
      </w:rPr>
    </w:lvl>
  </w:abstractNum>
  <w:abstractNum w:abstractNumId="1" w15:restartNumberingAfterBreak="0">
    <w:nsid w:val="1E7A6997"/>
    <w:multiLevelType w:val="hybridMultilevel"/>
    <w:tmpl w:val="2E4C8292"/>
    <w:lvl w:ilvl="0" w:tplc="BE4860A2">
      <w:start w:val="1"/>
      <w:numFmt w:val="decimal"/>
      <w:lvlText w:val="%1."/>
      <w:lvlJc w:val="left"/>
      <w:pPr>
        <w:ind w:left="460" w:hanging="360"/>
        <w:jc w:val="left"/>
      </w:pPr>
      <w:rPr>
        <w:rFonts w:ascii="Times New Roman" w:eastAsia="Times New Roman" w:hAnsi="Times New Roman" w:hint="default"/>
        <w:w w:val="100"/>
        <w:sz w:val="24"/>
        <w:szCs w:val="24"/>
      </w:rPr>
    </w:lvl>
    <w:lvl w:ilvl="1" w:tplc="C0B2F3B6">
      <w:start w:val="1"/>
      <w:numFmt w:val="bullet"/>
      <w:lvlText w:val="•"/>
      <w:lvlJc w:val="left"/>
      <w:pPr>
        <w:ind w:left="1386" w:hanging="360"/>
      </w:pPr>
      <w:rPr>
        <w:rFonts w:hint="default"/>
      </w:rPr>
    </w:lvl>
    <w:lvl w:ilvl="2" w:tplc="40A096E8">
      <w:start w:val="1"/>
      <w:numFmt w:val="bullet"/>
      <w:lvlText w:val="•"/>
      <w:lvlJc w:val="left"/>
      <w:pPr>
        <w:ind w:left="2312" w:hanging="360"/>
      </w:pPr>
      <w:rPr>
        <w:rFonts w:hint="default"/>
      </w:rPr>
    </w:lvl>
    <w:lvl w:ilvl="3" w:tplc="E6EA32FA">
      <w:start w:val="1"/>
      <w:numFmt w:val="bullet"/>
      <w:lvlText w:val="•"/>
      <w:lvlJc w:val="left"/>
      <w:pPr>
        <w:ind w:left="3238" w:hanging="360"/>
      </w:pPr>
      <w:rPr>
        <w:rFonts w:hint="default"/>
      </w:rPr>
    </w:lvl>
    <w:lvl w:ilvl="4" w:tplc="E9AC1CEA">
      <w:start w:val="1"/>
      <w:numFmt w:val="bullet"/>
      <w:lvlText w:val="•"/>
      <w:lvlJc w:val="left"/>
      <w:pPr>
        <w:ind w:left="4164" w:hanging="360"/>
      </w:pPr>
      <w:rPr>
        <w:rFonts w:hint="default"/>
      </w:rPr>
    </w:lvl>
    <w:lvl w:ilvl="5" w:tplc="826E3F00">
      <w:start w:val="1"/>
      <w:numFmt w:val="bullet"/>
      <w:lvlText w:val="•"/>
      <w:lvlJc w:val="left"/>
      <w:pPr>
        <w:ind w:left="5090" w:hanging="360"/>
      </w:pPr>
      <w:rPr>
        <w:rFonts w:hint="default"/>
      </w:rPr>
    </w:lvl>
    <w:lvl w:ilvl="6" w:tplc="44DAC25A">
      <w:start w:val="1"/>
      <w:numFmt w:val="bullet"/>
      <w:lvlText w:val="•"/>
      <w:lvlJc w:val="left"/>
      <w:pPr>
        <w:ind w:left="6016" w:hanging="360"/>
      </w:pPr>
      <w:rPr>
        <w:rFonts w:hint="default"/>
      </w:rPr>
    </w:lvl>
    <w:lvl w:ilvl="7" w:tplc="8EA4D094">
      <w:start w:val="1"/>
      <w:numFmt w:val="bullet"/>
      <w:lvlText w:val="•"/>
      <w:lvlJc w:val="left"/>
      <w:pPr>
        <w:ind w:left="6942" w:hanging="360"/>
      </w:pPr>
      <w:rPr>
        <w:rFonts w:hint="default"/>
      </w:rPr>
    </w:lvl>
    <w:lvl w:ilvl="8" w:tplc="76E0ED00">
      <w:start w:val="1"/>
      <w:numFmt w:val="bullet"/>
      <w:lvlText w:val="•"/>
      <w:lvlJc w:val="left"/>
      <w:pPr>
        <w:ind w:left="7868" w:hanging="360"/>
      </w:pPr>
      <w:rPr>
        <w:rFonts w:hint="default"/>
      </w:rPr>
    </w:lvl>
  </w:abstractNum>
  <w:abstractNum w:abstractNumId="2" w15:restartNumberingAfterBreak="0">
    <w:nsid w:val="46112E24"/>
    <w:multiLevelType w:val="hybridMultilevel"/>
    <w:tmpl w:val="B09A812E"/>
    <w:lvl w:ilvl="0" w:tplc="3B5E00BC">
      <w:start w:val="14"/>
      <w:numFmt w:val="decimal"/>
      <w:lvlText w:val="%1."/>
      <w:lvlJc w:val="left"/>
      <w:pPr>
        <w:ind w:left="462" w:hanging="360"/>
        <w:jc w:val="left"/>
      </w:pPr>
      <w:rPr>
        <w:rFonts w:ascii="Times New Roman" w:eastAsia="Times New Roman" w:hAnsi="Times New Roman" w:hint="default"/>
        <w:w w:val="100"/>
        <w:sz w:val="24"/>
        <w:szCs w:val="24"/>
      </w:rPr>
    </w:lvl>
    <w:lvl w:ilvl="1" w:tplc="AE9664E8">
      <w:start w:val="1"/>
      <w:numFmt w:val="bullet"/>
      <w:lvlText w:val="•"/>
      <w:lvlJc w:val="left"/>
      <w:pPr>
        <w:ind w:left="1332" w:hanging="360"/>
      </w:pPr>
      <w:rPr>
        <w:rFonts w:hint="default"/>
      </w:rPr>
    </w:lvl>
    <w:lvl w:ilvl="2" w:tplc="AD82E18A">
      <w:start w:val="1"/>
      <w:numFmt w:val="bullet"/>
      <w:lvlText w:val="•"/>
      <w:lvlJc w:val="left"/>
      <w:pPr>
        <w:ind w:left="2204" w:hanging="360"/>
      </w:pPr>
      <w:rPr>
        <w:rFonts w:hint="default"/>
      </w:rPr>
    </w:lvl>
    <w:lvl w:ilvl="3" w:tplc="F250A3A8">
      <w:start w:val="1"/>
      <w:numFmt w:val="bullet"/>
      <w:lvlText w:val="•"/>
      <w:lvlJc w:val="left"/>
      <w:pPr>
        <w:ind w:left="3076" w:hanging="360"/>
      </w:pPr>
      <w:rPr>
        <w:rFonts w:hint="default"/>
      </w:rPr>
    </w:lvl>
    <w:lvl w:ilvl="4" w:tplc="ED349F16">
      <w:start w:val="1"/>
      <w:numFmt w:val="bullet"/>
      <w:lvlText w:val="•"/>
      <w:lvlJc w:val="left"/>
      <w:pPr>
        <w:ind w:left="3948" w:hanging="360"/>
      </w:pPr>
      <w:rPr>
        <w:rFonts w:hint="default"/>
      </w:rPr>
    </w:lvl>
    <w:lvl w:ilvl="5" w:tplc="C0A61BAA">
      <w:start w:val="1"/>
      <w:numFmt w:val="bullet"/>
      <w:lvlText w:val="•"/>
      <w:lvlJc w:val="left"/>
      <w:pPr>
        <w:ind w:left="4820" w:hanging="360"/>
      </w:pPr>
      <w:rPr>
        <w:rFonts w:hint="default"/>
      </w:rPr>
    </w:lvl>
    <w:lvl w:ilvl="6" w:tplc="A086E04E">
      <w:start w:val="1"/>
      <w:numFmt w:val="bullet"/>
      <w:lvlText w:val="•"/>
      <w:lvlJc w:val="left"/>
      <w:pPr>
        <w:ind w:left="5692" w:hanging="360"/>
      </w:pPr>
      <w:rPr>
        <w:rFonts w:hint="default"/>
      </w:rPr>
    </w:lvl>
    <w:lvl w:ilvl="7" w:tplc="B23C4A7A">
      <w:start w:val="1"/>
      <w:numFmt w:val="bullet"/>
      <w:lvlText w:val="•"/>
      <w:lvlJc w:val="left"/>
      <w:pPr>
        <w:ind w:left="6564" w:hanging="360"/>
      </w:pPr>
      <w:rPr>
        <w:rFonts w:hint="default"/>
      </w:rPr>
    </w:lvl>
    <w:lvl w:ilvl="8" w:tplc="7E20192E">
      <w:start w:val="1"/>
      <w:numFmt w:val="bullet"/>
      <w:lvlText w:val="•"/>
      <w:lvlJc w:val="left"/>
      <w:pPr>
        <w:ind w:left="7436" w:hanging="360"/>
      </w:pPr>
      <w:rPr>
        <w:rFonts w:hint="default"/>
      </w:rPr>
    </w:lvl>
  </w:abstractNum>
  <w:abstractNum w:abstractNumId="3" w15:restartNumberingAfterBreak="0">
    <w:nsid w:val="5BAD4DFF"/>
    <w:multiLevelType w:val="hybridMultilevel"/>
    <w:tmpl w:val="1B9A393E"/>
    <w:lvl w:ilvl="0" w:tplc="E00EFC92">
      <w:start w:val="9"/>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28F4372"/>
    <w:multiLevelType w:val="hybridMultilevel"/>
    <w:tmpl w:val="49DAC012"/>
    <w:lvl w:ilvl="0" w:tplc="E3109072">
      <w:start w:val="1"/>
      <w:numFmt w:val="upperLetter"/>
      <w:lvlText w:val="%1."/>
      <w:lvlJc w:val="left"/>
      <w:pPr>
        <w:ind w:left="412" w:hanging="293"/>
        <w:jc w:val="left"/>
      </w:pPr>
      <w:rPr>
        <w:rFonts w:ascii="Times New Roman" w:eastAsia="Times New Roman" w:hAnsi="Times New Roman" w:hint="default"/>
        <w:b/>
        <w:bCs/>
        <w:spacing w:val="-1"/>
        <w:w w:val="100"/>
        <w:position w:val="1"/>
        <w:sz w:val="24"/>
        <w:szCs w:val="24"/>
      </w:rPr>
    </w:lvl>
    <w:lvl w:ilvl="1" w:tplc="F556A46A">
      <w:start w:val="1"/>
      <w:numFmt w:val="bullet"/>
      <w:lvlText w:val="•"/>
      <w:lvlJc w:val="left"/>
      <w:pPr>
        <w:ind w:left="1350" w:hanging="293"/>
      </w:pPr>
      <w:rPr>
        <w:rFonts w:hint="default"/>
      </w:rPr>
    </w:lvl>
    <w:lvl w:ilvl="2" w:tplc="E54653A6">
      <w:start w:val="1"/>
      <w:numFmt w:val="bullet"/>
      <w:lvlText w:val="•"/>
      <w:lvlJc w:val="left"/>
      <w:pPr>
        <w:ind w:left="2280" w:hanging="293"/>
      </w:pPr>
      <w:rPr>
        <w:rFonts w:hint="default"/>
      </w:rPr>
    </w:lvl>
    <w:lvl w:ilvl="3" w:tplc="87C06590">
      <w:start w:val="1"/>
      <w:numFmt w:val="bullet"/>
      <w:lvlText w:val="•"/>
      <w:lvlJc w:val="left"/>
      <w:pPr>
        <w:ind w:left="3210" w:hanging="293"/>
      </w:pPr>
      <w:rPr>
        <w:rFonts w:hint="default"/>
      </w:rPr>
    </w:lvl>
    <w:lvl w:ilvl="4" w:tplc="C1488A90">
      <w:start w:val="1"/>
      <w:numFmt w:val="bullet"/>
      <w:lvlText w:val="•"/>
      <w:lvlJc w:val="left"/>
      <w:pPr>
        <w:ind w:left="4140" w:hanging="293"/>
      </w:pPr>
      <w:rPr>
        <w:rFonts w:hint="default"/>
      </w:rPr>
    </w:lvl>
    <w:lvl w:ilvl="5" w:tplc="5246E0F2">
      <w:start w:val="1"/>
      <w:numFmt w:val="bullet"/>
      <w:lvlText w:val="•"/>
      <w:lvlJc w:val="left"/>
      <w:pPr>
        <w:ind w:left="5070" w:hanging="293"/>
      </w:pPr>
      <w:rPr>
        <w:rFonts w:hint="default"/>
      </w:rPr>
    </w:lvl>
    <w:lvl w:ilvl="6" w:tplc="418AD70A">
      <w:start w:val="1"/>
      <w:numFmt w:val="bullet"/>
      <w:lvlText w:val="•"/>
      <w:lvlJc w:val="left"/>
      <w:pPr>
        <w:ind w:left="6000" w:hanging="293"/>
      </w:pPr>
      <w:rPr>
        <w:rFonts w:hint="default"/>
      </w:rPr>
    </w:lvl>
    <w:lvl w:ilvl="7" w:tplc="58702CC4">
      <w:start w:val="1"/>
      <w:numFmt w:val="bullet"/>
      <w:lvlText w:val="•"/>
      <w:lvlJc w:val="left"/>
      <w:pPr>
        <w:ind w:left="6930" w:hanging="293"/>
      </w:pPr>
      <w:rPr>
        <w:rFonts w:hint="default"/>
      </w:rPr>
    </w:lvl>
    <w:lvl w:ilvl="8" w:tplc="A354416E">
      <w:start w:val="1"/>
      <w:numFmt w:val="bullet"/>
      <w:lvlText w:val="•"/>
      <w:lvlJc w:val="left"/>
      <w:pPr>
        <w:ind w:left="7860" w:hanging="293"/>
      </w:pPr>
      <w:rPr>
        <w:rFonts w:hint="default"/>
      </w:rPr>
    </w:lvl>
  </w:abstractNum>
  <w:abstractNum w:abstractNumId="5" w15:restartNumberingAfterBreak="0">
    <w:nsid w:val="74CF748B"/>
    <w:multiLevelType w:val="hybridMultilevel"/>
    <w:tmpl w:val="D91EE182"/>
    <w:lvl w:ilvl="0" w:tplc="33AE04AE">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DC"/>
    <w:rsid w:val="0051702D"/>
    <w:rsid w:val="00CB60DC"/>
    <w:rsid w:val="00DE48CF"/>
    <w:rsid w:val="00EB555A"/>
    <w:rsid w:val="00F94EA1"/>
    <w:rsid w:val="00FC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C9F73E-1F37-45D9-96D1-2A4824C4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
      <w:ind w:left="21"/>
      <w:outlineLvl w:val="0"/>
    </w:pPr>
    <w:rPr>
      <w:rFonts w:ascii="Times New Roman" w:eastAsia="Times New Roman" w:hAnsi="Times New Roman"/>
      <w:b/>
      <w:bCs/>
      <w:sz w:val="28"/>
      <w:szCs w:val="28"/>
      <w:u w:val="single"/>
    </w:rPr>
  </w:style>
  <w:style w:type="paragraph" w:styleId="Heading2">
    <w:name w:val="heading 2"/>
    <w:basedOn w:val="Normal"/>
    <w:uiPriority w:val="1"/>
    <w:qFormat/>
    <w:pPr>
      <w:spacing w:before="54"/>
      <w:ind w:left="380" w:hanging="292"/>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5170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51702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17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1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H564\Desktop\a\%3ehttps:\%3ewww.federalregister.gov\articles\2016\03\08\2016-04439\patient-protection-and-affordable-care-act-hhs-notice-of-benefit-and-payment-parameters-for-2017%3c%3c"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Notices Supporting Statement 2 23 16</vt:lpstr>
    </vt:vector>
  </TitlesOfParts>
  <Company>CMS</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 Supporting Statement 2 23 16</dc:title>
  <dc:creator>CMS</dc:creator>
  <cp:lastModifiedBy>JAMAA HILL</cp:lastModifiedBy>
  <cp:revision>4</cp:revision>
  <dcterms:created xsi:type="dcterms:W3CDTF">2016-09-06T14:06:00Z</dcterms:created>
  <dcterms:modified xsi:type="dcterms:W3CDTF">2016-09-06T14:07:00Z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2016-02-24T00:00:00Z</vt:filetime>
  </property>
  <property fmtid="{D5CDD505-2E9C-101B-9397-08002B2CF9AE}" pid="3" name="Creator">
    <vt:lpwstr>Acrobat PDFMaker 15 for Word</vt:lpwstr>
  </property>
  <property fmtid="{D5CDD505-2E9C-101B-9397-08002B2CF9AE}" pid="4" name="LastSaved">
    <vt:filetime>2016-09-06T00:00:00Z</vt:filetime>
  </property>
</Properties>
</file>