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13170" w14:textId="77777777" w:rsidR="0064737B" w:rsidRDefault="0064737B" w:rsidP="00AA12FC">
      <w:pPr>
        <w:pStyle w:val="Header1"/>
      </w:pPr>
      <w:bookmarkStart w:id="0" w:name="_GoBack"/>
      <w:bookmarkEnd w:id="0"/>
      <w:r w:rsidRPr="00AF39D5">
        <w:t xml:space="preserve">Supporting Statement </w:t>
      </w:r>
      <w:r w:rsidR="001D20C8" w:rsidRPr="00AF39D5">
        <w:t>– Part A</w:t>
      </w:r>
    </w:p>
    <w:p w14:paraId="45125EBE" w14:textId="77777777" w:rsidR="002E0DD7" w:rsidRPr="00AF39D5" w:rsidRDefault="002E0DD7" w:rsidP="00AA12FC">
      <w:pPr>
        <w:pStyle w:val="Header1"/>
      </w:pPr>
      <w:r>
        <w:t>Notice of Denial of Medical Coverage</w:t>
      </w:r>
      <w:r w:rsidR="004655DC">
        <w:t xml:space="preserve"> (or </w:t>
      </w:r>
      <w:r>
        <w:t>Payment</w:t>
      </w:r>
      <w:r w:rsidR="004655DC">
        <w:t xml:space="preserve">) - </w:t>
      </w:r>
      <w:r w:rsidR="00235CE5">
        <w:t>NDMCP</w:t>
      </w:r>
    </w:p>
    <w:p w14:paraId="6CC97CAE" w14:textId="220124D1" w:rsidR="006378D6" w:rsidRPr="00AF39D5" w:rsidRDefault="006378D6" w:rsidP="00AA12FC">
      <w:pPr>
        <w:pStyle w:val="Header1"/>
      </w:pPr>
      <w:r w:rsidRPr="00AF39D5">
        <w:t>CMS-10003</w:t>
      </w:r>
      <w:r w:rsidR="002B68A6">
        <w:t xml:space="preserve">, </w:t>
      </w:r>
      <w:r w:rsidRPr="00AF39D5">
        <w:t>OMB 0938-0829</w:t>
      </w:r>
    </w:p>
    <w:p w14:paraId="08C1215D" w14:textId="77777777" w:rsidR="0064737B" w:rsidRPr="00AF39D5" w:rsidRDefault="00647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14:paraId="7429B3E4" w14:textId="01DBE5A5" w:rsidR="0064737B" w:rsidRPr="002B68A6" w:rsidRDefault="0064737B" w:rsidP="00AA3DF6">
      <w:pPr>
        <w:pStyle w:val="Body1"/>
        <w:rPr>
          <w:b/>
          <w:u w:val="single"/>
        </w:rPr>
      </w:pPr>
      <w:r w:rsidRPr="002B68A6">
        <w:rPr>
          <w:b/>
          <w:u w:val="single"/>
        </w:rPr>
        <w:t>Background</w:t>
      </w:r>
    </w:p>
    <w:p w14:paraId="7EE71A20" w14:textId="77777777" w:rsidR="0064737B" w:rsidRPr="00AA12FC" w:rsidRDefault="0064737B" w:rsidP="00AA3DF6">
      <w:pPr>
        <w:pStyle w:val="Body1"/>
      </w:pPr>
    </w:p>
    <w:p w14:paraId="02E237D6" w14:textId="206C1DBD" w:rsidR="00283912" w:rsidRPr="00AF39D5" w:rsidRDefault="00C51A41" w:rsidP="00AA3DF6">
      <w:pPr>
        <w:pStyle w:val="Body1"/>
      </w:pPr>
      <w:r>
        <w:t xml:space="preserve">When this PRA package was last updated in 2013, the Notice of Denial of Medicare Coverage (NDMC) was </w:t>
      </w:r>
      <w:r w:rsidR="00246B0D">
        <w:t>combine</w:t>
      </w:r>
      <w:r>
        <w:t>d with</w:t>
      </w:r>
      <w:r w:rsidR="00246B0D">
        <w:t xml:space="preserve"> the </w:t>
      </w:r>
      <w:r>
        <w:t>Notice of Denial of Payment</w:t>
      </w:r>
      <w:r w:rsidR="00246B0D">
        <w:t xml:space="preserve"> </w:t>
      </w:r>
      <w:r>
        <w:t>(</w:t>
      </w:r>
      <w:r w:rsidR="00246B0D">
        <w:t>NDP</w:t>
      </w:r>
      <w:r>
        <w:t>).  At that time, we also</w:t>
      </w:r>
      <w:r w:rsidR="00246B0D">
        <w:t xml:space="preserve"> incorporate</w:t>
      </w:r>
      <w:r>
        <w:t>d</w:t>
      </w:r>
      <w:r w:rsidR="00246B0D">
        <w:t xml:space="preserve"> </w:t>
      </w:r>
      <w:r w:rsidR="007D73BD">
        <w:t xml:space="preserve">text </w:t>
      </w:r>
      <w:r w:rsidR="00246B0D">
        <w:t xml:space="preserve">to be </w:t>
      </w:r>
      <w:r w:rsidR="003D30FF">
        <w:t xml:space="preserve">inserted </w:t>
      </w:r>
      <w:r w:rsidR="00E65859">
        <w:t xml:space="preserve">if the </w:t>
      </w:r>
      <w:r w:rsidR="00510863">
        <w:t xml:space="preserve">Medicare </w:t>
      </w:r>
      <w:r w:rsidR="00911792">
        <w:t xml:space="preserve">health plan </w:t>
      </w:r>
      <w:r w:rsidR="00246B0D">
        <w:t>enrollee</w:t>
      </w:r>
      <w:r w:rsidR="00CE0383">
        <w:t xml:space="preserve"> </w:t>
      </w:r>
      <w:r w:rsidR="00510863">
        <w:t xml:space="preserve">receives </w:t>
      </w:r>
      <w:r w:rsidR="00246B0D">
        <w:t>full benefits under a State Medical Assistance (Medicaid) program</w:t>
      </w:r>
      <w:r w:rsidR="00CE0383">
        <w:t xml:space="preserve"> being managed</w:t>
      </w:r>
      <w:r w:rsidR="00E65859">
        <w:t xml:space="preserve"> </w:t>
      </w:r>
      <w:r w:rsidR="00CE0383">
        <w:t>by the plan</w:t>
      </w:r>
      <w:r w:rsidR="00E65859">
        <w:t xml:space="preserve"> and the plan denies a service or item that is also subject to Medicaid appeal rights</w:t>
      </w:r>
      <w:r w:rsidR="00246B0D">
        <w:t>.</w:t>
      </w:r>
      <w:r>
        <w:t xml:space="preserve">  As a result, this notice is also commonly referred to as the integrated denial notice (IDN).</w:t>
      </w:r>
    </w:p>
    <w:p w14:paraId="7EF2361A" w14:textId="77777777" w:rsidR="00AA3DF6" w:rsidRDefault="00AA3DF6" w:rsidP="001076CB">
      <w:pPr>
        <w:pStyle w:val="Body1"/>
      </w:pPr>
    </w:p>
    <w:p w14:paraId="6A62FCA6" w14:textId="0F4695FE" w:rsidR="00E53516" w:rsidRDefault="00E53516" w:rsidP="00E53516">
      <w:pPr>
        <w:pStyle w:val="Body1"/>
      </w:pPr>
      <w:r w:rsidRPr="001076CB">
        <w:t xml:space="preserve">The </w:t>
      </w:r>
      <w:r>
        <w:t>revisions</w:t>
      </w:r>
      <w:r w:rsidR="00DF634C">
        <w:t xml:space="preserve"> to the NDMC and accompanying instructions that are</w:t>
      </w:r>
      <w:r>
        <w:t xml:space="preserve"> the subject of this PRA package are</w:t>
      </w:r>
      <w:r w:rsidR="00DF634C">
        <w:t xml:space="preserve"> intended</w:t>
      </w:r>
      <w:r w:rsidRPr="001076CB">
        <w:t xml:space="preserve"> to</w:t>
      </w:r>
      <w:r w:rsidR="00DF634C">
        <w:t xml:space="preserve"> enhance the</w:t>
      </w:r>
      <w:r w:rsidRPr="001076CB">
        <w:t xml:space="preserve"> </w:t>
      </w:r>
      <w:r>
        <w:t>clarity</w:t>
      </w:r>
      <w:r w:rsidR="00DF634C">
        <w:t xml:space="preserve"> and</w:t>
      </w:r>
      <w:r>
        <w:t xml:space="preserve"> accuracy of the</w:t>
      </w:r>
      <w:r w:rsidR="00DF634C">
        <w:t xml:space="preserve"> notice</w:t>
      </w:r>
      <w:r>
        <w:t xml:space="preserve"> and instructions.  In addition, the revisions include language informing beneficiaries of their rights under Section 504 of the Rehabilitation Act of 1973 (Section 504), by alerting the beneficiary to CMS’s nondiscrimination practices and the availability of alternate forms of this notice, if needed.  </w:t>
      </w:r>
    </w:p>
    <w:p w14:paraId="5D88DEE3" w14:textId="77777777" w:rsidR="00E53516" w:rsidRPr="001076CB" w:rsidRDefault="00E53516" w:rsidP="001076CB">
      <w:pPr>
        <w:pStyle w:val="Body1"/>
      </w:pPr>
    </w:p>
    <w:p w14:paraId="2D127B7B" w14:textId="2E5C0364" w:rsidR="0064737B" w:rsidRPr="00695D08" w:rsidRDefault="002B68A6" w:rsidP="001076CB">
      <w:pPr>
        <w:pStyle w:val="Body1"/>
        <w:rPr>
          <w:b/>
          <w:u w:val="single"/>
        </w:rPr>
      </w:pPr>
      <w:r>
        <w:rPr>
          <w:b/>
          <w:u w:val="single"/>
        </w:rPr>
        <w:t>A</w:t>
      </w:r>
      <w:r w:rsidR="0064737B" w:rsidRPr="00695D08">
        <w:rPr>
          <w:b/>
          <w:u w:val="single"/>
        </w:rPr>
        <w:t>.</w:t>
      </w:r>
      <w:r w:rsidR="0064737B" w:rsidRPr="00695D08">
        <w:rPr>
          <w:b/>
          <w:u w:val="single"/>
        </w:rPr>
        <w:tab/>
        <w:t>Justification</w:t>
      </w:r>
    </w:p>
    <w:p w14:paraId="3917F739" w14:textId="77777777" w:rsidR="0064737B" w:rsidRPr="00AA3DF6" w:rsidRDefault="0064737B" w:rsidP="001076CB">
      <w:pPr>
        <w:pStyle w:val="Body1"/>
      </w:pPr>
    </w:p>
    <w:p w14:paraId="677421DE" w14:textId="77777777" w:rsidR="0064737B" w:rsidRPr="00AA3DF6" w:rsidRDefault="0064737B" w:rsidP="001076CB">
      <w:pPr>
        <w:pStyle w:val="Body1"/>
        <w:rPr>
          <w:b/>
        </w:rPr>
      </w:pPr>
      <w:r w:rsidRPr="00AA3DF6">
        <w:rPr>
          <w:b/>
        </w:rPr>
        <w:t xml:space="preserve">1. </w:t>
      </w:r>
      <w:r w:rsidRPr="00AA3DF6">
        <w:rPr>
          <w:b/>
        </w:rPr>
        <w:tab/>
        <w:t>Need and Legal Basis</w:t>
      </w:r>
    </w:p>
    <w:p w14:paraId="6D442B85" w14:textId="77777777" w:rsidR="00692B94" w:rsidRPr="00AA3DF6" w:rsidRDefault="00692B94" w:rsidP="001076CB">
      <w:pPr>
        <w:pStyle w:val="Body1"/>
      </w:pPr>
    </w:p>
    <w:p w14:paraId="0AB8EFA0" w14:textId="01B25A9C" w:rsidR="00CC6004" w:rsidRDefault="0064737B" w:rsidP="001076CB">
      <w:pPr>
        <w:pStyle w:val="Body1"/>
      </w:pPr>
      <w:r w:rsidRPr="00AA3DF6">
        <w:t>Section 1852(g</w:t>
      </w:r>
      <w:r w:rsidR="00EB4F55" w:rsidRPr="00AA3DF6">
        <w:t>)(</w:t>
      </w:r>
      <w:r w:rsidRPr="00AA3DF6">
        <w:t>1</w:t>
      </w:r>
      <w:r w:rsidR="00EB4F55" w:rsidRPr="00AA3DF6">
        <w:t>)(</w:t>
      </w:r>
      <w:r w:rsidRPr="00AA3DF6">
        <w:t>B</w:t>
      </w:r>
      <w:r w:rsidR="00401FFE" w:rsidRPr="00AA3DF6">
        <w:t>) of t</w:t>
      </w:r>
      <w:r w:rsidRPr="00AA3DF6">
        <w:t xml:space="preserve">he </w:t>
      </w:r>
      <w:r w:rsidR="00401FFE" w:rsidRPr="00AA3DF6">
        <w:t>Social Security Act</w:t>
      </w:r>
      <w:r w:rsidR="007241E6">
        <w:t xml:space="preserve"> (</w:t>
      </w:r>
      <w:r w:rsidR="00E31495">
        <w:t>the Act</w:t>
      </w:r>
      <w:r w:rsidR="007241E6">
        <w:t xml:space="preserve">) </w:t>
      </w:r>
      <w:r w:rsidRPr="00AA3DF6">
        <w:t xml:space="preserve">requires </w:t>
      </w:r>
      <w:r w:rsidR="009954ED" w:rsidRPr="00AA3DF6">
        <w:t xml:space="preserve">Medicare health </w:t>
      </w:r>
      <w:r w:rsidR="003D2FC4" w:rsidRPr="00AA3DF6">
        <w:t>plan</w:t>
      </w:r>
      <w:r w:rsidRPr="00AA3DF6">
        <w:t xml:space="preserve">s to provide </w:t>
      </w:r>
      <w:r w:rsidR="00097372">
        <w:t xml:space="preserve">enrollees with a written notice </w:t>
      </w:r>
      <w:r w:rsidRPr="00AA3DF6">
        <w:t xml:space="preserve">in understandable language of the reasons for the denial and a description of the </w:t>
      </w:r>
      <w:r w:rsidR="003C4301" w:rsidRPr="00AA3DF6">
        <w:t xml:space="preserve">applicable </w:t>
      </w:r>
      <w:r w:rsidRPr="00AA3DF6">
        <w:t xml:space="preserve">appeals </w:t>
      </w:r>
      <w:r w:rsidR="00A47CFE" w:rsidRPr="00AA3DF6">
        <w:t>processes</w:t>
      </w:r>
      <w:r w:rsidR="000D388C" w:rsidRPr="00AA3DF6">
        <w:t xml:space="preserve">.  </w:t>
      </w:r>
      <w:r w:rsidR="00401FFE" w:rsidRPr="00AA3DF6">
        <w:t>R</w:t>
      </w:r>
      <w:r w:rsidRPr="00AA3DF6">
        <w:t>egulatory authority for th</w:t>
      </w:r>
      <w:r w:rsidR="00CC6004">
        <w:t xml:space="preserve">is notice is set forth in Subpart M of Part 422 at </w:t>
      </w:r>
      <w:r w:rsidRPr="00AF39D5">
        <w:t>42 CFR 422.568</w:t>
      </w:r>
      <w:r w:rsidR="00CC6004">
        <w:t>, 422.572</w:t>
      </w:r>
      <w:r w:rsidR="00692B94" w:rsidRPr="00AF39D5">
        <w:t>,</w:t>
      </w:r>
      <w:r w:rsidR="00E31495">
        <w:t xml:space="preserve"> </w:t>
      </w:r>
      <w:r w:rsidR="00401FFE" w:rsidRPr="00AF39D5">
        <w:t>417.600(b)</w:t>
      </w:r>
      <w:r w:rsidR="00CC6004">
        <w:t xml:space="preserve">, and </w:t>
      </w:r>
      <w:r w:rsidR="00A47CFE" w:rsidRPr="00AF39D5">
        <w:t>417.840</w:t>
      </w:r>
      <w:r w:rsidR="00CC6004">
        <w:t xml:space="preserve">. </w:t>
      </w:r>
    </w:p>
    <w:p w14:paraId="73CD7881" w14:textId="77777777" w:rsidR="00CC6004" w:rsidRDefault="00CC6004" w:rsidP="001076CB">
      <w:pPr>
        <w:pStyle w:val="Body1"/>
      </w:pPr>
    </w:p>
    <w:p w14:paraId="2C94F396" w14:textId="76C93232" w:rsidR="00D135C1" w:rsidRPr="00AF39D5" w:rsidRDefault="002042FD" w:rsidP="001076CB">
      <w:pPr>
        <w:pStyle w:val="Body1"/>
      </w:pPr>
      <w:r>
        <w:t>Section 1932 of</w:t>
      </w:r>
      <w:r w:rsidR="00E31495">
        <w:t xml:space="preserve"> the Act</w:t>
      </w:r>
      <w:r w:rsidR="00B6639C">
        <w:t xml:space="preserve"> </w:t>
      </w:r>
      <w:r>
        <w:t xml:space="preserve">sets forth requirements for </w:t>
      </w:r>
      <w:r w:rsidR="00CC6004">
        <w:t>Medicaid managed care plans</w:t>
      </w:r>
      <w:r>
        <w:t xml:space="preserve">, including </w:t>
      </w:r>
      <w:r w:rsidR="007241E6">
        <w:t xml:space="preserve">beneficiary </w:t>
      </w:r>
      <w:r>
        <w:t xml:space="preserve">protections related to appealing a denial of coverage or payment.  Section 1902(a)(3) of the SSA requires State plans to provide for a fair hearing before the State agency to any individual whose claim for medical assistance under the plan is denied or not acted upon promptly.  The Medicaid managed care </w:t>
      </w:r>
      <w:r w:rsidR="00B6639C">
        <w:t xml:space="preserve">appeals regulations are </w:t>
      </w:r>
      <w:r w:rsidR="00546642">
        <w:t>set forth in Subpart F of Part 438</w:t>
      </w:r>
      <w:r w:rsidR="004176D8">
        <w:t>, Title 42</w:t>
      </w:r>
      <w:r w:rsidR="00341556">
        <w:t xml:space="preserve"> of the Code of Federal Regulations (CFR).</w:t>
      </w:r>
      <w:r w:rsidR="00546642">
        <w:t xml:space="preserve">  </w:t>
      </w:r>
      <w:r w:rsidR="00FD0FF7">
        <w:t>Rules on the content of the written denial notice can be found at 42 CFR 438.404.  Related r</w:t>
      </w:r>
      <w:r w:rsidR="002259FA">
        <w:t xml:space="preserve">equirements on the information a Medicaid managed care plan must provide to enrollees related to grievances, appeals and fair hearing procedures can be found at 42 CFR 438.10(g)(1).  </w:t>
      </w:r>
      <w:r w:rsidR="009332E8">
        <w:t xml:space="preserve">A State may provide for greater </w:t>
      </w:r>
      <w:r w:rsidR="00B6639C">
        <w:t xml:space="preserve">appeal </w:t>
      </w:r>
      <w:r w:rsidR="009332E8">
        <w:t xml:space="preserve">protections under its Medicaid </w:t>
      </w:r>
      <w:r w:rsidR="00B6639C">
        <w:t xml:space="preserve">State </w:t>
      </w:r>
      <w:r w:rsidR="009332E8">
        <w:t xml:space="preserve">plan.  </w:t>
      </w:r>
    </w:p>
    <w:p w14:paraId="786AF873" w14:textId="77777777" w:rsidR="0064737B" w:rsidRPr="00AF39D5" w:rsidRDefault="0064737B" w:rsidP="001076CB">
      <w:pPr>
        <w:pStyle w:val="Body1"/>
      </w:pPr>
    </w:p>
    <w:p w14:paraId="3ACA3A5B" w14:textId="77777777" w:rsidR="0064737B" w:rsidRPr="00AA3DF6" w:rsidRDefault="0064737B" w:rsidP="001076CB">
      <w:pPr>
        <w:pStyle w:val="Body1"/>
        <w:rPr>
          <w:b/>
        </w:rPr>
      </w:pPr>
      <w:r w:rsidRPr="00AA3DF6">
        <w:rPr>
          <w:b/>
        </w:rPr>
        <w:t>2.</w:t>
      </w:r>
      <w:r w:rsidRPr="00AA3DF6">
        <w:rPr>
          <w:b/>
        </w:rPr>
        <w:tab/>
        <w:t>Information Users</w:t>
      </w:r>
    </w:p>
    <w:p w14:paraId="7B2D8228" w14:textId="77777777" w:rsidR="0064737B" w:rsidRDefault="0064737B" w:rsidP="001076CB">
      <w:pPr>
        <w:pStyle w:val="Body1"/>
      </w:pPr>
    </w:p>
    <w:p w14:paraId="61054731" w14:textId="77777777" w:rsidR="00677277" w:rsidRDefault="00677277" w:rsidP="00677277">
      <w:pPr>
        <w:pStyle w:val="Body1"/>
      </w:pPr>
      <w:r w:rsidRPr="00AF39D5">
        <w:t xml:space="preserve">Medicare health plans, including Medicare Advantage plans, cost plans, and Health </w:t>
      </w:r>
      <w:r w:rsidRPr="00AF39D5">
        <w:lastRenderedPageBreak/>
        <w:t xml:space="preserve">Care Prepayment Plans (HCPPs), are required to issue </w:t>
      </w:r>
      <w:r>
        <w:t xml:space="preserve">form CMS-10003 </w:t>
      </w:r>
      <w:r w:rsidRPr="00AF39D5">
        <w:t xml:space="preserve">when a request for either a medical service or payment is denied in whole or in part.  </w:t>
      </w:r>
      <w:r>
        <w:t>T</w:t>
      </w:r>
      <w:r w:rsidRPr="00AF39D5">
        <w:t xml:space="preserve">he notice </w:t>
      </w:r>
      <w:r>
        <w:t xml:space="preserve">explains why the plan denied the service or payment and </w:t>
      </w:r>
      <w:r w:rsidRPr="00AF39D5">
        <w:t>inform</w:t>
      </w:r>
      <w:r>
        <w:t>s</w:t>
      </w:r>
      <w:r w:rsidRPr="00AF39D5">
        <w:t xml:space="preserve"> Medicare enrollees of their </w:t>
      </w:r>
      <w:r>
        <w:t xml:space="preserve">appeal </w:t>
      </w:r>
      <w:r w:rsidRPr="00AF39D5">
        <w:t>right</w:t>
      </w:r>
      <w:r>
        <w:t>s.</w:t>
      </w:r>
    </w:p>
    <w:p w14:paraId="22891106" w14:textId="77777777" w:rsidR="00677277" w:rsidRPr="001076CB" w:rsidRDefault="00677277" w:rsidP="00677277">
      <w:pPr>
        <w:pStyle w:val="Body1"/>
      </w:pPr>
    </w:p>
    <w:p w14:paraId="4711B080" w14:textId="7F5ECE12" w:rsidR="00677277" w:rsidRDefault="00677277" w:rsidP="00677277">
      <w:pPr>
        <w:pStyle w:val="Body1"/>
      </w:pPr>
      <w:r w:rsidRPr="001076CB">
        <w:t xml:space="preserve">In addition </w:t>
      </w:r>
      <w:r>
        <w:t xml:space="preserve">this notice is also </w:t>
      </w:r>
      <w:r w:rsidRPr="001076CB">
        <w:t xml:space="preserve">used, as appropriate, to explain Medicaid appeal rights to full dual eligible individuals enrolled in a Medicare health plan that is also managing the individual’s Medicaid benefits. </w:t>
      </w:r>
      <w:r>
        <w:t xml:space="preserve"> </w:t>
      </w:r>
      <w:r w:rsidRPr="001076CB">
        <w:t xml:space="preserve">To that end, the revised notice contains bracketed text the plan will insert if the denial notice is being delivered to an enrollee who is a full dual eligible.  The text in square brackets “[     ]” reflects the Federal protections for Medicaid managed care enrollees.  Since a State may offer additional protections, there is also free-text space for inclusion of any State-specific protections that exceed the Federal protections.  </w:t>
      </w:r>
    </w:p>
    <w:p w14:paraId="0CACECCE" w14:textId="77777777" w:rsidR="00677277" w:rsidRPr="00AA12FC" w:rsidRDefault="00677277" w:rsidP="001076CB">
      <w:pPr>
        <w:pStyle w:val="Body1"/>
      </w:pPr>
    </w:p>
    <w:p w14:paraId="1BE73537" w14:textId="77777777" w:rsidR="0064737B" w:rsidRPr="00AF39D5" w:rsidRDefault="0064737B" w:rsidP="001076CB">
      <w:pPr>
        <w:pStyle w:val="Body1"/>
      </w:pPr>
      <w:r w:rsidRPr="00AF39D5">
        <w:t xml:space="preserve">CMS will </w:t>
      </w:r>
      <w:r w:rsidR="00417D91" w:rsidRPr="00AF39D5">
        <w:t xml:space="preserve">not </w:t>
      </w:r>
      <w:r w:rsidRPr="00AF39D5">
        <w:t xml:space="preserve">use these notices to collect and analyze data on </w:t>
      </w:r>
      <w:r w:rsidR="00B752C7" w:rsidRPr="00AF39D5">
        <w:t>Medicare health plan</w:t>
      </w:r>
      <w:r w:rsidR="004424EF" w:rsidRPr="00AF39D5">
        <w:t xml:space="preserve"> appeals</w:t>
      </w:r>
      <w:r w:rsidRPr="00AF39D5">
        <w:t>.</w:t>
      </w:r>
      <w:r w:rsidR="003C4301" w:rsidRPr="00AF39D5">
        <w:t xml:space="preserve">  </w:t>
      </w:r>
    </w:p>
    <w:p w14:paraId="0FF13C0D" w14:textId="77777777" w:rsidR="0064737B" w:rsidRPr="00AF39D5" w:rsidRDefault="0064737B" w:rsidP="001076CB">
      <w:pPr>
        <w:pStyle w:val="Body1"/>
      </w:pPr>
    </w:p>
    <w:p w14:paraId="349973A0" w14:textId="77777777" w:rsidR="0064737B" w:rsidRPr="00AA3DF6" w:rsidRDefault="0064737B" w:rsidP="001076CB">
      <w:pPr>
        <w:pStyle w:val="Body1"/>
        <w:rPr>
          <w:b/>
        </w:rPr>
      </w:pPr>
      <w:r w:rsidRPr="00AA3DF6">
        <w:rPr>
          <w:b/>
        </w:rPr>
        <w:t>3.</w:t>
      </w:r>
      <w:r w:rsidRPr="00AA3DF6">
        <w:rPr>
          <w:b/>
        </w:rPr>
        <w:tab/>
      </w:r>
      <w:r w:rsidR="00635ADD" w:rsidRPr="00AA3DF6">
        <w:rPr>
          <w:b/>
        </w:rPr>
        <w:t>Use of</w:t>
      </w:r>
      <w:r w:rsidRPr="00AA3DF6">
        <w:rPr>
          <w:b/>
        </w:rPr>
        <w:t xml:space="preserve"> Information Technology</w:t>
      </w:r>
    </w:p>
    <w:p w14:paraId="7DF57DBD" w14:textId="77777777" w:rsidR="0064737B" w:rsidRPr="00AF39D5" w:rsidRDefault="0064737B" w:rsidP="001076CB">
      <w:pPr>
        <w:pStyle w:val="Body1"/>
        <w:rPr>
          <w:u w:val="single"/>
        </w:rPr>
      </w:pPr>
    </w:p>
    <w:p w14:paraId="4DE5B9D7" w14:textId="77777777" w:rsidR="001D20C8" w:rsidRDefault="0064737B" w:rsidP="001076CB">
      <w:pPr>
        <w:pStyle w:val="Body1"/>
      </w:pPr>
      <w:r w:rsidRPr="00AF39D5">
        <w:t>No data are being collected throu</w:t>
      </w:r>
      <w:r w:rsidR="00635ADD" w:rsidRPr="00AF39D5">
        <w:t>gh these notices for analysis; t</w:t>
      </w:r>
      <w:r w:rsidRPr="00AF39D5">
        <w:t xml:space="preserve">herefore, CMS does not use </w:t>
      </w:r>
      <w:r w:rsidR="001D20C8" w:rsidRPr="00AF39D5">
        <w:t xml:space="preserve">automated, electronic, mechanical, or other technological collection techniques or other forms of information technology to collect data related to these notices. </w:t>
      </w:r>
    </w:p>
    <w:p w14:paraId="01174274" w14:textId="77777777" w:rsidR="001D239B" w:rsidRPr="00AF39D5" w:rsidRDefault="001D239B" w:rsidP="001076CB">
      <w:pPr>
        <w:pStyle w:val="Body1"/>
      </w:pPr>
    </w:p>
    <w:p w14:paraId="745D0B58" w14:textId="0458AF7C" w:rsidR="001D20C8" w:rsidRDefault="00635ADD" w:rsidP="001076CB">
      <w:pPr>
        <w:pStyle w:val="Body1"/>
      </w:pPr>
      <w:r w:rsidRPr="00AF39D5">
        <w:t>The notice</w:t>
      </w:r>
      <w:r w:rsidR="00070361">
        <w:t xml:space="preserve"> is </w:t>
      </w:r>
      <w:r w:rsidR="001D20C8" w:rsidRPr="00AF39D5">
        <w:t>not avail</w:t>
      </w:r>
      <w:r w:rsidR="004E77A7" w:rsidRPr="00AF39D5">
        <w:t xml:space="preserve">able for completion </w:t>
      </w:r>
      <w:r w:rsidR="001D20C8" w:rsidRPr="00AF39D5">
        <w:t>electronically</w:t>
      </w:r>
      <w:r w:rsidR="00070361">
        <w:t xml:space="preserve">. </w:t>
      </w:r>
      <w:r w:rsidR="00D53F64">
        <w:t xml:space="preserve"> </w:t>
      </w:r>
      <w:r w:rsidR="004E77A7" w:rsidRPr="00AF39D5">
        <w:t>Medicare health plans are required to provide th</w:t>
      </w:r>
      <w:r w:rsidR="00070361">
        <w:t>is</w:t>
      </w:r>
      <w:r w:rsidR="004E77A7" w:rsidRPr="00AF39D5">
        <w:t xml:space="preserve"> notice to Medicare enrollees </w:t>
      </w:r>
      <w:r w:rsidR="00341E43">
        <w:t xml:space="preserve">if </w:t>
      </w:r>
      <w:r w:rsidR="004E77A7" w:rsidRPr="00AF39D5">
        <w:t>a service or payment request</w:t>
      </w:r>
      <w:r w:rsidR="00341E43">
        <w:t xml:space="preserve"> is denied</w:t>
      </w:r>
      <w:r w:rsidR="00070361">
        <w:t xml:space="preserve"> </w:t>
      </w:r>
      <w:r w:rsidR="00D0781F">
        <w:t xml:space="preserve">to ensure that </w:t>
      </w:r>
      <w:r w:rsidR="00070361">
        <w:t>enrollees are informed of their Medicare appeal rights</w:t>
      </w:r>
      <w:r w:rsidR="004E77A7" w:rsidRPr="00AF39D5">
        <w:t xml:space="preserve">.  </w:t>
      </w:r>
      <w:r w:rsidR="00070361">
        <w:t xml:space="preserve">In addition, </w:t>
      </w:r>
      <w:r w:rsidR="00BB017A">
        <w:t>h</w:t>
      </w:r>
      <w:r w:rsidR="00070361">
        <w:t xml:space="preserve">ealth plans that have enrollees who are full dual eligibles </w:t>
      </w:r>
      <w:r w:rsidR="00BB017A">
        <w:t xml:space="preserve">will </w:t>
      </w:r>
      <w:r w:rsidR="00070361">
        <w:t>provide th</w:t>
      </w:r>
      <w:r w:rsidR="00BB017A">
        <w:t xml:space="preserve">e integrated version of the </w:t>
      </w:r>
      <w:r w:rsidR="00070361">
        <w:t xml:space="preserve">notice to </w:t>
      </w:r>
      <w:r w:rsidR="00BB017A">
        <w:t xml:space="preserve">inform these </w:t>
      </w:r>
      <w:r w:rsidR="00070361">
        <w:t xml:space="preserve">individuals of their appeal rights under both Medicare and Medicaid. </w:t>
      </w:r>
      <w:r w:rsidR="00D53F64">
        <w:t xml:space="preserve"> </w:t>
      </w:r>
      <w:r w:rsidR="00270775">
        <w:t>Medicare health p</w:t>
      </w:r>
      <w:r w:rsidR="001D239B">
        <w:t>lans are required by law to deliver written denial notices to plan enrollees</w:t>
      </w:r>
      <w:r w:rsidR="00341E43">
        <w:t>.</w:t>
      </w:r>
      <w:r w:rsidR="00D53F64">
        <w:t xml:space="preserve"> </w:t>
      </w:r>
      <w:r w:rsidR="00341E43">
        <w:t xml:space="preserve"> </w:t>
      </w:r>
      <w:r w:rsidR="001D239B">
        <w:t>CMS has no current plans to rely on electronic delivery of this notice.</w:t>
      </w:r>
      <w:r w:rsidR="00D53F64">
        <w:t xml:space="preserve"> </w:t>
      </w:r>
      <w:r w:rsidR="00070361">
        <w:t xml:space="preserve"> </w:t>
      </w:r>
      <w:r w:rsidR="001D20C8" w:rsidRPr="00AF39D5">
        <w:t xml:space="preserve">The </w:t>
      </w:r>
      <w:r w:rsidRPr="00AF39D5">
        <w:t>notice do</w:t>
      </w:r>
      <w:r w:rsidR="00070361">
        <w:t>es</w:t>
      </w:r>
      <w:r w:rsidR="001D20C8" w:rsidRPr="00AF39D5">
        <w:t xml:space="preserve"> not require a signature from </w:t>
      </w:r>
      <w:r w:rsidR="004E77A7" w:rsidRPr="00AF39D5">
        <w:t>respondents</w:t>
      </w:r>
      <w:r w:rsidR="00070361">
        <w:t xml:space="preserve">, so </w:t>
      </w:r>
      <w:r w:rsidR="004E77A7" w:rsidRPr="00AF39D5">
        <w:t>the question of</w:t>
      </w:r>
      <w:r w:rsidR="001D20C8" w:rsidRPr="00AF39D5">
        <w:t xml:space="preserve"> CMS accepting electronic signatures</w:t>
      </w:r>
      <w:r w:rsidR="004E77A7" w:rsidRPr="00AF39D5">
        <w:t xml:space="preserve"> is </w:t>
      </w:r>
      <w:r w:rsidRPr="00AF39D5">
        <w:t>not applicable</w:t>
      </w:r>
      <w:r w:rsidR="004E77A7" w:rsidRPr="00AF39D5">
        <w:t xml:space="preserve">.  </w:t>
      </w:r>
    </w:p>
    <w:p w14:paraId="30891972" w14:textId="77777777" w:rsidR="009A68AB" w:rsidRPr="00AF39D5" w:rsidRDefault="009A68AB" w:rsidP="001076CB">
      <w:pPr>
        <w:pStyle w:val="Body1"/>
      </w:pPr>
    </w:p>
    <w:p w14:paraId="16A1EDC7" w14:textId="77777777" w:rsidR="0064737B" w:rsidRPr="00AA3DF6" w:rsidRDefault="0064737B" w:rsidP="001076CB">
      <w:pPr>
        <w:pStyle w:val="Body1"/>
        <w:rPr>
          <w:b/>
        </w:rPr>
      </w:pPr>
      <w:r w:rsidRPr="00AA3DF6">
        <w:rPr>
          <w:b/>
        </w:rPr>
        <w:t>4.</w:t>
      </w:r>
      <w:r w:rsidRPr="00AA3DF6">
        <w:rPr>
          <w:b/>
        </w:rPr>
        <w:tab/>
        <w:t xml:space="preserve">Duplication of </w:t>
      </w:r>
      <w:r w:rsidR="00635ADD" w:rsidRPr="00AA3DF6">
        <w:rPr>
          <w:b/>
        </w:rPr>
        <w:t>Efforts</w:t>
      </w:r>
    </w:p>
    <w:p w14:paraId="5D2BAA15" w14:textId="77777777" w:rsidR="0064737B" w:rsidRPr="00AF39D5" w:rsidRDefault="0064737B" w:rsidP="001076CB">
      <w:pPr>
        <w:pStyle w:val="Body1"/>
      </w:pPr>
    </w:p>
    <w:p w14:paraId="6F28C9B5" w14:textId="77777777" w:rsidR="00C76454" w:rsidRPr="00AF39D5" w:rsidRDefault="00C76454" w:rsidP="001076CB">
      <w:pPr>
        <w:pStyle w:val="Body1"/>
      </w:pPr>
      <w:r w:rsidRPr="00AF39D5">
        <w:t>This information collection does not duplicate any other effort and the information cannot be obtained from any other source.</w:t>
      </w:r>
    </w:p>
    <w:p w14:paraId="0ACF1C0B" w14:textId="77777777" w:rsidR="0064737B" w:rsidRPr="00AF39D5" w:rsidRDefault="0064737B" w:rsidP="001076CB">
      <w:pPr>
        <w:pStyle w:val="Body1"/>
      </w:pPr>
    </w:p>
    <w:p w14:paraId="46738C11" w14:textId="77777777" w:rsidR="0064737B" w:rsidRPr="00AA3DF6" w:rsidRDefault="0064737B" w:rsidP="001076CB">
      <w:pPr>
        <w:pStyle w:val="Body1"/>
        <w:rPr>
          <w:b/>
          <w:u w:val="single"/>
        </w:rPr>
      </w:pPr>
      <w:r w:rsidRPr="00AA3DF6">
        <w:rPr>
          <w:b/>
        </w:rPr>
        <w:t>5.</w:t>
      </w:r>
      <w:r w:rsidRPr="00AA3DF6">
        <w:rPr>
          <w:b/>
        </w:rPr>
        <w:tab/>
        <w:t>Small Businesses</w:t>
      </w:r>
    </w:p>
    <w:p w14:paraId="59D1393F" w14:textId="77777777" w:rsidR="0064737B" w:rsidRPr="00AF39D5" w:rsidRDefault="0064737B" w:rsidP="001076CB">
      <w:pPr>
        <w:pStyle w:val="Body1"/>
        <w:rPr>
          <w:u w:val="single"/>
        </w:rPr>
      </w:pPr>
    </w:p>
    <w:p w14:paraId="4A8E1441" w14:textId="77777777" w:rsidR="0064737B" w:rsidRPr="00AF39D5" w:rsidRDefault="0064737B" w:rsidP="001076CB">
      <w:pPr>
        <w:pStyle w:val="Body1"/>
      </w:pPr>
      <w:r w:rsidRPr="00AF39D5">
        <w:t xml:space="preserve">There is no significant impact on small businesses.  The notices </w:t>
      </w:r>
      <w:r w:rsidR="00FE4B50" w:rsidRPr="00AF39D5">
        <w:t>inform enrollees</w:t>
      </w:r>
      <w:r w:rsidRPr="00AF39D5">
        <w:t xml:space="preserve"> of the right to file an appeal if a request for service or payment is denied</w:t>
      </w:r>
      <w:r w:rsidR="008B37AF" w:rsidRPr="00AF39D5">
        <w:t xml:space="preserve"> in whole or in part</w:t>
      </w:r>
      <w:r w:rsidRPr="00AF39D5">
        <w:t xml:space="preserve">. </w:t>
      </w:r>
    </w:p>
    <w:p w14:paraId="47ABF0CF" w14:textId="77777777" w:rsidR="0064737B" w:rsidRPr="00AF39D5" w:rsidRDefault="0064737B" w:rsidP="001076CB">
      <w:pPr>
        <w:pStyle w:val="Body1"/>
      </w:pPr>
    </w:p>
    <w:p w14:paraId="2A41FDF5" w14:textId="77777777" w:rsidR="0064737B" w:rsidRPr="00AA3DF6" w:rsidRDefault="0064737B" w:rsidP="001076CB">
      <w:pPr>
        <w:pStyle w:val="Body1"/>
        <w:rPr>
          <w:b/>
          <w:u w:val="single"/>
        </w:rPr>
      </w:pPr>
      <w:r w:rsidRPr="00AA3DF6">
        <w:rPr>
          <w:b/>
        </w:rPr>
        <w:t>6.</w:t>
      </w:r>
      <w:r w:rsidRPr="00AA3DF6">
        <w:rPr>
          <w:b/>
        </w:rPr>
        <w:tab/>
        <w:t>Less Frequent Collection</w:t>
      </w:r>
    </w:p>
    <w:p w14:paraId="40B861CB" w14:textId="77777777" w:rsidR="0064737B" w:rsidRPr="00AF39D5" w:rsidRDefault="0064737B" w:rsidP="001076CB">
      <w:pPr>
        <w:pStyle w:val="Body1"/>
        <w:rPr>
          <w:u w:val="single"/>
        </w:rPr>
      </w:pPr>
    </w:p>
    <w:p w14:paraId="7C8C6EA7" w14:textId="2F8AB1B2" w:rsidR="0064737B" w:rsidRPr="00AF39D5" w:rsidRDefault="0064737B" w:rsidP="001076CB">
      <w:pPr>
        <w:pStyle w:val="Body1"/>
      </w:pPr>
      <w:r w:rsidRPr="00AF39D5">
        <w:t xml:space="preserve">The statute requires </w:t>
      </w:r>
      <w:r w:rsidR="003D2FC4" w:rsidRPr="00AF39D5">
        <w:t>plan</w:t>
      </w:r>
      <w:r w:rsidRPr="00AF39D5">
        <w:t xml:space="preserve">s to issue written notice to enrollees whenever requests for </w:t>
      </w:r>
      <w:r w:rsidR="00284011" w:rsidRPr="00AF39D5">
        <w:lastRenderedPageBreak/>
        <w:t>items/</w:t>
      </w:r>
      <w:r w:rsidRPr="00AF39D5">
        <w:t>services or payment are denied</w:t>
      </w:r>
      <w:r w:rsidR="00366AF6">
        <w:t xml:space="preserve"> by Medicare</w:t>
      </w:r>
      <w:r w:rsidRPr="00AF39D5">
        <w:t>.  Thus, there are no opportunities for less frequent collection.</w:t>
      </w:r>
    </w:p>
    <w:p w14:paraId="327DE891" w14:textId="77777777" w:rsidR="0064737B" w:rsidRPr="00AF39D5" w:rsidRDefault="0064737B" w:rsidP="001076CB">
      <w:pPr>
        <w:pStyle w:val="Body1"/>
      </w:pPr>
    </w:p>
    <w:p w14:paraId="234FCBBC" w14:textId="77777777" w:rsidR="0064737B" w:rsidRPr="00AA3DF6" w:rsidRDefault="0064737B" w:rsidP="001076CB">
      <w:pPr>
        <w:pStyle w:val="Body1"/>
        <w:rPr>
          <w:b/>
        </w:rPr>
      </w:pPr>
      <w:r w:rsidRPr="00AA3DF6">
        <w:rPr>
          <w:b/>
        </w:rPr>
        <w:t>7.</w:t>
      </w:r>
      <w:r w:rsidRPr="00AA3DF6">
        <w:rPr>
          <w:b/>
        </w:rPr>
        <w:tab/>
        <w:t>Special Circumstances</w:t>
      </w:r>
    </w:p>
    <w:p w14:paraId="5405C82A" w14:textId="77777777" w:rsidR="00362CA4" w:rsidRDefault="00362CA4" w:rsidP="00A92D47">
      <w:pPr>
        <w:pStyle w:val="Body1"/>
      </w:pPr>
    </w:p>
    <w:p w14:paraId="5AAACAE0" w14:textId="503D76C8" w:rsidR="00623A49" w:rsidRPr="00997F94" w:rsidRDefault="0064737B" w:rsidP="00A92D47">
      <w:pPr>
        <w:pStyle w:val="Body1"/>
      </w:pPr>
      <w:r w:rsidRPr="00AF39D5">
        <w:t xml:space="preserve">The </w:t>
      </w:r>
      <w:r w:rsidR="00504A34">
        <w:t>Notice</w:t>
      </w:r>
      <w:r w:rsidR="00304DFD">
        <w:t xml:space="preserve"> of Denial of Medical Coverage (or Payment) is </w:t>
      </w:r>
      <w:r w:rsidRPr="00AF39D5">
        <w:t xml:space="preserve">issued by </w:t>
      </w:r>
      <w:r w:rsidR="003D2FC4" w:rsidRPr="00AF39D5">
        <w:t>plan</w:t>
      </w:r>
      <w:r w:rsidRPr="00AF39D5">
        <w:t>s when an enrollee’s request for either a</w:t>
      </w:r>
      <w:r w:rsidR="00284011" w:rsidRPr="00AF39D5">
        <w:t>n item/</w:t>
      </w:r>
      <w:r w:rsidRPr="00AF39D5">
        <w:t>service or payment is denied</w:t>
      </w:r>
      <w:r w:rsidR="008B37AF" w:rsidRPr="00AF39D5">
        <w:t xml:space="preserve"> in whole or in part</w:t>
      </w:r>
      <w:r w:rsidR="000A3732">
        <w:t xml:space="preserve">. </w:t>
      </w:r>
      <w:r w:rsidR="00284011" w:rsidRPr="00AF39D5">
        <w:t>T</w:t>
      </w:r>
      <w:r w:rsidR="00EF2311" w:rsidRPr="00AF39D5">
        <w:t>here are no special circumstances to report</w:t>
      </w:r>
      <w:r w:rsidR="00284011" w:rsidRPr="00AF39D5">
        <w:t>, and n</w:t>
      </w:r>
      <w:r w:rsidR="009F727E" w:rsidRPr="00AF39D5">
        <w:t>o statistical methods will be employed.</w:t>
      </w:r>
      <w:r w:rsidR="00623A49">
        <w:t xml:space="preserve">  More specifically this notice:</w:t>
      </w:r>
    </w:p>
    <w:p w14:paraId="6535E989" w14:textId="77777777" w:rsidR="00623A49" w:rsidRPr="00A92D47" w:rsidRDefault="00623A49" w:rsidP="00623A49">
      <w:pPr>
        <w:pStyle w:val="Body20"/>
        <w:rPr>
          <w:rFonts w:ascii="Arial" w:hAnsi="Arial" w:cs="Arial"/>
        </w:rPr>
      </w:pPr>
    </w:p>
    <w:p w14:paraId="604D17C4" w14:textId="58E297C0" w:rsidR="00623A49" w:rsidRPr="00A92D47" w:rsidRDefault="00623A49" w:rsidP="00623A49">
      <w:pPr>
        <w:pStyle w:val="Body20"/>
        <w:rPr>
          <w:rFonts w:ascii="Arial" w:hAnsi="Arial" w:cs="Arial"/>
        </w:rPr>
      </w:pPr>
      <w:r w:rsidRPr="00A92D47">
        <w:rPr>
          <w:rFonts w:ascii="Arial" w:hAnsi="Arial" w:cs="Arial"/>
        </w:rPr>
        <w:t>-Does not require respondents to report information to the agency more often than quarterly;</w:t>
      </w:r>
    </w:p>
    <w:p w14:paraId="0895A2BB" w14:textId="77777777" w:rsidR="00623A49" w:rsidRPr="00A92D47" w:rsidRDefault="00623A49" w:rsidP="00623A49">
      <w:pPr>
        <w:pStyle w:val="Body20"/>
        <w:rPr>
          <w:rFonts w:ascii="Arial" w:hAnsi="Arial" w:cs="Arial"/>
        </w:rPr>
      </w:pPr>
    </w:p>
    <w:p w14:paraId="6F90A251" w14:textId="62E3C8AA" w:rsidR="00623A49" w:rsidRPr="00A92D47" w:rsidRDefault="00623A49" w:rsidP="00623A49">
      <w:pPr>
        <w:pStyle w:val="Body20"/>
        <w:rPr>
          <w:rFonts w:ascii="Arial" w:hAnsi="Arial" w:cs="Arial"/>
        </w:rPr>
      </w:pPr>
      <w:r w:rsidRPr="00A92D47">
        <w:rPr>
          <w:rFonts w:ascii="Arial" w:hAnsi="Arial" w:cs="Arial"/>
        </w:rPr>
        <w:t>-Does not require respondents to prepare a written response to a collection of information in fewer than 30 days after receipt of it;</w:t>
      </w:r>
    </w:p>
    <w:p w14:paraId="1AAFFB15" w14:textId="77777777" w:rsidR="00623A49" w:rsidRPr="00A92D47" w:rsidRDefault="00623A49" w:rsidP="00623A49">
      <w:pPr>
        <w:pStyle w:val="Body20"/>
        <w:rPr>
          <w:rFonts w:ascii="Arial" w:hAnsi="Arial" w:cs="Arial"/>
        </w:rPr>
      </w:pPr>
    </w:p>
    <w:p w14:paraId="6C401FA1" w14:textId="66B0811D" w:rsidR="00623A49" w:rsidRPr="00A92D47" w:rsidRDefault="00623A49" w:rsidP="00623A49">
      <w:pPr>
        <w:pStyle w:val="Body20"/>
        <w:rPr>
          <w:rFonts w:ascii="Arial" w:hAnsi="Arial" w:cs="Arial"/>
        </w:rPr>
      </w:pPr>
      <w:r w:rsidRPr="00A92D47">
        <w:rPr>
          <w:rFonts w:ascii="Arial" w:hAnsi="Arial" w:cs="Arial"/>
        </w:rPr>
        <w:t>- Does not require respondents to submit more than an original and two copies of any document;</w:t>
      </w:r>
    </w:p>
    <w:p w14:paraId="730A5CDF" w14:textId="77777777" w:rsidR="00623A49" w:rsidRPr="00A92D47" w:rsidRDefault="00623A49" w:rsidP="00623A49">
      <w:pPr>
        <w:pStyle w:val="Body20"/>
        <w:rPr>
          <w:rFonts w:ascii="Arial" w:hAnsi="Arial" w:cs="Arial"/>
        </w:rPr>
      </w:pPr>
    </w:p>
    <w:p w14:paraId="6F99BABD" w14:textId="2DB81A9E" w:rsidR="00623A49" w:rsidRPr="00A92D47" w:rsidRDefault="00623A49" w:rsidP="00623A49">
      <w:pPr>
        <w:pStyle w:val="Body20"/>
        <w:rPr>
          <w:rFonts w:ascii="Arial" w:hAnsi="Arial" w:cs="Arial"/>
        </w:rPr>
      </w:pPr>
      <w:r w:rsidRPr="00A92D47">
        <w:rPr>
          <w:rFonts w:ascii="Arial" w:hAnsi="Arial" w:cs="Arial"/>
        </w:rPr>
        <w:t>-Does not require respondents to retain records, other than health, medical, government contract, grant-in-aid, or tax records for more than three years;</w:t>
      </w:r>
    </w:p>
    <w:p w14:paraId="779DDBDE" w14:textId="77777777" w:rsidR="00623A49" w:rsidRPr="00A92D47" w:rsidRDefault="00623A49" w:rsidP="00623A49">
      <w:pPr>
        <w:pStyle w:val="Body20"/>
        <w:rPr>
          <w:rFonts w:ascii="Arial" w:hAnsi="Arial" w:cs="Arial"/>
        </w:rPr>
      </w:pPr>
    </w:p>
    <w:p w14:paraId="7E08D38C" w14:textId="0AE1DC52" w:rsidR="00623A49" w:rsidRPr="00A92D47" w:rsidRDefault="00623A49" w:rsidP="00623A49">
      <w:pPr>
        <w:pStyle w:val="Body20"/>
        <w:rPr>
          <w:rFonts w:ascii="Arial" w:hAnsi="Arial" w:cs="Arial"/>
        </w:rPr>
      </w:pPr>
      <w:r w:rsidRPr="00A92D47">
        <w:rPr>
          <w:rFonts w:ascii="Arial" w:hAnsi="Arial" w:cs="Arial"/>
        </w:rPr>
        <w:t>-Is not connected with a statistical survey that is not designed to produce valid and reliable results that can be generalized to the universe of study,</w:t>
      </w:r>
    </w:p>
    <w:p w14:paraId="33A8A476" w14:textId="77777777" w:rsidR="00623A49" w:rsidRPr="00A92D47" w:rsidRDefault="00623A49" w:rsidP="00623A49">
      <w:pPr>
        <w:pStyle w:val="Body20"/>
        <w:rPr>
          <w:rFonts w:ascii="Arial" w:hAnsi="Arial" w:cs="Arial"/>
        </w:rPr>
      </w:pPr>
    </w:p>
    <w:p w14:paraId="67BA0D6B" w14:textId="159A9CFA" w:rsidR="00623A49" w:rsidRPr="00A92D47" w:rsidRDefault="00623A49" w:rsidP="00623A49">
      <w:pPr>
        <w:pStyle w:val="Body20"/>
        <w:rPr>
          <w:rFonts w:ascii="Arial" w:hAnsi="Arial" w:cs="Arial"/>
        </w:rPr>
      </w:pPr>
      <w:r w:rsidRPr="00A92D47">
        <w:rPr>
          <w:rFonts w:ascii="Arial" w:hAnsi="Arial" w:cs="Arial"/>
        </w:rPr>
        <w:t>-Does not require the use of a statistical data classification that has not been reviewed and approved by OMB;</w:t>
      </w:r>
    </w:p>
    <w:p w14:paraId="67A1B7CE" w14:textId="77777777" w:rsidR="00623A49" w:rsidRPr="00A92D47" w:rsidRDefault="00623A49" w:rsidP="00623A49">
      <w:pPr>
        <w:pStyle w:val="Body20"/>
        <w:rPr>
          <w:rFonts w:ascii="Arial" w:hAnsi="Arial" w:cs="Arial"/>
        </w:rPr>
      </w:pPr>
    </w:p>
    <w:p w14:paraId="4215564B" w14:textId="6DB39810" w:rsidR="00623A49" w:rsidRPr="00A92D47" w:rsidRDefault="00623A49" w:rsidP="00623A49">
      <w:pPr>
        <w:pStyle w:val="Body20"/>
        <w:rPr>
          <w:rFonts w:ascii="Arial" w:hAnsi="Arial" w:cs="Arial"/>
        </w:rPr>
      </w:pPr>
      <w:r w:rsidRPr="00A92D47">
        <w:rPr>
          <w:rFonts w:ascii="Arial" w:hAnsi="Arial" w:cs="Arial"/>
        </w:rPr>
        <w:t>-Does not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479C49C5" w14:textId="77777777" w:rsidR="00623A49" w:rsidRPr="00A92D47" w:rsidRDefault="00623A49" w:rsidP="00623A49">
      <w:pPr>
        <w:pStyle w:val="Body20"/>
        <w:rPr>
          <w:rFonts w:ascii="Arial" w:hAnsi="Arial" w:cs="Arial"/>
        </w:rPr>
      </w:pPr>
    </w:p>
    <w:p w14:paraId="51C6F231" w14:textId="13B9D34C" w:rsidR="00623A49" w:rsidRPr="00A92D47" w:rsidRDefault="00623A49" w:rsidP="00623A49">
      <w:pPr>
        <w:pStyle w:val="Body20"/>
        <w:rPr>
          <w:rFonts w:ascii="Arial" w:hAnsi="Arial" w:cs="Arial"/>
        </w:rPr>
      </w:pPr>
      <w:r w:rsidRPr="00A92D47">
        <w:rPr>
          <w:rFonts w:ascii="Arial" w:hAnsi="Arial" w:cs="Arial"/>
        </w:rPr>
        <w:t>-Does not require respondents to submit proprietary trade secret, or other confidential information unless the agency can demonstrate that it has inst</w:t>
      </w:r>
      <w:r w:rsidR="00964460">
        <w:rPr>
          <w:rFonts w:ascii="Arial" w:hAnsi="Arial" w:cs="Arial"/>
        </w:rPr>
        <w:t>ituted procedures to protect the</w:t>
      </w:r>
      <w:r w:rsidRPr="00A92D47">
        <w:rPr>
          <w:rFonts w:ascii="Arial" w:hAnsi="Arial" w:cs="Arial"/>
        </w:rPr>
        <w:t xml:space="preserve"> information's confidentiality to the extent permitted by law.</w:t>
      </w:r>
    </w:p>
    <w:p w14:paraId="4079803E" w14:textId="77777777" w:rsidR="00DD0988" w:rsidRPr="00AF39D5" w:rsidRDefault="00DD0988" w:rsidP="001076CB">
      <w:pPr>
        <w:pStyle w:val="Body1"/>
      </w:pPr>
    </w:p>
    <w:p w14:paraId="10398E7D" w14:textId="77777777" w:rsidR="0064737B" w:rsidRPr="00AA3DF6" w:rsidRDefault="0064737B" w:rsidP="001076CB">
      <w:pPr>
        <w:pStyle w:val="Body1"/>
        <w:rPr>
          <w:b/>
        </w:rPr>
      </w:pPr>
      <w:r w:rsidRPr="00AA3DF6">
        <w:rPr>
          <w:b/>
        </w:rPr>
        <w:t>8.</w:t>
      </w:r>
      <w:r w:rsidRPr="00AA3DF6">
        <w:rPr>
          <w:b/>
        </w:rPr>
        <w:tab/>
      </w:r>
      <w:r w:rsidR="00EE2719" w:rsidRPr="00EE2719">
        <w:rPr>
          <w:b/>
          <w:i/>
        </w:rPr>
        <w:t>Federal Register</w:t>
      </w:r>
      <w:r w:rsidR="001A53B0">
        <w:rPr>
          <w:b/>
          <w:i/>
        </w:rPr>
        <w:t xml:space="preserve"> Notice</w:t>
      </w:r>
      <w:r w:rsidRPr="00AA3DF6">
        <w:rPr>
          <w:b/>
        </w:rPr>
        <w:t>/Outside Consultation</w:t>
      </w:r>
    </w:p>
    <w:p w14:paraId="0B1BFB39" w14:textId="77777777" w:rsidR="0064737B" w:rsidRPr="00AF39D5" w:rsidRDefault="0064737B" w:rsidP="001076CB">
      <w:pPr>
        <w:pStyle w:val="Body1"/>
      </w:pPr>
    </w:p>
    <w:p w14:paraId="1C859AFB" w14:textId="5F3C6359" w:rsidR="008A323E" w:rsidRDefault="00362CA4" w:rsidP="001076CB">
      <w:pPr>
        <w:pStyle w:val="Body1"/>
      </w:pPr>
      <w:r>
        <w:t xml:space="preserve">The </w:t>
      </w:r>
      <w:r w:rsidR="000B73AE">
        <w:t>6</w:t>
      </w:r>
      <w:r w:rsidR="004C41EB">
        <w:t>0</w:t>
      </w:r>
      <w:r w:rsidR="00A10AEC">
        <w:t xml:space="preserve">-day notice published </w:t>
      </w:r>
      <w:r>
        <w:t xml:space="preserve">in the Federal Register </w:t>
      </w:r>
      <w:r w:rsidR="00A10AEC">
        <w:t xml:space="preserve">on </w:t>
      </w:r>
      <w:r w:rsidR="00174C48">
        <w:t>October 16, 2015</w:t>
      </w:r>
      <w:r>
        <w:t xml:space="preserve"> (80 FR 62534)</w:t>
      </w:r>
      <w:r w:rsidR="00504A34">
        <w:t>.</w:t>
      </w:r>
      <w:r w:rsidR="002B3E56">
        <w:t xml:space="preserve">  </w:t>
      </w:r>
      <w:r w:rsidR="00FA0F58">
        <w:t xml:space="preserve">During this 60-day comment period, </w:t>
      </w:r>
      <w:r w:rsidR="008A323E">
        <w:t xml:space="preserve">CMS received comments that resulted in revisions to the notice and instructions. </w:t>
      </w:r>
      <w:r w:rsidR="00304ECD">
        <w:t>A summary of the comments and our response has been attached to this package.</w:t>
      </w:r>
    </w:p>
    <w:p w14:paraId="65FB6FFD" w14:textId="77777777" w:rsidR="008A323E" w:rsidRDefault="008A323E" w:rsidP="001076CB">
      <w:pPr>
        <w:pStyle w:val="Body1"/>
      </w:pPr>
    </w:p>
    <w:p w14:paraId="054365DB" w14:textId="047CE799" w:rsidR="008A323E" w:rsidRDefault="00E30CF4" w:rsidP="001076CB">
      <w:pPr>
        <w:pStyle w:val="Body1"/>
      </w:pPr>
      <w:r>
        <w:t>A number of comments were</w:t>
      </w:r>
      <w:r w:rsidR="008A323E">
        <w:t xml:space="preserve"> regarding the inclusion of the various “Fast Appeals” sections in the notice that do not apply to deni</w:t>
      </w:r>
      <w:r w:rsidR="00366AF6">
        <w:t>al of payment requests.  CMS</w:t>
      </w:r>
      <w:r w:rsidR="008A323E">
        <w:t xml:space="preserve"> made </w:t>
      </w:r>
      <w:r w:rsidR="008A323E">
        <w:lastRenderedPageBreak/>
        <w:t>appropriate</w:t>
      </w:r>
      <w:r w:rsidR="00366AF6">
        <w:t xml:space="preserve"> changes, allowing plans to delete</w:t>
      </w:r>
      <w:r w:rsidR="008A323E">
        <w:t xml:space="preserve"> these sections if the “Fast Appeal” process is a request for payment that has been denied.</w:t>
      </w:r>
    </w:p>
    <w:p w14:paraId="7AED87A5" w14:textId="77777777" w:rsidR="008A323E" w:rsidRDefault="008A323E" w:rsidP="001076CB">
      <w:pPr>
        <w:pStyle w:val="Body1"/>
      </w:pPr>
    </w:p>
    <w:p w14:paraId="7EEEE886" w14:textId="05A736CA" w:rsidR="00FA0F58" w:rsidRDefault="00FA0F58" w:rsidP="001076CB">
      <w:pPr>
        <w:pStyle w:val="Body1"/>
      </w:pPr>
      <w:r>
        <w:t>CMS received several comments surrounding new language in the instructions of the Notice of Denial of Medical Coverage (or Payment) indicating when a denial notice should be sent for plans that manage both Medicare and Medicaid benefits.  Some of the comments received included concerns related to:</w:t>
      </w:r>
    </w:p>
    <w:p w14:paraId="7BBCAB7F" w14:textId="77777777" w:rsidR="00FA0F58" w:rsidRDefault="00FA0F58" w:rsidP="001076CB">
      <w:pPr>
        <w:pStyle w:val="Body1"/>
      </w:pPr>
    </w:p>
    <w:p w14:paraId="3F33D06C" w14:textId="12EC688D" w:rsidR="00FA0F58" w:rsidRDefault="00FA0F58" w:rsidP="00A92D47">
      <w:pPr>
        <w:pStyle w:val="Body1"/>
        <w:numPr>
          <w:ilvl w:val="0"/>
          <w:numId w:val="12"/>
        </w:numPr>
      </w:pPr>
      <w:r>
        <w:t>Unnecessary notices being delivered for services never covered by Medicare and fully covered by Medicaid.</w:t>
      </w:r>
    </w:p>
    <w:p w14:paraId="21DF69D9" w14:textId="5087D7D9" w:rsidR="00FA0F58" w:rsidRDefault="00DF6640" w:rsidP="00A92D47">
      <w:pPr>
        <w:pStyle w:val="Body1"/>
        <w:numPr>
          <w:ilvl w:val="0"/>
          <w:numId w:val="12"/>
        </w:numPr>
      </w:pPr>
      <w:r>
        <w:t xml:space="preserve">Members may be confused if they receive a denial notice, but services or items will be fully covered by Medicaid. </w:t>
      </w:r>
    </w:p>
    <w:p w14:paraId="20C5E1C3" w14:textId="1AD3665F" w:rsidR="008A323E" w:rsidRDefault="008A323E" w:rsidP="00A92D47">
      <w:pPr>
        <w:pStyle w:val="Body1"/>
        <w:numPr>
          <w:ilvl w:val="0"/>
          <w:numId w:val="12"/>
        </w:numPr>
      </w:pPr>
      <w:r>
        <w:t xml:space="preserve">An increase in the number of denials sent, which would in turn increase the number of appeals filed. </w:t>
      </w:r>
    </w:p>
    <w:p w14:paraId="487576B1" w14:textId="6A31BD57" w:rsidR="00FA0F58" w:rsidRDefault="00FA0F58" w:rsidP="00A92D47">
      <w:pPr>
        <w:pStyle w:val="Body1"/>
        <w:numPr>
          <w:ilvl w:val="0"/>
          <w:numId w:val="12"/>
        </w:numPr>
      </w:pPr>
      <w:r>
        <w:t>Expansion of the scope and use of th</w:t>
      </w:r>
      <w:r w:rsidR="008A323E">
        <w:t>e notice, resulting in costly administrative burdens on plans to update programming systems to accommodate new instructions and effect Star Ratings</w:t>
      </w:r>
      <w:r>
        <w:t>.</w:t>
      </w:r>
    </w:p>
    <w:p w14:paraId="45D144AD" w14:textId="77777777" w:rsidR="00E30CF4" w:rsidRDefault="008A323E" w:rsidP="00A92D47">
      <w:pPr>
        <w:pStyle w:val="Body1"/>
      </w:pPr>
      <w:r>
        <w:t xml:space="preserve"> </w:t>
      </w:r>
    </w:p>
    <w:p w14:paraId="34729584" w14:textId="56C7EA04" w:rsidR="00E30CF4" w:rsidRDefault="00366AF6" w:rsidP="00A92D47">
      <w:pPr>
        <w:pStyle w:val="Body1"/>
        <w:rPr>
          <w:color w:val="000000"/>
        </w:rPr>
      </w:pPr>
      <w:r>
        <w:t>As a result, CMS</w:t>
      </w:r>
      <w:r w:rsidR="008A323E" w:rsidRPr="00E30CF4">
        <w:t xml:space="preserve"> revised the instructions </w:t>
      </w:r>
      <w:r>
        <w:rPr>
          <w:color w:val="000000"/>
        </w:rPr>
        <w:t>to</w:t>
      </w:r>
      <w:r w:rsidR="00E30CF4" w:rsidRPr="00E30CF4">
        <w:rPr>
          <w:color w:val="000000"/>
        </w:rPr>
        <w:t xml:space="preserve"> </w:t>
      </w:r>
      <w:r w:rsidR="00E30CF4">
        <w:rPr>
          <w:color w:val="000000"/>
        </w:rPr>
        <w:t xml:space="preserve">now </w:t>
      </w:r>
      <w:r w:rsidR="00E30CF4" w:rsidRPr="00E30CF4">
        <w:rPr>
          <w:color w:val="000000"/>
        </w:rPr>
        <w:t>state:</w:t>
      </w:r>
    </w:p>
    <w:p w14:paraId="522C7FD8" w14:textId="77777777" w:rsidR="000331D1" w:rsidRPr="00A92D47" w:rsidRDefault="000331D1" w:rsidP="00A92D47">
      <w:pPr>
        <w:pStyle w:val="Body1"/>
      </w:pPr>
    </w:p>
    <w:p w14:paraId="2ADEC6D7" w14:textId="4E9C9740" w:rsidR="00E30CF4" w:rsidRPr="00A92D47" w:rsidRDefault="00E30CF4" w:rsidP="00A92D47">
      <w:pPr>
        <w:pStyle w:val="ListParagraph"/>
        <w:numPr>
          <w:ilvl w:val="0"/>
          <w:numId w:val="15"/>
        </w:numPr>
        <w:rPr>
          <w:rFonts w:ascii="Arial" w:hAnsi="Arial" w:cs="Arial"/>
          <w:color w:val="000000"/>
        </w:rPr>
      </w:pPr>
      <w:r w:rsidRPr="00A92D47">
        <w:rPr>
          <w:rFonts w:ascii="Arial" w:hAnsi="Arial" w:cs="Arial"/>
          <w:color w:val="000000"/>
        </w:rPr>
        <w:t>plans must determine if services are covered under the plan’s Medicare and/or Medicaid benefit</w:t>
      </w:r>
      <w:r w:rsidR="00366AF6" w:rsidRPr="00A92D47">
        <w:rPr>
          <w:rFonts w:ascii="Arial" w:hAnsi="Arial" w:cs="Arial"/>
          <w:color w:val="000000"/>
        </w:rPr>
        <w:t>s</w:t>
      </w:r>
      <w:r w:rsidRPr="00A92D47">
        <w:rPr>
          <w:rFonts w:ascii="Arial" w:hAnsi="Arial" w:cs="Arial"/>
          <w:color w:val="000000"/>
        </w:rPr>
        <w:t>;</w:t>
      </w:r>
    </w:p>
    <w:p w14:paraId="3F7EF06F" w14:textId="0C521850" w:rsidR="00E30CF4" w:rsidRPr="00A92D47" w:rsidRDefault="00E30CF4" w:rsidP="00A92D47">
      <w:pPr>
        <w:pStyle w:val="ListParagraph"/>
        <w:numPr>
          <w:ilvl w:val="0"/>
          <w:numId w:val="15"/>
        </w:numPr>
        <w:rPr>
          <w:rFonts w:ascii="Arial" w:hAnsi="Arial" w:cs="Arial"/>
          <w:color w:val="000000"/>
        </w:rPr>
      </w:pPr>
      <w:r w:rsidRPr="00A92D47">
        <w:rPr>
          <w:rFonts w:ascii="Arial" w:hAnsi="Arial" w:cs="Arial"/>
          <w:color w:val="000000"/>
        </w:rPr>
        <w:t>the criteria plans are to take into consideration when making that determination; and</w:t>
      </w:r>
    </w:p>
    <w:p w14:paraId="03DAB35C" w14:textId="15FC17E7" w:rsidR="00E30CF4" w:rsidRPr="00A92D47" w:rsidRDefault="00E30CF4" w:rsidP="00A92D47">
      <w:pPr>
        <w:pStyle w:val="ListParagraph"/>
        <w:numPr>
          <w:ilvl w:val="0"/>
          <w:numId w:val="15"/>
        </w:numPr>
        <w:rPr>
          <w:rFonts w:ascii="Arial" w:hAnsi="Arial" w:cs="Arial"/>
          <w:color w:val="000000"/>
        </w:rPr>
      </w:pPr>
      <w:r w:rsidRPr="00A92D47">
        <w:rPr>
          <w:rFonts w:ascii="Arial" w:hAnsi="Arial" w:cs="Arial"/>
          <w:color w:val="000000"/>
        </w:rPr>
        <w:t>clarification on what circumstances the notice should be issued.</w:t>
      </w:r>
    </w:p>
    <w:p w14:paraId="131E96EB" w14:textId="77777777" w:rsidR="008A323E" w:rsidRDefault="008A323E" w:rsidP="008A323E">
      <w:pPr>
        <w:pStyle w:val="Body1"/>
      </w:pPr>
    </w:p>
    <w:p w14:paraId="1E1B1014" w14:textId="56F8E4BE" w:rsidR="008A323E" w:rsidRDefault="008A323E" w:rsidP="008A323E">
      <w:pPr>
        <w:pStyle w:val="Body1"/>
      </w:pPr>
      <w:r>
        <w:t>Following the 60-day comment period, an internal review of the notice was completed and</w:t>
      </w:r>
      <w:r w:rsidR="00DF6640">
        <w:t xml:space="preserve"> CMS</w:t>
      </w:r>
      <w:r>
        <w:t xml:space="preserve"> </w:t>
      </w:r>
      <w:r w:rsidR="00AD43CA">
        <w:t>added additional language in the instructions to clarify what plans must include in the denial rationale</w:t>
      </w:r>
      <w:r w:rsidR="00DF6640">
        <w:t>.</w:t>
      </w:r>
      <w:r w:rsidR="00AD43CA">
        <w:t xml:space="preserve"> </w:t>
      </w:r>
      <w:r>
        <w:t xml:space="preserve"> </w:t>
      </w:r>
    </w:p>
    <w:p w14:paraId="6E091352" w14:textId="77777777" w:rsidR="00174C48" w:rsidRDefault="00174C48" w:rsidP="001076CB">
      <w:pPr>
        <w:pStyle w:val="Body1"/>
      </w:pPr>
    </w:p>
    <w:p w14:paraId="732F41E0" w14:textId="4A78CEF8" w:rsidR="0064737B" w:rsidRPr="00AA3DF6" w:rsidRDefault="0064737B" w:rsidP="001076CB">
      <w:pPr>
        <w:pStyle w:val="Body1"/>
        <w:rPr>
          <w:b/>
          <w:u w:val="single"/>
        </w:rPr>
      </w:pPr>
      <w:r w:rsidRPr="00AA3DF6">
        <w:rPr>
          <w:b/>
        </w:rPr>
        <w:t>9.</w:t>
      </w:r>
      <w:r w:rsidRPr="00AA3DF6">
        <w:rPr>
          <w:b/>
        </w:rPr>
        <w:tab/>
        <w:t xml:space="preserve">Payments/Gifts </w:t>
      </w:r>
      <w:r w:rsidR="00EB4F55" w:rsidRPr="00AA3DF6">
        <w:rPr>
          <w:b/>
        </w:rPr>
        <w:t>to</w:t>
      </w:r>
      <w:r w:rsidRPr="00AA3DF6">
        <w:rPr>
          <w:b/>
        </w:rPr>
        <w:t xml:space="preserve"> Respondents</w:t>
      </w:r>
    </w:p>
    <w:p w14:paraId="76FF1A6B" w14:textId="77777777" w:rsidR="0064737B" w:rsidRPr="00AF39D5" w:rsidRDefault="0064737B" w:rsidP="001076CB">
      <w:pPr>
        <w:pStyle w:val="Body1"/>
        <w:rPr>
          <w:u w:val="single"/>
        </w:rPr>
      </w:pPr>
    </w:p>
    <w:p w14:paraId="33A57861" w14:textId="77777777" w:rsidR="00EF2311" w:rsidRPr="00AF39D5" w:rsidRDefault="00EF2311" w:rsidP="001076CB">
      <w:pPr>
        <w:pStyle w:val="Body1"/>
      </w:pPr>
      <w:r w:rsidRPr="00AF39D5">
        <w:t>Not applicable.</w:t>
      </w:r>
    </w:p>
    <w:p w14:paraId="6E07DE4D" w14:textId="77777777" w:rsidR="00CB2A7B" w:rsidRPr="00AF39D5" w:rsidRDefault="00CB2A7B" w:rsidP="001076CB">
      <w:pPr>
        <w:pStyle w:val="Body1"/>
      </w:pPr>
    </w:p>
    <w:p w14:paraId="3EE83199" w14:textId="77777777" w:rsidR="0064737B" w:rsidRPr="00AA3DF6" w:rsidRDefault="0064737B" w:rsidP="001076CB">
      <w:pPr>
        <w:pStyle w:val="Body1"/>
        <w:rPr>
          <w:b/>
          <w:u w:val="single"/>
        </w:rPr>
      </w:pPr>
      <w:r w:rsidRPr="00AA3DF6">
        <w:rPr>
          <w:b/>
        </w:rPr>
        <w:t>10.</w:t>
      </w:r>
      <w:r w:rsidRPr="00AA3DF6">
        <w:rPr>
          <w:b/>
        </w:rPr>
        <w:tab/>
      </w:r>
      <w:r w:rsidR="00D270DD">
        <w:rPr>
          <w:b/>
        </w:rPr>
        <w:t xml:space="preserve"> </w:t>
      </w:r>
      <w:r w:rsidRPr="00AA3DF6">
        <w:rPr>
          <w:b/>
        </w:rPr>
        <w:t>Confidentiality</w:t>
      </w:r>
    </w:p>
    <w:p w14:paraId="6CC39DB6" w14:textId="77777777" w:rsidR="0064737B" w:rsidRPr="00AF39D5" w:rsidRDefault="0064737B" w:rsidP="001076CB">
      <w:pPr>
        <w:pStyle w:val="Body1"/>
      </w:pPr>
    </w:p>
    <w:p w14:paraId="278634DF" w14:textId="2C6B01A3" w:rsidR="0064737B" w:rsidRPr="00AF39D5" w:rsidRDefault="00284011" w:rsidP="001076CB">
      <w:pPr>
        <w:pStyle w:val="Body1"/>
      </w:pPr>
      <w:r w:rsidRPr="00AF39D5">
        <w:t>Personally identifiable</w:t>
      </w:r>
      <w:r w:rsidR="0064737B" w:rsidRPr="00AF39D5">
        <w:t xml:space="preserve"> information contained in the notice is protected by the Privacy Act and </w:t>
      </w:r>
      <w:r w:rsidR="00E31495">
        <w:t>Health Insurance Portability and Accountability Act (</w:t>
      </w:r>
      <w:r w:rsidR="0064737B" w:rsidRPr="00AF39D5">
        <w:t>HIPAA</w:t>
      </w:r>
      <w:r w:rsidR="00E31495">
        <w:t>)</w:t>
      </w:r>
      <w:r w:rsidR="0064737B" w:rsidRPr="00AF39D5">
        <w:t xml:space="preserve"> standards for </w:t>
      </w:r>
      <w:r w:rsidR="003D2FC4" w:rsidRPr="00AF39D5">
        <w:t>plan</w:t>
      </w:r>
      <w:r w:rsidR="0064737B" w:rsidRPr="00AF39D5">
        <w:t>s and their providers</w:t>
      </w:r>
      <w:r w:rsidR="00EB4F55" w:rsidRPr="00AF39D5">
        <w:t xml:space="preserve">.  </w:t>
      </w:r>
      <w:r w:rsidR="0064737B" w:rsidRPr="00AF39D5">
        <w:t>CMS will not collect data from the notices</w:t>
      </w:r>
      <w:r w:rsidRPr="00AF39D5">
        <w:t>.  T</w:t>
      </w:r>
      <w:r w:rsidR="0064737B" w:rsidRPr="00AF39D5">
        <w:t xml:space="preserve">hus, </w:t>
      </w:r>
      <w:r w:rsidR="00EF2311" w:rsidRPr="00AF39D5">
        <w:t xml:space="preserve">CMS </w:t>
      </w:r>
      <w:r w:rsidR="0064737B" w:rsidRPr="00AF39D5">
        <w:t>assurance of confidentiality</w:t>
      </w:r>
      <w:r w:rsidR="00EF2311" w:rsidRPr="00AF39D5">
        <w:t xml:space="preserve"> is not applicable to this collection</w:t>
      </w:r>
      <w:r w:rsidR="0064737B" w:rsidRPr="00AF39D5">
        <w:t>.</w:t>
      </w:r>
    </w:p>
    <w:p w14:paraId="62A71C43" w14:textId="77777777" w:rsidR="0064737B" w:rsidRPr="00AA12FC" w:rsidRDefault="0064737B" w:rsidP="001076CB">
      <w:pPr>
        <w:pStyle w:val="Body1"/>
      </w:pPr>
    </w:p>
    <w:p w14:paraId="3FF41A98" w14:textId="77777777" w:rsidR="0064737B" w:rsidRPr="00AA3DF6" w:rsidRDefault="0064737B" w:rsidP="001076CB">
      <w:pPr>
        <w:pStyle w:val="Body1"/>
        <w:rPr>
          <w:b/>
        </w:rPr>
      </w:pPr>
      <w:r w:rsidRPr="00AA3DF6">
        <w:rPr>
          <w:b/>
        </w:rPr>
        <w:t>11.</w:t>
      </w:r>
      <w:r w:rsidRPr="00AA3DF6">
        <w:rPr>
          <w:b/>
        </w:rPr>
        <w:tab/>
      </w:r>
      <w:r w:rsidR="00D270DD">
        <w:rPr>
          <w:b/>
        </w:rPr>
        <w:t xml:space="preserve"> </w:t>
      </w:r>
      <w:r w:rsidRPr="00AA3DF6">
        <w:rPr>
          <w:b/>
        </w:rPr>
        <w:t>Sensitive Questions</w:t>
      </w:r>
    </w:p>
    <w:p w14:paraId="12AD1469" w14:textId="77777777" w:rsidR="0064737B" w:rsidRPr="00AF39D5" w:rsidRDefault="0064737B" w:rsidP="001076CB">
      <w:pPr>
        <w:pStyle w:val="Body1"/>
      </w:pPr>
    </w:p>
    <w:p w14:paraId="14F4B5CC" w14:textId="77777777" w:rsidR="0064737B" w:rsidRDefault="0064737B" w:rsidP="001076CB">
      <w:pPr>
        <w:pStyle w:val="Body1"/>
      </w:pPr>
      <w:r w:rsidRPr="00AF39D5">
        <w:t>No questions of a sensitive nature will be asked.</w:t>
      </w:r>
    </w:p>
    <w:p w14:paraId="0AEF08B0" w14:textId="77777777" w:rsidR="00A26F1C" w:rsidRPr="00AF39D5" w:rsidRDefault="00A26F1C" w:rsidP="001076CB">
      <w:pPr>
        <w:pStyle w:val="Body1"/>
      </w:pPr>
    </w:p>
    <w:p w14:paraId="0F2CF68C" w14:textId="77777777" w:rsidR="00A4117F" w:rsidRPr="00AA3DF6" w:rsidRDefault="00A4117F" w:rsidP="001076CB">
      <w:pPr>
        <w:pStyle w:val="Body1"/>
        <w:rPr>
          <w:b/>
          <w:u w:val="single"/>
        </w:rPr>
      </w:pPr>
      <w:r w:rsidRPr="00AA3DF6">
        <w:rPr>
          <w:b/>
        </w:rPr>
        <w:t>12.</w:t>
      </w:r>
      <w:r w:rsidRPr="00AA3DF6">
        <w:rPr>
          <w:b/>
        </w:rPr>
        <w:tab/>
      </w:r>
      <w:r w:rsidR="00D270DD">
        <w:rPr>
          <w:b/>
        </w:rPr>
        <w:t xml:space="preserve"> </w:t>
      </w:r>
      <w:r w:rsidR="0017564B" w:rsidRPr="00AA3DF6">
        <w:rPr>
          <w:b/>
        </w:rPr>
        <w:t>Burden Estimate (Total Hours and</w:t>
      </w:r>
      <w:r w:rsidRPr="00AA3DF6">
        <w:rPr>
          <w:b/>
        </w:rPr>
        <w:t xml:space="preserve"> Wages)</w:t>
      </w:r>
      <w:r w:rsidRPr="00AA3DF6">
        <w:rPr>
          <w:b/>
          <w:u w:val="single"/>
        </w:rPr>
        <w:t xml:space="preserve"> </w:t>
      </w:r>
    </w:p>
    <w:p w14:paraId="4AFB0B96" w14:textId="77777777" w:rsidR="00EB4F55" w:rsidRDefault="00EB4F55" w:rsidP="001076CB">
      <w:pPr>
        <w:pStyle w:val="Body1"/>
        <w:rPr>
          <w:u w:val="single"/>
        </w:rPr>
      </w:pPr>
    </w:p>
    <w:p w14:paraId="3A521D90" w14:textId="20A7BAE2" w:rsidR="00801D23" w:rsidRPr="00801D23" w:rsidRDefault="00801D23" w:rsidP="001076CB">
      <w:pPr>
        <w:pStyle w:val="Body1"/>
        <w:rPr>
          <w:i/>
        </w:rPr>
      </w:pPr>
      <w:r w:rsidRPr="00801D23">
        <w:rPr>
          <w:i/>
        </w:rPr>
        <w:t>Background</w:t>
      </w:r>
    </w:p>
    <w:p w14:paraId="7B44FCEB" w14:textId="77777777" w:rsidR="00801D23" w:rsidRPr="00AF39D5" w:rsidRDefault="00801D23" w:rsidP="001076CB">
      <w:pPr>
        <w:pStyle w:val="Body1"/>
        <w:rPr>
          <w:u w:val="single"/>
        </w:rPr>
      </w:pPr>
    </w:p>
    <w:p w14:paraId="1BF85236" w14:textId="1119CCEE" w:rsidR="00343C24" w:rsidRPr="00AF39D5" w:rsidRDefault="00343C24" w:rsidP="001076CB">
      <w:pPr>
        <w:pStyle w:val="Body1"/>
      </w:pPr>
      <w:r>
        <w:t>The number of respondents for this collection is based on 201</w:t>
      </w:r>
      <w:r w:rsidR="000B73AE">
        <w:t>4</w:t>
      </w:r>
      <w:r>
        <w:t xml:space="preserve"> CMS Statistics which indicate that there are </w:t>
      </w:r>
      <w:r w:rsidR="000B73AE">
        <w:t>730</w:t>
      </w:r>
      <w:r>
        <w:t xml:space="preserve"> </w:t>
      </w:r>
      <w:r w:rsidRPr="00AF39D5">
        <w:t>Medicare health plans</w:t>
      </w:r>
      <w:r>
        <w:t xml:space="preserve"> (excluding stand-alone </w:t>
      </w:r>
      <w:r w:rsidR="0050119B">
        <w:t xml:space="preserve">prescription </w:t>
      </w:r>
      <w:r>
        <w:t xml:space="preserve">drug plans).  Source: 2011 </w:t>
      </w:r>
      <w:r w:rsidRPr="00E659F8">
        <w:t>CMS Statistics</w:t>
      </w:r>
      <w:r>
        <w:t xml:space="preserve"> (Table I.7)</w:t>
      </w:r>
      <w:r w:rsidRPr="00E659F8">
        <w:t>:</w:t>
      </w:r>
      <w:r>
        <w:t xml:space="preserve"> </w:t>
      </w:r>
      <w:r w:rsidRPr="001D1EFC">
        <w:t>http://www.cms.gov/ResearchGenInfo/02_CMSStatistics.asp</w:t>
      </w:r>
    </w:p>
    <w:p w14:paraId="5CB79138" w14:textId="77777777" w:rsidR="005832F7" w:rsidRPr="00F631F5" w:rsidRDefault="005832F7" w:rsidP="001076CB">
      <w:pPr>
        <w:pStyle w:val="Body1"/>
      </w:pPr>
    </w:p>
    <w:p w14:paraId="1A3BA691" w14:textId="79416219" w:rsidR="00E3365A" w:rsidRDefault="00E3365A" w:rsidP="001076CB">
      <w:pPr>
        <w:pStyle w:val="Body1"/>
      </w:pPr>
      <w:r>
        <w:t xml:space="preserve">The CMS plan reported data </w:t>
      </w:r>
      <w:r w:rsidR="000B73AE">
        <w:t xml:space="preserve">for 2014 </w:t>
      </w:r>
      <w:r>
        <w:t xml:space="preserve">indicate a </w:t>
      </w:r>
      <w:r w:rsidR="000B73AE">
        <w:t>8.3</w:t>
      </w:r>
      <w:r>
        <w:t>% denial rate (</w:t>
      </w:r>
      <w:r w:rsidR="000B73AE">
        <w:t xml:space="preserve">33,574,293 </w:t>
      </w:r>
      <w:r>
        <w:t xml:space="preserve">denials issued out of a total of </w:t>
      </w:r>
      <w:r w:rsidR="000B73AE">
        <w:t>405,455,838</w:t>
      </w:r>
      <w:r>
        <w:t xml:space="preserve"> organization determinations), which is</w:t>
      </w:r>
      <w:r w:rsidR="000B73AE">
        <w:t xml:space="preserve"> in alignment with the 8.1% and 8.7% denial rate contained in the 2013 and 2012 data, respectively</w:t>
      </w:r>
      <w:r>
        <w:t xml:space="preserve">.  So, while the </w:t>
      </w:r>
      <w:r w:rsidR="00214767">
        <w:t xml:space="preserve">overall </w:t>
      </w:r>
      <w:r>
        <w:t>volumes</w:t>
      </w:r>
      <w:r w:rsidR="00D04F00">
        <w:t xml:space="preserve"> CMS is using for the current estimates are significantly </w:t>
      </w:r>
      <w:r w:rsidR="00D83F40">
        <w:t xml:space="preserve">higher </w:t>
      </w:r>
      <w:r w:rsidR="00D04F00">
        <w:t xml:space="preserve">due to the use of </w:t>
      </w:r>
      <w:r>
        <w:t xml:space="preserve">actual plan reported data, there is consistency </w:t>
      </w:r>
      <w:r w:rsidR="002048CE">
        <w:t xml:space="preserve">between the </w:t>
      </w:r>
      <w:r w:rsidR="000B73AE">
        <w:t>three</w:t>
      </w:r>
      <w:r w:rsidR="002048CE">
        <w:t xml:space="preserve"> data sets </w:t>
      </w:r>
      <w:r>
        <w:t>with respect to the rate at which plans are denying</w:t>
      </w:r>
      <w:r w:rsidR="00214767">
        <w:t xml:space="preserve"> organization determination</w:t>
      </w:r>
      <w:r>
        <w:t xml:space="preserve"> requests.</w:t>
      </w:r>
    </w:p>
    <w:p w14:paraId="117F545B" w14:textId="77777777" w:rsidR="00801D23" w:rsidRDefault="00801D23" w:rsidP="001076CB">
      <w:pPr>
        <w:pStyle w:val="Body1"/>
      </w:pPr>
    </w:p>
    <w:p w14:paraId="5CD3D656" w14:textId="5DB93F26" w:rsidR="00801D23" w:rsidRPr="00801D23" w:rsidRDefault="00801D23" w:rsidP="001076CB">
      <w:pPr>
        <w:pStyle w:val="Body1"/>
        <w:rPr>
          <w:i/>
        </w:rPr>
      </w:pPr>
      <w:r w:rsidRPr="00801D23">
        <w:rPr>
          <w:i/>
        </w:rPr>
        <w:t>Wage Estimates</w:t>
      </w:r>
    </w:p>
    <w:p w14:paraId="7D71C570" w14:textId="26B886D9" w:rsidR="00E3365A" w:rsidRDefault="00E3365A" w:rsidP="001076CB">
      <w:pPr>
        <w:pStyle w:val="Body1"/>
      </w:pPr>
    </w:p>
    <w:p w14:paraId="17664A14" w14:textId="45807E51" w:rsidR="00542B61" w:rsidRDefault="00402160" w:rsidP="001076CB">
      <w:pPr>
        <w:pStyle w:val="Body1"/>
      </w:pPr>
      <w:r>
        <w:t xml:space="preserve">To derive average costs, we used data form the </w:t>
      </w:r>
      <w:r w:rsidR="00542B61">
        <w:t>U.S. Bureau of Labor Statistics’ May 201</w:t>
      </w:r>
      <w:r w:rsidR="00801D23">
        <w:t>5</w:t>
      </w:r>
      <w:r w:rsidR="00542B61">
        <w:t xml:space="preserve"> National Occupation Employment and Wage Estimates </w:t>
      </w:r>
      <w:r>
        <w:t xml:space="preserve">for all salary estimates </w:t>
      </w:r>
      <w:r w:rsidR="00542B61">
        <w:t>(</w:t>
      </w:r>
      <w:r w:rsidR="00542B61" w:rsidRPr="00542B61">
        <w:t>http://www.bls.gov/oes/current/oes</w:t>
      </w:r>
      <w:r>
        <w:t>_nat</w:t>
      </w:r>
      <w:r w:rsidR="00542B61" w:rsidRPr="00542B61">
        <w:t>.htm</w:t>
      </w:r>
      <w:r w:rsidR="00542B61">
        <w:t>)</w:t>
      </w:r>
      <w:r w:rsidR="00343C24">
        <w:t xml:space="preserve">. </w:t>
      </w:r>
      <w:r>
        <w:t>In this regard, the following table presents the mean hourly wage, the cost of fringe benefits (calculated at 100 percent of salary), and the adjusted salary wage.</w:t>
      </w:r>
      <w:r w:rsidR="00343C24">
        <w:t xml:space="preserve"> </w:t>
      </w:r>
    </w:p>
    <w:p w14:paraId="62A1DBFF" w14:textId="77777777" w:rsidR="00542B61" w:rsidRDefault="00542B61" w:rsidP="001076CB">
      <w:pPr>
        <w:pStyle w:val="Body1"/>
      </w:pPr>
    </w:p>
    <w:tbl>
      <w:tblPr>
        <w:tblStyle w:val="TableGrid"/>
        <w:tblW w:w="0" w:type="auto"/>
        <w:tblLook w:val="04A0" w:firstRow="1" w:lastRow="0" w:firstColumn="1" w:lastColumn="0" w:noHBand="0" w:noVBand="1"/>
      </w:tblPr>
      <w:tblGrid>
        <w:gridCol w:w="1870"/>
        <w:gridCol w:w="1870"/>
        <w:gridCol w:w="1870"/>
        <w:gridCol w:w="1870"/>
        <w:gridCol w:w="1870"/>
      </w:tblGrid>
      <w:tr w:rsidR="00542B61" w14:paraId="6E6AB86C" w14:textId="77777777" w:rsidTr="00A92D47">
        <w:tc>
          <w:tcPr>
            <w:tcW w:w="1870" w:type="dxa"/>
            <w:vAlign w:val="center"/>
          </w:tcPr>
          <w:p w14:paraId="5E854446" w14:textId="49B6AE85" w:rsidR="00542B61" w:rsidRDefault="00542B61" w:rsidP="00A92D47">
            <w:pPr>
              <w:pStyle w:val="Body1"/>
              <w:jc w:val="center"/>
            </w:pPr>
            <w:r>
              <w:t>Occupation Title</w:t>
            </w:r>
          </w:p>
        </w:tc>
        <w:tc>
          <w:tcPr>
            <w:tcW w:w="1870" w:type="dxa"/>
            <w:vAlign w:val="center"/>
          </w:tcPr>
          <w:p w14:paraId="39992A37" w14:textId="005213AA" w:rsidR="00542B61" w:rsidRDefault="00542B61" w:rsidP="00A92D47">
            <w:pPr>
              <w:pStyle w:val="Body1"/>
              <w:jc w:val="center"/>
            </w:pPr>
            <w:r>
              <w:t>Occupation Code</w:t>
            </w:r>
          </w:p>
        </w:tc>
        <w:tc>
          <w:tcPr>
            <w:tcW w:w="1870" w:type="dxa"/>
            <w:vAlign w:val="center"/>
          </w:tcPr>
          <w:p w14:paraId="43F55254" w14:textId="67C91C8C" w:rsidR="00542B61" w:rsidRDefault="00542B61" w:rsidP="00A92D47">
            <w:pPr>
              <w:pStyle w:val="Body1"/>
              <w:jc w:val="center"/>
            </w:pPr>
            <w:r>
              <w:t>Mean Hourly Wage ($/hr)</w:t>
            </w:r>
          </w:p>
        </w:tc>
        <w:tc>
          <w:tcPr>
            <w:tcW w:w="1870" w:type="dxa"/>
            <w:vAlign w:val="center"/>
          </w:tcPr>
          <w:p w14:paraId="35642BE5" w14:textId="2959251E" w:rsidR="00542B61" w:rsidRDefault="00542B61" w:rsidP="00A92D47">
            <w:pPr>
              <w:pStyle w:val="Body1"/>
              <w:jc w:val="center"/>
            </w:pPr>
            <w:r>
              <w:t>Fringe Benefit ($/hr)</w:t>
            </w:r>
          </w:p>
        </w:tc>
        <w:tc>
          <w:tcPr>
            <w:tcW w:w="1870" w:type="dxa"/>
            <w:vAlign w:val="center"/>
          </w:tcPr>
          <w:p w14:paraId="5EF4BFB0" w14:textId="1F573031" w:rsidR="00542B61" w:rsidRDefault="00542B61" w:rsidP="0035196A">
            <w:pPr>
              <w:pStyle w:val="Body1"/>
              <w:jc w:val="center"/>
            </w:pPr>
            <w:r>
              <w:t>Adj</w:t>
            </w:r>
            <w:r w:rsidR="0035196A">
              <w:t>u</w:t>
            </w:r>
            <w:r>
              <w:t>sted Hourly Wage ($/hr)</w:t>
            </w:r>
          </w:p>
        </w:tc>
      </w:tr>
      <w:tr w:rsidR="00542B61" w14:paraId="0A8AD80C" w14:textId="77777777" w:rsidTr="00A92D47">
        <w:tc>
          <w:tcPr>
            <w:tcW w:w="1870" w:type="dxa"/>
            <w:vAlign w:val="center"/>
          </w:tcPr>
          <w:p w14:paraId="0F32003F" w14:textId="629C2E72" w:rsidR="00542B61" w:rsidRDefault="00542B61" w:rsidP="00A92D47">
            <w:pPr>
              <w:pStyle w:val="Body1"/>
              <w:jc w:val="center"/>
            </w:pPr>
            <w:r>
              <w:t>Healthcare Support Workers</w:t>
            </w:r>
          </w:p>
        </w:tc>
        <w:tc>
          <w:tcPr>
            <w:tcW w:w="1870" w:type="dxa"/>
            <w:vAlign w:val="center"/>
          </w:tcPr>
          <w:p w14:paraId="0C4031DA" w14:textId="1CAEC4A7" w:rsidR="00542B61" w:rsidRDefault="00542B61" w:rsidP="00A92D47">
            <w:pPr>
              <w:pStyle w:val="Body1"/>
              <w:jc w:val="center"/>
            </w:pPr>
            <w:r>
              <w:t>31-9099</w:t>
            </w:r>
          </w:p>
        </w:tc>
        <w:tc>
          <w:tcPr>
            <w:tcW w:w="1870" w:type="dxa"/>
            <w:vAlign w:val="center"/>
          </w:tcPr>
          <w:p w14:paraId="15C53E2E" w14:textId="49B21C74" w:rsidR="00542B61" w:rsidRDefault="00A3657F" w:rsidP="00A92D47">
            <w:pPr>
              <w:pStyle w:val="Body1"/>
              <w:jc w:val="center"/>
            </w:pPr>
            <w:r>
              <w:t>17.75</w:t>
            </w:r>
          </w:p>
        </w:tc>
        <w:tc>
          <w:tcPr>
            <w:tcW w:w="1870" w:type="dxa"/>
            <w:vAlign w:val="center"/>
          </w:tcPr>
          <w:p w14:paraId="4AEF3736" w14:textId="50FA7A30" w:rsidR="00542B61" w:rsidRDefault="00A3657F" w:rsidP="00A92D47">
            <w:pPr>
              <w:pStyle w:val="Body1"/>
              <w:jc w:val="center"/>
            </w:pPr>
            <w:r>
              <w:t>17.75</w:t>
            </w:r>
          </w:p>
        </w:tc>
        <w:tc>
          <w:tcPr>
            <w:tcW w:w="1870" w:type="dxa"/>
            <w:vAlign w:val="center"/>
          </w:tcPr>
          <w:p w14:paraId="5625FDEA" w14:textId="5522EF2E" w:rsidR="00542B61" w:rsidRDefault="00542B61" w:rsidP="00B81B52">
            <w:pPr>
              <w:pStyle w:val="Body1"/>
              <w:jc w:val="center"/>
            </w:pPr>
            <w:r>
              <w:t>3</w:t>
            </w:r>
            <w:r w:rsidR="00B81B52">
              <w:t>5</w:t>
            </w:r>
            <w:r>
              <w:t>.</w:t>
            </w:r>
            <w:r w:rsidR="00B81B52">
              <w:t>50</w:t>
            </w:r>
          </w:p>
        </w:tc>
      </w:tr>
    </w:tbl>
    <w:p w14:paraId="7681C131" w14:textId="77777777" w:rsidR="00542B61" w:rsidRDefault="00542B61" w:rsidP="001076CB">
      <w:pPr>
        <w:pStyle w:val="Body1"/>
      </w:pPr>
    </w:p>
    <w:p w14:paraId="566F4CC5" w14:textId="7DE7A78A" w:rsidR="00321EE5" w:rsidRDefault="000E2D59" w:rsidP="001076CB">
      <w:pPr>
        <w:pStyle w:val="Body1"/>
      </w:pPr>
      <w:r w:rsidRPr="000E2D59">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7FFFB79D" w14:textId="77777777" w:rsidR="00321EE5" w:rsidRDefault="00321EE5" w:rsidP="001076CB">
      <w:pPr>
        <w:pStyle w:val="Body1"/>
      </w:pPr>
    </w:p>
    <w:p w14:paraId="10340084" w14:textId="6880D448" w:rsidR="00321EE5" w:rsidRPr="00321EE5" w:rsidRDefault="00321EE5" w:rsidP="001076CB">
      <w:pPr>
        <w:pStyle w:val="Body1"/>
        <w:rPr>
          <w:i/>
        </w:rPr>
      </w:pPr>
      <w:r w:rsidRPr="00321EE5">
        <w:rPr>
          <w:i/>
        </w:rPr>
        <w:t>Burden Estimates</w:t>
      </w:r>
    </w:p>
    <w:p w14:paraId="360492CF" w14:textId="77777777" w:rsidR="00321EE5" w:rsidRDefault="00321EE5" w:rsidP="001076CB">
      <w:pPr>
        <w:pStyle w:val="Body1"/>
      </w:pPr>
    </w:p>
    <w:p w14:paraId="10B065CE" w14:textId="3AFC2C65" w:rsidR="00871FB9" w:rsidRDefault="001318D3" w:rsidP="001076CB">
      <w:pPr>
        <w:pStyle w:val="Body1"/>
      </w:pPr>
      <w:r>
        <w:t>We estimate it will take about 6 minutes to complete the notice for Medicare</w:t>
      </w:r>
      <w:r w:rsidR="009254BD">
        <w:t xml:space="preserve"> services that have been denied.  </w:t>
      </w:r>
      <w:r w:rsidR="000B73AE">
        <w:t xml:space="preserve">We recognize that completion of the notice will take slightly longer in instances where the plan has to populate information on the enrollee’s Medicaid benefits and rights.  We are retaining </w:t>
      </w:r>
      <w:r w:rsidR="00366AF6">
        <w:t xml:space="preserve">our </w:t>
      </w:r>
      <w:r w:rsidR="000B73AE">
        <w:t xml:space="preserve">previous </w:t>
      </w:r>
      <w:r w:rsidR="00366AF6">
        <w:t>estimate that</w:t>
      </w:r>
      <w:r w:rsidR="00A603E2">
        <w:t xml:space="preserve"> it will take plans an average of 10 minutes </w:t>
      </w:r>
      <w:r w:rsidR="00DD7FDA">
        <w:t>(0</w:t>
      </w:r>
      <w:r w:rsidR="00DD7FDA" w:rsidRPr="00DD7FDA">
        <w:t>.1666</w:t>
      </w:r>
      <w:r w:rsidR="00DD7FDA">
        <w:t xml:space="preserve"> hours) </w:t>
      </w:r>
      <w:r w:rsidR="00A603E2">
        <w:t xml:space="preserve">to complete the denial notice. </w:t>
      </w:r>
    </w:p>
    <w:p w14:paraId="5A3E5D16" w14:textId="2E474665" w:rsidR="00343C24" w:rsidRDefault="00343C24" w:rsidP="001076CB">
      <w:pPr>
        <w:pStyle w:val="Body1"/>
      </w:pPr>
    </w:p>
    <w:p w14:paraId="06DD1B11" w14:textId="0FB23CDF" w:rsidR="00384E78" w:rsidRPr="003D2312" w:rsidRDefault="000B3198" w:rsidP="001076CB">
      <w:pPr>
        <w:pStyle w:val="Body1"/>
      </w:pPr>
      <w:r w:rsidRPr="00AF39D5">
        <w:lastRenderedPageBreak/>
        <w:t xml:space="preserve">The total </w:t>
      </w:r>
      <w:r w:rsidR="00343C24">
        <w:t xml:space="preserve">annual hourly </w:t>
      </w:r>
      <w:r w:rsidRPr="00AF39D5">
        <w:t xml:space="preserve">burden </w:t>
      </w:r>
      <w:r w:rsidR="00343C24">
        <w:t xml:space="preserve">for this collection is </w:t>
      </w:r>
      <w:r w:rsidR="00CF6B02" w:rsidRPr="003D2312">
        <w:t>1,174,630</w:t>
      </w:r>
      <w:r w:rsidR="00343C24" w:rsidRPr="003D2312">
        <w:t xml:space="preserve"> hours </w:t>
      </w:r>
      <w:r w:rsidR="0098431F" w:rsidRPr="003D2312">
        <w:t>(</w:t>
      </w:r>
      <w:r w:rsidR="00DD7FDA" w:rsidRPr="003D2312">
        <w:t>0</w:t>
      </w:r>
      <w:r w:rsidR="0098431F" w:rsidRPr="003D2312">
        <w:t>.1666 hour</w:t>
      </w:r>
      <w:r w:rsidR="00DD7FDA" w:rsidRPr="003D2312">
        <w:t>s</w:t>
      </w:r>
      <w:r w:rsidR="0098431F" w:rsidRPr="003D2312">
        <w:t xml:space="preserve"> x </w:t>
      </w:r>
      <w:r w:rsidR="00CF6B02" w:rsidRPr="003D2312">
        <w:t>7,050,602</w:t>
      </w:r>
      <w:r w:rsidR="0098431F" w:rsidRPr="003D2312">
        <w:t xml:space="preserve"> </w:t>
      </w:r>
      <w:r w:rsidR="00AD44D2" w:rsidRPr="003D2312">
        <w:t>notices</w:t>
      </w:r>
      <w:r w:rsidR="0098431F" w:rsidRPr="003D2312">
        <w:t xml:space="preserve">) </w:t>
      </w:r>
      <w:r w:rsidR="00343C24" w:rsidRPr="003D2312">
        <w:t xml:space="preserve">or </w:t>
      </w:r>
      <w:r w:rsidR="00CF6B02" w:rsidRPr="003D2312">
        <w:t>1,609</w:t>
      </w:r>
      <w:r w:rsidR="00343C24" w:rsidRPr="003D2312">
        <w:t xml:space="preserve"> hours per plan. </w:t>
      </w:r>
      <w:r w:rsidR="00D53F64" w:rsidRPr="003D2312">
        <w:t xml:space="preserve"> </w:t>
      </w:r>
    </w:p>
    <w:p w14:paraId="784B1192" w14:textId="77777777" w:rsidR="00384E78" w:rsidRPr="003D2312" w:rsidRDefault="00384E78" w:rsidP="001076CB">
      <w:pPr>
        <w:pStyle w:val="Body1"/>
      </w:pPr>
    </w:p>
    <w:p w14:paraId="2585F940" w14:textId="183FAFAB" w:rsidR="000B3198" w:rsidRPr="00AF39D5" w:rsidRDefault="00343C24" w:rsidP="001076CB">
      <w:pPr>
        <w:pStyle w:val="Body1"/>
      </w:pPr>
      <w:r w:rsidRPr="003D2312">
        <w:t xml:space="preserve">The total estimated annual cost for </w:t>
      </w:r>
      <w:r w:rsidR="000B3198" w:rsidRPr="003D2312">
        <w:t>this collection is</w:t>
      </w:r>
      <w:r w:rsidRPr="003D2312">
        <w:t xml:space="preserve"> </w:t>
      </w:r>
      <w:r w:rsidR="00DD7FDA" w:rsidRPr="003D2312">
        <w:t>$</w:t>
      </w:r>
      <w:r w:rsidR="00CF6B02" w:rsidRPr="003D2312">
        <w:t>41,699,365</w:t>
      </w:r>
      <w:r w:rsidR="00DD7FDA" w:rsidRPr="003D2312">
        <w:t xml:space="preserve"> (</w:t>
      </w:r>
      <w:r w:rsidR="00CF6B02" w:rsidRPr="003D2312">
        <w:t>1,174,630</w:t>
      </w:r>
      <w:r w:rsidR="00DD7FDA" w:rsidRPr="003D2312">
        <w:t xml:space="preserve"> hours x $35.50/hr)</w:t>
      </w:r>
      <w:r w:rsidRPr="003D2312">
        <w:t xml:space="preserve"> or $</w:t>
      </w:r>
      <w:r w:rsidR="00CF6B02" w:rsidRPr="003D2312">
        <w:t>57,122</w:t>
      </w:r>
      <w:r w:rsidRPr="003D2312">
        <w:t xml:space="preserve"> per plan.</w:t>
      </w:r>
      <w:r>
        <w:t xml:space="preserve">  </w:t>
      </w:r>
    </w:p>
    <w:p w14:paraId="68AD5EE4" w14:textId="77777777" w:rsidR="00DD7FDA" w:rsidRPr="00AF39D5" w:rsidRDefault="00DD7FDA" w:rsidP="001076CB">
      <w:pPr>
        <w:pStyle w:val="Body1"/>
        <w:rPr>
          <w:b/>
        </w:rPr>
      </w:pPr>
    </w:p>
    <w:p w14:paraId="545FD9F2" w14:textId="131913DD" w:rsidR="00937EBD" w:rsidRDefault="008C6A21" w:rsidP="001076CB">
      <w:pPr>
        <w:pStyle w:val="Body1"/>
      </w:pPr>
      <w:r>
        <w:t xml:space="preserve">CMS does not have Medicaid data on the rate at which services are denied in the managed care setting.  However, since the integrated version of this notice will be provided to individuals who are eligible for Medicare and full Medicaid benefits (full duals), we believe these burden estimates adequately account for this population and inclusion of Medicaid appeals information materially does not affect the burden estimate with respect to the total number of denial notices that will be issued by health plans.  </w:t>
      </w:r>
    </w:p>
    <w:p w14:paraId="536CBA1F" w14:textId="77777777" w:rsidR="003F2A4B" w:rsidRDefault="003F2A4B" w:rsidP="001076CB">
      <w:pPr>
        <w:pStyle w:val="Body1"/>
      </w:pPr>
    </w:p>
    <w:p w14:paraId="2F0AD031" w14:textId="77777777" w:rsidR="00A4117F" w:rsidRPr="009377B3" w:rsidRDefault="00064087" w:rsidP="001076CB">
      <w:pPr>
        <w:pStyle w:val="Body1"/>
        <w:rPr>
          <w:b/>
        </w:rPr>
      </w:pPr>
      <w:r w:rsidRPr="009377B3">
        <w:rPr>
          <w:b/>
        </w:rPr>
        <w:t>1</w:t>
      </w:r>
      <w:r w:rsidR="00A4117F" w:rsidRPr="009377B3">
        <w:rPr>
          <w:b/>
        </w:rPr>
        <w:t>3.</w:t>
      </w:r>
      <w:r w:rsidR="00B9133D" w:rsidRPr="009377B3">
        <w:rPr>
          <w:b/>
        </w:rPr>
        <w:t xml:space="preserve">  </w:t>
      </w:r>
      <w:r w:rsidR="00D270DD" w:rsidRPr="009377B3">
        <w:rPr>
          <w:b/>
        </w:rPr>
        <w:t xml:space="preserve"> </w:t>
      </w:r>
      <w:r w:rsidR="00A4117F" w:rsidRPr="009377B3">
        <w:rPr>
          <w:b/>
        </w:rPr>
        <w:t>Capital Costs</w:t>
      </w:r>
      <w:r w:rsidR="00A4117F" w:rsidRPr="009377B3">
        <w:rPr>
          <w:b/>
        </w:rPr>
        <w:tab/>
      </w:r>
    </w:p>
    <w:p w14:paraId="4CE1C097" w14:textId="620DB57A" w:rsidR="0064737B" w:rsidRPr="00AF39D5" w:rsidRDefault="0064737B" w:rsidP="001076CB">
      <w:pPr>
        <w:pStyle w:val="Body1"/>
      </w:pPr>
    </w:p>
    <w:p w14:paraId="0BA64410" w14:textId="728ECD0C" w:rsidR="0064737B" w:rsidRPr="00AF39D5" w:rsidRDefault="0064737B" w:rsidP="001076CB">
      <w:pPr>
        <w:pStyle w:val="Body1"/>
      </w:pPr>
      <w:r w:rsidRPr="00AF39D5">
        <w:t>There are no capital costs</w:t>
      </w:r>
      <w:r w:rsidR="000331D1">
        <w:t>.</w:t>
      </w:r>
    </w:p>
    <w:p w14:paraId="048DE02D" w14:textId="77777777" w:rsidR="0064737B" w:rsidRPr="00AF39D5" w:rsidRDefault="0064737B" w:rsidP="001076CB">
      <w:pPr>
        <w:pStyle w:val="Body1"/>
      </w:pPr>
    </w:p>
    <w:p w14:paraId="51DDC0F7" w14:textId="77777777" w:rsidR="0064737B" w:rsidRPr="00B9133D" w:rsidRDefault="0064737B" w:rsidP="001076CB">
      <w:pPr>
        <w:pStyle w:val="Body1"/>
        <w:rPr>
          <w:b/>
        </w:rPr>
      </w:pPr>
      <w:r w:rsidRPr="009377B3">
        <w:rPr>
          <w:b/>
        </w:rPr>
        <w:t>14.</w:t>
      </w:r>
      <w:r w:rsidR="00B9133D">
        <w:t xml:space="preserve">  </w:t>
      </w:r>
      <w:r w:rsidR="00D270DD">
        <w:t xml:space="preserve"> </w:t>
      </w:r>
      <w:r w:rsidRPr="00B9133D">
        <w:rPr>
          <w:b/>
        </w:rPr>
        <w:t>Cost to the Federal Government</w:t>
      </w:r>
    </w:p>
    <w:p w14:paraId="43409A6C" w14:textId="77777777" w:rsidR="0064737B" w:rsidRPr="00AF39D5" w:rsidRDefault="0064737B" w:rsidP="001076CB">
      <w:pPr>
        <w:pStyle w:val="Body1"/>
      </w:pPr>
    </w:p>
    <w:p w14:paraId="20710125" w14:textId="77777777" w:rsidR="0064737B" w:rsidRPr="00AF39D5" w:rsidRDefault="0064737B" w:rsidP="001076CB">
      <w:pPr>
        <w:pStyle w:val="Body1"/>
      </w:pPr>
      <w:r w:rsidRPr="00AF39D5">
        <w:t xml:space="preserve">No costs to the Federal government are anticipated.  The notices will be printed and distributed by </w:t>
      </w:r>
      <w:r w:rsidR="00284011" w:rsidRPr="00AF39D5">
        <w:t xml:space="preserve">individual </w:t>
      </w:r>
      <w:r w:rsidR="00B752C7" w:rsidRPr="00AF39D5">
        <w:t>Medicare health plans</w:t>
      </w:r>
      <w:r w:rsidRPr="00AF39D5">
        <w:t>.</w:t>
      </w:r>
    </w:p>
    <w:p w14:paraId="5E5A1319" w14:textId="77777777" w:rsidR="00DD0988" w:rsidRPr="00AF39D5" w:rsidRDefault="00DD0988" w:rsidP="001076CB">
      <w:pPr>
        <w:pStyle w:val="Body1"/>
      </w:pPr>
    </w:p>
    <w:p w14:paraId="409B8504" w14:textId="77777777" w:rsidR="0064737B" w:rsidRPr="00EA61CB" w:rsidRDefault="0064737B" w:rsidP="001076CB">
      <w:pPr>
        <w:pStyle w:val="Body1"/>
      </w:pPr>
      <w:r w:rsidRPr="00EA61CB">
        <w:rPr>
          <w:b/>
        </w:rPr>
        <w:t>15.</w:t>
      </w:r>
      <w:r w:rsidRPr="00EA61CB">
        <w:t xml:space="preserve"> </w:t>
      </w:r>
      <w:r w:rsidR="00B9133D" w:rsidRPr="00EA61CB">
        <w:t xml:space="preserve"> </w:t>
      </w:r>
      <w:r w:rsidR="00D270DD" w:rsidRPr="00EA61CB">
        <w:t xml:space="preserve"> </w:t>
      </w:r>
      <w:r w:rsidRPr="00EA61CB">
        <w:rPr>
          <w:b/>
        </w:rPr>
        <w:t>Changes</w:t>
      </w:r>
      <w:r w:rsidR="00CB0589" w:rsidRPr="00EA61CB">
        <w:rPr>
          <w:b/>
        </w:rPr>
        <w:t xml:space="preserve"> to Burden</w:t>
      </w:r>
    </w:p>
    <w:p w14:paraId="294AC99D" w14:textId="77777777" w:rsidR="0043460A" w:rsidRPr="00EA61CB" w:rsidRDefault="0043460A" w:rsidP="001076CB">
      <w:pPr>
        <w:pStyle w:val="Body1"/>
      </w:pPr>
    </w:p>
    <w:p w14:paraId="191898CE" w14:textId="767764E1" w:rsidR="00542B61" w:rsidRPr="00EA61CB" w:rsidRDefault="00542B61" w:rsidP="001076CB">
      <w:pPr>
        <w:pStyle w:val="Body1"/>
      </w:pPr>
      <w:r w:rsidRPr="00EA61CB">
        <w:t xml:space="preserve">The hourly rate used in the </w:t>
      </w:r>
      <w:r w:rsidR="00402160" w:rsidRPr="00EA61CB">
        <w:t xml:space="preserve">previous </w:t>
      </w:r>
      <w:r w:rsidRPr="00EA61CB">
        <w:t xml:space="preserve">60-day package </w:t>
      </w:r>
      <w:r w:rsidR="00402160" w:rsidRPr="00EA61CB">
        <w:t>has changed.  As indicated, we are changing our employee hourly wage estimates to reflect data from the U.S. Bureau of Labor Statistics’ May 201</w:t>
      </w:r>
      <w:r w:rsidR="00EA61CB" w:rsidRPr="00EA61CB">
        <w:t>5</w:t>
      </w:r>
      <w:r w:rsidR="00402160" w:rsidRPr="00EA61CB">
        <w:t xml:space="preserve"> National Occupational Employment and Wage Estimates  and adjusting the hourly wage estimates by a factor of 100 percent. </w:t>
      </w:r>
    </w:p>
    <w:p w14:paraId="0EF4D748" w14:textId="77777777" w:rsidR="00813C65" w:rsidRDefault="00813C65" w:rsidP="00EA61CB">
      <w:pPr>
        <w:pStyle w:val="Body1"/>
      </w:pPr>
    </w:p>
    <w:p w14:paraId="1D44C1F1" w14:textId="29AE7267" w:rsidR="008C27E7" w:rsidRDefault="00EA61CB" w:rsidP="00EA61CB">
      <w:pPr>
        <w:pStyle w:val="Body1"/>
      </w:pPr>
      <w:r w:rsidRPr="00EA61CB">
        <w:t>Based on data reported to CMS by Medicare health plans, there were 33,574,293 adverse and partially favorable decisions issued in 2014.</w:t>
      </w:r>
      <w:r w:rsidR="00A83AFD">
        <w:t xml:space="preserve">  As explained more fully below, due to changes in CMS’s Part C plan reporting requirements, th</w:t>
      </w:r>
      <w:r w:rsidR="00ED687B">
        <w:t xml:space="preserve">ese plan reported data are </w:t>
      </w:r>
      <w:r w:rsidR="00A83AFD">
        <w:t xml:space="preserve">over-inclusive for purposes of estimating the number of IDNs that will be issued.  The IDN is only issued when there is enrollee liability.  Because the total universe of adverse decisions (33,574,293) includes contract provider claims where there is no enrollee liability (and the IDN </w:t>
      </w:r>
      <w:r w:rsidR="004B279E">
        <w:t xml:space="preserve">is </w:t>
      </w:r>
      <w:r w:rsidR="00A83AFD">
        <w:t>not issued), the burden estimate for this PRA package only accounts for instances where an adverse decision is made on an enrollee or non-contract provider request</w:t>
      </w:r>
      <w:r w:rsidR="006B736C">
        <w:t xml:space="preserve"> (instances when the IDN is issued)</w:t>
      </w:r>
      <w:r w:rsidR="00A83AFD">
        <w:t>.</w:t>
      </w:r>
      <w:r w:rsidRPr="00EA61CB">
        <w:t xml:space="preserve"> </w:t>
      </w:r>
      <w:r w:rsidR="00FF5F4B">
        <w:t xml:space="preserve">We estimate </w:t>
      </w:r>
      <w:r w:rsidR="002F06AA">
        <w:t xml:space="preserve">that </w:t>
      </w:r>
      <w:r w:rsidR="006E0732">
        <w:t>the</w:t>
      </w:r>
      <w:r w:rsidR="005518C0">
        <w:t xml:space="preserve"> IDN will be issued in </w:t>
      </w:r>
      <w:r w:rsidR="00FF5F4B">
        <w:t>21% of the total volume of adverse decisions.</w:t>
      </w:r>
      <w:r w:rsidRPr="00EA61CB">
        <w:t xml:space="preserve"> </w:t>
      </w:r>
    </w:p>
    <w:p w14:paraId="61F3A824" w14:textId="77777777" w:rsidR="00813C65" w:rsidRDefault="00813C65" w:rsidP="008C27E7">
      <w:pPr>
        <w:pStyle w:val="Body1"/>
      </w:pPr>
    </w:p>
    <w:p w14:paraId="42FF32BE" w14:textId="4B949D70" w:rsidR="008C27E7" w:rsidRDefault="008C27E7" w:rsidP="008C27E7">
      <w:pPr>
        <w:pStyle w:val="Body1"/>
      </w:pPr>
      <w:r>
        <w:t>The Centers for Medicare and Medicaid Services (CMS) established reporting requirements for Medicare Advantage Organizations (MAOs) under the authority described in 42 CFR §422.516(a) and each MAO must have an effective procedure to develop, compile, evaluate, and report to CMS.  One of the data elements each MAO must report on under these reporting requirements relates to adverse organization determinations.  As noted above, when an MAO issues an adverse organization determination</w:t>
      </w:r>
      <w:r w:rsidR="00FE47C8">
        <w:t xml:space="preserve"> and there is enrollee liability</w:t>
      </w:r>
      <w:r>
        <w:t xml:space="preserve">, it must issue the IDN which is the subject of this PRA package.  The regulatory authority for this notice is set forth in Subpart M of </w:t>
      </w:r>
      <w:r>
        <w:lastRenderedPageBreak/>
        <w:t>Part 422 at 42 CFR 422.568, 422.572, 417.600(b), and 417.840.</w:t>
      </w:r>
    </w:p>
    <w:p w14:paraId="1F68A0BD" w14:textId="77777777" w:rsidR="00813C65" w:rsidRDefault="00813C65" w:rsidP="00EA61CB">
      <w:pPr>
        <w:pStyle w:val="Body1"/>
      </w:pPr>
    </w:p>
    <w:p w14:paraId="0D9DCE0F" w14:textId="2302EF8B" w:rsidR="00EA61CB" w:rsidRPr="001141AD" w:rsidRDefault="00EA61CB" w:rsidP="00EA61CB">
      <w:pPr>
        <w:pStyle w:val="Body1"/>
      </w:pPr>
      <w:r w:rsidRPr="00EA61CB">
        <w:t xml:space="preserve">In 2011, plans were instructed to report adverse determinations issued to non-contract providers only, as well as adverse decisions issued directly to enrollees.  Beginning in 2012, plans were instructed to report all determinations for both contract and non-contract providers (in addition to decisions issued directly to enrollees); this change to the reporting requirements resulted in a substantial increase in the total number of adverse and partially favorable organization determinations.  </w:t>
      </w:r>
      <w:r w:rsidR="001141AD">
        <w:t xml:space="preserve">However, </w:t>
      </w:r>
      <w:r w:rsidR="008C27E7">
        <w:t xml:space="preserve">for the purposes of this PRA package, we acknowledge </w:t>
      </w:r>
      <w:r w:rsidR="001141AD">
        <w:t xml:space="preserve">an IDN is not required to be issued for </w:t>
      </w:r>
      <w:r w:rsidR="001141AD" w:rsidRPr="001141AD">
        <w:t>contract provider claims where there</w:t>
      </w:r>
      <w:r w:rsidR="00FE47C8">
        <w:t xml:space="preserve"> is </w:t>
      </w:r>
      <w:r w:rsidR="001141AD" w:rsidRPr="001141AD">
        <w:t>no enrollee liability</w:t>
      </w:r>
      <w:r w:rsidR="001141AD">
        <w:t xml:space="preserve">.  Given this change in </w:t>
      </w:r>
      <w:r w:rsidR="00FE47C8">
        <w:t>how plans report organization determination decisions</w:t>
      </w:r>
      <w:r w:rsidR="002F7D52">
        <w:t xml:space="preserve"> </w:t>
      </w:r>
      <w:r w:rsidR="001141AD">
        <w:t>and b</w:t>
      </w:r>
      <w:r w:rsidR="00CF6B02">
        <w:t xml:space="preserve">ased on our </w:t>
      </w:r>
      <w:r w:rsidR="00CF6B02" w:rsidRPr="001141AD">
        <w:t xml:space="preserve">previous burden estimate where the data set only included non-contract provider and enrollee requests (6,960,410), we believe it is reasonable to estimate that about 79% of all adverse decisions under the new reporting requirements are attributed to </w:t>
      </w:r>
      <w:r w:rsidR="001141AD">
        <w:t>contract provider claims</w:t>
      </w:r>
      <w:r w:rsidR="00FE47C8">
        <w:t xml:space="preserve"> where an IDN would not be issued.</w:t>
      </w:r>
      <w:r w:rsidR="001141AD">
        <w:t xml:space="preserve"> </w:t>
      </w:r>
      <w:r w:rsidR="008C27E7">
        <w:t xml:space="preserve"> Therefore,</w:t>
      </w:r>
      <w:r w:rsidR="00FE47C8">
        <w:t xml:space="preserve"> we estimate that</w:t>
      </w:r>
      <w:r w:rsidR="002F7D52">
        <w:t xml:space="preserve"> </w:t>
      </w:r>
      <w:r w:rsidR="00CF6B02" w:rsidRPr="001141AD">
        <w:t xml:space="preserve">21% of the 2014 universe for </w:t>
      </w:r>
      <w:r w:rsidR="00DA072F" w:rsidRPr="001141AD">
        <w:t xml:space="preserve">adverse or partially favorable decisions </w:t>
      </w:r>
      <w:r w:rsidR="00DA072F">
        <w:t xml:space="preserve">are </w:t>
      </w:r>
      <w:r w:rsidR="00CF6B02" w:rsidRPr="001141AD">
        <w:t xml:space="preserve">non-contract provider </w:t>
      </w:r>
      <w:r w:rsidR="008C27E7">
        <w:t xml:space="preserve">and enrollee </w:t>
      </w:r>
      <w:r w:rsidR="00DA072F">
        <w:t>requests,</w:t>
      </w:r>
      <w:r w:rsidR="008C27E7">
        <w:t xml:space="preserve"> </w:t>
      </w:r>
      <w:r w:rsidR="00DA072F">
        <w:t>yielding</w:t>
      </w:r>
      <w:r w:rsidR="008C27E7">
        <w:t xml:space="preserve"> an estimate of </w:t>
      </w:r>
      <w:r w:rsidR="00CF6B02" w:rsidRPr="001141AD">
        <w:t>7,050,602</w:t>
      </w:r>
      <w:r w:rsidR="00DA072F" w:rsidRPr="00DA072F">
        <w:t xml:space="preserve"> </w:t>
      </w:r>
      <w:r w:rsidR="00DA072F">
        <w:t>(33,574,293 determinations x 0.21)</w:t>
      </w:r>
      <w:r w:rsidR="00FE47C8">
        <w:t xml:space="preserve"> IDNs that will be</w:t>
      </w:r>
      <w:r w:rsidR="00DA072F">
        <w:t xml:space="preserve"> issued</w:t>
      </w:r>
      <w:r w:rsidR="00CF6B02" w:rsidRPr="001141AD">
        <w:t>.</w:t>
      </w:r>
      <w:r w:rsidR="00DA072F">
        <w:t xml:space="preserve">  </w:t>
      </w:r>
      <w:r w:rsidR="00FB506E">
        <w:t>This estimate is a slight increase</w:t>
      </w:r>
      <w:r w:rsidR="00DA072F">
        <w:t xml:space="preserve"> from the 2013 data</w:t>
      </w:r>
      <w:r w:rsidR="00FB506E">
        <w:t xml:space="preserve"> (6,960,410).  </w:t>
      </w:r>
      <w:r w:rsidR="00DA072F">
        <w:t xml:space="preserve"> </w:t>
      </w:r>
    </w:p>
    <w:p w14:paraId="3991134A" w14:textId="77777777" w:rsidR="00EA61CB" w:rsidRPr="001141AD" w:rsidRDefault="00EA61CB" w:rsidP="001076CB">
      <w:pPr>
        <w:pStyle w:val="Body1"/>
      </w:pPr>
    </w:p>
    <w:p w14:paraId="352559BD" w14:textId="2295087E" w:rsidR="00DD2885" w:rsidRPr="00EA61CB" w:rsidRDefault="0043460A" w:rsidP="001076CB">
      <w:pPr>
        <w:pStyle w:val="Body1"/>
      </w:pPr>
      <w:r w:rsidRPr="00EA61CB">
        <w:t>The annual hour</w:t>
      </w:r>
      <w:r w:rsidR="00B02BDE" w:rsidRPr="00EA61CB">
        <w:t>ly</w:t>
      </w:r>
      <w:r w:rsidRPr="00EA61CB">
        <w:t xml:space="preserve"> burden associated with this collection is estimated to be </w:t>
      </w:r>
      <w:r w:rsidR="00CF6B02">
        <w:t>1,174,630</w:t>
      </w:r>
      <w:r w:rsidRPr="00EA61CB">
        <w:t xml:space="preserve"> hours.  The annual hour</w:t>
      </w:r>
      <w:r w:rsidR="00410796" w:rsidRPr="00EA61CB">
        <w:t>ly</w:t>
      </w:r>
      <w:r w:rsidRPr="00EA61CB">
        <w:t xml:space="preserve"> burden in the 201</w:t>
      </w:r>
      <w:r w:rsidR="00410796" w:rsidRPr="00EA61CB">
        <w:t>3</w:t>
      </w:r>
      <w:r w:rsidRPr="00EA61CB">
        <w:t xml:space="preserve"> submission for this collection was </w:t>
      </w:r>
      <w:r w:rsidR="00410796" w:rsidRPr="00EA61CB">
        <w:t>1,159,604</w:t>
      </w:r>
      <w:r w:rsidRPr="00EA61CB">
        <w:t xml:space="preserve"> hours</w:t>
      </w:r>
      <w:r w:rsidR="00FB506E">
        <w:t>, resulting in a slight increase</w:t>
      </w:r>
      <w:r w:rsidR="00FE47C8">
        <w:t xml:space="preserve"> in the burden</w:t>
      </w:r>
      <w:r w:rsidRPr="00EA61CB">
        <w:t xml:space="preserve">.  </w:t>
      </w:r>
      <w:r w:rsidR="00410796" w:rsidRPr="00EA61CB">
        <w:t>CMS believes</w:t>
      </w:r>
      <w:r w:rsidR="00410796" w:rsidRPr="00EA61CB">
        <w:rPr>
          <w:color w:val="1F497D"/>
        </w:rPr>
        <w:t xml:space="preserve"> </w:t>
      </w:r>
      <w:r w:rsidR="00410796" w:rsidRPr="00EA61CB">
        <w:t xml:space="preserve">these </w:t>
      </w:r>
      <w:r w:rsidR="00FB506E">
        <w:t xml:space="preserve">adjusted </w:t>
      </w:r>
      <w:r w:rsidR="00410796" w:rsidRPr="00EA61CB">
        <w:t xml:space="preserve">burden estimates, </w:t>
      </w:r>
      <w:r w:rsidR="00FB506E">
        <w:t>drawn from</w:t>
      </w:r>
      <w:r w:rsidR="00CA3814" w:rsidRPr="00EA61CB">
        <w:rPr>
          <w:color w:val="1F497D"/>
        </w:rPr>
        <w:t xml:space="preserve"> </w:t>
      </w:r>
      <w:r w:rsidR="00CA3814" w:rsidRPr="00EA61CB">
        <w:t xml:space="preserve">the </w:t>
      </w:r>
      <w:r w:rsidR="00FB506E" w:rsidRPr="00EA61CB">
        <w:t xml:space="preserve">most current and reliable data available </w:t>
      </w:r>
      <w:r w:rsidR="00FB506E">
        <w:t>(</w:t>
      </w:r>
      <w:r w:rsidR="00CA3814" w:rsidRPr="00EA61CB">
        <w:t>201</w:t>
      </w:r>
      <w:r w:rsidR="00410796" w:rsidRPr="00EA61CB">
        <w:t>4</w:t>
      </w:r>
      <w:r w:rsidR="00CA3814" w:rsidRPr="00EA61CB">
        <w:t xml:space="preserve"> plan reported data</w:t>
      </w:r>
      <w:r w:rsidR="00FB506E">
        <w:t>)</w:t>
      </w:r>
      <w:r w:rsidR="00CA3814" w:rsidRPr="00EA61CB">
        <w:t xml:space="preserve"> are </w:t>
      </w:r>
      <w:r w:rsidR="00FB506E">
        <w:t>appropriate</w:t>
      </w:r>
      <w:r w:rsidR="00CA3814" w:rsidRPr="00EA61CB">
        <w:t xml:space="preserve"> for the purpose of developing the burden estimates for</w:t>
      </w:r>
      <w:r w:rsidR="00FE47C8">
        <w:t xml:space="preserve"> the IDN</w:t>
      </w:r>
      <w:r w:rsidRPr="00EA61CB">
        <w:t xml:space="preserve"> </w:t>
      </w:r>
      <w:r w:rsidR="00FE47C8">
        <w:t>(</w:t>
      </w:r>
      <w:r w:rsidRPr="00EA61CB">
        <w:t>CMS-10003</w:t>
      </w:r>
      <w:r w:rsidR="00FE47C8">
        <w:t>)</w:t>
      </w:r>
      <w:r w:rsidRPr="00EA61CB">
        <w:t xml:space="preserve">.  </w:t>
      </w:r>
    </w:p>
    <w:p w14:paraId="74F068FF" w14:textId="77777777" w:rsidR="00706A1A" w:rsidRDefault="00706A1A" w:rsidP="001076CB">
      <w:pPr>
        <w:pStyle w:val="Body1"/>
      </w:pPr>
    </w:p>
    <w:p w14:paraId="5FAE650E" w14:textId="0BEB3E57" w:rsidR="003F2A4B" w:rsidRDefault="003F2A4B" w:rsidP="003F2A4B">
      <w:pPr>
        <w:pStyle w:val="Body1"/>
      </w:pPr>
      <w:r w:rsidRPr="003F2A4B">
        <w:t xml:space="preserve">We </w:t>
      </w:r>
      <w:r>
        <w:t xml:space="preserve">are </w:t>
      </w:r>
      <w:r w:rsidRPr="003F2A4B">
        <w:t>exclud</w:t>
      </w:r>
      <w:r>
        <w:t xml:space="preserve">ing </w:t>
      </w:r>
      <w:r w:rsidRPr="003F2A4B">
        <w:t xml:space="preserve">the </w:t>
      </w:r>
      <w:r w:rsidR="00813C65">
        <w:t xml:space="preserve">revised </w:t>
      </w:r>
      <w:r w:rsidRPr="003F2A4B">
        <w:t xml:space="preserve">Spanish version from </w:t>
      </w:r>
      <w:r>
        <w:t xml:space="preserve">this iteration since we believe that </w:t>
      </w:r>
      <w:r w:rsidRPr="003F2A4B">
        <w:t xml:space="preserve">the best use of </w:t>
      </w:r>
      <w:r>
        <w:t xml:space="preserve">our </w:t>
      </w:r>
      <w:r w:rsidRPr="003F2A4B">
        <w:t xml:space="preserve">limited translation resources is to wait until after OMB approves </w:t>
      </w:r>
      <w:r>
        <w:t>the revised n</w:t>
      </w:r>
      <w:r w:rsidRPr="003F2A4B">
        <w:t>otice (in English) before translating that notice into another language.</w:t>
      </w:r>
    </w:p>
    <w:p w14:paraId="3BB66786" w14:textId="77777777" w:rsidR="003F2A4B" w:rsidRPr="00EA61CB" w:rsidRDefault="003F2A4B" w:rsidP="001076CB">
      <w:pPr>
        <w:pStyle w:val="Body1"/>
      </w:pPr>
    </w:p>
    <w:p w14:paraId="45F8E776" w14:textId="77777777" w:rsidR="0064737B" w:rsidRPr="00AA12FC" w:rsidRDefault="0064737B" w:rsidP="001076CB">
      <w:pPr>
        <w:pStyle w:val="Body1"/>
      </w:pPr>
      <w:r w:rsidRPr="00EA61CB">
        <w:rPr>
          <w:b/>
        </w:rPr>
        <w:t>16.</w:t>
      </w:r>
      <w:r w:rsidR="00B9133D" w:rsidRPr="00EA61CB">
        <w:t xml:space="preserve">  </w:t>
      </w:r>
      <w:r w:rsidR="00D270DD" w:rsidRPr="00EA61CB">
        <w:t xml:space="preserve"> </w:t>
      </w:r>
      <w:r w:rsidRPr="00EA61CB">
        <w:rPr>
          <w:b/>
        </w:rPr>
        <w:t xml:space="preserve">Publication </w:t>
      </w:r>
      <w:r w:rsidR="00CB0589" w:rsidRPr="00EA61CB">
        <w:rPr>
          <w:b/>
        </w:rPr>
        <w:t xml:space="preserve">/ </w:t>
      </w:r>
      <w:r w:rsidRPr="00EA61CB">
        <w:rPr>
          <w:b/>
        </w:rPr>
        <w:t>Tabulation Dates</w:t>
      </w:r>
    </w:p>
    <w:p w14:paraId="78D47833" w14:textId="77777777" w:rsidR="0064737B" w:rsidRPr="00AA12FC" w:rsidRDefault="0064737B" w:rsidP="001076CB">
      <w:pPr>
        <w:pStyle w:val="Body1"/>
      </w:pPr>
    </w:p>
    <w:p w14:paraId="0A1430AB" w14:textId="77777777" w:rsidR="0064737B" w:rsidRPr="00AF39D5" w:rsidRDefault="0064737B" w:rsidP="001076CB">
      <w:pPr>
        <w:pStyle w:val="Body1"/>
      </w:pPr>
      <w:r w:rsidRPr="00AF39D5">
        <w:t>CMS does not intend to publish data related to the notices.</w:t>
      </w:r>
    </w:p>
    <w:p w14:paraId="439BD894" w14:textId="77777777" w:rsidR="0064737B" w:rsidRPr="00AA12FC" w:rsidRDefault="0064737B" w:rsidP="001076CB">
      <w:pPr>
        <w:pStyle w:val="Body1"/>
      </w:pPr>
    </w:p>
    <w:p w14:paraId="4CD0720B" w14:textId="77777777" w:rsidR="0064737B" w:rsidRPr="00B9133D" w:rsidRDefault="0064737B" w:rsidP="001076CB">
      <w:pPr>
        <w:pStyle w:val="Body1"/>
        <w:rPr>
          <w:b/>
        </w:rPr>
      </w:pPr>
      <w:r w:rsidRPr="009377B3">
        <w:rPr>
          <w:b/>
        </w:rPr>
        <w:t>17.</w:t>
      </w:r>
      <w:r w:rsidR="00B9133D">
        <w:t xml:space="preserve">  </w:t>
      </w:r>
      <w:r w:rsidR="00D270DD">
        <w:t xml:space="preserve"> </w:t>
      </w:r>
      <w:r w:rsidRPr="00B9133D">
        <w:rPr>
          <w:b/>
        </w:rPr>
        <w:t>Expiration Date</w:t>
      </w:r>
    </w:p>
    <w:p w14:paraId="73B3E663" w14:textId="77777777" w:rsidR="0064737B" w:rsidRPr="00AF39D5" w:rsidRDefault="0064737B" w:rsidP="001076CB">
      <w:pPr>
        <w:pStyle w:val="Body1"/>
        <w:rPr>
          <w:u w:val="single"/>
        </w:rPr>
      </w:pPr>
    </w:p>
    <w:p w14:paraId="579A4E5D" w14:textId="77777777" w:rsidR="0064737B" w:rsidRPr="00AF39D5" w:rsidRDefault="00593C8A" w:rsidP="001076CB">
      <w:pPr>
        <w:pStyle w:val="Body1"/>
      </w:pPr>
      <w:r w:rsidRPr="00AF39D5">
        <w:t>CMS would like to display the expiration date.</w:t>
      </w:r>
    </w:p>
    <w:p w14:paraId="55BD1CED" w14:textId="77777777" w:rsidR="00593C8A" w:rsidRPr="00AA12FC" w:rsidRDefault="00593C8A" w:rsidP="001076CB">
      <w:pPr>
        <w:pStyle w:val="Body1"/>
      </w:pPr>
    </w:p>
    <w:p w14:paraId="530B9374" w14:textId="77777777" w:rsidR="0064737B" w:rsidRPr="00AA12FC" w:rsidRDefault="0064737B" w:rsidP="001076CB">
      <w:pPr>
        <w:pStyle w:val="Body1"/>
      </w:pPr>
      <w:r w:rsidRPr="009377B3">
        <w:rPr>
          <w:b/>
        </w:rPr>
        <w:t>18.</w:t>
      </w:r>
      <w:r w:rsidR="00B9133D">
        <w:t xml:space="preserve">  </w:t>
      </w:r>
      <w:r w:rsidR="00D270DD">
        <w:t xml:space="preserve"> </w:t>
      </w:r>
      <w:r w:rsidRPr="00B9133D">
        <w:rPr>
          <w:b/>
        </w:rPr>
        <w:t>Certification Statement</w:t>
      </w:r>
      <w:r w:rsidRPr="00AA12FC">
        <w:t xml:space="preserve"> </w:t>
      </w:r>
    </w:p>
    <w:p w14:paraId="7E249D6E" w14:textId="77777777" w:rsidR="0064737B" w:rsidRPr="00AF39D5" w:rsidRDefault="0064737B" w:rsidP="001076CB">
      <w:pPr>
        <w:pStyle w:val="Body1"/>
      </w:pPr>
    </w:p>
    <w:p w14:paraId="5DB8926D" w14:textId="77777777" w:rsidR="0064737B" w:rsidRPr="0056364A" w:rsidRDefault="0064737B" w:rsidP="001076CB">
      <w:pPr>
        <w:pStyle w:val="Body1"/>
      </w:pPr>
      <w:r w:rsidRPr="00AF39D5">
        <w:t>No exception to any section of the 83</w:t>
      </w:r>
      <w:r w:rsidR="00D52970">
        <w:t>i</w:t>
      </w:r>
      <w:r w:rsidRPr="00AF39D5">
        <w:t xml:space="preserve"> is requested.</w:t>
      </w:r>
    </w:p>
    <w:p w14:paraId="0CD6370B" w14:textId="77777777" w:rsidR="0064737B" w:rsidRPr="0056364A" w:rsidRDefault="0064737B" w:rsidP="001076CB">
      <w:pPr>
        <w:pStyle w:val="Body1"/>
      </w:pPr>
    </w:p>
    <w:p w14:paraId="699A541C" w14:textId="27245F66" w:rsidR="00410796" w:rsidRPr="00AC292B" w:rsidRDefault="002B68A6" w:rsidP="00410796">
      <w:pPr>
        <w:pStyle w:val="Body1"/>
        <w:rPr>
          <w:b/>
          <w:u w:val="single"/>
        </w:rPr>
      </w:pPr>
      <w:r>
        <w:rPr>
          <w:b/>
          <w:u w:val="single"/>
        </w:rPr>
        <w:t>B</w:t>
      </w:r>
      <w:r w:rsidR="00410796" w:rsidRPr="00AC292B">
        <w:rPr>
          <w:b/>
          <w:u w:val="single"/>
        </w:rPr>
        <w:t>.</w:t>
      </w:r>
      <w:r w:rsidR="00410796" w:rsidRPr="00AC292B">
        <w:rPr>
          <w:b/>
          <w:u w:val="single"/>
        </w:rPr>
        <w:tab/>
        <w:t>Collection of Information Employing Statistical Methods</w:t>
      </w:r>
    </w:p>
    <w:p w14:paraId="6099B147" w14:textId="77777777" w:rsidR="00410796" w:rsidRDefault="00410796" w:rsidP="00410796">
      <w:pPr>
        <w:pStyle w:val="Body1"/>
      </w:pPr>
    </w:p>
    <w:p w14:paraId="0332DB58" w14:textId="77777777" w:rsidR="00410796" w:rsidRDefault="00410796" w:rsidP="00410796">
      <w:pPr>
        <w:pStyle w:val="Body1"/>
      </w:pPr>
      <w:r>
        <w:t>N/A</w:t>
      </w:r>
    </w:p>
    <w:p w14:paraId="110A5380" w14:textId="77777777" w:rsidR="0064737B" w:rsidRPr="0056364A" w:rsidRDefault="0064737B" w:rsidP="001076CB">
      <w:pPr>
        <w:pStyle w:val="Body1"/>
      </w:pPr>
    </w:p>
    <w:sectPr w:rsidR="0064737B" w:rsidRPr="0056364A" w:rsidSect="0056364A">
      <w:footerReference w:type="default" r:id="rId8"/>
      <w:endnotePr>
        <w:numFmt w:val="decimal"/>
      </w:endnotePr>
      <w:type w:val="continuous"/>
      <w:pgSz w:w="12240" w:h="15840"/>
      <w:pgMar w:top="1440" w:right="1440" w:bottom="1440" w:left="1440" w:header="1440" w:footer="93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32F0F" w14:textId="77777777" w:rsidR="00C1684B" w:rsidRDefault="00C1684B">
      <w:r>
        <w:separator/>
      </w:r>
    </w:p>
  </w:endnote>
  <w:endnote w:type="continuationSeparator" w:id="0">
    <w:p w14:paraId="13FC42D2" w14:textId="77777777" w:rsidR="00C1684B" w:rsidRDefault="00C1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D8F1B" w14:textId="77777777" w:rsidR="00A603E2" w:rsidRDefault="00A603E2" w:rsidP="00064087">
    <w:pPr>
      <w:ind w:right="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0BAAE" w14:textId="77777777" w:rsidR="00C1684B" w:rsidRDefault="00C1684B">
      <w:r>
        <w:separator/>
      </w:r>
    </w:p>
  </w:footnote>
  <w:footnote w:type="continuationSeparator" w:id="0">
    <w:p w14:paraId="3257C744" w14:textId="77777777" w:rsidR="00C1684B" w:rsidRDefault="00C16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0AE"/>
    <w:multiLevelType w:val="hybridMultilevel"/>
    <w:tmpl w:val="D87242C6"/>
    <w:lvl w:ilvl="0" w:tplc="98E05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9B51EA6"/>
    <w:multiLevelType w:val="hybridMultilevel"/>
    <w:tmpl w:val="84A2D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E1878"/>
    <w:multiLevelType w:val="hybridMultilevel"/>
    <w:tmpl w:val="4A3EC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32158"/>
    <w:multiLevelType w:val="hybridMultilevel"/>
    <w:tmpl w:val="1D5C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12182"/>
    <w:multiLevelType w:val="hybridMultilevel"/>
    <w:tmpl w:val="84E8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C3601"/>
    <w:multiLevelType w:val="hybridMultilevel"/>
    <w:tmpl w:val="A47E0096"/>
    <w:lvl w:ilvl="0" w:tplc="D81C2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F7F6C"/>
    <w:multiLevelType w:val="hybridMultilevel"/>
    <w:tmpl w:val="DB201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77BF6"/>
    <w:multiLevelType w:val="hybridMultilevel"/>
    <w:tmpl w:val="CECA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448C6"/>
    <w:multiLevelType w:val="hybridMultilevel"/>
    <w:tmpl w:val="3FFAD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F533B"/>
    <w:multiLevelType w:val="hybridMultilevel"/>
    <w:tmpl w:val="7944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720D0"/>
    <w:multiLevelType w:val="hybridMultilevel"/>
    <w:tmpl w:val="E73CAC1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67688"/>
    <w:multiLevelType w:val="hybridMultilevel"/>
    <w:tmpl w:val="3B84B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B1846"/>
    <w:multiLevelType w:val="hybridMultilevel"/>
    <w:tmpl w:val="A1085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665EC3"/>
    <w:multiLevelType w:val="hybridMultilevel"/>
    <w:tmpl w:val="962469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566CEB"/>
    <w:multiLevelType w:val="hybridMultilevel"/>
    <w:tmpl w:val="10D8A3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3"/>
  </w:num>
  <w:num w:numId="3">
    <w:abstractNumId w:val="1"/>
  </w:num>
  <w:num w:numId="4">
    <w:abstractNumId w:val="10"/>
  </w:num>
  <w:num w:numId="5">
    <w:abstractNumId w:val="0"/>
  </w:num>
  <w:num w:numId="6">
    <w:abstractNumId w:val="3"/>
  </w:num>
  <w:num w:numId="7">
    <w:abstractNumId w:val="5"/>
  </w:num>
  <w:num w:numId="8">
    <w:abstractNumId w:val="14"/>
  </w:num>
  <w:num w:numId="9">
    <w:abstractNumId w:val="6"/>
  </w:num>
  <w:num w:numId="10">
    <w:abstractNumId w:val="11"/>
  </w:num>
  <w:num w:numId="11">
    <w:abstractNumId w:val="12"/>
  </w:num>
  <w:num w:numId="12">
    <w:abstractNumId w:val="9"/>
  </w:num>
  <w:num w:numId="13">
    <w:abstractNumId w:val="7"/>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92A"/>
    <w:rsid w:val="000006AA"/>
    <w:rsid w:val="00004963"/>
    <w:rsid w:val="00005472"/>
    <w:rsid w:val="000158C8"/>
    <w:rsid w:val="000220BD"/>
    <w:rsid w:val="00022AFC"/>
    <w:rsid w:val="00023163"/>
    <w:rsid w:val="00025C2F"/>
    <w:rsid w:val="00027B17"/>
    <w:rsid w:val="0003191A"/>
    <w:rsid w:val="000331D1"/>
    <w:rsid w:val="00035990"/>
    <w:rsid w:val="00035F8F"/>
    <w:rsid w:val="0004397E"/>
    <w:rsid w:val="00051EDE"/>
    <w:rsid w:val="00053239"/>
    <w:rsid w:val="000628D6"/>
    <w:rsid w:val="00064087"/>
    <w:rsid w:val="00070361"/>
    <w:rsid w:val="00083A44"/>
    <w:rsid w:val="00090458"/>
    <w:rsid w:val="000935D7"/>
    <w:rsid w:val="0009384F"/>
    <w:rsid w:val="00095A4D"/>
    <w:rsid w:val="00097372"/>
    <w:rsid w:val="000A3732"/>
    <w:rsid w:val="000B1787"/>
    <w:rsid w:val="000B3198"/>
    <w:rsid w:val="000B44BA"/>
    <w:rsid w:val="000B4B90"/>
    <w:rsid w:val="000B73AE"/>
    <w:rsid w:val="000C4669"/>
    <w:rsid w:val="000C65BB"/>
    <w:rsid w:val="000C761F"/>
    <w:rsid w:val="000D388C"/>
    <w:rsid w:val="000D5A12"/>
    <w:rsid w:val="000E1FE7"/>
    <w:rsid w:val="000E2D59"/>
    <w:rsid w:val="000F23E6"/>
    <w:rsid w:val="000F3778"/>
    <w:rsid w:val="00105D79"/>
    <w:rsid w:val="001076CB"/>
    <w:rsid w:val="001141AD"/>
    <w:rsid w:val="001318D3"/>
    <w:rsid w:val="00132C99"/>
    <w:rsid w:val="00145AD8"/>
    <w:rsid w:val="00160658"/>
    <w:rsid w:val="00166B16"/>
    <w:rsid w:val="00173AF9"/>
    <w:rsid w:val="00174C48"/>
    <w:rsid w:val="0017564B"/>
    <w:rsid w:val="00176A15"/>
    <w:rsid w:val="001859FB"/>
    <w:rsid w:val="001938AC"/>
    <w:rsid w:val="00196E64"/>
    <w:rsid w:val="001A03C6"/>
    <w:rsid w:val="001A0513"/>
    <w:rsid w:val="001A53B0"/>
    <w:rsid w:val="001B0837"/>
    <w:rsid w:val="001B4DD7"/>
    <w:rsid w:val="001B669C"/>
    <w:rsid w:val="001B7371"/>
    <w:rsid w:val="001B74A8"/>
    <w:rsid w:val="001B74CC"/>
    <w:rsid w:val="001C1343"/>
    <w:rsid w:val="001C3789"/>
    <w:rsid w:val="001C5120"/>
    <w:rsid w:val="001D1EFC"/>
    <w:rsid w:val="001D20C8"/>
    <w:rsid w:val="001D239B"/>
    <w:rsid w:val="001F2FA7"/>
    <w:rsid w:val="001F33A0"/>
    <w:rsid w:val="001F636E"/>
    <w:rsid w:val="002042FD"/>
    <w:rsid w:val="002048CE"/>
    <w:rsid w:val="00210F73"/>
    <w:rsid w:val="002127E7"/>
    <w:rsid w:val="00212842"/>
    <w:rsid w:val="00213A4A"/>
    <w:rsid w:val="00214767"/>
    <w:rsid w:val="00216EEF"/>
    <w:rsid w:val="00223472"/>
    <w:rsid w:val="002259FA"/>
    <w:rsid w:val="00225E59"/>
    <w:rsid w:val="00235CE5"/>
    <w:rsid w:val="00246B0D"/>
    <w:rsid w:val="00256E72"/>
    <w:rsid w:val="00270775"/>
    <w:rsid w:val="00275B17"/>
    <w:rsid w:val="0027784D"/>
    <w:rsid w:val="00282ECB"/>
    <w:rsid w:val="00283912"/>
    <w:rsid w:val="00284011"/>
    <w:rsid w:val="00284E9B"/>
    <w:rsid w:val="002951A1"/>
    <w:rsid w:val="002A0424"/>
    <w:rsid w:val="002B3E56"/>
    <w:rsid w:val="002B68A6"/>
    <w:rsid w:val="002C6E25"/>
    <w:rsid w:val="002E0DD7"/>
    <w:rsid w:val="002E61C1"/>
    <w:rsid w:val="002F06AA"/>
    <w:rsid w:val="002F3BE3"/>
    <w:rsid w:val="002F61F9"/>
    <w:rsid w:val="002F64EF"/>
    <w:rsid w:val="002F7D52"/>
    <w:rsid w:val="00302330"/>
    <w:rsid w:val="00304DFD"/>
    <w:rsid w:val="00304ECD"/>
    <w:rsid w:val="003102F5"/>
    <w:rsid w:val="00320CEF"/>
    <w:rsid w:val="00321EE5"/>
    <w:rsid w:val="00323840"/>
    <w:rsid w:val="00333782"/>
    <w:rsid w:val="00333AA4"/>
    <w:rsid w:val="00341556"/>
    <w:rsid w:val="00341E43"/>
    <w:rsid w:val="00343C24"/>
    <w:rsid w:val="00347E50"/>
    <w:rsid w:val="0035196A"/>
    <w:rsid w:val="00361A8C"/>
    <w:rsid w:val="00362CA4"/>
    <w:rsid w:val="00363433"/>
    <w:rsid w:val="00366AF6"/>
    <w:rsid w:val="00377EF0"/>
    <w:rsid w:val="00380CC0"/>
    <w:rsid w:val="00383FAF"/>
    <w:rsid w:val="00384E78"/>
    <w:rsid w:val="00385A17"/>
    <w:rsid w:val="003961A4"/>
    <w:rsid w:val="003A4751"/>
    <w:rsid w:val="003A6652"/>
    <w:rsid w:val="003B090F"/>
    <w:rsid w:val="003B3707"/>
    <w:rsid w:val="003B67D6"/>
    <w:rsid w:val="003C4301"/>
    <w:rsid w:val="003D2312"/>
    <w:rsid w:val="003D2FC4"/>
    <w:rsid w:val="003D30FF"/>
    <w:rsid w:val="003D3C2D"/>
    <w:rsid w:val="003D60C3"/>
    <w:rsid w:val="003D7362"/>
    <w:rsid w:val="003E19D6"/>
    <w:rsid w:val="003E25DD"/>
    <w:rsid w:val="003E575C"/>
    <w:rsid w:val="003F07C7"/>
    <w:rsid w:val="003F2A4B"/>
    <w:rsid w:val="003F3DF5"/>
    <w:rsid w:val="00401FFE"/>
    <w:rsid w:val="00402160"/>
    <w:rsid w:val="00405D84"/>
    <w:rsid w:val="004077BF"/>
    <w:rsid w:val="004104BD"/>
    <w:rsid w:val="00410796"/>
    <w:rsid w:val="0041427C"/>
    <w:rsid w:val="004176D8"/>
    <w:rsid w:val="00417D91"/>
    <w:rsid w:val="00421DF2"/>
    <w:rsid w:val="00423212"/>
    <w:rsid w:val="00433169"/>
    <w:rsid w:val="004342E9"/>
    <w:rsid w:val="0043460A"/>
    <w:rsid w:val="0044117A"/>
    <w:rsid w:val="00441747"/>
    <w:rsid w:val="004424EF"/>
    <w:rsid w:val="00444BFC"/>
    <w:rsid w:val="00446615"/>
    <w:rsid w:val="00451678"/>
    <w:rsid w:val="00463BF2"/>
    <w:rsid w:val="004655DC"/>
    <w:rsid w:val="004662DB"/>
    <w:rsid w:val="00467B04"/>
    <w:rsid w:val="004906B9"/>
    <w:rsid w:val="004A6643"/>
    <w:rsid w:val="004B279E"/>
    <w:rsid w:val="004B61F5"/>
    <w:rsid w:val="004B7FC6"/>
    <w:rsid w:val="004C41EB"/>
    <w:rsid w:val="004D12E4"/>
    <w:rsid w:val="004E4E3A"/>
    <w:rsid w:val="004E77A7"/>
    <w:rsid w:val="004F1531"/>
    <w:rsid w:val="004F1872"/>
    <w:rsid w:val="004F1C61"/>
    <w:rsid w:val="0050119B"/>
    <w:rsid w:val="00504A34"/>
    <w:rsid w:val="00510618"/>
    <w:rsid w:val="00510863"/>
    <w:rsid w:val="00517FD4"/>
    <w:rsid w:val="005236CA"/>
    <w:rsid w:val="00532546"/>
    <w:rsid w:val="00536E8C"/>
    <w:rsid w:val="00542B61"/>
    <w:rsid w:val="005448D0"/>
    <w:rsid w:val="00546642"/>
    <w:rsid w:val="0054692A"/>
    <w:rsid w:val="005518C0"/>
    <w:rsid w:val="0056364A"/>
    <w:rsid w:val="005637F5"/>
    <w:rsid w:val="00580E29"/>
    <w:rsid w:val="005832F7"/>
    <w:rsid w:val="00584176"/>
    <w:rsid w:val="00593C8A"/>
    <w:rsid w:val="00597A49"/>
    <w:rsid w:val="005A0C48"/>
    <w:rsid w:val="005A0CE3"/>
    <w:rsid w:val="005A6918"/>
    <w:rsid w:val="005A7248"/>
    <w:rsid w:val="005B7205"/>
    <w:rsid w:val="005C51E0"/>
    <w:rsid w:val="005D64A6"/>
    <w:rsid w:val="005E2691"/>
    <w:rsid w:val="0061295D"/>
    <w:rsid w:val="00613AA3"/>
    <w:rsid w:val="0061481E"/>
    <w:rsid w:val="00623A49"/>
    <w:rsid w:val="006247AC"/>
    <w:rsid w:val="00630DE0"/>
    <w:rsid w:val="006328DA"/>
    <w:rsid w:val="006341CE"/>
    <w:rsid w:val="00635ADD"/>
    <w:rsid w:val="0063742B"/>
    <w:rsid w:val="006378D6"/>
    <w:rsid w:val="006422BF"/>
    <w:rsid w:val="00642C19"/>
    <w:rsid w:val="0064737B"/>
    <w:rsid w:val="00672BEB"/>
    <w:rsid w:val="00676E70"/>
    <w:rsid w:val="00677277"/>
    <w:rsid w:val="00687095"/>
    <w:rsid w:val="00691810"/>
    <w:rsid w:val="00692B94"/>
    <w:rsid w:val="0069532F"/>
    <w:rsid w:val="00695D08"/>
    <w:rsid w:val="006A06C3"/>
    <w:rsid w:val="006A1F46"/>
    <w:rsid w:val="006B736C"/>
    <w:rsid w:val="006C157C"/>
    <w:rsid w:val="006C42F8"/>
    <w:rsid w:val="006C7E78"/>
    <w:rsid w:val="006D0B48"/>
    <w:rsid w:val="006E0732"/>
    <w:rsid w:val="006E21D0"/>
    <w:rsid w:val="006E305A"/>
    <w:rsid w:val="006E3455"/>
    <w:rsid w:val="00704233"/>
    <w:rsid w:val="00706A1A"/>
    <w:rsid w:val="00712634"/>
    <w:rsid w:val="00713104"/>
    <w:rsid w:val="007241E6"/>
    <w:rsid w:val="00740740"/>
    <w:rsid w:val="00741111"/>
    <w:rsid w:val="00741D38"/>
    <w:rsid w:val="00745776"/>
    <w:rsid w:val="00746C93"/>
    <w:rsid w:val="0074710F"/>
    <w:rsid w:val="00751B71"/>
    <w:rsid w:val="0076156C"/>
    <w:rsid w:val="0076283B"/>
    <w:rsid w:val="007702A9"/>
    <w:rsid w:val="00773669"/>
    <w:rsid w:val="00794B20"/>
    <w:rsid w:val="007A0F03"/>
    <w:rsid w:val="007A27AB"/>
    <w:rsid w:val="007A5230"/>
    <w:rsid w:val="007A788A"/>
    <w:rsid w:val="007B5F8F"/>
    <w:rsid w:val="007B6593"/>
    <w:rsid w:val="007C38E7"/>
    <w:rsid w:val="007D3E1B"/>
    <w:rsid w:val="007D73BD"/>
    <w:rsid w:val="007E2491"/>
    <w:rsid w:val="007E787C"/>
    <w:rsid w:val="007F68D0"/>
    <w:rsid w:val="007F72E0"/>
    <w:rsid w:val="00801D23"/>
    <w:rsid w:val="008044AE"/>
    <w:rsid w:val="008124FB"/>
    <w:rsid w:val="008136AA"/>
    <w:rsid w:val="00813C65"/>
    <w:rsid w:val="008164F3"/>
    <w:rsid w:val="00823E4E"/>
    <w:rsid w:val="00837BB9"/>
    <w:rsid w:val="00837BDF"/>
    <w:rsid w:val="00837CF7"/>
    <w:rsid w:val="0084040E"/>
    <w:rsid w:val="008428FE"/>
    <w:rsid w:val="00847A8A"/>
    <w:rsid w:val="00852AD7"/>
    <w:rsid w:val="00864A49"/>
    <w:rsid w:val="0086627E"/>
    <w:rsid w:val="008710C2"/>
    <w:rsid w:val="00871FB9"/>
    <w:rsid w:val="008735EE"/>
    <w:rsid w:val="00875DE6"/>
    <w:rsid w:val="00876511"/>
    <w:rsid w:val="0088496C"/>
    <w:rsid w:val="008A1494"/>
    <w:rsid w:val="008A323E"/>
    <w:rsid w:val="008A3445"/>
    <w:rsid w:val="008B034A"/>
    <w:rsid w:val="008B1175"/>
    <w:rsid w:val="008B37AF"/>
    <w:rsid w:val="008B7771"/>
    <w:rsid w:val="008C27E7"/>
    <w:rsid w:val="008C5084"/>
    <w:rsid w:val="008C6A21"/>
    <w:rsid w:val="008E27D7"/>
    <w:rsid w:val="008E4969"/>
    <w:rsid w:val="008E53C1"/>
    <w:rsid w:val="008E59A1"/>
    <w:rsid w:val="008F0816"/>
    <w:rsid w:val="008F196D"/>
    <w:rsid w:val="008F507F"/>
    <w:rsid w:val="008F54D9"/>
    <w:rsid w:val="008F646A"/>
    <w:rsid w:val="00901CC7"/>
    <w:rsid w:val="009040FD"/>
    <w:rsid w:val="00904526"/>
    <w:rsid w:val="00906E54"/>
    <w:rsid w:val="0090730B"/>
    <w:rsid w:val="00911201"/>
    <w:rsid w:val="00911792"/>
    <w:rsid w:val="0092007D"/>
    <w:rsid w:val="00922B39"/>
    <w:rsid w:val="00924970"/>
    <w:rsid w:val="009252B5"/>
    <w:rsid w:val="009254BD"/>
    <w:rsid w:val="009332E8"/>
    <w:rsid w:val="00935D7B"/>
    <w:rsid w:val="009377B3"/>
    <w:rsid w:val="00937EBD"/>
    <w:rsid w:val="00940F72"/>
    <w:rsid w:val="00947211"/>
    <w:rsid w:val="00964460"/>
    <w:rsid w:val="0098431F"/>
    <w:rsid w:val="00985035"/>
    <w:rsid w:val="00992CEC"/>
    <w:rsid w:val="0099345D"/>
    <w:rsid w:val="009954ED"/>
    <w:rsid w:val="00995CA2"/>
    <w:rsid w:val="009A26EF"/>
    <w:rsid w:val="009A678F"/>
    <w:rsid w:val="009A68AB"/>
    <w:rsid w:val="009A6FD7"/>
    <w:rsid w:val="009A7D7D"/>
    <w:rsid w:val="009D08CF"/>
    <w:rsid w:val="009E028C"/>
    <w:rsid w:val="009F0D09"/>
    <w:rsid w:val="009F3122"/>
    <w:rsid w:val="009F727E"/>
    <w:rsid w:val="009F7DEF"/>
    <w:rsid w:val="00A10AEC"/>
    <w:rsid w:val="00A1275F"/>
    <w:rsid w:val="00A1689E"/>
    <w:rsid w:val="00A16950"/>
    <w:rsid w:val="00A16E23"/>
    <w:rsid w:val="00A26F1C"/>
    <w:rsid w:val="00A302C3"/>
    <w:rsid w:val="00A31C43"/>
    <w:rsid w:val="00A3657F"/>
    <w:rsid w:val="00A4117F"/>
    <w:rsid w:val="00A43D22"/>
    <w:rsid w:val="00A47CFE"/>
    <w:rsid w:val="00A603E2"/>
    <w:rsid w:val="00A60AE0"/>
    <w:rsid w:val="00A6182D"/>
    <w:rsid w:val="00A63B65"/>
    <w:rsid w:val="00A72176"/>
    <w:rsid w:val="00A7286A"/>
    <w:rsid w:val="00A80A66"/>
    <w:rsid w:val="00A83AFD"/>
    <w:rsid w:val="00A83EA1"/>
    <w:rsid w:val="00A84D3E"/>
    <w:rsid w:val="00A879A5"/>
    <w:rsid w:val="00A92D47"/>
    <w:rsid w:val="00A94A86"/>
    <w:rsid w:val="00AA12FC"/>
    <w:rsid w:val="00AA3DF6"/>
    <w:rsid w:val="00AB68A0"/>
    <w:rsid w:val="00AC122C"/>
    <w:rsid w:val="00AD0815"/>
    <w:rsid w:val="00AD43CA"/>
    <w:rsid w:val="00AD44D2"/>
    <w:rsid w:val="00AE010F"/>
    <w:rsid w:val="00AE2830"/>
    <w:rsid w:val="00AE3837"/>
    <w:rsid w:val="00AE61A1"/>
    <w:rsid w:val="00AE6614"/>
    <w:rsid w:val="00AE7FED"/>
    <w:rsid w:val="00AF1E19"/>
    <w:rsid w:val="00AF39D5"/>
    <w:rsid w:val="00B02BDE"/>
    <w:rsid w:val="00B03118"/>
    <w:rsid w:val="00B0438B"/>
    <w:rsid w:val="00B05396"/>
    <w:rsid w:val="00B23997"/>
    <w:rsid w:val="00B27A6F"/>
    <w:rsid w:val="00B3609B"/>
    <w:rsid w:val="00B46230"/>
    <w:rsid w:val="00B62879"/>
    <w:rsid w:val="00B637A0"/>
    <w:rsid w:val="00B6639C"/>
    <w:rsid w:val="00B66A20"/>
    <w:rsid w:val="00B712DB"/>
    <w:rsid w:val="00B73244"/>
    <w:rsid w:val="00B752C7"/>
    <w:rsid w:val="00B81B52"/>
    <w:rsid w:val="00B8491C"/>
    <w:rsid w:val="00B90DC2"/>
    <w:rsid w:val="00B9133D"/>
    <w:rsid w:val="00B924C2"/>
    <w:rsid w:val="00B92F2D"/>
    <w:rsid w:val="00BA7948"/>
    <w:rsid w:val="00BB017A"/>
    <w:rsid w:val="00BB521A"/>
    <w:rsid w:val="00BC1C8C"/>
    <w:rsid w:val="00BC77D8"/>
    <w:rsid w:val="00BE4283"/>
    <w:rsid w:val="00BF3255"/>
    <w:rsid w:val="00C00000"/>
    <w:rsid w:val="00C0009F"/>
    <w:rsid w:val="00C104EA"/>
    <w:rsid w:val="00C1684B"/>
    <w:rsid w:val="00C32D1E"/>
    <w:rsid w:val="00C36D4D"/>
    <w:rsid w:val="00C42511"/>
    <w:rsid w:val="00C42CF2"/>
    <w:rsid w:val="00C42F21"/>
    <w:rsid w:val="00C445EE"/>
    <w:rsid w:val="00C4608B"/>
    <w:rsid w:val="00C4782B"/>
    <w:rsid w:val="00C5087D"/>
    <w:rsid w:val="00C51A41"/>
    <w:rsid w:val="00C6033C"/>
    <w:rsid w:val="00C70BCA"/>
    <w:rsid w:val="00C74549"/>
    <w:rsid w:val="00C74D3C"/>
    <w:rsid w:val="00C762D9"/>
    <w:rsid w:val="00C76454"/>
    <w:rsid w:val="00C77DE0"/>
    <w:rsid w:val="00C80AA6"/>
    <w:rsid w:val="00C903AD"/>
    <w:rsid w:val="00C927EF"/>
    <w:rsid w:val="00C95C22"/>
    <w:rsid w:val="00CA1CC0"/>
    <w:rsid w:val="00CA3814"/>
    <w:rsid w:val="00CA38E6"/>
    <w:rsid w:val="00CA67BF"/>
    <w:rsid w:val="00CA725B"/>
    <w:rsid w:val="00CB0589"/>
    <w:rsid w:val="00CB1F8A"/>
    <w:rsid w:val="00CB20DB"/>
    <w:rsid w:val="00CB2A7B"/>
    <w:rsid w:val="00CC6004"/>
    <w:rsid w:val="00CD0714"/>
    <w:rsid w:val="00CE0383"/>
    <w:rsid w:val="00CE21A8"/>
    <w:rsid w:val="00CE496F"/>
    <w:rsid w:val="00CE5E20"/>
    <w:rsid w:val="00CF3A6B"/>
    <w:rsid w:val="00CF6B02"/>
    <w:rsid w:val="00CF70C9"/>
    <w:rsid w:val="00D04F00"/>
    <w:rsid w:val="00D0781F"/>
    <w:rsid w:val="00D12620"/>
    <w:rsid w:val="00D135C1"/>
    <w:rsid w:val="00D22DD2"/>
    <w:rsid w:val="00D265D0"/>
    <w:rsid w:val="00D270DD"/>
    <w:rsid w:val="00D40758"/>
    <w:rsid w:val="00D52970"/>
    <w:rsid w:val="00D53F64"/>
    <w:rsid w:val="00D55DED"/>
    <w:rsid w:val="00D609B9"/>
    <w:rsid w:val="00D7168D"/>
    <w:rsid w:val="00D7221C"/>
    <w:rsid w:val="00D732C2"/>
    <w:rsid w:val="00D756FD"/>
    <w:rsid w:val="00D819DE"/>
    <w:rsid w:val="00D81A40"/>
    <w:rsid w:val="00D835B2"/>
    <w:rsid w:val="00D83F40"/>
    <w:rsid w:val="00D932CC"/>
    <w:rsid w:val="00D93829"/>
    <w:rsid w:val="00DA0591"/>
    <w:rsid w:val="00DA072F"/>
    <w:rsid w:val="00DA0BDF"/>
    <w:rsid w:val="00DB0AE8"/>
    <w:rsid w:val="00DB3B81"/>
    <w:rsid w:val="00DC0EAC"/>
    <w:rsid w:val="00DC5868"/>
    <w:rsid w:val="00DC7893"/>
    <w:rsid w:val="00DD0988"/>
    <w:rsid w:val="00DD2885"/>
    <w:rsid w:val="00DD53BA"/>
    <w:rsid w:val="00DD7FDA"/>
    <w:rsid w:val="00DE307F"/>
    <w:rsid w:val="00DE744D"/>
    <w:rsid w:val="00DE753F"/>
    <w:rsid w:val="00DF634C"/>
    <w:rsid w:val="00DF6640"/>
    <w:rsid w:val="00E03C99"/>
    <w:rsid w:val="00E1316E"/>
    <w:rsid w:val="00E1334A"/>
    <w:rsid w:val="00E21D05"/>
    <w:rsid w:val="00E30CF4"/>
    <w:rsid w:val="00E31495"/>
    <w:rsid w:val="00E326E7"/>
    <w:rsid w:val="00E3365A"/>
    <w:rsid w:val="00E404B4"/>
    <w:rsid w:val="00E42C53"/>
    <w:rsid w:val="00E46792"/>
    <w:rsid w:val="00E47CF4"/>
    <w:rsid w:val="00E529F1"/>
    <w:rsid w:val="00E53516"/>
    <w:rsid w:val="00E547C1"/>
    <w:rsid w:val="00E563F6"/>
    <w:rsid w:val="00E57092"/>
    <w:rsid w:val="00E62BDF"/>
    <w:rsid w:val="00E64A49"/>
    <w:rsid w:val="00E65859"/>
    <w:rsid w:val="00E659F8"/>
    <w:rsid w:val="00E74B36"/>
    <w:rsid w:val="00E93F82"/>
    <w:rsid w:val="00E9736D"/>
    <w:rsid w:val="00EA3028"/>
    <w:rsid w:val="00EA3D7C"/>
    <w:rsid w:val="00EA4F80"/>
    <w:rsid w:val="00EA61CB"/>
    <w:rsid w:val="00EB4F55"/>
    <w:rsid w:val="00ED22F4"/>
    <w:rsid w:val="00ED687B"/>
    <w:rsid w:val="00EE2719"/>
    <w:rsid w:val="00EE7B01"/>
    <w:rsid w:val="00EF0EF9"/>
    <w:rsid w:val="00EF2311"/>
    <w:rsid w:val="00EF3A7E"/>
    <w:rsid w:val="00F00F93"/>
    <w:rsid w:val="00F029C7"/>
    <w:rsid w:val="00F229F5"/>
    <w:rsid w:val="00F23AD3"/>
    <w:rsid w:val="00F25659"/>
    <w:rsid w:val="00F33D93"/>
    <w:rsid w:val="00F40B3F"/>
    <w:rsid w:val="00F453D8"/>
    <w:rsid w:val="00F50C63"/>
    <w:rsid w:val="00F627CE"/>
    <w:rsid w:val="00F628C0"/>
    <w:rsid w:val="00F631F5"/>
    <w:rsid w:val="00F65960"/>
    <w:rsid w:val="00F751C1"/>
    <w:rsid w:val="00F80872"/>
    <w:rsid w:val="00F84598"/>
    <w:rsid w:val="00FA0F58"/>
    <w:rsid w:val="00FB26C4"/>
    <w:rsid w:val="00FB506E"/>
    <w:rsid w:val="00FC2CC0"/>
    <w:rsid w:val="00FC53E0"/>
    <w:rsid w:val="00FD0FF7"/>
    <w:rsid w:val="00FE42FC"/>
    <w:rsid w:val="00FE47C8"/>
    <w:rsid w:val="00FE4B50"/>
    <w:rsid w:val="00FF5F4B"/>
    <w:rsid w:val="00FF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17B858D"/>
  <w15:docId w15:val="{E2072547-5FD4-4920-9CCD-5761E428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B0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67B04"/>
  </w:style>
  <w:style w:type="paragraph" w:styleId="Header">
    <w:name w:val="header"/>
    <w:basedOn w:val="Normal"/>
    <w:rsid w:val="00467B04"/>
    <w:pPr>
      <w:tabs>
        <w:tab w:val="center" w:pos="4320"/>
        <w:tab w:val="right" w:pos="8640"/>
      </w:tabs>
    </w:pPr>
  </w:style>
  <w:style w:type="paragraph" w:styleId="Footer">
    <w:name w:val="footer"/>
    <w:basedOn w:val="Normal"/>
    <w:link w:val="FooterChar"/>
    <w:uiPriority w:val="99"/>
    <w:rsid w:val="00467B04"/>
    <w:pPr>
      <w:tabs>
        <w:tab w:val="center" w:pos="4320"/>
        <w:tab w:val="right" w:pos="8640"/>
      </w:tabs>
    </w:pPr>
  </w:style>
  <w:style w:type="paragraph" w:styleId="BalloonText">
    <w:name w:val="Balloon Text"/>
    <w:basedOn w:val="Normal"/>
    <w:semiHidden/>
    <w:rsid w:val="0054692A"/>
    <w:rPr>
      <w:rFonts w:ascii="Tahoma" w:hAnsi="Tahoma" w:cs="Tahoma"/>
      <w:sz w:val="16"/>
      <w:szCs w:val="16"/>
    </w:rPr>
  </w:style>
  <w:style w:type="paragraph" w:styleId="FootnoteText">
    <w:name w:val="footnote text"/>
    <w:basedOn w:val="Normal"/>
    <w:semiHidden/>
    <w:rsid w:val="00CE496F"/>
    <w:rPr>
      <w:szCs w:val="20"/>
    </w:rPr>
  </w:style>
  <w:style w:type="character" w:styleId="Strong">
    <w:name w:val="Strong"/>
    <w:basedOn w:val="DefaultParagraphFont"/>
    <w:qFormat/>
    <w:rsid w:val="00A4117F"/>
    <w:rPr>
      <w:b/>
      <w:bCs/>
    </w:rPr>
  </w:style>
  <w:style w:type="character" w:styleId="CommentReference">
    <w:name w:val="annotation reference"/>
    <w:basedOn w:val="DefaultParagraphFont"/>
    <w:uiPriority w:val="99"/>
    <w:rsid w:val="003C4301"/>
    <w:rPr>
      <w:sz w:val="16"/>
      <w:szCs w:val="16"/>
    </w:rPr>
  </w:style>
  <w:style w:type="paragraph" w:styleId="CommentText">
    <w:name w:val="annotation text"/>
    <w:basedOn w:val="Normal"/>
    <w:link w:val="CommentTextChar"/>
    <w:uiPriority w:val="99"/>
    <w:rsid w:val="003C4301"/>
    <w:rPr>
      <w:szCs w:val="20"/>
    </w:rPr>
  </w:style>
  <w:style w:type="paragraph" w:styleId="CommentSubject">
    <w:name w:val="annotation subject"/>
    <w:basedOn w:val="CommentText"/>
    <w:next w:val="CommentText"/>
    <w:semiHidden/>
    <w:rsid w:val="003C4301"/>
    <w:rPr>
      <w:b/>
      <w:bCs/>
    </w:rPr>
  </w:style>
  <w:style w:type="character" w:styleId="Hyperlink">
    <w:name w:val="Hyperlink"/>
    <w:basedOn w:val="DefaultParagraphFont"/>
    <w:rsid w:val="009A26EF"/>
    <w:rPr>
      <w:color w:val="0000FF"/>
      <w:u w:val="single"/>
    </w:rPr>
  </w:style>
  <w:style w:type="character" w:customStyle="1" w:styleId="FooterChar">
    <w:name w:val="Footer Char"/>
    <w:basedOn w:val="DefaultParagraphFont"/>
    <w:link w:val="Footer"/>
    <w:uiPriority w:val="99"/>
    <w:rsid w:val="00B62879"/>
    <w:rPr>
      <w:szCs w:val="24"/>
    </w:rPr>
  </w:style>
  <w:style w:type="paragraph" w:customStyle="1" w:styleId="Header1">
    <w:name w:val="Header 1"/>
    <w:basedOn w:val="Normal"/>
    <w:qFormat/>
    <w:rsid w:val="00AA1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cs="Arial"/>
      <w:b/>
      <w:sz w:val="24"/>
    </w:rPr>
  </w:style>
  <w:style w:type="paragraph" w:styleId="EndnoteText">
    <w:name w:val="endnote text"/>
    <w:basedOn w:val="Normal"/>
    <w:link w:val="EndnoteTextChar"/>
    <w:rsid w:val="00E659F8"/>
    <w:rPr>
      <w:szCs w:val="20"/>
    </w:rPr>
  </w:style>
  <w:style w:type="character" w:customStyle="1" w:styleId="EndnoteTextChar">
    <w:name w:val="Endnote Text Char"/>
    <w:basedOn w:val="DefaultParagraphFont"/>
    <w:link w:val="EndnoteText"/>
    <w:rsid w:val="00E659F8"/>
  </w:style>
  <w:style w:type="character" w:styleId="EndnoteReference">
    <w:name w:val="endnote reference"/>
    <w:basedOn w:val="DefaultParagraphFont"/>
    <w:rsid w:val="00E659F8"/>
    <w:rPr>
      <w:vertAlign w:val="superscript"/>
    </w:rPr>
  </w:style>
  <w:style w:type="character" w:styleId="FollowedHyperlink">
    <w:name w:val="FollowedHyperlink"/>
    <w:basedOn w:val="DefaultParagraphFont"/>
    <w:rsid w:val="000A3732"/>
    <w:rPr>
      <w:color w:val="800080"/>
      <w:u w:val="single"/>
    </w:rPr>
  </w:style>
  <w:style w:type="paragraph" w:customStyle="1" w:styleId="Body1">
    <w:name w:val="Body 1"/>
    <w:basedOn w:val="Normal"/>
    <w:qFormat/>
    <w:rsid w:val="00AA3D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bCs/>
      <w:sz w:val="24"/>
    </w:rPr>
  </w:style>
  <w:style w:type="paragraph" w:customStyle="1" w:styleId="Body2">
    <w:name w:val="Body 2"/>
    <w:basedOn w:val="Body1"/>
    <w:qFormat/>
    <w:rsid w:val="00AA3DF6"/>
  </w:style>
  <w:style w:type="paragraph" w:customStyle="1" w:styleId="Body3">
    <w:name w:val="Body 3"/>
    <w:basedOn w:val="FootnoteText"/>
    <w:qFormat/>
    <w:rsid w:val="00AA3DF6"/>
    <w:pPr>
      <w:tabs>
        <w:tab w:val="left" w:pos="8640"/>
      </w:tabs>
      <w:ind w:left="1080" w:right="720"/>
    </w:pPr>
    <w:rPr>
      <w:rFonts w:ascii="Arial" w:hAnsi="Arial" w:cs="Arial"/>
      <w:sz w:val="24"/>
      <w:szCs w:val="24"/>
    </w:rPr>
  </w:style>
  <w:style w:type="paragraph" w:customStyle="1" w:styleId="Body4">
    <w:name w:val="Body 4"/>
    <w:basedOn w:val="FootnoteText"/>
    <w:qFormat/>
    <w:rsid w:val="00AA3DF6"/>
    <w:rPr>
      <w:rFonts w:ascii="Arial" w:hAnsi="Arial" w:cs="Arial"/>
      <w:sz w:val="24"/>
      <w:szCs w:val="24"/>
    </w:rPr>
  </w:style>
  <w:style w:type="table" w:styleId="TableGrid">
    <w:name w:val="Table Grid"/>
    <w:basedOn w:val="TableNormal"/>
    <w:rsid w:val="00542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0CF4"/>
    <w:pPr>
      <w:widowControl/>
      <w:autoSpaceDE/>
      <w:autoSpaceDN/>
      <w:adjustRightInd/>
      <w:ind w:left="720"/>
      <w:contextualSpacing/>
    </w:pPr>
    <w:rPr>
      <w:sz w:val="24"/>
    </w:rPr>
  </w:style>
  <w:style w:type="character" w:customStyle="1" w:styleId="CommentTextChar">
    <w:name w:val="Comment Text Char"/>
    <w:basedOn w:val="DefaultParagraphFont"/>
    <w:link w:val="CommentText"/>
    <w:uiPriority w:val="99"/>
    <w:rsid w:val="00623A49"/>
  </w:style>
  <w:style w:type="paragraph" w:customStyle="1" w:styleId="Body20">
    <w:name w:val="Body2"/>
    <w:basedOn w:val="Normal"/>
    <w:qFormat/>
    <w:rsid w:val="00623A49"/>
    <w:pPr>
      <w:widowControl/>
      <w:autoSpaceDE/>
      <w:autoSpaceDN/>
      <w:adjustRightInd/>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461961">
      <w:bodyDiv w:val="1"/>
      <w:marLeft w:val="0"/>
      <w:marRight w:val="0"/>
      <w:marTop w:val="0"/>
      <w:marBottom w:val="0"/>
      <w:divBdr>
        <w:top w:val="none" w:sz="0" w:space="0" w:color="auto"/>
        <w:left w:val="none" w:sz="0" w:space="0" w:color="auto"/>
        <w:bottom w:val="none" w:sz="0" w:space="0" w:color="auto"/>
        <w:right w:val="none" w:sz="0" w:space="0" w:color="auto"/>
      </w:divBdr>
    </w:div>
    <w:div w:id="171025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F4C89-FB57-40EE-A11B-D3D6061B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2611</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NDMC/NDP</vt:lpstr>
    </vt:vector>
  </TitlesOfParts>
  <Company>CMS</Company>
  <LinksUpToDate>false</LinksUpToDate>
  <CharactersWithSpaces>16859</CharactersWithSpaces>
  <SharedDoc>false</SharedDoc>
  <HLinks>
    <vt:vector size="6" baseType="variant">
      <vt:variant>
        <vt:i4>2818165</vt:i4>
      </vt:variant>
      <vt:variant>
        <vt:i4>0</vt:i4>
      </vt:variant>
      <vt:variant>
        <vt:i4>0</vt:i4>
      </vt:variant>
      <vt:variant>
        <vt:i4>5</vt:i4>
      </vt:variant>
      <vt:variant>
        <vt:lpwstr>http://oig.hhs.gov/oei/reports/oei-01-08-00280.pdf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NDMC/NDP</dc:title>
  <dc:subject>Supporting Statement NDMC/NDP</dc:subject>
  <dc:creator>CMS/CPC/MEAG/DAP</dc:creator>
  <cp:keywords>Medicare Health Plan Denial Notices, supporting statement, NDMC, NDP</cp:keywords>
  <cp:lastModifiedBy>Mitch Bryman</cp:lastModifiedBy>
  <cp:revision>2</cp:revision>
  <cp:lastPrinted>2017-01-12T14:12:00Z</cp:lastPrinted>
  <dcterms:created xsi:type="dcterms:W3CDTF">2017-01-17T13:27:00Z</dcterms:created>
  <dcterms:modified xsi:type="dcterms:W3CDTF">2017-01-17T13:27:00Z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1875527846</vt:i4>
  </property>
  <property fmtid="{D5CDD505-2E9C-101B-9397-08002B2CF9AE}" pid="4" name="_EmailSubject">
    <vt:lpwstr>Notice of Denial of Medical Coverage (CMS-10003, OMB 0938-0829)</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-1711659672</vt:i4>
  </property>
</Properties>
</file>