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F2" w:rsidRPr="009D53F2" w:rsidRDefault="009D53F2">
      <w:pPr>
        <w:rPr>
          <w:sz w:val="28"/>
          <w:szCs w:val="28"/>
        </w:rPr>
      </w:pPr>
      <w:r w:rsidRPr="009D53F2">
        <w:rPr>
          <w:sz w:val="28"/>
          <w:szCs w:val="28"/>
        </w:rPr>
        <w:t xml:space="preserve">Attachment 11: 2013 Summary Data Quality </w:t>
      </w:r>
      <w:r>
        <w:rPr>
          <w:sz w:val="28"/>
          <w:szCs w:val="28"/>
        </w:rPr>
        <w:t>Re</w:t>
      </w:r>
      <w:r w:rsidRPr="009D53F2">
        <w:rPr>
          <w:sz w:val="28"/>
          <w:szCs w:val="28"/>
        </w:rPr>
        <w:t>port</w:t>
      </w:r>
    </w:p>
    <w:p w:rsidR="009D53F2" w:rsidRPr="009D53F2" w:rsidRDefault="009D53F2">
      <w:pPr>
        <w:rPr>
          <w:sz w:val="28"/>
          <w:szCs w:val="28"/>
        </w:rPr>
      </w:pPr>
      <w:r w:rsidRPr="009D53F2">
        <w:rPr>
          <w:sz w:val="28"/>
          <w:szCs w:val="28"/>
        </w:rPr>
        <w:br w:type="page"/>
      </w:r>
      <w:bookmarkStart w:id="0" w:name="_GoBack"/>
      <w:bookmarkEnd w:id="0"/>
    </w:p>
    <w:p w:rsidR="009D53F2" w:rsidRDefault="009D53F2"/>
    <w:p w:rsidR="009D53F2" w:rsidRDefault="009D53F2"/>
    <w:tbl>
      <w:tblPr>
        <w:tblW w:w="11295" w:type="dxa"/>
        <w:jc w:val="center"/>
        <w:tblLayout w:type="fixed"/>
        <w:tblCellMar>
          <w:left w:w="0" w:type="dxa"/>
          <w:right w:w="0" w:type="dxa"/>
        </w:tblCellMar>
        <w:tblLook w:val="0000" w:firstRow="0" w:lastRow="0" w:firstColumn="0" w:lastColumn="0" w:noHBand="0" w:noVBand="0"/>
      </w:tblPr>
      <w:tblGrid>
        <w:gridCol w:w="4761"/>
        <w:gridCol w:w="1768"/>
        <w:gridCol w:w="4766"/>
      </w:tblGrid>
      <w:tr w:rsidR="00F902A2" w:rsidRPr="00F902A2" w:rsidTr="00394314">
        <w:trPr>
          <w:cantSplit/>
          <w:trHeight w:hRule="exact" w:val="1987"/>
          <w:tblHeader/>
          <w:jc w:val="center"/>
        </w:trPr>
        <w:tc>
          <w:tcPr>
            <w:tcW w:w="11295" w:type="dxa"/>
            <w:gridSpan w:val="3"/>
            <w:tcBorders>
              <w:top w:val="single" w:sz="22" w:space="0" w:color="0000FF"/>
              <w:left w:val="single" w:sz="22" w:space="0" w:color="0000FF"/>
              <w:bottom w:val="nil"/>
              <w:right w:val="single" w:sz="22" w:space="0" w:color="0000FF"/>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sz w:val="52"/>
                <w:szCs w:val="52"/>
              </w:rPr>
            </w:pPr>
            <w:bookmarkStart w:id="1" w:name="IDX"/>
            <w:bookmarkEnd w:id="1"/>
            <w:r w:rsidRPr="00F902A2">
              <w:rPr>
                <w:rFonts w:eastAsiaTheme="minorEastAsia"/>
                <w:color w:val="000000"/>
                <w:sz w:val="52"/>
                <w:szCs w:val="52"/>
              </w:rPr>
              <w:t>Behavioral Risk Factor Surveillance System</w:t>
            </w:r>
          </w:p>
        </w:tc>
      </w:tr>
      <w:tr w:rsidR="00F902A2" w:rsidRPr="00F902A2" w:rsidTr="00394314">
        <w:trPr>
          <w:cantSplit/>
          <w:trHeight w:hRule="exact" w:val="1912"/>
          <w:jc w:val="center"/>
        </w:trPr>
        <w:tc>
          <w:tcPr>
            <w:tcW w:w="11295" w:type="dxa"/>
            <w:gridSpan w:val="3"/>
            <w:tcBorders>
              <w:top w:val="nil"/>
              <w:left w:val="single" w:sz="22" w:space="0" w:color="0000FF"/>
              <w:bottom w:val="nil"/>
              <w:right w:val="single" w:sz="22" w:space="0" w:color="0000FF"/>
            </w:tcBorders>
            <w:shd w:val="clear" w:color="auto" w:fill="FFFFFF"/>
            <w:tcMar>
              <w:left w:w="60" w:type="dxa"/>
              <w:right w:w="60" w:type="dxa"/>
            </w:tcMar>
            <w:vAlign w:val="center"/>
          </w:tcPr>
          <w:p w:rsidR="00F902A2" w:rsidRPr="00F902A2" w:rsidRDefault="00F902A2" w:rsidP="00F902A2">
            <w:pPr>
              <w:autoSpaceDE w:val="0"/>
              <w:autoSpaceDN w:val="0"/>
              <w:adjustRightInd w:val="0"/>
              <w:spacing w:before="60" w:after="60"/>
              <w:jc w:val="center"/>
              <w:rPr>
                <w:rFonts w:eastAsiaTheme="minorEastAsia"/>
                <w:color w:val="000000"/>
                <w:sz w:val="52"/>
                <w:szCs w:val="52"/>
              </w:rPr>
            </w:pPr>
            <w:r w:rsidRPr="00F902A2">
              <w:rPr>
                <w:rFonts w:eastAsiaTheme="minorEastAsia"/>
                <w:color w:val="000000"/>
                <w:sz w:val="52"/>
                <w:szCs w:val="52"/>
              </w:rPr>
              <w:t>201</w:t>
            </w:r>
            <w:r w:rsidR="00FB4EA5">
              <w:rPr>
                <w:rFonts w:eastAsiaTheme="minorEastAsia"/>
                <w:color w:val="000000"/>
                <w:sz w:val="52"/>
                <w:szCs w:val="52"/>
              </w:rPr>
              <w:t>3</w:t>
            </w:r>
            <w:r w:rsidRPr="00F902A2">
              <w:rPr>
                <w:rFonts w:eastAsiaTheme="minorEastAsia"/>
                <w:color w:val="000000"/>
                <w:sz w:val="52"/>
                <w:szCs w:val="52"/>
              </w:rPr>
              <w:t> Summary Data Quality Report</w:t>
            </w:r>
          </w:p>
          <w:p w:rsidR="00F902A2" w:rsidRPr="00F902A2" w:rsidRDefault="00F902A2" w:rsidP="00467290">
            <w:pPr>
              <w:autoSpaceDE w:val="0"/>
              <w:autoSpaceDN w:val="0"/>
              <w:adjustRightInd w:val="0"/>
              <w:spacing w:before="60" w:after="60"/>
              <w:jc w:val="center"/>
              <w:rPr>
                <w:rFonts w:eastAsiaTheme="minorEastAsia"/>
                <w:color w:val="000000"/>
                <w:sz w:val="52"/>
                <w:szCs w:val="52"/>
              </w:rPr>
            </w:pPr>
          </w:p>
        </w:tc>
      </w:tr>
      <w:tr w:rsidR="00F902A2" w:rsidRPr="00F902A2" w:rsidTr="00394314">
        <w:trPr>
          <w:cantSplit/>
          <w:trHeight w:hRule="exact" w:val="1912"/>
          <w:jc w:val="center"/>
        </w:trPr>
        <w:tc>
          <w:tcPr>
            <w:tcW w:w="11295" w:type="dxa"/>
            <w:gridSpan w:val="3"/>
            <w:tcBorders>
              <w:top w:val="nil"/>
              <w:left w:val="single" w:sz="22" w:space="0" w:color="0000FF"/>
              <w:bottom w:val="nil"/>
              <w:right w:val="single" w:sz="22" w:space="0" w:color="0000FF"/>
            </w:tcBorders>
            <w:shd w:val="clear" w:color="auto" w:fill="FFFFFF"/>
            <w:tcMar>
              <w:left w:w="60" w:type="dxa"/>
              <w:right w:w="60" w:type="dxa"/>
            </w:tcMar>
            <w:vAlign w:val="center"/>
          </w:tcPr>
          <w:p w:rsidR="00F902A2" w:rsidRPr="00F902A2" w:rsidRDefault="00F902A2" w:rsidP="00F902A2">
            <w:pPr>
              <w:autoSpaceDE w:val="0"/>
              <w:autoSpaceDN w:val="0"/>
              <w:adjustRightInd w:val="0"/>
              <w:spacing w:before="60" w:after="60"/>
              <w:jc w:val="center"/>
              <w:rPr>
                <w:rFonts w:eastAsiaTheme="minorEastAsia"/>
                <w:color w:val="000000"/>
                <w:sz w:val="52"/>
                <w:szCs w:val="52"/>
              </w:rPr>
            </w:pPr>
          </w:p>
        </w:tc>
      </w:tr>
      <w:tr w:rsidR="00F902A2" w:rsidRPr="00F902A2" w:rsidTr="00394314">
        <w:trPr>
          <w:cantSplit/>
          <w:trHeight w:hRule="exact" w:val="1912"/>
          <w:jc w:val="center"/>
        </w:trPr>
        <w:tc>
          <w:tcPr>
            <w:tcW w:w="11295" w:type="dxa"/>
            <w:gridSpan w:val="3"/>
            <w:tcBorders>
              <w:top w:val="nil"/>
              <w:left w:val="single" w:sz="22" w:space="0" w:color="0000FF"/>
              <w:bottom w:val="nil"/>
              <w:right w:val="single" w:sz="22" w:space="0" w:color="0000FF"/>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sz w:val="52"/>
                <w:szCs w:val="52"/>
              </w:rPr>
            </w:pPr>
          </w:p>
        </w:tc>
      </w:tr>
      <w:tr w:rsidR="00F902A2" w:rsidRPr="00F902A2" w:rsidTr="00394314">
        <w:trPr>
          <w:cantSplit/>
          <w:trHeight w:hRule="exact" w:val="1981"/>
          <w:jc w:val="center"/>
        </w:trPr>
        <w:tc>
          <w:tcPr>
            <w:tcW w:w="4761" w:type="dxa"/>
            <w:tcBorders>
              <w:top w:val="nil"/>
              <w:left w:val="single" w:sz="22" w:space="0" w:color="0000FF"/>
              <w:bottom w:val="single" w:sz="22" w:space="0" w:color="0000FF"/>
              <w:right w:val="nil"/>
            </w:tcBorders>
            <w:shd w:val="clear" w:color="auto" w:fill="FFFFFF"/>
            <w:tcMar>
              <w:left w:w="60" w:type="dxa"/>
              <w:right w:w="60" w:type="dxa"/>
            </w:tcMar>
            <w:vAlign w:val="bottom"/>
          </w:tcPr>
          <w:p w:rsidR="00F902A2" w:rsidRPr="00F902A2" w:rsidRDefault="00F902A2" w:rsidP="00394314">
            <w:pPr>
              <w:autoSpaceDE w:val="0"/>
              <w:autoSpaceDN w:val="0"/>
              <w:adjustRightInd w:val="0"/>
              <w:spacing w:before="60" w:after="60"/>
              <w:rPr>
                <w:rFonts w:ascii="Arial" w:eastAsiaTheme="minorEastAsia" w:hAnsi="Arial" w:cs="Arial"/>
                <w:color w:val="FFFFFF"/>
                <w:sz w:val="40"/>
                <w:szCs w:val="40"/>
              </w:rPr>
            </w:pPr>
            <w:r w:rsidRPr="00F902A2">
              <w:rPr>
                <w:rFonts w:ascii="Arial" w:eastAsiaTheme="minorEastAsia" w:hAnsi="Arial" w:cs="Arial"/>
                <w:color w:val="FFFFFF"/>
                <w:sz w:val="40"/>
                <w:szCs w:val="40"/>
              </w:rPr>
              <w:t xml:space="preserve">   </w:t>
            </w:r>
            <w:r w:rsidR="00394314">
              <w:rPr>
                <w:rFonts w:ascii="Arial" w:eastAsiaTheme="minorEastAsia" w:hAnsi="Arial" w:cs="Arial"/>
                <w:noProof/>
                <w:color w:val="FFFFFF"/>
                <w:sz w:val="40"/>
                <w:szCs w:val="40"/>
              </w:rPr>
              <w:drawing>
                <wp:inline distT="0" distB="0" distL="0" distR="0" wp14:anchorId="19DBD952" wp14:editId="222CE526">
                  <wp:extent cx="1492011" cy="8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dcLogoHeader.png"/>
                          <pic:cNvPicPr/>
                        </pic:nvPicPr>
                        <pic:blipFill>
                          <a:blip r:embed="rId9">
                            <a:extLst>
                              <a:ext uri="{28A0092B-C50C-407E-A947-70E740481C1C}">
                                <a14:useLocalDpi xmlns:a14="http://schemas.microsoft.com/office/drawing/2010/main" val="0"/>
                              </a:ext>
                            </a:extLst>
                          </a:blip>
                          <a:stretch>
                            <a:fillRect/>
                          </a:stretch>
                        </pic:blipFill>
                        <pic:spPr>
                          <a:xfrm>
                            <a:off x="0" y="0"/>
                            <a:ext cx="1490203" cy="862653"/>
                          </a:xfrm>
                          <a:prstGeom prst="rect">
                            <a:avLst/>
                          </a:prstGeom>
                        </pic:spPr>
                      </pic:pic>
                    </a:graphicData>
                  </a:graphic>
                </wp:inline>
              </w:drawing>
            </w:r>
          </w:p>
        </w:tc>
        <w:tc>
          <w:tcPr>
            <w:tcW w:w="1768" w:type="dxa"/>
            <w:tcBorders>
              <w:top w:val="nil"/>
              <w:left w:val="nil"/>
              <w:bottom w:val="single" w:sz="22" w:space="0" w:color="0000FF"/>
              <w:right w:val="nil"/>
            </w:tcBorders>
            <w:shd w:val="clear" w:color="auto" w:fill="FFFFFF"/>
            <w:tcMar>
              <w:left w:w="60" w:type="dxa"/>
              <w:right w:w="60" w:type="dxa"/>
            </w:tcMar>
            <w:vAlign w:val="bottom"/>
          </w:tcPr>
          <w:p w:rsidR="00394314" w:rsidRDefault="00394314" w:rsidP="00F902A2">
            <w:pPr>
              <w:autoSpaceDE w:val="0"/>
              <w:autoSpaceDN w:val="0"/>
              <w:adjustRightInd w:val="0"/>
              <w:spacing w:before="60" w:after="60"/>
              <w:jc w:val="center"/>
              <w:rPr>
                <w:rFonts w:ascii="Arial" w:eastAsiaTheme="minorEastAsia" w:hAnsi="Arial" w:cs="Arial"/>
                <w:color w:val="FFFFFF"/>
                <w:sz w:val="40"/>
                <w:szCs w:val="40"/>
              </w:rPr>
            </w:pPr>
          </w:p>
          <w:p w:rsidR="00394314" w:rsidRDefault="00394314" w:rsidP="00F902A2">
            <w:pPr>
              <w:autoSpaceDE w:val="0"/>
              <w:autoSpaceDN w:val="0"/>
              <w:adjustRightInd w:val="0"/>
              <w:spacing w:before="60" w:after="60"/>
              <w:jc w:val="center"/>
              <w:rPr>
                <w:rFonts w:ascii="Arial" w:eastAsiaTheme="minorEastAsia" w:hAnsi="Arial" w:cs="Arial"/>
                <w:color w:val="FFFFFF"/>
                <w:sz w:val="40"/>
                <w:szCs w:val="40"/>
              </w:rPr>
            </w:pPr>
          </w:p>
          <w:p w:rsidR="00394314" w:rsidRDefault="00394314" w:rsidP="00F902A2">
            <w:pPr>
              <w:autoSpaceDE w:val="0"/>
              <w:autoSpaceDN w:val="0"/>
              <w:adjustRightInd w:val="0"/>
              <w:spacing w:before="60" w:after="60"/>
              <w:jc w:val="center"/>
              <w:rPr>
                <w:rFonts w:ascii="Arial" w:eastAsiaTheme="minorEastAsia" w:hAnsi="Arial" w:cs="Arial"/>
                <w:color w:val="FFFFFF"/>
                <w:sz w:val="40"/>
                <w:szCs w:val="40"/>
              </w:rPr>
            </w:pPr>
          </w:p>
          <w:p w:rsidR="00394314" w:rsidRDefault="00394314" w:rsidP="00F902A2">
            <w:pPr>
              <w:autoSpaceDE w:val="0"/>
              <w:autoSpaceDN w:val="0"/>
              <w:adjustRightInd w:val="0"/>
              <w:spacing w:before="60" w:after="60"/>
              <w:jc w:val="center"/>
              <w:rPr>
                <w:rFonts w:ascii="Arial" w:eastAsiaTheme="minorEastAsia" w:hAnsi="Arial" w:cs="Arial"/>
                <w:color w:val="FFFFFF"/>
                <w:sz w:val="40"/>
                <w:szCs w:val="40"/>
              </w:rPr>
            </w:pPr>
          </w:p>
          <w:p w:rsidR="00394314" w:rsidRDefault="00394314" w:rsidP="00F902A2">
            <w:pPr>
              <w:autoSpaceDE w:val="0"/>
              <w:autoSpaceDN w:val="0"/>
              <w:adjustRightInd w:val="0"/>
              <w:spacing w:before="60" w:after="60"/>
              <w:jc w:val="center"/>
              <w:rPr>
                <w:rFonts w:ascii="Arial" w:eastAsiaTheme="minorEastAsia" w:hAnsi="Arial" w:cs="Arial"/>
                <w:color w:val="FFFFFF"/>
                <w:sz w:val="40"/>
                <w:szCs w:val="40"/>
              </w:rPr>
            </w:pPr>
          </w:p>
          <w:p w:rsidR="00F902A2" w:rsidRPr="00F902A2" w:rsidRDefault="00F902A2" w:rsidP="00F902A2">
            <w:pPr>
              <w:autoSpaceDE w:val="0"/>
              <w:autoSpaceDN w:val="0"/>
              <w:adjustRightInd w:val="0"/>
              <w:spacing w:before="60" w:after="60"/>
              <w:jc w:val="center"/>
              <w:rPr>
                <w:rFonts w:ascii="Arial" w:eastAsiaTheme="minorEastAsia" w:hAnsi="Arial" w:cs="Arial"/>
                <w:color w:val="FFFFFF"/>
                <w:sz w:val="40"/>
                <w:szCs w:val="40"/>
              </w:rPr>
            </w:pPr>
            <w:r w:rsidRPr="00F902A2">
              <w:rPr>
                <w:rFonts w:ascii="Arial" w:eastAsiaTheme="minorEastAsia" w:hAnsi="Arial" w:cs="Arial"/>
                <w:color w:val="FFFFFF"/>
                <w:sz w:val="40"/>
                <w:szCs w:val="40"/>
              </w:rPr>
              <w:t> </w:t>
            </w:r>
          </w:p>
        </w:tc>
        <w:tc>
          <w:tcPr>
            <w:tcW w:w="4766" w:type="dxa"/>
            <w:tcBorders>
              <w:top w:val="nil"/>
              <w:left w:val="nil"/>
              <w:bottom w:val="single" w:sz="22" w:space="0" w:color="0000FF"/>
              <w:right w:val="single" w:sz="22" w:space="0" w:color="0000FF"/>
            </w:tcBorders>
            <w:shd w:val="clear" w:color="auto" w:fill="FFFFFF"/>
            <w:tcMar>
              <w:left w:w="60" w:type="dxa"/>
              <w:right w:w="60" w:type="dxa"/>
            </w:tcMar>
            <w:vAlign w:val="bottom"/>
          </w:tcPr>
          <w:p w:rsidR="00F902A2" w:rsidRPr="00F902A2" w:rsidRDefault="00394314" w:rsidP="00F902A2">
            <w:pPr>
              <w:autoSpaceDE w:val="0"/>
              <w:autoSpaceDN w:val="0"/>
              <w:adjustRightInd w:val="0"/>
              <w:spacing w:before="60" w:after="60"/>
              <w:jc w:val="right"/>
              <w:rPr>
                <w:rFonts w:ascii="Arial" w:eastAsiaTheme="minorEastAsia" w:hAnsi="Arial" w:cs="Arial"/>
                <w:color w:val="FFFFFF"/>
                <w:sz w:val="40"/>
                <w:szCs w:val="40"/>
              </w:rPr>
            </w:pPr>
            <w:r>
              <w:rPr>
                <w:rFonts w:eastAsiaTheme="minorEastAsia"/>
                <w:noProof/>
                <w:color w:val="000000"/>
                <w:sz w:val="52"/>
                <w:szCs w:val="52"/>
              </w:rPr>
              <w:drawing>
                <wp:inline distT="0" distB="0" distL="0" distR="0" wp14:anchorId="2F5FABC9" wp14:editId="044E14B7">
                  <wp:extent cx="2286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logo.gif"/>
                          <pic:cNvPicPr/>
                        </pic:nvPicPr>
                        <pic:blipFill>
                          <a:blip r:embed="rId10">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r w:rsidR="00F902A2" w:rsidRPr="00F902A2">
              <w:rPr>
                <w:rFonts w:ascii="Arial" w:eastAsiaTheme="minorEastAsia" w:hAnsi="Arial" w:cs="Arial"/>
                <w:color w:val="FFFFFF"/>
                <w:sz w:val="40"/>
                <w:szCs w:val="40"/>
              </w:rPr>
              <w:t xml:space="preserve">   </w:t>
            </w:r>
          </w:p>
        </w:tc>
      </w:tr>
    </w:tbl>
    <w:p w:rsidR="00F902A2" w:rsidRDefault="00F902A2" w:rsidP="00F902A2"/>
    <w:p w:rsidR="00F902A2" w:rsidRDefault="00F902A2">
      <w:r>
        <w:br w:type="page"/>
      </w:r>
    </w:p>
    <w:sdt>
      <w:sdtPr>
        <w:rPr>
          <w:rFonts w:ascii="Times New Roman" w:eastAsia="Times New Roman" w:hAnsi="Times New Roman" w:cs="Times New Roman"/>
          <w:b w:val="0"/>
          <w:bCs w:val="0"/>
          <w:color w:val="auto"/>
          <w:sz w:val="24"/>
          <w:szCs w:val="24"/>
          <w:lang w:eastAsia="en-US"/>
        </w:rPr>
        <w:id w:val="-886875778"/>
        <w:docPartObj>
          <w:docPartGallery w:val="Table of Contents"/>
          <w:docPartUnique/>
        </w:docPartObj>
      </w:sdtPr>
      <w:sdtEndPr>
        <w:rPr>
          <w:noProof/>
        </w:rPr>
      </w:sdtEndPr>
      <w:sdtContent>
        <w:p w:rsidR="00A02215" w:rsidRDefault="00A02215" w:rsidP="00965D79">
          <w:pPr>
            <w:pStyle w:val="TOCHeading"/>
            <w:spacing w:line="480" w:lineRule="auto"/>
          </w:pPr>
          <w:r>
            <w:t>Table of Contents</w:t>
          </w:r>
        </w:p>
        <w:p w:rsidR="00CB1EFA" w:rsidRDefault="00A02215">
          <w:pPr>
            <w:pStyle w:val="TOC1"/>
            <w:tabs>
              <w:tab w:val="right" w:leader="dot" w:pos="115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90936275" w:history="1">
            <w:r w:rsidR="00CB1EFA" w:rsidRPr="0033357D">
              <w:rPr>
                <w:rStyle w:val="Hyperlink"/>
                <w:noProof/>
              </w:rPr>
              <w:t>Introduction</w:t>
            </w:r>
            <w:r w:rsidR="00CB1EFA">
              <w:rPr>
                <w:noProof/>
                <w:webHidden/>
              </w:rPr>
              <w:tab/>
            </w:r>
            <w:r w:rsidR="00CB1EFA">
              <w:rPr>
                <w:noProof/>
                <w:webHidden/>
              </w:rPr>
              <w:fldChar w:fldCharType="begin"/>
            </w:r>
            <w:r w:rsidR="00CB1EFA">
              <w:rPr>
                <w:noProof/>
                <w:webHidden/>
              </w:rPr>
              <w:instrText xml:space="preserve"> PAGEREF _Toc390936275 \h </w:instrText>
            </w:r>
            <w:r w:rsidR="00CB1EFA">
              <w:rPr>
                <w:noProof/>
                <w:webHidden/>
              </w:rPr>
            </w:r>
            <w:r w:rsidR="00CB1EFA">
              <w:rPr>
                <w:noProof/>
                <w:webHidden/>
              </w:rPr>
              <w:fldChar w:fldCharType="separate"/>
            </w:r>
            <w:r w:rsidR="00427B1A">
              <w:rPr>
                <w:noProof/>
                <w:webHidden/>
              </w:rPr>
              <w:t>3</w:t>
            </w:r>
            <w:r w:rsidR="00CB1EFA">
              <w:rPr>
                <w:noProof/>
                <w:webHidden/>
              </w:rPr>
              <w:fldChar w:fldCharType="end"/>
            </w:r>
          </w:hyperlink>
        </w:p>
        <w:p w:rsidR="00CB1EFA" w:rsidRDefault="009D53F2">
          <w:pPr>
            <w:pStyle w:val="TOC1"/>
            <w:tabs>
              <w:tab w:val="right" w:leader="dot" w:pos="11510"/>
            </w:tabs>
            <w:rPr>
              <w:rFonts w:asciiTheme="minorHAnsi" w:eastAsiaTheme="minorEastAsia" w:hAnsiTheme="minorHAnsi" w:cstheme="minorBidi"/>
              <w:noProof/>
              <w:sz w:val="22"/>
              <w:szCs w:val="22"/>
            </w:rPr>
          </w:pPr>
          <w:hyperlink w:anchor="_Toc390936276" w:history="1">
            <w:r w:rsidR="00CB1EFA" w:rsidRPr="0033357D">
              <w:rPr>
                <w:rStyle w:val="Hyperlink"/>
                <w:noProof/>
              </w:rPr>
              <w:t>Interpretation of BRFSS Response Rates</w:t>
            </w:r>
            <w:r w:rsidR="00CB1EFA">
              <w:rPr>
                <w:noProof/>
                <w:webHidden/>
              </w:rPr>
              <w:tab/>
            </w:r>
            <w:r w:rsidR="00CB1EFA">
              <w:rPr>
                <w:noProof/>
                <w:webHidden/>
              </w:rPr>
              <w:fldChar w:fldCharType="begin"/>
            </w:r>
            <w:r w:rsidR="00CB1EFA">
              <w:rPr>
                <w:noProof/>
                <w:webHidden/>
              </w:rPr>
              <w:instrText xml:space="preserve"> PAGEREF _Toc390936276 \h </w:instrText>
            </w:r>
            <w:r w:rsidR="00CB1EFA">
              <w:rPr>
                <w:noProof/>
                <w:webHidden/>
              </w:rPr>
            </w:r>
            <w:r w:rsidR="00CB1EFA">
              <w:rPr>
                <w:noProof/>
                <w:webHidden/>
              </w:rPr>
              <w:fldChar w:fldCharType="separate"/>
            </w:r>
            <w:r w:rsidR="00427B1A">
              <w:rPr>
                <w:noProof/>
                <w:webHidden/>
              </w:rPr>
              <w:t>3</w:t>
            </w:r>
            <w:r w:rsidR="00CB1EFA">
              <w:rPr>
                <w:noProof/>
                <w:webHidden/>
              </w:rPr>
              <w:fldChar w:fldCharType="end"/>
            </w:r>
          </w:hyperlink>
        </w:p>
        <w:p w:rsidR="00CB1EFA" w:rsidRDefault="009D53F2">
          <w:pPr>
            <w:pStyle w:val="TOC1"/>
            <w:tabs>
              <w:tab w:val="right" w:leader="dot" w:pos="11510"/>
            </w:tabs>
            <w:rPr>
              <w:rFonts w:asciiTheme="minorHAnsi" w:eastAsiaTheme="minorEastAsia" w:hAnsiTheme="minorHAnsi" w:cstheme="minorBidi"/>
              <w:noProof/>
              <w:sz w:val="22"/>
              <w:szCs w:val="22"/>
            </w:rPr>
          </w:pPr>
          <w:hyperlink w:anchor="_Toc390936277" w:history="1">
            <w:r w:rsidR="00CB1EFA" w:rsidRPr="0033357D">
              <w:rPr>
                <w:rStyle w:val="Hyperlink"/>
                <w:noProof/>
              </w:rPr>
              <w:t>BRFSS 2013 Call Outcome Measures and Response Rate Formulae</w:t>
            </w:r>
            <w:r w:rsidR="00CB1EFA">
              <w:rPr>
                <w:noProof/>
                <w:webHidden/>
              </w:rPr>
              <w:tab/>
            </w:r>
            <w:r w:rsidR="00CB1EFA">
              <w:rPr>
                <w:noProof/>
                <w:webHidden/>
              </w:rPr>
              <w:fldChar w:fldCharType="begin"/>
            </w:r>
            <w:r w:rsidR="00CB1EFA">
              <w:rPr>
                <w:noProof/>
                <w:webHidden/>
              </w:rPr>
              <w:instrText xml:space="preserve"> PAGEREF _Toc390936277 \h </w:instrText>
            </w:r>
            <w:r w:rsidR="00CB1EFA">
              <w:rPr>
                <w:noProof/>
                <w:webHidden/>
              </w:rPr>
            </w:r>
            <w:r w:rsidR="00CB1EFA">
              <w:rPr>
                <w:noProof/>
                <w:webHidden/>
              </w:rPr>
              <w:fldChar w:fldCharType="separate"/>
            </w:r>
            <w:r w:rsidR="00427B1A">
              <w:rPr>
                <w:noProof/>
                <w:webHidden/>
              </w:rPr>
              <w:t>5</w:t>
            </w:r>
            <w:r w:rsidR="00CB1EFA">
              <w:rPr>
                <w:noProof/>
                <w:webHidden/>
              </w:rPr>
              <w:fldChar w:fldCharType="end"/>
            </w:r>
          </w:hyperlink>
        </w:p>
        <w:p w:rsidR="00CB1EFA" w:rsidRDefault="009D53F2">
          <w:pPr>
            <w:pStyle w:val="TOC1"/>
            <w:tabs>
              <w:tab w:val="right" w:leader="dot" w:pos="11510"/>
            </w:tabs>
            <w:rPr>
              <w:rFonts w:asciiTheme="minorHAnsi" w:eastAsiaTheme="minorEastAsia" w:hAnsiTheme="minorHAnsi" w:cstheme="minorBidi"/>
              <w:noProof/>
              <w:sz w:val="22"/>
              <w:szCs w:val="22"/>
            </w:rPr>
          </w:pPr>
          <w:hyperlink w:anchor="_Toc390936278" w:history="1">
            <w:r w:rsidR="00CB1EFA" w:rsidRPr="0033357D">
              <w:rPr>
                <w:rStyle w:val="Hyperlink"/>
                <w:noProof/>
              </w:rPr>
              <w:t>Tables of Outcomes and Rates by State</w:t>
            </w:r>
            <w:r w:rsidR="00CB1EFA">
              <w:rPr>
                <w:noProof/>
                <w:webHidden/>
              </w:rPr>
              <w:tab/>
            </w:r>
            <w:r w:rsidR="00CB1EFA">
              <w:rPr>
                <w:noProof/>
                <w:webHidden/>
              </w:rPr>
              <w:fldChar w:fldCharType="begin"/>
            </w:r>
            <w:r w:rsidR="00CB1EFA">
              <w:rPr>
                <w:noProof/>
                <w:webHidden/>
              </w:rPr>
              <w:instrText xml:space="preserve"> PAGEREF _Toc390936278 \h </w:instrText>
            </w:r>
            <w:r w:rsidR="00CB1EFA">
              <w:rPr>
                <w:noProof/>
                <w:webHidden/>
              </w:rPr>
            </w:r>
            <w:r w:rsidR="00CB1EFA">
              <w:rPr>
                <w:noProof/>
                <w:webHidden/>
              </w:rPr>
              <w:fldChar w:fldCharType="separate"/>
            </w:r>
            <w:r w:rsidR="00427B1A">
              <w:rPr>
                <w:noProof/>
                <w:webHidden/>
              </w:rPr>
              <w:t>10</w:t>
            </w:r>
            <w:r w:rsidR="00CB1EFA">
              <w:rPr>
                <w:noProof/>
                <w:webHidden/>
              </w:rPr>
              <w:fldChar w:fldCharType="end"/>
            </w:r>
          </w:hyperlink>
        </w:p>
        <w:p w:rsidR="00CB1EFA" w:rsidRDefault="009D53F2">
          <w:pPr>
            <w:pStyle w:val="TOC1"/>
            <w:tabs>
              <w:tab w:val="right" w:leader="dot" w:pos="11510"/>
            </w:tabs>
            <w:rPr>
              <w:rFonts w:asciiTheme="minorHAnsi" w:eastAsiaTheme="minorEastAsia" w:hAnsiTheme="minorHAnsi" w:cstheme="minorBidi"/>
              <w:noProof/>
              <w:sz w:val="22"/>
              <w:szCs w:val="22"/>
            </w:rPr>
          </w:pPr>
          <w:hyperlink w:anchor="_Toc390936279" w:history="1">
            <w:r w:rsidR="00CB1EFA" w:rsidRPr="0033357D">
              <w:rPr>
                <w:rStyle w:val="Hyperlink"/>
                <w:noProof/>
              </w:rPr>
              <w:t>References</w:t>
            </w:r>
            <w:r w:rsidR="00CB1EFA">
              <w:rPr>
                <w:noProof/>
                <w:webHidden/>
              </w:rPr>
              <w:tab/>
            </w:r>
            <w:r w:rsidR="00CB1EFA">
              <w:rPr>
                <w:noProof/>
                <w:webHidden/>
              </w:rPr>
              <w:fldChar w:fldCharType="begin"/>
            </w:r>
            <w:r w:rsidR="00CB1EFA">
              <w:rPr>
                <w:noProof/>
                <w:webHidden/>
              </w:rPr>
              <w:instrText xml:space="preserve"> PAGEREF _Toc390936279 \h </w:instrText>
            </w:r>
            <w:r w:rsidR="00CB1EFA">
              <w:rPr>
                <w:noProof/>
                <w:webHidden/>
              </w:rPr>
            </w:r>
            <w:r w:rsidR="00CB1EFA">
              <w:rPr>
                <w:noProof/>
                <w:webHidden/>
              </w:rPr>
              <w:fldChar w:fldCharType="separate"/>
            </w:r>
            <w:r w:rsidR="00427B1A">
              <w:rPr>
                <w:noProof/>
                <w:webHidden/>
              </w:rPr>
              <w:t>1</w:t>
            </w:r>
            <w:r w:rsidR="00CB1EFA">
              <w:rPr>
                <w:noProof/>
                <w:webHidden/>
              </w:rPr>
              <w:fldChar w:fldCharType="end"/>
            </w:r>
          </w:hyperlink>
        </w:p>
        <w:p w:rsidR="00A02215" w:rsidRDefault="00A02215" w:rsidP="00965D79">
          <w:pPr>
            <w:spacing w:line="480" w:lineRule="auto"/>
          </w:pPr>
          <w:r>
            <w:rPr>
              <w:b/>
              <w:bCs/>
              <w:noProof/>
            </w:rPr>
            <w:fldChar w:fldCharType="end"/>
          </w:r>
        </w:p>
      </w:sdtContent>
    </w:sdt>
    <w:p w:rsidR="00A02215" w:rsidRDefault="00A02215">
      <w:pPr>
        <w:rPr>
          <w:rFonts w:asciiTheme="majorHAnsi" w:eastAsiaTheme="majorEastAsia" w:hAnsiTheme="majorHAnsi" w:cstheme="majorBidi"/>
          <w:b/>
          <w:bCs/>
          <w:color w:val="365F91" w:themeColor="accent1" w:themeShade="BF"/>
          <w:sz w:val="28"/>
          <w:szCs w:val="28"/>
        </w:rPr>
      </w:pPr>
      <w:r>
        <w:br w:type="page"/>
      </w:r>
    </w:p>
    <w:p w:rsidR="00F902A2" w:rsidRDefault="00F902A2" w:rsidP="00272E9F">
      <w:pPr>
        <w:pStyle w:val="Heading1"/>
        <w:spacing w:line="276" w:lineRule="auto"/>
      </w:pPr>
      <w:bookmarkStart w:id="2" w:name="_Toc390936275"/>
      <w:r>
        <w:lastRenderedPageBreak/>
        <w:t>Introduction</w:t>
      </w:r>
      <w:bookmarkEnd w:id="2"/>
    </w:p>
    <w:p w:rsidR="00F902A2" w:rsidRDefault="00F902A2" w:rsidP="00272E9F">
      <w:pPr>
        <w:spacing w:line="276" w:lineRule="auto"/>
      </w:pPr>
      <w:r>
        <w:t>The</w:t>
      </w:r>
      <w:r w:rsidR="00F6109A">
        <w:t xml:space="preserve"> Behavioral Risk Factor Surveillance System (</w:t>
      </w:r>
      <w:r>
        <w:t>BRFSS</w:t>
      </w:r>
      <w:r w:rsidR="00F6109A">
        <w:t>)</w:t>
      </w:r>
      <w:r>
        <w:t xml:space="preserve"> is a state-based</w:t>
      </w:r>
      <w:r w:rsidR="00F6109A">
        <w:t>, CDC-assisted</w:t>
      </w:r>
      <w:r>
        <w:t xml:space="preserve"> </w:t>
      </w:r>
      <w:r w:rsidR="00F6109A">
        <w:t xml:space="preserve">health data collection project. It comprises  </w:t>
      </w:r>
      <w:r>
        <w:t>telephone surveys conducted by the health departments of all 50 states, the District of Columbia, Puerto Rico, the Virgin Islands, and Guam</w:t>
      </w:r>
      <w:r w:rsidR="00F6109A">
        <w:t>.</w:t>
      </w:r>
      <w:r>
        <w:t xml:space="preserve"> This Summary Data Quality Report present</w:t>
      </w:r>
      <w:r w:rsidR="00F919D0">
        <w:t>s</w:t>
      </w:r>
      <w:r>
        <w:t xml:space="preserve"> detailed descriptions of the 201</w:t>
      </w:r>
      <w:r w:rsidR="007B1D0E">
        <w:t>3</w:t>
      </w:r>
      <w:r>
        <w:t xml:space="preserve"> BRFSS calling outcomes</w:t>
      </w:r>
      <w:r w:rsidR="00F919D0">
        <w:t xml:space="preserve"> and</w:t>
      </w:r>
      <w:r>
        <w:t xml:space="preserve"> call summary information for each of the states and territories that participated in the 201</w:t>
      </w:r>
      <w:r w:rsidR="00FB4EA5">
        <w:t>3</w:t>
      </w:r>
      <w:r>
        <w:t xml:space="preserve"> BRFSS. All BRFSS public-use data are collected by landline telephone and cellular telephone to produce a single data set aggregated from the 201</w:t>
      </w:r>
      <w:r w:rsidR="00FB4EA5">
        <w:t>3</w:t>
      </w:r>
      <w:r>
        <w:t xml:space="preserve"> BRFSS</w:t>
      </w:r>
      <w:r w:rsidR="00FB4EA5">
        <w:t xml:space="preserve"> territorial and</w:t>
      </w:r>
      <w:r>
        <w:t xml:space="preserve"> state-level data</w:t>
      </w:r>
      <w:r w:rsidR="00F919D0">
        <w:t xml:space="preserve"> </w:t>
      </w:r>
      <w:r>
        <w:t xml:space="preserve">sets.  The variables and outcomes provided in this document are applicable to a combined data set of responses from </w:t>
      </w:r>
      <w:r w:rsidR="00F919D0">
        <w:t xml:space="preserve">participants using </w:t>
      </w:r>
      <w:r>
        <w:t>landline telephone</w:t>
      </w:r>
      <w:r w:rsidR="00F919D0">
        <w:t>s</w:t>
      </w:r>
      <w:r>
        <w:t xml:space="preserve"> and cellular telephone</w:t>
      </w:r>
      <w:r w:rsidR="00F919D0">
        <w:t>s</w:t>
      </w:r>
      <w:r>
        <w:t xml:space="preserve"> within each of the states</w:t>
      </w:r>
      <w:r w:rsidR="00FB4EA5">
        <w:t xml:space="preserve"> and territories</w:t>
      </w:r>
      <w:r>
        <w:t xml:space="preserve">. </w:t>
      </w:r>
    </w:p>
    <w:p w:rsidR="00F902A2" w:rsidRDefault="00F902A2" w:rsidP="00272E9F">
      <w:pPr>
        <w:spacing w:line="276" w:lineRule="auto"/>
      </w:pPr>
    </w:p>
    <w:p w:rsidR="00F902A2" w:rsidRDefault="00F902A2" w:rsidP="00272E9F">
      <w:pPr>
        <w:spacing w:line="276" w:lineRule="auto"/>
      </w:pPr>
      <w:r>
        <w:t>The inclusion of data from cellular telephone interviews in the BRFSS public release data</w:t>
      </w:r>
      <w:r w:rsidR="00F919D0">
        <w:t xml:space="preserve"> </w:t>
      </w:r>
      <w:r>
        <w:t>set has been standard protocol since 2011. In many respects, 2011 was a year of change</w:t>
      </w:r>
      <w:r w:rsidR="00F919D0">
        <w:t xml:space="preserve">—both </w:t>
      </w:r>
      <w:r>
        <w:t xml:space="preserve">in BRFSS approach and methodology. </w:t>
      </w:r>
      <w:r w:rsidR="00F919D0">
        <w:t>As</w:t>
      </w:r>
      <w:r>
        <w:t xml:space="preserve"> </w:t>
      </w:r>
      <w:r w:rsidR="00F919D0">
        <w:t xml:space="preserve">the results of </w:t>
      </w:r>
      <w:r>
        <w:t xml:space="preserve">cellular telephone interviews </w:t>
      </w:r>
      <w:r w:rsidR="00F919D0">
        <w:t xml:space="preserve">were added </w:t>
      </w:r>
      <w:r>
        <w:t xml:space="preserve">in 2011, </w:t>
      </w:r>
      <w:r w:rsidR="00F919D0">
        <w:t xml:space="preserve">so were </w:t>
      </w:r>
      <w:r>
        <w:t xml:space="preserve">new weighting procedures </w:t>
      </w:r>
      <w:r w:rsidR="00F919D0">
        <w:t xml:space="preserve">that could </w:t>
      </w:r>
      <w:r>
        <w:t xml:space="preserve">accommodate the inclusion of new weighting variables. Data users should note that new weighting procedures are likely to affect trend lines when comparing BRFSS data collected before and after 2011; because of these changes, users are advised </w:t>
      </w:r>
      <w:r w:rsidR="00F919D0">
        <w:t>NOT</w:t>
      </w:r>
      <w:r>
        <w:t xml:space="preserve"> to make direct comparisons with pre-2011 data, and instead, begin new trend lines with that year. Details of changes beginning with the 2011 BRFSS are provided in the </w:t>
      </w:r>
      <w:r w:rsidRPr="00272E9F">
        <w:rPr>
          <w:i/>
        </w:rPr>
        <w:t xml:space="preserve">Morbidity and Mortality Weekly Report </w:t>
      </w:r>
      <w:r>
        <w:t>(</w:t>
      </w:r>
      <w:r w:rsidRPr="00272E9F">
        <w:rPr>
          <w:i/>
        </w:rPr>
        <w:t>MMWR</w:t>
      </w:r>
      <w:r>
        <w:t>), which highlights weighting and coverage effects on trend lines</w:t>
      </w:r>
      <w:r w:rsidR="002B7465">
        <w:t xml:space="preserve"> </w:t>
      </w:r>
      <w:r w:rsidR="00BA7A02">
        <w:t>[1]</w:t>
      </w:r>
      <w:r>
        <w:t xml:space="preserve">.  </w:t>
      </w:r>
    </w:p>
    <w:p w:rsidR="00F902A2" w:rsidRDefault="00F902A2" w:rsidP="00272E9F">
      <w:pPr>
        <w:spacing w:line="276" w:lineRule="auto"/>
      </w:pPr>
    </w:p>
    <w:p w:rsidR="00F902A2" w:rsidRDefault="00F902A2" w:rsidP="00272E9F">
      <w:pPr>
        <w:spacing w:line="276" w:lineRule="auto"/>
      </w:pPr>
      <w:r>
        <w:t>The measures presented in this document are designed to summarize the quality of the 201</w:t>
      </w:r>
      <w:r w:rsidR="00FB4EA5">
        <w:t>3</w:t>
      </w:r>
      <w:r>
        <w:t xml:space="preserve"> BRFSS survey data. Response rates, cooperation rates, and refusal rates for BRFSS are calculated using standards set by the American Association of Public Opinion Research (AAPOR)</w:t>
      </w:r>
      <w:r w:rsidR="00BA7A02">
        <w:t xml:space="preserve"> [2]</w:t>
      </w:r>
      <w:r>
        <w:t>.  The BRFSS has calculated 20</w:t>
      </w:r>
      <w:r w:rsidR="00FB4EA5">
        <w:t>13</w:t>
      </w:r>
      <w:r>
        <w:t xml:space="preserve"> response rates using AAPOR Response Rate #4, which is in keeping with rates provided by BRFSS prior to 2011 using rates from the Council of American Survey Research Organizations (CASRO)</w:t>
      </w:r>
      <w:r w:rsidR="00BA7A02">
        <w:t xml:space="preserve"> [3]</w:t>
      </w:r>
      <w:r>
        <w:t>.</w:t>
      </w:r>
    </w:p>
    <w:p w:rsidR="00F902A2" w:rsidRDefault="00F902A2" w:rsidP="00272E9F">
      <w:pPr>
        <w:spacing w:line="276" w:lineRule="auto"/>
      </w:pPr>
    </w:p>
    <w:p w:rsidR="00F902A2" w:rsidRDefault="00F902A2" w:rsidP="00272E9F">
      <w:pPr>
        <w:spacing w:line="276" w:lineRule="auto"/>
      </w:pPr>
      <w:r>
        <w:t>Based on the guidelines of AAPOR, response rate calculations include assumptions of eligibility among potential respondents/households that are not interviewed. Changes in the geographic distribution of cellular telephone numbers by telephone companies and the portability of landline telephone numbers are likely to make it more difficult than in the past to ascertain which telephone numbers are out-of-sample and which telephone numbers represent “likely households.” The BRFSS calculates likely households using the proportions of eligible households among all phone numbers where eligibility has been determined. This “eligibility factor” appears in calculations of response</w:t>
      </w:r>
      <w:r w:rsidR="002B7465">
        <w:t>-</w:t>
      </w:r>
      <w:r>
        <w:t>, cooperation</w:t>
      </w:r>
      <w:r w:rsidR="002B7465">
        <w:t>-</w:t>
      </w:r>
      <w:r>
        <w:t>, resolution</w:t>
      </w:r>
      <w:r w:rsidR="002B7465">
        <w:t>-</w:t>
      </w:r>
      <w:r>
        <w:t>, and refusal rates.</w:t>
      </w:r>
    </w:p>
    <w:p w:rsidR="00F902A2" w:rsidRDefault="00F902A2" w:rsidP="00272E9F">
      <w:pPr>
        <w:pStyle w:val="Heading1"/>
        <w:spacing w:line="276" w:lineRule="auto"/>
      </w:pPr>
      <w:bookmarkStart w:id="3" w:name="_Toc390936276"/>
      <w:r w:rsidRPr="00F902A2">
        <w:t>Interpretation of BRFSS Response Rates</w:t>
      </w:r>
      <w:bookmarkEnd w:id="3"/>
    </w:p>
    <w:p w:rsidR="00F902A2" w:rsidRDefault="00F902A2" w:rsidP="00272E9F">
      <w:pPr>
        <w:spacing w:line="276" w:lineRule="auto"/>
      </w:pPr>
      <w:r>
        <w:t>Because this report reflects the initial inclusion of BRFSS cellular telephone interviews, contextual information on cell</w:t>
      </w:r>
      <w:r w:rsidR="006273EE">
        <w:t>ular tele</w:t>
      </w:r>
      <w:r>
        <w:t xml:space="preserve">phone response rates is provided below. Although cellular telephone response rates are generally lower than landline telephone response rates across most surveys, the BRFSS has achieved a cellular telephone response rate that compares favorably with other similar surveys (Table 1).  </w:t>
      </w:r>
    </w:p>
    <w:p w:rsidR="00F902A2" w:rsidRDefault="00F902A2" w:rsidP="00272E9F">
      <w:pPr>
        <w:spacing w:line="276" w:lineRule="auto"/>
      </w:pPr>
    </w:p>
    <w:p w:rsidR="00F902A2" w:rsidRDefault="00F902A2" w:rsidP="00F902A2">
      <w:r>
        <w:t xml:space="preserve"> </w:t>
      </w:r>
    </w:p>
    <w:tbl>
      <w:tblPr>
        <w:tblStyle w:val="TableGrid"/>
        <w:tblW w:w="10367" w:type="dxa"/>
        <w:tblLayout w:type="fixed"/>
        <w:tblLook w:val="0000" w:firstRow="0" w:lastRow="0" w:firstColumn="0" w:lastColumn="0" w:noHBand="0" w:noVBand="0"/>
      </w:tblPr>
      <w:tblGrid>
        <w:gridCol w:w="6881"/>
        <w:gridCol w:w="1301"/>
        <w:gridCol w:w="1085"/>
        <w:gridCol w:w="1100"/>
      </w:tblGrid>
      <w:tr w:rsidR="00F902A2" w:rsidRPr="00F902A2" w:rsidTr="007B1D0E">
        <w:tc>
          <w:tcPr>
            <w:tcW w:w="10367" w:type="dxa"/>
            <w:gridSpan w:val="4"/>
          </w:tcPr>
          <w:p w:rsidR="00F902A2" w:rsidRPr="00F902A2" w:rsidRDefault="00F902A2" w:rsidP="00CF0B5D">
            <w:pPr>
              <w:keepNext/>
              <w:autoSpaceDE w:val="0"/>
              <w:autoSpaceDN w:val="0"/>
              <w:adjustRightInd w:val="0"/>
              <w:spacing w:before="60" w:after="60"/>
              <w:jc w:val="center"/>
              <w:rPr>
                <w:rFonts w:eastAsiaTheme="minorEastAsia"/>
                <w:color w:val="000000"/>
              </w:rPr>
            </w:pPr>
            <w:r w:rsidRPr="00F902A2">
              <w:rPr>
                <w:rFonts w:eastAsiaTheme="minorEastAsia"/>
                <w:b/>
                <w:color w:val="000000"/>
              </w:rPr>
              <w:lastRenderedPageBreak/>
              <w:t>Table 1</w:t>
            </w:r>
            <w:r w:rsidRPr="00F902A2">
              <w:rPr>
                <w:rFonts w:eastAsiaTheme="minorEastAsia"/>
                <w:color w:val="000000"/>
              </w:rPr>
              <w:br/>
              <w:t>Examples of Cell</w:t>
            </w:r>
            <w:r w:rsidR="00CF0B5D">
              <w:rPr>
                <w:rFonts w:eastAsiaTheme="minorEastAsia"/>
                <w:color w:val="000000"/>
              </w:rPr>
              <w:t>ular Telep</w:t>
            </w:r>
            <w:r w:rsidRPr="00F902A2">
              <w:rPr>
                <w:rFonts w:eastAsiaTheme="minorEastAsia"/>
                <w:color w:val="000000"/>
              </w:rPr>
              <w:t>hone and Landline Survey Response Rates</w:t>
            </w:r>
          </w:p>
        </w:tc>
      </w:tr>
      <w:tr w:rsidR="00F902A2" w:rsidRPr="00F902A2" w:rsidTr="007B1D0E">
        <w:tc>
          <w:tcPr>
            <w:tcW w:w="8182" w:type="dxa"/>
            <w:gridSpan w:val="2"/>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p>
        </w:tc>
        <w:tc>
          <w:tcPr>
            <w:tcW w:w="2185" w:type="dxa"/>
            <w:gridSpan w:val="2"/>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Response Rates</w:t>
            </w:r>
          </w:p>
        </w:tc>
      </w:tr>
      <w:tr w:rsidR="00F902A2" w:rsidRPr="00F902A2" w:rsidTr="007B1D0E">
        <w:tc>
          <w:tcPr>
            <w:tcW w:w="6881" w:type="dxa"/>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Survey</w:t>
            </w:r>
          </w:p>
        </w:tc>
        <w:tc>
          <w:tcPr>
            <w:tcW w:w="1301" w:type="dxa"/>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Year(s)</w:t>
            </w:r>
          </w:p>
        </w:tc>
        <w:tc>
          <w:tcPr>
            <w:tcW w:w="1085" w:type="dxa"/>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Landline</w:t>
            </w:r>
          </w:p>
        </w:tc>
        <w:tc>
          <w:tcPr>
            <w:tcW w:w="1100" w:type="dxa"/>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Cell Phone</w:t>
            </w:r>
          </w:p>
        </w:tc>
      </w:tr>
      <w:tr w:rsidR="00F902A2" w:rsidRPr="00F902A2" w:rsidTr="007B1D0E">
        <w:tc>
          <w:tcPr>
            <w:tcW w:w="6881" w:type="dxa"/>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California Health Interview Survey (CHIS)</w:t>
            </w:r>
            <w:r w:rsidRPr="00F902A2">
              <w:rPr>
                <w:rFonts w:eastAsiaTheme="minorEastAsia"/>
                <w:color w:val="000000"/>
                <w:vertAlign w:val="superscript"/>
              </w:rPr>
              <w:t>1</w:t>
            </w:r>
          </w:p>
        </w:tc>
        <w:tc>
          <w:tcPr>
            <w:tcW w:w="1301" w:type="dxa"/>
          </w:tcPr>
          <w:p w:rsidR="00F902A2" w:rsidRPr="00F902A2" w:rsidRDefault="007C4301" w:rsidP="006273EE">
            <w:pPr>
              <w:autoSpaceDE w:val="0"/>
              <w:autoSpaceDN w:val="0"/>
              <w:adjustRightInd w:val="0"/>
              <w:spacing w:before="60" w:after="60"/>
              <w:jc w:val="center"/>
              <w:rPr>
                <w:rFonts w:eastAsiaTheme="minorEastAsia"/>
                <w:color w:val="000000"/>
              </w:rPr>
            </w:pPr>
            <w:r>
              <w:rPr>
                <w:rFonts w:eastAsiaTheme="minorEastAsia"/>
                <w:color w:val="000000"/>
              </w:rPr>
              <w:t>2011</w:t>
            </w:r>
            <w:r w:rsidR="006273EE">
              <w:rPr>
                <w:rFonts w:eastAsiaTheme="minorEastAsia"/>
                <w:color w:val="000000"/>
              </w:rPr>
              <w:t>–</w:t>
            </w:r>
            <w:r>
              <w:rPr>
                <w:rFonts w:eastAsiaTheme="minorEastAsia"/>
                <w:color w:val="000000"/>
              </w:rPr>
              <w:t>2012</w:t>
            </w:r>
          </w:p>
        </w:tc>
        <w:tc>
          <w:tcPr>
            <w:tcW w:w="1085" w:type="dxa"/>
          </w:tcPr>
          <w:p w:rsidR="00F902A2" w:rsidRPr="00F902A2" w:rsidRDefault="007C4301" w:rsidP="007C4301">
            <w:pPr>
              <w:autoSpaceDE w:val="0"/>
              <w:autoSpaceDN w:val="0"/>
              <w:adjustRightInd w:val="0"/>
              <w:spacing w:before="60" w:after="60"/>
              <w:jc w:val="center"/>
              <w:rPr>
                <w:rFonts w:eastAsiaTheme="minorEastAsia"/>
                <w:color w:val="000000"/>
              </w:rPr>
            </w:pPr>
            <w:r>
              <w:rPr>
                <w:rFonts w:eastAsiaTheme="minorEastAsia"/>
                <w:color w:val="000000"/>
              </w:rPr>
              <w:t>19.7</w:t>
            </w:r>
            <w:r w:rsidR="00F902A2" w:rsidRPr="00F902A2">
              <w:rPr>
                <w:rFonts w:eastAsiaTheme="minorEastAsia"/>
                <w:color w:val="000000"/>
              </w:rPr>
              <w:t>%</w:t>
            </w:r>
          </w:p>
        </w:tc>
        <w:tc>
          <w:tcPr>
            <w:tcW w:w="1100" w:type="dxa"/>
          </w:tcPr>
          <w:p w:rsidR="00F902A2" w:rsidRPr="00F902A2" w:rsidRDefault="007C4301" w:rsidP="007C4301">
            <w:pPr>
              <w:autoSpaceDE w:val="0"/>
              <w:autoSpaceDN w:val="0"/>
              <w:adjustRightInd w:val="0"/>
              <w:spacing w:before="60" w:after="60"/>
              <w:jc w:val="center"/>
              <w:rPr>
                <w:rFonts w:eastAsiaTheme="minorEastAsia"/>
                <w:color w:val="000000"/>
              </w:rPr>
            </w:pPr>
            <w:r>
              <w:rPr>
                <w:rFonts w:eastAsiaTheme="minorEastAsia"/>
                <w:color w:val="000000"/>
              </w:rPr>
              <w:t>11.</w:t>
            </w:r>
            <w:r w:rsidR="00F902A2" w:rsidRPr="00F902A2">
              <w:rPr>
                <w:rFonts w:eastAsiaTheme="minorEastAsia"/>
                <w:color w:val="000000"/>
              </w:rPr>
              <w:t>1%</w:t>
            </w:r>
          </w:p>
        </w:tc>
      </w:tr>
      <w:tr w:rsidR="00F902A2" w:rsidRPr="00F902A2" w:rsidTr="007B1D0E">
        <w:tc>
          <w:tcPr>
            <w:tcW w:w="6881" w:type="dxa"/>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The Commonwealth Fund 2010 Biennial Health Insurance Survey</w:t>
            </w:r>
            <w:r w:rsidRPr="00F902A2">
              <w:rPr>
                <w:rFonts w:eastAsiaTheme="minorEastAsia"/>
                <w:color w:val="000000"/>
                <w:vertAlign w:val="superscript"/>
              </w:rPr>
              <w:t>2</w:t>
            </w:r>
          </w:p>
        </w:tc>
        <w:tc>
          <w:tcPr>
            <w:tcW w:w="1301" w:type="dxa"/>
          </w:tcPr>
          <w:p w:rsidR="00F902A2" w:rsidRPr="00F902A2" w:rsidRDefault="00F902A2" w:rsidP="007C4301">
            <w:pPr>
              <w:autoSpaceDE w:val="0"/>
              <w:autoSpaceDN w:val="0"/>
              <w:adjustRightInd w:val="0"/>
              <w:spacing w:before="60" w:after="60"/>
              <w:jc w:val="center"/>
              <w:rPr>
                <w:rFonts w:eastAsiaTheme="minorEastAsia"/>
                <w:color w:val="000000"/>
              </w:rPr>
            </w:pPr>
            <w:r w:rsidRPr="00F902A2">
              <w:rPr>
                <w:rFonts w:eastAsiaTheme="minorEastAsia"/>
                <w:color w:val="000000"/>
              </w:rPr>
              <w:t>201</w:t>
            </w:r>
            <w:r w:rsidR="007C4301">
              <w:rPr>
                <w:rFonts w:eastAsiaTheme="minorEastAsia"/>
                <w:color w:val="000000"/>
              </w:rPr>
              <w:t>2</w:t>
            </w:r>
          </w:p>
        </w:tc>
        <w:tc>
          <w:tcPr>
            <w:tcW w:w="1085" w:type="dxa"/>
          </w:tcPr>
          <w:p w:rsidR="00F902A2" w:rsidRPr="00F902A2" w:rsidRDefault="00F902A2" w:rsidP="007C4301">
            <w:pPr>
              <w:autoSpaceDE w:val="0"/>
              <w:autoSpaceDN w:val="0"/>
              <w:adjustRightInd w:val="0"/>
              <w:spacing w:before="60" w:after="60"/>
              <w:jc w:val="center"/>
              <w:rPr>
                <w:rFonts w:eastAsiaTheme="minorEastAsia"/>
                <w:color w:val="000000"/>
              </w:rPr>
            </w:pPr>
            <w:r w:rsidRPr="00F902A2">
              <w:rPr>
                <w:rFonts w:eastAsiaTheme="minorEastAsia"/>
                <w:color w:val="000000"/>
              </w:rPr>
              <w:t>2</w:t>
            </w:r>
            <w:r w:rsidR="007C4301">
              <w:rPr>
                <w:rFonts w:eastAsiaTheme="minorEastAsia"/>
                <w:color w:val="000000"/>
              </w:rPr>
              <w:t>2</w:t>
            </w:r>
            <w:r w:rsidRPr="00F902A2">
              <w:rPr>
                <w:rFonts w:eastAsiaTheme="minorEastAsia"/>
                <w:color w:val="000000"/>
              </w:rPr>
              <w:t>.0%</w:t>
            </w:r>
          </w:p>
        </w:tc>
        <w:tc>
          <w:tcPr>
            <w:tcW w:w="1100" w:type="dxa"/>
          </w:tcPr>
          <w:p w:rsidR="00F902A2" w:rsidRPr="00F902A2" w:rsidRDefault="007C4301" w:rsidP="007C4301">
            <w:pPr>
              <w:autoSpaceDE w:val="0"/>
              <w:autoSpaceDN w:val="0"/>
              <w:adjustRightInd w:val="0"/>
              <w:spacing w:before="60" w:after="60"/>
              <w:jc w:val="center"/>
              <w:rPr>
                <w:rFonts w:eastAsiaTheme="minorEastAsia"/>
                <w:color w:val="000000"/>
              </w:rPr>
            </w:pPr>
            <w:r>
              <w:rPr>
                <w:rFonts w:eastAsiaTheme="minorEastAsia"/>
                <w:color w:val="000000"/>
              </w:rPr>
              <w:t>19</w:t>
            </w:r>
            <w:r w:rsidR="00F902A2" w:rsidRPr="00F902A2">
              <w:rPr>
                <w:rFonts w:eastAsiaTheme="minorEastAsia"/>
                <w:color w:val="000000"/>
              </w:rPr>
              <w:t>.0%</w:t>
            </w:r>
          </w:p>
        </w:tc>
      </w:tr>
      <w:tr w:rsidR="00F902A2" w:rsidRPr="00F902A2" w:rsidTr="007B1D0E">
        <w:tc>
          <w:tcPr>
            <w:tcW w:w="6881" w:type="dxa"/>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National Immunization Survey (NIS)</w:t>
            </w:r>
            <w:r w:rsidR="007C4301">
              <w:rPr>
                <w:rFonts w:eastAsiaTheme="minorEastAsia"/>
                <w:color w:val="000000"/>
                <w:vertAlign w:val="superscript"/>
              </w:rPr>
              <w:t>3</w:t>
            </w:r>
          </w:p>
        </w:tc>
        <w:tc>
          <w:tcPr>
            <w:tcW w:w="1301" w:type="dxa"/>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2011</w:t>
            </w:r>
          </w:p>
        </w:tc>
        <w:tc>
          <w:tcPr>
            <w:tcW w:w="1085" w:type="dxa"/>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 xml:space="preserve">61.7% </w:t>
            </w:r>
            <w:r w:rsidRPr="00F902A2">
              <w:rPr>
                <w:rFonts w:eastAsiaTheme="minorEastAsia"/>
                <w:color w:val="000000"/>
                <w:vertAlign w:val="superscript"/>
              </w:rPr>
              <w:t>a</w:t>
            </w:r>
          </w:p>
        </w:tc>
        <w:tc>
          <w:tcPr>
            <w:tcW w:w="1100" w:type="dxa"/>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25.2%</w:t>
            </w:r>
          </w:p>
        </w:tc>
      </w:tr>
      <w:tr w:rsidR="00F902A2" w:rsidRPr="00F902A2" w:rsidTr="007B1D0E">
        <w:tc>
          <w:tcPr>
            <w:tcW w:w="6881" w:type="dxa"/>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Pew Internet and American Life Project</w:t>
            </w:r>
            <w:r w:rsidR="007B1D0E">
              <w:rPr>
                <w:rFonts w:eastAsiaTheme="minorEastAsia"/>
                <w:color w:val="000000"/>
                <w:vertAlign w:val="superscript"/>
              </w:rPr>
              <w:t>4</w:t>
            </w:r>
          </w:p>
        </w:tc>
        <w:tc>
          <w:tcPr>
            <w:tcW w:w="1301" w:type="dxa"/>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2012</w:t>
            </w:r>
          </w:p>
        </w:tc>
        <w:tc>
          <w:tcPr>
            <w:tcW w:w="1085" w:type="dxa"/>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11.1%</w:t>
            </w:r>
          </w:p>
        </w:tc>
        <w:tc>
          <w:tcPr>
            <w:tcW w:w="1100" w:type="dxa"/>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10.0%</w:t>
            </w:r>
          </w:p>
        </w:tc>
      </w:tr>
      <w:tr w:rsidR="007B1D0E" w:rsidRPr="00F902A2" w:rsidTr="007B1D0E">
        <w:tc>
          <w:tcPr>
            <w:tcW w:w="6881" w:type="dxa"/>
          </w:tcPr>
          <w:p w:rsidR="007B1D0E" w:rsidRPr="007B1D0E" w:rsidRDefault="007B1D0E" w:rsidP="00F902A2">
            <w:pPr>
              <w:autoSpaceDE w:val="0"/>
              <w:autoSpaceDN w:val="0"/>
              <w:adjustRightInd w:val="0"/>
              <w:spacing w:before="60" w:after="60"/>
              <w:rPr>
                <w:rFonts w:eastAsiaTheme="minorEastAsia"/>
                <w:color w:val="000000"/>
                <w:vertAlign w:val="superscript"/>
              </w:rPr>
            </w:pPr>
            <w:r>
              <w:rPr>
                <w:rFonts w:eastAsiaTheme="minorEastAsia"/>
                <w:color w:val="000000"/>
              </w:rPr>
              <w:t>National Adult Tobacco Survey</w:t>
            </w:r>
            <w:r w:rsidR="006273EE">
              <w:rPr>
                <w:rFonts w:eastAsiaTheme="minorEastAsia"/>
                <w:color w:val="000000"/>
              </w:rPr>
              <w:t xml:space="preserve"> (NATS)</w:t>
            </w:r>
            <w:r>
              <w:rPr>
                <w:rFonts w:eastAsiaTheme="minorEastAsia"/>
                <w:color w:val="000000"/>
                <w:vertAlign w:val="superscript"/>
              </w:rPr>
              <w:t>5</w:t>
            </w:r>
          </w:p>
        </w:tc>
        <w:tc>
          <w:tcPr>
            <w:tcW w:w="1301" w:type="dxa"/>
          </w:tcPr>
          <w:p w:rsidR="007B1D0E" w:rsidRPr="00F902A2" w:rsidRDefault="007B1D0E" w:rsidP="00F902A2">
            <w:pPr>
              <w:autoSpaceDE w:val="0"/>
              <w:autoSpaceDN w:val="0"/>
              <w:adjustRightInd w:val="0"/>
              <w:spacing w:before="60" w:after="60"/>
              <w:jc w:val="center"/>
              <w:rPr>
                <w:rFonts w:eastAsiaTheme="minorEastAsia"/>
                <w:color w:val="000000"/>
              </w:rPr>
            </w:pPr>
            <w:r>
              <w:rPr>
                <w:rFonts w:eastAsiaTheme="minorEastAsia"/>
                <w:color w:val="000000"/>
              </w:rPr>
              <w:t>2009</w:t>
            </w:r>
            <w:r w:rsidR="006273EE">
              <w:rPr>
                <w:rFonts w:eastAsiaTheme="minorEastAsia"/>
                <w:color w:val="000000"/>
              </w:rPr>
              <w:t>–</w:t>
            </w:r>
            <w:r>
              <w:rPr>
                <w:rFonts w:eastAsiaTheme="minorEastAsia"/>
                <w:color w:val="000000"/>
              </w:rPr>
              <w:t>2010</w:t>
            </w:r>
          </w:p>
        </w:tc>
        <w:tc>
          <w:tcPr>
            <w:tcW w:w="1085" w:type="dxa"/>
          </w:tcPr>
          <w:p w:rsidR="007B1D0E" w:rsidRPr="00F902A2" w:rsidRDefault="007B1D0E" w:rsidP="00F902A2">
            <w:pPr>
              <w:autoSpaceDE w:val="0"/>
              <w:autoSpaceDN w:val="0"/>
              <w:adjustRightInd w:val="0"/>
              <w:spacing w:before="60" w:after="60"/>
              <w:jc w:val="center"/>
              <w:rPr>
                <w:rFonts w:eastAsiaTheme="minorEastAsia"/>
                <w:color w:val="000000"/>
              </w:rPr>
            </w:pPr>
            <w:r>
              <w:rPr>
                <w:rFonts w:eastAsiaTheme="minorEastAsia"/>
                <w:color w:val="000000"/>
              </w:rPr>
              <w:t>40.4%</w:t>
            </w:r>
          </w:p>
        </w:tc>
        <w:tc>
          <w:tcPr>
            <w:tcW w:w="1100" w:type="dxa"/>
          </w:tcPr>
          <w:p w:rsidR="007B1D0E" w:rsidRPr="00F902A2" w:rsidRDefault="007B1D0E" w:rsidP="00F902A2">
            <w:pPr>
              <w:autoSpaceDE w:val="0"/>
              <w:autoSpaceDN w:val="0"/>
              <w:adjustRightInd w:val="0"/>
              <w:spacing w:before="60" w:after="60"/>
              <w:jc w:val="center"/>
              <w:rPr>
                <w:rFonts w:eastAsiaTheme="minorEastAsia"/>
                <w:color w:val="000000"/>
              </w:rPr>
            </w:pPr>
            <w:r>
              <w:rPr>
                <w:rFonts w:eastAsiaTheme="minorEastAsia"/>
                <w:color w:val="000000"/>
              </w:rPr>
              <w:t>24.9%</w:t>
            </w:r>
          </w:p>
        </w:tc>
      </w:tr>
      <w:tr w:rsidR="00F902A2" w:rsidRPr="00F902A2" w:rsidTr="007B1D0E">
        <w:tc>
          <w:tcPr>
            <w:tcW w:w="6881" w:type="dxa"/>
          </w:tcPr>
          <w:p w:rsidR="00F902A2" w:rsidRPr="00CB1EFA" w:rsidRDefault="00F902A2" w:rsidP="00F902A2">
            <w:pPr>
              <w:autoSpaceDE w:val="0"/>
              <w:autoSpaceDN w:val="0"/>
              <w:adjustRightInd w:val="0"/>
              <w:spacing w:before="60" w:after="60"/>
              <w:rPr>
                <w:rFonts w:eastAsiaTheme="minorEastAsia"/>
                <w:color w:val="000000"/>
                <w:vertAlign w:val="superscript"/>
              </w:rPr>
            </w:pPr>
            <w:r w:rsidRPr="00F902A2">
              <w:rPr>
                <w:rFonts w:eastAsiaTheme="minorEastAsia"/>
                <w:color w:val="000000"/>
              </w:rPr>
              <w:t>BRFSS</w:t>
            </w:r>
            <w:r w:rsidR="00CB1EFA">
              <w:rPr>
                <w:rFonts w:eastAsiaTheme="minorEastAsia"/>
                <w:color w:val="000000"/>
                <w:vertAlign w:val="superscript"/>
              </w:rPr>
              <w:t>6</w:t>
            </w:r>
          </w:p>
        </w:tc>
        <w:tc>
          <w:tcPr>
            <w:tcW w:w="1301" w:type="dxa"/>
          </w:tcPr>
          <w:p w:rsidR="00F902A2" w:rsidRPr="00F902A2" w:rsidRDefault="00F902A2" w:rsidP="00FB4EA5">
            <w:pPr>
              <w:autoSpaceDE w:val="0"/>
              <w:autoSpaceDN w:val="0"/>
              <w:adjustRightInd w:val="0"/>
              <w:spacing w:before="60" w:after="60"/>
              <w:jc w:val="center"/>
              <w:rPr>
                <w:rFonts w:eastAsiaTheme="minorEastAsia"/>
                <w:color w:val="000000"/>
              </w:rPr>
            </w:pPr>
            <w:r w:rsidRPr="00F902A2">
              <w:rPr>
                <w:rFonts w:eastAsiaTheme="minorEastAsia"/>
                <w:color w:val="000000"/>
              </w:rPr>
              <w:t>201</w:t>
            </w:r>
            <w:r w:rsidR="00FB4EA5">
              <w:rPr>
                <w:rFonts w:eastAsiaTheme="minorEastAsia"/>
                <w:color w:val="000000"/>
              </w:rPr>
              <w:t>3</w:t>
            </w:r>
          </w:p>
        </w:tc>
        <w:tc>
          <w:tcPr>
            <w:tcW w:w="1085" w:type="dxa"/>
          </w:tcPr>
          <w:p w:rsidR="00F902A2" w:rsidRPr="008F1667" w:rsidRDefault="006A48C6" w:rsidP="00FB4EA5">
            <w:pPr>
              <w:autoSpaceDE w:val="0"/>
              <w:autoSpaceDN w:val="0"/>
              <w:adjustRightInd w:val="0"/>
              <w:spacing w:before="60" w:after="60"/>
              <w:jc w:val="center"/>
              <w:rPr>
                <w:rFonts w:eastAsiaTheme="minorEastAsia"/>
                <w:color w:val="000000"/>
              </w:rPr>
            </w:pPr>
            <w:r w:rsidRPr="008F1667">
              <w:rPr>
                <w:rFonts w:eastAsiaTheme="minorEastAsia"/>
                <w:color w:val="000000"/>
              </w:rPr>
              <w:t>49.6</w:t>
            </w:r>
            <w:r w:rsidR="00F902A2" w:rsidRPr="008F1667">
              <w:rPr>
                <w:rFonts w:eastAsiaTheme="minorEastAsia"/>
                <w:color w:val="000000"/>
              </w:rPr>
              <w:t>%</w:t>
            </w:r>
          </w:p>
        </w:tc>
        <w:tc>
          <w:tcPr>
            <w:tcW w:w="1100" w:type="dxa"/>
          </w:tcPr>
          <w:p w:rsidR="00F902A2" w:rsidRPr="008F1667" w:rsidRDefault="006A48C6" w:rsidP="006A48C6">
            <w:pPr>
              <w:autoSpaceDE w:val="0"/>
              <w:autoSpaceDN w:val="0"/>
              <w:adjustRightInd w:val="0"/>
              <w:spacing w:before="60" w:after="60"/>
              <w:jc w:val="center"/>
              <w:rPr>
                <w:rFonts w:eastAsiaTheme="minorEastAsia"/>
                <w:color w:val="000000"/>
              </w:rPr>
            </w:pPr>
            <w:r w:rsidRPr="008F1667">
              <w:rPr>
                <w:rFonts w:eastAsiaTheme="minorEastAsia"/>
                <w:color w:val="000000"/>
              </w:rPr>
              <w:t>37.8</w:t>
            </w:r>
            <w:r w:rsidR="00F902A2" w:rsidRPr="008F1667">
              <w:rPr>
                <w:rFonts w:eastAsiaTheme="minorEastAsia"/>
                <w:color w:val="000000"/>
              </w:rPr>
              <w:t>%</w:t>
            </w:r>
          </w:p>
        </w:tc>
      </w:tr>
      <w:tr w:rsidR="00F902A2" w:rsidRPr="00F902A2" w:rsidTr="007B1D0E">
        <w:tc>
          <w:tcPr>
            <w:tcW w:w="10367" w:type="dxa"/>
            <w:gridSpan w:val="4"/>
          </w:tcPr>
          <w:p w:rsidR="00F902A2" w:rsidRPr="00F902A2" w:rsidRDefault="00F902A2" w:rsidP="006273EE">
            <w:pPr>
              <w:autoSpaceDE w:val="0"/>
              <w:autoSpaceDN w:val="0"/>
              <w:adjustRightInd w:val="0"/>
              <w:spacing w:before="60" w:after="60"/>
              <w:rPr>
                <w:rFonts w:eastAsiaTheme="minorEastAsia"/>
                <w:color w:val="000000"/>
                <w:sz w:val="18"/>
                <w:szCs w:val="18"/>
              </w:rPr>
            </w:pPr>
            <w:proofErr w:type="spellStart"/>
            <w:r w:rsidRPr="00F902A2">
              <w:rPr>
                <w:rFonts w:eastAsiaTheme="minorEastAsia"/>
                <w:color w:val="000000"/>
                <w:sz w:val="18"/>
                <w:szCs w:val="18"/>
                <w:vertAlign w:val="superscript"/>
              </w:rPr>
              <w:t>a</w:t>
            </w:r>
            <w:r w:rsidRPr="00F902A2">
              <w:rPr>
                <w:rFonts w:eastAsiaTheme="minorEastAsia"/>
                <w:color w:val="000000"/>
                <w:sz w:val="18"/>
                <w:szCs w:val="18"/>
              </w:rPr>
              <w:t>Unlike</w:t>
            </w:r>
            <w:proofErr w:type="spellEnd"/>
            <w:r w:rsidRPr="00F902A2">
              <w:rPr>
                <w:rFonts w:eastAsiaTheme="minorEastAsia"/>
                <w:color w:val="000000"/>
                <w:sz w:val="18"/>
                <w:szCs w:val="18"/>
              </w:rPr>
              <w:t xml:space="preserve"> the BRFSS, the NIS does not include household sampling in the landline portion of the study but interviews the adult who self-identifies as "most knowledgeable" about household immunization information.</w:t>
            </w:r>
          </w:p>
        </w:tc>
      </w:tr>
      <w:tr w:rsidR="00F902A2" w:rsidRPr="00F902A2" w:rsidTr="007B1D0E">
        <w:tc>
          <w:tcPr>
            <w:tcW w:w="10367" w:type="dxa"/>
            <w:gridSpan w:val="4"/>
          </w:tcPr>
          <w:p w:rsidR="00F902A2" w:rsidRPr="007B1D0E" w:rsidRDefault="009D53F2" w:rsidP="007C4301">
            <w:pPr>
              <w:autoSpaceDE w:val="0"/>
              <w:autoSpaceDN w:val="0"/>
              <w:adjustRightInd w:val="0"/>
              <w:spacing w:before="60" w:after="60"/>
              <w:rPr>
                <w:rFonts w:eastAsiaTheme="minorEastAsia"/>
                <w:color w:val="000000"/>
                <w:sz w:val="18"/>
                <w:szCs w:val="18"/>
              </w:rPr>
            </w:pPr>
            <w:hyperlink r:id="rId11" w:history="1">
              <w:r w:rsidR="00F902A2" w:rsidRPr="007B1D0E">
                <w:rPr>
                  <w:rFonts w:eastAsiaTheme="minorEastAsia"/>
                  <w:color w:val="000000"/>
                  <w:sz w:val="18"/>
                  <w:szCs w:val="18"/>
                  <w:vertAlign w:val="superscript"/>
                </w:rPr>
                <w:t>1</w:t>
              </w:r>
            </w:hyperlink>
            <w:r w:rsidR="007C4301" w:rsidRPr="007B1D0E">
              <w:rPr>
                <w:rFonts w:eastAsiaTheme="minorEastAsia"/>
                <w:color w:val="000000"/>
                <w:sz w:val="18"/>
                <w:szCs w:val="18"/>
              </w:rPr>
              <w:t>http://healthpolicy.ucla.edu/chis/design/Documents/chis2011-2012-method-2_2014-02-21.pdf</w:t>
            </w:r>
          </w:p>
        </w:tc>
      </w:tr>
      <w:tr w:rsidR="00F902A2" w:rsidRPr="00F902A2" w:rsidTr="007B1D0E">
        <w:tc>
          <w:tcPr>
            <w:tcW w:w="10367" w:type="dxa"/>
            <w:gridSpan w:val="4"/>
          </w:tcPr>
          <w:p w:rsidR="00F902A2" w:rsidRPr="007B1D0E" w:rsidRDefault="009D53F2" w:rsidP="00F902A2">
            <w:pPr>
              <w:autoSpaceDE w:val="0"/>
              <w:autoSpaceDN w:val="0"/>
              <w:adjustRightInd w:val="0"/>
              <w:spacing w:before="60" w:after="60"/>
              <w:rPr>
                <w:rFonts w:eastAsiaTheme="minorEastAsia"/>
                <w:color w:val="000000"/>
                <w:sz w:val="18"/>
                <w:szCs w:val="18"/>
              </w:rPr>
            </w:pPr>
            <w:hyperlink r:id="rId12" w:history="1">
              <w:r w:rsidR="00F902A2" w:rsidRPr="007B1D0E">
                <w:rPr>
                  <w:rFonts w:eastAsiaTheme="minorEastAsia"/>
                  <w:color w:val="000000"/>
                  <w:sz w:val="18"/>
                  <w:szCs w:val="18"/>
                  <w:vertAlign w:val="superscript"/>
                </w:rPr>
                <w:t>2</w:t>
              </w:r>
              <w:r w:rsidR="007C4301" w:rsidRPr="007B1D0E">
                <w:rPr>
                  <w:rFonts w:eastAsiaTheme="minorEastAsia"/>
                  <w:color w:val="000000"/>
                  <w:sz w:val="18"/>
                  <w:szCs w:val="18"/>
                </w:rPr>
                <w:t>http://www.commonwealthfund.org/Surveys/2013/Biennial-Health-Insurance-Survey.aspx</w:t>
              </w:r>
            </w:hyperlink>
          </w:p>
        </w:tc>
      </w:tr>
      <w:tr w:rsidR="00F902A2" w:rsidRPr="00F902A2" w:rsidTr="007B1D0E">
        <w:tc>
          <w:tcPr>
            <w:tcW w:w="10367" w:type="dxa"/>
            <w:gridSpan w:val="4"/>
          </w:tcPr>
          <w:p w:rsidR="00F902A2" w:rsidRPr="007B1D0E" w:rsidRDefault="009D53F2" w:rsidP="00F902A2">
            <w:pPr>
              <w:autoSpaceDE w:val="0"/>
              <w:autoSpaceDN w:val="0"/>
              <w:adjustRightInd w:val="0"/>
              <w:spacing w:before="60" w:after="60"/>
              <w:rPr>
                <w:rFonts w:eastAsiaTheme="minorEastAsia"/>
                <w:color w:val="000000"/>
                <w:sz w:val="18"/>
                <w:szCs w:val="18"/>
              </w:rPr>
            </w:pPr>
            <w:hyperlink r:id="rId13" w:history="1">
              <w:r w:rsidR="007C4301" w:rsidRPr="007B1D0E">
                <w:rPr>
                  <w:rFonts w:eastAsiaTheme="minorEastAsia"/>
                  <w:color w:val="000000"/>
                  <w:sz w:val="18"/>
                  <w:szCs w:val="18"/>
                  <w:vertAlign w:val="superscript"/>
                </w:rPr>
                <w:t>3</w:t>
              </w:r>
              <w:r w:rsidR="00F902A2" w:rsidRPr="007B1D0E">
                <w:rPr>
                  <w:rFonts w:eastAsiaTheme="minorEastAsia"/>
                  <w:color w:val="000000"/>
                  <w:sz w:val="18"/>
                  <w:szCs w:val="18"/>
                </w:rPr>
                <w:t>http://www.cdc.gov/vaccines/stats-surv/nis/dual-frame-sampling-08282012.htm</w:t>
              </w:r>
            </w:hyperlink>
          </w:p>
        </w:tc>
      </w:tr>
      <w:tr w:rsidR="00F902A2" w:rsidRPr="00F902A2" w:rsidTr="007B1D0E">
        <w:tc>
          <w:tcPr>
            <w:tcW w:w="10367" w:type="dxa"/>
            <w:gridSpan w:val="4"/>
          </w:tcPr>
          <w:p w:rsidR="00F902A2" w:rsidRPr="007B1D0E" w:rsidRDefault="009D53F2" w:rsidP="007B1D0E">
            <w:pPr>
              <w:autoSpaceDE w:val="0"/>
              <w:autoSpaceDN w:val="0"/>
              <w:adjustRightInd w:val="0"/>
              <w:spacing w:before="60" w:after="60"/>
              <w:rPr>
                <w:rFonts w:eastAsiaTheme="minorEastAsia"/>
                <w:color w:val="000000"/>
                <w:sz w:val="18"/>
                <w:szCs w:val="18"/>
              </w:rPr>
            </w:pPr>
            <w:hyperlink r:id="rId14" w:history="1">
              <w:r w:rsidR="007B1D0E" w:rsidRPr="007B1D0E">
                <w:rPr>
                  <w:rFonts w:eastAsiaTheme="minorEastAsia"/>
                  <w:color w:val="000000"/>
                  <w:sz w:val="18"/>
                  <w:szCs w:val="18"/>
                  <w:vertAlign w:val="superscript"/>
                </w:rPr>
                <w:t>4</w:t>
              </w:r>
              <w:r w:rsidR="00F902A2" w:rsidRPr="007B1D0E">
                <w:rPr>
                  <w:rFonts w:eastAsiaTheme="minorEastAsia"/>
                  <w:color w:val="000000"/>
                  <w:sz w:val="18"/>
                  <w:szCs w:val="18"/>
                </w:rPr>
                <w:t>http://www.people-press.org/2006/05/15/the-cell-phone-challenge-to-survey-research/</w:t>
              </w:r>
            </w:hyperlink>
          </w:p>
        </w:tc>
      </w:tr>
      <w:tr w:rsidR="007B1D0E" w:rsidRPr="00F902A2" w:rsidTr="007B1D0E">
        <w:tc>
          <w:tcPr>
            <w:tcW w:w="10367" w:type="dxa"/>
            <w:gridSpan w:val="4"/>
          </w:tcPr>
          <w:p w:rsidR="007B1D0E" w:rsidRPr="007B1D0E" w:rsidRDefault="007B1D0E" w:rsidP="006273EE">
            <w:pPr>
              <w:autoSpaceDE w:val="0"/>
              <w:autoSpaceDN w:val="0"/>
              <w:adjustRightInd w:val="0"/>
              <w:spacing w:before="60" w:after="60"/>
              <w:rPr>
                <w:sz w:val="18"/>
                <w:szCs w:val="18"/>
              </w:rPr>
            </w:pPr>
            <w:r w:rsidRPr="007B1D0E">
              <w:rPr>
                <w:sz w:val="18"/>
                <w:szCs w:val="18"/>
                <w:vertAlign w:val="superscript"/>
              </w:rPr>
              <w:t>5</w:t>
            </w:r>
            <w:r w:rsidRPr="007B1D0E">
              <w:rPr>
                <w:sz w:val="18"/>
                <w:szCs w:val="18"/>
              </w:rPr>
              <w:t>http://www.cdc.gov/tobacco/data_statistics/surveys/nats/</w:t>
            </w:r>
          </w:p>
        </w:tc>
      </w:tr>
      <w:tr w:rsidR="00CB1EFA" w:rsidRPr="00F902A2" w:rsidTr="007B1D0E">
        <w:tc>
          <w:tcPr>
            <w:tcW w:w="10367" w:type="dxa"/>
            <w:gridSpan w:val="4"/>
          </w:tcPr>
          <w:p w:rsidR="00CB1EFA" w:rsidRPr="00CB1EFA" w:rsidRDefault="00CB1EFA" w:rsidP="006273EE">
            <w:pPr>
              <w:autoSpaceDE w:val="0"/>
              <w:autoSpaceDN w:val="0"/>
              <w:adjustRightInd w:val="0"/>
              <w:spacing w:before="60" w:after="60"/>
              <w:rPr>
                <w:sz w:val="18"/>
                <w:szCs w:val="18"/>
              </w:rPr>
            </w:pPr>
            <w:r>
              <w:rPr>
                <w:sz w:val="18"/>
                <w:szCs w:val="18"/>
                <w:vertAlign w:val="superscript"/>
              </w:rPr>
              <w:t>6</w:t>
            </w:r>
            <w:r>
              <w:rPr>
                <w:sz w:val="18"/>
                <w:szCs w:val="18"/>
              </w:rPr>
              <w:t>BRFSS response rates are presented here as median rates for all states and territories</w:t>
            </w:r>
          </w:p>
        </w:tc>
      </w:tr>
    </w:tbl>
    <w:p w:rsidR="00F902A2" w:rsidRDefault="00F902A2" w:rsidP="00F902A2"/>
    <w:p w:rsidR="00F902A2" w:rsidRDefault="000C2446" w:rsidP="00272E9F">
      <w:pPr>
        <w:spacing w:line="276" w:lineRule="auto"/>
      </w:pPr>
      <w:r>
        <w:t xml:space="preserve">Research by </w:t>
      </w:r>
      <w:r w:rsidRPr="000C2446">
        <w:t xml:space="preserve">the Pew Research Center </w:t>
      </w:r>
      <w:r>
        <w:t xml:space="preserve">indicates that response rates for all </w:t>
      </w:r>
      <w:r w:rsidR="006273EE">
        <w:t>telephone-</w:t>
      </w:r>
      <w:r>
        <w:t>based surveys have decline</w:t>
      </w:r>
      <w:r w:rsidR="00BA7A02">
        <w:t>d</w:t>
      </w:r>
      <w:r>
        <w:t xml:space="preserve"> in recent years</w:t>
      </w:r>
      <w:r w:rsidR="003473AA">
        <w:t xml:space="preserve"> </w:t>
      </w:r>
      <w:r w:rsidR="00BA7A02">
        <w:t>[4]</w:t>
      </w:r>
      <w:r>
        <w:t>.  Despite lower response rates, this research</w:t>
      </w:r>
      <w:r w:rsidR="003473AA">
        <w:t xml:space="preserve"> supports previous findings</w:t>
      </w:r>
      <w:r w:rsidR="006273EE">
        <w:t xml:space="preserve"> </w:t>
      </w:r>
      <w:r w:rsidR="00BA7A02">
        <w:t>[5]</w:t>
      </w:r>
      <w:r>
        <w:t xml:space="preserve"> that weighting</w:t>
      </w:r>
      <w:r w:rsidR="00272E9F" w:rsidRPr="00272E9F">
        <w:t xml:space="preserve"> to demographic characteristics of respondents</w:t>
      </w:r>
      <w:r>
        <w:t xml:space="preserve"> ensure</w:t>
      </w:r>
      <w:r w:rsidR="00272E9F">
        <w:t>s</w:t>
      </w:r>
      <w:r>
        <w:t xml:space="preserve"> </w:t>
      </w:r>
      <w:r w:rsidRPr="000C2446">
        <w:t xml:space="preserve">accurate </w:t>
      </w:r>
      <w:r>
        <w:t>estimates for most measures</w:t>
      </w:r>
      <w:r w:rsidRPr="000C2446">
        <w:t>.</w:t>
      </w:r>
      <w:r w:rsidR="003473AA">
        <w:t xml:space="preserve"> </w:t>
      </w:r>
    </w:p>
    <w:p w:rsidR="000C2446" w:rsidRDefault="000C2446" w:rsidP="00272E9F">
      <w:pPr>
        <w:spacing w:line="276" w:lineRule="auto"/>
      </w:pPr>
    </w:p>
    <w:p w:rsidR="00F902A2" w:rsidRDefault="000E1121" w:rsidP="00272E9F">
      <w:pPr>
        <w:spacing w:line="276" w:lineRule="auto"/>
      </w:pPr>
      <w:r>
        <w:t>T</w:t>
      </w:r>
      <w:r w:rsidR="00F902A2">
        <w:t>he following tables</w:t>
      </w:r>
      <w:r>
        <w:t xml:space="preserve"> present</w:t>
      </w:r>
      <w:r w:rsidR="00F902A2">
        <w:t xml:space="preserve"> landline telephone and cellular telephone calling outcomes and rates. The BRFSS cellular telephone survey was collected in a manner similar to the BRFSS landline telephone survey. One important difference, however, is that interviews conducted by landline telephones include random selection among adults within households, while cellular telephone interviews are conducted with adults who are contacted on personal (nonbusiness) cellular telephones. The report presents data on three general types of measure by state:</w:t>
      </w:r>
    </w:p>
    <w:p w:rsidR="00F902A2" w:rsidRDefault="00F902A2" w:rsidP="00F902A2"/>
    <w:p w:rsidR="00F902A2" w:rsidRDefault="00F902A2" w:rsidP="00F902A2">
      <w:pPr>
        <w:ind w:left="720"/>
      </w:pPr>
      <w:r>
        <w:t>1. Call outcome measures, including response rates, which are based on landline telephone disposition codes.</w:t>
      </w:r>
    </w:p>
    <w:p w:rsidR="00F902A2" w:rsidRDefault="00F902A2" w:rsidP="00F902A2">
      <w:pPr>
        <w:ind w:left="720"/>
      </w:pPr>
    </w:p>
    <w:p w:rsidR="00F902A2" w:rsidRDefault="00F902A2" w:rsidP="00F902A2">
      <w:pPr>
        <w:ind w:left="720"/>
      </w:pPr>
      <w:r>
        <w:t>2. Call outcome measures, including response rates, which are based on cellular telephone disposition codes.</w:t>
      </w:r>
    </w:p>
    <w:p w:rsidR="00F902A2" w:rsidRDefault="00F902A2" w:rsidP="00F902A2">
      <w:pPr>
        <w:ind w:left="720"/>
      </w:pPr>
    </w:p>
    <w:p w:rsidR="00F902A2" w:rsidRDefault="00F902A2" w:rsidP="00272E9F">
      <w:pPr>
        <w:ind w:left="720"/>
      </w:pPr>
      <w:r>
        <w:t>3. A weighted response rate, based on a combination of the landline telephone response rate with the cellular telephone response rate proportional to the total sample used to collect the data for a state.</w:t>
      </w:r>
    </w:p>
    <w:p w:rsidR="007B1D0E" w:rsidRDefault="007B1D0E" w:rsidP="00F902A2"/>
    <w:p w:rsidR="007B1D0E" w:rsidRDefault="007B1D0E" w:rsidP="00F902A2"/>
    <w:p w:rsidR="00F902A2" w:rsidRDefault="00F902A2" w:rsidP="00272E9F">
      <w:pPr>
        <w:spacing w:line="276" w:lineRule="auto"/>
      </w:pPr>
      <w:r>
        <w:t>The BRFSS recommends that authors/researchers referencing BRFSS data quality include the following language</w:t>
      </w:r>
      <w:r w:rsidR="000E1121">
        <w:t>, below. Note the places where authors should include information specific to their projects.</w:t>
      </w:r>
    </w:p>
    <w:p w:rsidR="00F902A2" w:rsidRDefault="00F902A2" w:rsidP="00F902A2"/>
    <w:tbl>
      <w:tblPr>
        <w:tblStyle w:val="TableGrid"/>
        <w:tblW w:w="0" w:type="auto"/>
        <w:jc w:val="center"/>
        <w:tblInd w:w="198" w:type="dxa"/>
        <w:tblLook w:val="04A0" w:firstRow="1" w:lastRow="0" w:firstColumn="1" w:lastColumn="0" w:noHBand="0" w:noVBand="1"/>
      </w:tblPr>
      <w:tblGrid>
        <w:gridCol w:w="10098"/>
      </w:tblGrid>
      <w:tr w:rsidR="00F902A2" w:rsidRPr="00F902A2" w:rsidTr="008F1667">
        <w:trPr>
          <w:trHeight w:val="2033"/>
          <w:jc w:val="center"/>
        </w:trPr>
        <w:tc>
          <w:tcPr>
            <w:tcW w:w="10098" w:type="dxa"/>
          </w:tcPr>
          <w:p w:rsidR="00F902A2" w:rsidRPr="00F902A2" w:rsidRDefault="00F902A2" w:rsidP="00E87434">
            <w:pPr>
              <w:tabs>
                <w:tab w:val="left" w:pos="10980"/>
              </w:tabs>
              <w:autoSpaceDE w:val="0"/>
              <w:autoSpaceDN w:val="0"/>
              <w:rPr>
                <w:rFonts w:eastAsiaTheme="minorEastAsia"/>
                <w:color w:val="000000"/>
                <w:vertAlign w:val="superscript"/>
              </w:rPr>
            </w:pPr>
            <w:r w:rsidRPr="00F902A2">
              <w:rPr>
                <w:rFonts w:eastAsiaTheme="minorEastAsia"/>
                <w:color w:val="000000"/>
              </w:rPr>
              <w:t>Response rates for BRFSS are calculated using standards set by the American Association of Public Opinion Research (AAPOR) Response Rate Formula #4 (http://www.aapor.org/Standard_Definitions2.htm). The response rate is the number of respondents who completed the survey as a proportion of all eligible and likely-eligible persons. The median survey response rate for all states</w:t>
            </w:r>
            <w:r w:rsidR="00E87434">
              <w:rPr>
                <w:rFonts w:eastAsiaTheme="minorEastAsia"/>
                <w:color w:val="000000"/>
              </w:rPr>
              <w:t>,</w:t>
            </w:r>
            <w:r w:rsidRPr="00F902A2">
              <w:rPr>
                <w:rFonts w:eastAsiaTheme="minorEastAsia"/>
                <w:color w:val="000000"/>
              </w:rPr>
              <w:t xml:space="preserve"> </w:t>
            </w:r>
            <w:r w:rsidR="00E87434">
              <w:rPr>
                <w:rFonts w:eastAsiaTheme="minorEastAsia"/>
                <w:color w:val="000000"/>
              </w:rPr>
              <w:t xml:space="preserve">territories </w:t>
            </w:r>
            <w:r w:rsidRPr="00F902A2">
              <w:rPr>
                <w:rFonts w:eastAsiaTheme="minorEastAsia"/>
                <w:color w:val="000000"/>
              </w:rPr>
              <w:t>and Washington, DC, in 201</w:t>
            </w:r>
            <w:r w:rsidR="00272E9F">
              <w:rPr>
                <w:rFonts w:eastAsiaTheme="minorEastAsia"/>
                <w:color w:val="000000"/>
              </w:rPr>
              <w:t>3</w:t>
            </w:r>
            <w:r w:rsidRPr="00F902A2">
              <w:rPr>
                <w:rFonts w:eastAsiaTheme="minorEastAsia"/>
                <w:color w:val="000000"/>
              </w:rPr>
              <w:t xml:space="preserve"> </w:t>
            </w:r>
            <w:r w:rsidRPr="00E87434">
              <w:rPr>
                <w:rFonts w:eastAsiaTheme="minorEastAsia"/>
                <w:color w:val="000000"/>
              </w:rPr>
              <w:t xml:space="preserve">was </w:t>
            </w:r>
            <w:r w:rsidR="00E87434" w:rsidRPr="00E87434">
              <w:rPr>
                <w:rFonts w:eastAsiaTheme="minorEastAsia"/>
                <w:color w:val="000000"/>
              </w:rPr>
              <w:t>46.4</w:t>
            </w:r>
            <w:r w:rsidRPr="00E87434">
              <w:rPr>
                <w:rFonts w:eastAsiaTheme="minorEastAsia"/>
                <w:color w:val="000000"/>
              </w:rPr>
              <w:t>, and</w:t>
            </w:r>
            <w:r w:rsidRPr="00F902A2">
              <w:rPr>
                <w:rFonts w:eastAsiaTheme="minorEastAsia"/>
                <w:color w:val="000000"/>
              </w:rPr>
              <w:t xml:space="preserve"> ranged from </w:t>
            </w:r>
            <w:r w:rsidR="00E87434">
              <w:rPr>
                <w:rFonts w:eastAsiaTheme="minorEastAsia"/>
                <w:color w:val="000000"/>
              </w:rPr>
              <w:t>29.0</w:t>
            </w:r>
            <w:r w:rsidRPr="00F902A2">
              <w:rPr>
                <w:rFonts w:eastAsiaTheme="minorEastAsia"/>
                <w:color w:val="000000"/>
              </w:rPr>
              <w:t xml:space="preserve"> to </w:t>
            </w:r>
            <w:r w:rsidR="00E87434">
              <w:rPr>
                <w:rFonts w:eastAsiaTheme="minorEastAsia"/>
                <w:color w:val="000000"/>
              </w:rPr>
              <w:t>60.3.</w:t>
            </w:r>
            <w:r w:rsidRPr="00F902A2">
              <w:rPr>
                <w:rFonts w:eastAsiaTheme="minorEastAsia"/>
                <w:color w:val="000000"/>
                <w:vertAlign w:val="superscript"/>
              </w:rPr>
              <w:t>a</w:t>
            </w:r>
            <w:r w:rsidRPr="00F902A2">
              <w:rPr>
                <w:rFonts w:eastAsiaTheme="minorEastAsia"/>
                <w:color w:val="000000"/>
              </w:rPr>
              <w:t xml:space="preserve"> Response rates for states and territories included in this analysis had a median </w:t>
            </w:r>
            <w:r w:rsidRPr="000E1121">
              <w:rPr>
                <w:rFonts w:eastAsiaTheme="minorEastAsia"/>
                <w:color w:val="000000"/>
              </w:rPr>
              <w:t xml:space="preserve">of </w:t>
            </w:r>
            <w:r w:rsidR="00956153" w:rsidRPr="000E1121">
              <w:rPr>
                <w:rFonts w:eastAsiaTheme="minorEastAsia"/>
                <w:color w:val="000000"/>
              </w:rPr>
              <w:t>[provide median]</w:t>
            </w:r>
            <w:r w:rsidRPr="006B7C87">
              <w:rPr>
                <w:rFonts w:eastAsiaTheme="minorEastAsia"/>
                <w:color w:val="000000"/>
              </w:rPr>
              <w:t xml:space="preserve"> and ranged from </w:t>
            </w:r>
            <w:r w:rsidR="00956153" w:rsidRPr="006B7C87">
              <w:rPr>
                <w:rFonts w:eastAsiaTheme="minorEastAsia"/>
                <w:color w:val="000000"/>
              </w:rPr>
              <w:t>[provide range</w:t>
            </w:r>
            <w:r w:rsidR="00956153">
              <w:rPr>
                <w:rFonts w:eastAsiaTheme="minorEastAsia"/>
                <w:color w:val="000000"/>
              </w:rPr>
              <w:t>]</w:t>
            </w:r>
            <w:r w:rsidRPr="00F902A2">
              <w:rPr>
                <w:rFonts w:eastAsiaTheme="minorEastAsia"/>
                <w:color w:val="000000"/>
              </w:rPr>
              <w:t>,</w:t>
            </w:r>
            <w:r w:rsidRPr="00F902A2">
              <w:rPr>
                <w:rFonts w:eastAsiaTheme="minorEastAsia"/>
                <w:color w:val="000000"/>
                <w:vertAlign w:val="superscript"/>
              </w:rPr>
              <w:t>b</w:t>
            </w:r>
            <w:r w:rsidRPr="00F902A2">
              <w:rPr>
                <w:rFonts w:eastAsiaTheme="minorEastAsia"/>
                <w:color w:val="000000"/>
              </w:rPr>
              <w:t xml:space="preserve"> For detailed information see the BRFSS Summary Data Quality </w:t>
            </w:r>
            <w:proofErr w:type="spellStart"/>
            <w:r w:rsidRPr="00F902A2">
              <w:rPr>
                <w:rFonts w:eastAsiaTheme="minorEastAsia"/>
                <w:color w:val="000000"/>
              </w:rPr>
              <w:t>Report.</w:t>
            </w:r>
            <w:r w:rsidRPr="00F902A2">
              <w:rPr>
                <w:rFonts w:eastAsiaTheme="minorEastAsia"/>
                <w:color w:val="000000"/>
                <w:vertAlign w:val="superscript"/>
              </w:rPr>
              <w:t>c</w:t>
            </w:r>
            <w:proofErr w:type="spellEnd"/>
          </w:p>
        </w:tc>
      </w:tr>
      <w:tr w:rsidR="00F902A2" w:rsidTr="008F1667">
        <w:trPr>
          <w:jc w:val="center"/>
        </w:trPr>
        <w:tc>
          <w:tcPr>
            <w:tcW w:w="10098" w:type="dxa"/>
          </w:tcPr>
          <w:p w:rsidR="00F902A2" w:rsidRDefault="00F902A2" w:rsidP="002B7648">
            <w:r w:rsidRPr="00F902A2">
              <w:rPr>
                <w:rFonts w:eastAsiaTheme="minorEastAsia"/>
                <w:color w:val="000000"/>
                <w:sz w:val="20"/>
                <w:szCs w:val="20"/>
                <w:vertAlign w:val="superscript"/>
              </w:rPr>
              <w:t xml:space="preserve">a </w:t>
            </w:r>
            <w:r w:rsidRPr="00F902A2">
              <w:rPr>
                <w:rFonts w:eastAsiaTheme="minorEastAsia"/>
                <w:color w:val="000000"/>
                <w:sz w:val="20"/>
                <w:szCs w:val="20"/>
              </w:rPr>
              <w:t>Response rates and ranges should reflect the year(s) included in the analyses.</w:t>
            </w:r>
            <w:r w:rsidRPr="00F902A2">
              <w:rPr>
                <w:rFonts w:eastAsiaTheme="minorEastAsia"/>
                <w:color w:val="000000"/>
                <w:sz w:val="20"/>
                <w:szCs w:val="20"/>
              </w:rPr>
              <w:br/>
            </w:r>
            <w:r w:rsidRPr="00F902A2">
              <w:rPr>
                <w:rFonts w:eastAsiaTheme="minorEastAsia"/>
                <w:sz w:val="20"/>
                <w:szCs w:val="20"/>
                <w:vertAlign w:val="superscript"/>
              </w:rPr>
              <w:t xml:space="preserve">b </w:t>
            </w:r>
            <w:r w:rsidRPr="00F902A2">
              <w:rPr>
                <w:rFonts w:eastAsiaTheme="minorEastAsia"/>
                <w:sz w:val="20"/>
                <w:szCs w:val="20"/>
              </w:rPr>
              <w:t xml:space="preserve">Response rates for states selected for analysis should be included here. This sentence may be omitted if all states are used in the analysis. </w:t>
            </w:r>
            <w:r w:rsidRPr="00F902A2">
              <w:rPr>
                <w:rFonts w:eastAsiaTheme="minorEastAsia"/>
                <w:sz w:val="20"/>
                <w:szCs w:val="20"/>
              </w:rPr>
              <w:br/>
            </w:r>
            <w:r w:rsidRPr="00F902A2">
              <w:rPr>
                <w:rFonts w:eastAsiaTheme="minorEastAsia"/>
                <w:sz w:val="20"/>
                <w:szCs w:val="20"/>
                <w:vertAlign w:val="superscript"/>
              </w:rPr>
              <w:t xml:space="preserve">c </w:t>
            </w:r>
            <w:r w:rsidRPr="00F902A2">
              <w:rPr>
                <w:rFonts w:eastAsiaTheme="minorEastAsia"/>
                <w:sz w:val="20"/>
                <w:szCs w:val="20"/>
              </w:rPr>
              <w:t xml:space="preserve">This link is to the Summary Data Quality Report for the year(s) included in the analyses. </w:t>
            </w:r>
            <w:r w:rsidRPr="005F1F9A">
              <w:rPr>
                <w:rFonts w:eastAsiaTheme="minorEastAsia"/>
                <w:sz w:val="20"/>
                <w:szCs w:val="20"/>
              </w:rPr>
              <w:t>http://www.cdc.gov/brfss/technical_infodata/quality.htm</w:t>
            </w:r>
          </w:p>
        </w:tc>
      </w:tr>
    </w:tbl>
    <w:p w:rsidR="00F902A2" w:rsidRDefault="00F902A2" w:rsidP="00F902A2">
      <w:r>
        <w:t xml:space="preserve"> </w:t>
      </w:r>
    </w:p>
    <w:p w:rsidR="00F902A2" w:rsidRDefault="00F902A2" w:rsidP="00272E9F">
      <w:pPr>
        <w:pStyle w:val="Heading1"/>
        <w:spacing w:line="276" w:lineRule="auto"/>
      </w:pPr>
      <w:bookmarkStart w:id="4" w:name="_Toc390936277"/>
      <w:r>
        <w:t>BRFSS 201</w:t>
      </w:r>
      <w:r w:rsidR="007B1D0E">
        <w:t>3</w:t>
      </w:r>
      <w:r>
        <w:t xml:space="preserve"> Call Outcome Measures and Response Rate Formulae</w:t>
      </w:r>
      <w:bookmarkEnd w:id="4"/>
    </w:p>
    <w:p w:rsidR="00F902A2" w:rsidRDefault="00F902A2" w:rsidP="00272E9F">
      <w:pPr>
        <w:spacing w:line="276" w:lineRule="auto"/>
      </w:pPr>
      <w:r>
        <w:t>The calculations of calling outcome rates are based on final disposition codes that are assigned after all calling attempts have been exhausted. The BRFSS may make up to 15 attempts to reach respondents prior to assigning a final disposition code. In 201</w:t>
      </w:r>
      <w:r w:rsidR="007B1D0E">
        <w:t>3</w:t>
      </w:r>
      <w:r>
        <w:t>, the BRFSS used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w:t>
      </w:r>
      <w:r w:rsidR="006B7C87">
        <w:t>,</w:t>
      </w:r>
      <w:r>
        <w:t xml:space="preserve"> or was unable to determine the eligibility of a household and/or respondent (3000 level codes). The table below illustrates the codes used by the BRFSS in 201</w:t>
      </w:r>
      <w:r w:rsidR="007B1D0E">
        <w:t>3</w:t>
      </w:r>
      <w:r w:rsidR="006B7C87">
        <w:t xml:space="preserve"> </w:t>
      </w:r>
      <w:r w:rsidR="00FD6EE3">
        <w:t>and it</w:t>
      </w:r>
      <w:r w:rsidR="006B7C87">
        <w:t xml:space="preserve"> notes the i</w:t>
      </w:r>
      <w:r>
        <w:t xml:space="preserve">nstances where codes are used only for landline telephone or cellular telephone sample numbers. </w:t>
      </w:r>
    </w:p>
    <w:p w:rsidR="00167791" w:rsidRDefault="00167791" w:rsidP="00272E9F">
      <w:pPr>
        <w:spacing w:line="276" w:lineRule="auto"/>
      </w:pPr>
    </w:p>
    <w:p w:rsidR="00167791" w:rsidRDefault="00167791" w:rsidP="00952A20">
      <w:pPr>
        <w:spacing w:line="276" w:lineRule="auto"/>
      </w:pPr>
      <w:r>
        <w:t xml:space="preserve">The Disposition Code Table below uses a number of terms to define and categorize outcomes.  These include: </w:t>
      </w:r>
    </w:p>
    <w:p w:rsidR="00167791" w:rsidRDefault="00167791" w:rsidP="00952A20">
      <w:pPr>
        <w:spacing w:line="276" w:lineRule="auto"/>
      </w:pPr>
    </w:p>
    <w:p w:rsidR="00167791" w:rsidRDefault="00167791" w:rsidP="00167791">
      <w:pPr>
        <w:pStyle w:val="ListParagraph"/>
        <w:numPr>
          <w:ilvl w:val="0"/>
          <w:numId w:val="3"/>
        </w:numPr>
      </w:pPr>
      <w:r>
        <w:t>Respondent: A person who is contacted by an interviewer and who may be eligible for interview.</w:t>
      </w:r>
    </w:p>
    <w:p w:rsidR="00167791" w:rsidRDefault="00167791" w:rsidP="00167791">
      <w:pPr>
        <w:pStyle w:val="ListParagraph"/>
        <w:numPr>
          <w:ilvl w:val="0"/>
          <w:numId w:val="3"/>
        </w:numPr>
      </w:pPr>
      <w:r>
        <w:t>Landline telephone: A telephone that is used within a specific location</w:t>
      </w:r>
      <w:r w:rsidR="006B7C87">
        <w:t xml:space="preserve">, including </w:t>
      </w:r>
      <w:r>
        <w:t xml:space="preserve"> traditional household telephones, VOIP</w:t>
      </w:r>
      <w:r w:rsidR="00FD6EE3">
        <w:t>,</w:t>
      </w:r>
      <w:r>
        <w:t xml:space="preserve"> and internet phones connected to computers in a household.</w:t>
      </w:r>
    </w:p>
    <w:p w:rsidR="00167791" w:rsidRDefault="00167791" w:rsidP="00167791">
      <w:pPr>
        <w:pStyle w:val="ListParagraph"/>
        <w:numPr>
          <w:ilvl w:val="0"/>
          <w:numId w:val="3"/>
        </w:numPr>
      </w:pPr>
      <w:r>
        <w:t xml:space="preserve">Cellular telephone: A mobile device that is not tied to specific location for use. </w:t>
      </w:r>
    </w:p>
    <w:p w:rsidR="00167791" w:rsidRDefault="00167791" w:rsidP="00167791">
      <w:pPr>
        <w:pStyle w:val="ListParagraph"/>
        <w:numPr>
          <w:ilvl w:val="0"/>
          <w:numId w:val="3"/>
        </w:numPr>
      </w:pPr>
      <w:r>
        <w:t>Selected respondent: A person who is eligible for interview. For the cellular telephone sample</w:t>
      </w:r>
      <w:r w:rsidR="006B7C87">
        <w:t>,</w:t>
      </w:r>
      <w:r>
        <w:t xml:space="preserve"> a selected respondent is an adult associated with the phone number who lives in a private residence or college housing within the US or territories covered by the BRFSS. For the landline telephone sample</w:t>
      </w:r>
      <w:r w:rsidR="006B7C87">
        <w:t>,</w:t>
      </w:r>
      <w:r>
        <w:t xml:space="preserve"> a selected respondent is the person </w:t>
      </w:r>
      <w:r w:rsidR="006B7C87">
        <w:t>chosen</w:t>
      </w:r>
      <w:r>
        <w:t xml:space="preserve"> for interview during the household enumeration section of the screening questions. </w:t>
      </w:r>
    </w:p>
    <w:p w:rsidR="00167791" w:rsidRDefault="00167791" w:rsidP="00167791">
      <w:pPr>
        <w:pStyle w:val="ListParagraph"/>
        <w:numPr>
          <w:ilvl w:val="0"/>
          <w:numId w:val="4"/>
        </w:numPr>
      </w:pPr>
      <w:r>
        <w:t xml:space="preserve">Personal </w:t>
      </w:r>
      <w:r w:rsidR="00FD6EE3">
        <w:t xml:space="preserve">cellular telephone: </w:t>
      </w:r>
      <w:r>
        <w:t xml:space="preserve">A cellular telephone that is used for personal calls. Cellular telephones that are used for both personal and business calls may be categorized as personal telephones and </w:t>
      </w:r>
      <w:r w:rsidR="00FD6EE3">
        <w:t xml:space="preserve">persons contacted on one </w:t>
      </w:r>
      <w:r>
        <w:t xml:space="preserve">are eligible for interview.  </w:t>
      </w:r>
      <w:r w:rsidR="00CF0B5D">
        <w:t xml:space="preserve">Persons using </w:t>
      </w:r>
      <w:r>
        <w:t>business</w:t>
      </w:r>
      <w:r w:rsidR="00CF0B5D">
        <w:t>-only tele</w:t>
      </w:r>
      <w:r>
        <w:t xml:space="preserve">phones are not </w:t>
      </w:r>
      <w:r w:rsidR="00CF0B5D">
        <w:t xml:space="preserve">using </w:t>
      </w:r>
      <w:r>
        <w:t>personal telephones and, therefore, are not eligible for interview.</w:t>
      </w:r>
    </w:p>
    <w:p w:rsidR="00F902A2" w:rsidRDefault="00F902A2"/>
    <w:p w:rsidR="00F902A2" w:rsidRDefault="00F902A2" w:rsidP="00F902A2"/>
    <w:p w:rsidR="00F902A2" w:rsidRDefault="00F902A2" w:rsidP="00F902A2"/>
    <w:tbl>
      <w:tblPr>
        <w:tblW w:w="0" w:type="auto"/>
        <w:jc w:val="center"/>
        <w:tblLayout w:type="fixed"/>
        <w:tblCellMar>
          <w:left w:w="0" w:type="dxa"/>
          <w:right w:w="0" w:type="dxa"/>
        </w:tblCellMar>
        <w:tblLook w:val="0000" w:firstRow="0" w:lastRow="0" w:firstColumn="0" w:lastColumn="0" w:noHBand="0" w:noVBand="0"/>
      </w:tblPr>
      <w:tblGrid>
        <w:gridCol w:w="3804"/>
        <w:gridCol w:w="869"/>
        <w:gridCol w:w="5678"/>
      </w:tblGrid>
      <w:tr w:rsidR="00F902A2" w:rsidRPr="00F902A2" w:rsidTr="002B7648">
        <w:trPr>
          <w:cantSplit/>
          <w:tblHeader/>
          <w:jc w:val="center"/>
        </w:trPr>
        <w:tc>
          <w:tcPr>
            <w:tcW w:w="10351" w:type="dxa"/>
            <w:gridSpan w:val="3"/>
            <w:tcBorders>
              <w:top w:val="single" w:sz="6" w:space="0" w:color="111111"/>
              <w:left w:val="single" w:sz="6" w:space="0" w:color="111111"/>
              <w:bottom w:val="single" w:sz="2" w:space="0" w:color="111111"/>
              <w:right w:val="single" w:sz="6" w:space="0" w:color="111111"/>
            </w:tcBorders>
            <w:shd w:val="clear" w:color="auto" w:fill="FFFFFF"/>
            <w:tcMar>
              <w:left w:w="60" w:type="dxa"/>
              <w:right w:w="60" w:type="dxa"/>
            </w:tcMar>
            <w:vAlign w:val="bottom"/>
          </w:tcPr>
          <w:p w:rsidR="00F902A2" w:rsidRPr="00F902A2" w:rsidRDefault="00F902A2" w:rsidP="007B1D0E">
            <w:pPr>
              <w:keepNext/>
              <w:autoSpaceDE w:val="0"/>
              <w:autoSpaceDN w:val="0"/>
              <w:adjustRightInd w:val="0"/>
              <w:spacing w:before="60" w:after="60"/>
              <w:jc w:val="center"/>
              <w:rPr>
                <w:rFonts w:eastAsiaTheme="minorEastAsia"/>
                <w:color w:val="000000"/>
              </w:rPr>
            </w:pPr>
            <w:r w:rsidRPr="00F902A2">
              <w:rPr>
                <w:rFonts w:eastAsiaTheme="minorEastAsia"/>
                <w:b/>
                <w:color w:val="000000"/>
              </w:rPr>
              <w:t>Table 2</w:t>
            </w:r>
            <w:r w:rsidRPr="00F902A2">
              <w:rPr>
                <w:rFonts w:eastAsiaTheme="minorEastAsia"/>
                <w:color w:val="000000"/>
              </w:rPr>
              <w:br/>
              <w:t>201</w:t>
            </w:r>
            <w:r w:rsidR="007B1D0E">
              <w:rPr>
                <w:rFonts w:eastAsiaTheme="minorEastAsia"/>
                <w:color w:val="000000"/>
              </w:rPr>
              <w:t>3</w:t>
            </w:r>
            <w:r w:rsidRPr="00F902A2">
              <w:rPr>
                <w:rFonts w:eastAsiaTheme="minorEastAsia"/>
                <w:color w:val="000000"/>
              </w:rPr>
              <w:t> Landline Telephone and Cellular Telephone BRFSS Disposition Codes</w:t>
            </w:r>
          </w:p>
        </w:tc>
      </w:tr>
      <w:tr w:rsidR="00F902A2" w:rsidRPr="00F902A2" w:rsidTr="002B7648">
        <w:trPr>
          <w:cantSplit/>
          <w:tblHeader/>
          <w:jc w:val="center"/>
        </w:trPr>
        <w:tc>
          <w:tcPr>
            <w:tcW w:w="3804" w:type="dxa"/>
            <w:tcBorders>
              <w:top w:val="nil"/>
              <w:left w:val="single" w:sz="6" w:space="0" w:color="111111"/>
              <w:bottom w:val="single" w:sz="2" w:space="0" w:color="111111"/>
              <w:right w:val="nil"/>
            </w:tcBorders>
            <w:shd w:val="clear" w:color="auto" w:fill="BBBBBB"/>
            <w:tcMar>
              <w:left w:w="60" w:type="dxa"/>
              <w:right w:w="60" w:type="dxa"/>
            </w:tcMar>
            <w:vAlign w:val="bottom"/>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Category</w:t>
            </w:r>
          </w:p>
        </w:tc>
        <w:tc>
          <w:tcPr>
            <w:tcW w:w="869" w:type="dxa"/>
            <w:tcBorders>
              <w:top w:val="nil"/>
              <w:left w:val="single" w:sz="2" w:space="0" w:color="111111"/>
              <w:bottom w:val="single" w:sz="2" w:space="0" w:color="111111"/>
              <w:right w:val="nil"/>
            </w:tcBorders>
            <w:shd w:val="clear" w:color="auto" w:fill="BBBBBB"/>
            <w:tcMar>
              <w:left w:w="60" w:type="dxa"/>
              <w:right w:w="60" w:type="dxa"/>
            </w:tcMar>
            <w:vAlign w:val="bottom"/>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Code</w:t>
            </w:r>
          </w:p>
        </w:tc>
        <w:tc>
          <w:tcPr>
            <w:tcW w:w="5678" w:type="dxa"/>
            <w:tcBorders>
              <w:top w:val="nil"/>
              <w:left w:val="single" w:sz="2" w:space="0" w:color="111111"/>
              <w:bottom w:val="single" w:sz="2" w:space="0" w:color="111111"/>
              <w:right w:val="single" w:sz="6" w:space="0" w:color="111111"/>
            </w:tcBorders>
            <w:shd w:val="clear" w:color="auto" w:fill="BBBBBB"/>
            <w:tcMar>
              <w:left w:w="60" w:type="dxa"/>
              <w:right w:w="60" w:type="dxa"/>
            </w:tcMar>
            <w:vAlign w:val="bottom"/>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Description</w:t>
            </w:r>
          </w:p>
        </w:tc>
      </w:tr>
      <w:tr w:rsidR="00F902A2" w:rsidRPr="00F902A2" w:rsidTr="002B7648">
        <w:trPr>
          <w:cantSplit/>
          <w:jc w:val="center"/>
        </w:trPr>
        <w:tc>
          <w:tcPr>
            <w:tcW w:w="3804" w:type="dxa"/>
            <w:vMerge w:val="restart"/>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rPr>
                <w:rFonts w:eastAsiaTheme="minorEastAsia"/>
                <w:color w:val="000000"/>
              </w:rPr>
            </w:pPr>
            <w:r w:rsidRPr="00F902A2">
              <w:rPr>
                <w:rFonts w:eastAsiaTheme="minorEastAsia"/>
                <w:color w:val="000000"/>
              </w:rPr>
              <w:t xml:space="preserve">Interviewed </w:t>
            </w:r>
            <w:r w:rsidRPr="00F902A2">
              <w:rPr>
                <w:rFonts w:eastAsiaTheme="minorEastAsia"/>
                <w:color w:val="000000"/>
              </w:rPr>
              <w:br/>
              <w:t>(1000 level codes)</w:t>
            </w: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1100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Completed interview</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1200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Partially completed interview</w:t>
            </w:r>
          </w:p>
        </w:tc>
      </w:tr>
      <w:tr w:rsidR="00F902A2" w:rsidRPr="00F902A2" w:rsidTr="002B7648">
        <w:trPr>
          <w:cantSplit/>
          <w:jc w:val="center"/>
        </w:trPr>
        <w:tc>
          <w:tcPr>
            <w:tcW w:w="3804" w:type="dxa"/>
            <w:vMerge w:val="restart"/>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rPr>
                <w:rFonts w:eastAsiaTheme="minorEastAsia"/>
                <w:color w:val="000000"/>
              </w:rPr>
            </w:pPr>
            <w:r w:rsidRPr="00F902A2">
              <w:rPr>
                <w:rFonts w:eastAsiaTheme="minorEastAsia"/>
                <w:color w:val="000000"/>
              </w:rPr>
              <w:t xml:space="preserve">Eligible, Non-Interview </w:t>
            </w:r>
            <w:r w:rsidRPr="00F902A2">
              <w:rPr>
                <w:rFonts w:eastAsiaTheme="minorEastAsia"/>
                <w:color w:val="000000"/>
              </w:rPr>
              <w:br/>
              <w:t>(2000 level codes)</w:t>
            </w: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2111</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Household level refusal (used for landline only)</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2112</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167791" w:rsidP="00F902A2">
            <w:pPr>
              <w:keepNext/>
              <w:autoSpaceDE w:val="0"/>
              <w:autoSpaceDN w:val="0"/>
              <w:adjustRightInd w:val="0"/>
              <w:spacing w:before="60" w:after="60"/>
              <w:jc w:val="center"/>
              <w:rPr>
                <w:rFonts w:eastAsiaTheme="minorEastAsia"/>
                <w:color w:val="000000"/>
              </w:rPr>
            </w:pPr>
            <w:r>
              <w:rPr>
                <w:rFonts w:eastAsiaTheme="minorEastAsia"/>
                <w:color w:val="000000"/>
              </w:rPr>
              <w:t>Selected</w:t>
            </w:r>
            <w:r w:rsidR="00F902A2" w:rsidRPr="00F902A2">
              <w:rPr>
                <w:rFonts w:eastAsiaTheme="minorEastAsia"/>
                <w:color w:val="000000"/>
              </w:rPr>
              <w:t xml:space="preserve"> respondent refusal</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2120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Break off/termination within questionnaire</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2210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167791" w:rsidP="00167791">
            <w:pPr>
              <w:keepNext/>
              <w:autoSpaceDE w:val="0"/>
              <w:autoSpaceDN w:val="0"/>
              <w:adjustRightInd w:val="0"/>
              <w:spacing w:before="60" w:after="60"/>
              <w:jc w:val="center"/>
              <w:rPr>
                <w:rFonts w:eastAsiaTheme="minorEastAsia"/>
                <w:color w:val="000000"/>
              </w:rPr>
            </w:pPr>
            <w:r>
              <w:rPr>
                <w:rFonts w:eastAsiaTheme="minorEastAsia"/>
                <w:color w:val="000000"/>
              </w:rPr>
              <w:t>Selected r</w:t>
            </w:r>
            <w:r w:rsidR="00F902A2" w:rsidRPr="00F902A2">
              <w:rPr>
                <w:rFonts w:eastAsiaTheme="minorEastAsia"/>
                <w:color w:val="000000"/>
              </w:rPr>
              <w:t>espondent never available</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2220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 xml:space="preserve">Household (nonbusiness) answering device </w:t>
            </w:r>
            <w:r w:rsidRPr="00F902A2">
              <w:rPr>
                <w:rFonts w:eastAsiaTheme="minorEastAsia"/>
                <w:color w:val="000000"/>
              </w:rPr>
              <w:br/>
              <w:t>(used for landline only)</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2320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167791" w:rsidP="00167791">
            <w:pPr>
              <w:keepNext/>
              <w:autoSpaceDE w:val="0"/>
              <w:autoSpaceDN w:val="0"/>
              <w:adjustRightInd w:val="0"/>
              <w:spacing w:before="60" w:after="60"/>
              <w:jc w:val="center"/>
              <w:rPr>
                <w:rFonts w:eastAsiaTheme="minorEastAsia"/>
                <w:color w:val="000000"/>
              </w:rPr>
            </w:pPr>
            <w:r>
              <w:rPr>
                <w:rFonts w:eastAsiaTheme="minorEastAsia"/>
                <w:color w:val="000000"/>
              </w:rPr>
              <w:t>Selected r</w:t>
            </w:r>
            <w:r w:rsidR="00F902A2" w:rsidRPr="00F902A2">
              <w:rPr>
                <w:rFonts w:eastAsiaTheme="minorEastAsia"/>
                <w:color w:val="000000"/>
              </w:rPr>
              <w:t>espondent physically or mentally unable to complete interview</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2330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Language barrier of selected respondent</w:t>
            </w:r>
          </w:p>
        </w:tc>
      </w:tr>
      <w:tr w:rsidR="00F902A2" w:rsidRPr="00F902A2" w:rsidTr="002B7648">
        <w:trPr>
          <w:cantSplit/>
          <w:jc w:val="center"/>
        </w:trPr>
        <w:tc>
          <w:tcPr>
            <w:tcW w:w="3804" w:type="dxa"/>
            <w:vMerge w:val="restart"/>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rPr>
                <w:rFonts w:eastAsiaTheme="minorEastAsia"/>
                <w:color w:val="000000"/>
              </w:rPr>
            </w:pPr>
            <w:r w:rsidRPr="00F902A2">
              <w:rPr>
                <w:rFonts w:eastAsiaTheme="minorEastAsia"/>
                <w:color w:val="000000"/>
              </w:rPr>
              <w:t>Unknown Eligibility</w:t>
            </w: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3100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Unknown if housing unit</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3130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No answer</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3140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Answering device, unknown whether eligible</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3150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Telecommunication barrier (i.e. call blocking)</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3200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167791">
            <w:pPr>
              <w:keepNext/>
              <w:autoSpaceDE w:val="0"/>
              <w:autoSpaceDN w:val="0"/>
              <w:adjustRightInd w:val="0"/>
              <w:spacing w:before="60" w:after="60"/>
              <w:jc w:val="center"/>
              <w:rPr>
                <w:rFonts w:eastAsiaTheme="minorEastAsia"/>
                <w:color w:val="000000"/>
              </w:rPr>
            </w:pPr>
            <w:r w:rsidRPr="00F902A2">
              <w:rPr>
                <w:rFonts w:eastAsiaTheme="minorEastAsia"/>
                <w:color w:val="000000"/>
              </w:rPr>
              <w:t xml:space="preserve">Household, </w:t>
            </w:r>
            <w:r w:rsidR="00167791">
              <w:rPr>
                <w:rFonts w:eastAsiaTheme="minorEastAsia"/>
                <w:color w:val="000000"/>
              </w:rPr>
              <w:t>not know if respondent</w:t>
            </w:r>
            <w:r w:rsidRPr="00F902A2">
              <w:rPr>
                <w:rFonts w:eastAsiaTheme="minorEastAsia"/>
                <w:color w:val="000000"/>
              </w:rPr>
              <w:t xml:space="preserve"> eligible</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3322</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954E82">
            <w:pPr>
              <w:keepNext/>
              <w:autoSpaceDE w:val="0"/>
              <w:autoSpaceDN w:val="0"/>
              <w:adjustRightInd w:val="0"/>
              <w:spacing w:before="60" w:after="60"/>
              <w:jc w:val="center"/>
              <w:rPr>
                <w:rFonts w:eastAsiaTheme="minorEastAsia"/>
                <w:color w:val="000000"/>
              </w:rPr>
            </w:pPr>
            <w:r w:rsidRPr="00F902A2">
              <w:rPr>
                <w:rFonts w:eastAsiaTheme="minorEastAsia"/>
                <w:color w:val="000000"/>
              </w:rPr>
              <w:t>Physical or</w:t>
            </w:r>
            <w:r w:rsidR="00954E82">
              <w:rPr>
                <w:rFonts w:eastAsiaTheme="minorEastAsia"/>
                <w:color w:val="000000"/>
              </w:rPr>
              <w:t xml:space="preserve"> mental impairment</w:t>
            </w:r>
            <w:r w:rsidRPr="00F902A2">
              <w:rPr>
                <w:rFonts w:eastAsiaTheme="minorEastAsia"/>
                <w:color w:val="000000"/>
              </w:rPr>
              <w:t xml:space="preserve"> </w:t>
            </w:r>
            <w:r w:rsidR="00954E82">
              <w:rPr>
                <w:rFonts w:eastAsiaTheme="minorEastAsia"/>
                <w:color w:val="000000"/>
              </w:rPr>
              <w:t>(household level)</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3330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954E82">
            <w:pPr>
              <w:keepNext/>
              <w:autoSpaceDE w:val="0"/>
              <w:autoSpaceDN w:val="0"/>
              <w:adjustRightInd w:val="0"/>
              <w:spacing w:before="60" w:after="60"/>
              <w:jc w:val="center"/>
              <w:rPr>
                <w:rFonts w:eastAsiaTheme="minorEastAsia"/>
                <w:color w:val="000000"/>
              </w:rPr>
            </w:pPr>
            <w:r w:rsidRPr="00F902A2">
              <w:rPr>
                <w:rFonts w:eastAsiaTheme="minorEastAsia"/>
                <w:color w:val="000000"/>
              </w:rPr>
              <w:t>Language barrier</w:t>
            </w:r>
            <w:r w:rsidR="00954E82">
              <w:rPr>
                <w:rFonts w:eastAsiaTheme="minorEastAsia"/>
                <w:color w:val="000000"/>
              </w:rPr>
              <w:t xml:space="preserve"> (household level)</w:t>
            </w:r>
          </w:p>
        </w:tc>
      </w:tr>
      <w:tr w:rsidR="00F902A2" w:rsidRPr="00F902A2" w:rsidTr="002B7648">
        <w:trPr>
          <w:cantSplit/>
          <w:jc w:val="center"/>
        </w:trPr>
        <w:tc>
          <w:tcPr>
            <w:tcW w:w="3804" w:type="dxa"/>
            <w:vMerge/>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3700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On never call list</w:t>
            </w:r>
          </w:p>
        </w:tc>
      </w:tr>
      <w:tr w:rsidR="00F902A2" w:rsidRPr="00F902A2" w:rsidTr="002B7648">
        <w:trPr>
          <w:cantSplit/>
          <w:jc w:val="center"/>
        </w:trPr>
        <w:tc>
          <w:tcPr>
            <w:tcW w:w="3804" w:type="dxa"/>
            <w:vMerge w:val="restart"/>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rPr>
                <w:rFonts w:eastAsiaTheme="minorEastAsia"/>
                <w:color w:val="000000"/>
              </w:rPr>
            </w:pPr>
            <w:r w:rsidRPr="00F902A2">
              <w:rPr>
                <w:rFonts w:eastAsiaTheme="minorEastAsia"/>
                <w:color w:val="000000"/>
              </w:rPr>
              <w:lastRenderedPageBreak/>
              <w:t>Not Eligible</w:t>
            </w: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4100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Out of sample</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4200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Fax/data/modem</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4300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Nonworking/disconnected number</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4400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 xml:space="preserve">Technological barrier </w:t>
            </w:r>
            <w:r w:rsidRPr="00F902A2">
              <w:rPr>
                <w:rFonts w:eastAsiaTheme="minorEastAsia"/>
                <w:color w:val="000000"/>
              </w:rPr>
              <w:br/>
              <w:t>(i.e. fast busy, phone circuit barriers)</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4430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Call forwarding/pager</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4450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 xml:space="preserve">Cellular telephone number </w:t>
            </w:r>
            <w:r w:rsidRPr="00F902A2">
              <w:rPr>
                <w:rFonts w:eastAsiaTheme="minorEastAsia"/>
                <w:color w:val="000000"/>
              </w:rPr>
              <w:br/>
              <w:t>(used for landline telephone only)</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4460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 xml:space="preserve">Landline telephone number </w:t>
            </w:r>
            <w:r w:rsidRPr="00F902A2">
              <w:rPr>
                <w:rFonts w:eastAsiaTheme="minorEastAsia"/>
                <w:color w:val="000000"/>
              </w:rPr>
              <w:br/>
              <w:t>(used for cellular telephone only)</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4470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Cellular telephone respondent ineligible</w:t>
            </w:r>
            <w:r w:rsidRPr="00F902A2">
              <w:rPr>
                <w:rFonts w:eastAsiaTheme="minorEastAsia"/>
                <w:color w:val="000000"/>
              </w:rPr>
              <w:br/>
              <w:t xml:space="preserve"> due to percent of landline usage</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4500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Non-residence</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4510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Group home</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rPr>
                <w:rFonts w:eastAsiaTheme="minorEastAsia"/>
              </w:rPr>
            </w:pPr>
          </w:p>
        </w:tc>
        <w:tc>
          <w:tcPr>
            <w:tcW w:w="869" w:type="dxa"/>
            <w:tcBorders>
              <w:top w:val="nil"/>
              <w:left w:val="single" w:sz="2" w:space="0" w:color="111111"/>
              <w:bottom w:val="single" w:sz="2" w:space="0" w:color="111111"/>
              <w:right w:val="nil"/>
            </w:tcBorders>
            <w:shd w:val="clear" w:color="auto" w:fill="FFFFFF"/>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4700</w:t>
            </w:r>
          </w:p>
        </w:tc>
        <w:tc>
          <w:tcPr>
            <w:tcW w:w="5678"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954E82" w:rsidP="00CF0B5D">
            <w:pPr>
              <w:keepNext/>
              <w:autoSpaceDE w:val="0"/>
              <w:autoSpaceDN w:val="0"/>
              <w:adjustRightInd w:val="0"/>
              <w:spacing w:before="60" w:after="60"/>
              <w:jc w:val="center"/>
              <w:rPr>
                <w:rFonts w:eastAsiaTheme="minorEastAsia"/>
                <w:color w:val="000000"/>
              </w:rPr>
            </w:pPr>
            <w:r>
              <w:rPr>
                <w:rFonts w:eastAsiaTheme="minorEastAsia"/>
                <w:color w:val="000000"/>
              </w:rPr>
              <w:t xml:space="preserve">Household, no </w:t>
            </w:r>
            <w:r w:rsidR="00F902A2" w:rsidRPr="00F902A2">
              <w:rPr>
                <w:rFonts w:eastAsiaTheme="minorEastAsia"/>
                <w:color w:val="000000"/>
              </w:rPr>
              <w:t>eligible respondent</w:t>
            </w:r>
            <w:r w:rsidR="00F902A2" w:rsidRPr="00F902A2">
              <w:rPr>
                <w:rFonts w:eastAsiaTheme="minorEastAsia"/>
                <w:color w:val="000000"/>
              </w:rPr>
              <w:br/>
              <w:t xml:space="preserve"> (teen phone/minor child cell</w:t>
            </w:r>
            <w:r w:rsidR="00CF0B5D">
              <w:rPr>
                <w:rFonts w:eastAsiaTheme="minorEastAsia"/>
                <w:color w:val="000000"/>
              </w:rPr>
              <w:t>ular tele</w:t>
            </w:r>
            <w:r w:rsidR="00F902A2" w:rsidRPr="00F902A2">
              <w:rPr>
                <w:rFonts w:eastAsiaTheme="minorEastAsia"/>
                <w:color w:val="000000"/>
              </w:rPr>
              <w:t>phone)</w:t>
            </w:r>
          </w:p>
        </w:tc>
      </w:tr>
      <w:tr w:rsidR="00F902A2" w:rsidRPr="00F902A2" w:rsidTr="002B7648">
        <w:trPr>
          <w:cantSplit/>
          <w:jc w:val="center"/>
        </w:trPr>
        <w:tc>
          <w:tcPr>
            <w:tcW w:w="3804" w:type="dxa"/>
            <w:vMerge/>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rPr>
                <w:rFonts w:eastAsiaTheme="minorEastAsia"/>
              </w:rPr>
            </w:pPr>
          </w:p>
        </w:tc>
        <w:tc>
          <w:tcPr>
            <w:tcW w:w="869" w:type="dxa"/>
            <w:tcBorders>
              <w:top w:val="nil"/>
              <w:left w:val="single" w:sz="2" w:space="0" w:color="111111"/>
              <w:bottom w:val="single" w:sz="6" w:space="0" w:color="111111"/>
              <w:right w:val="nil"/>
            </w:tcBorders>
            <w:shd w:val="clear" w:color="auto" w:fill="FFFFFF"/>
            <w:tcMar>
              <w:left w:w="60" w:type="dxa"/>
              <w:right w:w="60" w:type="dxa"/>
            </w:tcMar>
            <w:vAlign w:val="cente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4900</w:t>
            </w:r>
          </w:p>
        </w:tc>
        <w:tc>
          <w:tcPr>
            <w:tcW w:w="5678" w:type="dxa"/>
            <w:tcBorders>
              <w:top w:val="nil"/>
              <w:left w:val="single" w:sz="2" w:space="0" w:color="111111"/>
              <w:bottom w:val="single" w:sz="6"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Miscellaneous, non-eligible</w:t>
            </w:r>
          </w:p>
        </w:tc>
      </w:tr>
    </w:tbl>
    <w:p w:rsidR="00F902A2" w:rsidRDefault="00F902A2" w:rsidP="00F902A2"/>
    <w:p w:rsidR="00F902A2" w:rsidRDefault="00F902A2" w:rsidP="00F902A2">
      <w:r>
        <w:t xml:space="preserve"> </w:t>
      </w:r>
    </w:p>
    <w:p w:rsidR="00F902A2" w:rsidRDefault="00F902A2" w:rsidP="00952A20">
      <w:pPr>
        <w:spacing w:line="276" w:lineRule="auto"/>
      </w:pPr>
      <w:r>
        <w:t>Factors affecting the distribution of disposition codes by state include differences in telephone systems, sample designs, surveyed populations, and data collection processes. Table 3 defines the categories of disposition codes used to calculate outcome and response rates illustrated in Tables 4A through 6.</w:t>
      </w:r>
    </w:p>
    <w:p w:rsidR="00F902A2" w:rsidRDefault="00F902A2" w:rsidP="00952A20">
      <w:pPr>
        <w:spacing w:line="276" w:lineRule="auto"/>
      </w:pPr>
      <w:r>
        <w:br w:type="page"/>
      </w:r>
    </w:p>
    <w:p w:rsidR="00F902A2" w:rsidRDefault="00F902A2" w:rsidP="00F902A2">
      <w:r>
        <w:lastRenderedPageBreak/>
        <w:t xml:space="preserve"> </w:t>
      </w:r>
    </w:p>
    <w:tbl>
      <w:tblPr>
        <w:tblW w:w="0" w:type="auto"/>
        <w:jc w:val="center"/>
        <w:tblLayout w:type="fixed"/>
        <w:tblCellMar>
          <w:left w:w="0" w:type="dxa"/>
          <w:right w:w="0" w:type="dxa"/>
        </w:tblCellMar>
        <w:tblLook w:val="0000" w:firstRow="0" w:lastRow="0" w:firstColumn="0" w:lastColumn="0" w:noHBand="0" w:noVBand="0"/>
      </w:tblPr>
      <w:tblGrid>
        <w:gridCol w:w="2733"/>
        <w:gridCol w:w="5614"/>
        <w:gridCol w:w="2020"/>
      </w:tblGrid>
      <w:tr w:rsidR="00F902A2" w:rsidRPr="00F902A2" w:rsidTr="002B7648">
        <w:trPr>
          <w:cantSplit/>
          <w:tblHeader/>
          <w:jc w:val="center"/>
        </w:trPr>
        <w:tc>
          <w:tcPr>
            <w:tcW w:w="10367" w:type="dxa"/>
            <w:gridSpan w:val="3"/>
            <w:tcBorders>
              <w:top w:val="single" w:sz="6" w:space="0" w:color="111111"/>
              <w:left w:val="single" w:sz="6" w:space="0" w:color="111111"/>
              <w:bottom w:val="single" w:sz="2" w:space="0" w:color="111111"/>
              <w:right w:val="single" w:sz="6" w:space="0" w:color="111111"/>
            </w:tcBorders>
            <w:shd w:val="clear" w:color="auto" w:fill="FFFFFF"/>
            <w:tcMar>
              <w:left w:w="60" w:type="dxa"/>
              <w:right w:w="60" w:type="dxa"/>
            </w:tcMar>
            <w:vAlign w:val="bottom"/>
          </w:tcPr>
          <w:p w:rsidR="00F902A2" w:rsidRPr="00F902A2" w:rsidRDefault="00F902A2" w:rsidP="00CF0B5D">
            <w:pPr>
              <w:keepNext/>
              <w:autoSpaceDE w:val="0"/>
              <w:autoSpaceDN w:val="0"/>
              <w:adjustRightInd w:val="0"/>
              <w:spacing w:before="60" w:after="60"/>
              <w:jc w:val="center"/>
              <w:rPr>
                <w:rFonts w:eastAsiaTheme="minorEastAsia"/>
                <w:color w:val="000000"/>
              </w:rPr>
            </w:pPr>
            <w:r w:rsidRPr="00F902A2">
              <w:rPr>
                <w:rFonts w:eastAsiaTheme="minorEastAsia"/>
                <w:b/>
                <w:color w:val="000000"/>
              </w:rPr>
              <w:t>Table 3</w:t>
            </w:r>
            <w:r w:rsidRPr="00F902A2">
              <w:rPr>
                <w:rFonts w:eastAsiaTheme="minorEastAsia"/>
                <w:color w:val="000000"/>
              </w:rPr>
              <w:br/>
              <w:t>201</w:t>
            </w:r>
            <w:r w:rsidR="007B1D0E">
              <w:rPr>
                <w:rFonts w:eastAsiaTheme="minorEastAsia"/>
                <w:color w:val="000000"/>
              </w:rPr>
              <w:t>3</w:t>
            </w:r>
            <w:r w:rsidRPr="00F902A2">
              <w:rPr>
                <w:rFonts w:eastAsiaTheme="minorEastAsia"/>
                <w:color w:val="000000"/>
              </w:rPr>
              <w:t> Landline and Cell</w:t>
            </w:r>
            <w:r w:rsidR="00CF0B5D">
              <w:rPr>
                <w:rFonts w:eastAsiaTheme="minorEastAsia"/>
                <w:color w:val="000000"/>
              </w:rPr>
              <w:t>ular Telep</w:t>
            </w:r>
            <w:r w:rsidRPr="00F902A2">
              <w:rPr>
                <w:rFonts w:eastAsiaTheme="minorEastAsia"/>
                <w:color w:val="000000"/>
              </w:rPr>
              <w:t>hone BRFSS Disposition Codes</w:t>
            </w:r>
          </w:p>
        </w:tc>
      </w:tr>
      <w:tr w:rsidR="00F902A2" w:rsidRPr="00F902A2" w:rsidTr="002B7648">
        <w:trPr>
          <w:cantSplit/>
          <w:tblHeader/>
          <w:jc w:val="center"/>
        </w:trPr>
        <w:tc>
          <w:tcPr>
            <w:tcW w:w="2733" w:type="dxa"/>
            <w:tcBorders>
              <w:top w:val="nil"/>
              <w:left w:val="single" w:sz="6" w:space="0" w:color="111111"/>
              <w:bottom w:val="single" w:sz="2" w:space="0" w:color="111111"/>
              <w:right w:val="nil"/>
            </w:tcBorders>
            <w:shd w:val="clear" w:color="auto" w:fill="BBBBBB"/>
            <w:tcMar>
              <w:left w:w="60" w:type="dxa"/>
              <w:right w:w="60" w:type="dxa"/>
            </w:tcMar>
            <w:vAlign w:val="center"/>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br/>
              <w:t>Category</w:t>
            </w:r>
          </w:p>
        </w:tc>
        <w:tc>
          <w:tcPr>
            <w:tcW w:w="5614" w:type="dxa"/>
            <w:tcBorders>
              <w:top w:val="nil"/>
              <w:left w:val="single" w:sz="2" w:space="0" w:color="111111"/>
              <w:bottom w:val="single" w:sz="2" w:space="0" w:color="111111"/>
              <w:right w:val="nil"/>
            </w:tcBorders>
            <w:shd w:val="clear" w:color="auto" w:fill="BBBBBB"/>
            <w:tcMar>
              <w:left w:w="60" w:type="dxa"/>
              <w:right w:w="60" w:type="dxa"/>
            </w:tcMar>
            <w:vAlign w:val="bottom"/>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t>Disposition Code</w:t>
            </w:r>
            <w:r w:rsidRPr="00F902A2">
              <w:rPr>
                <w:rFonts w:eastAsiaTheme="minorEastAsia"/>
                <w:b/>
                <w:bCs/>
                <w:color w:val="000000"/>
                <w:sz w:val="22"/>
                <w:szCs w:val="22"/>
              </w:rPr>
              <w:br/>
              <w:t xml:space="preserve"> Definitions</w:t>
            </w:r>
          </w:p>
        </w:tc>
        <w:tc>
          <w:tcPr>
            <w:tcW w:w="2020" w:type="dxa"/>
            <w:tcBorders>
              <w:top w:val="nil"/>
              <w:left w:val="single" w:sz="2" w:space="0" w:color="111111"/>
              <w:bottom w:val="single" w:sz="2" w:space="0" w:color="111111"/>
              <w:right w:val="single" w:sz="6" w:space="0" w:color="111111"/>
            </w:tcBorders>
            <w:shd w:val="clear" w:color="auto" w:fill="BBBBBB"/>
            <w:tcMar>
              <w:left w:w="60" w:type="dxa"/>
              <w:right w:w="60" w:type="dxa"/>
            </w:tcMar>
            <w:vAlign w:val="bottom"/>
          </w:tcPr>
          <w:p w:rsidR="00F902A2" w:rsidRPr="00F902A2" w:rsidRDefault="00F902A2" w:rsidP="00F902A2">
            <w:pPr>
              <w:keepNext/>
              <w:autoSpaceDE w:val="0"/>
              <w:autoSpaceDN w:val="0"/>
              <w:adjustRightInd w:val="0"/>
              <w:spacing w:before="60" w:after="60"/>
              <w:jc w:val="center"/>
              <w:rPr>
                <w:rFonts w:eastAsiaTheme="minorEastAsia"/>
                <w:b/>
                <w:bCs/>
                <w:color w:val="000000"/>
                <w:sz w:val="22"/>
                <w:szCs w:val="22"/>
              </w:rPr>
            </w:pPr>
            <w:r w:rsidRPr="00F902A2">
              <w:rPr>
                <w:rFonts w:eastAsiaTheme="minorEastAsia"/>
                <w:b/>
                <w:bCs/>
                <w:color w:val="000000"/>
                <w:sz w:val="22"/>
                <w:szCs w:val="22"/>
              </w:rPr>
              <w:br/>
              <w:t>Formulae Abbreviation</w:t>
            </w:r>
          </w:p>
        </w:tc>
      </w:tr>
      <w:tr w:rsidR="00F902A2" w:rsidRPr="00F902A2" w:rsidTr="002B7648">
        <w:trPr>
          <w:cantSplit/>
          <w:jc w:val="center"/>
        </w:trPr>
        <w:tc>
          <w:tcPr>
            <w:tcW w:w="2733" w:type="dxa"/>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Completed interviews</w:t>
            </w:r>
          </w:p>
        </w:tc>
        <w:tc>
          <w:tcPr>
            <w:tcW w:w="5614"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1100+1200</w:t>
            </w:r>
          </w:p>
        </w:tc>
        <w:tc>
          <w:tcPr>
            <w:tcW w:w="2020"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COIN</w:t>
            </w:r>
          </w:p>
        </w:tc>
      </w:tr>
      <w:tr w:rsidR="00F902A2" w:rsidRPr="00F902A2" w:rsidTr="002B7648">
        <w:trPr>
          <w:cantSplit/>
          <w:jc w:val="center"/>
        </w:trPr>
        <w:tc>
          <w:tcPr>
            <w:tcW w:w="2733" w:type="dxa"/>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Eligible</w:t>
            </w:r>
          </w:p>
        </w:tc>
        <w:tc>
          <w:tcPr>
            <w:tcW w:w="5614"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1100+1200+2111+2112+2120+2210+2220+2320+2330</w:t>
            </w:r>
          </w:p>
        </w:tc>
        <w:tc>
          <w:tcPr>
            <w:tcW w:w="2020"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ELIG</w:t>
            </w:r>
          </w:p>
        </w:tc>
      </w:tr>
      <w:tr w:rsidR="00F902A2" w:rsidRPr="00F902A2" w:rsidTr="002B7648">
        <w:trPr>
          <w:cantSplit/>
          <w:jc w:val="center"/>
        </w:trPr>
        <w:tc>
          <w:tcPr>
            <w:tcW w:w="2733" w:type="dxa"/>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Contacted eligible</w:t>
            </w:r>
          </w:p>
        </w:tc>
        <w:tc>
          <w:tcPr>
            <w:tcW w:w="5614"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1100+1200+2111+2112+2120+2210+2320+2330</w:t>
            </w:r>
          </w:p>
        </w:tc>
        <w:tc>
          <w:tcPr>
            <w:tcW w:w="2020"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CONELIG</w:t>
            </w:r>
          </w:p>
        </w:tc>
      </w:tr>
      <w:tr w:rsidR="00F902A2" w:rsidRPr="00F902A2" w:rsidTr="002B7648">
        <w:trPr>
          <w:cantSplit/>
          <w:jc w:val="center"/>
        </w:trPr>
        <w:tc>
          <w:tcPr>
            <w:tcW w:w="2733" w:type="dxa"/>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Terminations and refusals</w:t>
            </w:r>
          </w:p>
        </w:tc>
        <w:tc>
          <w:tcPr>
            <w:tcW w:w="5614"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2111+2112+2120</w:t>
            </w:r>
          </w:p>
        </w:tc>
        <w:tc>
          <w:tcPr>
            <w:tcW w:w="2020"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TERE</w:t>
            </w:r>
          </w:p>
        </w:tc>
      </w:tr>
      <w:tr w:rsidR="00F902A2" w:rsidRPr="00F902A2" w:rsidTr="002B7648">
        <w:trPr>
          <w:cantSplit/>
          <w:jc w:val="center"/>
        </w:trPr>
        <w:tc>
          <w:tcPr>
            <w:tcW w:w="2733" w:type="dxa"/>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Ineligible phone numbers</w:t>
            </w:r>
          </w:p>
        </w:tc>
        <w:tc>
          <w:tcPr>
            <w:tcW w:w="5614"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All 4000 level disposition codes</w:t>
            </w:r>
          </w:p>
        </w:tc>
        <w:tc>
          <w:tcPr>
            <w:tcW w:w="2020"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INELIG</w:t>
            </w:r>
          </w:p>
        </w:tc>
      </w:tr>
      <w:tr w:rsidR="00F902A2" w:rsidRPr="00F902A2" w:rsidTr="002B7648">
        <w:trPr>
          <w:cantSplit/>
          <w:jc w:val="center"/>
        </w:trPr>
        <w:tc>
          <w:tcPr>
            <w:tcW w:w="2733" w:type="dxa"/>
            <w:tcBorders>
              <w:top w:val="nil"/>
              <w:left w:val="single" w:sz="6"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rPr>
                <w:rFonts w:eastAsiaTheme="minorEastAsia"/>
                <w:color w:val="000000"/>
              </w:rPr>
            </w:pPr>
            <w:r w:rsidRPr="00F902A2">
              <w:rPr>
                <w:rFonts w:eastAsiaTheme="minorEastAsia"/>
                <w:color w:val="000000"/>
              </w:rPr>
              <w:t>Unknown whether eligible</w:t>
            </w:r>
          </w:p>
        </w:tc>
        <w:tc>
          <w:tcPr>
            <w:tcW w:w="5614" w:type="dxa"/>
            <w:tcBorders>
              <w:top w:val="nil"/>
              <w:left w:val="single" w:sz="2" w:space="0" w:color="111111"/>
              <w:bottom w:val="single" w:sz="2" w:space="0" w:color="111111"/>
              <w:right w:val="nil"/>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All 3000 level disposition codes</w:t>
            </w:r>
          </w:p>
        </w:tc>
        <w:tc>
          <w:tcPr>
            <w:tcW w:w="2020" w:type="dxa"/>
            <w:tcBorders>
              <w:top w:val="nil"/>
              <w:left w:val="single" w:sz="2" w:space="0" w:color="111111"/>
              <w:bottom w:val="single" w:sz="2" w:space="0" w:color="111111"/>
              <w:right w:val="single" w:sz="6" w:space="0" w:color="111111"/>
            </w:tcBorders>
            <w:shd w:val="clear" w:color="auto" w:fill="FFFFFF"/>
            <w:tcMar>
              <w:left w:w="60" w:type="dxa"/>
              <w:right w:w="60" w:type="dxa"/>
            </w:tcMar>
          </w:tcPr>
          <w:p w:rsidR="00F902A2" w:rsidRPr="00F902A2" w:rsidRDefault="00F902A2" w:rsidP="00F902A2">
            <w:pPr>
              <w:keepNext/>
              <w:autoSpaceDE w:val="0"/>
              <w:autoSpaceDN w:val="0"/>
              <w:adjustRightInd w:val="0"/>
              <w:spacing w:before="60" w:after="60"/>
              <w:jc w:val="center"/>
              <w:rPr>
                <w:rFonts w:eastAsiaTheme="minorEastAsia"/>
                <w:color w:val="000000"/>
              </w:rPr>
            </w:pPr>
            <w:r w:rsidRPr="00F902A2">
              <w:rPr>
                <w:rFonts w:eastAsiaTheme="minorEastAsia"/>
                <w:color w:val="000000"/>
              </w:rPr>
              <w:t>UNKELIG</w:t>
            </w:r>
          </w:p>
        </w:tc>
      </w:tr>
      <w:tr w:rsidR="00F902A2" w:rsidRPr="00F902A2" w:rsidTr="002B7648">
        <w:trPr>
          <w:cantSplit/>
          <w:jc w:val="center"/>
        </w:trPr>
        <w:tc>
          <w:tcPr>
            <w:tcW w:w="2733" w:type="dxa"/>
            <w:tcBorders>
              <w:top w:val="nil"/>
              <w:left w:val="single" w:sz="6" w:space="0" w:color="111111"/>
              <w:bottom w:val="single" w:sz="6"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color w:val="000000"/>
              </w:rPr>
            </w:pPr>
            <w:r w:rsidRPr="00F902A2">
              <w:rPr>
                <w:rFonts w:eastAsiaTheme="minorEastAsia"/>
                <w:color w:val="000000"/>
              </w:rPr>
              <w:t>Eligibility factor</w:t>
            </w:r>
          </w:p>
        </w:tc>
        <w:tc>
          <w:tcPr>
            <w:tcW w:w="5614" w:type="dxa"/>
            <w:tcBorders>
              <w:top w:val="nil"/>
              <w:left w:val="single" w:sz="2" w:space="0" w:color="111111"/>
              <w:bottom w:val="single" w:sz="6" w:space="0" w:color="111111"/>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ELIG/(ELIG + INELIG)</w:t>
            </w:r>
          </w:p>
        </w:tc>
        <w:tc>
          <w:tcPr>
            <w:tcW w:w="2020" w:type="dxa"/>
            <w:tcBorders>
              <w:top w:val="nil"/>
              <w:left w:val="single" w:sz="2" w:space="0" w:color="111111"/>
              <w:bottom w:val="single" w:sz="6" w:space="0" w:color="111111"/>
              <w:right w:val="single" w:sz="6" w:space="0" w:color="111111"/>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color w:val="000000"/>
              </w:rPr>
            </w:pPr>
            <w:r w:rsidRPr="00F902A2">
              <w:rPr>
                <w:rFonts w:eastAsiaTheme="minorEastAsia"/>
                <w:color w:val="000000"/>
              </w:rPr>
              <w:t>E</w:t>
            </w:r>
          </w:p>
        </w:tc>
      </w:tr>
    </w:tbl>
    <w:p w:rsidR="00F902A2" w:rsidRDefault="00F902A2" w:rsidP="00F902A2"/>
    <w:p w:rsidR="00F902A2" w:rsidRDefault="00F902A2" w:rsidP="00F902A2"/>
    <w:p w:rsidR="00F902A2" w:rsidRPr="00F902A2" w:rsidRDefault="00F902A2" w:rsidP="00952A20">
      <w:pPr>
        <w:spacing w:line="276" w:lineRule="auto"/>
        <w:rPr>
          <w:b/>
        </w:rPr>
      </w:pPr>
      <w:r w:rsidRPr="00F902A2">
        <w:rPr>
          <w:b/>
        </w:rPr>
        <w:t>Eligibility Factor</w:t>
      </w:r>
    </w:p>
    <w:p w:rsidR="00F902A2" w:rsidRDefault="00F902A2" w:rsidP="00952A20">
      <w:pPr>
        <w:spacing w:line="276" w:lineRule="auto"/>
      </w:pPr>
      <w:r>
        <w:t>E = ELIG/</w:t>
      </w:r>
      <w:r w:rsidR="00A02215">
        <w:t xml:space="preserve"> </w:t>
      </w:r>
      <w:r>
        <w:t>(ELIG + INELIG)</w:t>
      </w:r>
    </w:p>
    <w:p w:rsidR="00F902A2" w:rsidRDefault="00F902A2" w:rsidP="00952A20">
      <w:pPr>
        <w:spacing w:line="276" w:lineRule="auto"/>
      </w:pPr>
      <w:r>
        <w:t xml:space="preserve">The Eligibility Factor is the proportion of eligible phone numbers from among </w:t>
      </w:r>
      <w:r w:rsidR="00952A20">
        <w:t xml:space="preserve"> all </w:t>
      </w:r>
      <w:r>
        <w:t>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rsidR="00F902A2" w:rsidRDefault="00BE0CD8" w:rsidP="00952A20">
      <w:pPr>
        <w:spacing w:line="276" w:lineRule="auto"/>
      </w:pPr>
      <w:r>
        <w:br/>
      </w:r>
    </w:p>
    <w:p w:rsidR="00F902A2" w:rsidRDefault="00F902A2" w:rsidP="00952A20">
      <w:pPr>
        <w:spacing w:line="276" w:lineRule="auto"/>
      </w:pPr>
      <w:r>
        <w:t xml:space="preserve"> </w:t>
      </w:r>
      <w:r w:rsidRPr="00F902A2">
        <w:rPr>
          <w:b/>
        </w:rPr>
        <w:t>Resolution Rate</w:t>
      </w:r>
    </w:p>
    <w:p w:rsidR="00F902A2" w:rsidRDefault="00F902A2" w:rsidP="00952A20">
      <w:pPr>
        <w:spacing w:line="276" w:lineRule="auto"/>
      </w:pPr>
      <w:r>
        <w:t>((ELIG + INELIG) / (ELIG+INELIG+UNKELIG))*100</w:t>
      </w:r>
    </w:p>
    <w:p w:rsidR="00F902A2" w:rsidRDefault="00F902A2" w:rsidP="00952A20">
      <w:pPr>
        <w:spacing w:line="276" w:lineRule="auto"/>
      </w:pPr>
      <w: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rsidR="00F902A2" w:rsidRDefault="002A749B" w:rsidP="00952A20">
      <w:pPr>
        <w:spacing w:line="276" w:lineRule="auto"/>
        <w:rPr>
          <w:b/>
        </w:rPr>
      </w:pPr>
      <w:r>
        <w:rPr>
          <w:b/>
        </w:rPr>
        <w:br/>
      </w:r>
    </w:p>
    <w:p w:rsidR="00F902A2" w:rsidRPr="00F902A2" w:rsidRDefault="00F902A2" w:rsidP="00952A20">
      <w:pPr>
        <w:spacing w:line="276" w:lineRule="auto"/>
        <w:rPr>
          <w:b/>
        </w:rPr>
      </w:pPr>
      <w:r w:rsidRPr="00F902A2">
        <w:rPr>
          <w:b/>
        </w:rPr>
        <w:t xml:space="preserve"> Interview Completion Rate</w:t>
      </w:r>
    </w:p>
    <w:p w:rsidR="00F902A2" w:rsidRDefault="00F902A2" w:rsidP="00952A20">
      <w:pPr>
        <w:spacing w:line="276" w:lineRule="auto"/>
      </w:pPr>
      <w:r>
        <w:t>(COIN / (COIN + TERE)) * 100</w:t>
      </w:r>
    </w:p>
    <w:p w:rsidR="00F902A2" w:rsidRDefault="00F902A2" w:rsidP="00952A20">
      <w:pPr>
        <w:spacing w:line="276" w:lineRule="auto"/>
      </w:pPr>
      <w: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w:t>
      </w:r>
      <w:r w:rsidR="00AA7419">
        <w:t>,</w:t>
      </w:r>
      <w:r>
        <w:t xml:space="preserve"> and terminations. The result is multiplied by 100 to provide the percentage of completed interviews </w:t>
      </w:r>
      <w:r>
        <w:lastRenderedPageBreak/>
        <w:t>among eligible respondents who are contacted by interviewers. Separate interview completion rates are calculated for landline telephone and cellular telephone samples for each state and territory.</w:t>
      </w:r>
    </w:p>
    <w:p w:rsidR="00F902A2" w:rsidRDefault="002A749B" w:rsidP="00952A20">
      <w:pPr>
        <w:spacing w:line="276" w:lineRule="auto"/>
      </w:pPr>
      <w:r>
        <w:br/>
      </w:r>
    </w:p>
    <w:p w:rsidR="00F902A2" w:rsidRPr="00F902A2" w:rsidRDefault="00F902A2" w:rsidP="00952A20">
      <w:pPr>
        <w:spacing w:line="276" w:lineRule="auto"/>
        <w:rPr>
          <w:b/>
        </w:rPr>
      </w:pPr>
      <w:r>
        <w:t xml:space="preserve"> </w:t>
      </w:r>
      <w:r w:rsidRPr="00F902A2">
        <w:rPr>
          <w:b/>
        </w:rPr>
        <w:t>Cooperation Rate</w:t>
      </w:r>
    </w:p>
    <w:p w:rsidR="00F902A2" w:rsidRDefault="00F902A2" w:rsidP="00952A20">
      <w:pPr>
        <w:spacing w:line="276" w:lineRule="auto"/>
      </w:pPr>
      <w:r>
        <w:t>(COIN / CONELIG) *100</w:t>
      </w:r>
    </w:p>
    <w:p w:rsidR="00F902A2" w:rsidRDefault="00F902A2" w:rsidP="00952A20">
      <w:pPr>
        <w:spacing w:line="276" w:lineRule="auto"/>
      </w:pPr>
      <w: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rsidR="00BA529A" w:rsidRDefault="00BA529A" w:rsidP="00952A20">
      <w:pPr>
        <w:spacing w:line="276" w:lineRule="auto"/>
        <w:rPr>
          <w:b/>
        </w:rPr>
      </w:pPr>
    </w:p>
    <w:p w:rsidR="00F902A2" w:rsidRDefault="00F902A2" w:rsidP="00952A20">
      <w:pPr>
        <w:spacing w:line="276" w:lineRule="auto"/>
        <w:rPr>
          <w:b/>
        </w:rPr>
      </w:pPr>
      <w:r w:rsidRPr="00F902A2">
        <w:rPr>
          <w:b/>
        </w:rPr>
        <w:t xml:space="preserve"> </w:t>
      </w:r>
    </w:p>
    <w:p w:rsidR="00F902A2" w:rsidRPr="00F902A2" w:rsidRDefault="00F902A2" w:rsidP="00952A20">
      <w:pPr>
        <w:spacing w:line="276" w:lineRule="auto"/>
        <w:rPr>
          <w:b/>
        </w:rPr>
      </w:pPr>
      <w:r w:rsidRPr="00F902A2">
        <w:rPr>
          <w:b/>
        </w:rPr>
        <w:t>Refusal Rate</w:t>
      </w:r>
    </w:p>
    <w:p w:rsidR="00F902A2" w:rsidRDefault="00F902A2" w:rsidP="00952A20">
      <w:pPr>
        <w:spacing w:line="276" w:lineRule="auto"/>
      </w:pPr>
      <w:r>
        <w:t>(TERE / (ELIG + (E * UNKELIG))) * 100</w:t>
      </w:r>
    </w:p>
    <w:p w:rsidR="00F902A2" w:rsidRDefault="00F902A2" w:rsidP="00952A20">
      <w:pPr>
        <w:spacing w:line="276" w:lineRule="auto"/>
      </w:pPr>
      <w: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rsidR="00F902A2" w:rsidRDefault="00F902A2" w:rsidP="00952A20">
      <w:pPr>
        <w:spacing w:line="276" w:lineRule="auto"/>
        <w:rPr>
          <w:b/>
        </w:rPr>
      </w:pPr>
      <w:r w:rsidRPr="00F902A2">
        <w:rPr>
          <w:b/>
        </w:rPr>
        <w:t xml:space="preserve"> </w:t>
      </w:r>
    </w:p>
    <w:p w:rsidR="00F902A2" w:rsidRPr="00F902A2" w:rsidRDefault="00F902A2" w:rsidP="00952A20">
      <w:pPr>
        <w:spacing w:line="276" w:lineRule="auto"/>
        <w:rPr>
          <w:b/>
        </w:rPr>
      </w:pPr>
      <w:r w:rsidRPr="00F902A2">
        <w:rPr>
          <w:b/>
        </w:rPr>
        <w:t>Response Rate</w:t>
      </w:r>
    </w:p>
    <w:p w:rsidR="00F902A2" w:rsidRDefault="00F902A2" w:rsidP="00952A20">
      <w:pPr>
        <w:spacing w:line="276" w:lineRule="auto"/>
      </w:pPr>
      <w:r>
        <w:t>(COIN / ((ELIG + (E * UNKELIG))) * 100</w:t>
      </w:r>
    </w:p>
    <w:p w:rsidR="00F902A2" w:rsidRDefault="00F902A2" w:rsidP="00952A20">
      <w:pPr>
        <w:spacing w:line="276" w:lineRule="auto"/>
      </w:pPr>
      <w:r>
        <w:t xml:space="preserve">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w:t>
      </w:r>
      <w:r w:rsidR="00BA529A">
        <w:t xml:space="preserve">Response Rate for </w:t>
      </w:r>
      <w:r>
        <w:t xml:space="preserve">landline telephone and cellular telephone also is calculated. The combined landline telephone and cellular telephone response rate is generated by weighting to the respective size of the two samples. The total sample equals the landline </w:t>
      </w:r>
      <w:r w:rsidR="00BA529A">
        <w:t xml:space="preserve">telephone </w:t>
      </w:r>
      <w:r>
        <w:t>sample plus cell</w:t>
      </w:r>
      <w:r w:rsidR="00BA529A">
        <w:t>ular tele</w:t>
      </w:r>
      <w:r>
        <w:t>phone sample. The proportion of each sample is calculated using the total sample as the denominator. The formulae for the proportions of the sample are</w:t>
      </w:r>
      <w:r w:rsidR="00BA529A">
        <w:t xml:space="preserve"> found below</w:t>
      </w:r>
      <w:r>
        <w:t>:</w:t>
      </w:r>
    </w:p>
    <w:p w:rsidR="00F902A2" w:rsidRDefault="00F902A2" w:rsidP="00952A20">
      <w:pPr>
        <w:spacing w:line="276" w:lineRule="auto"/>
      </w:pPr>
    </w:p>
    <w:tbl>
      <w:tblPr>
        <w:tblW w:w="10621" w:type="dxa"/>
        <w:jc w:val="center"/>
        <w:tblLayout w:type="fixed"/>
        <w:tblCellMar>
          <w:left w:w="0" w:type="dxa"/>
          <w:right w:w="0" w:type="dxa"/>
        </w:tblCellMar>
        <w:tblLook w:val="0000" w:firstRow="0" w:lastRow="0" w:firstColumn="0" w:lastColumn="0" w:noHBand="0" w:noVBand="0"/>
      </w:tblPr>
      <w:tblGrid>
        <w:gridCol w:w="10621"/>
      </w:tblGrid>
      <w:tr w:rsidR="00F902A2" w:rsidRPr="00F902A2" w:rsidTr="00A02215">
        <w:trPr>
          <w:cantSplit/>
          <w:jc w:val="center"/>
        </w:trPr>
        <w:tc>
          <w:tcPr>
            <w:tcW w:w="10621" w:type="dxa"/>
            <w:tcBorders>
              <w:top w:val="nil"/>
              <w:left w:val="nil"/>
              <w:bottom w:val="nil"/>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jc w:val="center"/>
              <w:rPr>
                <w:rFonts w:eastAsiaTheme="minorEastAsia"/>
                <w:b/>
                <w:bCs/>
                <w:color w:val="000000"/>
              </w:rPr>
            </w:pPr>
            <w:r w:rsidRPr="00F902A2">
              <w:rPr>
                <w:rFonts w:eastAsiaTheme="minorEastAsia"/>
                <w:b/>
                <w:bCs/>
                <w:color w:val="000000"/>
              </w:rPr>
              <w:t>P</w:t>
            </w:r>
            <w:r w:rsidRPr="00F902A2">
              <w:rPr>
                <w:rFonts w:eastAsiaTheme="minorEastAsia"/>
                <w:b/>
                <w:bCs/>
                <w:color w:val="000000"/>
                <w:vertAlign w:val="subscript"/>
              </w:rPr>
              <w:t>1</w:t>
            </w:r>
            <w:r w:rsidRPr="00F902A2">
              <w:rPr>
                <w:rFonts w:eastAsiaTheme="minorEastAsia"/>
                <w:b/>
                <w:bCs/>
                <w:color w:val="000000"/>
              </w:rPr>
              <w:t xml:space="preserve"> = TOTAL LANDLINE SAMPLE / </w:t>
            </w:r>
            <w:r w:rsidRPr="00F902A2">
              <w:rPr>
                <w:rFonts w:eastAsiaTheme="minorEastAsia"/>
                <w:b/>
                <w:bCs/>
                <w:color w:val="000000"/>
              </w:rPr>
              <w:br/>
              <w:t>(TOTAL LANDLINE SAMPLE + TOTAL CELL PHONE SAMPLE);</w:t>
            </w:r>
          </w:p>
        </w:tc>
      </w:tr>
      <w:tr w:rsidR="00F902A2" w:rsidRPr="00F902A2" w:rsidTr="00A02215">
        <w:trPr>
          <w:cantSplit/>
          <w:jc w:val="center"/>
        </w:trPr>
        <w:tc>
          <w:tcPr>
            <w:tcW w:w="10621" w:type="dxa"/>
            <w:tcBorders>
              <w:top w:val="nil"/>
              <w:left w:val="nil"/>
              <w:bottom w:val="nil"/>
              <w:right w:val="nil"/>
            </w:tcBorders>
            <w:shd w:val="clear" w:color="auto" w:fill="FFFFFF"/>
            <w:tcMar>
              <w:left w:w="60" w:type="dxa"/>
              <w:right w:w="60" w:type="dxa"/>
            </w:tcMar>
          </w:tcPr>
          <w:p w:rsidR="00F902A2" w:rsidRPr="00F902A2" w:rsidRDefault="00F902A2" w:rsidP="00F902A2">
            <w:pPr>
              <w:autoSpaceDE w:val="0"/>
              <w:autoSpaceDN w:val="0"/>
              <w:adjustRightInd w:val="0"/>
              <w:spacing w:before="60" w:after="60"/>
              <w:rPr>
                <w:rFonts w:eastAsiaTheme="minorEastAsia"/>
                <w:b/>
                <w:bCs/>
                <w:color w:val="000000"/>
              </w:rPr>
            </w:pPr>
          </w:p>
          <w:p w:rsidR="00F902A2" w:rsidRPr="00F902A2" w:rsidRDefault="00F902A2" w:rsidP="00F902A2">
            <w:pPr>
              <w:autoSpaceDE w:val="0"/>
              <w:autoSpaceDN w:val="0"/>
              <w:adjustRightInd w:val="0"/>
              <w:spacing w:before="60" w:after="60"/>
              <w:jc w:val="center"/>
              <w:rPr>
                <w:rFonts w:eastAsiaTheme="minorEastAsia"/>
                <w:b/>
                <w:bCs/>
                <w:color w:val="000000"/>
              </w:rPr>
            </w:pPr>
            <w:r w:rsidRPr="00F902A2">
              <w:rPr>
                <w:rFonts w:eastAsiaTheme="minorEastAsia"/>
                <w:b/>
                <w:bCs/>
                <w:color w:val="000000"/>
              </w:rPr>
              <w:t>P</w:t>
            </w:r>
            <w:r w:rsidRPr="00F902A2">
              <w:rPr>
                <w:rFonts w:eastAsiaTheme="minorEastAsia"/>
                <w:b/>
                <w:bCs/>
                <w:color w:val="000000"/>
                <w:vertAlign w:val="subscript"/>
              </w:rPr>
              <w:t>2</w:t>
            </w:r>
            <w:r w:rsidRPr="00F902A2">
              <w:rPr>
                <w:rFonts w:eastAsiaTheme="minorEastAsia"/>
                <w:b/>
                <w:bCs/>
                <w:color w:val="000000"/>
              </w:rPr>
              <w:t xml:space="preserve"> = TOTAL</w:t>
            </w:r>
            <w:r w:rsidR="00BA529A">
              <w:rPr>
                <w:rFonts w:eastAsiaTheme="minorEastAsia"/>
                <w:b/>
                <w:bCs/>
                <w:color w:val="000000"/>
              </w:rPr>
              <w:t xml:space="preserve"> </w:t>
            </w:r>
            <w:r w:rsidRPr="00F902A2">
              <w:rPr>
                <w:rFonts w:eastAsiaTheme="minorEastAsia"/>
                <w:b/>
                <w:bCs/>
                <w:color w:val="000000"/>
              </w:rPr>
              <w:t xml:space="preserve">CELL PHONE SAMPLE / </w:t>
            </w:r>
            <w:r w:rsidRPr="00F902A2">
              <w:rPr>
                <w:rFonts w:eastAsiaTheme="minorEastAsia"/>
                <w:b/>
                <w:bCs/>
                <w:color w:val="000000"/>
              </w:rPr>
              <w:br/>
              <w:t>(TOTAL LANDLINE SAMPLE + TOTAL CELL PHONE SAMPLE);</w:t>
            </w:r>
          </w:p>
        </w:tc>
      </w:tr>
      <w:tr w:rsidR="00F902A2" w:rsidRPr="00F902A2" w:rsidTr="00A02215">
        <w:trPr>
          <w:cantSplit/>
          <w:jc w:val="center"/>
        </w:trPr>
        <w:tc>
          <w:tcPr>
            <w:tcW w:w="10621" w:type="dxa"/>
            <w:tcBorders>
              <w:top w:val="nil"/>
              <w:left w:val="nil"/>
              <w:bottom w:val="nil"/>
              <w:right w:val="nil"/>
            </w:tcBorders>
            <w:shd w:val="clear" w:color="auto" w:fill="FFFFFF"/>
            <w:tcMar>
              <w:left w:w="60" w:type="dxa"/>
              <w:right w:w="60" w:type="dxa"/>
            </w:tcMar>
          </w:tcPr>
          <w:p w:rsidR="00F902A2" w:rsidRPr="00F902A2" w:rsidRDefault="00BA529A" w:rsidP="00BA529A">
            <w:pPr>
              <w:keepNext/>
              <w:autoSpaceDE w:val="0"/>
              <w:autoSpaceDN w:val="0"/>
              <w:adjustRightInd w:val="0"/>
              <w:spacing w:before="60" w:after="60"/>
              <w:rPr>
                <w:rFonts w:eastAsiaTheme="minorEastAsia"/>
                <w:color w:val="000000"/>
              </w:rPr>
            </w:pPr>
            <w:r>
              <w:rPr>
                <w:rFonts w:eastAsiaTheme="minorEastAsia"/>
                <w:color w:val="000000"/>
              </w:rPr>
              <w:t>T</w:t>
            </w:r>
            <w:r w:rsidR="00F902A2" w:rsidRPr="00F902A2">
              <w:rPr>
                <w:rFonts w:eastAsiaTheme="minorEastAsia"/>
                <w:color w:val="000000"/>
              </w:rPr>
              <w:t>he formula for the Combined Landline Telephone and Cellular Telephone Weighted Response Rate</w:t>
            </w:r>
            <w:r>
              <w:rPr>
                <w:rFonts w:eastAsiaTheme="minorEastAsia"/>
                <w:color w:val="000000"/>
              </w:rPr>
              <w:t xml:space="preserve">, therefore, </w:t>
            </w:r>
            <w:r w:rsidR="00F902A2" w:rsidRPr="00F902A2">
              <w:rPr>
                <w:rFonts w:eastAsiaTheme="minorEastAsia"/>
                <w:color w:val="000000"/>
              </w:rPr>
              <w:t>is</w:t>
            </w:r>
            <w:r>
              <w:rPr>
                <w:rFonts w:eastAsiaTheme="minorEastAsia"/>
                <w:color w:val="000000"/>
              </w:rPr>
              <w:t xml:space="preserve"> described below</w:t>
            </w:r>
            <w:r w:rsidR="00F902A2" w:rsidRPr="00F902A2">
              <w:rPr>
                <w:rFonts w:eastAsiaTheme="minorEastAsia"/>
                <w:color w:val="000000"/>
              </w:rPr>
              <w:t>:</w:t>
            </w:r>
          </w:p>
        </w:tc>
      </w:tr>
      <w:tr w:rsidR="00A02215" w:rsidRPr="00F902A2" w:rsidTr="00A02215">
        <w:trPr>
          <w:cantSplit/>
          <w:jc w:val="center"/>
        </w:trPr>
        <w:tc>
          <w:tcPr>
            <w:tcW w:w="10621" w:type="dxa"/>
            <w:tcBorders>
              <w:top w:val="nil"/>
              <w:left w:val="nil"/>
              <w:bottom w:val="nil"/>
              <w:right w:val="nil"/>
            </w:tcBorders>
            <w:shd w:val="clear" w:color="auto" w:fill="FFFFFF"/>
            <w:tcMar>
              <w:left w:w="60" w:type="dxa"/>
              <w:right w:w="60" w:type="dxa"/>
            </w:tcMar>
          </w:tcPr>
          <w:p w:rsidR="00A02215" w:rsidRDefault="00A02215" w:rsidP="00A02215">
            <w:pPr>
              <w:autoSpaceDE w:val="0"/>
              <w:autoSpaceDN w:val="0"/>
              <w:adjustRightInd w:val="0"/>
              <w:spacing w:before="60" w:after="60"/>
              <w:jc w:val="center"/>
              <w:rPr>
                <w:rFonts w:eastAsiaTheme="minorEastAsia"/>
                <w:b/>
                <w:bCs/>
                <w:color w:val="000000"/>
              </w:rPr>
            </w:pPr>
            <w:r w:rsidRPr="00F902A2">
              <w:rPr>
                <w:rFonts w:eastAsiaTheme="minorEastAsia"/>
                <w:b/>
                <w:bCs/>
                <w:color w:val="000000"/>
              </w:rPr>
              <w:t xml:space="preserve">COMBINED RESPONSE RATE= </w:t>
            </w:r>
            <w:r w:rsidRPr="00F902A2">
              <w:rPr>
                <w:rFonts w:eastAsiaTheme="minorEastAsia"/>
                <w:b/>
                <w:bCs/>
                <w:color w:val="000000"/>
              </w:rPr>
              <w:br/>
              <w:t>(P</w:t>
            </w:r>
            <w:r w:rsidRPr="00F902A2">
              <w:rPr>
                <w:rFonts w:eastAsiaTheme="minorEastAsia"/>
                <w:b/>
                <w:bCs/>
                <w:color w:val="000000"/>
                <w:vertAlign w:val="subscript"/>
              </w:rPr>
              <w:t>1</w:t>
            </w:r>
            <w:r w:rsidRPr="00F902A2">
              <w:rPr>
                <w:rFonts w:eastAsiaTheme="minorEastAsia"/>
                <w:b/>
                <w:bCs/>
                <w:color w:val="000000"/>
              </w:rPr>
              <w:t xml:space="preserve"> * LANDLINE RESPONSE RATE) + (P</w:t>
            </w:r>
            <w:r w:rsidRPr="00F902A2">
              <w:rPr>
                <w:rFonts w:eastAsiaTheme="minorEastAsia"/>
                <w:b/>
                <w:bCs/>
                <w:color w:val="000000"/>
                <w:vertAlign w:val="subscript"/>
              </w:rPr>
              <w:t>2</w:t>
            </w:r>
            <w:r w:rsidRPr="00F902A2">
              <w:rPr>
                <w:rFonts w:eastAsiaTheme="minorEastAsia"/>
                <w:b/>
                <w:bCs/>
                <w:color w:val="000000"/>
              </w:rPr>
              <w:t xml:space="preserve"> * CELL PHONE RESPONSE RATE).</w:t>
            </w:r>
          </w:p>
          <w:p w:rsidR="00A02215" w:rsidRDefault="00A02215" w:rsidP="00A02215">
            <w:pPr>
              <w:autoSpaceDE w:val="0"/>
              <w:autoSpaceDN w:val="0"/>
              <w:adjustRightInd w:val="0"/>
              <w:spacing w:before="60" w:after="60"/>
              <w:rPr>
                <w:rFonts w:eastAsiaTheme="minorEastAsia"/>
                <w:b/>
                <w:bCs/>
                <w:color w:val="000000"/>
              </w:rPr>
            </w:pPr>
          </w:p>
          <w:p w:rsidR="00A02215" w:rsidRPr="00F902A2" w:rsidRDefault="00A02215" w:rsidP="00A02215">
            <w:pPr>
              <w:autoSpaceDE w:val="0"/>
              <w:autoSpaceDN w:val="0"/>
              <w:adjustRightInd w:val="0"/>
              <w:spacing w:before="60" w:after="60"/>
              <w:jc w:val="center"/>
              <w:rPr>
                <w:rFonts w:eastAsiaTheme="minorEastAsia"/>
                <w:b/>
                <w:bCs/>
                <w:color w:val="000000"/>
              </w:rPr>
            </w:pPr>
          </w:p>
        </w:tc>
      </w:tr>
    </w:tbl>
    <w:p w:rsidR="00965D79" w:rsidRDefault="00965D79" w:rsidP="00952A20">
      <w:pPr>
        <w:pStyle w:val="Heading1"/>
        <w:spacing w:line="276" w:lineRule="auto"/>
      </w:pPr>
      <w:bookmarkStart w:id="5" w:name="_Toc390936278"/>
      <w:r>
        <w:t>Tables of Outcomes and Rates by State</w:t>
      </w:r>
      <w:bookmarkEnd w:id="5"/>
    </w:p>
    <w:p w:rsidR="00965D79" w:rsidRDefault="00965D79" w:rsidP="00952A20">
      <w:pPr>
        <w:spacing w:line="276" w:lineRule="auto"/>
      </w:pPr>
      <w:r>
        <w:t xml:space="preserve">The tables on the following pages illustrate calling outcomes in categories of eligibility, rates of cooperation, refusal, resolution, and response by landline telephone and cellular telephone samples. </w:t>
      </w:r>
    </w:p>
    <w:p w:rsidR="00965D79" w:rsidRDefault="00965D79" w:rsidP="00952A20">
      <w:pPr>
        <w:spacing w:line="276" w:lineRule="auto"/>
      </w:pPr>
    </w:p>
    <w:p w:rsidR="00965D79" w:rsidRDefault="00965D79" w:rsidP="00952A20">
      <w:pPr>
        <w:pStyle w:val="ListParagraph"/>
        <w:numPr>
          <w:ilvl w:val="0"/>
          <w:numId w:val="2"/>
        </w:numPr>
        <w:spacing w:line="276" w:lineRule="auto"/>
      </w:pPr>
      <w:r>
        <w:t>Tables 4A and 4B provide information on the size of the sample and the numbers and percentages of completed interviews, terminations and refusals, and contacts with eligible households by state and territory.</w:t>
      </w:r>
    </w:p>
    <w:p w:rsidR="00965D79" w:rsidRDefault="00965D79" w:rsidP="00952A20">
      <w:pPr>
        <w:pStyle w:val="ListParagraph"/>
        <w:numPr>
          <w:ilvl w:val="0"/>
          <w:numId w:val="2"/>
        </w:numPr>
        <w:spacing w:line="276" w:lineRule="auto"/>
      </w:pPr>
      <w:r>
        <w:t xml:space="preserve">Tables 5A and 5B provide information on the number and percentage of landline </w:t>
      </w:r>
      <w:r w:rsidR="00BA529A">
        <w:t xml:space="preserve">telephone </w:t>
      </w:r>
      <w:r>
        <w:t>and cell</w:t>
      </w:r>
      <w:r w:rsidR="00BA529A">
        <w:t>ular tele</w:t>
      </w:r>
      <w:r>
        <w:t xml:space="preserve">phone sample numbers that are eligible, ineligible, and of unknown eligibility. </w:t>
      </w:r>
    </w:p>
    <w:p w:rsidR="00965D79" w:rsidRPr="00965D79" w:rsidRDefault="00965D79" w:rsidP="00952A20">
      <w:pPr>
        <w:pStyle w:val="ListParagraph"/>
        <w:numPr>
          <w:ilvl w:val="0"/>
          <w:numId w:val="2"/>
        </w:numPr>
        <w:spacing w:line="276" w:lineRule="auto"/>
      </w:pPr>
      <w:r>
        <w:t>Table 6 provides response rates for landline telephone samples, cellular telephone samples</w:t>
      </w:r>
      <w:r w:rsidR="0083339F">
        <w:t>,</w:t>
      </w:r>
      <w:r>
        <w:t xml:space="preserve"> and combined samples. </w:t>
      </w:r>
    </w:p>
    <w:p w:rsidR="00965D79" w:rsidRDefault="00965D79"/>
    <w:p w:rsidR="00A02215" w:rsidRDefault="00A02215">
      <w:r>
        <w:br w:type="page"/>
      </w:r>
    </w:p>
    <w:tbl>
      <w:tblPr>
        <w:tblStyle w:val="TableGrid"/>
        <w:tblpPr w:leftFromText="180" w:rightFromText="180" w:vertAnchor="text" w:tblpY="1"/>
        <w:tblOverlap w:val="never"/>
        <w:tblW w:w="0" w:type="auto"/>
        <w:tblInd w:w="1260" w:type="dxa"/>
        <w:tblLayout w:type="fixed"/>
        <w:tblLook w:val="0000" w:firstRow="0" w:lastRow="0" w:firstColumn="0" w:lastColumn="0" w:noHBand="0" w:noVBand="0"/>
      </w:tblPr>
      <w:tblGrid>
        <w:gridCol w:w="1459"/>
        <w:gridCol w:w="1119"/>
        <w:gridCol w:w="1007"/>
        <w:gridCol w:w="1119"/>
        <w:gridCol w:w="1007"/>
        <w:gridCol w:w="1119"/>
        <w:gridCol w:w="1007"/>
        <w:gridCol w:w="1811"/>
      </w:tblGrid>
      <w:tr w:rsidR="00450953" w:rsidRPr="00F515CE" w:rsidTr="004A5E02">
        <w:tc>
          <w:tcPr>
            <w:tcW w:w="9648" w:type="dxa"/>
            <w:gridSpan w:val="8"/>
          </w:tcPr>
          <w:p w:rsidR="00450953" w:rsidRDefault="00450953" w:rsidP="008F52D4">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lastRenderedPageBreak/>
              <w:t>Table 4</w:t>
            </w:r>
            <w:r>
              <w:rPr>
                <w:rFonts w:eastAsiaTheme="minorEastAsia"/>
                <w:b/>
                <w:bCs/>
                <w:color w:val="000000"/>
                <w:sz w:val="22"/>
                <w:szCs w:val="22"/>
              </w:rPr>
              <w:t>A</w:t>
            </w:r>
          </w:p>
          <w:p w:rsidR="00450953" w:rsidRDefault="00450953" w:rsidP="008F52D4">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 xml:space="preserve">Completions, Terminations and Refusals, Contacted Eligible Households </w:t>
            </w:r>
          </w:p>
          <w:p w:rsidR="00450953" w:rsidRPr="00F515CE" w:rsidRDefault="00450953" w:rsidP="008F52D4">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and Total Sample by State</w:t>
            </w:r>
            <w:r>
              <w:rPr>
                <w:rFonts w:eastAsiaTheme="minorEastAsia"/>
                <w:b/>
                <w:bCs/>
                <w:color w:val="000000"/>
                <w:sz w:val="22"/>
                <w:szCs w:val="22"/>
              </w:rPr>
              <w:t xml:space="preserve"> (Landline Sample)</w:t>
            </w:r>
          </w:p>
        </w:tc>
      </w:tr>
      <w:tr w:rsidR="00F515CE" w:rsidRPr="00F515CE" w:rsidTr="004A5E02">
        <w:tc>
          <w:tcPr>
            <w:tcW w:w="1459"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bookmarkStart w:id="6" w:name="IDX13"/>
            <w:bookmarkEnd w:id="6"/>
          </w:p>
        </w:tc>
        <w:tc>
          <w:tcPr>
            <w:tcW w:w="2126" w:type="dxa"/>
            <w:gridSpan w:val="2"/>
          </w:tcPr>
          <w:p w:rsidR="00F515CE" w:rsidRPr="00E87434" w:rsidRDefault="00F515CE" w:rsidP="008F52D4">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COIN</w:t>
            </w:r>
            <w:r w:rsidR="00E87434">
              <w:rPr>
                <w:rFonts w:eastAsiaTheme="minorEastAsia"/>
                <w:b/>
                <w:bCs/>
                <w:color w:val="000000"/>
                <w:sz w:val="22"/>
                <w:szCs w:val="22"/>
                <w:vertAlign w:val="superscript"/>
              </w:rPr>
              <w:t>1</w:t>
            </w:r>
          </w:p>
        </w:tc>
        <w:tc>
          <w:tcPr>
            <w:tcW w:w="2126" w:type="dxa"/>
            <w:gridSpan w:val="2"/>
          </w:tcPr>
          <w:p w:rsidR="00F515CE" w:rsidRPr="00E87434" w:rsidRDefault="00F515CE" w:rsidP="008F52D4">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TERE</w:t>
            </w:r>
            <w:r w:rsidR="00E87434">
              <w:rPr>
                <w:rFonts w:eastAsiaTheme="minorEastAsia"/>
                <w:b/>
                <w:bCs/>
                <w:color w:val="000000"/>
                <w:sz w:val="22"/>
                <w:szCs w:val="22"/>
                <w:vertAlign w:val="superscript"/>
              </w:rPr>
              <w:t>1</w:t>
            </w:r>
          </w:p>
        </w:tc>
        <w:tc>
          <w:tcPr>
            <w:tcW w:w="2126" w:type="dxa"/>
            <w:gridSpan w:val="2"/>
          </w:tcPr>
          <w:p w:rsidR="00F515CE" w:rsidRPr="00E87434" w:rsidRDefault="00F515CE" w:rsidP="008F52D4">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CONELIG</w:t>
            </w:r>
            <w:r w:rsidR="00E87434">
              <w:rPr>
                <w:rFonts w:eastAsiaTheme="minorEastAsia"/>
                <w:b/>
                <w:bCs/>
                <w:color w:val="000000"/>
                <w:sz w:val="22"/>
                <w:szCs w:val="22"/>
                <w:vertAlign w:val="superscript"/>
              </w:rPr>
              <w:t>1</w:t>
            </w:r>
          </w:p>
        </w:tc>
        <w:tc>
          <w:tcPr>
            <w:tcW w:w="1811"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p>
        </w:tc>
      </w:tr>
      <w:tr w:rsidR="00F515CE" w:rsidRPr="00F515CE" w:rsidTr="004A5E02">
        <w:tc>
          <w:tcPr>
            <w:tcW w:w="1459"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State</w:t>
            </w:r>
          </w:p>
        </w:tc>
        <w:tc>
          <w:tcPr>
            <w:tcW w:w="1119"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07"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119"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07"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119"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07"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811" w:type="dxa"/>
          </w:tcPr>
          <w:p w:rsidR="00F515CE" w:rsidRPr="00F515CE" w:rsidRDefault="00F515CE"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 xml:space="preserve">Total </w:t>
            </w:r>
            <w:r w:rsidR="004A5E02">
              <w:rPr>
                <w:rFonts w:eastAsiaTheme="minorEastAsia"/>
                <w:b/>
                <w:bCs/>
                <w:color w:val="000000"/>
                <w:sz w:val="22"/>
                <w:szCs w:val="22"/>
              </w:rPr>
              <w:t xml:space="preserve">Landline </w:t>
            </w:r>
            <w:r w:rsidRPr="00F515CE">
              <w:rPr>
                <w:rFonts w:eastAsiaTheme="minorEastAsia"/>
                <w:b/>
                <w:bCs/>
                <w:color w:val="000000"/>
                <w:sz w:val="22"/>
                <w:szCs w:val="22"/>
              </w:rPr>
              <w:t>Sample</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AL</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5,034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4,300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11,359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8.8</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128,697</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AK</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3,453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3.0</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1,554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5,906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113,850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AZ</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2,730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1,303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4,573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8.4</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54,240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AR</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4,033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2,133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7,149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79,650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6,634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2,486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12,954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225,697</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CO</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9,847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1,710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13,259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110,550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CT</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5,874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2,692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10,025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110,250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DE</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3,978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1,717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6,818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9.2</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73,920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DC</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4,029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2,195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7,200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148,320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FL</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27,763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14,013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48,639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614,630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5,716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1,386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9,089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153,630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HI</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4,207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1,271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7,389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79,830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ID</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4,096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1,622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6,553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8.5</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77,250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IL</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4,067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1,246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6,239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68,580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IN</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7,730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3,492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12,814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144,750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6,129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2,471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9,944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91,350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KS</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16,031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5,396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23,419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212,130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KY</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8,550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2,352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11,689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163,620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LA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4,539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1,825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7,082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103,158</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6,494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1,780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9,263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79,410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MD</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11,147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2,099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15,959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158,400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12,160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4,234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21,023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274,290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8,762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2,740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13,912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169,020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MN</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10,551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14,989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165,900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MS</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5,465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2,300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9,047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9.8</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92,580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MO</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5,332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1,499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8,013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42,763</w:t>
            </w:r>
          </w:p>
        </w:tc>
      </w:tr>
      <w:tr w:rsidR="00450953" w:rsidRPr="00F515CE" w:rsidTr="004A5E02">
        <w:tc>
          <w:tcPr>
            <w:tcW w:w="9648" w:type="dxa"/>
            <w:gridSpan w:val="8"/>
          </w:tcPr>
          <w:p w:rsidR="00450953" w:rsidRPr="008F52D4" w:rsidRDefault="00450953" w:rsidP="008F52D4">
            <w:pPr>
              <w:autoSpaceDE w:val="0"/>
              <w:autoSpaceDN w:val="0"/>
              <w:adjustRightInd w:val="0"/>
              <w:spacing w:before="80" w:after="80"/>
              <w:jc w:val="center"/>
              <w:rPr>
                <w:rFonts w:eastAsiaTheme="minorEastAsia"/>
                <w:b/>
                <w:color w:val="000000"/>
                <w:sz w:val="22"/>
                <w:szCs w:val="22"/>
              </w:rPr>
            </w:pPr>
            <w:r w:rsidRPr="008F52D4">
              <w:rPr>
                <w:rFonts w:eastAsiaTheme="minorEastAsia"/>
                <w:b/>
                <w:color w:val="000000"/>
                <w:sz w:val="22"/>
                <w:szCs w:val="22"/>
              </w:rPr>
              <w:lastRenderedPageBreak/>
              <w:t>Table 4A</w:t>
            </w:r>
          </w:p>
          <w:p w:rsidR="00450953" w:rsidRPr="008F52D4" w:rsidRDefault="00450953" w:rsidP="008F52D4">
            <w:pPr>
              <w:autoSpaceDE w:val="0"/>
              <w:autoSpaceDN w:val="0"/>
              <w:adjustRightInd w:val="0"/>
              <w:spacing w:before="80" w:after="80"/>
              <w:jc w:val="center"/>
              <w:rPr>
                <w:rFonts w:eastAsiaTheme="minorEastAsia"/>
                <w:b/>
                <w:color w:val="000000"/>
                <w:sz w:val="22"/>
                <w:szCs w:val="22"/>
              </w:rPr>
            </w:pPr>
            <w:r w:rsidRPr="008F52D4">
              <w:rPr>
                <w:rFonts w:eastAsiaTheme="minorEastAsia"/>
                <w:b/>
                <w:color w:val="000000"/>
                <w:sz w:val="22"/>
                <w:szCs w:val="22"/>
              </w:rPr>
              <w:t>Completions, Terminations and Refusals, Contacted Eligible Households</w:t>
            </w:r>
          </w:p>
          <w:p w:rsidR="00450953" w:rsidRPr="00F515CE" w:rsidRDefault="00450953" w:rsidP="008F52D4">
            <w:pPr>
              <w:autoSpaceDE w:val="0"/>
              <w:autoSpaceDN w:val="0"/>
              <w:adjustRightInd w:val="0"/>
              <w:spacing w:before="80" w:after="80"/>
              <w:jc w:val="center"/>
              <w:rPr>
                <w:rFonts w:eastAsiaTheme="minorEastAsia"/>
                <w:color w:val="000000"/>
                <w:sz w:val="20"/>
                <w:szCs w:val="20"/>
              </w:rPr>
            </w:pPr>
            <w:r w:rsidRPr="008F52D4">
              <w:rPr>
                <w:rFonts w:eastAsiaTheme="minorEastAsia"/>
                <w:b/>
                <w:color w:val="000000"/>
                <w:sz w:val="22"/>
                <w:szCs w:val="22"/>
              </w:rPr>
              <w:t>and Total Sample by State (Landline Sample)</w:t>
            </w:r>
          </w:p>
        </w:tc>
      </w:tr>
      <w:tr w:rsidR="008F52D4" w:rsidRPr="00F515CE" w:rsidTr="004A5E02">
        <w:tc>
          <w:tcPr>
            <w:tcW w:w="1459"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p>
        </w:tc>
        <w:tc>
          <w:tcPr>
            <w:tcW w:w="2126" w:type="dxa"/>
            <w:gridSpan w:val="2"/>
          </w:tcPr>
          <w:p w:rsidR="008F52D4" w:rsidRPr="00E87434" w:rsidRDefault="008F52D4" w:rsidP="008F52D4">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COIN</w:t>
            </w:r>
            <w:r>
              <w:rPr>
                <w:rFonts w:eastAsiaTheme="minorEastAsia"/>
                <w:b/>
                <w:bCs/>
                <w:color w:val="000000"/>
                <w:sz w:val="22"/>
                <w:szCs w:val="22"/>
                <w:vertAlign w:val="superscript"/>
              </w:rPr>
              <w:t>1</w:t>
            </w:r>
          </w:p>
        </w:tc>
        <w:tc>
          <w:tcPr>
            <w:tcW w:w="2126" w:type="dxa"/>
            <w:gridSpan w:val="2"/>
          </w:tcPr>
          <w:p w:rsidR="008F52D4" w:rsidRPr="00E87434" w:rsidRDefault="008F52D4" w:rsidP="008F52D4">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TERE</w:t>
            </w:r>
            <w:r>
              <w:rPr>
                <w:rFonts w:eastAsiaTheme="minorEastAsia"/>
                <w:b/>
                <w:bCs/>
                <w:color w:val="000000"/>
                <w:sz w:val="22"/>
                <w:szCs w:val="22"/>
                <w:vertAlign w:val="superscript"/>
              </w:rPr>
              <w:t>1</w:t>
            </w:r>
          </w:p>
        </w:tc>
        <w:tc>
          <w:tcPr>
            <w:tcW w:w="2126" w:type="dxa"/>
            <w:gridSpan w:val="2"/>
          </w:tcPr>
          <w:p w:rsidR="008F52D4" w:rsidRPr="00E87434" w:rsidRDefault="008F52D4" w:rsidP="008F52D4">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CONELIG</w:t>
            </w:r>
            <w:r>
              <w:rPr>
                <w:rFonts w:eastAsiaTheme="minorEastAsia"/>
                <w:b/>
                <w:bCs/>
                <w:color w:val="000000"/>
                <w:sz w:val="22"/>
                <w:szCs w:val="22"/>
                <w:vertAlign w:val="superscript"/>
              </w:rPr>
              <w:t>1</w:t>
            </w:r>
          </w:p>
        </w:tc>
        <w:tc>
          <w:tcPr>
            <w:tcW w:w="1811"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p>
        </w:tc>
      </w:tr>
      <w:tr w:rsidR="008F52D4" w:rsidRPr="00F515CE" w:rsidTr="004A5E02">
        <w:tc>
          <w:tcPr>
            <w:tcW w:w="1459"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State</w:t>
            </w:r>
          </w:p>
        </w:tc>
        <w:tc>
          <w:tcPr>
            <w:tcW w:w="1119"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07"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119"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07"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119"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07"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811" w:type="dxa"/>
          </w:tcPr>
          <w:p w:rsidR="008F52D4" w:rsidRPr="00F515CE" w:rsidRDefault="008F52D4" w:rsidP="008F52D4">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 xml:space="preserve">Total </w:t>
            </w:r>
            <w:r w:rsidR="004A5E02">
              <w:rPr>
                <w:rFonts w:eastAsiaTheme="minorEastAsia"/>
                <w:b/>
                <w:bCs/>
                <w:color w:val="000000"/>
                <w:sz w:val="22"/>
                <w:szCs w:val="22"/>
              </w:rPr>
              <w:t xml:space="preserve">Landline </w:t>
            </w:r>
            <w:r w:rsidRPr="00F515CE">
              <w:rPr>
                <w:rFonts w:eastAsiaTheme="minorEastAsia"/>
                <w:b/>
                <w:bCs/>
                <w:color w:val="000000"/>
                <w:sz w:val="22"/>
                <w:szCs w:val="22"/>
              </w:rPr>
              <w:t>Sample</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MT</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6,763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2,012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10,060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103,412</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NE</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12,973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3,966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19,249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12.6</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153,300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NV</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3,438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1,042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5,098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54,899</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NH</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4,954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1,810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7,670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64,530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NJ</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9,933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2,914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16,296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8.6</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188,490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NM</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5,668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2,337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9,223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83,370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NY</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5,517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3,230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10,837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143,730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NC</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6,667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2,809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10,813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12.3</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87,779</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ND</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5,640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1,575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8,217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92,430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OH</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8,843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1,989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13,537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8.4</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160,260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OK</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5,830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2,087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9,392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72,338</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OR</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4,078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1,888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6,111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67,257</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8,583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3,968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14,462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9.4</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154,507</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RI</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5,123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2,481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8,993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12.8</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70,200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SC</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7,768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2,120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11,775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12.4</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95,070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SD</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4,480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6,303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81,720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TN</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4,193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1,600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6,175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6.4</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95,910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TX</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7,235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2,527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11,480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8.3</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137,940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UT</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8,239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2,443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2.0</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12,742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10.7</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119,520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VT</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5,069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1,341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7,163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54,630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6,022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1,321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9,234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116,190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WA</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8,396</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4,758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15,524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9.6</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162,240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WV</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4,319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1,003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5,918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21.2</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27,900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WI</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4,623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2,001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3.0</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7,301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66,240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WY</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5,272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2,148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8,320</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118,710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GU</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1,461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2,847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11.3</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25,110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lastRenderedPageBreak/>
              <w:t>PR</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3,545</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5,002</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9.6</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51,841</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Minimum</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1,461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2.7</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431</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0.8</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2,847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25,110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Maximum</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27,763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15.5</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14,013</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48,639</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21.2</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614,630</w:t>
            </w:r>
          </w:p>
        </w:tc>
      </w:tr>
      <w:tr w:rsidR="00F515CE" w:rsidRPr="00F515CE" w:rsidTr="004A5E02">
        <w:tc>
          <w:tcPr>
            <w:tcW w:w="1459" w:type="dxa"/>
          </w:tcPr>
          <w:p w:rsidR="00F515CE" w:rsidRPr="00F515CE" w:rsidRDefault="00F515CE" w:rsidP="008F52D4">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Mean</w:t>
            </w:r>
          </w:p>
        </w:tc>
        <w:tc>
          <w:tcPr>
            <w:tcW w:w="1119" w:type="dxa"/>
          </w:tcPr>
          <w:p w:rsidR="00F515CE" w:rsidRPr="00F515CE" w:rsidRDefault="00F515CE" w:rsidP="008F52D4">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6,773</w:t>
            </w:r>
          </w:p>
        </w:tc>
        <w:tc>
          <w:tcPr>
            <w:tcW w:w="1007" w:type="dxa"/>
          </w:tcPr>
          <w:p w:rsidR="00F515CE" w:rsidRPr="00F515CE" w:rsidRDefault="00F515CE" w:rsidP="008F52D4">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w:t>
            </w:r>
          </w:p>
        </w:tc>
        <w:tc>
          <w:tcPr>
            <w:tcW w:w="1119" w:type="dxa"/>
          </w:tcPr>
          <w:p w:rsidR="00F515CE" w:rsidRPr="00F515CE" w:rsidRDefault="00F515CE" w:rsidP="008F52D4">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2,434</w:t>
            </w:r>
          </w:p>
        </w:tc>
        <w:tc>
          <w:tcPr>
            <w:tcW w:w="1007" w:type="dxa"/>
          </w:tcPr>
          <w:p w:rsidR="00F515CE" w:rsidRPr="00F515CE" w:rsidRDefault="00F515CE" w:rsidP="008F52D4">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w:t>
            </w:r>
          </w:p>
        </w:tc>
        <w:tc>
          <w:tcPr>
            <w:tcW w:w="1119" w:type="dxa"/>
          </w:tcPr>
          <w:p w:rsidR="00F515CE" w:rsidRPr="00F515CE" w:rsidRDefault="00F515CE" w:rsidP="008F52D4">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10,831</w:t>
            </w:r>
          </w:p>
        </w:tc>
        <w:tc>
          <w:tcPr>
            <w:tcW w:w="1007" w:type="dxa"/>
          </w:tcPr>
          <w:p w:rsidR="00F515CE" w:rsidRPr="00F515CE" w:rsidRDefault="00F515CE" w:rsidP="008F52D4">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9.7</w:t>
            </w:r>
          </w:p>
        </w:tc>
        <w:tc>
          <w:tcPr>
            <w:tcW w:w="1811" w:type="dxa"/>
          </w:tcPr>
          <w:p w:rsidR="00F515CE" w:rsidRPr="00F515CE" w:rsidRDefault="00F515CE" w:rsidP="008F52D4">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120,490</w:t>
            </w:r>
          </w:p>
        </w:tc>
      </w:tr>
      <w:tr w:rsidR="00F515CE" w:rsidRPr="00F515CE" w:rsidTr="004A5E02">
        <w:tc>
          <w:tcPr>
            <w:tcW w:w="1459"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Median</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5,668</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2,087</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w:t>
            </w:r>
          </w:p>
        </w:tc>
        <w:tc>
          <w:tcPr>
            <w:tcW w:w="1119"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9,234</w:t>
            </w:r>
          </w:p>
        </w:tc>
        <w:tc>
          <w:tcPr>
            <w:tcW w:w="1007" w:type="dxa"/>
          </w:tcPr>
          <w:p w:rsidR="00F515CE" w:rsidRPr="00F515CE" w:rsidRDefault="00F515CE" w:rsidP="008F52D4">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9.1</w:t>
            </w:r>
          </w:p>
        </w:tc>
        <w:tc>
          <w:tcPr>
            <w:tcW w:w="1811" w:type="dxa"/>
          </w:tcPr>
          <w:p w:rsidR="00F515CE" w:rsidRPr="00F515CE" w:rsidRDefault="00F515CE" w:rsidP="008F52D4">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103,158</w:t>
            </w:r>
          </w:p>
        </w:tc>
      </w:tr>
      <w:tr w:rsidR="00E87434" w:rsidRPr="00F515CE" w:rsidTr="004A5E02">
        <w:tc>
          <w:tcPr>
            <w:tcW w:w="9648" w:type="dxa"/>
            <w:gridSpan w:val="8"/>
          </w:tcPr>
          <w:p w:rsidR="00E87434" w:rsidRPr="00F515CE" w:rsidRDefault="00E87434" w:rsidP="004A5E02">
            <w:pPr>
              <w:autoSpaceDE w:val="0"/>
              <w:autoSpaceDN w:val="0"/>
              <w:adjustRightInd w:val="0"/>
              <w:spacing w:before="80" w:after="80"/>
              <w:rPr>
                <w:rFonts w:eastAsiaTheme="minorEastAsia"/>
                <w:color w:val="000000"/>
                <w:sz w:val="20"/>
                <w:szCs w:val="20"/>
              </w:rPr>
            </w:pPr>
            <w:r w:rsidRPr="00E87434">
              <w:rPr>
                <w:rFonts w:eastAsiaTheme="minorEastAsia"/>
                <w:color w:val="000000"/>
                <w:sz w:val="20"/>
                <w:szCs w:val="20"/>
              </w:rPr>
              <w:t>1These abbreviations refer to the formulae for calculations of calling outcomes and rates presented in Table 3.</w:t>
            </w:r>
          </w:p>
        </w:tc>
      </w:tr>
    </w:tbl>
    <w:p w:rsidR="00F515CE" w:rsidRPr="00F515CE" w:rsidRDefault="008F52D4" w:rsidP="00F515CE">
      <w:pPr>
        <w:autoSpaceDE w:val="0"/>
        <w:autoSpaceDN w:val="0"/>
        <w:adjustRightInd w:val="0"/>
        <w:rPr>
          <w:rFonts w:eastAsiaTheme="minorEastAsia"/>
          <w:color w:val="000000"/>
          <w:sz w:val="20"/>
          <w:szCs w:val="20"/>
        </w:rPr>
      </w:pPr>
      <w:r>
        <w:rPr>
          <w:rFonts w:eastAsiaTheme="minorEastAsia"/>
          <w:color w:val="000000"/>
          <w:sz w:val="20"/>
          <w:szCs w:val="20"/>
        </w:rPr>
        <w:br w:type="textWrapping" w:clear="all"/>
      </w:r>
    </w:p>
    <w:p w:rsidR="00F515CE" w:rsidRPr="00F515CE" w:rsidRDefault="00F515CE" w:rsidP="00F515CE">
      <w:pPr>
        <w:autoSpaceDE w:val="0"/>
        <w:autoSpaceDN w:val="0"/>
        <w:adjustRightInd w:val="0"/>
        <w:rPr>
          <w:rFonts w:eastAsiaTheme="minorEastAsia"/>
          <w:color w:val="000000"/>
          <w:sz w:val="20"/>
          <w:szCs w:val="20"/>
        </w:rPr>
        <w:sectPr w:rsidR="00F515CE" w:rsidRPr="00F515CE">
          <w:headerReference w:type="default" r:id="rId15"/>
          <w:footerReference w:type="default" r:id="rId16"/>
          <w:pgSz w:w="12240" w:h="15840"/>
          <w:pgMar w:top="720" w:right="360" w:bottom="720" w:left="360" w:header="720" w:footer="720" w:gutter="0"/>
          <w:cols w:space="720"/>
        </w:sectPr>
      </w:pPr>
    </w:p>
    <w:tbl>
      <w:tblPr>
        <w:tblStyle w:val="TableGrid"/>
        <w:tblW w:w="0" w:type="auto"/>
        <w:jc w:val="center"/>
        <w:tblLayout w:type="fixed"/>
        <w:tblLook w:val="0000" w:firstRow="0" w:lastRow="0" w:firstColumn="0" w:lastColumn="0" w:noHBand="0" w:noVBand="0"/>
      </w:tblPr>
      <w:tblGrid>
        <w:gridCol w:w="1518"/>
        <w:gridCol w:w="1002"/>
        <w:gridCol w:w="1049"/>
        <w:gridCol w:w="1002"/>
        <w:gridCol w:w="1049"/>
        <w:gridCol w:w="1116"/>
        <w:gridCol w:w="1049"/>
        <w:gridCol w:w="1772"/>
      </w:tblGrid>
      <w:tr w:rsidR="006031D1" w:rsidRPr="00F515CE" w:rsidTr="00517821">
        <w:trPr>
          <w:jc w:val="center"/>
        </w:trPr>
        <w:tc>
          <w:tcPr>
            <w:tcW w:w="9557" w:type="dxa"/>
            <w:gridSpan w:val="8"/>
          </w:tcPr>
          <w:p w:rsidR="00450953" w:rsidRDefault="006031D1"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lastRenderedPageBreak/>
              <w:t>Table 4B</w:t>
            </w:r>
          </w:p>
          <w:p w:rsidR="00450953" w:rsidRDefault="006031D1"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 xml:space="preserve">Completions, Terminations and Refusals, Contacted Eligible Households </w:t>
            </w:r>
          </w:p>
          <w:p w:rsidR="006031D1" w:rsidRPr="00F515CE" w:rsidRDefault="006031D1"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and Total Sample by State</w:t>
            </w:r>
            <w:r w:rsidR="00450953">
              <w:rPr>
                <w:rFonts w:eastAsiaTheme="minorEastAsia"/>
                <w:b/>
                <w:bCs/>
                <w:color w:val="000000"/>
                <w:sz w:val="22"/>
                <w:szCs w:val="22"/>
              </w:rPr>
              <w:t xml:space="preserve"> (Cell Phone Sample)</w:t>
            </w:r>
          </w:p>
        </w:tc>
      </w:tr>
      <w:tr w:rsidR="00F515CE" w:rsidRPr="00F515CE" w:rsidTr="00517821">
        <w:trPr>
          <w:jc w:val="center"/>
        </w:trPr>
        <w:tc>
          <w:tcPr>
            <w:tcW w:w="1518"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bookmarkStart w:id="7" w:name="IDX14"/>
            <w:bookmarkEnd w:id="7"/>
          </w:p>
        </w:tc>
        <w:tc>
          <w:tcPr>
            <w:tcW w:w="2051"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COIN</w:t>
            </w:r>
            <w:r w:rsidR="006C02AF">
              <w:rPr>
                <w:rFonts w:eastAsiaTheme="minorEastAsia"/>
                <w:b/>
                <w:bCs/>
                <w:color w:val="000000"/>
                <w:sz w:val="22"/>
                <w:szCs w:val="22"/>
                <w:vertAlign w:val="superscript"/>
              </w:rPr>
              <w:t>1</w:t>
            </w:r>
          </w:p>
        </w:tc>
        <w:tc>
          <w:tcPr>
            <w:tcW w:w="2051"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TERE</w:t>
            </w:r>
            <w:r w:rsidR="006C02AF">
              <w:rPr>
                <w:rFonts w:eastAsiaTheme="minorEastAsia"/>
                <w:b/>
                <w:bCs/>
                <w:color w:val="000000"/>
                <w:sz w:val="22"/>
                <w:szCs w:val="22"/>
                <w:vertAlign w:val="superscript"/>
              </w:rPr>
              <w:t>1</w:t>
            </w:r>
          </w:p>
        </w:tc>
        <w:tc>
          <w:tcPr>
            <w:tcW w:w="2165"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CONELIG</w:t>
            </w:r>
            <w:r w:rsidR="006C02AF">
              <w:rPr>
                <w:rFonts w:eastAsiaTheme="minorEastAsia"/>
                <w:b/>
                <w:bCs/>
                <w:color w:val="000000"/>
                <w:sz w:val="22"/>
                <w:szCs w:val="22"/>
                <w:vertAlign w:val="superscript"/>
              </w:rPr>
              <w:t>1</w:t>
            </w:r>
          </w:p>
        </w:tc>
        <w:tc>
          <w:tcPr>
            <w:tcW w:w="1772"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p>
        </w:tc>
      </w:tr>
      <w:tr w:rsidR="00F515CE" w:rsidRPr="00F515CE" w:rsidTr="00517821">
        <w:trPr>
          <w:jc w:val="center"/>
        </w:trPr>
        <w:tc>
          <w:tcPr>
            <w:tcW w:w="1518"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State</w:t>
            </w:r>
          </w:p>
        </w:tc>
        <w:tc>
          <w:tcPr>
            <w:tcW w:w="1002"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49"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002"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49"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116"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49"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772"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 xml:space="preserve">Total </w:t>
            </w:r>
            <w:r w:rsidR="00517821">
              <w:rPr>
                <w:rFonts w:eastAsiaTheme="minorEastAsia"/>
                <w:b/>
                <w:bCs/>
                <w:color w:val="000000"/>
                <w:sz w:val="22"/>
                <w:szCs w:val="22"/>
              </w:rPr>
              <w:t xml:space="preserve">Cell Phone </w:t>
            </w:r>
            <w:r w:rsidRPr="00F515CE">
              <w:rPr>
                <w:rFonts w:eastAsiaTheme="minorEastAsia"/>
                <w:b/>
                <w:bCs/>
                <w:color w:val="000000"/>
                <w:sz w:val="22"/>
                <w:szCs w:val="22"/>
              </w:rPr>
              <w:t>Sample</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AL</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1,372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2,285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33,299</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AK</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1,122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0.9</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1,450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25,350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AZ</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1,299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1,942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27,960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AR</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1,195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6.8</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1,851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17,460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4,482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1,012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6,575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80,369</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CO</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3,786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10.8</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4,681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13.4</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34,996</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CT</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2,009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722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3,039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61,110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DE</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1,365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0.9</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25,740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DC</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808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296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1,220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43,740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FL</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6,212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5.1</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3,113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9,559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7.8</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122,578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2,291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0.9</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3,287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44,430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HI</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4,080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1,150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2.6</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5,796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44,009</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ID</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1,500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14.0</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1,949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18.1</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10,740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IL</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1,379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282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1,753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21,458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IN</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2,600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3,473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10.7</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32,610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2,012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9.2</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333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2,578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11.8</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21,899</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KS</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7,620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1,816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9,813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113,670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KY</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2,567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0.8</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3,052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54,450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LA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788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12,571</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1,670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2,118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22,138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MD</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1,859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2,626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43,530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3,022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0.8</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4,493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6.4</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70,500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4,192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1,429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6,858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67,380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MN</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5,150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504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0.8</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6,376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10.4</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61,050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MS</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2,018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9.1</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2,429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22,260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MO</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1,598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8.6</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2,084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18,633</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MT</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3,063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3,916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49,234</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NE</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4,396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1,007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6,127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42,060</w:t>
            </w:r>
          </w:p>
        </w:tc>
      </w:tr>
    </w:tbl>
    <w:p w:rsidR="000A1811" w:rsidRDefault="000A1811"/>
    <w:tbl>
      <w:tblPr>
        <w:tblStyle w:val="TableGrid"/>
        <w:tblW w:w="0" w:type="auto"/>
        <w:jc w:val="center"/>
        <w:tblLayout w:type="fixed"/>
        <w:tblLook w:val="0000" w:firstRow="0" w:lastRow="0" w:firstColumn="0" w:lastColumn="0" w:noHBand="0" w:noVBand="0"/>
      </w:tblPr>
      <w:tblGrid>
        <w:gridCol w:w="1518"/>
        <w:gridCol w:w="1002"/>
        <w:gridCol w:w="1049"/>
        <w:gridCol w:w="1002"/>
        <w:gridCol w:w="1049"/>
        <w:gridCol w:w="1116"/>
        <w:gridCol w:w="1049"/>
        <w:gridCol w:w="1772"/>
      </w:tblGrid>
      <w:tr w:rsidR="00450953" w:rsidRPr="00F515CE" w:rsidTr="00517821">
        <w:trPr>
          <w:jc w:val="center"/>
        </w:trPr>
        <w:tc>
          <w:tcPr>
            <w:tcW w:w="9557" w:type="dxa"/>
            <w:gridSpan w:val="8"/>
          </w:tcPr>
          <w:p w:rsidR="00450953" w:rsidRDefault="00450953"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Table 4B</w:t>
            </w:r>
          </w:p>
          <w:p w:rsidR="00450953" w:rsidRDefault="00450953"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 xml:space="preserve">Completions, Terminations and Refusals, Contacted Eligible Households </w:t>
            </w:r>
          </w:p>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and Total Sample by State</w:t>
            </w:r>
            <w:r>
              <w:rPr>
                <w:rFonts w:eastAsiaTheme="minorEastAsia"/>
                <w:b/>
                <w:bCs/>
                <w:color w:val="000000"/>
                <w:sz w:val="22"/>
                <w:szCs w:val="22"/>
              </w:rPr>
              <w:t xml:space="preserve"> (Cell Phone Sample)</w:t>
            </w:r>
          </w:p>
        </w:tc>
      </w:tr>
      <w:tr w:rsidR="00450953" w:rsidRPr="00F515CE" w:rsidTr="00517821">
        <w:trPr>
          <w:jc w:val="center"/>
        </w:trPr>
        <w:tc>
          <w:tcPr>
            <w:tcW w:w="1518"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p>
        </w:tc>
        <w:tc>
          <w:tcPr>
            <w:tcW w:w="2051" w:type="dxa"/>
            <w:gridSpan w:val="2"/>
          </w:tcPr>
          <w:p w:rsidR="00450953" w:rsidRPr="006C02AF" w:rsidRDefault="00450953" w:rsidP="00450953">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COIN</w:t>
            </w:r>
            <w:r>
              <w:rPr>
                <w:rFonts w:eastAsiaTheme="minorEastAsia"/>
                <w:b/>
                <w:bCs/>
                <w:color w:val="000000"/>
                <w:sz w:val="22"/>
                <w:szCs w:val="22"/>
                <w:vertAlign w:val="superscript"/>
              </w:rPr>
              <w:t>1</w:t>
            </w:r>
          </w:p>
        </w:tc>
        <w:tc>
          <w:tcPr>
            <w:tcW w:w="2051" w:type="dxa"/>
            <w:gridSpan w:val="2"/>
          </w:tcPr>
          <w:p w:rsidR="00450953" w:rsidRPr="006C02AF" w:rsidRDefault="00450953" w:rsidP="00450953">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TERE</w:t>
            </w:r>
            <w:r>
              <w:rPr>
                <w:rFonts w:eastAsiaTheme="minorEastAsia"/>
                <w:b/>
                <w:bCs/>
                <w:color w:val="000000"/>
                <w:sz w:val="22"/>
                <w:szCs w:val="22"/>
                <w:vertAlign w:val="superscript"/>
              </w:rPr>
              <w:t>1</w:t>
            </w:r>
          </w:p>
        </w:tc>
        <w:tc>
          <w:tcPr>
            <w:tcW w:w="2165" w:type="dxa"/>
            <w:gridSpan w:val="2"/>
          </w:tcPr>
          <w:p w:rsidR="00450953" w:rsidRPr="006C02AF" w:rsidRDefault="00450953" w:rsidP="00450953">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CONELIG</w:t>
            </w:r>
            <w:r>
              <w:rPr>
                <w:rFonts w:eastAsiaTheme="minorEastAsia"/>
                <w:b/>
                <w:bCs/>
                <w:color w:val="000000"/>
                <w:sz w:val="22"/>
                <w:szCs w:val="22"/>
                <w:vertAlign w:val="superscript"/>
              </w:rPr>
              <w:t>1</w:t>
            </w:r>
          </w:p>
        </w:tc>
        <w:tc>
          <w:tcPr>
            <w:tcW w:w="1772"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p>
        </w:tc>
      </w:tr>
      <w:tr w:rsidR="00450953" w:rsidRPr="00F515CE" w:rsidTr="00517821">
        <w:trPr>
          <w:jc w:val="center"/>
        </w:trPr>
        <w:tc>
          <w:tcPr>
            <w:tcW w:w="1518"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State</w:t>
            </w:r>
          </w:p>
        </w:tc>
        <w:tc>
          <w:tcPr>
            <w:tcW w:w="1002"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49"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002"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49"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116"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049"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772" w:type="dxa"/>
          </w:tcPr>
          <w:p w:rsidR="00450953" w:rsidRPr="00F515CE" w:rsidRDefault="00450953" w:rsidP="00450953">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Total Sample</w:t>
            </w:r>
          </w:p>
        </w:tc>
      </w:tr>
      <w:tr w:rsidR="000A1811" w:rsidRPr="00F515CE" w:rsidTr="000A1811">
        <w:trPr>
          <w:jc w:val="center"/>
        </w:trPr>
        <w:tc>
          <w:tcPr>
            <w:tcW w:w="1518" w:type="dxa"/>
          </w:tcPr>
          <w:p w:rsidR="000A1811" w:rsidRPr="00F515CE" w:rsidRDefault="000A1811" w:rsidP="000A1811">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NV</w:t>
            </w:r>
          </w:p>
        </w:tc>
        <w:tc>
          <w:tcPr>
            <w:tcW w:w="1002" w:type="dxa"/>
          </w:tcPr>
          <w:p w:rsidR="000A1811" w:rsidRPr="00F515CE" w:rsidRDefault="000A1811" w:rsidP="000A1811">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1,667</w:t>
            </w:r>
          </w:p>
        </w:tc>
        <w:tc>
          <w:tcPr>
            <w:tcW w:w="1049" w:type="dxa"/>
          </w:tcPr>
          <w:p w:rsidR="000A1811" w:rsidRPr="00F515CE" w:rsidRDefault="000A1811" w:rsidP="000A1811">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002" w:type="dxa"/>
          </w:tcPr>
          <w:p w:rsidR="000A1811" w:rsidRPr="00F515CE" w:rsidRDefault="000A1811" w:rsidP="000A1811">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216</w:t>
            </w:r>
          </w:p>
        </w:tc>
        <w:tc>
          <w:tcPr>
            <w:tcW w:w="1049" w:type="dxa"/>
          </w:tcPr>
          <w:p w:rsidR="000A1811" w:rsidRPr="00F515CE" w:rsidRDefault="000A1811" w:rsidP="000A1811">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w:t>
            </w:r>
          </w:p>
        </w:tc>
        <w:tc>
          <w:tcPr>
            <w:tcW w:w="1116" w:type="dxa"/>
          </w:tcPr>
          <w:p w:rsidR="000A1811" w:rsidRPr="00F515CE" w:rsidRDefault="000A1811" w:rsidP="000A1811">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1,929</w:t>
            </w:r>
          </w:p>
        </w:tc>
        <w:tc>
          <w:tcPr>
            <w:tcW w:w="1049" w:type="dxa"/>
          </w:tcPr>
          <w:p w:rsidR="000A1811" w:rsidRPr="00F515CE" w:rsidRDefault="000A1811" w:rsidP="000A1811">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772" w:type="dxa"/>
          </w:tcPr>
          <w:p w:rsidR="000A1811" w:rsidRPr="00F515CE" w:rsidRDefault="000A1811" w:rsidP="000A1811">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20,820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NH</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1,637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2,242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35,580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NJ</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3,685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836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5,746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82,350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NM</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3,881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4,980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39,900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NY</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2,549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1,214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4,099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51,748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NC</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1,951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2,788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26,393</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ND</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2,453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609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3,204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48,809</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OH</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3,106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495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4,385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66,240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OK</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2,420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806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3,751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10.3</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36,567</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OR</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1,781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2,442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7.8</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31,138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2,768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5.1</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3,908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53,760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RI</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1,521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2,377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36,150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SC</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3,012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648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3,952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38,880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SD</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2,534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3,127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43,004</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TN</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1,503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1,756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33,978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TX</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3,141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1,140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4,516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42,450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UT</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4,760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1,384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6,521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15.7</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41,520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VT</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1,277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1,691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27,480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2,338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3,257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42,930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WA</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2,608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1,799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5,673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8.8</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64,260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WV</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1,667</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8.8</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2.0</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2,185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11.6</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18,869</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WI</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1,990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2,618</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23,970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WY</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1,220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0.8</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1,535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5.5</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28,140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GU</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179</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12,805</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PR</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2,490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3,261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14,226</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Minimum</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445</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144</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0.7</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736</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10,740</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Maximum</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7,620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17.5</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3,113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9,813</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22.9</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122,578</w:t>
            </w:r>
          </w:p>
        </w:tc>
      </w:tr>
      <w:tr w:rsidR="00F515CE" w:rsidRPr="00F515CE" w:rsidTr="00517821">
        <w:trPr>
          <w:jc w:val="center"/>
        </w:trPr>
        <w:tc>
          <w:tcPr>
            <w:tcW w:w="1518"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lastRenderedPageBreak/>
              <w:t>Mean</w:t>
            </w:r>
          </w:p>
        </w:tc>
        <w:tc>
          <w:tcPr>
            <w:tcW w:w="1002"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2,522</w:t>
            </w:r>
          </w:p>
        </w:tc>
        <w:tc>
          <w:tcPr>
            <w:tcW w:w="1049"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002"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652</w:t>
            </w:r>
          </w:p>
        </w:tc>
        <w:tc>
          <w:tcPr>
            <w:tcW w:w="1049"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w:t>
            </w:r>
          </w:p>
        </w:tc>
        <w:tc>
          <w:tcPr>
            <w:tcW w:w="1116"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3,523</w:t>
            </w:r>
          </w:p>
        </w:tc>
        <w:tc>
          <w:tcPr>
            <w:tcW w:w="1049"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9.0</w:t>
            </w:r>
          </w:p>
        </w:tc>
        <w:tc>
          <w:tcPr>
            <w:tcW w:w="1772"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41,268</w:t>
            </w:r>
          </w:p>
        </w:tc>
      </w:tr>
      <w:tr w:rsidR="00F515CE" w:rsidRPr="00F515CE" w:rsidTr="00517821">
        <w:trPr>
          <w:jc w:val="center"/>
        </w:trPr>
        <w:tc>
          <w:tcPr>
            <w:tcW w:w="1518"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Median</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2,291</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00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460</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w:t>
            </w:r>
          </w:p>
        </w:tc>
        <w:tc>
          <w:tcPr>
            <w:tcW w:w="1116"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3,052</w:t>
            </w:r>
          </w:p>
        </w:tc>
        <w:tc>
          <w:tcPr>
            <w:tcW w:w="1049"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772"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36,567</w:t>
            </w:r>
          </w:p>
        </w:tc>
      </w:tr>
      <w:tr w:rsidR="006C02AF" w:rsidRPr="00F515CE" w:rsidTr="00517821">
        <w:trPr>
          <w:jc w:val="center"/>
        </w:trPr>
        <w:tc>
          <w:tcPr>
            <w:tcW w:w="9557" w:type="dxa"/>
            <w:gridSpan w:val="8"/>
          </w:tcPr>
          <w:p w:rsidR="006C02AF" w:rsidRPr="00F515CE" w:rsidRDefault="006C02AF" w:rsidP="00F515CE">
            <w:pPr>
              <w:autoSpaceDE w:val="0"/>
              <w:autoSpaceDN w:val="0"/>
              <w:adjustRightInd w:val="0"/>
              <w:spacing w:before="80" w:after="80"/>
              <w:jc w:val="right"/>
              <w:rPr>
                <w:rFonts w:eastAsiaTheme="minorEastAsia"/>
                <w:color w:val="000000"/>
                <w:sz w:val="20"/>
                <w:szCs w:val="20"/>
              </w:rPr>
            </w:pPr>
            <w:r w:rsidRPr="006C02AF">
              <w:rPr>
                <w:rFonts w:eastAsiaTheme="minorEastAsia"/>
                <w:color w:val="000000"/>
                <w:sz w:val="20"/>
                <w:szCs w:val="20"/>
              </w:rPr>
              <w:t>1These abbreviations refer to the formulae for calculations of calling outcomes and rates presented in Table 3.</w:t>
            </w:r>
          </w:p>
        </w:tc>
      </w:tr>
    </w:tbl>
    <w:p w:rsidR="00F515CE" w:rsidRPr="00F515CE" w:rsidRDefault="00F515CE" w:rsidP="00F515CE">
      <w:pPr>
        <w:autoSpaceDE w:val="0"/>
        <w:autoSpaceDN w:val="0"/>
        <w:adjustRightInd w:val="0"/>
        <w:rPr>
          <w:rFonts w:eastAsiaTheme="minorEastAsia"/>
          <w:color w:val="000000"/>
          <w:sz w:val="20"/>
          <w:szCs w:val="20"/>
        </w:rPr>
      </w:pPr>
    </w:p>
    <w:p w:rsidR="00F515CE" w:rsidRPr="00F515CE" w:rsidRDefault="00F515CE" w:rsidP="00F515CE">
      <w:pPr>
        <w:autoSpaceDE w:val="0"/>
        <w:autoSpaceDN w:val="0"/>
        <w:adjustRightInd w:val="0"/>
        <w:rPr>
          <w:rFonts w:eastAsiaTheme="minorEastAsia"/>
          <w:color w:val="000000"/>
          <w:sz w:val="20"/>
          <w:szCs w:val="20"/>
        </w:rPr>
        <w:sectPr w:rsidR="00F515CE" w:rsidRPr="00F515CE">
          <w:headerReference w:type="default" r:id="rId17"/>
          <w:footerReference w:type="default" r:id="rId18"/>
          <w:pgSz w:w="12240" w:h="15840"/>
          <w:pgMar w:top="720" w:right="360" w:bottom="720" w:left="360" w:header="720" w:footer="720" w:gutter="0"/>
          <w:cols w:space="720"/>
        </w:sectPr>
      </w:pPr>
    </w:p>
    <w:tbl>
      <w:tblPr>
        <w:tblStyle w:val="TableGrid"/>
        <w:tblW w:w="0" w:type="auto"/>
        <w:jc w:val="center"/>
        <w:tblLayout w:type="fixed"/>
        <w:tblLook w:val="0000" w:firstRow="0" w:lastRow="0" w:firstColumn="0" w:lastColumn="0" w:noHBand="0" w:noVBand="0"/>
      </w:tblPr>
      <w:tblGrid>
        <w:gridCol w:w="1644"/>
        <w:gridCol w:w="1261"/>
        <w:gridCol w:w="1135"/>
        <w:gridCol w:w="1438"/>
        <w:gridCol w:w="1135"/>
        <w:gridCol w:w="1438"/>
        <w:gridCol w:w="1161"/>
      </w:tblGrid>
      <w:tr w:rsidR="006031D1" w:rsidRPr="00F515CE" w:rsidTr="000A1811">
        <w:trPr>
          <w:jc w:val="center"/>
        </w:trPr>
        <w:tc>
          <w:tcPr>
            <w:tcW w:w="9212" w:type="dxa"/>
            <w:gridSpan w:val="7"/>
          </w:tcPr>
          <w:p w:rsidR="006031D1" w:rsidRDefault="006031D1" w:rsidP="006031D1">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lastRenderedPageBreak/>
              <w:t>Table 5A</w:t>
            </w:r>
          </w:p>
          <w:p w:rsidR="006031D1" w:rsidRPr="00F515CE" w:rsidRDefault="006031D1"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 xml:space="preserve">Categories of Eligibility by State (Landline </w:t>
            </w:r>
            <w:r w:rsidR="00450953">
              <w:rPr>
                <w:rFonts w:eastAsiaTheme="minorEastAsia"/>
                <w:b/>
                <w:bCs/>
                <w:color w:val="000000"/>
                <w:sz w:val="22"/>
                <w:szCs w:val="22"/>
              </w:rPr>
              <w:t>Sample</w:t>
            </w:r>
            <w:r w:rsidRPr="006031D1">
              <w:rPr>
                <w:rFonts w:eastAsiaTheme="minorEastAsia"/>
                <w:b/>
                <w:bCs/>
                <w:color w:val="000000"/>
                <w:sz w:val="22"/>
                <w:szCs w:val="22"/>
              </w:rPr>
              <w:t>)</w:t>
            </w:r>
          </w:p>
        </w:tc>
      </w:tr>
      <w:tr w:rsidR="00F515CE" w:rsidRPr="00F515CE" w:rsidTr="000A1811">
        <w:trPr>
          <w:jc w:val="center"/>
        </w:trPr>
        <w:tc>
          <w:tcPr>
            <w:tcW w:w="1644"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bookmarkStart w:id="8" w:name="IDX15"/>
            <w:bookmarkEnd w:id="8"/>
          </w:p>
        </w:tc>
        <w:tc>
          <w:tcPr>
            <w:tcW w:w="2396"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ELIG</w:t>
            </w:r>
            <w:r w:rsidR="006C02AF">
              <w:rPr>
                <w:rFonts w:eastAsiaTheme="minorEastAsia"/>
                <w:b/>
                <w:bCs/>
                <w:color w:val="000000"/>
                <w:sz w:val="22"/>
                <w:szCs w:val="22"/>
                <w:vertAlign w:val="superscript"/>
              </w:rPr>
              <w:t>1</w:t>
            </w:r>
          </w:p>
        </w:tc>
        <w:tc>
          <w:tcPr>
            <w:tcW w:w="2573"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INELIG</w:t>
            </w:r>
            <w:r w:rsidR="006C02AF">
              <w:rPr>
                <w:rFonts w:eastAsiaTheme="minorEastAsia"/>
                <w:b/>
                <w:bCs/>
                <w:color w:val="000000"/>
                <w:sz w:val="22"/>
                <w:szCs w:val="22"/>
                <w:vertAlign w:val="superscript"/>
              </w:rPr>
              <w:t>1</w:t>
            </w:r>
          </w:p>
        </w:tc>
        <w:tc>
          <w:tcPr>
            <w:tcW w:w="2599"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UNKELIG</w:t>
            </w:r>
            <w:r w:rsidR="006C02AF">
              <w:rPr>
                <w:rFonts w:eastAsiaTheme="minorEastAsia"/>
                <w:b/>
                <w:bCs/>
                <w:color w:val="000000"/>
                <w:sz w:val="22"/>
                <w:szCs w:val="22"/>
                <w:vertAlign w:val="superscript"/>
              </w:rPr>
              <w:t>1</w:t>
            </w:r>
          </w:p>
        </w:tc>
      </w:tr>
      <w:tr w:rsidR="00F515CE" w:rsidRPr="00F515CE" w:rsidTr="000A1811">
        <w:trPr>
          <w:jc w:val="center"/>
        </w:trPr>
        <w:tc>
          <w:tcPr>
            <w:tcW w:w="1644"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State</w:t>
            </w:r>
          </w:p>
        </w:tc>
        <w:tc>
          <w:tcPr>
            <w:tcW w:w="1261"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135"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438"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135"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438"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161"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AL</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15,462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95,112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18,123</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AK</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6,349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97,641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85.8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9,860</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8.7</w:t>
            </w:r>
          </w:p>
        </w:tc>
      </w:tr>
      <w:tr w:rsidR="00F515CE" w:rsidRPr="00F515CE" w:rsidTr="000A1811">
        <w:trPr>
          <w:trHeight w:val="458"/>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AZ</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5,290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40,291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8,659</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16.0</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AR</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8,096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61,141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10,413</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13,965</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170,941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40,791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CO</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13,918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82,929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13,703</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CT</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11,499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77,679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21,072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DE</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6,989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48,109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65.1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18,822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25.5</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DC</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8,989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113,672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25,659</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17.3</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FL</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62,598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451,002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101,030</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9,330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114,981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29,319</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HI</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8,347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59,957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11,526</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ID</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7,217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61,807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8,226</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IL</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6,841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51,792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9,947</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14.5</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IN</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15,194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109,748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19,808</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13.7</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10,392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71,046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9,912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10.9</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KS</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24,773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162,626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24,731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11.7</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KY</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12,268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126,201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25,151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LA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9,676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78,949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14,533</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9,953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58,155</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11,302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14.2</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MD</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16,596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106,473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67.2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35,331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22.3</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21,182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182,384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70,724</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25.8</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15,578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129,304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24,138</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14.3</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MN</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15,075</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126,741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24,084</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14.5</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MS</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11,563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71,226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9,791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MO</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8,453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25,410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8,900</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20.8</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MT</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10,730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82,051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79.3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10,631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10.3</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NE</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21,916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119,617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78.0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11,767</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NV</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6,019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38,662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10,218</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18.6</w:t>
            </w:r>
          </w:p>
        </w:tc>
      </w:tr>
    </w:tbl>
    <w:p w:rsidR="003D58BF" w:rsidRDefault="003D58BF"/>
    <w:tbl>
      <w:tblPr>
        <w:tblStyle w:val="TableGrid"/>
        <w:tblW w:w="0" w:type="auto"/>
        <w:jc w:val="center"/>
        <w:tblLayout w:type="fixed"/>
        <w:tblLook w:val="0000" w:firstRow="0" w:lastRow="0" w:firstColumn="0" w:lastColumn="0" w:noHBand="0" w:noVBand="0"/>
      </w:tblPr>
      <w:tblGrid>
        <w:gridCol w:w="1644"/>
        <w:gridCol w:w="1261"/>
        <w:gridCol w:w="1135"/>
        <w:gridCol w:w="1438"/>
        <w:gridCol w:w="1135"/>
        <w:gridCol w:w="1438"/>
        <w:gridCol w:w="1161"/>
      </w:tblGrid>
      <w:tr w:rsidR="006031D1" w:rsidRPr="00F515CE" w:rsidTr="000A1811">
        <w:trPr>
          <w:jc w:val="center"/>
        </w:trPr>
        <w:tc>
          <w:tcPr>
            <w:tcW w:w="9212" w:type="dxa"/>
            <w:gridSpan w:val="7"/>
          </w:tcPr>
          <w:p w:rsidR="006031D1" w:rsidRDefault="006031D1" w:rsidP="006031D1">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lastRenderedPageBreak/>
              <w:t>Table 5A</w:t>
            </w:r>
          </w:p>
          <w:p w:rsidR="006031D1" w:rsidRPr="00F515CE" w:rsidRDefault="006031D1" w:rsidP="00450953">
            <w:pPr>
              <w:keepNext/>
              <w:autoSpaceDE w:val="0"/>
              <w:autoSpaceDN w:val="0"/>
              <w:adjustRightInd w:val="0"/>
              <w:spacing w:before="80" w:after="80"/>
              <w:jc w:val="center"/>
              <w:rPr>
                <w:rFonts w:eastAsiaTheme="minorEastAsia"/>
                <w:b/>
                <w:bCs/>
                <w:color w:val="000000"/>
                <w:sz w:val="22"/>
                <w:szCs w:val="22"/>
              </w:rPr>
            </w:pPr>
            <w:r w:rsidRPr="006031D1">
              <w:rPr>
                <w:rFonts w:eastAsiaTheme="minorEastAsia"/>
                <w:b/>
                <w:bCs/>
                <w:color w:val="000000"/>
                <w:sz w:val="22"/>
                <w:szCs w:val="22"/>
              </w:rPr>
              <w:t xml:space="preserve">Categories of Eligibility by State (Landline </w:t>
            </w:r>
            <w:r w:rsidR="00450953">
              <w:rPr>
                <w:rFonts w:eastAsiaTheme="minorEastAsia"/>
                <w:b/>
                <w:bCs/>
                <w:color w:val="000000"/>
                <w:sz w:val="22"/>
                <w:szCs w:val="22"/>
              </w:rPr>
              <w:t>Sample</w:t>
            </w:r>
            <w:r w:rsidRPr="006031D1">
              <w:rPr>
                <w:rFonts w:eastAsiaTheme="minorEastAsia"/>
                <w:b/>
                <w:bCs/>
                <w:color w:val="000000"/>
                <w:sz w:val="22"/>
                <w:szCs w:val="22"/>
              </w:rPr>
              <w:t>)</w:t>
            </w:r>
          </w:p>
        </w:tc>
      </w:tr>
      <w:tr w:rsidR="006031D1" w:rsidRPr="006C02AF" w:rsidTr="000A1811">
        <w:trPr>
          <w:jc w:val="center"/>
        </w:trPr>
        <w:tc>
          <w:tcPr>
            <w:tcW w:w="1644" w:type="dxa"/>
          </w:tcPr>
          <w:p w:rsidR="006031D1" w:rsidRPr="00F515CE" w:rsidRDefault="006031D1" w:rsidP="006031D1">
            <w:pPr>
              <w:keepNext/>
              <w:autoSpaceDE w:val="0"/>
              <w:autoSpaceDN w:val="0"/>
              <w:adjustRightInd w:val="0"/>
              <w:spacing w:before="80" w:after="80"/>
              <w:jc w:val="center"/>
              <w:rPr>
                <w:rFonts w:eastAsiaTheme="minorEastAsia"/>
                <w:b/>
                <w:bCs/>
                <w:color w:val="000000"/>
                <w:sz w:val="22"/>
                <w:szCs w:val="22"/>
              </w:rPr>
            </w:pPr>
          </w:p>
        </w:tc>
        <w:tc>
          <w:tcPr>
            <w:tcW w:w="2396" w:type="dxa"/>
            <w:gridSpan w:val="2"/>
          </w:tcPr>
          <w:p w:rsidR="006031D1" w:rsidRPr="006C02AF" w:rsidRDefault="006031D1" w:rsidP="006031D1">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ELIG</w:t>
            </w:r>
            <w:r>
              <w:rPr>
                <w:rFonts w:eastAsiaTheme="minorEastAsia"/>
                <w:b/>
                <w:bCs/>
                <w:color w:val="000000"/>
                <w:sz w:val="22"/>
                <w:szCs w:val="22"/>
                <w:vertAlign w:val="superscript"/>
              </w:rPr>
              <w:t>1</w:t>
            </w:r>
          </w:p>
        </w:tc>
        <w:tc>
          <w:tcPr>
            <w:tcW w:w="2573" w:type="dxa"/>
            <w:gridSpan w:val="2"/>
          </w:tcPr>
          <w:p w:rsidR="006031D1" w:rsidRPr="006C02AF" w:rsidRDefault="006031D1" w:rsidP="006031D1">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INELIG</w:t>
            </w:r>
            <w:r>
              <w:rPr>
                <w:rFonts w:eastAsiaTheme="minorEastAsia"/>
                <w:b/>
                <w:bCs/>
                <w:color w:val="000000"/>
                <w:sz w:val="22"/>
                <w:szCs w:val="22"/>
                <w:vertAlign w:val="superscript"/>
              </w:rPr>
              <w:t>1</w:t>
            </w:r>
          </w:p>
        </w:tc>
        <w:tc>
          <w:tcPr>
            <w:tcW w:w="2599" w:type="dxa"/>
            <w:gridSpan w:val="2"/>
          </w:tcPr>
          <w:p w:rsidR="006031D1" w:rsidRPr="006C02AF" w:rsidRDefault="006031D1" w:rsidP="006031D1">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UNKELIG</w:t>
            </w:r>
            <w:r>
              <w:rPr>
                <w:rFonts w:eastAsiaTheme="minorEastAsia"/>
                <w:b/>
                <w:bCs/>
                <w:color w:val="000000"/>
                <w:sz w:val="22"/>
                <w:szCs w:val="22"/>
                <w:vertAlign w:val="superscript"/>
              </w:rPr>
              <w:t>1</w:t>
            </w:r>
          </w:p>
        </w:tc>
      </w:tr>
      <w:tr w:rsidR="003D58BF" w:rsidRPr="00F515CE" w:rsidTr="00FC3E80">
        <w:trPr>
          <w:jc w:val="center"/>
        </w:trPr>
        <w:tc>
          <w:tcPr>
            <w:tcW w:w="1644" w:type="dxa"/>
          </w:tcPr>
          <w:p w:rsidR="003D58BF" w:rsidRPr="00F515CE" w:rsidRDefault="003D58BF" w:rsidP="00FC3E80">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NH</w:t>
            </w:r>
          </w:p>
        </w:tc>
        <w:tc>
          <w:tcPr>
            <w:tcW w:w="1261" w:type="dxa"/>
          </w:tcPr>
          <w:p w:rsidR="003D58BF" w:rsidRPr="00F515CE" w:rsidRDefault="003D58BF" w:rsidP="00FC3E80">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9,511</w:t>
            </w:r>
          </w:p>
        </w:tc>
        <w:tc>
          <w:tcPr>
            <w:tcW w:w="1135" w:type="dxa"/>
          </w:tcPr>
          <w:p w:rsidR="003D58BF" w:rsidRPr="00F515CE" w:rsidRDefault="003D58BF" w:rsidP="00FC3E80">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14.7</w:t>
            </w:r>
          </w:p>
        </w:tc>
        <w:tc>
          <w:tcPr>
            <w:tcW w:w="1438" w:type="dxa"/>
          </w:tcPr>
          <w:p w:rsidR="003D58BF" w:rsidRPr="00F515CE" w:rsidRDefault="003D58BF" w:rsidP="00FC3E80">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44,193</w:t>
            </w:r>
          </w:p>
        </w:tc>
        <w:tc>
          <w:tcPr>
            <w:tcW w:w="1135" w:type="dxa"/>
          </w:tcPr>
          <w:p w:rsidR="003D58BF" w:rsidRPr="00F515CE" w:rsidRDefault="003D58BF" w:rsidP="00FC3E80">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68.5</w:t>
            </w:r>
          </w:p>
        </w:tc>
        <w:tc>
          <w:tcPr>
            <w:tcW w:w="1438" w:type="dxa"/>
          </w:tcPr>
          <w:p w:rsidR="003D58BF" w:rsidRPr="00F515CE" w:rsidRDefault="003D58BF" w:rsidP="00FC3E80">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10,826</w:t>
            </w:r>
          </w:p>
        </w:tc>
        <w:tc>
          <w:tcPr>
            <w:tcW w:w="1161" w:type="dxa"/>
          </w:tcPr>
          <w:p w:rsidR="003D58BF" w:rsidRPr="00F515CE" w:rsidRDefault="003D58BF" w:rsidP="00FC3E80">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16.8</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NJ</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16,484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128,951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68.4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43,055</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22.8</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NM</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9,626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64,758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8,986</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10.8</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NY</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13,705</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102,462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71.3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27,563</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19.2</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NC</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14,371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62,428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71.1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10,980</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ND</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8,711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76,690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83.0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7,029</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OH</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13,646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120,267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26,347</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OK</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9,667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53,739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8,932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12.3</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OR</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8,498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45,280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67.3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13,479</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20.0</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17,537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108,368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28,602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18.5</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RI</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10,939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42,624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16,637</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23.7</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SC</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13,017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69,690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12,363</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13.0</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SD</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7,104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68,950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84.4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5,666</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TN</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6,832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7.1</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71,470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17,608</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TX</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17,310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102,478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74.3</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18,152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13.2</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UT</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13,633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92,771</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13,116</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11.0</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VT</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8,142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38,490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7,998</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14.6</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9,313</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80,800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26,077</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WA</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20,170</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119,675</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22,395</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13.8</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WV</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6,279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16,956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4,665</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16.7</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WI</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7,904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49,618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8,718</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13.2</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WY</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10,264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92,142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77.6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16,304</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13.7</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GU</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2,922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20,397</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81.2</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1,791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PR</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5,044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9.7</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41,925</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4,872</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9.4</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Minimum</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2,922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16,956</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59.4</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1,791</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Maximum</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62,598</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451,002</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85.8</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101,030</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25.8</w:t>
            </w:r>
          </w:p>
        </w:tc>
      </w:tr>
      <w:tr w:rsidR="00F515CE" w:rsidRPr="00F515CE" w:rsidTr="000A1811">
        <w:trPr>
          <w:jc w:val="center"/>
        </w:trPr>
        <w:tc>
          <w:tcPr>
            <w:tcW w:w="1644"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Mean</w:t>
            </w:r>
          </w:p>
        </w:tc>
        <w:tc>
          <w:tcPr>
            <w:tcW w:w="1261"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12,356</w:t>
            </w:r>
          </w:p>
        </w:tc>
        <w:tc>
          <w:tcPr>
            <w:tcW w:w="1135"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11.0</w:t>
            </w:r>
          </w:p>
        </w:tc>
        <w:tc>
          <w:tcPr>
            <w:tcW w:w="1438"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89,260</w:t>
            </w:r>
          </w:p>
        </w:tc>
        <w:tc>
          <w:tcPr>
            <w:tcW w:w="1135"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74.0</w:t>
            </w:r>
          </w:p>
        </w:tc>
        <w:tc>
          <w:tcPr>
            <w:tcW w:w="1438"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18,874</w:t>
            </w:r>
          </w:p>
        </w:tc>
        <w:tc>
          <w:tcPr>
            <w:tcW w:w="1161"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15.1</w:t>
            </w:r>
          </w:p>
        </w:tc>
      </w:tr>
      <w:tr w:rsidR="00F515CE" w:rsidRPr="00F515CE" w:rsidTr="000A1811">
        <w:trPr>
          <w:jc w:val="center"/>
        </w:trPr>
        <w:tc>
          <w:tcPr>
            <w:tcW w:w="16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Median</w:t>
            </w:r>
          </w:p>
        </w:tc>
        <w:tc>
          <w:tcPr>
            <w:tcW w:w="126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10,264</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10.5</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77,679</w:t>
            </w:r>
          </w:p>
        </w:tc>
        <w:tc>
          <w:tcPr>
            <w:tcW w:w="1135"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74.9</w:t>
            </w:r>
          </w:p>
        </w:tc>
        <w:tc>
          <w:tcPr>
            <w:tcW w:w="14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13,479</w:t>
            </w:r>
          </w:p>
        </w:tc>
        <w:tc>
          <w:tcPr>
            <w:tcW w:w="1161"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14.3</w:t>
            </w:r>
          </w:p>
        </w:tc>
      </w:tr>
      <w:tr w:rsidR="006C02AF" w:rsidRPr="00F515CE" w:rsidTr="000A1811">
        <w:trPr>
          <w:jc w:val="center"/>
        </w:trPr>
        <w:tc>
          <w:tcPr>
            <w:tcW w:w="9212" w:type="dxa"/>
            <w:gridSpan w:val="7"/>
          </w:tcPr>
          <w:p w:rsidR="006C02AF" w:rsidRPr="00F515CE" w:rsidRDefault="006C02AF" w:rsidP="00F515CE">
            <w:pPr>
              <w:autoSpaceDE w:val="0"/>
              <w:autoSpaceDN w:val="0"/>
              <w:adjustRightInd w:val="0"/>
              <w:spacing w:before="80" w:after="80"/>
              <w:jc w:val="center"/>
              <w:rPr>
                <w:rFonts w:eastAsiaTheme="minorEastAsia"/>
                <w:color w:val="000000"/>
                <w:sz w:val="20"/>
                <w:szCs w:val="20"/>
              </w:rPr>
            </w:pPr>
            <w:r w:rsidRPr="006C02AF">
              <w:rPr>
                <w:rFonts w:eastAsiaTheme="minorEastAsia"/>
                <w:color w:val="000000"/>
                <w:sz w:val="20"/>
                <w:szCs w:val="20"/>
              </w:rPr>
              <w:t>1These abbreviations refer to the formulae for calculations of calling outcomes and rates presented in Table 3.</w:t>
            </w:r>
          </w:p>
        </w:tc>
      </w:tr>
    </w:tbl>
    <w:p w:rsidR="00F515CE" w:rsidRPr="00F515CE" w:rsidRDefault="00F515CE" w:rsidP="00F515CE">
      <w:pPr>
        <w:autoSpaceDE w:val="0"/>
        <w:autoSpaceDN w:val="0"/>
        <w:adjustRightInd w:val="0"/>
        <w:rPr>
          <w:rFonts w:eastAsiaTheme="minorEastAsia"/>
          <w:color w:val="000000"/>
          <w:sz w:val="20"/>
          <w:szCs w:val="20"/>
        </w:rPr>
      </w:pPr>
    </w:p>
    <w:p w:rsidR="00F515CE" w:rsidRPr="00F515CE" w:rsidRDefault="00F515CE" w:rsidP="00F515CE">
      <w:pPr>
        <w:autoSpaceDE w:val="0"/>
        <w:autoSpaceDN w:val="0"/>
        <w:adjustRightInd w:val="0"/>
        <w:rPr>
          <w:rFonts w:eastAsiaTheme="minorEastAsia"/>
          <w:color w:val="000000"/>
          <w:sz w:val="20"/>
          <w:szCs w:val="20"/>
        </w:rPr>
        <w:sectPr w:rsidR="00F515CE" w:rsidRPr="00F515CE">
          <w:headerReference w:type="default" r:id="rId19"/>
          <w:footerReference w:type="default" r:id="rId20"/>
          <w:pgSz w:w="12240" w:h="15840"/>
          <w:pgMar w:top="720" w:right="360" w:bottom="720" w:left="360" w:header="720" w:footer="720" w:gutter="0"/>
          <w:cols w:space="720"/>
        </w:sectPr>
      </w:pPr>
    </w:p>
    <w:tbl>
      <w:tblPr>
        <w:tblStyle w:val="TableGrid"/>
        <w:tblW w:w="0" w:type="auto"/>
        <w:jc w:val="center"/>
        <w:tblLayout w:type="fixed"/>
        <w:tblLook w:val="0000" w:firstRow="0" w:lastRow="0" w:firstColumn="0" w:lastColumn="0" w:noHBand="0" w:noVBand="0"/>
      </w:tblPr>
      <w:tblGrid>
        <w:gridCol w:w="1744"/>
        <w:gridCol w:w="1151"/>
        <w:gridCol w:w="1204"/>
        <w:gridCol w:w="1338"/>
        <w:gridCol w:w="1204"/>
        <w:gridCol w:w="1338"/>
        <w:gridCol w:w="1232"/>
      </w:tblGrid>
      <w:tr w:rsidR="006C02AF" w:rsidRPr="00F515CE" w:rsidTr="003D58BF">
        <w:trPr>
          <w:jc w:val="center"/>
        </w:trPr>
        <w:tc>
          <w:tcPr>
            <w:tcW w:w="9211" w:type="dxa"/>
            <w:gridSpan w:val="7"/>
          </w:tcPr>
          <w:p w:rsidR="006C02AF" w:rsidRPr="006C02AF" w:rsidRDefault="006C02AF" w:rsidP="006C02AF">
            <w:pPr>
              <w:keepNext/>
              <w:autoSpaceDE w:val="0"/>
              <w:autoSpaceDN w:val="0"/>
              <w:adjustRightInd w:val="0"/>
              <w:spacing w:before="80" w:after="80"/>
              <w:jc w:val="center"/>
              <w:rPr>
                <w:rFonts w:eastAsiaTheme="minorEastAsia"/>
                <w:b/>
                <w:bCs/>
                <w:color w:val="000000"/>
                <w:sz w:val="22"/>
                <w:szCs w:val="22"/>
              </w:rPr>
            </w:pPr>
            <w:r>
              <w:rPr>
                <w:rFonts w:eastAsiaTheme="minorEastAsia"/>
                <w:b/>
                <w:bCs/>
                <w:color w:val="000000"/>
                <w:sz w:val="22"/>
                <w:szCs w:val="22"/>
              </w:rPr>
              <w:lastRenderedPageBreak/>
              <w:t>Table 5B</w:t>
            </w:r>
          </w:p>
          <w:p w:rsidR="006C02AF" w:rsidRPr="00F515CE" w:rsidRDefault="006C02AF" w:rsidP="00450953">
            <w:pPr>
              <w:keepNext/>
              <w:autoSpaceDE w:val="0"/>
              <w:autoSpaceDN w:val="0"/>
              <w:adjustRightInd w:val="0"/>
              <w:spacing w:before="80" w:after="80"/>
              <w:jc w:val="center"/>
              <w:rPr>
                <w:rFonts w:eastAsiaTheme="minorEastAsia"/>
                <w:b/>
                <w:bCs/>
                <w:color w:val="000000"/>
                <w:sz w:val="22"/>
                <w:szCs w:val="22"/>
              </w:rPr>
            </w:pPr>
            <w:r w:rsidRPr="006C02AF">
              <w:rPr>
                <w:rFonts w:eastAsiaTheme="minorEastAsia"/>
                <w:b/>
                <w:bCs/>
                <w:color w:val="000000"/>
                <w:sz w:val="22"/>
                <w:szCs w:val="22"/>
              </w:rPr>
              <w:t xml:space="preserve">Categories of Eligibility by State (Cell Phone </w:t>
            </w:r>
            <w:r w:rsidR="00450953">
              <w:rPr>
                <w:rFonts w:eastAsiaTheme="minorEastAsia"/>
                <w:b/>
                <w:bCs/>
                <w:color w:val="000000"/>
                <w:sz w:val="22"/>
                <w:szCs w:val="22"/>
              </w:rPr>
              <w:t>Sample</w:t>
            </w:r>
            <w:r w:rsidRPr="006C02AF">
              <w:rPr>
                <w:rFonts w:eastAsiaTheme="minorEastAsia"/>
                <w:b/>
                <w:bCs/>
                <w:color w:val="000000"/>
                <w:sz w:val="22"/>
                <w:szCs w:val="22"/>
              </w:rPr>
              <w:t>)</w:t>
            </w:r>
          </w:p>
        </w:tc>
      </w:tr>
      <w:tr w:rsidR="00F515CE" w:rsidRPr="00F515CE" w:rsidTr="003D58BF">
        <w:trPr>
          <w:jc w:val="center"/>
        </w:trPr>
        <w:tc>
          <w:tcPr>
            <w:tcW w:w="1744"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bookmarkStart w:id="9" w:name="IDX16"/>
            <w:bookmarkEnd w:id="9"/>
          </w:p>
        </w:tc>
        <w:tc>
          <w:tcPr>
            <w:tcW w:w="2355"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ELIG</w:t>
            </w:r>
            <w:r w:rsidR="006C02AF">
              <w:rPr>
                <w:rFonts w:eastAsiaTheme="minorEastAsia"/>
                <w:b/>
                <w:bCs/>
                <w:color w:val="000000"/>
                <w:sz w:val="22"/>
                <w:szCs w:val="22"/>
                <w:vertAlign w:val="superscript"/>
              </w:rPr>
              <w:t>1</w:t>
            </w:r>
          </w:p>
        </w:tc>
        <w:tc>
          <w:tcPr>
            <w:tcW w:w="2542"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INELIG</w:t>
            </w:r>
            <w:r w:rsidR="006C02AF">
              <w:rPr>
                <w:rFonts w:eastAsiaTheme="minorEastAsia"/>
                <w:b/>
                <w:bCs/>
                <w:color w:val="000000"/>
                <w:sz w:val="22"/>
                <w:szCs w:val="22"/>
                <w:vertAlign w:val="superscript"/>
              </w:rPr>
              <w:t>1</w:t>
            </w:r>
          </w:p>
        </w:tc>
        <w:tc>
          <w:tcPr>
            <w:tcW w:w="2570" w:type="dxa"/>
            <w:gridSpan w:val="2"/>
          </w:tcPr>
          <w:p w:rsidR="00F515CE" w:rsidRPr="006C02AF" w:rsidRDefault="00F515CE" w:rsidP="00F515CE">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UNKELIG</w:t>
            </w:r>
            <w:r w:rsidR="006C02AF">
              <w:rPr>
                <w:rFonts w:eastAsiaTheme="minorEastAsia"/>
                <w:b/>
                <w:bCs/>
                <w:color w:val="000000"/>
                <w:sz w:val="22"/>
                <w:szCs w:val="22"/>
                <w:vertAlign w:val="superscript"/>
              </w:rPr>
              <w:t>1</w:t>
            </w:r>
          </w:p>
        </w:tc>
      </w:tr>
      <w:tr w:rsidR="00F515CE" w:rsidRPr="00F515CE" w:rsidTr="003D58BF">
        <w:trPr>
          <w:jc w:val="center"/>
        </w:trPr>
        <w:tc>
          <w:tcPr>
            <w:tcW w:w="1744"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State</w:t>
            </w:r>
          </w:p>
        </w:tc>
        <w:tc>
          <w:tcPr>
            <w:tcW w:w="1151"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204"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338"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204"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c>
          <w:tcPr>
            <w:tcW w:w="1338"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N</w:t>
            </w:r>
          </w:p>
        </w:tc>
        <w:tc>
          <w:tcPr>
            <w:tcW w:w="1232" w:type="dxa"/>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AL</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2,285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15,917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15,097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AK</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1,450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19,060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4,840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AZ</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1,942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11,486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41.1</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14,532</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AR</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1,851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9,135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6,474</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6,575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39,746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34,048</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42.4</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CO</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4,681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14,983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15,332</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43.8</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CT</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3,039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19,244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31.5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38,827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DE</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10,286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13,525</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DC</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1,220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20,653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21,867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FL</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9,559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38,792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31.6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74,227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60.6</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3,287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19,444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21,699</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48.8</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HI</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5,796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13.2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15,946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22,267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50.6</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ID</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1,949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18.1</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4,649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4,142</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38.6</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IL</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1,753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8,948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10,757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IN</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3,473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14,676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14,461</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2,578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11,360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51.9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7,961</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36.4</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KS</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9,813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59,902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43,955</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38.7</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KY</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3,052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26,635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24,763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LA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788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6,343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5,440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2,118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10,277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9,743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MD</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2,626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17,623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23,281</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4,493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26,388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39,619</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56.2</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6,858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30,149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30,373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MN</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6,376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23,247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38.1</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31,427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51.5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MS</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2,429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11,113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8,718</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39.2</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MO</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2,084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7,233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9,316</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MT</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3,916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32,941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12,377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NE</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6,127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14.6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22,692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13,241</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31.5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NV</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1,929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6,812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12,079</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58.0</w:t>
            </w:r>
          </w:p>
        </w:tc>
      </w:tr>
      <w:tr w:rsidR="006031D1" w:rsidRPr="00F515CE" w:rsidTr="003D58BF">
        <w:trPr>
          <w:jc w:val="center"/>
        </w:trPr>
        <w:tc>
          <w:tcPr>
            <w:tcW w:w="9211" w:type="dxa"/>
            <w:gridSpan w:val="7"/>
          </w:tcPr>
          <w:p w:rsidR="006031D1" w:rsidRPr="006031D1" w:rsidRDefault="006031D1" w:rsidP="006031D1">
            <w:pPr>
              <w:autoSpaceDE w:val="0"/>
              <w:autoSpaceDN w:val="0"/>
              <w:adjustRightInd w:val="0"/>
              <w:spacing w:before="80" w:after="80"/>
              <w:jc w:val="center"/>
              <w:rPr>
                <w:rFonts w:eastAsiaTheme="minorEastAsia"/>
                <w:b/>
                <w:color w:val="000000"/>
                <w:sz w:val="22"/>
                <w:szCs w:val="22"/>
              </w:rPr>
            </w:pPr>
            <w:r w:rsidRPr="006031D1">
              <w:rPr>
                <w:rFonts w:eastAsiaTheme="minorEastAsia"/>
                <w:b/>
                <w:color w:val="000000"/>
                <w:sz w:val="22"/>
                <w:szCs w:val="22"/>
              </w:rPr>
              <w:lastRenderedPageBreak/>
              <w:t>Table 5B</w:t>
            </w:r>
          </w:p>
          <w:p w:rsidR="006031D1" w:rsidRPr="00F515CE" w:rsidRDefault="006031D1" w:rsidP="00450953">
            <w:pPr>
              <w:autoSpaceDE w:val="0"/>
              <w:autoSpaceDN w:val="0"/>
              <w:adjustRightInd w:val="0"/>
              <w:spacing w:before="80" w:after="80"/>
              <w:jc w:val="center"/>
              <w:rPr>
                <w:rFonts w:eastAsiaTheme="minorEastAsia"/>
                <w:color w:val="000000"/>
                <w:sz w:val="20"/>
                <w:szCs w:val="20"/>
              </w:rPr>
            </w:pPr>
            <w:r w:rsidRPr="006031D1">
              <w:rPr>
                <w:rFonts w:eastAsiaTheme="minorEastAsia"/>
                <w:b/>
                <w:color w:val="000000"/>
                <w:sz w:val="22"/>
                <w:szCs w:val="22"/>
              </w:rPr>
              <w:t xml:space="preserve">Categories of Eligibility by State (Cell Phone </w:t>
            </w:r>
            <w:r w:rsidR="00450953">
              <w:rPr>
                <w:rFonts w:eastAsiaTheme="minorEastAsia"/>
                <w:b/>
                <w:color w:val="000000"/>
                <w:sz w:val="22"/>
                <w:szCs w:val="22"/>
              </w:rPr>
              <w:t>Sample</w:t>
            </w:r>
            <w:r w:rsidRPr="006031D1">
              <w:rPr>
                <w:rFonts w:eastAsiaTheme="minorEastAsia"/>
                <w:b/>
                <w:color w:val="000000"/>
                <w:sz w:val="22"/>
                <w:szCs w:val="22"/>
              </w:rPr>
              <w:t>)</w:t>
            </w:r>
          </w:p>
        </w:tc>
      </w:tr>
      <w:tr w:rsidR="006031D1" w:rsidRPr="006C02AF" w:rsidTr="003D58BF">
        <w:trPr>
          <w:jc w:val="center"/>
        </w:trPr>
        <w:tc>
          <w:tcPr>
            <w:tcW w:w="1744" w:type="dxa"/>
          </w:tcPr>
          <w:p w:rsidR="006031D1" w:rsidRPr="00F515CE" w:rsidRDefault="006031D1" w:rsidP="006031D1">
            <w:pPr>
              <w:keepNext/>
              <w:autoSpaceDE w:val="0"/>
              <w:autoSpaceDN w:val="0"/>
              <w:adjustRightInd w:val="0"/>
              <w:spacing w:before="80" w:after="80"/>
              <w:jc w:val="center"/>
              <w:rPr>
                <w:rFonts w:eastAsiaTheme="minorEastAsia"/>
                <w:b/>
                <w:bCs/>
                <w:color w:val="000000"/>
                <w:sz w:val="22"/>
                <w:szCs w:val="22"/>
              </w:rPr>
            </w:pPr>
          </w:p>
        </w:tc>
        <w:tc>
          <w:tcPr>
            <w:tcW w:w="2355" w:type="dxa"/>
            <w:gridSpan w:val="2"/>
          </w:tcPr>
          <w:p w:rsidR="006031D1" w:rsidRPr="006C02AF" w:rsidRDefault="006031D1" w:rsidP="006031D1">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ELIG</w:t>
            </w:r>
            <w:r>
              <w:rPr>
                <w:rFonts w:eastAsiaTheme="minorEastAsia"/>
                <w:b/>
                <w:bCs/>
                <w:color w:val="000000"/>
                <w:sz w:val="22"/>
                <w:szCs w:val="22"/>
                <w:vertAlign w:val="superscript"/>
              </w:rPr>
              <w:t>1</w:t>
            </w:r>
          </w:p>
        </w:tc>
        <w:tc>
          <w:tcPr>
            <w:tcW w:w="2542" w:type="dxa"/>
            <w:gridSpan w:val="2"/>
          </w:tcPr>
          <w:p w:rsidR="006031D1" w:rsidRPr="006C02AF" w:rsidRDefault="006031D1" w:rsidP="006031D1">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INELIG</w:t>
            </w:r>
            <w:r>
              <w:rPr>
                <w:rFonts w:eastAsiaTheme="minorEastAsia"/>
                <w:b/>
                <w:bCs/>
                <w:color w:val="000000"/>
                <w:sz w:val="22"/>
                <w:szCs w:val="22"/>
                <w:vertAlign w:val="superscript"/>
              </w:rPr>
              <w:t>1</w:t>
            </w:r>
          </w:p>
        </w:tc>
        <w:tc>
          <w:tcPr>
            <w:tcW w:w="2570" w:type="dxa"/>
            <w:gridSpan w:val="2"/>
          </w:tcPr>
          <w:p w:rsidR="006031D1" w:rsidRPr="006C02AF" w:rsidRDefault="006031D1" w:rsidP="006031D1">
            <w:pPr>
              <w:keepNext/>
              <w:autoSpaceDE w:val="0"/>
              <w:autoSpaceDN w:val="0"/>
              <w:adjustRightInd w:val="0"/>
              <w:spacing w:before="80" w:after="80"/>
              <w:jc w:val="center"/>
              <w:rPr>
                <w:rFonts w:eastAsiaTheme="minorEastAsia"/>
                <w:b/>
                <w:bCs/>
                <w:color w:val="000000"/>
                <w:sz w:val="22"/>
                <w:szCs w:val="22"/>
                <w:vertAlign w:val="superscript"/>
              </w:rPr>
            </w:pPr>
            <w:r w:rsidRPr="00F515CE">
              <w:rPr>
                <w:rFonts w:eastAsiaTheme="minorEastAsia"/>
                <w:b/>
                <w:bCs/>
                <w:color w:val="000000"/>
                <w:sz w:val="22"/>
                <w:szCs w:val="22"/>
              </w:rPr>
              <w:t>UNKELIG</w:t>
            </w:r>
            <w:r>
              <w:rPr>
                <w:rFonts w:eastAsiaTheme="minorEastAsia"/>
                <w:b/>
                <w:bCs/>
                <w:color w:val="000000"/>
                <w:sz w:val="22"/>
                <w:szCs w:val="22"/>
                <w:vertAlign w:val="superscript"/>
              </w:rPr>
              <w:t>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NH</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2,242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14,194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19,144</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53.8</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NJ</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5,746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32,478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44,126</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53.6</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NM</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4,980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12.5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21,620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13,300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NY</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4,099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21,368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26,281</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50.8</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NC</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2,788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10,980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12,625</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47.8</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ND</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3,204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33,755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69.2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11,850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OH</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4,385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27,112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34,743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52.5</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OK</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3,751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21,523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11,293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30.9</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OR</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2,442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6,679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22,017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70.7</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3,908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22,975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26,877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RI</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2,377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12,536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34.7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21,237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58.7</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SC</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3,952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14,170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20,758</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53.4</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SD</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3,127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24,786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15,091</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TN</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1,756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11,699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34.4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20,523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60.4</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TX</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4,516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20,400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48.1</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17,534</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UT</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6,521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15.7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14,250</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34.3</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20,749</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VT</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1,691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12,067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13,722</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49.9</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3,257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16,484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23,189</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WA</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5,673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21,087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37,500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58.4</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WV</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2,185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11.6</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5,304</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28.1</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11,380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60.3</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WI</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2,618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10.9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12,589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8,763</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36.6</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WY</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1,535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5.5</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18,815</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66.9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7,790</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27.7</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GU</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9,327</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72.8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2,742</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21.4</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PR</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3,261</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5,708</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40.1</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5,257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37.0</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Minimum</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736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4,649</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21.4</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2,742</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19.1</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Maximum</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9,813</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22.9</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59,902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75.2</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74,227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70.7</w:t>
            </w:r>
          </w:p>
        </w:tc>
      </w:tr>
      <w:tr w:rsidR="00F515CE" w:rsidRPr="00F515CE" w:rsidTr="003D58BF">
        <w:trPr>
          <w:jc w:val="center"/>
        </w:trPr>
        <w:tc>
          <w:tcPr>
            <w:tcW w:w="1744"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Mean</w:t>
            </w:r>
          </w:p>
        </w:tc>
        <w:tc>
          <w:tcPr>
            <w:tcW w:w="1151"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3,523</w:t>
            </w:r>
          </w:p>
        </w:tc>
        <w:tc>
          <w:tcPr>
            <w:tcW w:w="1204"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9.0</w:t>
            </w:r>
          </w:p>
        </w:tc>
        <w:tc>
          <w:tcPr>
            <w:tcW w:w="1338"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18,256</w:t>
            </w:r>
          </w:p>
        </w:tc>
        <w:tc>
          <w:tcPr>
            <w:tcW w:w="1204"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45.2</w:t>
            </w:r>
          </w:p>
        </w:tc>
        <w:tc>
          <w:tcPr>
            <w:tcW w:w="1338" w:type="dxa"/>
          </w:tcPr>
          <w:p w:rsidR="00F515CE" w:rsidRPr="00F515CE" w:rsidRDefault="00F515CE" w:rsidP="00F515CE">
            <w:pPr>
              <w:keepNext/>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19,488</w:t>
            </w:r>
          </w:p>
        </w:tc>
        <w:tc>
          <w:tcPr>
            <w:tcW w:w="1232" w:type="dxa"/>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45.8</w:t>
            </w:r>
          </w:p>
        </w:tc>
      </w:tr>
      <w:tr w:rsidR="00F515CE" w:rsidRPr="00F515CE" w:rsidTr="003D58BF">
        <w:trPr>
          <w:jc w:val="center"/>
        </w:trPr>
        <w:tc>
          <w:tcPr>
            <w:tcW w:w="174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Median</w:t>
            </w:r>
          </w:p>
        </w:tc>
        <w:tc>
          <w:tcPr>
            <w:tcW w:w="1151"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3,052</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8.0</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15,946</w:t>
            </w:r>
          </w:p>
        </w:tc>
        <w:tc>
          <w:tcPr>
            <w:tcW w:w="1204"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42.8</w:t>
            </w:r>
          </w:p>
        </w:tc>
        <w:tc>
          <w:tcPr>
            <w:tcW w:w="1338" w:type="dxa"/>
          </w:tcPr>
          <w:p w:rsidR="00F515CE" w:rsidRPr="00F515CE" w:rsidRDefault="00F515CE" w:rsidP="00F515CE">
            <w:pPr>
              <w:autoSpaceDE w:val="0"/>
              <w:autoSpaceDN w:val="0"/>
              <w:adjustRightInd w:val="0"/>
              <w:spacing w:before="80" w:after="80"/>
              <w:jc w:val="right"/>
              <w:rPr>
                <w:rFonts w:eastAsiaTheme="minorEastAsia"/>
                <w:color w:val="000000"/>
                <w:sz w:val="20"/>
                <w:szCs w:val="20"/>
              </w:rPr>
            </w:pPr>
            <w:r w:rsidRPr="00F515CE">
              <w:rPr>
                <w:rFonts w:eastAsiaTheme="minorEastAsia"/>
                <w:color w:val="000000"/>
                <w:sz w:val="20"/>
                <w:szCs w:val="20"/>
              </w:rPr>
              <w:t>15,097</w:t>
            </w:r>
          </w:p>
        </w:tc>
        <w:tc>
          <w:tcPr>
            <w:tcW w:w="1232" w:type="dxa"/>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48.8</w:t>
            </w:r>
          </w:p>
        </w:tc>
      </w:tr>
      <w:tr w:rsidR="006C02AF" w:rsidRPr="00F515CE" w:rsidTr="003D58BF">
        <w:trPr>
          <w:jc w:val="center"/>
        </w:trPr>
        <w:tc>
          <w:tcPr>
            <w:tcW w:w="9211" w:type="dxa"/>
            <w:gridSpan w:val="7"/>
          </w:tcPr>
          <w:p w:rsidR="006C02AF" w:rsidRPr="00F515CE" w:rsidRDefault="006C02AF" w:rsidP="00F515CE">
            <w:pPr>
              <w:autoSpaceDE w:val="0"/>
              <w:autoSpaceDN w:val="0"/>
              <w:adjustRightInd w:val="0"/>
              <w:spacing w:before="80" w:after="80"/>
              <w:jc w:val="center"/>
              <w:rPr>
                <w:rFonts w:eastAsiaTheme="minorEastAsia"/>
                <w:color w:val="000000"/>
                <w:sz w:val="20"/>
                <w:szCs w:val="20"/>
              </w:rPr>
            </w:pPr>
            <w:r w:rsidRPr="006C02AF">
              <w:rPr>
                <w:rFonts w:eastAsiaTheme="minorEastAsia"/>
                <w:color w:val="000000"/>
                <w:sz w:val="20"/>
                <w:szCs w:val="20"/>
              </w:rPr>
              <w:t>1These abbreviations refer to the formulae for calculations of calling outcomes and rates presented in Table 3.</w:t>
            </w:r>
          </w:p>
        </w:tc>
      </w:tr>
    </w:tbl>
    <w:p w:rsidR="00F515CE" w:rsidRPr="00F515CE" w:rsidRDefault="00F515CE" w:rsidP="00F515CE">
      <w:pPr>
        <w:autoSpaceDE w:val="0"/>
        <w:autoSpaceDN w:val="0"/>
        <w:adjustRightInd w:val="0"/>
        <w:rPr>
          <w:rFonts w:eastAsiaTheme="minorEastAsia"/>
          <w:color w:val="000000"/>
          <w:sz w:val="20"/>
          <w:szCs w:val="20"/>
        </w:rPr>
      </w:pPr>
    </w:p>
    <w:p w:rsidR="00F515CE" w:rsidRPr="00F515CE" w:rsidRDefault="00F515CE" w:rsidP="00F515CE">
      <w:pPr>
        <w:autoSpaceDE w:val="0"/>
        <w:autoSpaceDN w:val="0"/>
        <w:adjustRightInd w:val="0"/>
        <w:rPr>
          <w:rFonts w:eastAsiaTheme="minorEastAsia"/>
          <w:color w:val="000000"/>
          <w:sz w:val="20"/>
          <w:szCs w:val="20"/>
        </w:rPr>
        <w:sectPr w:rsidR="00F515CE" w:rsidRPr="00F515CE">
          <w:headerReference w:type="default" r:id="rId21"/>
          <w:footerReference w:type="default" r:id="rId22"/>
          <w:pgSz w:w="12240" w:h="15840"/>
          <w:pgMar w:top="720" w:right="360" w:bottom="720" w:left="360" w:header="720" w:footer="720" w:gutter="0"/>
          <w:cols w:space="720"/>
        </w:sectPr>
      </w:pPr>
    </w:p>
    <w:tbl>
      <w:tblPr>
        <w:tblW w:w="0" w:type="auto"/>
        <w:jc w:val="center"/>
        <w:tblLayout w:type="fixed"/>
        <w:tblCellMar>
          <w:left w:w="0" w:type="dxa"/>
          <w:right w:w="0" w:type="dxa"/>
        </w:tblCellMar>
        <w:tblLook w:val="0000" w:firstRow="0" w:lastRow="0" w:firstColumn="0" w:lastColumn="0" w:noHBand="0" w:noVBand="0"/>
      </w:tblPr>
      <w:tblGrid>
        <w:gridCol w:w="2984"/>
        <w:gridCol w:w="2061"/>
        <w:gridCol w:w="2061"/>
        <w:gridCol w:w="2108"/>
      </w:tblGrid>
      <w:tr w:rsidR="006C02AF" w:rsidRPr="00F515CE" w:rsidTr="006C02AF">
        <w:trPr>
          <w:cantSplit/>
          <w:tblHeader/>
          <w:jc w:val="center"/>
        </w:trPr>
        <w:tc>
          <w:tcPr>
            <w:tcW w:w="9214" w:type="dxa"/>
            <w:gridSpan w:val="4"/>
            <w:tcBorders>
              <w:top w:val="single" w:sz="6" w:space="0" w:color="111111"/>
              <w:left w:val="single" w:sz="6" w:space="0" w:color="111111"/>
              <w:bottom w:val="single" w:sz="3" w:space="0" w:color="111111"/>
              <w:right w:val="single" w:sz="6" w:space="0" w:color="111111"/>
            </w:tcBorders>
            <w:shd w:val="clear" w:color="auto" w:fill="BBBBBB"/>
            <w:tcMar>
              <w:left w:w="80" w:type="dxa"/>
              <w:right w:w="80" w:type="dxa"/>
            </w:tcMar>
            <w:vAlign w:val="bottom"/>
          </w:tcPr>
          <w:p w:rsidR="006C02AF" w:rsidRDefault="006C02AF" w:rsidP="006C02AF">
            <w:pPr>
              <w:keepNext/>
              <w:autoSpaceDE w:val="0"/>
              <w:autoSpaceDN w:val="0"/>
              <w:adjustRightInd w:val="0"/>
              <w:spacing w:before="80" w:after="80"/>
              <w:jc w:val="center"/>
              <w:rPr>
                <w:rFonts w:eastAsiaTheme="minorEastAsia"/>
                <w:b/>
                <w:bCs/>
                <w:color w:val="000000"/>
                <w:sz w:val="22"/>
                <w:szCs w:val="22"/>
              </w:rPr>
            </w:pPr>
            <w:r>
              <w:rPr>
                <w:rFonts w:eastAsiaTheme="minorEastAsia"/>
                <w:b/>
                <w:bCs/>
                <w:color w:val="000000"/>
                <w:sz w:val="22"/>
                <w:szCs w:val="22"/>
              </w:rPr>
              <w:lastRenderedPageBreak/>
              <w:t>Table 6</w:t>
            </w:r>
          </w:p>
          <w:p w:rsidR="006C02AF" w:rsidRPr="00F515CE" w:rsidRDefault="006C02AF" w:rsidP="006C02AF">
            <w:pPr>
              <w:keepNext/>
              <w:autoSpaceDE w:val="0"/>
              <w:autoSpaceDN w:val="0"/>
              <w:adjustRightInd w:val="0"/>
              <w:spacing w:before="80" w:after="80"/>
              <w:jc w:val="center"/>
              <w:rPr>
                <w:rFonts w:eastAsiaTheme="minorEastAsia"/>
                <w:b/>
                <w:bCs/>
                <w:color w:val="000000"/>
                <w:sz w:val="22"/>
                <w:szCs w:val="22"/>
              </w:rPr>
            </w:pPr>
            <w:r>
              <w:rPr>
                <w:rFonts w:eastAsiaTheme="minorEastAsia"/>
                <w:b/>
                <w:bCs/>
                <w:color w:val="000000"/>
                <w:sz w:val="22"/>
                <w:szCs w:val="22"/>
              </w:rPr>
              <w:t>Response Rates for Landline and Cell Phone Samples</w:t>
            </w:r>
          </w:p>
        </w:tc>
      </w:tr>
      <w:tr w:rsidR="00F515CE" w:rsidRPr="00F515CE" w:rsidTr="00CB1EFA">
        <w:trPr>
          <w:cantSplit/>
          <w:tblHeader/>
          <w:jc w:val="center"/>
        </w:trPr>
        <w:tc>
          <w:tcPr>
            <w:tcW w:w="2984" w:type="dxa"/>
            <w:tcBorders>
              <w:top w:val="single" w:sz="6" w:space="0" w:color="111111"/>
              <w:left w:val="single" w:sz="6" w:space="0" w:color="111111"/>
              <w:bottom w:val="single" w:sz="3" w:space="0" w:color="111111"/>
              <w:right w:val="nil"/>
            </w:tcBorders>
            <w:shd w:val="clear" w:color="auto" w:fill="BBBBBB"/>
            <w:tcMar>
              <w:left w:w="80" w:type="dxa"/>
              <w:right w:w="80" w:type="dxa"/>
            </w:tcMar>
            <w:vAlign w:val="bottom"/>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bookmarkStart w:id="10" w:name="IDX17"/>
            <w:bookmarkEnd w:id="10"/>
            <w:r w:rsidRPr="00F515CE">
              <w:rPr>
                <w:rFonts w:eastAsiaTheme="minorEastAsia"/>
                <w:b/>
                <w:bCs/>
                <w:color w:val="000000"/>
                <w:sz w:val="22"/>
                <w:szCs w:val="22"/>
              </w:rPr>
              <w:t>State</w:t>
            </w:r>
          </w:p>
        </w:tc>
        <w:tc>
          <w:tcPr>
            <w:tcW w:w="2061" w:type="dxa"/>
            <w:tcBorders>
              <w:top w:val="single" w:sz="6" w:space="0" w:color="111111"/>
              <w:left w:val="single" w:sz="3" w:space="0" w:color="111111"/>
              <w:bottom w:val="single" w:sz="3" w:space="0" w:color="111111"/>
              <w:right w:val="nil"/>
            </w:tcBorders>
            <w:shd w:val="clear" w:color="auto" w:fill="BBBBBB"/>
            <w:tcMar>
              <w:left w:w="80" w:type="dxa"/>
              <w:right w:w="80" w:type="dxa"/>
            </w:tcMar>
            <w:vAlign w:val="bottom"/>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Landline Response Rate</w:t>
            </w:r>
          </w:p>
        </w:tc>
        <w:tc>
          <w:tcPr>
            <w:tcW w:w="2061" w:type="dxa"/>
            <w:tcBorders>
              <w:top w:val="single" w:sz="6" w:space="0" w:color="111111"/>
              <w:left w:val="single" w:sz="3" w:space="0" w:color="111111"/>
              <w:bottom w:val="single" w:sz="3" w:space="0" w:color="111111"/>
              <w:right w:val="nil"/>
            </w:tcBorders>
            <w:shd w:val="clear" w:color="auto" w:fill="BBBBBB"/>
            <w:tcMar>
              <w:left w:w="80" w:type="dxa"/>
              <w:right w:w="80" w:type="dxa"/>
            </w:tcMar>
            <w:vAlign w:val="bottom"/>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Cell Phone Response Rate</w:t>
            </w:r>
          </w:p>
        </w:tc>
        <w:tc>
          <w:tcPr>
            <w:tcW w:w="2108" w:type="dxa"/>
            <w:tcBorders>
              <w:top w:val="single" w:sz="6" w:space="0" w:color="111111"/>
              <w:left w:val="single" w:sz="3" w:space="0" w:color="111111"/>
              <w:bottom w:val="single" w:sz="3" w:space="0" w:color="111111"/>
              <w:right w:val="single" w:sz="6" w:space="0" w:color="111111"/>
            </w:tcBorders>
            <w:shd w:val="clear" w:color="auto" w:fill="BBBBBB"/>
            <w:tcMar>
              <w:left w:w="80" w:type="dxa"/>
              <w:right w:w="80" w:type="dxa"/>
            </w:tcMar>
            <w:vAlign w:val="bottom"/>
          </w:tcPr>
          <w:p w:rsidR="00F515CE" w:rsidRPr="00F515CE" w:rsidRDefault="00F515CE" w:rsidP="00F515CE">
            <w:pPr>
              <w:keepNext/>
              <w:autoSpaceDE w:val="0"/>
              <w:autoSpaceDN w:val="0"/>
              <w:adjustRightInd w:val="0"/>
              <w:spacing w:before="80" w:after="80"/>
              <w:jc w:val="center"/>
              <w:rPr>
                <w:rFonts w:eastAsiaTheme="minorEastAsia"/>
                <w:b/>
                <w:bCs/>
                <w:color w:val="000000"/>
                <w:sz w:val="22"/>
                <w:szCs w:val="22"/>
              </w:rPr>
            </w:pPr>
            <w:r w:rsidRPr="00F515CE">
              <w:rPr>
                <w:rFonts w:eastAsiaTheme="minorEastAsia"/>
                <w:b/>
                <w:bCs/>
                <w:color w:val="000000"/>
                <w:sz w:val="22"/>
                <w:szCs w:val="22"/>
              </w:rPr>
              <w:t>Combined Response Rate</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AL</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28.0</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32.8</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AK</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AZ</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43.4</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39.5</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AR</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42.8</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38.9</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39.3</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CO</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62.0</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45.4</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CT</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24.1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DE</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42.4</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40.1</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DC</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FL</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25.6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49.6</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35.7</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46.5</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HI</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34.8</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ID</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47.3</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50.3</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IL</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50.8</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39.2</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48.1</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IN</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43.9</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41.7</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43.5</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IA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52.6</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49.7</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KS</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57.2</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53.8</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KY</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59.0</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45.9</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55.7</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LA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44.7</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40.8</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56.0</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53.4</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MD</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52.2</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32.9</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42.6</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39.9</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48.2</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MN</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59.8</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39.2</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54.3</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MS</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42.3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43.9</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MO</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50.0</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38.3</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46.4</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MT</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56.5</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NE</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49.2</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53.5</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NV</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46.5</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36.3</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43.7</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lastRenderedPageBreak/>
              <w:t>NH</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43.3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33.7</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39.9</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NJ</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46.5</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29.8</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41.4</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NM</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52.5</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52.0</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52.3</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NY</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32.5</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30.6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NC</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40.6</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39.6</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ND</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59.8</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58.0</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59.2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OH</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54.1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33.7</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OK</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52.9</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50.1</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OR</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38.4</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21.4</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39.9</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35.4</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38.7</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RI</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26.4</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32.6</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SC</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51.9</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47.2</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SD</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58.7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52.6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56.6</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TN</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33.9</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45.9</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TX</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40.8</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37.4</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UT</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53.8</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36.5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49.3</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VT</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53.1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37.8</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VA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50.1</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33.0</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45.5</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WA</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35.9</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31.1</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WV</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30.3</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46.4</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WI</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50.8</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48.2</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50.1</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WY</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44.3</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57.5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46.8</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GU</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46.4</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46.8</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PR</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48.1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60.3</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Minimum</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28.0</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19.1</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29.0</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Maximum</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63.7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62.6</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60.3</w:t>
            </w:r>
          </w:p>
        </w:tc>
      </w:tr>
      <w:tr w:rsidR="00F515CE" w:rsidRPr="00F515CE" w:rsidTr="00CB1EFA">
        <w:trPr>
          <w:cantSplit/>
          <w:jc w:val="center"/>
        </w:trPr>
        <w:tc>
          <w:tcPr>
            <w:tcW w:w="2984" w:type="dxa"/>
            <w:tcBorders>
              <w:top w:val="nil"/>
              <w:left w:val="single" w:sz="6" w:space="0" w:color="111111"/>
              <w:bottom w:val="single" w:sz="3" w:space="0" w:color="111111"/>
              <w:right w:val="nil"/>
            </w:tcBorders>
            <w:shd w:val="clear" w:color="auto" w:fill="FFFFFF"/>
            <w:tcMar>
              <w:left w:w="80" w:type="dxa"/>
              <w:right w:w="80" w:type="dxa"/>
            </w:tcMar>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Mean</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47.7</w:t>
            </w:r>
          </w:p>
        </w:tc>
        <w:tc>
          <w:tcPr>
            <w:tcW w:w="2061" w:type="dxa"/>
            <w:tcBorders>
              <w:top w:val="nil"/>
              <w:left w:val="single" w:sz="3" w:space="0" w:color="111111"/>
              <w:bottom w:val="single" w:sz="3" w:space="0" w:color="111111"/>
              <w:right w:val="nil"/>
            </w:tcBorders>
            <w:shd w:val="clear" w:color="auto" w:fill="FFFFFF"/>
            <w:tcMar>
              <w:left w:w="80" w:type="dxa"/>
              <w:right w:w="80" w:type="dxa"/>
            </w:tcMar>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39.5</w:t>
            </w:r>
          </w:p>
        </w:tc>
        <w:tc>
          <w:tcPr>
            <w:tcW w:w="2108" w:type="dxa"/>
            <w:tcBorders>
              <w:top w:val="nil"/>
              <w:left w:val="single" w:sz="3" w:space="0" w:color="111111"/>
              <w:bottom w:val="single" w:sz="3" w:space="0" w:color="111111"/>
              <w:right w:val="single" w:sz="6" w:space="0" w:color="111111"/>
            </w:tcBorders>
            <w:shd w:val="clear" w:color="auto" w:fill="FFFFFF"/>
            <w:tcMar>
              <w:left w:w="80" w:type="dxa"/>
              <w:right w:w="80" w:type="dxa"/>
            </w:tcMar>
          </w:tcPr>
          <w:p w:rsidR="00F515CE" w:rsidRPr="00F515CE" w:rsidRDefault="00F515CE" w:rsidP="00F515CE">
            <w:pPr>
              <w:keepNext/>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45.3</w:t>
            </w:r>
          </w:p>
        </w:tc>
      </w:tr>
      <w:tr w:rsidR="00F515CE" w:rsidRPr="00F515CE" w:rsidTr="00CB1EFA">
        <w:trPr>
          <w:cantSplit/>
          <w:jc w:val="center"/>
        </w:trPr>
        <w:tc>
          <w:tcPr>
            <w:tcW w:w="2984" w:type="dxa"/>
            <w:tcBorders>
              <w:top w:val="nil"/>
              <w:left w:val="single" w:sz="6" w:space="0" w:color="111111"/>
              <w:bottom w:val="single" w:sz="6"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Median</w:t>
            </w:r>
          </w:p>
        </w:tc>
        <w:tc>
          <w:tcPr>
            <w:tcW w:w="2061" w:type="dxa"/>
            <w:tcBorders>
              <w:top w:val="nil"/>
              <w:left w:val="single" w:sz="3" w:space="0" w:color="111111"/>
              <w:bottom w:val="single" w:sz="6"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49.6</w:t>
            </w:r>
          </w:p>
        </w:tc>
        <w:tc>
          <w:tcPr>
            <w:tcW w:w="2061" w:type="dxa"/>
            <w:tcBorders>
              <w:top w:val="nil"/>
              <w:left w:val="single" w:sz="3" w:space="0" w:color="111111"/>
              <w:bottom w:val="single" w:sz="6" w:space="0" w:color="111111"/>
              <w:right w:val="nil"/>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37.8</w:t>
            </w:r>
          </w:p>
        </w:tc>
        <w:tc>
          <w:tcPr>
            <w:tcW w:w="2108" w:type="dxa"/>
            <w:tcBorders>
              <w:top w:val="nil"/>
              <w:left w:val="single" w:sz="3" w:space="0" w:color="111111"/>
              <w:bottom w:val="single" w:sz="6" w:space="0" w:color="111111"/>
              <w:right w:val="single" w:sz="6" w:space="0" w:color="111111"/>
            </w:tcBorders>
            <w:shd w:val="clear" w:color="auto" w:fill="FFFFFF"/>
            <w:tcMar>
              <w:left w:w="80" w:type="dxa"/>
              <w:right w:w="80" w:type="dxa"/>
            </w:tcMar>
          </w:tcPr>
          <w:p w:rsidR="00F515CE" w:rsidRPr="00F515CE" w:rsidRDefault="00F515CE" w:rsidP="00F515CE">
            <w:pPr>
              <w:autoSpaceDE w:val="0"/>
              <w:autoSpaceDN w:val="0"/>
              <w:adjustRightInd w:val="0"/>
              <w:spacing w:before="80" w:after="80"/>
              <w:jc w:val="center"/>
              <w:rPr>
                <w:rFonts w:eastAsiaTheme="minorEastAsia"/>
                <w:color w:val="000000"/>
                <w:sz w:val="20"/>
                <w:szCs w:val="20"/>
              </w:rPr>
            </w:pPr>
            <w:r w:rsidRPr="00F515CE">
              <w:rPr>
                <w:rFonts w:eastAsiaTheme="minorEastAsia"/>
                <w:color w:val="000000"/>
                <w:sz w:val="20"/>
                <w:szCs w:val="20"/>
              </w:rPr>
              <w:t>46.4</w:t>
            </w:r>
          </w:p>
        </w:tc>
      </w:tr>
    </w:tbl>
    <w:p w:rsidR="00F515CE" w:rsidRPr="00F515CE" w:rsidRDefault="00F515CE" w:rsidP="00F515CE">
      <w:pPr>
        <w:autoSpaceDE w:val="0"/>
        <w:autoSpaceDN w:val="0"/>
        <w:adjustRightInd w:val="0"/>
        <w:rPr>
          <w:rFonts w:eastAsiaTheme="minorEastAsia"/>
          <w:color w:val="000000"/>
          <w:sz w:val="20"/>
          <w:szCs w:val="20"/>
        </w:rPr>
      </w:pPr>
    </w:p>
    <w:p w:rsidR="00F515CE" w:rsidRPr="00F515CE" w:rsidRDefault="00F515CE" w:rsidP="00F515CE">
      <w:pPr>
        <w:autoSpaceDE w:val="0"/>
        <w:autoSpaceDN w:val="0"/>
        <w:adjustRightInd w:val="0"/>
        <w:rPr>
          <w:rFonts w:eastAsiaTheme="minorEastAsia"/>
          <w:color w:val="000000"/>
          <w:sz w:val="20"/>
          <w:szCs w:val="20"/>
        </w:rPr>
        <w:sectPr w:rsidR="00F515CE" w:rsidRPr="00F515CE">
          <w:headerReference w:type="default" r:id="rId23"/>
          <w:footerReference w:type="default" r:id="rId24"/>
          <w:pgSz w:w="12240" w:h="15840"/>
          <w:pgMar w:top="720" w:right="360" w:bottom="720" w:left="360" w:header="720" w:footer="720" w:gutter="0"/>
          <w:cols w:space="720"/>
        </w:sectPr>
      </w:pPr>
    </w:p>
    <w:p w:rsidR="00F902A2" w:rsidRDefault="00F902A2" w:rsidP="00F902A2">
      <w:pPr>
        <w:pStyle w:val="Heading1"/>
      </w:pPr>
      <w:bookmarkStart w:id="11" w:name="IDX18"/>
      <w:bookmarkStart w:id="12" w:name="_Toc390936279"/>
      <w:bookmarkEnd w:id="11"/>
      <w:r>
        <w:lastRenderedPageBreak/>
        <w:t>References</w:t>
      </w:r>
      <w:bookmarkEnd w:id="12"/>
      <w:r>
        <w:t xml:space="preserve"> </w:t>
      </w:r>
    </w:p>
    <w:p w:rsidR="00F902A2" w:rsidRDefault="00F902A2" w:rsidP="00F902A2"/>
    <w:p w:rsidR="00F902A2" w:rsidRDefault="00F902A2" w:rsidP="00F902A2">
      <w:r>
        <w:t>1.</w:t>
      </w:r>
      <w:r>
        <w:tab/>
        <w:t xml:space="preserve">Methodologic </w:t>
      </w:r>
      <w:r w:rsidR="00D6088E">
        <w:t xml:space="preserve">changes </w:t>
      </w:r>
      <w:r>
        <w:t xml:space="preserve">in the Behavioral Risk Factor Surveillance System in 2011 and </w:t>
      </w:r>
      <w:r w:rsidR="00D6088E">
        <w:t>p</w:t>
      </w:r>
      <w:r>
        <w:t xml:space="preserve">otential </w:t>
      </w:r>
      <w:r w:rsidR="00D6088E">
        <w:t>e</w:t>
      </w:r>
      <w:r>
        <w:t xml:space="preserve">ffects on </w:t>
      </w:r>
      <w:r w:rsidR="00D6088E">
        <w:t>p</w:t>
      </w:r>
      <w:r>
        <w:t xml:space="preserve">revalence </w:t>
      </w:r>
      <w:r w:rsidR="00D6088E">
        <w:t>e</w:t>
      </w:r>
      <w:r>
        <w:t xml:space="preserve">stimates. </w:t>
      </w:r>
      <w:r w:rsidRPr="00952A20">
        <w:rPr>
          <w:i/>
        </w:rPr>
        <w:t>MMWR Weekly</w:t>
      </w:r>
      <w:r>
        <w:t xml:space="preserve"> June 8, 2012 / 61(22);</w:t>
      </w:r>
      <w:r w:rsidR="003473AA">
        <w:t xml:space="preserve"> </w:t>
      </w:r>
      <w:r>
        <w:t>410-3</w:t>
      </w:r>
      <w:r w:rsidR="00D6088E">
        <w:t xml:space="preserve">. Available at: </w:t>
      </w:r>
      <w:r w:rsidR="00D6088E" w:rsidRPr="00D6088E">
        <w:t>http://www.cdc.gov/mmwr/preview/mmwrhtml/mm6122a3.htm</w:t>
      </w:r>
      <w:r w:rsidR="00D6088E">
        <w:t>.</w:t>
      </w:r>
    </w:p>
    <w:p w:rsidR="00965D79" w:rsidRDefault="00965D79" w:rsidP="00F902A2"/>
    <w:p w:rsidR="00D6088E" w:rsidRDefault="00F902A2" w:rsidP="003473AA">
      <w:r>
        <w:t>2.</w:t>
      </w:r>
      <w:r>
        <w:tab/>
        <w:t xml:space="preserve">The American Association for Public Opinion Research. 2011. </w:t>
      </w:r>
      <w:r w:rsidRPr="00952A20">
        <w:rPr>
          <w:i/>
        </w:rPr>
        <w:t xml:space="preserve">Standard Definitions: Final </w:t>
      </w:r>
      <w:r w:rsidR="003C4E20">
        <w:rPr>
          <w:i/>
        </w:rPr>
        <w:t>d</w:t>
      </w:r>
      <w:r w:rsidR="003C4E20" w:rsidRPr="00952A20">
        <w:rPr>
          <w:i/>
        </w:rPr>
        <w:t xml:space="preserve">ispositions </w:t>
      </w:r>
      <w:r w:rsidRPr="00952A20">
        <w:rPr>
          <w:i/>
        </w:rPr>
        <w:t xml:space="preserve">of </w:t>
      </w:r>
      <w:r w:rsidR="003C4E20">
        <w:rPr>
          <w:i/>
        </w:rPr>
        <w:t>c</w:t>
      </w:r>
      <w:r w:rsidR="003C4E20" w:rsidRPr="00952A20">
        <w:rPr>
          <w:i/>
        </w:rPr>
        <w:t xml:space="preserve">ase </w:t>
      </w:r>
      <w:r w:rsidR="003C4E20">
        <w:rPr>
          <w:i/>
        </w:rPr>
        <w:t>c</w:t>
      </w:r>
      <w:r w:rsidR="003C4E20" w:rsidRPr="00952A20">
        <w:rPr>
          <w:i/>
        </w:rPr>
        <w:t xml:space="preserve">odes </w:t>
      </w:r>
      <w:r w:rsidRPr="00952A20">
        <w:rPr>
          <w:i/>
        </w:rPr>
        <w:t xml:space="preserve">and </w:t>
      </w:r>
      <w:r w:rsidR="003C4E20">
        <w:rPr>
          <w:i/>
        </w:rPr>
        <w:t>o</w:t>
      </w:r>
      <w:r w:rsidR="003C4E20" w:rsidRPr="00952A20">
        <w:rPr>
          <w:i/>
        </w:rPr>
        <w:t xml:space="preserve">utcome </w:t>
      </w:r>
      <w:r w:rsidR="003C4E20">
        <w:rPr>
          <w:i/>
        </w:rPr>
        <w:t>r</w:t>
      </w:r>
      <w:r w:rsidR="003C4E20" w:rsidRPr="00952A20">
        <w:rPr>
          <w:i/>
        </w:rPr>
        <w:t xml:space="preserve">ates </w:t>
      </w:r>
      <w:r w:rsidRPr="00952A20">
        <w:rPr>
          <w:i/>
        </w:rPr>
        <w:t xml:space="preserve">for </w:t>
      </w:r>
      <w:r w:rsidR="003C4E20">
        <w:rPr>
          <w:i/>
        </w:rPr>
        <w:t>s</w:t>
      </w:r>
      <w:r w:rsidR="003C4E20" w:rsidRPr="00952A20">
        <w:rPr>
          <w:i/>
        </w:rPr>
        <w:t>urveys</w:t>
      </w:r>
      <w:r>
        <w:t>. 7</w:t>
      </w:r>
      <w:r w:rsidRPr="00952A20">
        <w:rPr>
          <w:vertAlign w:val="superscript"/>
        </w:rPr>
        <w:t>th</w:t>
      </w:r>
      <w:r>
        <w:t xml:space="preserve"> edition. </w:t>
      </w:r>
      <w:r w:rsidR="00D6088E">
        <w:br/>
      </w:r>
      <w:r w:rsidR="00D6088E" w:rsidRPr="00D6088E">
        <w:t>http://www.aapor.org/AM/Template.cfm?Section=Standard_Definitions2&amp;Template=/CM/ContentDisplay.cfm&amp;ContentID=3156</w:t>
      </w:r>
    </w:p>
    <w:p w:rsidR="00BA7A02" w:rsidRDefault="00BA7A02" w:rsidP="003473AA"/>
    <w:p w:rsidR="00965D79" w:rsidRDefault="00BA7A02" w:rsidP="00F902A2">
      <w:r>
        <w:t xml:space="preserve">3.  The </w:t>
      </w:r>
      <w:r w:rsidRPr="00BA7A02">
        <w:t>Council of American Survey Research Organizations</w:t>
      </w:r>
      <w:r>
        <w:t xml:space="preserve">. 2013. </w:t>
      </w:r>
      <w:r w:rsidRPr="00BA7A02">
        <w:t xml:space="preserve">Code of </w:t>
      </w:r>
      <w:r w:rsidR="003C4E20">
        <w:t>s</w:t>
      </w:r>
      <w:r w:rsidRPr="00BA7A02">
        <w:t xml:space="preserve">tandards and </w:t>
      </w:r>
      <w:r w:rsidR="003C4E20">
        <w:t>e</w:t>
      </w:r>
      <w:r w:rsidRPr="00BA7A02">
        <w:t xml:space="preserve">thics for </w:t>
      </w:r>
      <w:r w:rsidR="003C4E20">
        <w:t>m</w:t>
      </w:r>
      <w:r w:rsidRPr="00BA7A02">
        <w:t xml:space="preserve">arket, </w:t>
      </w:r>
      <w:r w:rsidR="003C4E20">
        <w:t>o</w:t>
      </w:r>
      <w:r w:rsidRPr="00BA7A02">
        <w:t xml:space="preserve">pinion, and </w:t>
      </w:r>
      <w:r w:rsidR="003C4E20">
        <w:t>s</w:t>
      </w:r>
      <w:r w:rsidRPr="00BA7A02">
        <w:t xml:space="preserve">ocial </w:t>
      </w:r>
      <w:r w:rsidR="003C4E20">
        <w:t>r</w:t>
      </w:r>
      <w:r w:rsidRPr="00BA7A02">
        <w:t>esearch</w:t>
      </w:r>
      <w:r>
        <w:t xml:space="preserve"> </w:t>
      </w:r>
      <w:r w:rsidRPr="00BA7A02">
        <w:t>http://c.ymcdn.com/sites/</w:t>
      </w:r>
      <w:r>
        <w:t xml:space="preserve"> </w:t>
      </w:r>
      <w:r w:rsidRPr="00BA7A02">
        <w:t>www.casro.org/resource/resmgr/code/september_2013_revised_code.pdf?hhSearchTerms=%22casro+and+response+and+rate%22</w:t>
      </w:r>
      <w:r>
        <w:t>.</w:t>
      </w:r>
    </w:p>
    <w:p w:rsidR="00BA7A02" w:rsidRDefault="00BA7A02" w:rsidP="00F902A2"/>
    <w:p w:rsidR="003473AA" w:rsidRDefault="00BA7A02" w:rsidP="00F902A2">
      <w:r>
        <w:t>4</w:t>
      </w:r>
      <w:r w:rsidR="003473AA">
        <w:t xml:space="preserve">. </w:t>
      </w:r>
      <w:r w:rsidR="003473AA">
        <w:tab/>
        <w:t xml:space="preserve">The Pew Research Center for People and the Press. 2012. </w:t>
      </w:r>
      <w:r w:rsidR="003473AA" w:rsidRPr="003473AA">
        <w:t xml:space="preserve">Assessing the </w:t>
      </w:r>
      <w:r w:rsidR="003C4E20">
        <w:t>r</w:t>
      </w:r>
      <w:r w:rsidR="003C4E20" w:rsidRPr="003473AA">
        <w:t xml:space="preserve">epresentativeness </w:t>
      </w:r>
      <w:r w:rsidR="003473AA" w:rsidRPr="003473AA">
        <w:t xml:space="preserve">of </w:t>
      </w:r>
      <w:r w:rsidR="003C4E20">
        <w:t>p</w:t>
      </w:r>
      <w:r w:rsidR="003C4E20" w:rsidRPr="003473AA">
        <w:t xml:space="preserve">ublic </w:t>
      </w:r>
      <w:r w:rsidR="003C4E20">
        <w:t>o</w:t>
      </w:r>
      <w:r w:rsidR="003C4E20" w:rsidRPr="003473AA">
        <w:t xml:space="preserve">pinion </w:t>
      </w:r>
      <w:r w:rsidR="003C4E20">
        <w:t>s</w:t>
      </w:r>
      <w:r w:rsidR="003C4E20" w:rsidRPr="003473AA">
        <w:t>urveys</w:t>
      </w:r>
      <w:r w:rsidR="003473AA">
        <w:t xml:space="preserve">. </w:t>
      </w:r>
      <w:r w:rsidR="003473AA" w:rsidRPr="003473AA">
        <w:t>http://www.people-press.org/files/legacy-pdf/Assessing%20the%20Representativeness%20of%20Public%20Opinion%20Surveys.pdf</w:t>
      </w:r>
      <w:r w:rsidR="003473AA">
        <w:t xml:space="preserve">. </w:t>
      </w:r>
    </w:p>
    <w:p w:rsidR="003473AA" w:rsidRDefault="003473AA" w:rsidP="00F902A2"/>
    <w:p w:rsidR="00F902A2" w:rsidRDefault="00BA7A02" w:rsidP="00F902A2">
      <w:r>
        <w:t>5</w:t>
      </w:r>
      <w:r w:rsidR="00F902A2">
        <w:t>.</w:t>
      </w:r>
      <w:r w:rsidR="00F902A2">
        <w:tab/>
        <w:t xml:space="preserve">Groves, RM. Nonresponse </w:t>
      </w:r>
      <w:r w:rsidR="00D6088E">
        <w:t>r</w:t>
      </w:r>
      <w:r w:rsidR="00F902A2">
        <w:t xml:space="preserve">ates and </w:t>
      </w:r>
      <w:r w:rsidR="00D6088E">
        <w:t>n</w:t>
      </w:r>
      <w:r w:rsidR="00F902A2">
        <w:t xml:space="preserve">onresponse </w:t>
      </w:r>
      <w:r w:rsidR="00D6088E">
        <w:t>b</w:t>
      </w:r>
      <w:r w:rsidR="00F902A2">
        <w:t xml:space="preserve">ias in </w:t>
      </w:r>
      <w:r w:rsidR="00D6088E">
        <w:t>h</w:t>
      </w:r>
      <w:r w:rsidR="00F902A2">
        <w:t xml:space="preserve">ousehold </w:t>
      </w:r>
      <w:r w:rsidR="00D6088E">
        <w:t>s</w:t>
      </w:r>
      <w:r w:rsidR="00F902A2">
        <w:t xml:space="preserve">urveys. </w:t>
      </w:r>
      <w:r w:rsidR="00F902A2" w:rsidRPr="00952A20">
        <w:rPr>
          <w:i/>
        </w:rPr>
        <w:t>Public Opinion Quarterly</w:t>
      </w:r>
      <w:r w:rsidR="00F902A2">
        <w:t xml:space="preserve"> 70(5): </w:t>
      </w:r>
      <w:r w:rsidR="00D6088E">
        <w:t xml:space="preserve">Special Issue 2006, </w:t>
      </w:r>
      <w:r w:rsidR="00F902A2">
        <w:t xml:space="preserve">646–75. </w:t>
      </w:r>
    </w:p>
    <w:p w:rsidR="0059620B" w:rsidRDefault="0059620B"/>
    <w:sectPr w:rsidR="0059620B" w:rsidSect="001F600C">
      <w:footerReference w:type="default" r:id="rId25"/>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811" w:rsidRDefault="000A1811" w:rsidP="00965D79">
      <w:r>
        <w:separator/>
      </w:r>
    </w:p>
  </w:endnote>
  <w:endnote w:type="continuationSeparator" w:id="0">
    <w:p w:rsidR="000A1811" w:rsidRDefault="000A1811" w:rsidP="0096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jc w:val="center"/>
    </w:pPr>
  </w:p>
  <w:tbl>
    <w:tblPr>
      <w:tblW w:w="0" w:type="auto"/>
      <w:jc w:val="center"/>
      <w:tblLayout w:type="fixed"/>
      <w:tblCellMar>
        <w:left w:w="0" w:type="dxa"/>
        <w:right w:w="0" w:type="dxa"/>
      </w:tblCellMar>
      <w:tblLook w:val="0000" w:firstRow="0" w:lastRow="0" w:firstColumn="0" w:lastColumn="0" w:noHBand="0" w:noVBand="0"/>
    </w:tblPr>
    <w:tblGrid>
      <w:gridCol w:w="5760"/>
      <w:gridCol w:w="5760"/>
    </w:tblGrid>
    <w:tr w:rsidR="000A1811">
      <w:trPr>
        <w:cantSplit/>
        <w:jc w:val="center"/>
      </w:trPr>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rPr>
              <w:rFonts w:ascii="Times" w:hAnsi="Times" w:cs="Times"/>
              <w:color w:val="000000"/>
              <w:sz w:val="18"/>
              <w:szCs w:val="18"/>
            </w:rPr>
          </w:pPr>
        </w:p>
      </w:tc>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right"/>
            <w:rPr>
              <w:rFonts w:ascii="Times" w:hAnsi="Times" w:cs="Times"/>
              <w:color w:val="000000"/>
              <w:sz w:val="18"/>
              <w:szCs w:val="18"/>
            </w:rPr>
          </w:pPr>
          <w:r>
            <w:rPr>
              <w:rFonts w:ascii="Times" w:hAnsi="Times" w:cs="Times"/>
              <w:color w:val="000000"/>
              <w:sz w:val="18"/>
              <w:szCs w:val="18"/>
            </w:rPr>
            <w:fldChar w:fldCharType="begin"/>
          </w:r>
          <w:r>
            <w:rPr>
              <w:rFonts w:ascii="Times" w:hAnsi="Times" w:cs="Times"/>
              <w:color w:val="000000"/>
              <w:sz w:val="18"/>
              <w:szCs w:val="18"/>
            </w:rPr>
            <w:instrText xml:space="preserve"> PAGE </w:instrText>
          </w:r>
          <w:r>
            <w:rPr>
              <w:rFonts w:ascii="Times" w:hAnsi="Times" w:cs="Times"/>
              <w:color w:val="000000"/>
              <w:sz w:val="18"/>
              <w:szCs w:val="18"/>
            </w:rPr>
            <w:fldChar w:fldCharType="separate"/>
          </w:r>
          <w:r w:rsidR="009D53F2">
            <w:rPr>
              <w:rFonts w:ascii="Times" w:hAnsi="Times" w:cs="Times"/>
              <w:noProof/>
              <w:color w:val="000000"/>
              <w:sz w:val="18"/>
              <w:szCs w:val="18"/>
            </w:rPr>
            <w:t>1</w:t>
          </w:r>
          <w:r>
            <w:rPr>
              <w:rFonts w:ascii="Times" w:hAnsi="Times" w:cs="Times"/>
              <w:color w:val="000000"/>
              <w:sz w:val="18"/>
              <w:szCs w:val="18"/>
            </w:rPr>
            <w:fldChar w:fldCharType="end"/>
          </w:r>
          <w:r>
            <w:rPr>
              <w:rFonts w:ascii="Times" w:hAnsi="Times" w:cs="Times"/>
              <w:color w:val="000000"/>
              <w:sz w:val="18"/>
              <w:szCs w:val="18"/>
            </w:rPr>
            <w:t xml:space="preserve"> of </w:t>
          </w:r>
          <w:r>
            <w:rPr>
              <w:rFonts w:ascii="Times" w:hAnsi="Times" w:cs="Times"/>
              <w:color w:val="000000"/>
              <w:sz w:val="18"/>
              <w:szCs w:val="18"/>
            </w:rPr>
            <w:fldChar w:fldCharType="begin"/>
          </w:r>
          <w:r>
            <w:rPr>
              <w:rFonts w:ascii="Times" w:hAnsi="Times" w:cs="Times"/>
              <w:color w:val="000000"/>
              <w:sz w:val="18"/>
              <w:szCs w:val="18"/>
            </w:rPr>
            <w:instrText xml:space="preserve"> NUMPAGES </w:instrText>
          </w:r>
          <w:r>
            <w:rPr>
              <w:rFonts w:ascii="Times" w:hAnsi="Times" w:cs="Times"/>
              <w:color w:val="000000"/>
              <w:sz w:val="18"/>
              <w:szCs w:val="18"/>
            </w:rPr>
            <w:fldChar w:fldCharType="separate"/>
          </w:r>
          <w:r w:rsidR="009D53F2">
            <w:rPr>
              <w:rFonts w:ascii="Times" w:hAnsi="Times" w:cs="Times"/>
              <w:noProof/>
              <w:color w:val="000000"/>
              <w:sz w:val="18"/>
              <w:szCs w:val="18"/>
            </w:rPr>
            <w:t>24</w:t>
          </w:r>
          <w:r>
            <w:rPr>
              <w:rFonts w:ascii="Times" w:hAnsi="Times" w:cs="Times"/>
              <w:color w:val="000000"/>
              <w:sz w:val="18"/>
              <w:szCs w:val="18"/>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jc w:val="center"/>
    </w:pPr>
  </w:p>
  <w:tbl>
    <w:tblPr>
      <w:tblW w:w="0" w:type="auto"/>
      <w:jc w:val="center"/>
      <w:tblLayout w:type="fixed"/>
      <w:tblCellMar>
        <w:left w:w="0" w:type="dxa"/>
        <w:right w:w="0" w:type="dxa"/>
      </w:tblCellMar>
      <w:tblLook w:val="0000" w:firstRow="0" w:lastRow="0" w:firstColumn="0" w:lastColumn="0" w:noHBand="0" w:noVBand="0"/>
    </w:tblPr>
    <w:tblGrid>
      <w:gridCol w:w="5760"/>
      <w:gridCol w:w="5760"/>
    </w:tblGrid>
    <w:tr w:rsidR="000A1811">
      <w:trPr>
        <w:cantSplit/>
        <w:jc w:val="center"/>
      </w:trPr>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rPr>
              <w:rFonts w:ascii="Times" w:hAnsi="Times" w:cs="Times"/>
              <w:color w:val="000000"/>
              <w:sz w:val="18"/>
              <w:szCs w:val="18"/>
            </w:rPr>
          </w:pPr>
          <w:r>
            <w:rPr>
              <w:rFonts w:ascii="Times" w:hAnsi="Times" w:cs="Times"/>
              <w:color w:val="000000"/>
              <w:sz w:val="18"/>
              <w:szCs w:val="18"/>
            </w:rPr>
            <w:t>Wednesday, June 18, 2014</w:t>
          </w:r>
        </w:p>
      </w:tc>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right"/>
            <w:rPr>
              <w:rFonts w:ascii="Times" w:hAnsi="Times" w:cs="Times"/>
              <w:color w:val="000000"/>
              <w:sz w:val="18"/>
              <w:szCs w:val="18"/>
            </w:rPr>
          </w:pPr>
          <w:r>
            <w:rPr>
              <w:rFonts w:ascii="Times" w:hAnsi="Times" w:cs="Times"/>
              <w:color w:val="000000"/>
              <w:sz w:val="18"/>
              <w:szCs w:val="18"/>
            </w:rPr>
            <w:fldChar w:fldCharType="begin"/>
          </w:r>
          <w:r>
            <w:rPr>
              <w:rFonts w:ascii="Times" w:hAnsi="Times" w:cs="Times"/>
              <w:color w:val="000000"/>
              <w:sz w:val="18"/>
              <w:szCs w:val="18"/>
            </w:rPr>
            <w:instrText xml:space="preserve"> PAGE </w:instrText>
          </w:r>
          <w:r>
            <w:rPr>
              <w:rFonts w:ascii="Times" w:hAnsi="Times" w:cs="Times"/>
              <w:color w:val="000000"/>
              <w:sz w:val="18"/>
              <w:szCs w:val="18"/>
            </w:rPr>
            <w:fldChar w:fldCharType="separate"/>
          </w:r>
          <w:r w:rsidR="009D53F2">
            <w:rPr>
              <w:rFonts w:ascii="Times" w:hAnsi="Times" w:cs="Times"/>
              <w:noProof/>
              <w:color w:val="000000"/>
              <w:sz w:val="18"/>
              <w:szCs w:val="18"/>
            </w:rPr>
            <w:t>17</w:t>
          </w:r>
          <w:r>
            <w:rPr>
              <w:rFonts w:ascii="Times" w:hAnsi="Times" w:cs="Times"/>
              <w:color w:val="000000"/>
              <w:sz w:val="18"/>
              <w:szCs w:val="18"/>
            </w:rPr>
            <w:fldChar w:fldCharType="end"/>
          </w:r>
          <w:r>
            <w:rPr>
              <w:rFonts w:ascii="Times" w:hAnsi="Times" w:cs="Times"/>
              <w:color w:val="000000"/>
              <w:sz w:val="18"/>
              <w:szCs w:val="18"/>
            </w:rPr>
            <w:t xml:space="preserve"> of </w:t>
          </w:r>
          <w:r>
            <w:rPr>
              <w:rFonts w:ascii="Times" w:hAnsi="Times" w:cs="Times"/>
              <w:color w:val="000000"/>
              <w:sz w:val="18"/>
              <w:szCs w:val="18"/>
            </w:rPr>
            <w:fldChar w:fldCharType="begin"/>
          </w:r>
          <w:r>
            <w:rPr>
              <w:rFonts w:ascii="Times" w:hAnsi="Times" w:cs="Times"/>
              <w:color w:val="000000"/>
              <w:sz w:val="18"/>
              <w:szCs w:val="18"/>
            </w:rPr>
            <w:instrText xml:space="preserve"> NUMPAGES </w:instrText>
          </w:r>
          <w:r>
            <w:rPr>
              <w:rFonts w:ascii="Times" w:hAnsi="Times" w:cs="Times"/>
              <w:color w:val="000000"/>
              <w:sz w:val="18"/>
              <w:szCs w:val="18"/>
            </w:rPr>
            <w:fldChar w:fldCharType="separate"/>
          </w:r>
          <w:r w:rsidR="009D53F2">
            <w:rPr>
              <w:rFonts w:ascii="Times" w:hAnsi="Times" w:cs="Times"/>
              <w:noProof/>
              <w:color w:val="000000"/>
              <w:sz w:val="18"/>
              <w:szCs w:val="18"/>
            </w:rPr>
            <w:t>23</w:t>
          </w:r>
          <w:r>
            <w:rPr>
              <w:rFonts w:ascii="Times" w:hAnsi="Times" w:cs="Times"/>
              <w:color w:val="000000"/>
              <w:sz w:val="18"/>
              <w:szCs w:val="18"/>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jc w:val="center"/>
    </w:pPr>
  </w:p>
  <w:tbl>
    <w:tblPr>
      <w:tblW w:w="0" w:type="auto"/>
      <w:jc w:val="center"/>
      <w:tblLayout w:type="fixed"/>
      <w:tblCellMar>
        <w:left w:w="0" w:type="dxa"/>
        <w:right w:w="0" w:type="dxa"/>
      </w:tblCellMar>
      <w:tblLook w:val="0000" w:firstRow="0" w:lastRow="0" w:firstColumn="0" w:lastColumn="0" w:noHBand="0" w:noVBand="0"/>
    </w:tblPr>
    <w:tblGrid>
      <w:gridCol w:w="5760"/>
      <w:gridCol w:w="5760"/>
    </w:tblGrid>
    <w:tr w:rsidR="000A1811">
      <w:trPr>
        <w:cantSplit/>
        <w:jc w:val="center"/>
      </w:trPr>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rPr>
              <w:rFonts w:ascii="Times" w:hAnsi="Times" w:cs="Times"/>
              <w:color w:val="000000"/>
              <w:sz w:val="18"/>
              <w:szCs w:val="18"/>
            </w:rPr>
          </w:pPr>
          <w:r>
            <w:rPr>
              <w:rFonts w:ascii="Times" w:hAnsi="Times" w:cs="Times"/>
              <w:color w:val="000000"/>
              <w:sz w:val="18"/>
              <w:szCs w:val="18"/>
            </w:rPr>
            <w:t>Wednesday, June 18, 2014</w:t>
          </w:r>
        </w:p>
      </w:tc>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right"/>
            <w:rPr>
              <w:rFonts w:ascii="Times" w:hAnsi="Times" w:cs="Times"/>
              <w:color w:val="000000"/>
              <w:sz w:val="18"/>
              <w:szCs w:val="18"/>
            </w:rPr>
          </w:pPr>
          <w:r>
            <w:rPr>
              <w:rFonts w:ascii="Times" w:hAnsi="Times" w:cs="Times"/>
              <w:color w:val="000000"/>
              <w:sz w:val="18"/>
              <w:szCs w:val="18"/>
            </w:rPr>
            <w:fldChar w:fldCharType="begin"/>
          </w:r>
          <w:r>
            <w:rPr>
              <w:rFonts w:ascii="Times" w:hAnsi="Times" w:cs="Times"/>
              <w:color w:val="000000"/>
              <w:sz w:val="18"/>
              <w:szCs w:val="18"/>
            </w:rPr>
            <w:instrText xml:space="preserve"> PAGE </w:instrText>
          </w:r>
          <w:r>
            <w:rPr>
              <w:rFonts w:ascii="Times" w:hAnsi="Times" w:cs="Times"/>
              <w:color w:val="000000"/>
              <w:sz w:val="18"/>
              <w:szCs w:val="18"/>
            </w:rPr>
            <w:fldChar w:fldCharType="separate"/>
          </w:r>
          <w:r w:rsidR="009D53F2">
            <w:rPr>
              <w:rFonts w:ascii="Times" w:hAnsi="Times" w:cs="Times"/>
              <w:noProof/>
              <w:color w:val="000000"/>
              <w:sz w:val="18"/>
              <w:szCs w:val="18"/>
            </w:rPr>
            <w:t>19</w:t>
          </w:r>
          <w:r>
            <w:rPr>
              <w:rFonts w:ascii="Times" w:hAnsi="Times" w:cs="Times"/>
              <w:color w:val="000000"/>
              <w:sz w:val="18"/>
              <w:szCs w:val="18"/>
            </w:rPr>
            <w:fldChar w:fldCharType="end"/>
          </w:r>
          <w:r>
            <w:rPr>
              <w:rFonts w:ascii="Times" w:hAnsi="Times" w:cs="Times"/>
              <w:color w:val="000000"/>
              <w:sz w:val="18"/>
              <w:szCs w:val="18"/>
            </w:rPr>
            <w:t xml:space="preserve"> of </w:t>
          </w:r>
          <w:r>
            <w:rPr>
              <w:rFonts w:ascii="Times" w:hAnsi="Times" w:cs="Times"/>
              <w:color w:val="000000"/>
              <w:sz w:val="18"/>
              <w:szCs w:val="18"/>
            </w:rPr>
            <w:fldChar w:fldCharType="begin"/>
          </w:r>
          <w:r>
            <w:rPr>
              <w:rFonts w:ascii="Times" w:hAnsi="Times" w:cs="Times"/>
              <w:color w:val="000000"/>
              <w:sz w:val="18"/>
              <w:szCs w:val="18"/>
            </w:rPr>
            <w:instrText xml:space="preserve"> NUMPAGES </w:instrText>
          </w:r>
          <w:r>
            <w:rPr>
              <w:rFonts w:ascii="Times" w:hAnsi="Times" w:cs="Times"/>
              <w:color w:val="000000"/>
              <w:sz w:val="18"/>
              <w:szCs w:val="18"/>
            </w:rPr>
            <w:fldChar w:fldCharType="separate"/>
          </w:r>
          <w:r w:rsidR="009D53F2">
            <w:rPr>
              <w:rFonts w:ascii="Times" w:hAnsi="Times" w:cs="Times"/>
              <w:noProof/>
              <w:color w:val="000000"/>
              <w:sz w:val="18"/>
              <w:szCs w:val="18"/>
            </w:rPr>
            <w:t>23</w:t>
          </w:r>
          <w:r>
            <w:rPr>
              <w:rFonts w:ascii="Times" w:hAnsi="Times" w:cs="Times"/>
              <w:color w:val="000000"/>
              <w:sz w:val="18"/>
              <w:szCs w:val="18"/>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jc w:val="center"/>
    </w:pPr>
  </w:p>
  <w:tbl>
    <w:tblPr>
      <w:tblW w:w="0" w:type="auto"/>
      <w:jc w:val="center"/>
      <w:tblLayout w:type="fixed"/>
      <w:tblCellMar>
        <w:left w:w="0" w:type="dxa"/>
        <w:right w:w="0" w:type="dxa"/>
      </w:tblCellMar>
      <w:tblLook w:val="0000" w:firstRow="0" w:lastRow="0" w:firstColumn="0" w:lastColumn="0" w:noHBand="0" w:noVBand="0"/>
    </w:tblPr>
    <w:tblGrid>
      <w:gridCol w:w="5760"/>
      <w:gridCol w:w="5760"/>
    </w:tblGrid>
    <w:tr w:rsidR="000A1811">
      <w:trPr>
        <w:cantSplit/>
        <w:jc w:val="center"/>
      </w:trPr>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rPr>
              <w:rFonts w:ascii="Times" w:hAnsi="Times" w:cs="Times"/>
              <w:color w:val="000000"/>
              <w:sz w:val="18"/>
              <w:szCs w:val="18"/>
            </w:rPr>
          </w:pPr>
          <w:r>
            <w:rPr>
              <w:rFonts w:ascii="Times" w:hAnsi="Times" w:cs="Times"/>
              <w:color w:val="000000"/>
              <w:sz w:val="18"/>
              <w:szCs w:val="18"/>
            </w:rPr>
            <w:t>Wednesday, June 18, 2014</w:t>
          </w:r>
        </w:p>
      </w:tc>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right"/>
            <w:rPr>
              <w:rFonts w:ascii="Times" w:hAnsi="Times" w:cs="Times"/>
              <w:color w:val="000000"/>
              <w:sz w:val="18"/>
              <w:szCs w:val="18"/>
            </w:rPr>
          </w:pPr>
          <w:r>
            <w:rPr>
              <w:rFonts w:ascii="Times" w:hAnsi="Times" w:cs="Times"/>
              <w:color w:val="000000"/>
              <w:sz w:val="18"/>
              <w:szCs w:val="18"/>
            </w:rPr>
            <w:fldChar w:fldCharType="begin"/>
          </w:r>
          <w:r>
            <w:rPr>
              <w:rFonts w:ascii="Times" w:hAnsi="Times" w:cs="Times"/>
              <w:color w:val="000000"/>
              <w:sz w:val="18"/>
              <w:szCs w:val="18"/>
            </w:rPr>
            <w:instrText xml:space="preserve"> PAGE </w:instrText>
          </w:r>
          <w:r>
            <w:rPr>
              <w:rFonts w:ascii="Times" w:hAnsi="Times" w:cs="Times"/>
              <w:color w:val="000000"/>
              <w:sz w:val="18"/>
              <w:szCs w:val="18"/>
            </w:rPr>
            <w:fldChar w:fldCharType="separate"/>
          </w:r>
          <w:r w:rsidR="009D53F2">
            <w:rPr>
              <w:rFonts w:ascii="Times" w:hAnsi="Times" w:cs="Times"/>
              <w:noProof/>
              <w:color w:val="000000"/>
              <w:sz w:val="18"/>
              <w:szCs w:val="18"/>
            </w:rPr>
            <w:t>21</w:t>
          </w:r>
          <w:r>
            <w:rPr>
              <w:rFonts w:ascii="Times" w:hAnsi="Times" w:cs="Times"/>
              <w:color w:val="000000"/>
              <w:sz w:val="18"/>
              <w:szCs w:val="18"/>
            </w:rPr>
            <w:fldChar w:fldCharType="end"/>
          </w:r>
          <w:r>
            <w:rPr>
              <w:rFonts w:ascii="Times" w:hAnsi="Times" w:cs="Times"/>
              <w:color w:val="000000"/>
              <w:sz w:val="18"/>
              <w:szCs w:val="18"/>
            </w:rPr>
            <w:t xml:space="preserve"> of </w:t>
          </w:r>
          <w:r>
            <w:rPr>
              <w:rFonts w:ascii="Times" w:hAnsi="Times" w:cs="Times"/>
              <w:color w:val="000000"/>
              <w:sz w:val="18"/>
              <w:szCs w:val="18"/>
            </w:rPr>
            <w:fldChar w:fldCharType="begin"/>
          </w:r>
          <w:r>
            <w:rPr>
              <w:rFonts w:ascii="Times" w:hAnsi="Times" w:cs="Times"/>
              <w:color w:val="000000"/>
              <w:sz w:val="18"/>
              <w:szCs w:val="18"/>
            </w:rPr>
            <w:instrText xml:space="preserve"> NUMPAGES </w:instrText>
          </w:r>
          <w:r>
            <w:rPr>
              <w:rFonts w:ascii="Times" w:hAnsi="Times" w:cs="Times"/>
              <w:color w:val="000000"/>
              <w:sz w:val="18"/>
              <w:szCs w:val="18"/>
            </w:rPr>
            <w:fldChar w:fldCharType="separate"/>
          </w:r>
          <w:r w:rsidR="009D53F2">
            <w:rPr>
              <w:rFonts w:ascii="Times" w:hAnsi="Times" w:cs="Times"/>
              <w:noProof/>
              <w:color w:val="000000"/>
              <w:sz w:val="18"/>
              <w:szCs w:val="18"/>
            </w:rPr>
            <w:t>23</w:t>
          </w:r>
          <w:r>
            <w:rPr>
              <w:rFonts w:ascii="Times" w:hAnsi="Times" w:cs="Times"/>
              <w:color w:val="000000"/>
              <w:sz w:val="18"/>
              <w:szCs w:val="18"/>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jc w:val="center"/>
    </w:pPr>
  </w:p>
  <w:tbl>
    <w:tblPr>
      <w:tblW w:w="0" w:type="auto"/>
      <w:jc w:val="center"/>
      <w:tblLayout w:type="fixed"/>
      <w:tblCellMar>
        <w:left w:w="0" w:type="dxa"/>
        <w:right w:w="0" w:type="dxa"/>
      </w:tblCellMar>
      <w:tblLook w:val="0000" w:firstRow="0" w:lastRow="0" w:firstColumn="0" w:lastColumn="0" w:noHBand="0" w:noVBand="0"/>
    </w:tblPr>
    <w:tblGrid>
      <w:gridCol w:w="5760"/>
      <w:gridCol w:w="5760"/>
    </w:tblGrid>
    <w:tr w:rsidR="000A1811">
      <w:trPr>
        <w:cantSplit/>
        <w:jc w:val="center"/>
      </w:trPr>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rPr>
              <w:rFonts w:ascii="Times" w:hAnsi="Times" w:cs="Times"/>
              <w:color w:val="000000"/>
              <w:sz w:val="18"/>
              <w:szCs w:val="18"/>
            </w:rPr>
          </w:pPr>
        </w:p>
      </w:tc>
      <w:tc>
        <w:tcPr>
          <w:tcW w:w="576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right"/>
            <w:rPr>
              <w:rFonts w:ascii="Times" w:hAnsi="Times" w:cs="Times"/>
              <w:color w:val="000000"/>
              <w:sz w:val="18"/>
              <w:szCs w:val="18"/>
            </w:rPr>
          </w:pPr>
          <w:r>
            <w:rPr>
              <w:rFonts w:ascii="Times" w:hAnsi="Times" w:cs="Times"/>
              <w:color w:val="000000"/>
              <w:sz w:val="18"/>
              <w:szCs w:val="18"/>
            </w:rPr>
            <w:fldChar w:fldCharType="begin"/>
          </w:r>
          <w:r>
            <w:rPr>
              <w:rFonts w:ascii="Times" w:hAnsi="Times" w:cs="Times"/>
              <w:color w:val="000000"/>
              <w:sz w:val="18"/>
              <w:szCs w:val="18"/>
            </w:rPr>
            <w:instrText xml:space="preserve"> PAGE </w:instrText>
          </w:r>
          <w:r>
            <w:rPr>
              <w:rFonts w:ascii="Times" w:hAnsi="Times" w:cs="Times"/>
              <w:color w:val="000000"/>
              <w:sz w:val="18"/>
              <w:szCs w:val="18"/>
            </w:rPr>
            <w:fldChar w:fldCharType="separate"/>
          </w:r>
          <w:r w:rsidR="009D53F2">
            <w:rPr>
              <w:rFonts w:ascii="Times" w:hAnsi="Times" w:cs="Times"/>
              <w:noProof/>
              <w:color w:val="000000"/>
              <w:sz w:val="18"/>
              <w:szCs w:val="18"/>
            </w:rPr>
            <w:t>23</w:t>
          </w:r>
          <w:r>
            <w:rPr>
              <w:rFonts w:ascii="Times" w:hAnsi="Times" w:cs="Times"/>
              <w:color w:val="000000"/>
              <w:sz w:val="18"/>
              <w:szCs w:val="18"/>
            </w:rPr>
            <w:fldChar w:fldCharType="end"/>
          </w:r>
          <w:r>
            <w:rPr>
              <w:rFonts w:ascii="Times" w:hAnsi="Times" w:cs="Times"/>
              <w:color w:val="000000"/>
              <w:sz w:val="18"/>
              <w:szCs w:val="18"/>
            </w:rPr>
            <w:t xml:space="preserve"> of </w:t>
          </w:r>
          <w:r>
            <w:rPr>
              <w:rFonts w:ascii="Times" w:hAnsi="Times" w:cs="Times"/>
              <w:color w:val="000000"/>
              <w:sz w:val="18"/>
              <w:szCs w:val="18"/>
            </w:rPr>
            <w:fldChar w:fldCharType="begin"/>
          </w:r>
          <w:r>
            <w:rPr>
              <w:rFonts w:ascii="Times" w:hAnsi="Times" w:cs="Times"/>
              <w:color w:val="000000"/>
              <w:sz w:val="18"/>
              <w:szCs w:val="18"/>
            </w:rPr>
            <w:instrText xml:space="preserve"> NUMPAGES </w:instrText>
          </w:r>
          <w:r>
            <w:rPr>
              <w:rFonts w:ascii="Times" w:hAnsi="Times" w:cs="Times"/>
              <w:color w:val="000000"/>
              <w:sz w:val="18"/>
              <w:szCs w:val="18"/>
            </w:rPr>
            <w:fldChar w:fldCharType="separate"/>
          </w:r>
          <w:r w:rsidR="009D53F2">
            <w:rPr>
              <w:rFonts w:ascii="Times" w:hAnsi="Times" w:cs="Times"/>
              <w:noProof/>
              <w:color w:val="000000"/>
              <w:sz w:val="18"/>
              <w:szCs w:val="18"/>
            </w:rPr>
            <w:t>23</w:t>
          </w:r>
          <w:r>
            <w:rPr>
              <w:rFonts w:ascii="Times" w:hAnsi="Times" w:cs="Times"/>
              <w:color w:val="000000"/>
              <w:sz w:val="18"/>
              <w:szCs w:val="18"/>
            </w:rPr>
            <w:fldChar w:fldCharType="end"/>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811" w:rsidRDefault="000A1811" w:rsidP="00965D79">
      <w:r>
        <w:separator/>
      </w:r>
    </w:p>
  </w:footnote>
  <w:footnote w:type="continuationSeparator" w:id="0">
    <w:p w:rsidR="000A1811" w:rsidRDefault="000A1811" w:rsidP="0096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1520"/>
    </w:tblGrid>
    <w:tr w:rsidR="000A1811">
      <w:trPr>
        <w:cantSplit/>
        <w:jc w:val="center"/>
      </w:trPr>
      <w:tc>
        <w:tcPr>
          <w:tcW w:w="11520" w:type="dxa"/>
          <w:tcBorders>
            <w:top w:val="nil"/>
            <w:left w:val="nil"/>
            <w:bottom w:val="nil"/>
            <w:right w:val="nil"/>
          </w:tcBorders>
          <w:shd w:val="clear" w:color="auto" w:fill="FFFFFF"/>
          <w:tcMar>
            <w:left w:w="10" w:type="dxa"/>
            <w:right w:w="10" w:type="dxa"/>
          </w:tcMar>
        </w:tcPr>
        <w:p w:rsidR="000A1811" w:rsidRDefault="000A1811">
          <w:pPr>
            <w:keepNext/>
            <w:adjustRightInd w:val="0"/>
            <w:spacing w:before="10" w:after="10"/>
            <w:jc w:val="center"/>
            <w:rPr>
              <w:b/>
              <w:bCs/>
              <w:i/>
              <w:iCs/>
              <w:color w:val="000000"/>
              <w:sz w:val="26"/>
              <w:szCs w:val="26"/>
            </w:rPr>
          </w:pPr>
        </w:p>
      </w:tc>
    </w:tr>
    <w:tr w:rsidR="000A1811">
      <w:trPr>
        <w:cantSplit/>
        <w:jc w:val="center"/>
      </w:trPr>
      <w:tc>
        <w:tcPr>
          <w:tcW w:w="1152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center"/>
            <w:rPr>
              <w:b/>
              <w:bCs/>
              <w:i/>
              <w:iCs/>
              <w:color w:val="000000"/>
              <w:sz w:val="26"/>
              <w:szCs w:val="26"/>
            </w:rPr>
          </w:pPr>
        </w:p>
      </w:tc>
    </w:tr>
  </w:tbl>
  <w:p w:rsidR="000A1811" w:rsidRDefault="000A1811">
    <w:pPr>
      <w:adjustRightInd w:val="0"/>
      <w:rPr>
        <w:b/>
        <w:bCs/>
        <w:i/>
        <w:iCs/>
        <w:color w:val="000000"/>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rPr>
        <w:b/>
        <w:bCs/>
        <w:i/>
        <w:iCs/>
        <w:color w:val="000000"/>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Pr="006031D1" w:rsidRDefault="000A1811" w:rsidP="006031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11" w:rsidRDefault="000A1811">
    <w:pPr>
      <w:adjustRightInd w:val="0"/>
      <w:rPr>
        <w:b/>
        <w:bCs/>
        <w:i/>
        <w:iCs/>
        <w:color w:val="000000"/>
        <w:sz w:val="26"/>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1520"/>
    </w:tblGrid>
    <w:tr w:rsidR="000A1811">
      <w:trPr>
        <w:cantSplit/>
        <w:jc w:val="center"/>
      </w:trPr>
      <w:tc>
        <w:tcPr>
          <w:tcW w:w="11520" w:type="dxa"/>
          <w:tcBorders>
            <w:top w:val="nil"/>
            <w:left w:val="nil"/>
            <w:bottom w:val="nil"/>
            <w:right w:val="nil"/>
          </w:tcBorders>
          <w:shd w:val="clear" w:color="auto" w:fill="FFFFFF"/>
          <w:tcMar>
            <w:left w:w="10" w:type="dxa"/>
            <w:right w:w="10" w:type="dxa"/>
          </w:tcMar>
        </w:tcPr>
        <w:p w:rsidR="000A1811" w:rsidRDefault="000A1811">
          <w:pPr>
            <w:adjustRightInd w:val="0"/>
            <w:spacing w:before="10" w:after="10"/>
            <w:jc w:val="center"/>
            <w:rPr>
              <w:b/>
              <w:bCs/>
              <w:i/>
              <w:iCs/>
              <w:color w:val="000000"/>
              <w:sz w:val="26"/>
              <w:szCs w:val="26"/>
            </w:rPr>
          </w:pPr>
        </w:p>
      </w:tc>
    </w:tr>
  </w:tbl>
  <w:p w:rsidR="000A1811" w:rsidRDefault="000A1811">
    <w:pPr>
      <w:adjustRightInd w:val="0"/>
      <w:rPr>
        <w:b/>
        <w:bCs/>
        <w:i/>
        <w:iCs/>
        <w:color w:val="00000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7A9C"/>
    <w:multiLevelType w:val="hybridMultilevel"/>
    <w:tmpl w:val="1B5E4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82DFE"/>
    <w:multiLevelType w:val="hybridMultilevel"/>
    <w:tmpl w:val="6BEE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5D339F"/>
    <w:multiLevelType w:val="hybridMultilevel"/>
    <w:tmpl w:val="50E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E17BB7"/>
    <w:multiLevelType w:val="hybridMultilevel"/>
    <w:tmpl w:val="C2304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A2"/>
    <w:rsid w:val="000A1811"/>
    <w:rsid w:val="000C2446"/>
    <w:rsid w:val="000E1121"/>
    <w:rsid w:val="00167791"/>
    <w:rsid w:val="001F600C"/>
    <w:rsid w:val="00235B7A"/>
    <w:rsid w:val="002644B5"/>
    <w:rsid w:val="00272E9F"/>
    <w:rsid w:val="002A749B"/>
    <w:rsid w:val="002B7465"/>
    <w:rsid w:val="002B7648"/>
    <w:rsid w:val="002D4D8E"/>
    <w:rsid w:val="003473AA"/>
    <w:rsid w:val="00394314"/>
    <w:rsid w:val="003C4E20"/>
    <w:rsid w:val="003D58BF"/>
    <w:rsid w:val="00427B1A"/>
    <w:rsid w:val="004410CA"/>
    <w:rsid w:val="00450953"/>
    <w:rsid w:val="00467290"/>
    <w:rsid w:val="00472752"/>
    <w:rsid w:val="004A5E02"/>
    <w:rsid w:val="004E4827"/>
    <w:rsid w:val="00517821"/>
    <w:rsid w:val="0059620B"/>
    <w:rsid w:val="005E0316"/>
    <w:rsid w:val="005F1F9A"/>
    <w:rsid w:val="006031D1"/>
    <w:rsid w:val="006273EE"/>
    <w:rsid w:val="006A48C6"/>
    <w:rsid w:val="006B7C87"/>
    <w:rsid w:val="006C02AF"/>
    <w:rsid w:val="007B1D0E"/>
    <w:rsid w:val="007C4301"/>
    <w:rsid w:val="0083339F"/>
    <w:rsid w:val="008F1667"/>
    <w:rsid w:val="008F52D4"/>
    <w:rsid w:val="00952A20"/>
    <w:rsid w:val="00954E82"/>
    <w:rsid w:val="00956153"/>
    <w:rsid w:val="00965D79"/>
    <w:rsid w:val="009D53F2"/>
    <w:rsid w:val="009E70F1"/>
    <w:rsid w:val="00A02215"/>
    <w:rsid w:val="00AA5674"/>
    <w:rsid w:val="00AA7419"/>
    <w:rsid w:val="00B37BB2"/>
    <w:rsid w:val="00BA529A"/>
    <w:rsid w:val="00BA7A02"/>
    <w:rsid w:val="00BE0CD8"/>
    <w:rsid w:val="00CB1EFA"/>
    <w:rsid w:val="00CF0B5D"/>
    <w:rsid w:val="00D6088E"/>
    <w:rsid w:val="00E87434"/>
    <w:rsid w:val="00F515CE"/>
    <w:rsid w:val="00F6109A"/>
    <w:rsid w:val="00F902A2"/>
    <w:rsid w:val="00F919D0"/>
    <w:rsid w:val="00FB4EA5"/>
    <w:rsid w:val="00FD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9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902A2"/>
    <w:rPr>
      <w:rFonts w:ascii="Tahoma" w:hAnsi="Tahoma" w:cs="Tahoma"/>
      <w:sz w:val="16"/>
      <w:szCs w:val="16"/>
    </w:rPr>
  </w:style>
  <w:style w:type="character" w:customStyle="1" w:styleId="BalloonTextChar">
    <w:name w:val="Balloon Text Char"/>
    <w:basedOn w:val="DefaultParagraphFont"/>
    <w:link w:val="BalloonText"/>
    <w:rsid w:val="00F902A2"/>
    <w:rPr>
      <w:rFonts w:ascii="Tahoma" w:hAnsi="Tahoma" w:cs="Tahoma"/>
      <w:sz w:val="16"/>
      <w:szCs w:val="16"/>
    </w:rPr>
  </w:style>
  <w:style w:type="character" w:customStyle="1" w:styleId="Heading1Char">
    <w:name w:val="Heading 1 Char"/>
    <w:basedOn w:val="DefaultParagraphFont"/>
    <w:link w:val="Heading1"/>
    <w:rsid w:val="00F902A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9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2215"/>
    <w:pPr>
      <w:spacing w:line="276" w:lineRule="auto"/>
      <w:outlineLvl w:val="9"/>
    </w:pPr>
    <w:rPr>
      <w:lang w:eastAsia="ja-JP"/>
    </w:rPr>
  </w:style>
  <w:style w:type="paragraph" w:styleId="TOC1">
    <w:name w:val="toc 1"/>
    <w:basedOn w:val="Normal"/>
    <w:next w:val="Normal"/>
    <w:autoRedefine/>
    <w:uiPriority w:val="39"/>
    <w:rsid w:val="00A02215"/>
    <w:pPr>
      <w:spacing w:after="100"/>
    </w:pPr>
  </w:style>
  <w:style w:type="character" w:styleId="Hyperlink">
    <w:name w:val="Hyperlink"/>
    <w:basedOn w:val="DefaultParagraphFont"/>
    <w:uiPriority w:val="99"/>
    <w:unhideWhenUsed/>
    <w:rsid w:val="00A02215"/>
    <w:rPr>
      <w:color w:val="0000FF" w:themeColor="hyperlink"/>
      <w:u w:val="single"/>
    </w:rPr>
  </w:style>
  <w:style w:type="paragraph" w:styleId="ListParagraph">
    <w:name w:val="List Paragraph"/>
    <w:basedOn w:val="Normal"/>
    <w:uiPriority w:val="34"/>
    <w:qFormat/>
    <w:rsid w:val="00965D79"/>
    <w:pPr>
      <w:ind w:left="720"/>
      <w:contextualSpacing/>
    </w:pPr>
  </w:style>
  <w:style w:type="paragraph" w:styleId="Header">
    <w:name w:val="header"/>
    <w:basedOn w:val="Normal"/>
    <w:link w:val="HeaderChar"/>
    <w:rsid w:val="00965D79"/>
    <w:pPr>
      <w:tabs>
        <w:tab w:val="center" w:pos="4680"/>
        <w:tab w:val="right" w:pos="9360"/>
      </w:tabs>
    </w:pPr>
  </w:style>
  <w:style w:type="character" w:customStyle="1" w:styleId="HeaderChar">
    <w:name w:val="Header Char"/>
    <w:basedOn w:val="DefaultParagraphFont"/>
    <w:link w:val="Header"/>
    <w:rsid w:val="00965D79"/>
    <w:rPr>
      <w:sz w:val="24"/>
      <w:szCs w:val="24"/>
    </w:rPr>
  </w:style>
  <w:style w:type="paragraph" w:styleId="Footer">
    <w:name w:val="footer"/>
    <w:basedOn w:val="Normal"/>
    <w:link w:val="FooterChar"/>
    <w:uiPriority w:val="99"/>
    <w:rsid w:val="00965D79"/>
    <w:pPr>
      <w:tabs>
        <w:tab w:val="center" w:pos="4680"/>
        <w:tab w:val="right" w:pos="9360"/>
      </w:tabs>
    </w:pPr>
  </w:style>
  <w:style w:type="character" w:customStyle="1" w:styleId="FooterChar">
    <w:name w:val="Footer Char"/>
    <w:basedOn w:val="DefaultParagraphFont"/>
    <w:link w:val="Footer"/>
    <w:uiPriority w:val="99"/>
    <w:rsid w:val="00965D79"/>
    <w:rPr>
      <w:sz w:val="24"/>
      <w:szCs w:val="24"/>
    </w:rPr>
  </w:style>
  <w:style w:type="character" w:styleId="CommentReference">
    <w:name w:val="annotation reference"/>
    <w:basedOn w:val="DefaultParagraphFont"/>
    <w:rsid w:val="002D4D8E"/>
    <w:rPr>
      <w:sz w:val="16"/>
      <w:szCs w:val="16"/>
    </w:rPr>
  </w:style>
  <w:style w:type="paragraph" w:styleId="CommentText">
    <w:name w:val="annotation text"/>
    <w:basedOn w:val="Normal"/>
    <w:link w:val="CommentTextChar"/>
    <w:rsid w:val="002D4D8E"/>
    <w:rPr>
      <w:sz w:val="20"/>
      <w:szCs w:val="20"/>
    </w:rPr>
  </w:style>
  <w:style w:type="character" w:customStyle="1" w:styleId="CommentTextChar">
    <w:name w:val="Comment Text Char"/>
    <w:basedOn w:val="DefaultParagraphFont"/>
    <w:link w:val="CommentText"/>
    <w:rsid w:val="002D4D8E"/>
  </w:style>
  <w:style w:type="paragraph" w:styleId="CommentSubject">
    <w:name w:val="annotation subject"/>
    <w:basedOn w:val="CommentText"/>
    <w:next w:val="CommentText"/>
    <w:link w:val="CommentSubjectChar"/>
    <w:rsid w:val="002D4D8E"/>
    <w:rPr>
      <w:b/>
      <w:bCs/>
    </w:rPr>
  </w:style>
  <w:style w:type="character" w:customStyle="1" w:styleId="CommentSubjectChar">
    <w:name w:val="Comment Subject Char"/>
    <w:basedOn w:val="CommentTextChar"/>
    <w:link w:val="CommentSubject"/>
    <w:rsid w:val="002D4D8E"/>
    <w:rPr>
      <w:b/>
      <w:bCs/>
    </w:rPr>
  </w:style>
  <w:style w:type="paragraph" w:styleId="Revision">
    <w:name w:val="Revision"/>
    <w:hidden/>
    <w:uiPriority w:val="99"/>
    <w:semiHidden/>
    <w:rsid w:val="00BA529A"/>
    <w:rPr>
      <w:sz w:val="24"/>
      <w:szCs w:val="24"/>
    </w:rPr>
  </w:style>
  <w:style w:type="numbering" w:customStyle="1" w:styleId="NoList1">
    <w:name w:val="No List1"/>
    <w:next w:val="NoList"/>
    <w:uiPriority w:val="99"/>
    <w:semiHidden/>
    <w:unhideWhenUsed/>
    <w:rsid w:val="00F51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9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902A2"/>
    <w:rPr>
      <w:rFonts w:ascii="Tahoma" w:hAnsi="Tahoma" w:cs="Tahoma"/>
      <w:sz w:val="16"/>
      <w:szCs w:val="16"/>
    </w:rPr>
  </w:style>
  <w:style w:type="character" w:customStyle="1" w:styleId="BalloonTextChar">
    <w:name w:val="Balloon Text Char"/>
    <w:basedOn w:val="DefaultParagraphFont"/>
    <w:link w:val="BalloonText"/>
    <w:rsid w:val="00F902A2"/>
    <w:rPr>
      <w:rFonts w:ascii="Tahoma" w:hAnsi="Tahoma" w:cs="Tahoma"/>
      <w:sz w:val="16"/>
      <w:szCs w:val="16"/>
    </w:rPr>
  </w:style>
  <w:style w:type="character" w:customStyle="1" w:styleId="Heading1Char">
    <w:name w:val="Heading 1 Char"/>
    <w:basedOn w:val="DefaultParagraphFont"/>
    <w:link w:val="Heading1"/>
    <w:rsid w:val="00F902A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9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2215"/>
    <w:pPr>
      <w:spacing w:line="276" w:lineRule="auto"/>
      <w:outlineLvl w:val="9"/>
    </w:pPr>
    <w:rPr>
      <w:lang w:eastAsia="ja-JP"/>
    </w:rPr>
  </w:style>
  <w:style w:type="paragraph" w:styleId="TOC1">
    <w:name w:val="toc 1"/>
    <w:basedOn w:val="Normal"/>
    <w:next w:val="Normal"/>
    <w:autoRedefine/>
    <w:uiPriority w:val="39"/>
    <w:rsid w:val="00A02215"/>
    <w:pPr>
      <w:spacing w:after="100"/>
    </w:pPr>
  </w:style>
  <w:style w:type="character" w:styleId="Hyperlink">
    <w:name w:val="Hyperlink"/>
    <w:basedOn w:val="DefaultParagraphFont"/>
    <w:uiPriority w:val="99"/>
    <w:unhideWhenUsed/>
    <w:rsid w:val="00A02215"/>
    <w:rPr>
      <w:color w:val="0000FF" w:themeColor="hyperlink"/>
      <w:u w:val="single"/>
    </w:rPr>
  </w:style>
  <w:style w:type="paragraph" w:styleId="ListParagraph">
    <w:name w:val="List Paragraph"/>
    <w:basedOn w:val="Normal"/>
    <w:uiPriority w:val="34"/>
    <w:qFormat/>
    <w:rsid w:val="00965D79"/>
    <w:pPr>
      <w:ind w:left="720"/>
      <w:contextualSpacing/>
    </w:pPr>
  </w:style>
  <w:style w:type="paragraph" w:styleId="Header">
    <w:name w:val="header"/>
    <w:basedOn w:val="Normal"/>
    <w:link w:val="HeaderChar"/>
    <w:rsid w:val="00965D79"/>
    <w:pPr>
      <w:tabs>
        <w:tab w:val="center" w:pos="4680"/>
        <w:tab w:val="right" w:pos="9360"/>
      </w:tabs>
    </w:pPr>
  </w:style>
  <w:style w:type="character" w:customStyle="1" w:styleId="HeaderChar">
    <w:name w:val="Header Char"/>
    <w:basedOn w:val="DefaultParagraphFont"/>
    <w:link w:val="Header"/>
    <w:rsid w:val="00965D79"/>
    <w:rPr>
      <w:sz w:val="24"/>
      <w:szCs w:val="24"/>
    </w:rPr>
  </w:style>
  <w:style w:type="paragraph" w:styleId="Footer">
    <w:name w:val="footer"/>
    <w:basedOn w:val="Normal"/>
    <w:link w:val="FooterChar"/>
    <w:uiPriority w:val="99"/>
    <w:rsid w:val="00965D79"/>
    <w:pPr>
      <w:tabs>
        <w:tab w:val="center" w:pos="4680"/>
        <w:tab w:val="right" w:pos="9360"/>
      </w:tabs>
    </w:pPr>
  </w:style>
  <w:style w:type="character" w:customStyle="1" w:styleId="FooterChar">
    <w:name w:val="Footer Char"/>
    <w:basedOn w:val="DefaultParagraphFont"/>
    <w:link w:val="Footer"/>
    <w:uiPriority w:val="99"/>
    <w:rsid w:val="00965D79"/>
    <w:rPr>
      <w:sz w:val="24"/>
      <w:szCs w:val="24"/>
    </w:rPr>
  </w:style>
  <w:style w:type="character" w:styleId="CommentReference">
    <w:name w:val="annotation reference"/>
    <w:basedOn w:val="DefaultParagraphFont"/>
    <w:rsid w:val="002D4D8E"/>
    <w:rPr>
      <w:sz w:val="16"/>
      <w:szCs w:val="16"/>
    </w:rPr>
  </w:style>
  <w:style w:type="paragraph" w:styleId="CommentText">
    <w:name w:val="annotation text"/>
    <w:basedOn w:val="Normal"/>
    <w:link w:val="CommentTextChar"/>
    <w:rsid w:val="002D4D8E"/>
    <w:rPr>
      <w:sz w:val="20"/>
      <w:szCs w:val="20"/>
    </w:rPr>
  </w:style>
  <w:style w:type="character" w:customStyle="1" w:styleId="CommentTextChar">
    <w:name w:val="Comment Text Char"/>
    <w:basedOn w:val="DefaultParagraphFont"/>
    <w:link w:val="CommentText"/>
    <w:rsid w:val="002D4D8E"/>
  </w:style>
  <w:style w:type="paragraph" w:styleId="CommentSubject">
    <w:name w:val="annotation subject"/>
    <w:basedOn w:val="CommentText"/>
    <w:next w:val="CommentText"/>
    <w:link w:val="CommentSubjectChar"/>
    <w:rsid w:val="002D4D8E"/>
    <w:rPr>
      <w:b/>
      <w:bCs/>
    </w:rPr>
  </w:style>
  <w:style w:type="character" w:customStyle="1" w:styleId="CommentSubjectChar">
    <w:name w:val="Comment Subject Char"/>
    <w:basedOn w:val="CommentTextChar"/>
    <w:link w:val="CommentSubject"/>
    <w:rsid w:val="002D4D8E"/>
    <w:rPr>
      <w:b/>
      <w:bCs/>
    </w:rPr>
  </w:style>
  <w:style w:type="paragraph" w:styleId="Revision">
    <w:name w:val="Revision"/>
    <w:hidden/>
    <w:uiPriority w:val="99"/>
    <w:semiHidden/>
    <w:rsid w:val="00BA529A"/>
    <w:rPr>
      <w:sz w:val="24"/>
      <w:szCs w:val="24"/>
    </w:rPr>
  </w:style>
  <w:style w:type="numbering" w:customStyle="1" w:styleId="NoList1">
    <w:name w:val="No List1"/>
    <w:next w:val="NoList"/>
    <w:uiPriority w:val="99"/>
    <w:semiHidden/>
    <w:unhideWhenUsed/>
    <w:rsid w:val="00F5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vaccines/stats-surv/nis/dual-frame-sampling-08282012.ht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commonwealthfund.org/Surveys/2011/Mar/2010-Biennial-Health-Insurance-Survey.aspx?view=print&amp;page=all."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can.gc.ca/pub/12-001-x/2011001/article/11443-eng.pdf"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image" Target="media/image2.gi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eople-press.org/2006/05/15/the-cell-phone-challenge-to-survey-research/."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C515-598F-4EB3-9529-B4BD7CE8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Pierannunzi, Carol (CDC/OSELS/PHSPO)</cp:lastModifiedBy>
  <cp:revision>2</cp:revision>
  <cp:lastPrinted>2014-12-10T16:29:00Z</cp:lastPrinted>
  <dcterms:created xsi:type="dcterms:W3CDTF">2015-02-19T17:50:00Z</dcterms:created>
  <dcterms:modified xsi:type="dcterms:W3CDTF">2015-02-19T17:50:00Z</dcterms:modified>
</cp:coreProperties>
</file>