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423" w:rsidRPr="00833E65" w:rsidRDefault="00E32538" w:rsidP="000405B6">
      <w:pPr>
        <w:pStyle w:val="NoSpacing"/>
        <w:jc w:val="center"/>
        <w:rPr>
          <w:b/>
          <w:u w:val="single"/>
        </w:rPr>
      </w:pPr>
      <w:bookmarkStart w:id="0" w:name="_GoBack"/>
      <w:bookmarkEnd w:id="0"/>
      <w:r>
        <w:rPr>
          <w:b/>
          <w:u w:val="single"/>
        </w:rPr>
        <w:t xml:space="preserve">General Instructions for Completing the </w:t>
      </w:r>
      <w:r w:rsidR="00595670" w:rsidRPr="00833E65">
        <w:rPr>
          <w:b/>
          <w:u w:val="single"/>
        </w:rPr>
        <w:t>340B</w:t>
      </w:r>
      <w:r w:rsidR="00675423" w:rsidRPr="00833E65">
        <w:rPr>
          <w:b/>
          <w:u w:val="single"/>
        </w:rPr>
        <w:t xml:space="preserve"> Drug Pricing Program</w:t>
      </w:r>
    </w:p>
    <w:p w:rsidR="003B7DEE" w:rsidRPr="00010683" w:rsidRDefault="00595670" w:rsidP="008340BD">
      <w:pPr>
        <w:pStyle w:val="NoSpacing"/>
        <w:jc w:val="center"/>
        <w:rPr>
          <w:b/>
          <w:u w:val="single"/>
        </w:rPr>
      </w:pPr>
      <w:r>
        <w:rPr>
          <w:b/>
          <w:u w:val="single"/>
        </w:rPr>
        <w:t xml:space="preserve"> </w:t>
      </w:r>
      <w:r w:rsidR="004D030B" w:rsidRPr="00010683">
        <w:rPr>
          <w:b/>
          <w:u w:val="single"/>
        </w:rPr>
        <w:t>Pharmaceutical Pricing Agreement</w:t>
      </w:r>
      <w:r w:rsidR="002F4589">
        <w:rPr>
          <w:b/>
          <w:u w:val="single"/>
        </w:rPr>
        <w:t xml:space="preserve"> </w:t>
      </w:r>
      <w:r w:rsidR="004D030B" w:rsidRPr="00010683">
        <w:rPr>
          <w:b/>
          <w:u w:val="single"/>
        </w:rPr>
        <w:t>- Addendum</w:t>
      </w:r>
    </w:p>
    <w:p w:rsidR="00010683" w:rsidRDefault="00010683" w:rsidP="00010683">
      <w:pPr>
        <w:pStyle w:val="NoSpacing"/>
      </w:pPr>
    </w:p>
    <w:p w:rsidR="00205A6A" w:rsidRDefault="00A60226" w:rsidP="008D42C5">
      <w:pPr>
        <w:pStyle w:val="NoSpacing"/>
      </w:pPr>
      <w:r>
        <w:t>Section 340B(a)(1) of the Public Health Service Act</w:t>
      </w:r>
      <w:r w:rsidR="0015436D">
        <w:t xml:space="preserve"> (PHS Act)</w:t>
      </w:r>
      <w:r w:rsidR="0000425A">
        <w:t xml:space="preserve"> </w:t>
      </w:r>
      <w:r w:rsidR="0015436D">
        <w:t>provides that</w:t>
      </w:r>
      <w:r w:rsidR="004517F3">
        <w:t xml:space="preserve"> the Secretary of Health and Human Services (the Secretary) will enter into a pharmaceutical pricing agreement (the Agreement) with each manufacturer of covered outpatient drugs </w:t>
      </w:r>
      <w:r w:rsidR="0015436D">
        <w:t>in which the manufacturer agrees to charge a price for covered outpatient drugs that will not exceed the ave</w:t>
      </w:r>
      <w:r w:rsidR="002F4589">
        <w:t xml:space="preserve">rage manufacturer price </w:t>
      </w:r>
      <w:r w:rsidR="0015436D">
        <w:t>decreased by a re</w:t>
      </w:r>
      <w:r w:rsidR="007E52AE">
        <w:t xml:space="preserve">bate percentage. </w:t>
      </w:r>
      <w:r w:rsidR="00E32538">
        <w:t xml:space="preserve"> </w:t>
      </w:r>
      <w:r w:rsidR="007E52AE">
        <w:t>Section 7102(b)</w:t>
      </w:r>
      <w:r w:rsidR="0015436D">
        <w:t xml:space="preserve"> o</w:t>
      </w:r>
      <w:r w:rsidR="002F4589">
        <w:t>f the Affordable Care Act amended</w:t>
      </w:r>
      <w:r w:rsidR="0015436D">
        <w:t xml:space="preserve"> section 340B(a)(1) of the PHS Act to add two new requirements for inclusion in</w:t>
      </w:r>
      <w:r w:rsidR="00205A6A">
        <w:t xml:space="preserve"> the </w:t>
      </w:r>
      <w:r w:rsidR="00010683">
        <w:t>Agreement</w:t>
      </w:r>
      <w:r w:rsidR="00205A6A">
        <w:t xml:space="preserve"> with the manufacturer: </w:t>
      </w:r>
    </w:p>
    <w:p w:rsidR="00010683" w:rsidRDefault="00010683" w:rsidP="00010683">
      <w:pPr>
        <w:pStyle w:val="NoSpacing"/>
      </w:pPr>
    </w:p>
    <w:p w:rsidR="00205A6A" w:rsidRPr="000405B6" w:rsidRDefault="000405B6" w:rsidP="002E7741">
      <w:pPr>
        <w:pStyle w:val="ListParagraph"/>
        <w:numPr>
          <w:ilvl w:val="0"/>
          <w:numId w:val="1"/>
        </w:numPr>
        <w:spacing w:after="0" w:line="240" w:lineRule="auto"/>
      </w:pPr>
      <w:r>
        <w:t>The Agreement “</w:t>
      </w:r>
      <w:r w:rsidR="00205A6A" w:rsidRPr="000405B6">
        <w:t xml:space="preserve">shall require that the </w:t>
      </w:r>
      <w:r w:rsidR="00954E35" w:rsidRPr="000405B6">
        <w:t xml:space="preserve">manufacturer furnish the Secretary with reports, on a quarterly basis, of the price for each covered </w:t>
      </w:r>
      <w:r w:rsidR="00205A6A" w:rsidRPr="000405B6">
        <w:t>outpatient</w:t>
      </w:r>
      <w:r w:rsidR="00954E35" w:rsidRPr="000405B6">
        <w:t xml:space="preserve"> drug subject to the agreement </w:t>
      </w:r>
      <w:r w:rsidR="00205A6A" w:rsidRPr="000405B6">
        <w:t>that, according to the manufacturer, represents the maximum price that covered entities may permissibly be required to pay f</w:t>
      </w:r>
      <w:r>
        <w:t>or the drug”;</w:t>
      </w:r>
      <w:r w:rsidR="00205A6A" w:rsidRPr="000405B6">
        <w:t xml:space="preserve"> and </w:t>
      </w:r>
    </w:p>
    <w:p w:rsidR="00205A6A" w:rsidRDefault="000405B6" w:rsidP="002E7741">
      <w:pPr>
        <w:pStyle w:val="ListParagraph"/>
        <w:numPr>
          <w:ilvl w:val="0"/>
          <w:numId w:val="1"/>
        </w:numPr>
        <w:spacing w:after="0" w:line="240" w:lineRule="auto"/>
      </w:pPr>
      <w:r>
        <w:t>The Agreement “</w:t>
      </w:r>
      <w:r w:rsidR="00205A6A" w:rsidRPr="000405B6">
        <w:t>shall require t</w:t>
      </w:r>
      <w:r w:rsidR="00954E35" w:rsidRPr="000405B6">
        <w:t>hat the manufacturer offer each covered entity covered outpatient drugs for purchase at or below the applicable ceiling price if such drug is made available to any</w:t>
      </w:r>
      <w:r w:rsidR="00205A6A" w:rsidRPr="000405B6">
        <w:t xml:space="preserve"> other purchaser at any price.” </w:t>
      </w:r>
    </w:p>
    <w:p w:rsidR="002E7741" w:rsidRPr="000405B6" w:rsidRDefault="002E7741" w:rsidP="002E7741">
      <w:pPr>
        <w:pStyle w:val="ListParagraph"/>
        <w:spacing w:after="0" w:line="240" w:lineRule="auto"/>
        <w:ind w:left="1080"/>
      </w:pPr>
    </w:p>
    <w:p w:rsidR="00A60226" w:rsidRDefault="00C74802" w:rsidP="00010683">
      <w:pPr>
        <w:pStyle w:val="NoSpacing"/>
      </w:pPr>
      <w:r>
        <w:t xml:space="preserve">Section 7102 </w:t>
      </w:r>
      <w:r w:rsidR="003D56F3">
        <w:t xml:space="preserve">of the </w:t>
      </w:r>
      <w:r w:rsidR="001A408E">
        <w:t>Affordable Care Act</w:t>
      </w:r>
      <w:r w:rsidR="006F058A">
        <w:t xml:space="preserve"> also</w:t>
      </w:r>
      <w:r w:rsidR="001A408E">
        <w:t xml:space="preserve"> </w:t>
      </w:r>
      <w:r w:rsidR="00A00CC2">
        <w:t>amended section 340B(d)(1)(B)(i)(II) of the PHS Act, which requires HRSA to</w:t>
      </w:r>
      <w:r w:rsidR="00A60226">
        <w:t xml:space="preserve"> </w:t>
      </w:r>
      <w:r w:rsidR="00A00CC2">
        <w:t>develop</w:t>
      </w:r>
      <w:r w:rsidR="00A60226">
        <w:t xml:space="preserve"> a system to verify the accuracy </w:t>
      </w:r>
      <w:r w:rsidR="0016726F">
        <w:t xml:space="preserve">of manufacturer-submitted quarterly pricing data </w:t>
      </w:r>
      <w:r w:rsidR="00CB7C4D">
        <w:t xml:space="preserve">with </w:t>
      </w:r>
      <w:r w:rsidR="0016726F">
        <w:t xml:space="preserve">ceiling price data calculated by the Secretary. </w:t>
      </w:r>
    </w:p>
    <w:p w:rsidR="00A60226" w:rsidRPr="00F51FB4" w:rsidRDefault="00A60226" w:rsidP="00010683">
      <w:pPr>
        <w:pStyle w:val="NoSpacing"/>
        <w:rPr>
          <w:b/>
        </w:rPr>
      </w:pPr>
    </w:p>
    <w:p w:rsidR="00BE2215" w:rsidRDefault="003E7DC4" w:rsidP="00010683">
      <w:pPr>
        <w:pStyle w:val="NoSpacing"/>
      </w:pPr>
      <w:r w:rsidRPr="00F51FB4">
        <w:t>S</w:t>
      </w:r>
      <w:r w:rsidR="00845545" w:rsidRPr="00F51FB4">
        <w:t>ection 340B(d)(1)(B)(i) of the PHS Act</w:t>
      </w:r>
      <w:r w:rsidRPr="00F51FB4">
        <w:t>,</w:t>
      </w:r>
      <w:r w:rsidR="00845545" w:rsidRPr="00F51FB4">
        <w:t xml:space="preserve"> as amended by section 7102 of the Affordable Care Act, </w:t>
      </w:r>
      <w:r w:rsidRPr="00F51FB4">
        <w:t xml:space="preserve">requires </w:t>
      </w:r>
      <w:r w:rsidR="00845545" w:rsidRPr="00F51FB4">
        <w:t xml:space="preserve">HRSA </w:t>
      </w:r>
      <w:r w:rsidRPr="00F51FB4">
        <w:t xml:space="preserve">to develop a </w:t>
      </w:r>
      <w:r w:rsidR="00845545" w:rsidRPr="00F51FB4">
        <w:t xml:space="preserve">340B ceiling price validation system to calculate and verify 340B ceiling prices for covered outpatient drugs as compared to the manufacturers’ 340B prices offered to a covered entity. </w:t>
      </w:r>
      <w:r w:rsidR="00EE2237">
        <w:t xml:space="preserve"> </w:t>
      </w:r>
      <w:r w:rsidR="00845545" w:rsidRPr="00F51FB4">
        <w:t xml:space="preserve">This system will enable HRSA to receive pricing information directly from manufacturers, which will allow HRSA to more efficiently identify discrepancies among the ceiling price variables and resolve them with </w:t>
      </w:r>
      <w:r w:rsidR="00EE2237">
        <w:t xml:space="preserve">minimal burden on the industry.  </w:t>
      </w:r>
      <w:r w:rsidR="000F3A2C" w:rsidRPr="00F51FB4">
        <w:t>As part of HRSA’s oversight of the 340B Program, this</w:t>
      </w:r>
      <w:r w:rsidR="002F4589">
        <w:t xml:space="preserve"> A</w:t>
      </w:r>
      <w:r w:rsidR="00845545" w:rsidRPr="00F51FB4">
        <w:t xml:space="preserve">ddendum to the Agreement </w:t>
      </w:r>
      <w:r w:rsidR="000F3A2C" w:rsidRPr="00F51FB4">
        <w:t xml:space="preserve">will </w:t>
      </w:r>
      <w:r w:rsidR="00EE2237">
        <w:t xml:space="preserve">help to </w:t>
      </w:r>
      <w:r w:rsidR="000F3A2C" w:rsidRPr="00F51FB4">
        <w:t>ensure that</w:t>
      </w:r>
      <w:r w:rsidR="008C3212" w:rsidRPr="00F51FB4">
        <w:t xml:space="preserve"> </w:t>
      </w:r>
      <w:r w:rsidR="00845545" w:rsidRPr="00F51FB4">
        <w:t xml:space="preserve">the requirements of </w:t>
      </w:r>
      <w:r w:rsidR="008C3212" w:rsidRPr="00F51FB4">
        <w:t xml:space="preserve">the statute are met, including that </w:t>
      </w:r>
      <w:r w:rsidR="00845545" w:rsidRPr="00F51FB4">
        <w:t xml:space="preserve">manufacturers provide HRSA with their calculated prices for the pricing validation system, and </w:t>
      </w:r>
      <w:r w:rsidR="000F3A2C" w:rsidRPr="00F51FB4">
        <w:t>the provision</w:t>
      </w:r>
      <w:r w:rsidR="008C3212" w:rsidRPr="00F51FB4">
        <w:t xml:space="preserve"> to offer</w:t>
      </w:r>
      <w:r w:rsidR="000F3A2C" w:rsidRPr="00F51FB4">
        <w:t xml:space="preserve"> </w:t>
      </w:r>
      <w:r w:rsidR="00845545" w:rsidRPr="00F51FB4">
        <w:t>covered entities drugs for purchase at or below the applicable ceiling price</w:t>
      </w:r>
      <w:r w:rsidR="00C960F0">
        <w:t xml:space="preserve"> if such drugs are made available to any other purchaser at any price</w:t>
      </w:r>
      <w:r w:rsidR="008C3212" w:rsidRPr="00F51FB4">
        <w:t>.</w:t>
      </w:r>
      <w:r w:rsidR="00CA12CC" w:rsidRPr="00F51FB4">
        <w:t xml:space="preserve"> </w:t>
      </w:r>
    </w:p>
    <w:p w:rsidR="00EE2237" w:rsidRDefault="00EE2237" w:rsidP="00010683">
      <w:pPr>
        <w:pStyle w:val="NoSpacing"/>
      </w:pPr>
    </w:p>
    <w:p w:rsidR="00EE2237" w:rsidRDefault="00EE2237" w:rsidP="00EE2237">
      <w:pPr>
        <w:pStyle w:val="NoSpacing"/>
      </w:pPr>
      <w:r>
        <w:t>Please print the attached Addendum and have it signed by a corporate officer, such as the Chief Executive Officer.  The form utilizes Adobe Acrobat Reader in an interactive f</w:t>
      </w:r>
      <w:r w:rsidR="008C3004">
        <w:t xml:space="preserve">ormat allowing you to input all </w:t>
      </w:r>
      <w:r>
        <w:t xml:space="preserve">applicable information on the computer. </w:t>
      </w:r>
      <w:r w:rsidR="008C3004">
        <w:t xml:space="preserve"> </w:t>
      </w:r>
      <w:r>
        <w:t>However, the</w:t>
      </w:r>
      <w:r w:rsidR="008C3004">
        <w:t xml:space="preserve"> form cannot be saved with your </w:t>
      </w:r>
      <w:r>
        <w:t>information for future use.</w:t>
      </w:r>
      <w:r w:rsidR="008C3004">
        <w:t xml:space="preserve"> </w:t>
      </w:r>
      <w:r>
        <w:t xml:space="preserve"> You must print the for</w:t>
      </w:r>
      <w:r w:rsidR="008C3004">
        <w:t xml:space="preserve">m to submit it to the Office of </w:t>
      </w:r>
      <w:r>
        <w:t>Pharmacy Affairs (OPA).</w:t>
      </w:r>
    </w:p>
    <w:p w:rsidR="008C3004" w:rsidRDefault="008C3004" w:rsidP="00EE2237">
      <w:pPr>
        <w:pStyle w:val="NoSpacing"/>
      </w:pPr>
    </w:p>
    <w:p w:rsidR="003B7DEE" w:rsidRDefault="00EE2237" w:rsidP="008C3004">
      <w:pPr>
        <w:pStyle w:val="NoSpacing"/>
      </w:pPr>
      <w:r>
        <w:t>If your organization would like to receive a signed o</w:t>
      </w:r>
      <w:r w:rsidR="008C3004">
        <w:t xml:space="preserve">riginal, please ensure that you </w:t>
      </w:r>
      <w:r>
        <w:t xml:space="preserve">submit TWO signed originals to the OPA. </w:t>
      </w:r>
      <w:r w:rsidR="008C3004">
        <w:t xml:space="preserve"> </w:t>
      </w:r>
      <w:r>
        <w:t xml:space="preserve">Otherwise, </w:t>
      </w:r>
      <w:r w:rsidR="008C3004">
        <w:t xml:space="preserve">the OPA will send you a copy of </w:t>
      </w:r>
      <w:r>
        <w:t xml:space="preserve">the </w:t>
      </w:r>
      <w:r w:rsidR="00080D68">
        <w:t xml:space="preserve">signed </w:t>
      </w:r>
      <w:r>
        <w:t>document</w:t>
      </w:r>
      <w:r w:rsidR="00080D68">
        <w:t>.</w:t>
      </w:r>
    </w:p>
    <w:p w:rsidR="008C3004" w:rsidRPr="003B7DEE" w:rsidRDefault="008C3004" w:rsidP="008C3004">
      <w:pPr>
        <w:pStyle w:val="NoSpacing"/>
      </w:pPr>
    </w:p>
    <w:p w:rsidR="004D030B" w:rsidRPr="003B7DEE" w:rsidRDefault="004D030B" w:rsidP="003B7DEE">
      <w:pPr>
        <w:tabs>
          <w:tab w:val="left" w:pos="5376"/>
        </w:tabs>
        <w:rPr>
          <w:sz w:val="16"/>
          <w:szCs w:val="16"/>
        </w:rPr>
      </w:pPr>
    </w:p>
    <w:sectPr w:rsidR="004D030B" w:rsidRPr="003B7DEE" w:rsidSect="008C3004">
      <w:headerReference w:type="even" r:id="rId9"/>
      <w:headerReference w:type="default" r:id="rId10"/>
      <w:footerReference w:type="even" r:id="rId11"/>
      <w:footerReference w:type="default" r:id="rId12"/>
      <w:headerReference w:type="first" r:id="rId13"/>
      <w:footerReference w:type="first" r:id="rId14"/>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D2C" w:rsidRDefault="00EB5D2C" w:rsidP="003B7DEE">
      <w:pPr>
        <w:spacing w:after="0" w:line="240" w:lineRule="auto"/>
      </w:pPr>
      <w:r>
        <w:separator/>
      </w:r>
    </w:p>
  </w:endnote>
  <w:endnote w:type="continuationSeparator" w:id="0">
    <w:p w:rsidR="00EB5D2C" w:rsidRDefault="00EB5D2C" w:rsidP="003B7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DF7" w:rsidRDefault="00935D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903" w:rsidRPr="002B5903" w:rsidRDefault="002B5903" w:rsidP="002B5903">
    <w:pPr>
      <w:spacing w:after="0" w:line="240" w:lineRule="auto"/>
      <w:ind w:right="115"/>
      <w:rPr>
        <w:rFonts w:cs="Arial"/>
        <w:sz w:val="18"/>
        <w:szCs w:val="18"/>
      </w:rPr>
    </w:pPr>
    <w:r w:rsidRPr="002B5903">
      <w:rPr>
        <w:rFonts w:cs="Arial"/>
        <w:sz w:val="18"/>
        <w:szCs w:val="18"/>
      </w:rPr>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0.5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2B5903" w:rsidRDefault="002B5903">
    <w:pPr>
      <w:pStyle w:val="Footer"/>
    </w:pPr>
  </w:p>
  <w:p w:rsidR="002B5903" w:rsidRDefault="002B59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DF7" w:rsidRDefault="00935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D2C" w:rsidRDefault="00EB5D2C" w:rsidP="003B7DEE">
      <w:pPr>
        <w:spacing w:after="0" w:line="240" w:lineRule="auto"/>
      </w:pPr>
      <w:r>
        <w:separator/>
      </w:r>
    </w:p>
  </w:footnote>
  <w:footnote w:type="continuationSeparator" w:id="0">
    <w:p w:rsidR="00EB5D2C" w:rsidRDefault="00EB5D2C" w:rsidP="003B7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DF7" w:rsidRDefault="00935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903" w:rsidRPr="002B5903" w:rsidRDefault="002B5903" w:rsidP="002B5903">
    <w:pPr>
      <w:spacing w:after="0" w:line="240" w:lineRule="auto"/>
      <w:ind w:left="20"/>
      <w:jc w:val="right"/>
      <w:rPr>
        <w:rFonts w:eastAsia="Arial" w:cs="Arial"/>
        <w:sz w:val="18"/>
        <w:szCs w:val="18"/>
      </w:rPr>
    </w:pPr>
    <w:r w:rsidRPr="002B5903">
      <w:rPr>
        <w:spacing w:val="-1"/>
        <w:sz w:val="18"/>
        <w:szCs w:val="18"/>
      </w:rPr>
      <w:t>Department</w:t>
    </w:r>
    <w:r w:rsidRPr="002B5903">
      <w:rPr>
        <w:spacing w:val="2"/>
        <w:sz w:val="18"/>
        <w:szCs w:val="18"/>
      </w:rPr>
      <w:t xml:space="preserve"> </w:t>
    </w:r>
    <w:r w:rsidRPr="002B5903">
      <w:rPr>
        <w:spacing w:val="-2"/>
        <w:sz w:val="18"/>
        <w:szCs w:val="18"/>
      </w:rPr>
      <w:t>of</w:t>
    </w:r>
    <w:r w:rsidRPr="002B5903">
      <w:rPr>
        <w:spacing w:val="2"/>
        <w:sz w:val="18"/>
        <w:szCs w:val="18"/>
      </w:rPr>
      <w:t xml:space="preserve"> </w:t>
    </w:r>
    <w:r w:rsidRPr="002B5903">
      <w:rPr>
        <w:spacing w:val="-1"/>
        <w:sz w:val="18"/>
        <w:szCs w:val="18"/>
      </w:rPr>
      <w:t>Health</w:t>
    </w:r>
    <w:r w:rsidRPr="002B5903">
      <w:rPr>
        <w:spacing w:val="-2"/>
        <w:sz w:val="18"/>
        <w:szCs w:val="18"/>
      </w:rPr>
      <w:t xml:space="preserve"> </w:t>
    </w:r>
    <w:r w:rsidRPr="002B5903">
      <w:rPr>
        <w:spacing w:val="-1"/>
        <w:sz w:val="18"/>
        <w:szCs w:val="18"/>
      </w:rPr>
      <w:t>and</w:t>
    </w:r>
    <w:r w:rsidRPr="002B5903">
      <w:rPr>
        <w:sz w:val="18"/>
        <w:szCs w:val="18"/>
      </w:rPr>
      <w:t xml:space="preserve"> </w:t>
    </w:r>
    <w:r w:rsidRPr="002B5903">
      <w:rPr>
        <w:spacing w:val="-1"/>
        <w:sz w:val="18"/>
        <w:szCs w:val="18"/>
      </w:rPr>
      <w:t>Human</w:t>
    </w:r>
    <w:r w:rsidRPr="002B5903">
      <w:rPr>
        <w:spacing w:val="-5"/>
        <w:sz w:val="18"/>
        <w:szCs w:val="18"/>
      </w:rPr>
      <w:t xml:space="preserve"> </w:t>
    </w:r>
    <w:r w:rsidRPr="002B5903">
      <w:rPr>
        <w:spacing w:val="-1"/>
        <w:sz w:val="18"/>
        <w:szCs w:val="18"/>
      </w:rPr>
      <w:t>Services,</w:t>
    </w:r>
    <w:r w:rsidRPr="002B5903">
      <w:rPr>
        <w:spacing w:val="2"/>
        <w:sz w:val="18"/>
        <w:szCs w:val="18"/>
      </w:rPr>
      <w:t xml:space="preserve"> </w:t>
    </w:r>
    <w:r w:rsidRPr="002B5903">
      <w:rPr>
        <w:spacing w:val="-1"/>
        <w:sz w:val="18"/>
        <w:szCs w:val="18"/>
      </w:rPr>
      <w:t>Health</w:t>
    </w:r>
    <w:r w:rsidRPr="002B5903">
      <w:rPr>
        <w:sz w:val="18"/>
        <w:szCs w:val="18"/>
      </w:rPr>
      <w:t xml:space="preserve"> </w:t>
    </w:r>
    <w:r w:rsidRPr="002B5903">
      <w:rPr>
        <w:spacing w:val="-1"/>
        <w:sz w:val="18"/>
        <w:szCs w:val="18"/>
      </w:rPr>
      <w:t>Resources</w:t>
    </w:r>
    <w:r w:rsidRPr="002B5903">
      <w:rPr>
        <w:sz w:val="18"/>
        <w:szCs w:val="18"/>
      </w:rPr>
      <w:t xml:space="preserve"> </w:t>
    </w:r>
    <w:r w:rsidRPr="002B5903">
      <w:rPr>
        <w:spacing w:val="-1"/>
        <w:sz w:val="18"/>
        <w:szCs w:val="18"/>
      </w:rPr>
      <w:t>and</w:t>
    </w:r>
    <w:r w:rsidRPr="002B5903">
      <w:rPr>
        <w:spacing w:val="-2"/>
        <w:sz w:val="18"/>
        <w:szCs w:val="18"/>
      </w:rPr>
      <w:t xml:space="preserve"> </w:t>
    </w:r>
    <w:r w:rsidRPr="002B5903">
      <w:rPr>
        <w:spacing w:val="-1"/>
        <w:sz w:val="18"/>
        <w:szCs w:val="18"/>
      </w:rPr>
      <w:t>Services Administration, Healthcare</w:t>
    </w:r>
    <w:r w:rsidRPr="002B5903">
      <w:rPr>
        <w:sz w:val="18"/>
        <w:szCs w:val="18"/>
      </w:rPr>
      <w:t xml:space="preserve"> </w:t>
    </w:r>
    <w:r w:rsidRPr="002B5903">
      <w:rPr>
        <w:spacing w:val="-2"/>
        <w:sz w:val="18"/>
        <w:szCs w:val="18"/>
      </w:rPr>
      <w:t>Systems</w:t>
    </w:r>
    <w:r w:rsidRPr="002B5903">
      <w:rPr>
        <w:spacing w:val="-1"/>
        <w:sz w:val="18"/>
        <w:szCs w:val="18"/>
      </w:rPr>
      <w:t xml:space="preserve"> Bureau</w:t>
    </w:r>
  </w:p>
  <w:p w:rsidR="002B5903" w:rsidRPr="002B5903" w:rsidRDefault="002B5903" w:rsidP="002B5903">
    <w:pPr>
      <w:spacing w:after="0" w:line="240" w:lineRule="auto"/>
      <w:ind w:left="4999"/>
      <w:jc w:val="right"/>
      <w:rPr>
        <w:spacing w:val="-2"/>
        <w:sz w:val="18"/>
        <w:szCs w:val="18"/>
      </w:rPr>
    </w:pPr>
    <w:r w:rsidRPr="002B5903">
      <w:rPr>
        <w:spacing w:val="-1"/>
        <w:sz w:val="18"/>
        <w:szCs w:val="18"/>
      </w:rPr>
      <w:t>OMB</w:t>
    </w:r>
    <w:r w:rsidRPr="002B5903">
      <w:rPr>
        <w:spacing w:val="2"/>
        <w:sz w:val="18"/>
        <w:szCs w:val="18"/>
      </w:rPr>
      <w:t xml:space="preserve"> </w:t>
    </w:r>
    <w:r w:rsidRPr="002B5903">
      <w:rPr>
        <w:spacing w:val="-1"/>
        <w:sz w:val="18"/>
        <w:szCs w:val="18"/>
      </w:rPr>
      <w:t>No.</w:t>
    </w:r>
    <w:r w:rsidRPr="002B5903">
      <w:rPr>
        <w:spacing w:val="2"/>
        <w:sz w:val="18"/>
        <w:szCs w:val="18"/>
      </w:rPr>
      <w:t xml:space="preserve"> </w:t>
    </w:r>
    <w:r w:rsidRPr="002B5903">
      <w:rPr>
        <w:spacing w:val="-1"/>
        <w:sz w:val="18"/>
        <w:szCs w:val="18"/>
      </w:rPr>
      <w:t>0915-0327; Expiration</w:t>
    </w:r>
    <w:r w:rsidRPr="002B5903">
      <w:rPr>
        <w:sz w:val="18"/>
        <w:szCs w:val="18"/>
      </w:rPr>
      <w:t xml:space="preserve"> </w:t>
    </w:r>
    <w:r w:rsidRPr="002B5903">
      <w:rPr>
        <w:spacing w:val="-1"/>
        <w:sz w:val="18"/>
        <w:szCs w:val="18"/>
      </w:rPr>
      <w:t xml:space="preserve">Date: </w:t>
    </w:r>
    <w:r w:rsidRPr="002B5903">
      <w:rPr>
        <w:spacing w:val="-2"/>
        <w:sz w:val="18"/>
        <w:szCs w:val="18"/>
      </w:rPr>
      <w:t>XX/XX/20XX</w:t>
    </w:r>
  </w:p>
  <w:p w:rsidR="002B5903" w:rsidRDefault="002B5903" w:rsidP="002B5903">
    <w:pPr>
      <w:pStyle w:val="Header"/>
      <w:jc w:val="right"/>
    </w:pPr>
  </w:p>
  <w:p w:rsidR="004E3D66" w:rsidRPr="003B7DEE" w:rsidRDefault="004E3D66" w:rsidP="003B7DEE">
    <w:pPr>
      <w:pStyle w:val="Header"/>
      <w:jc w:val="right"/>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DF7" w:rsidRDefault="00935D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5ACA"/>
    <w:multiLevelType w:val="hybridMultilevel"/>
    <w:tmpl w:val="F76A48B6"/>
    <w:lvl w:ilvl="0" w:tplc="9B885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2802D1"/>
    <w:multiLevelType w:val="hybridMultilevel"/>
    <w:tmpl w:val="4A54FED0"/>
    <w:lvl w:ilvl="0" w:tplc="582859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30B"/>
    <w:rsid w:val="0000425A"/>
    <w:rsid w:val="00010683"/>
    <w:rsid w:val="00031726"/>
    <w:rsid w:val="000405B6"/>
    <w:rsid w:val="00080D68"/>
    <w:rsid w:val="000A44A0"/>
    <w:rsid w:val="000B2185"/>
    <w:rsid w:val="000D478D"/>
    <w:rsid w:val="000F3A2C"/>
    <w:rsid w:val="001378BB"/>
    <w:rsid w:val="0015436D"/>
    <w:rsid w:val="00157764"/>
    <w:rsid w:val="00164ECC"/>
    <w:rsid w:val="0016726F"/>
    <w:rsid w:val="0017204A"/>
    <w:rsid w:val="001A408E"/>
    <w:rsid w:val="001D1F94"/>
    <w:rsid w:val="00205A6A"/>
    <w:rsid w:val="002B5903"/>
    <w:rsid w:val="002D5031"/>
    <w:rsid w:val="002E7741"/>
    <w:rsid w:val="002F1015"/>
    <w:rsid w:val="002F4589"/>
    <w:rsid w:val="003032DA"/>
    <w:rsid w:val="00324B9D"/>
    <w:rsid w:val="003478CE"/>
    <w:rsid w:val="0037474C"/>
    <w:rsid w:val="00391422"/>
    <w:rsid w:val="003B7DEE"/>
    <w:rsid w:val="003D56F3"/>
    <w:rsid w:val="003E7DC4"/>
    <w:rsid w:val="004517F3"/>
    <w:rsid w:val="004D030B"/>
    <w:rsid w:val="004E3D66"/>
    <w:rsid w:val="00526FE3"/>
    <w:rsid w:val="00541191"/>
    <w:rsid w:val="00595670"/>
    <w:rsid w:val="005A4E7C"/>
    <w:rsid w:val="005C1C36"/>
    <w:rsid w:val="005C4C9C"/>
    <w:rsid w:val="0062450B"/>
    <w:rsid w:val="006604C5"/>
    <w:rsid w:val="00675423"/>
    <w:rsid w:val="006B6F97"/>
    <w:rsid w:val="006C102E"/>
    <w:rsid w:val="006C7146"/>
    <w:rsid w:val="006F058A"/>
    <w:rsid w:val="00710DA6"/>
    <w:rsid w:val="00711F8C"/>
    <w:rsid w:val="00762FFB"/>
    <w:rsid w:val="00794A99"/>
    <w:rsid w:val="007B769E"/>
    <w:rsid w:val="007E52AE"/>
    <w:rsid w:val="007F2B6E"/>
    <w:rsid w:val="008037D3"/>
    <w:rsid w:val="00833E65"/>
    <w:rsid w:val="008340BD"/>
    <w:rsid w:val="00845545"/>
    <w:rsid w:val="008C3004"/>
    <w:rsid w:val="008C3212"/>
    <w:rsid w:val="008C46B0"/>
    <w:rsid w:val="008D42C5"/>
    <w:rsid w:val="009028BE"/>
    <w:rsid w:val="0093233E"/>
    <w:rsid w:val="00934C5A"/>
    <w:rsid w:val="00935DF7"/>
    <w:rsid w:val="00954E35"/>
    <w:rsid w:val="009A7EAD"/>
    <w:rsid w:val="009E41C7"/>
    <w:rsid w:val="009F58A1"/>
    <w:rsid w:val="00A00CC2"/>
    <w:rsid w:val="00A20852"/>
    <w:rsid w:val="00A60226"/>
    <w:rsid w:val="00B35A2C"/>
    <w:rsid w:val="00B37902"/>
    <w:rsid w:val="00B65B3D"/>
    <w:rsid w:val="00BE2215"/>
    <w:rsid w:val="00C44086"/>
    <w:rsid w:val="00C74802"/>
    <w:rsid w:val="00C960F0"/>
    <w:rsid w:val="00CA12CC"/>
    <w:rsid w:val="00CB00B8"/>
    <w:rsid w:val="00CB7C4D"/>
    <w:rsid w:val="00CE3299"/>
    <w:rsid w:val="00DA4A66"/>
    <w:rsid w:val="00DD608B"/>
    <w:rsid w:val="00DE16BA"/>
    <w:rsid w:val="00E32538"/>
    <w:rsid w:val="00EB5D2C"/>
    <w:rsid w:val="00EE2237"/>
    <w:rsid w:val="00F51FB4"/>
    <w:rsid w:val="00F91375"/>
    <w:rsid w:val="00F92C1B"/>
    <w:rsid w:val="00FA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030B"/>
    <w:pPr>
      <w:spacing w:after="0" w:line="240" w:lineRule="auto"/>
    </w:pPr>
  </w:style>
  <w:style w:type="paragraph" w:styleId="Header">
    <w:name w:val="header"/>
    <w:basedOn w:val="Normal"/>
    <w:link w:val="HeaderChar"/>
    <w:uiPriority w:val="99"/>
    <w:unhideWhenUsed/>
    <w:rsid w:val="003B7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DEE"/>
  </w:style>
  <w:style w:type="paragraph" w:styleId="Footer">
    <w:name w:val="footer"/>
    <w:basedOn w:val="Normal"/>
    <w:link w:val="FooterChar"/>
    <w:uiPriority w:val="99"/>
    <w:unhideWhenUsed/>
    <w:rsid w:val="003B7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DEE"/>
  </w:style>
  <w:style w:type="paragraph" w:styleId="ListParagraph">
    <w:name w:val="List Paragraph"/>
    <w:basedOn w:val="Normal"/>
    <w:uiPriority w:val="34"/>
    <w:qFormat/>
    <w:rsid w:val="00205A6A"/>
    <w:pPr>
      <w:ind w:left="720"/>
      <w:contextualSpacing/>
    </w:pPr>
  </w:style>
  <w:style w:type="paragraph" w:styleId="BalloonText">
    <w:name w:val="Balloon Text"/>
    <w:basedOn w:val="Normal"/>
    <w:link w:val="BalloonTextChar"/>
    <w:uiPriority w:val="99"/>
    <w:semiHidden/>
    <w:unhideWhenUsed/>
    <w:rsid w:val="00660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4C5"/>
    <w:rPr>
      <w:rFonts w:ascii="Tahoma" w:hAnsi="Tahoma" w:cs="Tahoma"/>
      <w:sz w:val="16"/>
      <w:szCs w:val="16"/>
    </w:rPr>
  </w:style>
  <w:style w:type="character" w:styleId="CommentReference">
    <w:name w:val="annotation reference"/>
    <w:basedOn w:val="DefaultParagraphFont"/>
    <w:uiPriority w:val="99"/>
    <w:semiHidden/>
    <w:unhideWhenUsed/>
    <w:rsid w:val="003E7DC4"/>
    <w:rPr>
      <w:sz w:val="16"/>
      <w:szCs w:val="16"/>
    </w:rPr>
  </w:style>
  <w:style w:type="paragraph" w:styleId="CommentText">
    <w:name w:val="annotation text"/>
    <w:basedOn w:val="Normal"/>
    <w:link w:val="CommentTextChar"/>
    <w:uiPriority w:val="99"/>
    <w:semiHidden/>
    <w:unhideWhenUsed/>
    <w:rsid w:val="003E7DC4"/>
    <w:pPr>
      <w:spacing w:line="240" w:lineRule="auto"/>
    </w:pPr>
    <w:rPr>
      <w:sz w:val="20"/>
      <w:szCs w:val="20"/>
    </w:rPr>
  </w:style>
  <w:style w:type="character" w:customStyle="1" w:styleId="CommentTextChar">
    <w:name w:val="Comment Text Char"/>
    <w:basedOn w:val="DefaultParagraphFont"/>
    <w:link w:val="CommentText"/>
    <w:uiPriority w:val="99"/>
    <w:semiHidden/>
    <w:rsid w:val="003E7DC4"/>
    <w:rPr>
      <w:sz w:val="20"/>
      <w:szCs w:val="20"/>
    </w:rPr>
  </w:style>
  <w:style w:type="paragraph" w:styleId="CommentSubject">
    <w:name w:val="annotation subject"/>
    <w:basedOn w:val="CommentText"/>
    <w:next w:val="CommentText"/>
    <w:link w:val="CommentSubjectChar"/>
    <w:uiPriority w:val="99"/>
    <w:semiHidden/>
    <w:unhideWhenUsed/>
    <w:rsid w:val="003E7DC4"/>
    <w:rPr>
      <w:b/>
      <w:bCs/>
    </w:rPr>
  </w:style>
  <w:style w:type="character" w:customStyle="1" w:styleId="CommentSubjectChar">
    <w:name w:val="Comment Subject Char"/>
    <w:basedOn w:val="CommentTextChar"/>
    <w:link w:val="CommentSubject"/>
    <w:uiPriority w:val="99"/>
    <w:semiHidden/>
    <w:rsid w:val="003E7DC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030B"/>
    <w:pPr>
      <w:spacing w:after="0" w:line="240" w:lineRule="auto"/>
    </w:pPr>
  </w:style>
  <w:style w:type="paragraph" w:styleId="Header">
    <w:name w:val="header"/>
    <w:basedOn w:val="Normal"/>
    <w:link w:val="HeaderChar"/>
    <w:uiPriority w:val="99"/>
    <w:unhideWhenUsed/>
    <w:rsid w:val="003B7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DEE"/>
  </w:style>
  <w:style w:type="paragraph" w:styleId="Footer">
    <w:name w:val="footer"/>
    <w:basedOn w:val="Normal"/>
    <w:link w:val="FooterChar"/>
    <w:uiPriority w:val="99"/>
    <w:unhideWhenUsed/>
    <w:rsid w:val="003B7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DEE"/>
  </w:style>
  <w:style w:type="paragraph" w:styleId="ListParagraph">
    <w:name w:val="List Paragraph"/>
    <w:basedOn w:val="Normal"/>
    <w:uiPriority w:val="34"/>
    <w:qFormat/>
    <w:rsid w:val="00205A6A"/>
    <w:pPr>
      <w:ind w:left="720"/>
      <w:contextualSpacing/>
    </w:pPr>
  </w:style>
  <w:style w:type="paragraph" w:styleId="BalloonText">
    <w:name w:val="Balloon Text"/>
    <w:basedOn w:val="Normal"/>
    <w:link w:val="BalloonTextChar"/>
    <w:uiPriority w:val="99"/>
    <w:semiHidden/>
    <w:unhideWhenUsed/>
    <w:rsid w:val="00660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4C5"/>
    <w:rPr>
      <w:rFonts w:ascii="Tahoma" w:hAnsi="Tahoma" w:cs="Tahoma"/>
      <w:sz w:val="16"/>
      <w:szCs w:val="16"/>
    </w:rPr>
  </w:style>
  <w:style w:type="character" w:styleId="CommentReference">
    <w:name w:val="annotation reference"/>
    <w:basedOn w:val="DefaultParagraphFont"/>
    <w:uiPriority w:val="99"/>
    <w:semiHidden/>
    <w:unhideWhenUsed/>
    <w:rsid w:val="003E7DC4"/>
    <w:rPr>
      <w:sz w:val="16"/>
      <w:szCs w:val="16"/>
    </w:rPr>
  </w:style>
  <w:style w:type="paragraph" w:styleId="CommentText">
    <w:name w:val="annotation text"/>
    <w:basedOn w:val="Normal"/>
    <w:link w:val="CommentTextChar"/>
    <w:uiPriority w:val="99"/>
    <w:semiHidden/>
    <w:unhideWhenUsed/>
    <w:rsid w:val="003E7DC4"/>
    <w:pPr>
      <w:spacing w:line="240" w:lineRule="auto"/>
    </w:pPr>
    <w:rPr>
      <w:sz w:val="20"/>
      <w:szCs w:val="20"/>
    </w:rPr>
  </w:style>
  <w:style w:type="character" w:customStyle="1" w:styleId="CommentTextChar">
    <w:name w:val="Comment Text Char"/>
    <w:basedOn w:val="DefaultParagraphFont"/>
    <w:link w:val="CommentText"/>
    <w:uiPriority w:val="99"/>
    <w:semiHidden/>
    <w:rsid w:val="003E7DC4"/>
    <w:rPr>
      <w:sz w:val="20"/>
      <w:szCs w:val="20"/>
    </w:rPr>
  </w:style>
  <w:style w:type="paragraph" w:styleId="CommentSubject">
    <w:name w:val="annotation subject"/>
    <w:basedOn w:val="CommentText"/>
    <w:next w:val="CommentText"/>
    <w:link w:val="CommentSubjectChar"/>
    <w:uiPriority w:val="99"/>
    <w:semiHidden/>
    <w:unhideWhenUsed/>
    <w:rsid w:val="003E7DC4"/>
    <w:rPr>
      <w:b/>
      <w:bCs/>
    </w:rPr>
  </w:style>
  <w:style w:type="character" w:customStyle="1" w:styleId="CommentSubjectChar">
    <w:name w:val="Comment Subject Char"/>
    <w:basedOn w:val="CommentTextChar"/>
    <w:link w:val="CommentSubject"/>
    <w:uiPriority w:val="99"/>
    <w:semiHidden/>
    <w:rsid w:val="003E7D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DD0BB-A4C1-40DB-91EA-58A8951DE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 Britton</dc:creator>
  <cp:lastModifiedBy>Chantelle Britton</cp:lastModifiedBy>
  <cp:revision>2</cp:revision>
  <cp:lastPrinted>2015-06-18T11:48:00Z</cp:lastPrinted>
  <dcterms:created xsi:type="dcterms:W3CDTF">2016-04-12T17:31:00Z</dcterms:created>
  <dcterms:modified xsi:type="dcterms:W3CDTF">2016-04-12T17:31:00Z</dcterms:modified>
</cp:coreProperties>
</file>