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D1" w:rsidRDefault="006A43D1" w:rsidP="006A43D1">
      <w:pPr>
        <w:rPr>
          <w:b/>
          <w:bCs/>
          <w:sz w:val="24"/>
          <w:szCs w:val="24"/>
        </w:rPr>
      </w:pPr>
    </w:p>
    <w:p w:rsidR="006A43D1" w:rsidRDefault="006A43D1" w:rsidP="006A43D1">
      <w:pPr>
        <w:rPr>
          <w:b/>
          <w:bCs/>
          <w:sz w:val="24"/>
          <w:szCs w:val="24"/>
        </w:rPr>
      </w:pPr>
    </w:p>
    <w:p w:rsidR="006A43D1" w:rsidRDefault="006A43D1" w:rsidP="006A43D1">
      <w:pPr>
        <w:jc w:val="center"/>
        <w:rPr>
          <w:b/>
          <w:bCs/>
          <w:sz w:val="24"/>
          <w:szCs w:val="24"/>
        </w:rPr>
      </w:pPr>
      <w:r>
        <w:rPr>
          <w:b/>
          <w:bCs/>
          <w:sz w:val="24"/>
          <w:szCs w:val="24"/>
        </w:rPr>
        <w:t>SUPPORTING STATEMENT</w:t>
      </w:r>
    </w:p>
    <w:p w:rsidR="006A43D1" w:rsidRPr="00C70CE6" w:rsidRDefault="006A43D1" w:rsidP="006A43D1">
      <w:pPr>
        <w:pStyle w:val="Normal12pt"/>
        <w:jc w:val="center"/>
        <w:rPr>
          <w:rFonts w:ascii="Times New Roman" w:hAnsi="Times New Roman" w:cs="Times New Roman"/>
          <w:sz w:val="24"/>
          <w:szCs w:val="24"/>
        </w:rPr>
      </w:pPr>
      <w:r w:rsidRPr="00C70CE6">
        <w:rPr>
          <w:rFonts w:ascii="Times New Roman" w:hAnsi="Times New Roman" w:cs="Times New Roman"/>
          <w:sz w:val="24"/>
          <w:szCs w:val="24"/>
        </w:rPr>
        <w:t xml:space="preserve">ECONOMIC </w:t>
      </w:r>
      <w:r>
        <w:rPr>
          <w:rFonts w:ascii="Times New Roman" w:hAnsi="Times New Roman" w:cs="Times New Roman"/>
          <w:sz w:val="24"/>
          <w:szCs w:val="24"/>
        </w:rPr>
        <w:t>SURVEY</w:t>
      </w:r>
      <w:r w:rsidRPr="00C70CE6">
        <w:rPr>
          <w:rFonts w:ascii="Times New Roman" w:hAnsi="Times New Roman" w:cs="Times New Roman"/>
          <w:sz w:val="24"/>
          <w:szCs w:val="24"/>
        </w:rPr>
        <w:t xml:space="preserve"> OF GULF OF MEXICO</w:t>
      </w:r>
      <w:r>
        <w:rPr>
          <w:rFonts w:ascii="Times New Roman" w:hAnsi="Times New Roman" w:cs="Times New Roman"/>
          <w:sz w:val="24"/>
          <w:szCs w:val="24"/>
        </w:rPr>
        <w:t xml:space="preserve"> (GOM) CAPTAINS AND CREW ASSOCIATED WITH</w:t>
      </w:r>
      <w:r w:rsidRPr="00C70CE6">
        <w:rPr>
          <w:rFonts w:ascii="Times New Roman" w:hAnsi="Times New Roman" w:cs="Times New Roman"/>
          <w:sz w:val="24"/>
          <w:szCs w:val="24"/>
        </w:rPr>
        <w:t xml:space="preserve"> THE </w:t>
      </w:r>
      <w:r>
        <w:rPr>
          <w:rFonts w:ascii="Times New Roman" w:hAnsi="Times New Roman" w:cs="Times New Roman"/>
          <w:sz w:val="24"/>
          <w:szCs w:val="24"/>
        </w:rPr>
        <w:t>GOM GROUPER-TILEFISH INDIVIDUAL FISHING QUOTA</w:t>
      </w:r>
      <w:r w:rsidRPr="00C70CE6">
        <w:rPr>
          <w:rFonts w:ascii="Times New Roman" w:hAnsi="Times New Roman" w:cs="Times New Roman"/>
          <w:sz w:val="24"/>
          <w:szCs w:val="24"/>
        </w:rPr>
        <w:t xml:space="preserve"> PROGRAM</w:t>
      </w:r>
    </w:p>
    <w:p w:rsidR="006A43D1" w:rsidRPr="00E25032" w:rsidRDefault="006A43D1" w:rsidP="006A43D1">
      <w:pPr>
        <w:jc w:val="center"/>
        <w:rPr>
          <w:sz w:val="24"/>
          <w:szCs w:val="24"/>
          <w:lang w:val="es-ES"/>
        </w:rPr>
      </w:pPr>
      <w:r w:rsidRPr="00E25032">
        <w:rPr>
          <w:b/>
          <w:bCs/>
          <w:sz w:val="24"/>
          <w:szCs w:val="24"/>
          <w:lang w:val="es-ES"/>
        </w:rPr>
        <w:t>OMB CONTROL NO. 0648-XXXX</w:t>
      </w:r>
    </w:p>
    <w:p w:rsidR="006A43D1" w:rsidRDefault="006A43D1" w:rsidP="006A43D1">
      <w:pPr>
        <w:rPr>
          <w:b/>
          <w:bCs/>
          <w:sz w:val="24"/>
          <w:szCs w:val="24"/>
        </w:rPr>
      </w:pPr>
    </w:p>
    <w:p w:rsidR="006A43D1" w:rsidRDefault="006A43D1" w:rsidP="006A43D1">
      <w:pPr>
        <w:rPr>
          <w:sz w:val="24"/>
          <w:szCs w:val="24"/>
        </w:rPr>
      </w:pPr>
      <w:bookmarkStart w:id="0" w:name="_GoBack"/>
      <w:bookmarkEnd w:id="0"/>
      <w:r>
        <w:rPr>
          <w:b/>
          <w:bCs/>
          <w:sz w:val="24"/>
          <w:szCs w:val="24"/>
        </w:rPr>
        <w:t>B.  COLLECTIONS OF INFORMATION EMPLOYING STATISTICAL METHODS</w:t>
      </w:r>
    </w:p>
    <w:p w:rsidR="006A43D1" w:rsidRDefault="006A43D1" w:rsidP="006A43D1">
      <w:pPr>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249FD">
        <w:rPr>
          <w:sz w:val="24"/>
          <w:szCs w:val="24"/>
        </w:rPr>
        <w:t xml:space="preserve">The population of interest consists of </w:t>
      </w:r>
      <w:r>
        <w:rPr>
          <w:sz w:val="24"/>
          <w:szCs w:val="24"/>
        </w:rPr>
        <w:t xml:space="preserve">approximately </w:t>
      </w:r>
      <w:r w:rsidRPr="00B07C81">
        <w:rPr>
          <w:sz w:val="24"/>
          <w:szCs w:val="24"/>
        </w:rPr>
        <w:t>1,</w:t>
      </w:r>
      <w:r>
        <w:rPr>
          <w:sz w:val="24"/>
          <w:szCs w:val="24"/>
        </w:rPr>
        <w:t>000</w:t>
      </w:r>
      <w:r w:rsidRPr="00B07C81">
        <w:rPr>
          <w:sz w:val="24"/>
          <w:szCs w:val="24"/>
        </w:rPr>
        <w:t xml:space="preserve"> individuals</w:t>
      </w:r>
      <w:r>
        <w:rPr>
          <w:sz w:val="24"/>
          <w:szCs w:val="24"/>
        </w:rPr>
        <w:t>:</w:t>
      </w:r>
      <w:r w:rsidRPr="00B07C81">
        <w:rPr>
          <w:sz w:val="24"/>
          <w:szCs w:val="24"/>
        </w:rPr>
        <w:t xml:space="preserve"> </w:t>
      </w:r>
      <w:r>
        <w:rPr>
          <w:sz w:val="24"/>
          <w:szCs w:val="24"/>
        </w:rPr>
        <w:t>400</w:t>
      </w:r>
      <w:r w:rsidRPr="00B07C81">
        <w:rPr>
          <w:sz w:val="24"/>
          <w:szCs w:val="24"/>
        </w:rPr>
        <w:t xml:space="preserve"> captains and </w:t>
      </w:r>
      <w:proofErr w:type="gramStart"/>
      <w:r>
        <w:rPr>
          <w:sz w:val="24"/>
          <w:szCs w:val="24"/>
        </w:rPr>
        <w:t>600</w:t>
      </w:r>
      <w:r w:rsidRPr="00B07C81">
        <w:rPr>
          <w:sz w:val="24"/>
          <w:szCs w:val="24"/>
        </w:rPr>
        <w:t xml:space="preserve"> crew</w:t>
      </w:r>
      <w:proofErr w:type="gramEnd"/>
      <w:r w:rsidRPr="00B07C81">
        <w:rPr>
          <w:sz w:val="24"/>
          <w:szCs w:val="24"/>
        </w:rPr>
        <w:t>.</w:t>
      </w:r>
      <w:r>
        <w:rPr>
          <w:sz w:val="24"/>
          <w:szCs w:val="24"/>
        </w:rPr>
        <w:t xml:space="preserve"> These individuals include present or past captains and crew who participated in the GOM </w:t>
      </w:r>
      <w:r w:rsidRPr="00DD79F1">
        <w:rPr>
          <w:sz w:val="24"/>
          <w:szCs w:val="24"/>
        </w:rPr>
        <w:t>reef fish fishery before or after</w:t>
      </w:r>
      <w:r w:rsidRPr="009717DC">
        <w:rPr>
          <w:sz w:val="24"/>
          <w:szCs w:val="24"/>
        </w:rPr>
        <w:t xml:space="preserve"> the implementation of the IFQ program in 2010. The survey strategy calls for a sample of this potential respondent universe obtained by referrals from pre-scheduled dealer interviews and canvassing nearby ports to intercept non-referred captains and crew.</w:t>
      </w:r>
      <w:r w:rsidRPr="00DD79F1">
        <w:rPr>
          <w:sz w:val="24"/>
          <w:szCs w:val="24"/>
        </w:rPr>
        <w:t xml:space="preserve"> Canvassing for non-referred captains </w:t>
      </w:r>
      <w:r w:rsidRPr="009717DC">
        <w:rPr>
          <w:sz w:val="24"/>
          <w:szCs w:val="24"/>
        </w:rPr>
        <w:t>and crew</w:t>
      </w:r>
      <w:r w:rsidRPr="00DD79F1">
        <w:rPr>
          <w:sz w:val="24"/>
          <w:szCs w:val="24"/>
        </w:rPr>
        <w:t xml:space="preserve"> will be structured such that a representative cross section of hired labor that inhabits each area associated with the pr</w:t>
      </w:r>
      <w:r w:rsidRPr="009717DC">
        <w:rPr>
          <w:sz w:val="24"/>
          <w:szCs w:val="24"/>
        </w:rPr>
        <w:t>e-scheduled dealer interview will be intercepted. When canvassing ports for intercept interviews, we will visit each port at a different time (</w:t>
      </w:r>
      <w:r>
        <w:rPr>
          <w:sz w:val="24"/>
          <w:szCs w:val="24"/>
        </w:rPr>
        <w:t>e.g.,</w:t>
      </w:r>
      <w:r w:rsidRPr="009717DC">
        <w:rPr>
          <w:sz w:val="24"/>
          <w:szCs w:val="24"/>
        </w:rPr>
        <w:t xml:space="preserve"> morning, evening) on multiple days to control for bias. Nearby ports will be randomly selected </w:t>
      </w:r>
      <w:r w:rsidRPr="009717DC">
        <w:rPr>
          <w:sz w:val="24"/>
        </w:rPr>
        <w:t>with probability proportional to the number of vessels landing GT-IFQ species categories (</w:t>
      </w:r>
      <w:r>
        <w:rPr>
          <w:sz w:val="24"/>
        </w:rPr>
        <w:t>e.g.,</w:t>
      </w:r>
      <w:r w:rsidRPr="009717DC">
        <w:rPr>
          <w:sz w:val="24"/>
        </w:rPr>
        <w:t xml:space="preserve"> gag, red grouper, deep water grouper, shallow water grouper, and tilefish) at local dealers relative to the fishery as whole</w:t>
      </w:r>
      <w:r w:rsidRPr="009717DC">
        <w:rPr>
          <w:sz w:val="24"/>
          <w:szCs w:val="24"/>
        </w:rPr>
        <w:t xml:space="preserve">. </w:t>
      </w:r>
      <w:r w:rsidRPr="009717DC">
        <w:rPr>
          <w:sz w:val="24"/>
        </w:rPr>
        <w:t>Crew interviews will be obtained by asking captains for referrals, or by approaching crew on the dock as they unload catch.</w:t>
      </w:r>
      <w:r w:rsidRPr="00DD79F1">
        <w:rPr>
          <w:sz w:val="24"/>
          <w:szCs w:val="24"/>
        </w:rPr>
        <w:t xml:space="preserve"> We ant</w:t>
      </w:r>
      <w:r>
        <w:rPr>
          <w:sz w:val="24"/>
          <w:szCs w:val="24"/>
        </w:rPr>
        <w:t>icipate that at least 30% of the population of interest for the labor survey (the “readily accessible population”) is located near the 20 dealers to be interviewed in-person for the dealer survey.</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recent socio-economic aspects survey (SEAS) of commercial fishing crew in the Northeast</w:t>
      </w:r>
      <w:r>
        <w:rPr>
          <w:rStyle w:val="FootnoteReference"/>
          <w:sz w:val="24"/>
          <w:szCs w:val="24"/>
        </w:rPr>
        <w:footnoteReference w:id="1"/>
      </w:r>
      <w:r>
        <w:rPr>
          <w:sz w:val="24"/>
          <w:szCs w:val="24"/>
        </w:rPr>
        <w:t xml:space="preserve"> obtained a response rate of 38%. Several factors should lead to a much higher response rate on the GOM survey:</w:t>
      </w:r>
    </w:p>
    <w:p w:rsidR="006A43D1" w:rsidRDefault="006A43D1" w:rsidP="006A43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Interviewers will be introduced to captains and crew by dealers interviewed on the dealer survey, or nearby dealers in the same port. In SEAS, captains and crew were approached on the dock with no introduction. We believe that introduction by a dealer known to the captain will significantly increase response.</w:t>
      </w:r>
    </w:p>
    <w:p w:rsidR="006A43D1" w:rsidRDefault="006A43D1" w:rsidP="006A43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SEAS survey took almost an hour to complete. By contrast, the GOM survey is only 30 minutes long on average.</w:t>
      </w:r>
    </w:p>
    <w:p w:rsidR="006A43D1" w:rsidRDefault="006A43D1" w:rsidP="006A43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Much of the SEAS interviewing took place on the docks in the Northeast winter. Many respondents were reluctant to answer questions while standing in the cold, especially given the length of the interview. GOM interviewing, on the other hand, will be </w:t>
      </w:r>
      <w:r>
        <w:rPr>
          <w:sz w:val="24"/>
          <w:szCs w:val="24"/>
        </w:rPr>
        <w:lastRenderedPageBreak/>
        <w:t xml:space="preserve">conducted on the Gulf Coast in the summer of 2016. Also, GOM respondents will be given the option of participating by phone. </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Pr="004771E8"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Given these factors promoting higher response, o</w:t>
      </w:r>
      <w:r w:rsidRPr="00B07C81">
        <w:rPr>
          <w:sz w:val="24"/>
          <w:szCs w:val="24"/>
        </w:rPr>
        <w:t>ur goal is to achieve an unweighted response rate of 70%</w:t>
      </w:r>
      <w:r>
        <w:rPr>
          <w:sz w:val="24"/>
          <w:szCs w:val="24"/>
        </w:rPr>
        <w:t xml:space="preserve"> of the readily accessible population</w:t>
      </w:r>
      <w:r w:rsidRPr="00B07C81">
        <w:rPr>
          <w:sz w:val="24"/>
          <w:szCs w:val="24"/>
        </w:rPr>
        <w:t xml:space="preserve">, resulting in approximately </w:t>
      </w:r>
      <w:r>
        <w:rPr>
          <w:sz w:val="24"/>
          <w:szCs w:val="24"/>
        </w:rPr>
        <w:t>210</w:t>
      </w:r>
      <w:r w:rsidRPr="00B07C81">
        <w:rPr>
          <w:sz w:val="24"/>
          <w:szCs w:val="24"/>
        </w:rPr>
        <w:t xml:space="preserve"> completed surveys or sufficient partials.</w:t>
      </w:r>
      <w:r>
        <w:rPr>
          <w:sz w:val="24"/>
          <w:szCs w:val="24"/>
        </w:rPr>
        <w:t xml:space="preserve"> </w:t>
      </w:r>
    </w:p>
    <w:p w:rsidR="006A43D1" w:rsidRPr="004771E8"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Table 1 summarizes the key statistics about the proposed sampling strategy.</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Pr="000973CF" w:rsidRDefault="006A43D1" w:rsidP="006A43D1">
      <w:pPr>
        <w:pStyle w:val="BodyText3"/>
        <w:jc w:val="center"/>
        <w:rPr>
          <w:b/>
          <w:sz w:val="20"/>
          <w:szCs w:val="20"/>
        </w:rPr>
      </w:pPr>
      <w:r w:rsidRPr="000973CF">
        <w:rPr>
          <w:b/>
          <w:sz w:val="20"/>
          <w:szCs w:val="20"/>
        </w:rPr>
        <w:t>Table 1: Sampling strategy for hired captains and crew in the GT-IFQ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tblGrid>
      <w:tr w:rsidR="006A43D1" w:rsidRPr="00B07C81" w:rsidTr="00735211">
        <w:trPr>
          <w:jc w:val="center"/>
        </w:trPr>
        <w:tc>
          <w:tcPr>
            <w:tcW w:w="1596" w:type="dxa"/>
            <w:vAlign w:val="center"/>
          </w:tcPr>
          <w:p w:rsidR="006A43D1" w:rsidRPr="000973CF" w:rsidRDefault="006A43D1" w:rsidP="00735211">
            <w:pPr>
              <w:jc w:val="center"/>
              <w:rPr>
                <w:b/>
              </w:rPr>
            </w:pPr>
            <w:r w:rsidRPr="000973CF">
              <w:rPr>
                <w:b/>
              </w:rPr>
              <w:t>Population Size</w:t>
            </w:r>
          </w:p>
        </w:tc>
        <w:tc>
          <w:tcPr>
            <w:tcW w:w="1596" w:type="dxa"/>
            <w:vAlign w:val="center"/>
          </w:tcPr>
          <w:p w:rsidR="006A43D1" w:rsidRPr="000973CF" w:rsidRDefault="006A43D1" w:rsidP="00735211">
            <w:pPr>
              <w:jc w:val="center"/>
              <w:rPr>
                <w:b/>
              </w:rPr>
            </w:pPr>
            <w:r w:rsidRPr="000973CF">
              <w:rPr>
                <w:b/>
              </w:rPr>
              <w:t>Target Sample</w:t>
            </w:r>
          </w:p>
        </w:tc>
        <w:tc>
          <w:tcPr>
            <w:tcW w:w="1596" w:type="dxa"/>
            <w:vAlign w:val="center"/>
          </w:tcPr>
          <w:p w:rsidR="006A43D1" w:rsidRPr="000973CF" w:rsidRDefault="006A43D1" w:rsidP="00735211">
            <w:pPr>
              <w:jc w:val="center"/>
              <w:rPr>
                <w:b/>
              </w:rPr>
            </w:pPr>
            <w:r w:rsidRPr="000973CF">
              <w:rPr>
                <w:b/>
              </w:rPr>
              <w:t>Expected Response Rate</w:t>
            </w:r>
          </w:p>
        </w:tc>
        <w:tc>
          <w:tcPr>
            <w:tcW w:w="1596" w:type="dxa"/>
            <w:vAlign w:val="center"/>
          </w:tcPr>
          <w:p w:rsidR="006A43D1" w:rsidRPr="000973CF" w:rsidRDefault="006A43D1" w:rsidP="00735211">
            <w:pPr>
              <w:jc w:val="center"/>
              <w:rPr>
                <w:b/>
              </w:rPr>
            </w:pPr>
            <w:r w:rsidRPr="000973CF">
              <w:rPr>
                <w:b/>
              </w:rPr>
              <w:t>Anticipated</w:t>
            </w:r>
          </w:p>
          <w:p w:rsidR="006A43D1" w:rsidRPr="000973CF" w:rsidRDefault="006A43D1" w:rsidP="00735211">
            <w:pPr>
              <w:jc w:val="center"/>
              <w:rPr>
                <w:b/>
              </w:rPr>
            </w:pPr>
            <w:r w:rsidRPr="000973CF">
              <w:rPr>
                <w:b/>
              </w:rPr>
              <w:t>Sample</w:t>
            </w:r>
          </w:p>
        </w:tc>
      </w:tr>
      <w:tr w:rsidR="006A43D1" w:rsidRPr="00B07C81" w:rsidTr="00735211">
        <w:trPr>
          <w:jc w:val="center"/>
        </w:trPr>
        <w:tc>
          <w:tcPr>
            <w:tcW w:w="1596" w:type="dxa"/>
            <w:vAlign w:val="center"/>
          </w:tcPr>
          <w:p w:rsidR="006A43D1" w:rsidRPr="00B07C81" w:rsidRDefault="006A43D1" w:rsidP="00735211">
            <w:pPr>
              <w:rPr>
                <w:sz w:val="22"/>
                <w:szCs w:val="22"/>
              </w:rPr>
            </w:pPr>
          </w:p>
        </w:tc>
        <w:tc>
          <w:tcPr>
            <w:tcW w:w="1596" w:type="dxa"/>
            <w:vAlign w:val="bottom"/>
          </w:tcPr>
          <w:p w:rsidR="006A43D1" w:rsidRPr="00B07C81" w:rsidRDefault="006A43D1" w:rsidP="00735211">
            <w:pPr>
              <w:rPr>
                <w:sz w:val="22"/>
                <w:szCs w:val="22"/>
              </w:rPr>
            </w:pPr>
          </w:p>
        </w:tc>
        <w:tc>
          <w:tcPr>
            <w:tcW w:w="1596" w:type="dxa"/>
            <w:vAlign w:val="center"/>
          </w:tcPr>
          <w:p w:rsidR="006A43D1" w:rsidRPr="00B07C81" w:rsidRDefault="006A43D1" w:rsidP="00735211">
            <w:pPr>
              <w:rPr>
                <w:sz w:val="22"/>
                <w:szCs w:val="22"/>
              </w:rPr>
            </w:pPr>
          </w:p>
        </w:tc>
        <w:tc>
          <w:tcPr>
            <w:tcW w:w="1596" w:type="dxa"/>
            <w:vAlign w:val="bottom"/>
          </w:tcPr>
          <w:p w:rsidR="006A43D1" w:rsidRPr="00B07C81" w:rsidRDefault="006A43D1" w:rsidP="00735211">
            <w:pPr>
              <w:rPr>
                <w:sz w:val="22"/>
                <w:szCs w:val="22"/>
              </w:rPr>
            </w:pPr>
          </w:p>
        </w:tc>
      </w:tr>
      <w:tr w:rsidR="006A43D1" w:rsidRPr="00AD7952" w:rsidTr="00735211">
        <w:trPr>
          <w:jc w:val="center"/>
        </w:trPr>
        <w:tc>
          <w:tcPr>
            <w:tcW w:w="1596" w:type="dxa"/>
            <w:vAlign w:val="center"/>
          </w:tcPr>
          <w:p w:rsidR="006A43D1" w:rsidRPr="00B07C81" w:rsidRDefault="006A43D1" w:rsidP="00735211">
            <w:pPr>
              <w:jc w:val="center"/>
              <w:rPr>
                <w:sz w:val="22"/>
                <w:szCs w:val="22"/>
              </w:rPr>
            </w:pPr>
            <w:r w:rsidRPr="00B07C81">
              <w:rPr>
                <w:sz w:val="22"/>
                <w:szCs w:val="22"/>
              </w:rPr>
              <w:t>1,</w:t>
            </w:r>
            <w:r>
              <w:rPr>
                <w:sz w:val="22"/>
                <w:szCs w:val="22"/>
              </w:rPr>
              <w:t>000</w:t>
            </w:r>
          </w:p>
        </w:tc>
        <w:tc>
          <w:tcPr>
            <w:tcW w:w="1596" w:type="dxa"/>
            <w:vAlign w:val="center"/>
          </w:tcPr>
          <w:p w:rsidR="006A43D1" w:rsidRPr="00B07C81" w:rsidRDefault="006A43D1" w:rsidP="00735211">
            <w:pPr>
              <w:jc w:val="center"/>
              <w:rPr>
                <w:sz w:val="22"/>
                <w:szCs w:val="22"/>
              </w:rPr>
            </w:pPr>
            <w:r>
              <w:rPr>
                <w:sz w:val="22"/>
                <w:szCs w:val="22"/>
              </w:rPr>
              <w:t>300</w:t>
            </w:r>
          </w:p>
        </w:tc>
        <w:tc>
          <w:tcPr>
            <w:tcW w:w="1596" w:type="dxa"/>
            <w:vAlign w:val="center"/>
          </w:tcPr>
          <w:p w:rsidR="006A43D1" w:rsidRPr="00B07C81" w:rsidRDefault="006A43D1" w:rsidP="00735211">
            <w:pPr>
              <w:jc w:val="center"/>
              <w:rPr>
                <w:sz w:val="22"/>
                <w:szCs w:val="22"/>
              </w:rPr>
            </w:pPr>
            <w:r w:rsidRPr="00B07C81">
              <w:rPr>
                <w:sz w:val="22"/>
                <w:szCs w:val="22"/>
              </w:rPr>
              <w:t>0.70</w:t>
            </w:r>
          </w:p>
        </w:tc>
        <w:tc>
          <w:tcPr>
            <w:tcW w:w="1596" w:type="dxa"/>
            <w:vAlign w:val="bottom"/>
          </w:tcPr>
          <w:p w:rsidR="006A43D1" w:rsidRPr="00B07C81" w:rsidRDefault="006A43D1" w:rsidP="00735211">
            <w:pPr>
              <w:jc w:val="center"/>
              <w:rPr>
                <w:sz w:val="22"/>
                <w:szCs w:val="22"/>
              </w:rPr>
            </w:pPr>
            <w:r>
              <w:rPr>
                <w:sz w:val="22"/>
                <w:szCs w:val="22"/>
              </w:rPr>
              <w:t>210</w:t>
            </w:r>
          </w:p>
        </w:tc>
      </w:tr>
    </w:tbl>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Pr="008767B6" w:rsidRDefault="006A43D1" w:rsidP="006A43D1">
      <w:pPr>
        <w:rPr>
          <w:sz w:val="24"/>
          <w:szCs w:val="24"/>
        </w:rPr>
      </w:pPr>
      <w:r w:rsidRPr="008767B6">
        <w:rPr>
          <w:sz w:val="24"/>
          <w:szCs w:val="24"/>
        </w:rPr>
        <w:t xml:space="preserve">One time, voluntary surveys will be used to elicit </w:t>
      </w:r>
      <w:r>
        <w:rPr>
          <w:sz w:val="24"/>
          <w:szCs w:val="24"/>
        </w:rPr>
        <w:t xml:space="preserve">economic and attitudinal </w:t>
      </w:r>
      <w:r w:rsidRPr="008767B6">
        <w:rPr>
          <w:sz w:val="24"/>
          <w:szCs w:val="24"/>
        </w:rPr>
        <w:t xml:space="preserve">information </w:t>
      </w:r>
      <w:r>
        <w:rPr>
          <w:sz w:val="24"/>
          <w:szCs w:val="24"/>
        </w:rPr>
        <w:t>from captains and crew associated with the</w:t>
      </w:r>
      <w:r w:rsidRPr="008767B6">
        <w:rPr>
          <w:sz w:val="24"/>
          <w:szCs w:val="24"/>
        </w:rPr>
        <w:t xml:space="preserve"> </w:t>
      </w:r>
      <w:r>
        <w:rPr>
          <w:sz w:val="24"/>
          <w:szCs w:val="24"/>
        </w:rPr>
        <w:t>GT-IFQ Program</w:t>
      </w:r>
      <w:r w:rsidRPr="008767B6">
        <w:rPr>
          <w:sz w:val="24"/>
          <w:szCs w:val="24"/>
        </w:rPr>
        <w:t xml:space="preserve">. </w:t>
      </w:r>
      <w:r>
        <w:rPr>
          <w:sz w:val="24"/>
          <w:szCs w:val="24"/>
        </w:rPr>
        <w:t>Participants</w:t>
      </w:r>
      <w:r w:rsidRPr="008767B6">
        <w:rPr>
          <w:sz w:val="24"/>
          <w:szCs w:val="24"/>
        </w:rPr>
        <w:t xml:space="preserve"> will be </w:t>
      </w:r>
      <w:r>
        <w:rPr>
          <w:sz w:val="24"/>
          <w:szCs w:val="24"/>
        </w:rPr>
        <w:t>contacted via visits to dealers and local ports in the survey area</w:t>
      </w:r>
      <w:r w:rsidRPr="008767B6">
        <w:rPr>
          <w:sz w:val="24"/>
          <w:szCs w:val="24"/>
        </w:rPr>
        <w:t xml:space="preserve">. The contractor anticipates </w:t>
      </w:r>
      <w:r>
        <w:rPr>
          <w:sz w:val="24"/>
          <w:szCs w:val="24"/>
        </w:rPr>
        <w:t>attempting contacting 30% of</w:t>
      </w:r>
      <w:r w:rsidRPr="008767B6">
        <w:rPr>
          <w:sz w:val="24"/>
          <w:szCs w:val="24"/>
        </w:rPr>
        <w:t xml:space="preserve"> the universe of </w:t>
      </w:r>
      <w:r>
        <w:rPr>
          <w:sz w:val="24"/>
          <w:szCs w:val="24"/>
        </w:rPr>
        <w:t>participants</w:t>
      </w:r>
      <w:r w:rsidRPr="008767B6">
        <w:rPr>
          <w:sz w:val="24"/>
          <w:szCs w:val="24"/>
        </w:rPr>
        <w:t xml:space="preserve"> (</w:t>
      </w:r>
      <w:r w:rsidRPr="00B07C81">
        <w:rPr>
          <w:sz w:val="24"/>
          <w:szCs w:val="24"/>
        </w:rPr>
        <w:t xml:space="preserve">approximately </w:t>
      </w:r>
      <w:r>
        <w:rPr>
          <w:sz w:val="24"/>
          <w:szCs w:val="24"/>
        </w:rPr>
        <w:t>3</w:t>
      </w:r>
      <w:r w:rsidRPr="00B07C81">
        <w:rPr>
          <w:sz w:val="24"/>
          <w:szCs w:val="24"/>
        </w:rPr>
        <w:t>00</w:t>
      </w:r>
      <w:r w:rsidRPr="008767B6">
        <w:rPr>
          <w:sz w:val="24"/>
          <w:szCs w:val="24"/>
        </w:rPr>
        <w:t xml:space="preserve"> individuals) using </w:t>
      </w:r>
      <w:r>
        <w:rPr>
          <w:sz w:val="24"/>
          <w:szCs w:val="24"/>
        </w:rPr>
        <w:t>in-person or telephone interviews. Socioeconomic impacts of the GT-IFQ Program on captains and crew will be estimated using multinomial logit models. Logit models measure the effect of independent variables, such as race or ethnicity, on qualitative outcomes such as employment choices in fishing. Logit models will be fit using standard statistical packages such as STATA, LIMDEP or SAS.</w:t>
      </w:r>
    </w:p>
    <w:p w:rsidR="006A43D1" w:rsidRPr="008767B6" w:rsidRDefault="006A43D1" w:rsidP="006A43D1">
      <w:pPr>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plan to adopt the following plan to achieve high response rates. </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First, we have drafted a respondent-friendly questionnaire which will take no more than 30 minutes to complete. Second, we will provide the option of a telephone interview to captains or crew who cannot be reached in person, or for whom an in-person interview is inconvenient or otherwise objectionable. Third, during contacts with potential respondents, we will stress the importance of the data to be collected to the management of the IFQ program, and the opportunity the interview provides to captains and crew to provide input to improvements to the program. Fourth, we will make clear the voluntary nature of participation. Finally, we will stress the fact that individual responses will remain anonymous and will not be released by NMFS. </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In the event we receive less than an 80% response rate, we plan to incorporate a weighting adjustment method (e.g., post-stratification) to deal with unit non-response. Results may be stratified by the relative proportion of responding captains to responding crewmembers (if the proportion of captain to crew is significantly different from our assumed 400:600 ratio in the population) and GT-IFQ species categories. </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Should the captains/crew sample differ significantly from the population (e.g., geographically or by vessel type</w:t>
      </w:r>
      <w:proofErr w:type="gramStart"/>
      <w:r>
        <w:rPr>
          <w:sz w:val="24"/>
          <w:szCs w:val="24"/>
        </w:rPr>
        <w:t>) ,</w:t>
      </w:r>
      <w:proofErr w:type="gramEnd"/>
      <w:r>
        <w:rPr>
          <w:sz w:val="24"/>
          <w:szCs w:val="24"/>
        </w:rPr>
        <w:t xml:space="preserve"> standard methods of nonresponse adjustment </w:t>
      </w:r>
      <w:r w:rsidRPr="006F3020">
        <w:rPr>
          <w:sz w:val="24"/>
          <w:szCs w:val="24"/>
        </w:rPr>
        <w:t xml:space="preserve">described in </w:t>
      </w:r>
      <w:r>
        <w:rPr>
          <w:sz w:val="24"/>
          <w:szCs w:val="24"/>
        </w:rPr>
        <w:t xml:space="preserve">statistical </w:t>
      </w:r>
      <w:r w:rsidRPr="006F3020">
        <w:rPr>
          <w:sz w:val="24"/>
          <w:szCs w:val="24"/>
        </w:rPr>
        <w:t>textbooks such as Cochran</w:t>
      </w:r>
      <w:r w:rsidRPr="006F3020">
        <w:rPr>
          <w:rStyle w:val="FootnoteReference"/>
          <w:sz w:val="24"/>
          <w:szCs w:val="24"/>
        </w:rPr>
        <w:footnoteReference w:id="2"/>
      </w:r>
      <w:r w:rsidRPr="006F3020">
        <w:rPr>
          <w:sz w:val="24"/>
          <w:szCs w:val="24"/>
        </w:rPr>
        <w:t xml:space="preserve">  and </w:t>
      </w:r>
      <w:proofErr w:type="spellStart"/>
      <w:r w:rsidRPr="006F3020">
        <w:rPr>
          <w:sz w:val="24"/>
          <w:szCs w:val="24"/>
        </w:rPr>
        <w:t>Lohr</w:t>
      </w:r>
      <w:proofErr w:type="spellEnd"/>
      <w:r>
        <w:rPr>
          <w:sz w:val="24"/>
          <w:szCs w:val="24"/>
        </w:rPr>
        <w:t xml:space="preserve"> </w:t>
      </w:r>
      <w:r w:rsidRPr="006F3020">
        <w:rPr>
          <w:rStyle w:val="FootnoteReference"/>
          <w:sz w:val="24"/>
          <w:szCs w:val="24"/>
        </w:rPr>
        <w:footnoteReference w:id="3"/>
      </w:r>
      <w:r>
        <w:rPr>
          <w:sz w:val="24"/>
          <w:szCs w:val="24"/>
        </w:rPr>
        <w:t xml:space="preserve"> will be employed to correct for potential biases</w:t>
      </w:r>
      <w:r w:rsidRPr="006F3020">
        <w:rPr>
          <w:sz w:val="24"/>
          <w:szCs w:val="24"/>
        </w:rPr>
        <w:t>.</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to sharing the survey instrument with NMFS and GMFMC staff, as well as experts in academia, the attached survey was pre-tested with hired captains and crew. Members of NMFS, GMFMC and industry provided suggestions to improve the content and clarity of the final survey.</w:t>
      </w: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43D1"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6A43D1" w:rsidRDefault="006A43D1" w:rsidP="006A43D1">
      <w:pPr>
        <w:rPr>
          <w:sz w:val="24"/>
          <w:szCs w:val="24"/>
        </w:rPr>
      </w:pPr>
    </w:p>
    <w:p w:rsidR="006A43D1" w:rsidRDefault="006A43D1" w:rsidP="006A43D1">
      <w:pPr>
        <w:rPr>
          <w:sz w:val="24"/>
          <w:szCs w:val="24"/>
        </w:rPr>
      </w:pPr>
      <w:r>
        <w:rPr>
          <w:sz w:val="24"/>
          <w:szCs w:val="24"/>
        </w:rPr>
        <w:t xml:space="preserve">Dr. David Cox is the President of </w:t>
      </w:r>
      <w:proofErr w:type="spellStart"/>
      <w:r>
        <w:rPr>
          <w:sz w:val="24"/>
          <w:szCs w:val="24"/>
        </w:rPr>
        <w:t>QuanTech</w:t>
      </w:r>
      <w:proofErr w:type="spellEnd"/>
      <w:r>
        <w:rPr>
          <w:sz w:val="24"/>
          <w:szCs w:val="24"/>
        </w:rPr>
        <w:t xml:space="preserve">, Inc. and has extensive experience with survey design and implementation. For this project, he has supervised all aspects of survey design and planning for its implementation. He will also supervise the collection, storage, and synthesis of the collected information into a final deliverable product to the NMFS. Dr. Cox can be reached at 240-397-2993 or </w:t>
      </w:r>
      <w:hyperlink r:id="rId9" w:history="1">
        <w:r w:rsidRPr="006C1489">
          <w:rPr>
            <w:rStyle w:val="Hyperlink"/>
            <w:sz w:val="24"/>
            <w:szCs w:val="24"/>
          </w:rPr>
          <w:t>dcox@quantech.com</w:t>
        </w:r>
      </w:hyperlink>
      <w:r>
        <w:rPr>
          <w:sz w:val="24"/>
          <w:szCs w:val="24"/>
        </w:rPr>
        <w:t>.</w:t>
      </w:r>
    </w:p>
    <w:p w:rsidR="006A43D1" w:rsidRDefault="006A43D1" w:rsidP="006A43D1">
      <w:pPr>
        <w:rPr>
          <w:sz w:val="24"/>
          <w:szCs w:val="24"/>
        </w:rPr>
      </w:pPr>
    </w:p>
    <w:p w:rsidR="006A43D1" w:rsidRPr="00B07C81" w:rsidRDefault="006A43D1" w:rsidP="006A43D1">
      <w:pPr>
        <w:rPr>
          <w:sz w:val="24"/>
          <w:szCs w:val="24"/>
        </w:rPr>
      </w:pPr>
      <w:r w:rsidRPr="00901C4F">
        <w:rPr>
          <w:sz w:val="24"/>
          <w:szCs w:val="24"/>
        </w:rPr>
        <w:t xml:space="preserve">Dr. </w:t>
      </w:r>
      <w:r>
        <w:rPr>
          <w:sz w:val="24"/>
          <w:szCs w:val="24"/>
        </w:rPr>
        <w:t xml:space="preserve">Jacob </w:t>
      </w:r>
      <w:proofErr w:type="spellStart"/>
      <w:r>
        <w:rPr>
          <w:sz w:val="24"/>
          <w:szCs w:val="24"/>
        </w:rPr>
        <w:t>LaRiviere</w:t>
      </w:r>
      <w:proofErr w:type="spellEnd"/>
      <w:r>
        <w:rPr>
          <w:sz w:val="24"/>
          <w:szCs w:val="24"/>
        </w:rPr>
        <w:t xml:space="preserve"> </w:t>
      </w:r>
      <w:r w:rsidRPr="00901C4F">
        <w:rPr>
          <w:sz w:val="24"/>
          <w:szCs w:val="24"/>
        </w:rPr>
        <w:t xml:space="preserve">from </w:t>
      </w:r>
      <w:r>
        <w:rPr>
          <w:sz w:val="24"/>
          <w:szCs w:val="24"/>
        </w:rPr>
        <w:t>the</w:t>
      </w:r>
      <w:r w:rsidRPr="00901C4F">
        <w:rPr>
          <w:sz w:val="24"/>
          <w:szCs w:val="24"/>
        </w:rPr>
        <w:t xml:space="preserve"> University </w:t>
      </w:r>
      <w:r>
        <w:rPr>
          <w:sz w:val="24"/>
          <w:szCs w:val="24"/>
        </w:rPr>
        <w:t xml:space="preserve">of Tennessee </w:t>
      </w:r>
      <w:r w:rsidRPr="00901C4F">
        <w:rPr>
          <w:sz w:val="24"/>
          <w:szCs w:val="24"/>
        </w:rPr>
        <w:t>was hired</w:t>
      </w:r>
      <w:r>
        <w:rPr>
          <w:sz w:val="24"/>
          <w:szCs w:val="24"/>
        </w:rPr>
        <w:t xml:space="preserve"> by </w:t>
      </w:r>
      <w:proofErr w:type="spellStart"/>
      <w:r>
        <w:rPr>
          <w:sz w:val="24"/>
          <w:szCs w:val="24"/>
        </w:rPr>
        <w:t>QuanTech</w:t>
      </w:r>
      <w:proofErr w:type="spellEnd"/>
      <w:r>
        <w:rPr>
          <w:sz w:val="24"/>
          <w:szCs w:val="24"/>
        </w:rPr>
        <w:t>, Inc.</w:t>
      </w:r>
      <w:r w:rsidRPr="00901C4F">
        <w:rPr>
          <w:sz w:val="24"/>
          <w:szCs w:val="24"/>
        </w:rPr>
        <w:t xml:space="preserve"> to design </w:t>
      </w:r>
      <w:r>
        <w:rPr>
          <w:sz w:val="24"/>
          <w:szCs w:val="24"/>
        </w:rPr>
        <w:t>the survey instrument</w:t>
      </w:r>
      <w:r w:rsidRPr="00901C4F">
        <w:rPr>
          <w:sz w:val="24"/>
          <w:szCs w:val="24"/>
        </w:rPr>
        <w:t>.</w:t>
      </w:r>
      <w:r>
        <w:rPr>
          <w:sz w:val="24"/>
          <w:szCs w:val="24"/>
        </w:rPr>
        <w:t xml:space="preserve"> Dr. </w:t>
      </w:r>
      <w:proofErr w:type="spellStart"/>
      <w:r>
        <w:rPr>
          <w:sz w:val="24"/>
          <w:szCs w:val="24"/>
        </w:rPr>
        <w:t>LaRiviere</w:t>
      </w:r>
      <w:proofErr w:type="spellEnd"/>
      <w:r>
        <w:rPr>
          <w:sz w:val="24"/>
          <w:szCs w:val="24"/>
        </w:rPr>
        <w:t xml:space="preserve"> can be reached at 865-</w:t>
      </w:r>
      <w:r w:rsidRPr="001862D8">
        <w:rPr>
          <w:sz w:val="24"/>
          <w:szCs w:val="24"/>
        </w:rPr>
        <w:t>974-8114</w:t>
      </w:r>
    </w:p>
    <w:p w:rsidR="006A43D1" w:rsidRPr="00B07C81" w:rsidRDefault="006A43D1" w:rsidP="006A43D1">
      <w:pPr>
        <w:rPr>
          <w:sz w:val="24"/>
          <w:szCs w:val="24"/>
        </w:rPr>
      </w:pPr>
    </w:p>
    <w:p w:rsidR="006A43D1" w:rsidRPr="00B07C81" w:rsidRDefault="006A43D1" w:rsidP="006A43D1">
      <w:pPr>
        <w:rPr>
          <w:sz w:val="24"/>
          <w:szCs w:val="24"/>
        </w:rPr>
      </w:pPr>
      <w:r w:rsidRPr="00B07C81">
        <w:rPr>
          <w:sz w:val="24"/>
          <w:szCs w:val="24"/>
        </w:rPr>
        <w:t xml:space="preserve">Dr. </w:t>
      </w:r>
      <w:proofErr w:type="spellStart"/>
      <w:r w:rsidRPr="00B07C81">
        <w:rPr>
          <w:sz w:val="24"/>
          <w:szCs w:val="24"/>
        </w:rPr>
        <w:t>Assane</w:t>
      </w:r>
      <w:proofErr w:type="spellEnd"/>
      <w:r w:rsidRPr="00B07C81">
        <w:rPr>
          <w:sz w:val="24"/>
          <w:szCs w:val="24"/>
        </w:rPr>
        <w:t xml:space="preserve"> </w:t>
      </w:r>
      <w:proofErr w:type="spellStart"/>
      <w:r w:rsidRPr="00B07C81">
        <w:rPr>
          <w:sz w:val="24"/>
          <w:szCs w:val="24"/>
        </w:rPr>
        <w:t>Diagne</w:t>
      </w:r>
      <w:proofErr w:type="spellEnd"/>
      <w:r w:rsidRPr="00B07C81">
        <w:rPr>
          <w:sz w:val="24"/>
          <w:szCs w:val="24"/>
        </w:rPr>
        <w:t xml:space="preserve"> is a staff economist for the GMFMC. He has reviewed the final questionnaire. He can be reached at 813-348-1630.</w:t>
      </w:r>
    </w:p>
    <w:p w:rsidR="006A43D1" w:rsidRPr="00B07C81" w:rsidRDefault="006A43D1" w:rsidP="006A43D1">
      <w:pPr>
        <w:rPr>
          <w:sz w:val="24"/>
          <w:szCs w:val="24"/>
        </w:rPr>
      </w:pPr>
    </w:p>
    <w:p w:rsidR="006A43D1" w:rsidRPr="00901C4F" w:rsidRDefault="006A43D1" w:rsidP="006A43D1">
      <w:pPr>
        <w:rPr>
          <w:sz w:val="24"/>
          <w:szCs w:val="24"/>
        </w:rPr>
      </w:pPr>
      <w:r w:rsidRPr="00B07C81">
        <w:rPr>
          <w:sz w:val="24"/>
          <w:szCs w:val="24"/>
        </w:rPr>
        <w:t xml:space="preserve">Drs. Larry </w:t>
      </w:r>
      <w:proofErr w:type="spellStart"/>
      <w:r w:rsidRPr="00B07C81">
        <w:rPr>
          <w:sz w:val="24"/>
          <w:szCs w:val="24"/>
        </w:rPr>
        <w:t>Perruso</w:t>
      </w:r>
      <w:proofErr w:type="spellEnd"/>
      <w:r w:rsidRPr="00B07C81">
        <w:rPr>
          <w:sz w:val="24"/>
          <w:szCs w:val="24"/>
        </w:rPr>
        <w:t xml:space="preserve">, Michael Travis, and Michael Jepson, social scientists employed by the </w:t>
      </w:r>
      <w:proofErr w:type="gramStart"/>
      <w:r w:rsidRPr="00B07C81">
        <w:rPr>
          <w:sz w:val="24"/>
          <w:szCs w:val="24"/>
        </w:rPr>
        <w:t>NMFS,</w:t>
      </w:r>
      <w:proofErr w:type="gramEnd"/>
      <w:r w:rsidRPr="00B07C81">
        <w:rPr>
          <w:sz w:val="24"/>
          <w:szCs w:val="24"/>
        </w:rPr>
        <w:t xml:space="preserve"> were consulted on the statistical design. NMFS social scientists and GMFMC staff will also use the data for regulatory analysis. Drs. </w:t>
      </w:r>
      <w:proofErr w:type="spellStart"/>
      <w:r w:rsidRPr="00B07C81">
        <w:rPr>
          <w:sz w:val="24"/>
          <w:szCs w:val="24"/>
        </w:rPr>
        <w:t>Perruso</w:t>
      </w:r>
      <w:proofErr w:type="spellEnd"/>
      <w:r w:rsidRPr="00B07C81">
        <w:rPr>
          <w:sz w:val="24"/>
          <w:szCs w:val="24"/>
        </w:rPr>
        <w:t>, Travis, and Jepson can be reached at 305-361-4278, 301-427-8549, and 727-551-5756, respectively.</w:t>
      </w:r>
    </w:p>
    <w:p w:rsidR="002C1D66" w:rsidRDefault="002C1D66"/>
    <w:sectPr w:rsidR="002C1D66" w:rsidSect="006A43D1">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09" w:rsidRDefault="005F4009" w:rsidP="006A43D1">
      <w:r>
        <w:separator/>
      </w:r>
    </w:p>
  </w:endnote>
  <w:endnote w:type="continuationSeparator" w:id="0">
    <w:p w:rsidR="005F4009" w:rsidRDefault="005F4009" w:rsidP="006A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2A3" w:rsidRDefault="005F400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A43D1">
      <w:rPr>
        <w:rStyle w:val="PageNumber"/>
        <w:noProof/>
        <w:sz w:val="24"/>
        <w:szCs w:val="24"/>
      </w:rPr>
      <w:t>3</w:t>
    </w:r>
    <w:r>
      <w:rPr>
        <w:rStyle w:val="PageNumber"/>
        <w:sz w:val="24"/>
        <w:szCs w:val="24"/>
      </w:rPr>
      <w:fldChar w:fldCharType="end"/>
    </w:r>
  </w:p>
  <w:p w:rsidR="006C52A3" w:rsidRDefault="005F4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09" w:rsidRDefault="005F4009" w:rsidP="006A43D1">
      <w:r>
        <w:separator/>
      </w:r>
    </w:p>
  </w:footnote>
  <w:footnote w:type="continuationSeparator" w:id="0">
    <w:p w:rsidR="005F4009" w:rsidRDefault="005F4009" w:rsidP="006A43D1">
      <w:r>
        <w:continuationSeparator/>
      </w:r>
    </w:p>
  </w:footnote>
  <w:footnote w:id="1">
    <w:p w:rsidR="006A43D1" w:rsidRPr="000973CF" w:rsidRDefault="006A43D1" w:rsidP="006A43D1">
      <w:pPr>
        <w:pStyle w:val="FootnoteText"/>
        <w:rPr>
          <w:sz w:val="16"/>
          <w:szCs w:val="16"/>
        </w:rPr>
      </w:pPr>
      <w:r w:rsidRPr="000973CF">
        <w:rPr>
          <w:rStyle w:val="FootnoteReference"/>
          <w:sz w:val="16"/>
          <w:szCs w:val="16"/>
        </w:rPr>
        <w:footnoteRef/>
      </w:r>
      <w:r w:rsidRPr="000973CF">
        <w:rPr>
          <w:sz w:val="16"/>
          <w:szCs w:val="16"/>
        </w:rPr>
        <w:t xml:space="preserve"> </w:t>
      </w:r>
      <w:proofErr w:type="gramStart"/>
      <w:r w:rsidRPr="000973CF">
        <w:rPr>
          <w:sz w:val="16"/>
          <w:szCs w:val="16"/>
        </w:rPr>
        <w:t>Henry, Anna and Olson, Julia.</w:t>
      </w:r>
      <w:proofErr w:type="gramEnd"/>
      <w:r w:rsidRPr="000973CF">
        <w:rPr>
          <w:sz w:val="16"/>
          <w:szCs w:val="16"/>
        </w:rPr>
        <w:t xml:space="preserve"> </w:t>
      </w:r>
      <w:r w:rsidRPr="000973CF">
        <w:rPr>
          <w:i/>
          <w:sz w:val="16"/>
          <w:szCs w:val="16"/>
        </w:rPr>
        <w:t>An Overview of the Survey on the Socio-economic Aspects of Commercial Fishing Crew in the Northeast</w:t>
      </w:r>
      <w:r w:rsidRPr="000973CF">
        <w:rPr>
          <w:sz w:val="16"/>
          <w:szCs w:val="16"/>
        </w:rPr>
        <w:t>,</w:t>
      </w:r>
      <w:r w:rsidRPr="000973CF">
        <w:rPr>
          <w:i/>
          <w:sz w:val="16"/>
          <w:szCs w:val="16"/>
        </w:rPr>
        <w:t xml:space="preserve"> </w:t>
      </w:r>
      <w:r w:rsidRPr="000973CF">
        <w:rPr>
          <w:sz w:val="16"/>
          <w:szCs w:val="16"/>
        </w:rPr>
        <w:t>NOAA Technical Memorandum NMFS-NE-230 (September 2014)</w:t>
      </w:r>
    </w:p>
  </w:footnote>
  <w:footnote w:id="2">
    <w:p w:rsidR="006A43D1" w:rsidRPr="000973CF" w:rsidRDefault="006A43D1" w:rsidP="006A4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0973CF">
        <w:rPr>
          <w:rStyle w:val="FootnoteReference"/>
          <w:sz w:val="16"/>
          <w:szCs w:val="16"/>
        </w:rPr>
        <w:footnoteRef/>
      </w:r>
      <w:r w:rsidRPr="000973CF">
        <w:rPr>
          <w:sz w:val="16"/>
          <w:szCs w:val="16"/>
        </w:rPr>
        <w:t xml:space="preserve">  </w:t>
      </w:r>
      <w:proofErr w:type="gramStart"/>
      <w:r w:rsidRPr="000973CF">
        <w:rPr>
          <w:color w:val="000000"/>
          <w:sz w:val="16"/>
          <w:szCs w:val="16"/>
          <w:lang w:val="en"/>
        </w:rPr>
        <w:t>Cochran, W. 1977.</w:t>
      </w:r>
      <w:proofErr w:type="gramEnd"/>
      <w:r w:rsidRPr="000973CF">
        <w:rPr>
          <w:color w:val="000000"/>
          <w:sz w:val="16"/>
          <w:szCs w:val="16"/>
          <w:lang w:val="en"/>
        </w:rPr>
        <w:t xml:space="preserve">  </w:t>
      </w:r>
      <w:proofErr w:type="gramStart"/>
      <w:r w:rsidRPr="000973CF">
        <w:rPr>
          <w:rStyle w:val="Emphasis"/>
          <w:color w:val="000000"/>
          <w:sz w:val="16"/>
          <w:szCs w:val="16"/>
          <w:lang w:val="en"/>
        </w:rPr>
        <w:t>Sampling Techniques</w:t>
      </w:r>
      <w:r w:rsidRPr="000973CF">
        <w:rPr>
          <w:color w:val="000000"/>
          <w:sz w:val="16"/>
          <w:szCs w:val="16"/>
          <w:lang w:val="en"/>
        </w:rPr>
        <w:t>.</w:t>
      </w:r>
      <w:proofErr w:type="gramEnd"/>
      <w:r w:rsidRPr="000973CF">
        <w:rPr>
          <w:color w:val="000000"/>
          <w:sz w:val="16"/>
          <w:szCs w:val="16"/>
          <w:lang w:val="en"/>
        </w:rPr>
        <w:t xml:space="preserve"> </w:t>
      </w:r>
      <w:proofErr w:type="gramStart"/>
      <w:r w:rsidRPr="000973CF">
        <w:rPr>
          <w:color w:val="000000"/>
          <w:sz w:val="16"/>
          <w:szCs w:val="16"/>
          <w:lang w:val="en"/>
        </w:rPr>
        <w:t>3rd Edition.</w:t>
      </w:r>
      <w:proofErr w:type="gramEnd"/>
      <w:r w:rsidRPr="000973CF">
        <w:rPr>
          <w:color w:val="000000"/>
          <w:sz w:val="16"/>
          <w:szCs w:val="16"/>
          <w:lang w:val="en"/>
        </w:rPr>
        <w:t xml:space="preserve"> Toronto. </w:t>
      </w:r>
      <w:proofErr w:type="gramStart"/>
      <w:r w:rsidRPr="000973CF">
        <w:rPr>
          <w:color w:val="000000"/>
          <w:sz w:val="16"/>
          <w:szCs w:val="16"/>
          <w:lang w:val="en"/>
        </w:rPr>
        <w:t>John Wiley and Sons.</w:t>
      </w:r>
      <w:proofErr w:type="gramEnd"/>
    </w:p>
    <w:p w:rsidR="006A43D1" w:rsidRPr="000973CF" w:rsidRDefault="006A43D1" w:rsidP="006A43D1">
      <w:pPr>
        <w:pStyle w:val="FootnoteText"/>
        <w:rPr>
          <w:sz w:val="16"/>
          <w:szCs w:val="16"/>
        </w:rPr>
      </w:pPr>
    </w:p>
  </w:footnote>
  <w:footnote w:id="3">
    <w:p w:rsidR="006A43D1" w:rsidRPr="000973CF" w:rsidRDefault="006A43D1" w:rsidP="006A43D1">
      <w:pPr>
        <w:pStyle w:val="FootnoteText"/>
        <w:rPr>
          <w:sz w:val="16"/>
          <w:szCs w:val="16"/>
        </w:rPr>
      </w:pPr>
      <w:r w:rsidRPr="000973CF">
        <w:rPr>
          <w:rStyle w:val="FootnoteReference"/>
          <w:sz w:val="16"/>
          <w:szCs w:val="16"/>
        </w:rPr>
        <w:footnoteRef/>
      </w:r>
      <w:r w:rsidRPr="000973CF">
        <w:rPr>
          <w:sz w:val="16"/>
          <w:szCs w:val="16"/>
        </w:rPr>
        <w:t xml:space="preserve"> </w:t>
      </w:r>
      <w:proofErr w:type="spellStart"/>
      <w:proofErr w:type="gramStart"/>
      <w:r w:rsidRPr="000973CF">
        <w:rPr>
          <w:sz w:val="16"/>
          <w:szCs w:val="16"/>
        </w:rPr>
        <w:t>Lohr</w:t>
      </w:r>
      <w:proofErr w:type="spellEnd"/>
      <w:r w:rsidRPr="000973CF">
        <w:rPr>
          <w:sz w:val="16"/>
          <w:szCs w:val="16"/>
        </w:rPr>
        <w:t>, S., 1998.</w:t>
      </w:r>
      <w:proofErr w:type="gramEnd"/>
      <w:r w:rsidRPr="000973CF">
        <w:rPr>
          <w:sz w:val="16"/>
          <w:szCs w:val="16"/>
        </w:rPr>
        <w:t xml:space="preserve"> Sampling: Design and Analysis.</w:t>
      </w:r>
      <w:r w:rsidRPr="000973CF">
        <w:rPr>
          <w:sz w:val="16"/>
          <w:szCs w:val="16"/>
          <w:lang w:val="en"/>
        </w:rPr>
        <w:t xml:space="preserve"> Duxbury </w:t>
      </w:r>
      <w:r w:rsidRPr="000973CF">
        <w:rPr>
          <w:rStyle w:val="Strong"/>
          <w:b w:val="0"/>
          <w:sz w:val="16"/>
          <w:szCs w:val="16"/>
          <w:lang w:val="en"/>
        </w:rPr>
        <w:t>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C0669"/>
    <w:multiLevelType w:val="hybridMultilevel"/>
    <w:tmpl w:val="4650DA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D1"/>
    <w:rsid w:val="002C1D66"/>
    <w:rsid w:val="005F4009"/>
    <w:rsid w:val="006A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D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43D1"/>
    <w:pPr>
      <w:tabs>
        <w:tab w:val="center" w:pos="4320"/>
        <w:tab w:val="right" w:pos="8640"/>
      </w:tabs>
    </w:pPr>
  </w:style>
  <w:style w:type="character" w:customStyle="1" w:styleId="FooterChar">
    <w:name w:val="Footer Char"/>
    <w:basedOn w:val="DefaultParagraphFont"/>
    <w:link w:val="Footer"/>
    <w:rsid w:val="006A43D1"/>
    <w:rPr>
      <w:rFonts w:ascii="Times New Roman" w:eastAsia="Times New Roman" w:hAnsi="Times New Roman" w:cs="Times New Roman"/>
      <w:sz w:val="20"/>
      <w:szCs w:val="20"/>
    </w:rPr>
  </w:style>
  <w:style w:type="character" w:styleId="PageNumber">
    <w:name w:val="page number"/>
    <w:basedOn w:val="DefaultParagraphFont"/>
    <w:rsid w:val="006A43D1"/>
  </w:style>
  <w:style w:type="character" w:styleId="FootnoteReference">
    <w:name w:val="footnote reference"/>
    <w:semiHidden/>
    <w:rsid w:val="006A43D1"/>
    <w:rPr>
      <w:vertAlign w:val="superscript"/>
    </w:rPr>
  </w:style>
  <w:style w:type="paragraph" w:styleId="FootnoteText">
    <w:name w:val="footnote text"/>
    <w:basedOn w:val="Normal"/>
    <w:link w:val="FootnoteTextChar"/>
    <w:semiHidden/>
    <w:rsid w:val="006A43D1"/>
  </w:style>
  <w:style w:type="character" w:customStyle="1" w:styleId="FootnoteTextChar">
    <w:name w:val="Footnote Text Char"/>
    <w:basedOn w:val="DefaultParagraphFont"/>
    <w:link w:val="FootnoteText"/>
    <w:semiHidden/>
    <w:rsid w:val="006A43D1"/>
    <w:rPr>
      <w:rFonts w:ascii="Times New Roman" w:eastAsia="Times New Roman" w:hAnsi="Times New Roman" w:cs="Times New Roman"/>
      <w:sz w:val="20"/>
      <w:szCs w:val="20"/>
    </w:rPr>
  </w:style>
  <w:style w:type="character" w:styleId="Hyperlink">
    <w:name w:val="Hyperlink"/>
    <w:rsid w:val="006A43D1"/>
    <w:rPr>
      <w:color w:val="0000FF"/>
      <w:u w:val="single"/>
    </w:rPr>
  </w:style>
  <w:style w:type="paragraph" w:styleId="BodyText3">
    <w:name w:val="Body Text 3"/>
    <w:basedOn w:val="Normal"/>
    <w:link w:val="BodyText3Char"/>
    <w:rsid w:val="006A43D1"/>
    <w:pPr>
      <w:spacing w:after="120"/>
    </w:pPr>
    <w:rPr>
      <w:sz w:val="16"/>
      <w:szCs w:val="16"/>
    </w:rPr>
  </w:style>
  <w:style w:type="character" w:customStyle="1" w:styleId="BodyText3Char">
    <w:name w:val="Body Text 3 Char"/>
    <w:basedOn w:val="DefaultParagraphFont"/>
    <w:link w:val="BodyText3"/>
    <w:rsid w:val="006A43D1"/>
    <w:rPr>
      <w:rFonts w:ascii="Times New Roman" w:eastAsia="Times New Roman" w:hAnsi="Times New Roman" w:cs="Times New Roman"/>
      <w:sz w:val="16"/>
      <w:szCs w:val="16"/>
    </w:rPr>
  </w:style>
  <w:style w:type="character" w:styleId="Emphasis">
    <w:name w:val="Emphasis"/>
    <w:qFormat/>
    <w:rsid w:val="006A43D1"/>
    <w:rPr>
      <w:i/>
      <w:iCs/>
    </w:rPr>
  </w:style>
  <w:style w:type="character" w:styleId="Strong">
    <w:name w:val="Strong"/>
    <w:qFormat/>
    <w:rsid w:val="006A43D1"/>
    <w:rPr>
      <w:b/>
      <w:bCs/>
    </w:rPr>
  </w:style>
  <w:style w:type="paragraph" w:customStyle="1" w:styleId="Normal12pt">
    <w:name w:val="Normal + 12 pt"/>
    <w:aliases w:val="Bold,Centered"/>
    <w:basedOn w:val="Normal"/>
    <w:rsid w:val="006A43D1"/>
    <w:pPr>
      <w:widowControl/>
    </w:pPr>
    <w:rPr>
      <w:rFonts w:ascii="Helvetica-Bold" w:hAnsi="Helvetica-Bold" w:cs="Helvetica-Bold"/>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D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43D1"/>
    <w:pPr>
      <w:tabs>
        <w:tab w:val="center" w:pos="4320"/>
        <w:tab w:val="right" w:pos="8640"/>
      </w:tabs>
    </w:pPr>
  </w:style>
  <w:style w:type="character" w:customStyle="1" w:styleId="FooterChar">
    <w:name w:val="Footer Char"/>
    <w:basedOn w:val="DefaultParagraphFont"/>
    <w:link w:val="Footer"/>
    <w:rsid w:val="006A43D1"/>
    <w:rPr>
      <w:rFonts w:ascii="Times New Roman" w:eastAsia="Times New Roman" w:hAnsi="Times New Roman" w:cs="Times New Roman"/>
      <w:sz w:val="20"/>
      <w:szCs w:val="20"/>
    </w:rPr>
  </w:style>
  <w:style w:type="character" w:styleId="PageNumber">
    <w:name w:val="page number"/>
    <w:basedOn w:val="DefaultParagraphFont"/>
    <w:rsid w:val="006A43D1"/>
  </w:style>
  <w:style w:type="character" w:styleId="FootnoteReference">
    <w:name w:val="footnote reference"/>
    <w:semiHidden/>
    <w:rsid w:val="006A43D1"/>
    <w:rPr>
      <w:vertAlign w:val="superscript"/>
    </w:rPr>
  </w:style>
  <w:style w:type="paragraph" w:styleId="FootnoteText">
    <w:name w:val="footnote text"/>
    <w:basedOn w:val="Normal"/>
    <w:link w:val="FootnoteTextChar"/>
    <w:semiHidden/>
    <w:rsid w:val="006A43D1"/>
  </w:style>
  <w:style w:type="character" w:customStyle="1" w:styleId="FootnoteTextChar">
    <w:name w:val="Footnote Text Char"/>
    <w:basedOn w:val="DefaultParagraphFont"/>
    <w:link w:val="FootnoteText"/>
    <w:semiHidden/>
    <w:rsid w:val="006A43D1"/>
    <w:rPr>
      <w:rFonts w:ascii="Times New Roman" w:eastAsia="Times New Roman" w:hAnsi="Times New Roman" w:cs="Times New Roman"/>
      <w:sz w:val="20"/>
      <w:szCs w:val="20"/>
    </w:rPr>
  </w:style>
  <w:style w:type="character" w:styleId="Hyperlink">
    <w:name w:val="Hyperlink"/>
    <w:rsid w:val="006A43D1"/>
    <w:rPr>
      <w:color w:val="0000FF"/>
      <w:u w:val="single"/>
    </w:rPr>
  </w:style>
  <w:style w:type="paragraph" w:styleId="BodyText3">
    <w:name w:val="Body Text 3"/>
    <w:basedOn w:val="Normal"/>
    <w:link w:val="BodyText3Char"/>
    <w:rsid w:val="006A43D1"/>
    <w:pPr>
      <w:spacing w:after="120"/>
    </w:pPr>
    <w:rPr>
      <w:sz w:val="16"/>
      <w:szCs w:val="16"/>
    </w:rPr>
  </w:style>
  <w:style w:type="character" w:customStyle="1" w:styleId="BodyText3Char">
    <w:name w:val="Body Text 3 Char"/>
    <w:basedOn w:val="DefaultParagraphFont"/>
    <w:link w:val="BodyText3"/>
    <w:rsid w:val="006A43D1"/>
    <w:rPr>
      <w:rFonts w:ascii="Times New Roman" w:eastAsia="Times New Roman" w:hAnsi="Times New Roman" w:cs="Times New Roman"/>
      <w:sz w:val="16"/>
      <w:szCs w:val="16"/>
    </w:rPr>
  </w:style>
  <w:style w:type="character" w:styleId="Emphasis">
    <w:name w:val="Emphasis"/>
    <w:qFormat/>
    <w:rsid w:val="006A43D1"/>
    <w:rPr>
      <w:i/>
      <w:iCs/>
    </w:rPr>
  </w:style>
  <w:style w:type="character" w:styleId="Strong">
    <w:name w:val="Strong"/>
    <w:qFormat/>
    <w:rsid w:val="006A43D1"/>
    <w:rPr>
      <w:b/>
      <w:bCs/>
    </w:rPr>
  </w:style>
  <w:style w:type="paragraph" w:customStyle="1" w:styleId="Normal12pt">
    <w:name w:val="Normal + 12 pt"/>
    <w:aliases w:val="Bold,Centered"/>
    <w:basedOn w:val="Normal"/>
    <w:rsid w:val="006A43D1"/>
    <w:pPr>
      <w:widowControl/>
    </w:pPr>
    <w:rPr>
      <w:rFonts w:ascii="Helvetica-Bold" w:hAnsi="Helvetica-Bold" w:cs="Helvetica-Bold"/>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cox@quan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6E99-C009-401B-9A4E-F9BCD879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2016-04-19T19:23:00Z</dcterms:created>
  <dcterms:modified xsi:type="dcterms:W3CDTF">2016-04-19T19:24:00Z</dcterms:modified>
</cp:coreProperties>
</file>