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91" w:rsidRPr="00F7292B" w:rsidRDefault="00F86F91" w:rsidP="00F86F91">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sz w:val="24"/>
          <w:szCs w:val="24"/>
        </w:rPr>
        <w:t>S</w:t>
      </w:r>
      <w:r w:rsidRPr="00F7292B">
        <w:rPr>
          <w:rFonts w:ascii="Times New Roman" w:hAnsi="Times New Roman" w:cs="Times New Roman"/>
          <w:color w:val="auto"/>
          <w:sz w:val="24"/>
          <w:szCs w:val="24"/>
        </w:rPr>
        <w:t>UPPORTING STATEMENT</w:t>
      </w:r>
    </w:p>
    <w:p w:rsidR="00F86F91" w:rsidRPr="00F7292B" w:rsidRDefault="00F86F91" w:rsidP="00F86F91">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color w:val="auto"/>
          <w:sz w:val="24"/>
          <w:szCs w:val="24"/>
          <w:lang w:val="en-CA"/>
        </w:rPr>
        <w:fldChar w:fldCharType="begin"/>
      </w:r>
      <w:r w:rsidRPr="00F7292B">
        <w:rPr>
          <w:rFonts w:ascii="Times New Roman" w:hAnsi="Times New Roman" w:cs="Times New Roman"/>
          <w:color w:val="auto"/>
          <w:sz w:val="24"/>
          <w:szCs w:val="24"/>
          <w:lang w:val="en-CA"/>
        </w:rPr>
        <w:instrText xml:space="preserve"> SEQ CHAPTER \h \r 1</w:instrText>
      </w:r>
      <w:r w:rsidRPr="00F7292B">
        <w:rPr>
          <w:rFonts w:ascii="Times New Roman" w:hAnsi="Times New Roman" w:cs="Times New Roman"/>
          <w:color w:val="auto"/>
          <w:sz w:val="24"/>
          <w:szCs w:val="24"/>
          <w:lang w:val="en-CA"/>
        </w:rPr>
        <w:fldChar w:fldCharType="end"/>
      </w:r>
      <w:r w:rsidRPr="00F7292B">
        <w:rPr>
          <w:rFonts w:ascii="Times New Roman" w:hAnsi="Times New Roman" w:cs="Times New Roman"/>
          <w:color w:val="auto"/>
          <w:sz w:val="24"/>
          <w:szCs w:val="24"/>
        </w:rPr>
        <w:t xml:space="preserve">ATLANTIC HIGHLY MIGRATORY SPECIES RECREATIONAL LANDINGS </w:t>
      </w:r>
      <w:r w:rsidR="009C2623" w:rsidRPr="00F7292B">
        <w:rPr>
          <w:rFonts w:ascii="Times New Roman" w:hAnsi="Times New Roman" w:cs="Times New Roman"/>
          <w:color w:val="auto"/>
          <w:sz w:val="24"/>
          <w:szCs w:val="24"/>
        </w:rPr>
        <w:t xml:space="preserve">AND BLUEFIN TUNA CATCH </w:t>
      </w:r>
      <w:r w:rsidRPr="00F7292B">
        <w:rPr>
          <w:rFonts w:ascii="Times New Roman" w:hAnsi="Times New Roman" w:cs="Times New Roman"/>
          <w:color w:val="auto"/>
          <w:sz w:val="24"/>
          <w:szCs w:val="24"/>
        </w:rPr>
        <w:t>REPORTS</w:t>
      </w:r>
    </w:p>
    <w:p w:rsidR="00F86F91" w:rsidRPr="00F7292B" w:rsidRDefault="00F86F91" w:rsidP="00F86F91">
      <w:pPr>
        <w:pStyle w:val="Heading1"/>
        <w:spacing w:before="0"/>
        <w:jc w:val="center"/>
        <w:rPr>
          <w:rFonts w:ascii="Times New Roman" w:hAnsi="Times New Roman" w:cs="Times New Roman"/>
          <w:color w:val="auto"/>
          <w:sz w:val="24"/>
          <w:szCs w:val="24"/>
        </w:rPr>
      </w:pPr>
      <w:proofErr w:type="gramStart"/>
      <w:r w:rsidRPr="00F7292B">
        <w:rPr>
          <w:rFonts w:ascii="Times New Roman" w:hAnsi="Times New Roman" w:cs="Times New Roman"/>
          <w:color w:val="auto"/>
          <w:sz w:val="24"/>
          <w:szCs w:val="24"/>
        </w:rPr>
        <w:t>OMB CONTROL NO.</w:t>
      </w:r>
      <w:proofErr w:type="gramEnd"/>
      <w:r w:rsidRPr="00F7292B">
        <w:rPr>
          <w:rFonts w:ascii="Times New Roman" w:hAnsi="Times New Roman" w:cs="Times New Roman"/>
          <w:color w:val="auto"/>
          <w:sz w:val="24"/>
          <w:szCs w:val="24"/>
        </w:rPr>
        <w:t xml:space="preserve"> 0648-0328</w:t>
      </w:r>
    </w:p>
    <w:p w:rsidR="00F86F91" w:rsidRPr="00F86F91" w:rsidRDefault="00F86F91" w:rsidP="00F86F91"/>
    <w:p w:rsidR="00F86F91" w:rsidRPr="00F86F91" w:rsidRDefault="00F86F91" w:rsidP="00F86F91">
      <w:pPr>
        <w:pStyle w:val="Heading2"/>
        <w:numPr>
          <w:ilvl w:val="0"/>
          <w:numId w:val="2"/>
        </w:numPr>
        <w:ind w:left="540" w:hanging="540"/>
      </w:pPr>
      <w:r>
        <w:t>COLL</w:t>
      </w:r>
      <w:r w:rsidRPr="00F86F91">
        <w:t>ECTIONS OF INFORMATION EMPLOYING STATISTICAL METHODS</w:t>
      </w:r>
    </w:p>
    <w:p w:rsidR="00F86F91" w:rsidRPr="00707113" w:rsidRDefault="00F86F91" w:rsidP="00F86F91">
      <w:pPr>
        <w:rPr>
          <w:sz w:val="24"/>
          <w:szCs w:val="24"/>
        </w:rPr>
      </w:pPr>
    </w:p>
    <w:p w:rsidR="00F86F91" w:rsidRPr="00707113" w:rsidRDefault="00F86F91" w:rsidP="00707113">
      <w:pPr>
        <w:pStyle w:val="NoSpacing"/>
        <w:rPr>
          <w:sz w:val="24"/>
          <w:szCs w:val="24"/>
        </w:rPr>
      </w:pPr>
      <w:r w:rsidRPr="00707113">
        <w:rPr>
          <w:sz w:val="24"/>
          <w:szCs w:val="24"/>
        </w:rPr>
        <w:t>1.  Describe (including a numerical estimate) the potential respondent universe and any sampling or other respondent selection method to be used.  Data on the number of entities (e.g.</w:t>
      </w:r>
      <w:r w:rsidR="00F7292B" w:rsidRPr="00707113">
        <w:rPr>
          <w:sz w:val="24"/>
          <w:szCs w:val="24"/>
        </w:rPr>
        <w:t>,</w:t>
      </w:r>
      <w:r w:rsidRPr="00707113">
        <w:rPr>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F86F91" w:rsidRPr="00707113"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rPr>
          <w:sz w:val="24"/>
        </w:rPr>
      </w:pPr>
      <w:r>
        <w:rPr>
          <w:sz w:val="24"/>
        </w:rPr>
        <w:t>The number of vessel owners permitted in the HMS Angling</w:t>
      </w:r>
      <w:r w:rsidR="00252F99">
        <w:rPr>
          <w:sz w:val="24"/>
        </w:rPr>
        <w:t>,</w:t>
      </w:r>
      <w:r w:rsidR="00B64540">
        <w:rPr>
          <w:sz w:val="24"/>
        </w:rPr>
        <w:t xml:space="preserve"> </w:t>
      </w:r>
      <w:r>
        <w:rPr>
          <w:sz w:val="24"/>
        </w:rPr>
        <w:t>HMS Charter/Headboat</w:t>
      </w:r>
      <w:r w:rsidR="00252F99">
        <w:rPr>
          <w:sz w:val="24"/>
        </w:rPr>
        <w:t xml:space="preserve">, Atlantic </w:t>
      </w:r>
      <w:r w:rsidR="00D03653">
        <w:rPr>
          <w:sz w:val="24"/>
        </w:rPr>
        <w:t xml:space="preserve">tunas </w:t>
      </w:r>
      <w:r w:rsidR="00252F99">
        <w:rPr>
          <w:sz w:val="24"/>
        </w:rPr>
        <w:t xml:space="preserve">General and Atlantic </w:t>
      </w:r>
      <w:r w:rsidR="00D03653">
        <w:rPr>
          <w:sz w:val="24"/>
        </w:rPr>
        <w:t>t</w:t>
      </w:r>
      <w:r w:rsidR="00252F99">
        <w:rPr>
          <w:sz w:val="24"/>
        </w:rPr>
        <w:t xml:space="preserve">unas Harpoon </w:t>
      </w:r>
      <w:r>
        <w:rPr>
          <w:sz w:val="24"/>
        </w:rPr>
        <w:t>Categor</w:t>
      </w:r>
      <w:r w:rsidR="00252F99">
        <w:rPr>
          <w:sz w:val="24"/>
        </w:rPr>
        <w:t>ies</w:t>
      </w:r>
      <w:r>
        <w:rPr>
          <w:sz w:val="24"/>
        </w:rPr>
        <w:t xml:space="preserve"> is presented in Table 2.  Only anglers fishing on vessels permitted in these categories are allowed to fish for swordfish, billfish, or bluefin tuna outside of registered HMS tournaments.  </w:t>
      </w:r>
      <w:r w:rsidR="00F7292B">
        <w:rPr>
          <w:sz w:val="24"/>
        </w:rPr>
        <w:t>The National Marine Fisheries Service (</w:t>
      </w:r>
      <w:r>
        <w:rPr>
          <w:sz w:val="24"/>
        </w:rPr>
        <w:t>NMFS</w:t>
      </w:r>
      <w:r w:rsidR="00F7292B">
        <w:rPr>
          <w:sz w:val="24"/>
        </w:rPr>
        <w:t>)</w:t>
      </w:r>
      <w:r>
        <w:rPr>
          <w:sz w:val="24"/>
        </w:rPr>
        <w:t xml:space="preserve"> does not know the actual respondent universe number, only the number of swordfish, billfish, and bluefin tuna landed</w:t>
      </w:r>
      <w:r w:rsidR="006050A5">
        <w:rPr>
          <w:sz w:val="24"/>
        </w:rPr>
        <w:t xml:space="preserve"> and data on bluefin tuna discarded dead</w:t>
      </w:r>
      <w:r>
        <w:rPr>
          <w:sz w:val="24"/>
        </w:rPr>
        <w:t xml:space="preserve">.  The number of permit holders represents only the maximum number of respondents, but this is not the same as a universe for sampling purposes.  There is no sampling or any other method used to select respondents in this data collection.  The </w:t>
      </w:r>
      <w:r w:rsidRPr="001E7EE2">
        <w:rPr>
          <w:sz w:val="24"/>
        </w:rPr>
        <w:t xml:space="preserve">swordfish, billfish, and bluefin tuna </w:t>
      </w:r>
      <w:r>
        <w:rPr>
          <w:sz w:val="24"/>
        </w:rPr>
        <w:t xml:space="preserve">landings </w:t>
      </w:r>
      <w:r w:rsidR="00F572EC">
        <w:rPr>
          <w:sz w:val="24"/>
        </w:rPr>
        <w:t xml:space="preserve">and dead discard </w:t>
      </w:r>
      <w:r>
        <w:rPr>
          <w:sz w:val="24"/>
        </w:rPr>
        <w:t xml:space="preserve">reports are mandatory; therefore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lang w:val="en-CA"/>
        </w:rPr>
        <w:t>t</w:t>
      </w:r>
      <w:r>
        <w:rPr>
          <w:sz w:val="24"/>
          <w:szCs w:val="24"/>
        </w:rPr>
        <w:t>his collection is a census of landings</w:t>
      </w:r>
      <w:r w:rsidR="006050A5">
        <w:rPr>
          <w:sz w:val="24"/>
          <w:szCs w:val="24"/>
        </w:rPr>
        <w:t xml:space="preserve"> and </w:t>
      </w:r>
      <w:r w:rsidR="00F572EC">
        <w:rPr>
          <w:sz w:val="24"/>
          <w:szCs w:val="24"/>
        </w:rPr>
        <w:t>dead discards</w:t>
      </w:r>
      <w:r w:rsidR="006050A5">
        <w:rPr>
          <w:sz w:val="24"/>
          <w:szCs w:val="24"/>
        </w:rPr>
        <w:t xml:space="preserve"> (</w:t>
      </w:r>
      <w:proofErr w:type="gramStart"/>
      <w:r w:rsidR="006050A5">
        <w:rPr>
          <w:sz w:val="24"/>
          <w:szCs w:val="24"/>
        </w:rPr>
        <w:t>for</w:t>
      </w:r>
      <w:proofErr w:type="gramEnd"/>
      <w:r w:rsidR="006050A5">
        <w:rPr>
          <w:sz w:val="24"/>
          <w:szCs w:val="24"/>
        </w:rPr>
        <w:t xml:space="preserve"> commercial </w:t>
      </w:r>
      <w:proofErr w:type="spellStart"/>
      <w:r w:rsidR="006050A5">
        <w:rPr>
          <w:sz w:val="24"/>
          <w:szCs w:val="24"/>
        </w:rPr>
        <w:t>handgear</w:t>
      </w:r>
      <w:proofErr w:type="spellEnd"/>
      <w:r w:rsidR="006050A5">
        <w:rPr>
          <w:sz w:val="24"/>
          <w:szCs w:val="24"/>
        </w:rPr>
        <w:t xml:space="preserve"> fishermen)</w:t>
      </w:r>
      <w:r w:rsidR="00D03653">
        <w:rPr>
          <w:sz w:val="24"/>
          <w:szCs w:val="24"/>
        </w:rPr>
        <w:t>.</w:t>
      </w:r>
      <w:r>
        <w:rPr>
          <w:sz w:val="24"/>
        </w:rPr>
        <w:t xml:space="preserve">  NMFS does not know what the response rates are, nor can NMFS predict them, because NMFS is not conducting a statistical survey from a known universe of respondents.</w:t>
      </w:r>
    </w:p>
    <w:p w:rsidR="00F86F91" w:rsidRDefault="00F86F91" w:rsidP="00F86F91">
      <w:pPr>
        <w:rPr>
          <w:sz w:val="24"/>
          <w:szCs w:val="24"/>
        </w:rPr>
      </w:pPr>
    </w:p>
    <w:p w:rsidR="00F86F91" w:rsidRPr="003275C9" w:rsidRDefault="00F86F91" w:rsidP="00F86F91">
      <w:pPr>
        <w:pStyle w:val="TableHeading"/>
        <w:jc w:val="center"/>
      </w:pPr>
      <w:proofErr w:type="gramStart"/>
      <w:r w:rsidRPr="003275C9">
        <w:t xml:space="preserve">Table </w:t>
      </w:r>
      <w:r>
        <w:t>2</w:t>
      </w:r>
      <w:r w:rsidRPr="003275C9">
        <w:t>.</w:t>
      </w:r>
      <w:proofErr w:type="gramEnd"/>
      <w:r w:rsidRPr="003275C9">
        <w:t xml:space="preserve">  </w:t>
      </w:r>
      <w:proofErr w:type="gramStart"/>
      <w:r w:rsidRPr="003275C9">
        <w:t>Number of HMS permits b</w:t>
      </w:r>
      <w:r>
        <w:t>y year and category,</w:t>
      </w:r>
      <w:r w:rsidR="00F7292B">
        <w:t xml:space="preserve"> 2003 -</w:t>
      </w:r>
      <w:r>
        <w:t xml:space="preserve"> 201</w:t>
      </w:r>
      <w:r w:rsidR="00B179E9">
        <w:t>4</w:t>
      </w:r>
      <w:r w:rsidRPr="003275C9">
        <w:t>.</w:t>
      </w:r>
      <w:proofErr w:type="gramEnd"/>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270"/>
        <w:gridCol w:w="2110"/>
        <w:gridCol w:w="1079"/>
        <w:gridCol w:w="1170"/>
      </w:tblGrid>
      <w:tr w:rsidR="00252F99" w:rsidRPr="00DD7289" w:rsidTr="00707113">
        <w:trPr>
          <w:trHeight w:val="369"/>
          <w:jc w:val="center"/>
        </w:trPr>
        <w:tc>
          <w:tcPr>
            <w:tcW w:w="843"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Year</w:t>
            </w:r>
          </w:p>
        </w:tc>
        <w:tc>
          <w:tcPr>
            <w:tcW w:w="1270"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Angling</w:t>
            </w:r>
          </w:p>
        </w:tc>
        <w:tc>
          <w:tcPr>
            <w:tcW w:w="2110"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Charter/Headboat</w:t>
            </w:r>
          </w:p>
        </w:tc>
        <w:tc>
          <w:tcPr>
            <w:tcW w:w="1079" w:type="dxa"/>
            <w:shd w:val="clear" w:color="auto" w:fill="D9D9D9" w:themeFill="background1" w:themeFillShade="D9"/>
            <w:vAlign w:val="center"/>
          </w:tcPr>
          <w:p w:rsidR="00252F99" w:rsidRPr="00707113" w:rsidRDefault="00A55764"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General</w:t>
            </w:r>
          </w:p>
        </w:tc>
        <w:tc>
          <w:tcPr>
            <w:tcW w:w="1170" w:type="dxa"/>
            <w:shd w:val="clear" w:color="auto" w:fill="D9D9D9" w:themeFill="background1" w:themeFillShade="D9"/>
            <w:vAlign w:val="center"/>
          </w:tcPr>
          <w:p w:rsidR="00252F99" w:rsidRPr="00707113" w:rsidRDefault="00A55764"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Harpoon</w:t>
            </w:r>
          </w:p>
        </w:tc>
      </w:tr>
      <w:tr w:rsidR="00252F99" w:rsidTr="00707113">
        <w:trPr>
          <w:trHeight w:val="369"/>
          <w:jc w:val="center"/>
        </w:trPr>
        <w:tc>
          <w:tcPr>
            <w:tcW w:w="843"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2004</w:t>
            </w:r>
          </w:p>
        </w:tc>
        <w:tc>
          <w:tcPr>
            <w:tcW w:w="127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20,245</w:t>
            </w:r>
          </w:p>
        </w:tc>
        <w:tc>
          <w:tcPr>
            <w:tcW w:w="211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3,881</w:t>
            </w:r>
          </w:p>
        </w:tc>
        <w:tc>
          <w:tcPr>
            <w:tcW w:w="1079"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70"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252F99" w:rsidTr="00707113">
        <w:trPr>
          <w:trHeight w:val="369"/>
          <w:jc w:val="center"/>
        </w:trPr>
        <w:tc>
          <w:tcPr>
            <w:tcW w:w="843"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2005</w:t>
            </w:r>
          </w:p>
        </w:tc>
        <w:tc>
          <w:tcPr>
            <w:tcW w:w="127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24,127</w:t>
            </w:r>
          </w:p>
        </w:tc>
        <w:tc>
          <w:tcPr>
            <w:tcW w:w="211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3,963</w:t>
            </w:r>
          </w:p>
        </w:tc>
        <w:tc>
          <w:tcPr>
            <w:tcW w:w="1079"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70"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252F99" w:rsidTr="00707113">
        <w:trPr>
          <w:trHeight w:val="369"/>
          <w:jc w:val="center"/>
        </w:trPr>
        <w:tc>
          <w:tcPr>
            <w:tcW w:w="843"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2006</w:t>
            </w:r>
          </w:p>
        </w:tc>
        <w:tc>
          <w:tcPr>
            <w:tcW w:w="127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25,238</w:t>
            </w:r>
          </w:p>
        </w:tc>
        <w:tc>
          <w:tcPr>
            <w:tcW w:w="211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4,173</w:t>
            </w:r>
          </w:p>
        </w:tc>
        <w:tc>
          <w:tcPr>
            <w:tcW w:w="1079"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70"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252F99" w:rsidTr="00707113">
        <w:trPr>
          <w:trHeight w:val="369"/>
          <w:jc w:val="center"/>
        </w:trPr>
        <w:tc>
          <w:tcPr>
            <w:tcW w:w="843"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2007</w:t>
            </w:r>
          </w:p>
        </w:tc>
        <w:tc>
          <w:tcPr>
            <w:tcW w:w="127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24,220</w:t>
            </w:r>
          </w:p>
        </w:tc>
        <w:tc>
          <w:tcPr>
            <w:tcW w:w="211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3,899</w:t>
            </w:r>
          </w:p>
        </w:tc>
        <w:tc>
          <w:tcPr>
            <w:tcW w:w="1079"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70"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252F99" w:rsidTr="00707113">
        <w:trPr>
          <w:trHeight w:val="440"/>
          <w:jc w:val="center"/>
        </w:trPr>
        <w:tc>
          <w:tcPr>
            <w:tcW w:w="843" w:type="dxa"/>
            <w:shd w:val="clear" w:color="auto" w:fill="FFFFFF" w:themeFill="background1"/>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2008</w:t>
            </w:r>
          </w:p>
        </w:tc>
        <w:tc>
          <w:tcPr>
            <w:tcW w:w="1270" w:type="dxa"/>
            <w:shd w:val="clear" w:color="auto" w:fill="FFFFFF" w:themeFill="background1"/>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26,933</w:t>
            </w:r>
          </w:p>
        </w:tc>
        <w:tc>
          <w:tcPr>
            <w:tcW w:w="2110" w:type="dxa"/>
            <w:shd w:val="clear" w:color="auto" w:fill="FFFFFF" w:themeFill="background1"/>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4,297</w:t>
            </w:r>
          </w:p>
        </w:tc>
        <w:tc>
          <w:tcPr>
            <w:tcW w:w="1079"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70"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252F99" w:rsidTr="00707113">
        <w:trPr>
          <w:trHeight w:val="369"/>
          <w:jc w:val="center"/>
        </w:trPr>
        <w:tc>
          <w:tcPr>
            <w:tcW w:w="843"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2009</w:t>
            </w:r>
          </w:p>
        </w:tc>
        <w:tc>
          <w:tcPr>
            <w:tcW w:w="127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25,506</w:t>
            </w:r>
          </w:p>
        </w:tc>
        <w:tc>
          <w:tcPr>
            <w:tcW w:w="211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4,150</w:t>
            </w:r>
          </w:p>
        </w:tc>
        <w:tc>
          <w:tcPr>
            <w:tcW w:w="1079"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70"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252F99" w:rsidTr="00707113">
        <w:trPr>
          <w:trHeight w:val="369"/>
          <w:jc w:val="center"/>
        </w:trPr>
        <w:tc>
          <w:tcPr>
            <w:tcW w:w="843"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2010</w:t>
            </w:r>
          </w:p>
        </w:tc>
        <w:tc>
          <w:tcPr>
            <w:tcW w:w="127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24,479</w:t>
            </w:r>
          </w:p>
        </w:tc>
        <w:tc>
          <w:tcPr>
            <w:tcW w:w="211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4,174</w:t>
            </w:r>
          </w:p>
        </w:tc>
        <w:tc>
          <w:tcPr>
            <w:tcW w:w="1079"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70"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252F99" w:rsidTr="00707113">
        <w:trPr>
          <w:trHeight w:val="369"/>
          <w:jc w:val="center"/>
        </w:trPr>
        <w:tc>
          <w:tcPr>
            <w:tcW w:w="843"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2011</w:t>
            </w:r>
          </w:p>
        </w:tc>
        <w:tc>
          <w:tcPr>
            <w:tcW w:w="127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23,138</w:t>
            </w:r>
          </w:p>
        </w:tc>
        <w:tc>
          <w:tcPr>
            <w:tcW w:w="2110" w:type="dxa"/>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4,194</w:t>
            </w:r>
          </w:p>
        </w:tc>
        <w:tc>
          <w:tcPr>
            <w:tcW w:w="1079"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c>
          <w:tcPr>
            <w:tcW w:w="1170" w:type="dxa"/>
            <w:shd w:val="clear" w:color="auto" w:fill="D9D9D9" w:themeFill="background1" w:themeFillShade="D9"/>
            <w:vAlign w:val="center"/>
          </w:tcPr>
          <w:p w:rsidR="00252F99" w:rsidRPr="00707113" w:rsidRDefault="00252F99"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tc>
      </w:tr>
      <w:tr w:rsidR="00A55764" w:rsidTr="00707113">
        <w:trPr>
          <w:trHeight w:val="369"/>
          <w:jc w:val="center"/>
        </w:trPr>
        <w:tc>
          <w:tcPr>
            <w:tcW w:w="843" w:type="dxa"/>
            <w:vAlign w:val="center"/>
          </w:tcPr>
          <w:p w:rsidR="00A55764" w:rsidRPr="00707113" w:rsidRDefault="00A55764"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2012</w:t>
            </w:r>
          </w:p>
        </w:tc>
        <w:tc>
          <w:tcPr>
            <w:tcW w:w="1270" w:type="dxa"/>
            <w:vAlign w:val="center"/>
          </w:tcPr>
          <w:p w:rsidR="00A55764"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23,061</w:t>
            </w:r>
          </w:p>
        </w:tc>
        <w:tc>
          <w:tcPr>
            <w:tcW w:w="2110" w:type="dxa"/>
            <w:vAlign w:val="center"/>
          </w:tcPr>
          <w:p w:rsidR="00A55764"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4,129</w:t>
            </w:r>
          </w:p>
        </w:tc>
        <w:tc>
          <w:tcPr>
            <w:tcW w:w="1079" w:type="dxa"/>
            <w:vAlign w:val="center"/>
          </w:tcPr>
          <w:p w:rsidR="00A55764" w:rsidRPr="00707113" w:rsidRDefault="00A55764"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4,084</w:t>
            </w:r>
          </w:p>
        </w:tc>
        <w:tc>
          <w:tcPr>
            <w:tcW w:w="1170" w:type="dxa"/>
            <w:vAlign w:val="center"/>
          </w:tcPr>
          <w:p w:rsidR="00A55764"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13</w:t>
            </w:r>
          </w:p>
        </w:tc>
      </w:tr>
      <w:tr w:rsidR="00B3468B" w:rsidTr="00707113">
        <w:trPr>
          <w:trHeight w:val="369"/>
          <w:jc w:val="center"/>
        </w:trPr>
        <w:tc>
          <w:tcPr>
            <w:tcW w:w="843" w:type="dxa"/>
            <w:vAlign w:val="center"/>
          </w:tcPr>
          <w:p w:rsidR="00B3468B" w:rsidRPr="00707113" w:rsidRDefault="00B3468B"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2013</w:t>
            </w:r>
          </w:p>
        </w:tc>
        <w:tc>
          <w:tcPr>
            <w:tcW w:w="1270" w:type="dxa"/>
            <w:vAlign w:val="center"/>
          </w:tcPr>
          <w:p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21,686</w:t>
            </w:r>
          </w:p>
        </w:tc>
        <w:tc>
          <w:tcPr>
            <w:tcW w:w="2110" w:type="dxa"/>
            <w:vAlign w:val="center"/>
          </w:tcPr>
          <w:p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3,968</w:t>
            </w:r>
          </w:p>
        </w:tc>
        <w:tc>
          <w:tcPr>
            <w:tcW w:w="1079" w:type="dxa"/>
            <w:vAlign w:val="center"/>
          </w:tcPr>
          <w:p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3,783</w:t>
            </w:r>
          </w:p>
        </w:tc>
        <w:tc>
          <w:tcPr>
            <w:tcW w:w="1170" w:type="dxa"/>
            <w:vAlign w:val="center"/>
          </w:tcPr>
          <w:p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14</w:t>
            </w:r>
          </w:p>
        </w:tc>
      </w:tr>
      <w:tr w:rsidR="00B3468B" w:rsidTr="00707113">
        <w:trPr>
          <w:trHeight w:val="369"/>
          <w:jc w:val="center"/>
        </w:trPr>
        <w:tc>
          <w:tcPr>
            <w:tcW w:w="843" w:type="dxa"/>
            <w:vAlign w:val="center"/>
          </w:tcPr>
          <w:p w:rsidR="00B3468B" w:rsidRPr="00707113" w:rsidRDefault="00B3468B"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2014</w:t>
            </w:r>
          </w:p>
        </w:tc>
        <w:tc>
          <w:tcPr>
            <w:tcW w:w="1270" w:type="dxa"/>
            <w:vAlign w:val="center"/>
          </w:tcPr>
          <w:p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20,239</w:t>
            </w:r>
          </w:p>
        </w:tc>
        <w:tc>
          <w:tcPr>
            <w:tcW w:w="2110" w:type="dxa"/>
            <w:vAlign w:val="center"/>
          </w:tcPr>
          <w:p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3,742</w:t>
            </w:r>
          </w:p>
        </w:tc>
        <w:tc>
          <w:tcPr>
            <w:tcW w:w="1079" w:type="dxa"/>
            <w:vAlign w:val="center"/>
          </w:tcPr>
          <w:p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3,396</w:t>
            </w:r>
          </w:p>
        </w:tc>
        <w:tc>
          <w:tcPr>
            <w:tcW w:w="1170" w:type="dxa"/>
            <w:vAlign w:val="center"/>
          </w:tcPr>
          <w:p w:rsidR="00B3468B" w:rsidRPr="00707113" w:rsidRDefault="00DF0EC6" w:rsidP="00707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14</w:t>
            </w:r>
          </w:p>
        </w:tc>
      </w:tr>
    </w:tbl>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lastRenderedPageBreak/>
        <w:t xml:space="preserve">Based on the amount of quota available for bluefin tuna and past landing </w:t>
      </w:r>
      <w:r w:rsidR="00C11685">
        <w:rPr>
          <w:sz w:val="24"/>
        </w:rPr>
        <w:t xml:space="preserve">and discard </w:t>
      </w:r>
      <w:r>
        <w:rPr>
          <w:sz w:val="24"/>
        </w:rPr>
        <w:t xml:space="preserve">reports </w:t>
      </w:r>
      <w:r w:rsidR="00C11685">
        <w:rPr>
          <w:sz w:val="24"/>
        </w:rPr>
        <w:t>for bluefin tuna and landing reports for</w:t>
      </w:r>
      <w:r>
        <w:rPr>
          <w:sz w:val="24"/>
        </w:rPr>
        <w:t xml:space="preserve"> swordfish and billfish, it is estimated that up to </w:t>
      </w:r>
      <w:r w:rsidRPr="00123EFD">
        <w:rPr>
          <w:sz w:val="24"/>
        </w:rPr>
        <w:t>1</w:t>
      </w:r>
      <w:r w:rsidR="00C95B9F">
        <w:rPr>
          <w:sz w:val="24"/>
        </w:rPr>
        <w:t>1,</w:t>
      </w:r>
      <w:r w:rsidR="00F572EC">
        <w:rPr>
          <w:sz w:val="24"/>
        </w:rPr>
        <w:t>058</w:t>
      </w:r>
      <w:r>
        <w:rPr>
          <w:sz w:val="24"/>
        </w:rPr>
        <w:t xml:space="preserve"> individual reports could be expected each year (Table 3).</w:t>
      </w:r>
      <w:r w:rsidR="00F572EC">
        <w:rPr>
          <w:sz w:val="24"/>
        </w:rPr>
        <w:t xml:space="preserve">  </w:t>
      </w:r>
    </w:p>
    <w:p w:rsidR="00B64540" w:rsidRDefault="00B64540"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86F91" w:rsidRPr="00CD12A5" w:rsidRDefault="00F86F91" w:rsidP="00F86F91">
      <w:pPr>
        <w:pStyle w:val="TableHeading"/>
        <w:keepNext/>
        <w:widowControl/>
        <w:ind w:left="806" w:hanging="806"/>
        <w:jc w:val="center"/>
      </w:pPr>
      <w:proofErr w:type="gramStart"/>
      <w:r w:rsidRPr="00CD12A5">
        <w:t>Table 3.</w:t>
      </w:r>
      <w:proofErr w:type="gramEnd"/>
      <w:r w:rsidRPr="00CD12A5">
        <w:t xml:space="preserve">  Estimated number of annual responses (angler reports)</w:t>
      </w:r>
    </w:p>
    <w:p w:rsidR="00F86F91" w:rsidRDefault="00F86F91" w:rsidP="00F86F9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620"/>
        <w:gridCol w:w="2160"/>
      </w:tblGrid>
      <w:tr w:rsidR="00F86F91" w:rsidRPr="001E7EE2" w:rsidTr="00707113">
        <w:trPr>
          <w:jc w:val="center"/>
        </w:trPr>
        <w:tc>
          <w:tcPr>
            <w:tcW w:w="2610" w:type="dxa"/>
            <w:shd w:val="clear" w:color="auto" w:fill="D9D9D9" w:themeFill="background1" w:themeFillShade="D9"/>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Species</w:t>
            </w:r>
          </w:p>
        </w:tc>
        <w:tc>
          <w:tcPr>
            <w:tcW w:w="1620" w:type="dxa"/>
            <w:shd w:val="clear" w:color="auto" w:fill="D9D9D9" w:themeFill="background1" w:themeFillShade="D9"/>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States</w:t>
            </w:r>
          </w:p>
        </w:tc>
        <w:tc>
          <w:tcPr>
            <w:tcW w:w="2160" w:type="dxa"/>
            <w:shd w:val="clear" w:color="auto" w:fill="D9D9D9" w:themeFill="background1" w:themeFillShade="D9"/>
            <w:vAlign w:val="center"/>
          </w:tcPr>
          <w:p w:rsidR="00F86F91" w:rsidRPr="00707113" w:rsidRDefault="00CE610C"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Estimated number of responses</w:t>
            </w:r>
          </w:p>
        </w:tc>
      </w:tr>
      <w:tr w:rsidR="00F86F91" w:rsidRPr="00135A4D" w:rsidTr="00707113">
        <w:trPr>
          <w:jc w:val="center"/>
        </w:trPr>
        <w:tc>
          <w:tcPr>
            <w:tcW w:w="2610" w:type="dxa"/>
            <w:vMerge w:val="restart"/>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Bluefin Tuna</w:t>
            </w:r>
            <w:r w:rsidR="00F572EC" w:rsidRPr="00707113">
              <w:t xml:space="preserve"> </w:t>
            </w:r>
            <w:r w:rsidR="00354591" w:rsidRPr="00707113">
              <w:t>Recreational Catch</w:t>
            </w:r>
          </w:p>
        </w:tc>
        <w:tc>
          <w:tcPr>
            <w:tcW w:w="1620" w:type="dxa"/>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 &amp; NC</w:t>
            </w:r>
          </w:p>
        </w:tc>
        <w:tc>
          <w:tcPr>
            <w:tcW w:w="2160" w:type="dxa"/>
            <w:vAlign w:val="center"/>
          </w:tcPr>
          <w:p w:rsidR="00F86F91" w:rsidRPr="00707113" w:rsidRDefault="007E52E1"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3,903</w:t>
            </w:r>
          </w:p>
        </w:tc>
      </w:tr>
      <w:tr w:rsidR="00F86F91" w:rsidRPr="00135A4D" w:rsidTr="00707113">
        <w:trPr>
          <w:jc w:val="center"/>
        </w:trPr>
        <w:tc>
          <w:tcPr>
            <w:tcW w:w="2610" w:type="dxa"/>
            <w:vMerge/>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620" w:type="dxa"/>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Other states</w:t>
            </w:r>
          </w:p>
        </w:tc>
        <w:tc>
          <w:tcPr>
            <w:tcW w:w="2160" w:type="dxa"/>
            <w:vAlign w:val="center"/>
          </w:tcPr>
          <w:p w:rsidR="00F86F91" w:rsidRPr="00707113" w:rsidRDefault="007E52E1"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4,576</w:t>
            </w:r>
          </w:p>
        </w:tc>
      </w:tr>
      <w:tr w:rsidR="00F86F91" w:rsidRPr="00135A4D" w:rsidTr="00707113">
        <w:trPr>
          <w:jc w:val="center"/>
        </w:trPr>
        <w:tc>
          <w:tcPr>
            <w:tcW w:w="2610" w:type="dxa"/>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Billfish and Swordfish</w:t>
            </w:r>
          </w:p>
        </w:tc>
        <w:tc>
          <w:tcPr>
            <w:tcW w:w="1620" w:type="dxa"/>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All</w:t>
            </w:r>
          </w:p>
        </w:tc>
        <w:tc>
          <w:tcPr>
            <w:tcW w:w="2160" w:type="dxa"/>
            <w:vAlign w:val="center"/>
          </w:tcPr>
          <w:p w:rsidR="00F86F91" w:rsidRPr="00707113" w:rsidRDefault="007E52E1"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881</w:t>
            </w:r>
          </w:p>
        </w:tc>
      </w:tr>
      <w:tr w:rsidR="00F86F91" w:rsidRPr="00135A4D" w:rsidTr="00707113">
        <w:trPr>
          <w:jc w:val="center"/>
        </w:trPr>
        <w:tc>
          <w:tcPr>
            <w:tcW w:w="2610" w:type="dxa"/>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Shark Catch Cards</w:t>
            </w:r>
          </w:p>
        </w:tc>
        <w:tc>
          <w:tcPr>
            <w:tcW w:w="1620" w:type="dxa"/>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w:t>
            </w:r>
          </w:p>
        </w:tc>
        <w:tc>
          <w:tcPr>
            <w:tcW w:w="2160" w:type="dxa"/>
            <w:vAlign w:val="center"/>
          </w:tcPr>
          <w:p w:rsidR="00F86F91" w:rsidRPr="00707113" w:rsidRDefault="007E52E1"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96</w:t>
            </w:r>
          </w:p>
        </w:tc>
      </w:tr>
      <w:tr w:rsidR="00F572EC" w:rsidRPr="00135A4D" w:rsidTr="00707113">
        <w:trPr>
          <w:jc w:val="center"/>
        </w:trPr>
        <w:tc>
          <w:tcPr>
            <w:tcW w:w="2610" w:type="dxa"/>
            <w:shd w:val="clear" w:color="auto" w:fill="FFFFFF" w:themeFill="background1"/>
            <w:vAlign w:val="center"/>
          </w:tcPr>
          <w:p w:rsidR="00F572EC" w:rsidRPr="00707113" w:rsidRDefault="00F572EC"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 xml:space="preserve">Bluefin Tuna </w:t>
            </w:r>
            <w:r w:rsidR="00354591" w:rsidRPr="00707113">
              <w:t xml:space="preserve">Commercial </w:t>
            </w:r>
            <w:r w:rsidR="0016061E" w:rsidRPr="00707113">
              <w:t>Catch</w:t>
            </w:r>
          </w:p>
        </w:tc>
        <w:tc>
          <w:tcPr>
            <w:tcW w:w="1620" w:type="dxa"/>
            <w:shd w:val="clear" w:color="auto" w:fill="FFFFFF" w:themeFill="background1"/>
            <w:vAlign w:val="center"/>
          </w:tcPr>
          <w:p w:rsidR="00F572EC" w:rsidRPr="00707113" w:rsidRDefault="00F572EC"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All</w:t>
            </w:r>
          </w:p>
        </w:tc>
        <w:tc>
          <w:tcPr>
            <w:tcW w:w="2160" w:type="dxa"/>
            <w:shd w:val="clear" w:color="auto" w:fill="FFFFFF" w:themeFill="background1"/>
            <w:vAlign w:val="center"/>
          </w:tcPr>
          <w:p w:rsidR="00F572EC" w:rsidRPr="00707113" w:rsidRDefault="00354591"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3,590</w:t>
            </w:r>
          </w:p>
        </w:tc>
      </w:tr>
      <w:tr w:rsidR="00F86F91" w:rsidRPr="00135A4D" w:rsidTr="00707113">
        <w:trPr>
          <w:jc w:val="center"/>
        </w:trPr>
        <w:tc>
          <w:tcPr>
            <w:tcW w:w="2610" w:type="dxa"/>
            <w:shd w:val="clear" w:color="auto" w:fill="FFFFFF" w:themeFill="background1"/>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07113">
              <w:rPr>
                <w:b/>
              </w:rPr>
              <w:t>Total</w:t>
            </w:r>
          </w:p>
        </w:tc>
        <w:tc>
          <w:tcPr>
            <w:tcW w:w="1620" w:type="dxa"/>
            <w:shd w:val="clear" w:color="auto" w:fill="FFFFFF" w:themeFill="background1"/>
            <w:vAlign w:val="center"/>
          </w:tcPr>
          <w:p w:rsidR="00F86F91" w:rsidRPr="00707113" w:rsidRDefault="00F86F91"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160" w:type="dxa"/>
            <w:shd w:val="clear" w:color="auto" w:fill="FFFFFF" w:themeFill="background1"/>
            <w:vAlign w:val="center"/>
          </w:tcPr>
          <w:p w:rsidR="00F86F91" w:rsidRPr="00707113" w:rsidRDefault="00354591"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13,046</w:t>
            </w:r>
          </w:p>
        </w:tc>
      </w:tr>
      <w:tr w:rsidR="0010253D" w:rsidRPr="00135A4D" w:rsidTr="00707113">
        <w:trPr>
          <w:jc w:val="center"/>
        </w:trPr>
        <w:tc>
          <w:tcPr>
            <w:tcW w:w="2610" w:type="dxa"/>
            <w:shd w:val="clear" w:color="auto" w:fill="FFFFFF" w:themeFill="background1"/>
            <w:vAlign w:val="center"/>
          </w:tcPr>
          <w:p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Weekly/Biweekly and Annual Reports</w:t>
            </w:r>
          </w:p>
        </w:tc>
        <w:tc>
          <w:tcPr>
            <w:tcW w:w="1620" w:type="dxa"/>
            <w:shd w:val="clear" w:color="auto" w:fill="FFFFFF" w:themeFill="background1"/>
            <w:vAlign w:val="center"/>
          </w:tcPr>
          <w:p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w:t>
            </w:r>
            <w:r w:rsidR="00D03653" w:rsidRPr="00707113">
              <w:t xml:space="preserve"> </w:t>
            </w:r>
            <w:r w:rsidRPr="00707113">
              <w:t>&amp;</w:t>
            </w:r>
            <w:r w:rsidR="00D03653" w:rsidRPr="00707113">
              <w:t xml:space="preserve"> </w:t>
            </w:r>
            <w:r w:rsidRPr="00707113">
              <w:t>NC</w:t>
            </w:r>
          </w:p>
        </w:tc>
        <w:tc>
          <w:tcPr>
            <w:tcW w:w="2160" w:type="dxa"/>
            <w:shd w:val="clear" w:color="auto" w:fill="FFFFFF" w:themeFill="background1"/>
            <w:vAlign w:val="center"/>
          </w:tcPr>
          <w:p w:rsidR="0010253D" w:rsidRPr="00707113" w:rsidRDefault="0010253D"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64</w:t>
            </w:r>
          </w:p>
        </w:tc>
      </w:tr>
      <w:tr w:rsidR="0010253D" w:rsidRPr="00135A4D" w:rsidTr="00707113">
        <w:trPr>
          <w:jc w:val="center"/>
        </w:trPr>
        <w:tc>
          <w:tcPr>
            <w:tcW w:w="2610" w:type="dxa"/>
            <w:shd w:val="clear" w:color="auto" w:fill="FFFFFF" w:themeFill="background1"/>
            <w:vAlign w:val="center"/>
          </w:tcPr>
          <w:p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Bluefin Tuna Verification Calls</w:t>
            </w:r>
          </w:p>
        </w:tc>
        <w:tc>
          <w:tcPr>
            <w:tcW w:w="1620" w:type="dxa"/>
            <w:shd w:val="clear" w:color="auto" w:fill="FFFFFF" w:themeFill="background1"/>
            <w:vAlign w:val="center"/>
          </w:tcPr>
          <w:p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07113">
              <w:t>MD</w:t>
            </w:r>
            <w:r w:rsidR="00D03653" w:rsidRPr="00707113">
              <w:t xml:space="preserve"> </w:t>
            </w:r>
            <w:r w:rsidRPr="00707113">
              <w:t>&amp;</w:t>
            </w:r>
            <w:r w:rsidR="00D03653" w:rsidRPr="00707113">
              <w:t xml:space="preserve"> </w:t>
            </w:r>
            <w:r w:rsidRPr="00707113">
              <w:t>NC</w:t>
            </w:r>
          </w:p>
        </w:tc>
        <w:tc>
          <w:tcPr>
            <w:tcW w:w="2160" w:type="dxa"/>
            <w:shd w:val="clear" w:color="auto" w:fill="FFFFFF" w:themeFill="background1"/>
            <w:vAlign w:val="center"/>
          </w:tcPr>
          <w:p w:rsidR="0010253D" w:rsidRPr="00707113" w:rsidRDefault="007E52E1"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 w:rsidRPr="00707113">
              <w:t>20</w:t>
            </w:r>
          </w:p>
        </w:tc>
      </w:tr>
      <w:tr w:rsidR="0010253D" w:rsidRPr="00135A4D" w:rsidTr="00707113">
        <w:trPr>
          <w:jc w:val="center"/>
        </w:trPr>
        <w:tc>
          <w:tcPr>
            <w:tcW w:w="2610" w:type="dxa"/>
            <w:shd w:val="clear" w:color="auto" w:fill="FFFFFF" w:themeFill="background1"/>
            <w:vAlign w:val="center"/>
          </w:tcPr>
          <w:p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07113">
              <w:rPr>
                <w:b/>
              </w:rPr>
              <w:t>Total Responses including all requirements</w:t>
            </w:r>
          </w:p>
        </w:tc>
        <w:tc>
          <w:tcPr>
            <w:tcW w:w="1620" w:type="dxa"/>
            <w:shd w:val="clear" w:color="auto" w:fill="FFFFFF" w:themeFill="background1"/>
            <w:vAlign w:val="center"/>
          </w:tcPr>
          <w:p w:rsidR="0010253D" w:rsidRPr="00707113" w:rsidRDefault="0010253D" w:rsidP="0070711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160" w:type="dxa"/>
            <w:shd w:val="clear" w:color="auto" w:fill="FFFFFF" w:themeFill="background1"/>
            <w:vAlign w:val="center"/>
          </w:tcPr>
          <w:p w:rsidR="0010253D" w:rsidRPr="00707113" w:rsidRDefault="00354591" w:rsidP="0070711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707113">
              <w:rPr>
                <w:b/>
              </w:rPr>
              <w:t>13,130</w:t>
            </w:r>
          </w:p>
        </w:tc>
      </w:tr>
    </w:tbl>
    <w:p w:rsidR="00F86F91" w:rsidRDefault="00F86F91" w:rsidP="00F86F91">
      <w:pPr>
        <w:pStyle w:val="BNumbers"/>
      </w:pPr>
      <w: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above, all permitted anglers </w:t>
      </w:r>
      <w:r w:rsidR="00707113">
        <w:t>catching (e.g</w:t>
      </w:r>
      <w:r w:rsidR="00354591">
        <w:t>., landing or discarding dead)</w:t>
      </w:r>
      <w:r>
        <w:t xml:space="preserve"> a bluefin tuna, </w:t>
      </w:r>
      <w:r w:rsidR="00354591">
        <w:t>or landing a swordfish</w:t>
      </w:r>
      <w:r>
        <w:t xml:space="preserve"> or billfish</w:t>
      </w:r>
      <w:r w:rsidR="00354591">
        <w:t>,</w:t>
      </w:r>
      <w:r>
        <w:t xml:space="preserve"> </w:t>
      </w:r>
      <w:r w:rsidR="00354591">
        <w:t>or commercial hand-</w:t>
      </w:r>
      <w:r w:rsidR="006050A5">
        <w:t xml:space="preserve">gear fishermen </w:t>
      </w:r>
      <w:r w:rsidR="00354591">
        <w:t>catching</w:t>
      </w:r>
      <w:r w:rsidR="006050A5">
        <w:t xml:space="preserve"> a bluefin tuna </w:t>
      </w:r>
      <w:r>
        <w:t xml:space="preserve">are required to report within 24 hours.  </w:t>
      </w:r>
      <w:r w:rsidR="00354591">
        <w:t>R</w:t>
      </w:r>
      <w:r>
        <w:t xml:space="preserve">eports may be made via phone, internet, </w:t>
      </w:r>
      <w:r w:rsidR="00354591">
        <w:t>phone app,</w:t>
      </w:r>
      <w:r w:rsidR="00D03653">
        <w:t xml:space="preserve"> </w:t>
      </w:r>
      <w:r>
        <w:t xml:space="preserve">or landings cards, depending on the state.  </w:t>
      </w:r>
      <w:r w:rsidR="006050A5">
        <w:t>R</w:t>
      </w:r>
      <w:r>
        <w:t>ep</w:t>
      </w:r>
      <w:bookmarkStart w:id="0" w:name="_GoBack"/>
      <w:bookmarkEnd w:id="0"/>
      <w:r>
        <w:t>orts are mandatory and no statistical methodology or sample selection is involved.  Degree of accuracy needed is not relevant since this is a mandatory reporting program which strives for 100 percent compliance.  No specialized sampling procedures and no use of periodic data collection is involved since this collection is 100 percent mandatory.</w:t>
      </w:r>
    </w:p>
    <w:p w:rsidR="00F86F91" w:rsidRDefault="00F86F91" w:rsidP="00F86F91">
      <w:pPr>
        <w:pStyle w:val="BNumbers"/>
      </w:pPr>
      <w: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Response rates and nonresponse are terms that apply to statistical surveys based on sampling.  This is not a statistical survey because the entire population is being surveyed and no generalization based on a sample of the population will be made; therefore, this question does not apply.  However, to further encourage a high response rate (compliance rate), NMFS conducts an outreach program (</w:t>
      </w:r>
      <w:hyperlink r:id="rId9" w:history="1">
        <w:r w:rsidRPr="003A0F34">
          <w:rPr>
            <w:rStyle w:val="Hyperlink"/>
          </w:rPr>
          <w:t>compliance guides</w:t>
        </w:r>
      </w:hyperlink>
      <w:r>
        <w:t xml:space="preserve">, mailings, list serve network, etc.) to inform permit holders of the reporting requirements, and to indicate the importance of reliable </w:t>
      </w:r>
      <w:r>
        <w:lastRenderedPageBreak/>
        <w:t>information for stock assessment purposes and social/economic analysis of potential management measures.  NMFS also raises the aforementioned reporting requirements during all appropriate public hearings, discussions with leaders of the recreational community, and other meetings with the recreational angling community to encourage improved reporting.</w:t>
      </w:r>
    </w:p>
    <w:p w:rsidR="0016061E" w:rsidRDefault="0016061E" w:rsidP="00B57C23">
      <w:pPr>
        <w:widowControl/>
        <w:autoSpaceDE/>
        <w:autoSpaceDN/>
        <w:adjustRightInd/>
        <w:rPr>
          <w:b/>
          <w:sz w:val="24"/>
          <w:szCs w:val="24"/>
        </w:rPr>
      </w:pPr>
    </w:p>
    <w:p w:rsidR="00F86F91" w:rsidRPr="00B57C23" w:rsidRDefault="00F86F91" w:rsidP="00B57C23">
      <w:pPr>
        <w:widowControl/>
        <w:autoSpaceDE/>
        <w:autoSpaceDN/>
        <w:adjustRightInd/>
        <w:rPr>
          <w:b/>
          <w:sz w:val="24"/>
          <w:szCs w:val="24"/>
        </w:rPr>
      </w:pPr>
      <w:r w:rsidRPr="00B57C23">
        <w:rPr>
          <w:b/>
          <w:sz w:val="24"/>
          <w:szCs w:val="24"/>
        </w:rPr>
        <w:t>4.  Describe any tests of procedures or meth</w:t>
      </w:r>
      <w:r w:rsidR="00B57C23" w:rsidRPr="00B57C23">
        <w:rPr>
          <w:b/>
          <w:sz w:val="24"/>
          <w:szCs w:val="24"/>
        </w:rPr>
        <w:t xml:space="preserve">ods to be undertaken. Tests are </w:t>
      </w:r>
      <w:r w:rsidRPr="00B57C23">
        <w:rPr>
          <w:b/>
          <w:sz w:val="24"/>
          <w:szCs w:val="24"/>
        </w:rPr>
        <w:t>encouraged as effective means to refine collections, but if ten or more test respondents are involved OMB must give prior approval.</w:t>
      </w:r>
    </w:p>
    <w:p w:rsidR="00F86F91" w:rsidRPr="00B57C23"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 tests of procedures or methods will be undertaken, although as mentioned in </w:t>
      </w:r>
      <w:r w:rsidR="008D74A4">
        <w:t>Part</w:t>
      </w:r>
      <w:r>
        <w:t xml:space="preserve"> </w:t>
      </w:r>
      <w:proofErr w:type="gramStart"/>
      <w:r>
        <w:t>A</w:t>
      </w:r>
      <w:proofErr w:type="gramEnd"/>
      <w:r w:rsidR="008D74A4">
        <w:t>,</w:t>
      </w:r>
      <w:r>
        <w:t xml:space="preserve"> Question 4, the MRIP and L</w:t>
      </w:r>
      <w:r w:rsidR="00D03653">
        <w:t xml:space="preserve">arge </w:t>
      </w:r>
      <w:r>
        <w:t>P</w:t>
      </w:r>
      <w:r w:rsidR="00D03653">
        <w:t xml:space="preserve">elagics </w:t>
      </w:r>
      <w:r>
        <w:t>S</w:t>
      </w:r>
      <w:r w:rsidR="00D03653">
        <w:t>urvey</w:t>
      </w:r>
      <w:r>
        <w:t xml:space="preserve"> programs survey a similar group of respondents.  These surveys and their resulting reports include feasibility analyses for potential modifications to the current information collection.  One such study was conducted under this PRA clearance in Puerto Rico (Puerto Rico Catch Card Pilot Program) to assess the feasibility of introducing a catch card program similar to those in Maryland and North Carolina.  The </w:t>
      </w:r>
      <w:r w:rsidR="00D03653">
        <w:t>recommendations of this study</w:t>
      </w:r>
      <w:r>
        <w:t xml:space="preserve"> </w:t>
      </w:r>
      <w:r w:rsidR="00D03653">
        <w:t>are</w:t>
      </w:r>
      <w:r>
        <w:t xml:space="preserve"> currently in review.</w:t>
      </w:r>
    </w:p>
    <w:p w:rsidR="00F86F91" w:rsidRDefault="00F86F91" w:rsidP="00F86F91">
      <w:pPr>
        <w:pStyle w:val="BNumbers"/>
      </w:pPr>
      <w:r>
        <w:t>5.  Provide the name and telephone number of individuals consulted on the statistical aspects of the design, and the name of the agency unit, contractor(s), grantee(s), or other person(s) who will actually collect and/or analyze the information for the agency.</w:t>
      </w:r>
    </w:p>
    <w:p w:rsidR="00F86F91" w:rsidRDefault="00F86F91" w:rsidP="00F86F91">
      <w:pPr>
        <w:rPr>
          <w:sz w:val="24"/>
          <w:szCs w:val="24"/>
        </w:rPr>
      </w:pPr>
    </w:p>
    <w:p w:rsidR="00F86F91" w:rsidRDefault="00F86F91" w:rsidP="00F86F91">
      <w:pPr>
        <w:tabs>
          <w:tab w:val="left" w:pos="4320"/>
        </w:tabs>
        <w:ind w:left="4320" w:hanging="4320"/>
        <w:rPr>
          <w:sz w:val="24"/>
          <w:szCs w:val="24"/>
        </w:rPr>
      </w:pPr>
      <w:r>
        <w:rPr>
          <w:sz w:val="24"/>
          <w:szCs w:val="24"/>
        </w:rPr>
        <w:t>Maryland and North Carolina Catch Cards:</w:t>
      </w:r>
      <w:r>
        <w:rPr>
          <w:sz w:val="24"/>
          <w:szCs w:val="24"/>
        </w:rPr>
        <w:tab/>
      </w:r>
      <w:r w:rsidR="00354591">
        <w:rPr>
          <w:sz w:val="24"/>
          <w:szCs w:val="24"/>
        </w:rPr>
        <w:t>Heather Austin</w:t>
      </w:r>
    </w:p>
    <w:p w:rsidR="00F86F91" w:rsidRDefault="00F86F91" w:rsidP="00F86F91">
      <w:pPr>
        <w:tabs>
          <w:tab w:val="left" w:pos="4320"/>
        </w:tabs>
        <w:ind w:left="4320" w:hanging="4320"/>
        <w:rPr>
          <w:sz w:val="24"/>
          <w:szCs w:val="24"/>
        </w:rPr>
      </w:pPr>
      <w:r>
        <w:rPr>
          <w:sz w:val="24"/>
          <w:szCs w:val="24"/>
        </w:rPr>
        <w:tab/>
        <w:t>LPS Administrator, State Liaison, and Data Collection</w:t>
      </w:r>
    </w:p>
    <w:p w:rsidR="00F86F91" w:rsidRDefault="00F86F91" w:rsidP="00F86F91">
      <w:pPr>
        <w:tabs>
          <w:tab w:val="left" w:pos="4320"/>
        </w:tabs>
        <w:ind w:left="4320" w:hanging="4320"/>
        <w:rPr>
          <w:sz w:val="24"/>
          <w:szCs w:val="24"/>
        </w:rPr>
      </w:pPr>
      <w:r>
        <w:rPr>
          <w:sz w:val="24"/>
          <w:szCs w:val="24"/>
        </w:rPr>
        <w:tab/>
        <w:t>Office of Science and Technology</w:t>
      </w:r>
    </w:p>
    <w:p w:rsidR="00F86F91" w:rsidRDefault="00F86F91" w:rsidP="00F86F91">
      <w:pPr>
        <w:tabs>
          <w:tab w:val="left" w:pos="4320"/>
        </w:tabs>
        <w:ind w:left="4320" w:hanging="4320"/>
        <w:rPr>
          <w:sz w:val="24"/>
          <w:szCs w:val="24"/>
        </w:rPr>
      </w:pPr>
      <w:r>
        <w:rPr>
          <w:sz w:val="24"/>
          <w:szCs w:val="24"/>
        </w:rPr>
        <w:tab/>
        <w:t>1315 East West Highway</w:t>
      </w:r>
    </w:p>
    <w:p w:rsidR="00F86F91" w:rsidRDefault="00F86F91" w:rsidP="00F86F91">
      <w:pPr>
        <w:tabs>
          <w:tab w:val="left" w:pos="4320"/>
        </w:tabs>
        <w:ind w:left="4320" w:hanging="4320"/>
        <w:rPr>
          <w:sz w:val="24"/>
          <w:szCs w:val="24"/>
        </w:rPr>
      </w:pPr>
      <w:r>
        <w:rPr>
          <w:sz w:val="24"/>
          <w:szCs w:val="24"/>
        </w:rPr>
        <w:tab/>
        <w:t>Silver Spring, MD 20910</w:t>
      </w:r>
    </w:p>
    <w:p w:rsidR="00F86F91" w:rsidRDefault="00354591" w:rsidP="00F86F91">
      <w:pPr>
        <w:tabs>
          <w:tab w:val="left" w:pos="4320"/>
        </w:tabs>
        <w:ind w:left="4320" w:hanging="4320"/>
        <w:rPr>
          <w:sz w:val="24"/>
          <w:szCs w:val="24"/>
        </w:rPr>
      </w:pPr>
      <w:r>
        <w:rPr>
          <w:sz w:val="24"/>
          <w:szCs w:val="24"/>
        </w:rPr>
        <w:tab/>
        <w:t xml:space="preserve">(301) 713-2328 </w:t>
      </w:r>
    </w:p>
    <w:p w:rsidR="00F86F91" w:rsidRDefault="00F86F91" w:rsidP="00F86F91">
      <w:pPr>
        <w:tabs>
          <w:tab w:val="left" w:pos="4320"/>
        </w:tabs>
        <w:ind w:left="4320" w:hanging="4320"/>
        <w:rPr>
          <w:sz w:val="24"/>
          <w:szCs w:val="24"/>
        </w:rPr>
      </w:pPr>
    </w:p>
    <w:p w:rsidR="00F86F91" w:rsidRDefault="00F86F91" w:rsidP="00F86F91">
      <w:pPr>
        <w:tabs>
          <w:tab w:val="left" w:pos="4320"/>
        </w:tabs>
        <w:ind w:left="4320" w:hanging="4320"/>
        <w:rPr>
          <w:sz w:val="24"/>
          <w:szCs w:val="24"/>
        </w:rPr>
      </w:pPr>
      <w:r>
        <w:rPr>
          <w:sz w:val="24"/>
          <w:szCs w:val="24"/>
        </w:rPr>
        <w:t>Swordfish/Billfish Landings Reports:</w:t>
      </w:r>
      <w:r>
        <w:rPr>
          <w:sz w:val="24"/>
          <w:szCs w:val="24"/>
        </w:rPr>
        <w:tab/>
      </w:r>
      <w:r w:rsidR="0012186E">
        <w:rPr>
          <w:sz w:val="24"/>
          <w:szCs w:val="24"/>
        </w:rPr>
        <w:t>Katie Davis</w:t>
      </w:r>
    </w:p>
    <w:p w:rsidR="00F86F91" w:rsidRDefault="00F86F91" w:rsidP="00F86F91">
      <w:pPr>
        <w:tabs>
          <w:tab w:val="left" w:pos="4320"/>
        </w:tabs>
        <w:ind w:left="4320" w:hanging="4320"/>
        <w:rPr>
          <w:sz w:val="24"/>
          <w:szCs w:val="24"/>
        </w:rPr>
      </w:pPr>
      <w:r>
        <w:rPr>
          <w:sz w:val="24"/>
          <w:szCs w:val="24"/>
        </w:rPr>
        <w:tab/>
        <w:t>Landings Reports Data Collection and Website Development</w:t>
      </w:r>
    </w:p>
    <w:p w:rsidR="00F86F91" w:rsidRDefault="00F86F91" w:rsidP="00F86F91">
      <w:pPr>
        <w:tabs>
          <w:tab w:val="left" w:pos="4320"/>
        </w:tabs>
        <w:ind w:left="4320" w:hanging="4320"/>
        <w:rPr>
          <w:sz w:val="24"/>
          <w:szCs w:val="24"/>
        </w:rPr>
      </w:pPr>
      <w:r>
        <w:rPr>
          <w:sz w:val="24"/>
          <w:szCs w:val="24"/>
        </w:rPr>
        <w:tab/>
        <w:t>HMS Management Division</w:t>
      </w:r>
    </w:p>
    <w:p w:rsidR="00F86F91" w:rsidRDefault="00F86F91" w:rsidP="00F86F91">
      <w:pPr>
        <w:tabs>
          <w:tab w:val="left" w:pos="4320"/>
        </w:tabs>
        <w:ind w:left="4320" w:hanging="4320"/>
        <w:rPr>
          <w:sz w:val="24"/>
          <w:szCs w:val="24"/>
        </w:rPr>
      </w:pPr>
      <w:r>
        <w:rPr>
          <w:sz w:val="24"/>
          <w:szCs w:val="24"/>
        </w:rPr>
        <w:tab/>
        <w:t>236 13</w:t>
      </w:r>
      <w:r w:rsidRPr="00B609AC">
        <w:rPr>
          <w:sz w:val="24"/>
          <w:szCs w:val="24"/>
          <w:vertAlign w:val="superscript"/>
        </w:rPr>
        <w:t>th</w:t>
      </w:r>
      <w:r>
        <w:rPr>
          <w:sz w:val="24"/>
          <w:szCs w:val="24"/>
        </w:rPr>
        <w:t xml:space="preserve"> Avenue North</w:t>
      </w:r>
    </w:p>
    <w:p w:rsidR="00F86F91" w:rsidRDefault="00F86F91" w:rsidP="00F86F91">
      <w:pPr>
        <w:tabs>
          <w:tab w:val="left" w:pos="4320"/>
        </w:tabs>
        <w:ind w:left="4320" w:hanging="4320"/>
        <w:rPr>
          <w:sz w:val="24"/>
          <w:szCs w:val="24"/>
        </w:rPr>
      </w:pPr>
      <w:r>
        <w:rPr>
          <w:sz w:val="24"/>
          <w:szCs w:val="24"/>
        </w:rPr>
        <w:tab/>
        <w:t>St. Petersburg, FL 33701</w:t>
      </w:r>
    </w:p>
    <w:p w:rsidR="00F86F91" w:rsidRDefault="0012186E" w:rsidP="00F86F91">
      <w:pPr>
        <w:tabs>
          <w:tab w:val="left" w:pos="4320"/>
        </w:tabs>
        <w:ind w:left="4320" w:hanging="4320"/>
        <w:rPr>
          <w:sz w:val="24"/>
          <w:szCs w:val="24"/>
        </w:rPr>
      </w:pPr>
      <w:r>
        <w:rPr>
          <w:sz w:val="24"/>
          <w:szCs w:val="24"/>
        </w:rPr>
        <w:tab/>
        <w:t>(727) 824-5338</w:t>
      </w:r>
    </w:p>
    <w:p w:rsidR="00F86F91" w:rsidRDefault="00F86F91" w:rsidP="00F86F91">
      <w:pPr>
        <w:tabs>
          <w:tab w:val="left" w:pos="4320"/>
        </w:tabs>
        <w:ind w:left="4320" w:hanging="4320"/>
        <w:rPr>
          <w:sz w:val="24"/>
          <w:szCs w:val="24"/>
        </w:rPr>
      </w:pPr>
    </w:p>
    <w:p w:rsidR="00F86F91" w:rsidRDefault="00F86F91" w:rsidP="00F86F91">
      <w:pPr>
        <w:tabs>
          <w:tab w:val="left" w:pos="4320"/>
        </w:tabs>
        <w:ind w:left="4320" w:hanging="4320"/>
        <w:rPr>
          <w:sz w:val="24"/>
          <w:szCs w:val="24"/>
        </w:rPr>
      </w:pPr>
      <w:r>
        <w:rPr>
          <w:sz w:val="24"/>
          <w:szCs w:val="24"/>
        </w:rPr>
        <w:t xml:space="preserve">Bluefin Tuna </w:t>
      </w:r>
      <w:r w:rsidR="00D03653">
        <w:rPr>
          <w:sz w:val="24"/>
          <w:szCs w:val="24"/>
        </w:rPr>
        <w:t xml:space="preserve">Catch </w:t>
      </w:r>
      <w:r>
        <w:rPr>
          <w:sz w:val="24"/>
          <w:szCs w:val="24"/>
        </w:rPr>
        <w:t>Reports:</w:t>
      </w:r>
      <w:r>
        <w:rPr>
          <w:sz w:val="24"/>
          <w:szCs w:val="24"/>
        </w:rPr>
        <w:tab/>
        <w:t>Brad McHale</w:t>
      </w:r>
    </w:p>
    <w:p w:rsidR="00F86F91" w:rsidRDefault="00F86F91" w:rsidP="00F86F91">
      <w:pPr>
        <w:tabs>
          <w:tab w:val="left" w:pos="4320"/>
        </w:tabs>
        <w:ind w:left="4320" w:hanging="4320"/>
        <w:rPr>
          <w:sz w:val="24"/>
          <w:szCs w:val="24"/>
        </w:rPr>
      </w:pPr>
      <w:r>
        <w:rPr>
          <w:sz w:val="24"/>
          <w:szCs w:val="24"/>
        </w:rPr>
        <w:tab/>
      </w:r>
      <w:r w:rsidR="00D03653">
        <w:rPr>
          <w:sz w:val="24"/>
          <w:szCs w:val="24"/>
        </w:rPr>
        <w:t xml:space="preserve">Catch </w:t>
      </w:r>
      <w:r>
        <w:rPr>
          <w:sz w:val="24"/>
          <w:szCs w:val="24"/>
        </w:rPr>
        <w:t>Reports Data C</w:t>
      </w:r>
      <w:r w:rsidR="001C50C1">
        <w:rPr>
          <w:sz w:val="24"/>
          <w:szCs w:val="24"/>
        </w:rPr>
        <w:t>ollection, Website Development</w:t>
      </w:r>
    </w:p>
    <w:p w:rsidR="00F86F91" w:rsidRDefault="00F86F91" w:rsidP="00F86F91">
      <w:pPr>
        <w:tabs>
          <w:tab w:val="left" w:pos="4320"/>
        </w:tabs>
        <w:ind w:left="4320" w:hanging="4320"/>
        <w:rPr>
          <w:sz w:val="24"/>
          <w:szCs w:val="24"/>
        </w:rPr>
      </w:pPr>
      <w:r>
        <w:rPr>
          <w:sz w:val="24"/>
          <w:szCs w:val="24"/>
        </w:rPr>
        <w:tab/>
        <w:t>HMS Management Division</w:t>
      </w:r>
    </w:p>
    <w:p w:rsidR="00F86F91" w:rsidRDefault="00F86F91" w:rsidP="00F86F91">
      <w:pPr>
        <w:tabs>
          <w:tab w:val="left" w:pos="4320"/>
        </w:tabs>
        <w:ind w:left="4320" w:hanging="4320"/>
        <w:rPr>
          <w:sz w:val="24"/>
          <w:szCs w:val="24"/>
        </w:rPr>
      </w:pPr>
      <w:r>
        <w:rPr>
          <w:sz w:val="24"/>
          <w:szCs w:val="24"/>
        </w:rPr>
        <w:tab/>
      </w:r>
      <w:r w:rsidR="001C50C1">
        <w:rPr>
          <w:sz w:val="24"/>
          <w:szCs w:val="24"/>
        </w:rPr>
        <w:t>55 Great Republic Drive</w:t>
      </w:r>
    </w:p>
    <w:p w:rsidR="00F86F91" w:rsidRDefault="00F86F91" w:rsidP="00F86F91">
      <w:pPr>
        <w:tabs>
          <w:tab w:val="left" w:pos="4320"/>
        </w:tabs>
        <w:ind w:left="4320" w:hanging="4320"/>
        <w:rPr>
          <w:sz w:val="24"/>
          <w:szCs w:val="24"/>
        </w:rPr>
      </w:pPr>
      <w:r>
        <w:rPr>
          <w:sz w:val="24"/>
          <w:szCs w:val="24"/>
        </w:rPr>
        <w:tab/>
        <w:t>Gloucester, MA 01930</w:t>
      </w:r>
    </w:p>
    <w:p w:rsidR="00F86F91" w:rsidRPr="00CE30F9" w:rsidRDefault="00F86F91" w:rsidP="00F7292B">
      <w:pPr>
        <w:tabs>
          <w:tab w:val="left" w:pos="4320"/>
        </w:tabs>
        <w:ind w:left="4320" w:hanging="4320"/>
      </w:pPr>
      <w:r>
        <w:rPr>
          <w:sz w:val="24"/>
          <w:szCs w:val="24"/>
        </w:rPr>
        <w:tab/>
        <w:t>(978) 281-9139</w:t>
      </w:r>
    </w:p>
    <w:sectPr w:rsidR="00F86F91" w:rsidRPr="00CE30F9" w:rsidSect="00BC22A5">
      <w:footerReference w:type="default" r:id="rId10"/>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907" w:rsidRDefault="000F1907">
      <w:r>
        <w:separator/>
      </w:r>
    </w:p>
  </w:endnote>
  <w:endnote w:type="continuationSeparator" w:id="0">
    <w:p w:rsidR="000F1907" w:rsidRDefault="000F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44" w:rsidRDefault="00F86F91">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707113">
      <w:rPr>
        <w:rStyle w:val="PageNumber"/>
        <w:noProof/>
      </w:rPr>
      <w:t>1</w:t>
    </w:r>
    <w:r>
      <w:rPr>
        <w:rStyle w:val="PageNumber"/>
      </w:rPr>
      <w:fldChar w:fldCharType="end"/>
    </w:r>
  </w:p>
  <w:p w:rsidR="00E63144" w:rsidRDefault="00707113">
    <w:pPr>
      <w:pStyle w:val="Footer"/>
    </w:pPr>
  </w:p>
  <w:p w:rsidR="00E63144" w:rsidRDefault="007071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907" w:rsidRDefault="000F1907">
      <w:r>
        <w:separator/>
      </w:r>
    </w:p>
  </w:footnote>
  <w:footnote w:type="continuationSeparator" w:id="0">
    <w:p w:rsidR="000F1907" w:rsidRDefault="000F1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34FA"/>
    <w:multiLevelType w:val="hybridMultilevel"/>
    <w:tmpl w:val="1B780E0C"/>
    <w:lvl w:ilvl="0" w:tplc="2528F08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BB70EA"/>
    <w:multiLevelType w:val="hybridMultilevel"/>
    <w:tmpl w:val="7C567102"/>
    <w:lvl w:ilvl="0" w:tplc="EF38F008">
      <w:start w:val="1"/>
      <w:numFmt w:val="upperLetter"/>
      <w:pStyle w:val="Heading2"/>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91"/>
    <w:rsid w:val="000A28CF"/>
    <w:rsid w:val="000F1907"/>
    <w:rsid w:val="0010253D"/>
    <w:rsid w:val="0012186E"/>
    <w:rsid w:val="0016061E"/>
    <w:rsid w:val="001C50C1"/>
    <w:rsid w:val="00221B45"/>
    <w:rsid w:val="00252F99"/>
    <w:rsid w:val="0026188E"/>
    <w:rsid w:val="00354591"/>
    <w:rsid w:val="00391458"/>
    <w:rsid w:val="004015A1"/>
    <w:rsid w:val="00422E50"/>
    <w:rsid w:val="00520855"/>
    <w:rsid w:val="005627EC"/>
    <w:rsid w:val="00586066"/>
    <w:rsid w:val="006050A5"/>
    <w:rsid w:val="00707113"/>
    <w:rsid w:val="007E52E1"/>
    <w:rsid w:val="008D74A4"/>
    <w:rsid w:val="009C2623"/>
    <w:rsid w:val="00A55764"/>
    <w:rsid w:val="00B179E9"/>
    <w:rsid w:val="00B3468B"/>
    <w:rsid w:val="00B57C23"/>
    <w:rsid w:val="00B64540"/>
    <w:rsid w:val="00B755CC"/>
    <w:rsid w:val="00B80991"/>
    <w:rsid w:val="00BB6628"/>
    <w:rsid w:val="00C11685"/>
    <w:rsid w:val="00C95B9F"/>
    <w:rsid w:val="00CE610C"/>
    <w:rsid w:val="00D03653"/>
    <w:rsid w:val="00D65304"/>
    <w:rsid w:val="00DF0EC6"/>
    <w:rsid w:val="00F572EC"/>
    <w:rsid w:val="00F7292B"/>
    <w:rsid w:val="00F8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55764"/>
    <w:rPr>
      <w:rFonts w:ascii="Tahoma" w:hAnsi="Tahoma" w:cs="Tahoma"/>
      <w:sz w:val="16"/>
      <w:szCs w:val="16"/>
    </w:rPr>
  </w:style>
  <w:style w:type="character" w:customStyle="1" w:styleId="BalloonTextChar">
    <w:name w:val="Balloon Text Char"/>
    <w:basedOn w:val="DefaultParagraphFont"/>
    <w:link w:val="BalloonText"/>
    <w:uiPriority w:val="99"/>
    <w:semiHidden/>
    <w:rsid w:val="00A5576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03653"/>
    <w:rPr>
      <w:sz w:val="16"/>
      <w:szCs w:val="16"/>
    </w:rPr>
  </w:style>
  <w:style w:type="paragraph" w:styleId="CommentText">
    <w:name w:val="annotation text"/>
    <w:basedOn w:val="Normal"/>
    <w:link w:val="CommentTextChar"/>
    <w:uiPriority w:val="99"/>
    <w:semiHidden/>
    <w:unhideWhenUsed/>
    <w:rsid w:val="00D03653"/>
  </w:style>
  <w:style w:type="character" w:customStyle="1" w:styleId="CommentTextChar">
    <w:name w:val="Comment Text Char"/>
    <w:basedOn w:val="DefaultParagraphFont"/>
    <w:link w:val="CommentText"/>
    <w:uiPriority w:val="99"/>
    <w:semiHidden/>
    <w:rsid w:val="00D036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653"/>
    <w:rPr>
      <w:b/>
      <w:bCs/>
    </w:rPr>
  </w:style>
  <w:style w:type="character" w:customStyle="1" w:styleId="CommentSubjectChar">
    <w:name w:val="Comment Subject Char"/>
    <w:basedOn w:val="CommentTextChar"/>
    <w:link w:val="CommentSubject"/>
    <w:uiPriority w:val="99"/>
    <w:semiHidden/>
    <w:rsid w:val="00D03653"/>
    <w:rPr>
      <w:rFonts w:ascii="Times New Roman" w:eastAsia="Times New Roman" w:hAnsi="Times New Roman" w:cs="Times New Roman"/>
      <w:b/>
      <w:bCs/>
      <w:sz w:val="20"/>
      <w:szCs w:val="20"/>
    </w:rPr>
  </w:style>
  <w:style w:type="paragraph" w:styleId="NoSpacing">
    <w:name w:val="No Spacing"/>
    <w:uiPriority w:val="1"/>
    <w:qFormat/>
    <w:rsid w:val="00707113"/>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55764"/>
    <w:rPr>
      <w:rFonts w:ascii="Tahoma" w:hAnsi="Tahoma" w:cs="Tahoma"/>
      <w:sz w:val="16"/>
      <w:szCs w:val="16"/>
    </w:rPr>
  </w:style>
  <w:style w:type="character" w:customStyle="1" w:styleId="BalloonTextChar">
    <w:name w:val="Balloon Text Char"/>
    <w:basedOn w:val="DefaultParagraphFont"/>
    <w:link w:val="BalloonText"/>
    <w:uiPriority w:val="99"/>
    <w:semiHidden/>
    <w:rsid w:val="00A5576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03653"/>
    <w:rPr>
      <w:sz w:val="16"/>
      <w:szCs w:val="16"/>
    </w:rPr>
  </w:style>
  <w:style w:type="paragraph" w:styleId="CommentText">
    <w:name w:val="annotation text"/>
    <w:basedOn w:val="Normal"/>
    <w:link w:val="CommentTextChar"/>
    <w:uiPriority w:val="99"/>
    <w:semiHidden/>
    <w:unhideWhenUsed/>
    <w:rsid w:val="00D03653"/>
  </w:style>
  <w:style w:type="character" w:customStyle="1" w:styleId="CommentTextChar">
    <w:name w:val="Comment Text Char"/>
    <w:basedOn w:val="DefaultParagraphFont"/>
    <w:link w:val="CommentText"/>
    <w:uiPriority w:val="99"/>
    <w:semiHidden/>
    <w:rsid w:val="00D036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3653"/>
    <w:rPr>
      <w:b/>
      <w:bCs/>
    </w:rPr>
  </w:style>
  <w:style w:type="character" w:customStyle="1" w:styleId="CommentSubjectChar">
    <w:name w:val="Comment Subject Char"/>
    <w:basedOn w:val="CommentTextChar"/>
    <w:link w:val="CommentSubject"/>
    <w:uiPriority w:val="99"/>
    <w:semiHidden/>
    <w:rsid w:val="00D03653"/>
    <w:rPr>
      <w:rFonts w:ascii="Times New Roman" w:eastAsia="Times New Roman" w:hAnsi="Times New Roman" w:cs="Times New Roman"/>
      <w:b/>
      <w:bCs/>
      <w:sz w:val="20"/>
      <w:szCs w:val="20"/>
    </w:rPr>
  </w:style>
  <w:style w:type="paragraph" w:styleId="NoSpacing">
    <w:name w:val="No Spacing"/>
    <w:uiPriority w:val="1"/>
    <w:qFormat/>
    <w:rsid w:val="00707113"/>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fs.noaa.gov/sfa/hms/Compliance_Guid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DDA1A-50EA-41C7-8421-54E9A8CD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1048</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Karilyn_Smith</cp:lastModifiedBy>
  <cp:revision>3</cp:revision>
  <cp:lastPrinted>2016-04-06T17:29:00Z</cp:lastPrinted>
  <dcterms:created xsi:type="dcterms:W3CDTF">2016-03-14T16:20:00Z</dcterms:created>
  <dcterms:modified xsi:type="dcterms:W3CDTF">2016-04-06T17:30:00Z</dcterms:modified>
</cp:coreProperties>
</file>