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94C" w:rsidRPr="00AC608E" w:rsidRDefault="0012494C" w:rsidP="0012494C">
      <w:pPr>
        <w:pStyle w:val="TT-TableTitle"/>
        <w:jc w:val="center"/>
        <w:rPr>
          <w:b/>
          <w:sz w:val="24"/>
          <w:szCs w:val="24"/>
        </w:rPr>
      </w:pPr>
    </w:p>
    <w:p w:rsidR="0012494C" w:rsidRPr="00AC608E" w:rsidRDefault="0012494C" w:rsidP="0012494C">
      <w:pPr>
        <w:pStyle w:val="TT-TableTitle"/>
        <w:jc w:val="center"/>
        <w:rPr>
          <w:b/>
          <w:sz w:val="24"/>
          <w:szCs w:val="24"/>
        </w:rPr>
      </w:pPr>
    </w:p>
    <w:p w:rsidR="0012494C" w:rsidRPr="00AC608E" w:rsidRDefault="0012494C" w:rsidP="0012494C">
      <w:pPr>
        <w:pStyle w:val="TT-TableTitle"/>
        <w:jc w:val="center"/>
        <w:rPr>
          <w:b/>
          <w:sz w:val="24"/>
          <w:szCs w:val="24"/>
        </w:rPr>
      </w:pPr>
    </w:p>
    <w:p w:rsidR="0012494C" w:rsidRPr="00AC608E" w:rsidRDefault="0012494C" w:rsidP="0012494C">
      <w:pPr>
        <w:pStyle w:val="TT-TableTitle"/>
        <w:jc w:val="center"/>
        <w:rPr>
          <w:b/>
          <w:sz w:val="24"/>
          <w:szCs w:val="24"/>
        </w:rPr>
      </w:pPr>
    </w:p>
    <w:p w:rsidR="0012494C" w:rsidRPr="00AC608E" w:rsidRDefault="0012494C" w:rsidP="0012494C">
      <w:pPr>
        <w:pStyle w:val="TT-TableTitle"/>
        <w:jc w:val="center"/>
        <w:rPr>
          <w:b/>
          <w:sz w:val="24"/>
          <w:szCs w:val="24"/>
        </w:rPr>
      </w:pPr>
    </w:p>
    <w:p w:rsidR="0012494C" w:rsidRPr="00AC608E" w:rsidRDefault="0012494C" w:rsidP="0012494C">
      <w:pPr>
        <w:pStyle w:val="TT-TableTitle"/>
        <w:jc w:val="center"/>
        <w:rPr>
          <w:b/>
          <w:sz w:val="24"/>
          <w:szCs w:val="24"/>
        </w:rPr>
      </w:pPr>
    </w:p>
    <w:p w:rsidR="0012494C" w:rsidRPr="00AC608E" w:rsidRDefault="0012494C" w:rsidP="0012494C">
      <w:pPr>
        <w:pStyle w:val="TT-TableTitle"/>
        <w:jc w:val="center"/>
        <w:rPr>
          <w:b/>
          <w:sz w:val="24"/>
          <w:szCs w:val="24"/>
        </w:rPr>
      </w:pPr>
    </w:p>
    <w:p w:rsidR="0012494C" w:rsidRPr="00AC608E" w:rsidRDefault="0012494C" w:rsidP="0012494C">
      <w:pPr>
        <w:pStyle w:val="TT-TableTitle"/>
        <w:jc w:val="center"/>
        <w:rPr>
          <w:b/>
          <w:sz w:val="24"/>
          <w:szCs w:val="24"/>
        </w:rPr>
      </w:pPr>
    </w:p>
    <w:p w:rsidR="0012494C" w:rsidRPr="00AC608E" w:rsidRDefault="0012494C" w:rsidP="0012494C">
      <w:pPr>
        <w:pStyle w:val="TT-TableTitle"/>
        <w:jc w:val="center"/>
        <w:rPr>
          <w:b/>
          <w:sz w:val="24"/>
          <w:szCs w:val="24"/>
        </w:rPr>
      </w:pPr>
    </w:p>
    <w:p w:rsidR="0012494C" w:rsidRPr="00AC608E" w:rsidRDefault="0012494C" w:rsidP="0012494C">
      <w:pPr>
        <w:pStyle w:val="TT-TableTitle"/>
        <w:jc w:val="center"/>
        <w:rPr>
          <w:b/>
          <w:sz w:val="24"/>
          <w:szCs w:val="24"/>
        </w:rPr>
      </w:pPr>
    </w:p>
    <w:p w:rsidR="0012494C" w:rsidRPr="00AC608E" w:rsidRDefault="0012494C" w:rsidP="0012494C">
      <w:pPr>
        <w:pStyle w:val="TT-TableTitle"/>
        <w:jc w:val="center"/>
        <w:rPr>
          <w:b/>
          <w:sz w:val="24"/>
          <w:szCs w:val="24"/>
        </w:rPr>
      </w:pPr>
      <w:r w:rsidRPr="00F02778">
        <w:rPr>
          <w:b/>
          <w:sz w:val="24"/>
          <w:szCs w:val="24"/>
        </w:rPr>
        <w:t xml:space="preserve">APPENDIX </w:t>
      </w:r>
      <w:r w:rsidR="0067308A">
        <w:rPr>
          <w:b/>
          <w:sz w:val="24"/>
          <w:szCs w:val="24"/>
        </w:rPr>
        <w:t>G</w:t>
      </w:r>
    </w:p>
    <w:p w:rsidR="0012494C" w:rsidRPr="00AC608E" w:rsidRDefault="0012494C" w:rsidP="0012494C">
      <w:pPr>
        <w:pStyle w:val="TT-TableTitle"/>
        <w:jc w:val="center"/>
        <w:rPr>
          <w:b/>
          <w:sz w:val="24"/>
          <w:szCs w:val="24"/>
        </w:rPr>
      </w:pPr>
    </w:p>
    <w:p w:rsidR="0012494C" w:rsidRDefault="00272CD5" w:rsidP="0012494C">
      <w:pPr>
        <w:pStyle w:val="TT-TableTitle"/>
        <w:jc w:val="center"/>
        <w:rPr>
          <w:b/>
          <w:sz w:val="24"/>
          <w:szCs w:val="24"/>
        </w:rPr>
      </w:pPr>
      <w:r>
        <w:rPr>
          <w:b/>
          <w:sz w:val="24"/>
          <w:szCs w:val="24"/>
        </w:rPr>
        <w:t>COMMENTS FROM NAS</w:t>
      </w:r>
      <w:r w:rsidR="0012494C">
        <w:rPr>
          <w:b/>
          <w:sz w:val="24"/>
          <w:szCs w:val="24"/>
        </w:rPr>
        <w:t>S REVIEWER</w:t>
      </w:r>
    </w:p>
    <w:p w:rsidR="00272CD5" w:rsidRPr="00AC608E" w:rsidRDefault="00272CD5" w:rsidP="0012494C">
      <w:pPr>
        <w:pStyle w:val="TT-TableTitle"/>
        <w:jc w:val="center"/>
        <w:rPr>
          <w:b/>
          <w:sz w:val="24"/>
          <w:szCs w:val="24"/>
        </w:rPr>
      </w:pPr>
    </w:p>
    <w:p w:rsidR="0012494C" w:rsidRPr="00AC608E" w:rsidRDefault="0012494C" w:rsidP="0012494C">
      <w:pPr>
        <w:jc w:val="center"/>
        <w:rPr>
          <w:rFonts w:ascii="Franklin Gothic Medium" w:hAnsi="Franklin Gothic Medium"/>
        </w:rPr>
      </w:pPr>
    </w:p>
    <w:p w:rsidR="0012494C" w:rsidRPr="00AC608E" w:rsidRDefault="0012494C" w:rsidP="0012494C">
      <w:pPr>
        <w:jc w:val="center"/>
        <w:rPr>
          <w:rFonts w:ascii="Franklin Gothic Medium" w:hAnsi="Franklin Gothic Medium"/>
        </w:rPr>
        <w:sectPr w:rsidR="0012494C" w:rsidRPr="00AC608E" w:rsidSect="009428EC">
          <w:pgSz w:w="12240" w:h="15840"/>
          <w:pgMar w:top="1440" w:right="1440" w:bottom="1440" w:left="1440" w:header="720" w:footer="720" w:gutter="0"/>
          <w:pgNumType w:start="1" w:chapStyle="1"/>
          <w:cols w:space="720"/>
          <w:titlePg/>
          <w:docGrid w:linePitch="360"/>
        </w:sectPr>
      </w:pPr>
    </w:p>
    <w:p w:rsidR="00272CD5" w:rsidRPr="00272CD5" w:rsidRDefault="00272CD5" w:rsidP="00272CD5">
      <w:pPr>
        <w:spacing w:after="160" w:line="259" w:lineRule="auto"/>
        <w:jc w:val="center"/>
        <w:rPr>
          <w:rFonts w:asciiTheme="minorHAnsi" w:eastAsiaTheme="minorHAnsi" w:hAnsiTheme="minorHAnsi" w:cs="Arial"/>
          <w:b/>
          <w:sz w:val="36"/>
          <w:szCs w:val="36"/>
        </w:rPr>
      </w:pPr>
      <w:r w:rsidRPr="00272CD5">
        <w:rPr>
          <w:rFonts w:asciiTheme="minorHAnsi" w:eastAsiaTheme="minorHAnsi" w:hAnsiTheme="minorHAnsi" w:cs="Arial"/>
          <w:b/>
          <w:sz w:val="36"/>
          <w:szCs w:val="36"/>
        </w:rPr>
        <w:lastRenderedPageBreak/>
        <w:t xml:space="preserve">NASS Review of Revision to OMB 0584- XXXX </w:t>
      </w:r>
    </w:p>
    <w:p w:rsidR="00272CD5" w:rsidRPr="00272CD5" w:rsidRDefault="00272CD5" w:rsidP="00272CD5">
      <w:pPr>
        <w:spacing w:after="160" w:line="259" w:lineRule="auto"/>
        <w:jc w:val="center"/>
        <w:rPr>
          <w:rFonts w:asciiTheme="minorHAnsi" w:eastAsiaTheme="minorHAnsi" w:hAnsiTheme="minorHAnsi" w:cstheme="minorBidi"/>
          <w:b/>
          <w:sz w:val="36"/>
          <w:szCs w:val="36"/>
        </w:rPr>
      </w:pPr>
      <w:r w:rsidRPr="00272CD5">
        <w:rPr>
          <w:rFonts w:asciiTheme="minorHAnsi" w:eastAsiaTheme="minorHAnsi" w:hAnsiTheme="minorHAnsi" w:cstheme="minorBidi"/>
          <w:b/>
          <w:sz w:val="36"/>
          <w:szCs w:val="36"/>
        </w:rPr>
        <w:t xml:space="preserve">Supporting Justification for OMB Clearance for the </w:t>
      </w:r>
    </w:p>
    <w:p w:rsidR="00272CD5" w:rsidRPr="00272CD5" w:rsidRDefault="00272CD5" w:rsidP="00272CD5">
      <w:pPr>
        <w:spacing w:after="160" w:line="259" w:lineRule="auto"/>
        <w:jc w:val="center"/>
        <w:rPr>
          <w:rFonts w:asciiTheme="minorHAnsi" w:eastAsiaTheme="minorHAnsi" w:hAnsiTheme="minorHAnsi" w:cstheme="minorBidi"/>
          <w:b/>
          <w:sz w:val="36"/>
          <w:szCs w:val="36"/>
        </w:rPr>
      </w:pPr>
      <w:r w:rsidRPr="00272CD5">
        <w:rPr>
          <w:rFonts w:asciiTheme="minorHAnsi" w:eastAsiaTheme="minorHAnsi" w:hAnsiTheme="minorHAnsi" w:cstheme="minorBidi"/>
          <w:b/>
          <w:sz w:val="36"/>
          <w:szCs w:val="36"/>
        </w:rPr>
        <w:t>FNS - Community Eligibility Provision (CEP) Characteristics Study</w:t>
      </w:r>
    </w:p>
    <w:p w:rsidR="00272CD5" w:rsidRPr="00272CD5" w:rsidRDefault="00272CD5" w:rsidP="00272CD5">
      <w:pPr>
        <w:spacing w:after="160" w:line="360" w:lineRule="auto"/>
        <w:jc w:val="center"/>
        <w:rPr>
          <w:rFonts w:asciiTheme="minorHAnsi" w:eastAsiaTheme="minorHAnsi" w:hAnsiTheme="minorHAnsi" w:cstheme="minorBidi"/>
          <w:b/>
          <w:sz w:val="36"/>
          <w:szCs w:val="36"/>
        </w:rPr>
      </w:pPr>
      <w:r w:rsidRPr="00272CD5">
        <w:rPr>
          <w:rFonts w:asciiTheme="minorHAnsi" w:eastAsiaTheme="minorHAnsi" w:hAnsiTheme="minorHAnsi" w:cstheme="minorBidi"/>
          <w:b/>
          <w:sz w:val="36"/>
          <w:szCs w:val="36"/>
        </w:rPr>
        <w:t>May 2016</w:t>
      </w:r>
    </w:p>
    <w:p w:rsidR="00272CD5" w:rsidRPr="00272CD5" w:rsidRDefault="00272CD5" w:rsidP="00272CD5">
      <w:pPr>
        <w:numPr>
          <w:ilvl w:val="0"/>
          <w:numId w:val="1"/>
        </w:numPr>
        <w:spacing w:after="160" w:line="240" w:lineRule="auto"/>
        <w:ind w:left="360"/>
        <w:contextualSpacing/>
        <w:rPr>
          <w:rFonts w:ascii="Cambria" w:eastAsiaTheme="minorHAnsi" w:hAnsi="Cambria" w:cs="Cambria"/>
          <w:szCs w:val="24"/>
        </w:rPr>
      </w:pPr>
      <w:r w:rsidRPr="00272CD5">
        <w:rPr>
          <w:rFonts w:ascii="Arial" w:hAnsi="Arial" w:cs="Arial"/>
          <w:color w:val="333333"/>
          <w:kern w:val="36"/>
          <w:szCs w:val="24"/>
          <w:lang w:val="en"/>
        </w:rPr>
        <w:t xml:space="preserve">The description in the research question and telephone interview scripts are very    clear and follow </w:t>
      </w:r>
      <w:proofErr w:type="spellStart"/>
      <w:r w:rsidRPr="00272CD5">
        <w:rPr>
          <w:rFonts w:ascii="Arial" w:hAnsi="Arial" w:cs="Arial"/>
          <w:color w:val="333333"/>
          <w:kern w:val="36"/>
          <w:szCs w:val="24"/>
          <w:lang w:val="en"/>
        </w:rPr>
        <w:t>Dillman’s</w:t>
      </w:r>
      <w:proofErr w:type="spellEnd"/>
      <w:r w:rsidRPr="00272CD5">
        <w:rPr>
          <w:rFonts w:ascii="Arial" w:hAnsi="Arial" w:cs="Arial"/>
          <w:color w:val="333333"/>
          <w:kern w:val="36"/>
          <w:szCs w:val="24"/>
          <w:lang w:val="en"/>
        </w:rPr>
        <w:t xml:space="preserve"> principle. For example they:</w:t>
      </w:r>
    </w:p>
    <w:p w:rsidR="00272CD5" w:rsidRPr="00272CD5" w:rsidRDefault="00272CD5" w:rsidP="00272CD5">
      <w:pPr>
        <w:numPr>
          <w:ilvl w:val="1"/>
          <w:numId w:val="1"/>
        </w:numPr>
        <w:spacing w:after="160" w:line="240" w:lineRule="auto"/>
        <w:contextualSpacing/>
        <w:rPr>
          <w:rFonts w:ascii="Arial" w:eastAsiaTheme="minorHAnsi" w:hAnsi="Arial" w:cs="Arial"/>
          <w:szCs w:val="24"/>
        </w:rPr>
      </w:pPr>
      <w:r w:rsidRPr="00272CD5">
        <w:rPr>
          <w:rFonts w:ascii="Arial" w:hAnsi="Arial" w:cs="Arial"/>
          <w:color w:val="333333"/>
          <w:kern w:val="36"/>
          <w:szCs w:val="24"/>
          <w:lang w:val="en"/>
        </w:rPr>
        <w:t>P</w:t>
      </w:r>
      <w:r w:rsidRPr="00272CD5">
        <w:rPr>
          <w:rFonts w:ascii="Arial" w:eastAsiaTheme="minorHAnsi" w:hAnsi="Arial" w:cs="Arial"/>
          <w:szCs w:val="24"/>
        </w:rPr>
        <w:t>laced special instructions inside questions and not as freestanding entities.</w:t>
      </w:r>
    </w:p>
    <w:p w:rsidR="00272CD5" w:rsidRPr="00272CD5" w:rsidRDefault="00272CD5" w:rsidP="00272CD5">
      <w:pPr>
        <w:numPr>
          <w:ilvl w:val="1"/>
          <w:numId w:val="1"/>
        </w:numPr>
        <w:spacing w:after="160" w:line="240" w:lineRule="auto"/>
        <w:contextualSpacing/>
        <w:rPr>
          <w:rFonts w:ascii="Arial" w:eastAsiaTheme="minorHAnsi" w:hAnsi="Arial" w:cs="Arial"/>
          <w:szCs w:val="24"/>
        </w:rPr>
      </w:pPr>
      <w:r w:rsidRPr="00272CD5">
        <w:rPr>
          <w:rFonts w:ascii="Arial" w:eastAsiaTheme="minorHAnsi" w:hAnsi="Arial" w:cs="Arial"/>
          <w:szCs w:val="24"/>
        </w:rPr>
        <w:t>Placed the instructions exactly where that information is needed and not at the beginning of the questionnaire.</w:t>
      </w:r>
    </w:p>
    <w:p w:rsidR="00272CD5" w:rsidRPr="00272CD5" w:rsidRDefault="00272CD5" w:rsidP="00272CD5">
      <w:pPr>
        <w:numPr>
          <w:ilvl w:val="1"/>
          <w:numId w:val="1"/>
        </w:numPr>
        <w:spacing w:after="160" w:line="240" w:lineRule="auto"/>
        <w:contextualSpacing/>
        <w:rPr>
          <w:rFonts w:ascii="Arial" w:eastAsiaTheme="minorHAnsi" w:hAnsi="Arial" w:cs="Arial"/>
          <w:szCs w:val="24"/>
        </w:rPr>
      </w:pPr>
      <w:r w:rsidRPr="00272CD5">
        <w:rPr>
          <w:rFonts w:ascii="Arial" w:eastAsiaTheme="minorHAnsi" w:hAnsi="Arial" w:cs="Arial"/>
          <w:szCs w:val="24"/>
        </w:rPr>
        <w:t xml:space="preserve">Created clear navigational paths.  </w:t>
      </w:r>
    </w:p>
    <w:p w:rsidR="00272CD5" w:rsidRPr="00272CD5" w:rsidRDefault="00272CD5" w:rsidP="00272CD5">
      <w:pPr>
        <w:spacing w:after="160" w:line="259" w:lineRule="auto"/>
        <w:ind w:left="555"/>
        <w:contextualSpacing/>
        <w:rPr>
          <w:rFonts w:ascii="Arial" w:eastAsiaTheme="minorHAnsi" w:hAnsi="Arial" w:cs="Arial"/>
          <w:szCs w:val="24"/>
        </w:rPr>
      </w:pPr>
    </w:p>
    <w:p w:rsidR="00272CD5" w:rsidRPr="00272CD5" w:rsidRDefault="00272CD5" w:rsidP="00272CD5">
      <w:pPr>
        <w:numPr>
          <w:ilvl w:val="0"/>
          <w:numId w:val="1"/>
        </w:numPr>
        <w:spacing w:after="160" w:line="259" w:lineRule="auto"/>
        <w:contextualSpacing/>
        <w:rPr>
          <w:rFonts w:ascii="Arial" w:hAnsi="Arial" w:cs="Arial"/>
          <w:color w:val="333333"/>
          <w:kern w:val="36"/>
          <w:szCs w:val="24"/>
          <w:lang w:val="en"/>
        </w:rPr>
      </w:pPr>
      <w:r w:rsidRPr="00272CD5">
        <w:rPr>
          <w:rFonts w:ascii="Arial" w:hAnsi="Arial" w:cs="Arial"/>
          <w:color w:val="333333"/>
          <w:kern w:val="36"/>
          <w:szCs w:val="24"/>
          <w:lang w:val="en"/>
        </w:rPr>
        <w:t>The sampling frame for this survey is appropriate. They include</w:t>
      </w:r>
      <w:r w:rsidRPr="00272CD5">
        <w:rPr>
          <w:rFonts w:ascii="Arial" w:eastAsiaTheme="minorHAnsi" w:hAnsi="Arial" w:cs="Arial"/>
          <w:szCs w:val="24"/>
        </w:rPr>
        <w:t xml:space="preserve"> three parts:</w:t>
      </w:r>
    </w:p>
    <w:p w:rsidR="00272CD5" w:rsidRPr="00272CD5" w:rsidRDefault="00272CD5" w:rsidP="00272CD5">
      <w:pPr>
        <w:numPr>
          <w:ilvl w:val="1"/>
          <w:numId w:val="2"/>
        </w:numPr>
        <w:spacing w:after="160" w:line="259" w:lineRule="auto"/>
        <w:contextualSpacing/>
        <w:rPr>
          <w:rFonts w:ascii="Arial" w:hAnsi="Arial" w:cs="Arial"/>
          <w:color w:val="333333"/>
          <w:kern w:val="36"/>
          <w:szCs w:val="24"/>
          <w:lang w:val="en"/>
        </w:rPr>
      </w:pPr>
      <w:r w:rsidRPr="00272CD5">
        <w:rPr>
          <w:rFonts w:ascii="Arial" w:eastAsiaTheme="minorHAnsi" w:hAnsi="Arial" w:cs="Arial"/>
          <w:szCs w:val="24"/>
        </w:rPr>
        <w:t xml:space="preserve">All State Agencies (SAs) with at least one school </w:t>
      </w:r>
      <w:r w:rsidRPr="00272CD5">
        <w:rPr>
          <w:rFonts w:ascii="Arial" w:eastAsiaTheme="minorHAnsi" w:hAnsi="Arial" w:cs="Arial"/>
          <w:i/>
          <w:szCs w:val="24"/>
        </w:rPr>
        <w:t>eligible</w:t>
      </w:r>
      <w:r w:rsidRPr="00272CD5">
        <w:rPr>
          <w:rFonts w:ascii="Arial" w:eastAsiaTheme="minorHAnsi" w:hAnsi="Arial" w:cs="Arial"/>
          <w:szCs w:val="24"/>
        </w:rPr>
        <w:t xml:space="preserve"> for CEP during school year (SY) 2016-17. </w:t>
      </w:r>
    </w:p>
    <w:p w:rsidR="00272CD5" w:rsidRPr="00272CD5" w:rsidRDefault="00272CD5" w:rsidP="00272CD5">
      <w:pPr>
        <w:numPr>
          <w:ilvl w:val="1"/>
          <w:numId w:val="2"/>
        </w:numPr>
        <w:spacing w:after="160" w:line="259" w:lineRule="auto"/>
        <w:contextualSpacing/>
        <w:rPr>
          <w:rFonts w:ascii="Arial" w:hAnsi="Arial" w:cs="Arial"/>
          <w:color w:val="333333"/>
          <w:kern w:val="36"/>
          <w:szCs w:val="24"/>
          <w:lang w:val="en"/>
        </w:rPr>
      </w:pPr>
      <w:r w:rsidRPr="00272CD5">
        <w:rPr>
          <w:rFonts w:ascii="Arial" w:eastAsiaTheme="minorHAnsi" w:hAnsi="Arial" w:cs="Arial"/>
          <w:szCs w:val="24"/>
        </w:rPr>
        <w:t xml:space="preserve">Participating Local Education Agencies (LEA) are those with at least one school </w:t>
      </w:r>
      <w:r w:rsidRPr="00272CD5">
        <w:rPr>
          <w:rFonts w:ascii="Arial" w:eastAsiaTheme="minorHAnsi" w:hAnsi="Arial" w:cs="Arial"/>
          <w:i/>
          <w:szCs w:val="24"/>
        </w:rPr>
        <w:t>participating</w:t>
      </w:r>
      <w:r w:rsidRPr="00272CD5">
        <w:rPr>
          <w:rFonts w:ascii="Arial" w:eastAsiaTheme="minorHAnsi" w:hAnsi="Arial" w:cs="Arial"/>
          <w:szCs w:val="24"/>
        </w:rPr>
        <w:t xml:space="preserve"> in CEP during school year (SY) 2016-17</w:t>
      </w:r>
    </w:p>
    <w:p w:rsidR="00272CD5" w:rsidRPr="00272CD5" w:rsidRDefault="00272CD5" w:rsidP="00272CD5">
      <w:pPr>
        <w:numPr>
          <w:ilvl w:val="1"/>
          <w:numId w:val="2"/>
        </w:numPr>
        <w:spacing w:after="160" w:line="259" w:lineRule="auto"/>
        <w:contextualSpacing/>
        <w:rPr>
          <w:rFonts w:ascii="Arial" w:hAnsi="Arial" w:cs="Arial"/>
          <w:color w:val="333333"/>
          <w:kern w:val="36"/>
          <w:szCs w:val="24"/>
          <w:lang w:val="en"/>
        </w:rPr>
      </w:pPr>
      <w:r w:rsidRPr="00272CD5">
        <w:rPr>
          <w:rFonts w:ascii="Arial" w:eastAsiaTheme="minorHAnsi" w:hAnsi="Arial" w:cs="Arial"/>
          <w:szCs w:val="24"/>
        </w:rPr>
        <w:t xml:space="preserve">Non-participating LEAs are those with at least one school </w:t>
      </w:r>
      <w:r w:rsidRPr="00272CD5">
        <w:rPr>
          <w:rFonts w:ascii="Arial" w:eastAsiaTheme="minorHAnsi" w:hAnsi="Arial" w:cs="Arial"/>
          <w:i/>
          <w:szCs w:val="24"/>
        </w:rPr>
        <w:t>eligible</w:t>
      </w:r>
      <w:r w:rsidRPr="00272CD5">
        <w:rPr>
          <w:rFonts w:ascii="Arial" w:eastAsiaTheme="minorHAnsi" w:hAnsi="Arial" w:cs="Arial"/>
          <w:szCs w:val="24"/>
        </w:rPr>
        <w:t xml:space="preserve"> for but none</w:t>
      </w:r>
      <w:r w:rsidRPr="00272CD5">
        <w:rPr>
          <w:rFonts w:ascii="Arial" w:eastAsiaTheme="minorHAnsi" w:hAnsi="Arial" w:cs="Arial"/>
          <w:i/>
          <w:szCs w:val="24"/>
        </w:rPr>
        <w:t xml:space="preserve"> participating </w:t>
      </w:r>
      <w:r w:rsidRPr="00272CD5">
        <w:rPr>
          <w:rFonts w:ascii="Arial" w:eastAsiaTheme="minorHAnsi" w:hAnsi="Arial" w:cs="Arial"/>
          <w:szCs w:val="24"/>
        </w:rPr>
        <w:t>in CEP during school year (SY) 2016-17.</w:t>
      </w:r>
    </w:p>
    <w:p w:rsidR="00272CD5" w:rsidRPr="00272CD5" w:rsidRDefault="00272CD5" w:rsidP="00272CD5">
      <w:pPr>
        <w:spacing w:after="160" w:line="259" w:lineRule="auto"/>
        <w:ind w:left="1440"/>
        <w:contextualSpacing/>
        <w:rPr>
          <w:rFonts w:ascii="Arial" w:hAnsi="Arial" w:cs="Arial"/>
          <w:color w:val="333333"/>
          <w:kern w:val="36"/>
          <w:szCs w:val="24"/>
          <w:lang w:val="en"/>
        </w:rPr>
      </w:pPr>
    </w:p>
    <w:p w:rsidR="00272CD5" w:rsidRPr="00272CD5" w:rsidRDefault="00272CD5" w:rsidP="00272CD5">
      <w:pPr>
        <w:numPr>
          <w:ilvl w:val="0"/>
          <w:numId w:val="2"/>
        </w:numPr>
        <w:spacing w:after="160" w:line="259" w:lineRule="auto"/>
        <w:contextualSpacing/>
        <w:rPr>
          <w:rFonts w:ascii="Arial" w:hAnsi="Arial" w:cs="Arial"/>
          <w:color w:val="333333"/>
          <w:kern w:val="36"/>
          <w:szCs w:val="24"/>
          <w:lang w:val="en"/>
        </w:rPr>
      </w:pPr>
      <w:r w:rsidRPr="00272CD5">
        <w:rPr>
          <w:rFonts w:ascii="Arial" w:eastAsiaTheme="minorHAnsi" w:hAnsi="Arial" w:cs="Arial"/>
          <w:szCs w:val="24"/>
        </w:rPr>
        <w:t xml:space="preserve">The study design to generate equal participating group and control group sample sizes is ideal.  </w:t>
      </w:r>
    </w:p>
    <w:p w:rsidR="00272CD5" w:rsidRPr="00272CD5" w:rsidRDefault="00272CD5" w:rsidP="00272CD5">
      <w:pPr>
        <w:spacing w:after="160" w:line="259" w:lineRule="auto"/>
        <w:ind w:left="720"/>
        <w:contextualSpacing/>
        <w:rPr>
          <w:rFonts w:ascii="Arial" w:hAnsi="Arial" w:cs="Arial"/>
          <w:color w:val="333333"/>
          <w:kern w:val="36"/>
          <w:szCs w:val="24"/>
          <w:lang w:val="en"/>
        </w:rPr>
      </w:pPr>
      <w:r w:rsidRPr="00272CD5">
        <w:rPr>
          <w:rFonts w:ascii="Arial" w:hAnsi="Arial" w:cs="Arial"/>
          <w:color w:val="333333"/>
          <w:kern w:val="36"/>
          <w:szCs w:val="24"/>
          <w:lang w:val="en"/>
        </w:rPr>
        <w:t xml:space="preserve"> </w:t>
      </w:r>
    </w:p>
    <w:p w:rsidR="00272CD5" w:rsidRPr="00272CD5" w:rsidRDefault="00272CD5" w:rsidP="00272CD5">
      <w:pPr>
        <w:numPr>
          <w:ilvl w:val="0"/>
          <w:numId w:val="1"/>
        </w:numPr>
        <w:spacing w:after="160" w:line="259" w:lineRule="auto"/>
        <w:contextualSpacing/>
        <w:rPr>
          <w:rFonts w:ascii="Arial" w:hAnsi="Arial" w:cs="Arial"/>
          <w:kern w:val="36"/>
          <w:szCs w:val="24"/>
          <w:lang w:val="en"/>
        </w:rPr>
      </w:pPr>
      <w:r w:rsidRPr="00272CD5">
        <w:rPr>
          <w:rFonts w:ascii="Arial" w:hAnsi="Arial" w:cs="Arial"/>
          <w:color w:val="333333"/>
          <w:kern w:val="36"/>
          <w:szCs w:val="24"/>
          <w:lang w:val="en"/>
        </w:rPr>
        <w:t>The sampling method used for this survey design is appropriate. Probability Proportional Sampling methods</w:t>
      </w:r>
      <w:r w:rsidRPr="00272CD5">
        <w:rPr>
          <w:rFonts w:ascii="Arial" w:hAnsi="Arial" w:cs="Arial"/>
          <w:color w:val="333333"/>
          <w:kern w:val="36"/>
          <w:szCs w:val="24"/>
        </w:rPr>
        <w:t xml:space="preserve"> provides equal or better precision than a simple random sample of the same size, and gains in precision accrue to all survey measures.</w:t>
      </w:r>
    </w:p>
    <w:p w:rsidR="00272CD5" w:rsidRPr="00272CD5" w:rsidRDefault="00272CD5" w:rsidP="00272CD5">
      <w:pPr>
        <w:spacing w:after="160" w:line="259" w:lineRule="auto"/>
        <w:ind w:left="720"/>
        <w:contextualSpacing/>
        <w:rPr>
          <w:rFonts w:ascii="Arial" w:hAnsi="Arial" w:cs="Arial"/>
          <w:color w:val="333333"/>
          <w:kern w:val="36"/>
          <w:szCs w:val="24"/>
        </w:rPr>
      </w:pPr>
    </w:p>
    <w:p w:rsidR="00272CD5" w:rsidRPr="00272CD5" w:rsidRDefault="00272CD5" w:rsidP="00272CD5">
      <w:pPr>
        <w:numPr>
          <w:ilvl w:val="0"/>
          <w:numId w:val="1"/>
        </w:numPr>
        <w:spacing w:after="160" w:line="259" w:lineRule="auto"/>
        <w:contextualSpacing/>
        <w:rPr>
          <w:rFonts w:ascii="Arial" w:hAnsi="Arial" w:cs="Arial"/>
          <w:kern w:val="36"/>
          <w:szCs w:val="24"/>
          <w:lang w:val="en"/>
        </w:rPr>
      </w:pPr>
      <w:r w:rsidRPr="00272CD5">
        <w:rPr>
          <w:rFonts w:ascii="Arial" w:hAnsi="Arial" w:cs="Arial"/>
          <w:color w:val="333333"/>
          <w:kern w:val="36"/>
          <w:szCs w:val="24"/>
          <w:lang w:val="en"/>
        </w:rPr>
        <w:t xml:space="preserve">The </w:t>
      </w:r>
      <w:proofErr w:type="gramStart"/>
      <w:r w:rsidRPr="00272CD5">
        <w:rPr>
          <w:rFonts w:ascii="Arial" w:hAnsi="Arial" w:cs="Arial"/>
          <w:color w:val="333333"/>
          <w:kern w:val="36"/>
          <w:szCs w:val="24"/>
          <w:lang w:val="en"/>
        </w:rPr>
        <w:t>methods described to reduce non-response rates is</w:t>
      </w:r>
      <w:proofErr w:type="gramEnd"/>
      <w:r w:rsidRPr="00272CD5">
        <w:rPr>
          <w:rFonts w:ascii="Arial" w:hAnsi="Arial" w:cs="Arial"/>
          <w:color w:val="333333"/>
          <w:kern w:val="36"/>
          <w:szCs w:val="24"/>
          <w:lang w:val="en"/>
        </w:rPr>
        <w:t xml:space="preserve"> thoughtful and data quality control is practicable.  Sending inviting letters to LEA and CN directors, designating FNS regional staff to serve as regional study liaisons, and providing a toll free phone number and email address can all help reduce non-response and improve data quality. </w:t>
      </w:r>
    </w:p>
    <w:p w:rsidR="00272CD5" w:rsidRPr="00272CD5" w:rsidRDefault="00272CD5" w:rsidP="00272CD5">
      <w:pPr>
        <w:spacing w:after="160" w:line="259" w:lineRule="auto"/>
        <w:ind w:left="720" w:right="-288"/>
        <w:contextualSpacing/>
        <w:jc w:val="both"/>
        <w:rPr>
          <w:rFonts w:ascii="Arial" w:eastAsiaTheme="minorHAnsi" w:hAnsi="Arial" w:cs="Arial"/>
          <w:szCs w:val="24"/>
        </w:rPr>
      </w:pPr>
    </w:p>
    <w:p w:rsidR="00272CD5" w:rsidRPr="00272CD5" w:rsidRDefault="00272CD5" w:rsidP="00272CD5">
      <w:pPr>
        <w:numPr>
          <w:ilvl w:val="0"/>
          <w:numId w:val="1"/>
        </w:numPr>
        <w:spacing w:after="160" w:line="259" w:lineRule="auto"/>
        <w:ind w:right="-288"/>
        <w:contextualSpacing/>
        <w:jc w:val="both"/>
        <w:rPr>
          <w:rFonts w:ascii="Arial" w:eastAsiaTheme="minorHAnsi" w:hAnsi="Arial" w:cs="Arial"/>
          <w:szCs w:val="24"/>
        </w:rPr>
      </w:pPr>
      <w:r w:rsidRPr="00272CD5">
        <w:rPr>
          <w:rFonts w:ascii="Arial" w:hAnsi="Arial" w:cs="Arial"/>
          <w:kern w:val="36"/>
          <w:szCs w:val="24"/>
          <w:lang w:val="en"/>
        </w:rPr>
        <w:t xml:space="preserve">The data analysis method in this survey is appropriate. </w:t>
      </w:r>
    </w:p>
    <w:p w:rsidR="00272CD5" w:rsidRPr="00272CD5" w:rsidRDefault="00272CD5" w:rsidP="00272CD5">
      <w:pPr>
        <w:spacing w:after="160" w:line="259" w:lineRule="auto"/>
        <w:ind w:left="720"/>
        <w:contextualSpacing/>
        <w:rPr>
          <w:rFonts w:ascii="Arial" w:eastAsiaTheme="minorHAnsi" w:hAnsi="Arial" w:cs="Arial"/>
          <w:szCs w:val="24"/>
        </w:rPr>
      </w:pPr>
    </w:p>
    <w:p w:rsidR="00272CD5" w:rsidRPr="00272CD5" w:rsidRDefault="00272CD5" w:rsidP="00272CD5">
      <w:pPr>
        <w:numPr>
          <w:ilvl w:val="1"/>
          <w:numId w:val="1"/>
        </w:numPr>
        <w:spacing w:after="160" w:line="259" w:lineRule="auto"/>
        <w:ind w:right="-288"/>
        <w:contextualSpacing/>
        <w:jc w:val="both"/>
        <w:rPr>
          <w:rFonts w:ascii="Arial" w:eastAsiaTheme="minorHAnsi" w:hAnsi="Arial" w:cs="Arial"/>
          <w:szCs w:val="24"/>
        </w:rPr>
      </w:pPr>
      <w:r w:rsidRPr="00272CD5">
        <w:rPr>
          <w:rFonts w:ascii="Arial" w:eastAsiaTheme="minorHAnsi" w:hAnsi="Arial" w:cs="Arial"/>
          <w:szCs w:val="24"/>
        </w:rPr>
        <w:lastRenderedPageBreak/>
        <w:t xml:space="preserve">It is appropriate to employ the longitudinal study since data were collected in the different time period: SY2013 – 2014, 2014-2015, 2015-2016, and also will be collected in 2016 -2017.  Data will also be analyzed across different schools or agencies at the same time point; thus, to conduct a cross section analysis is also proper. </w:t>
      </w:r>
    </w:p>
    <w:p w:rsidR="00272CD5" w:rsidRPr="00272CD5" w:rsidRDefault="00272CD5" w:rsidP="00272CD5">
      <w:pPr>
        <w:spacing w:after="160" w:line="259" w:lineRule="auto"/>
        <w:ind w:left="1440" w:right="-288"/>
        <w:contextualSpacing/>
        <w:jc w:val="both"/>
        <w:rPr>
          <w:rFonts w:ascii="Arial" w:eastAsiaTheme="minorHAnsi" w:hAnsi="Arial" w:cs="Arial"/>
          <w:szCs w:val="24"/>
        </w:rPr>
      </w:pPr>
    </w:p>
    <w:p w:rsidR="00272CD5" w:rsidRPr="00272CD5" w:rsidRDefault="00272CD5" w:rsidP="00272CD5">
      <w:pPr>
        <w:numPr>
          <w:ilvl w:val="1"/>
          <w:numId w:val="1"/>
        </w:numPr>
        <w:spacing w:after="160" w:line="259" w:lineRule="auto"/>
        <w:ind w:right="-288"/>
        <w:contextualSpacing/>
        <w:jc w:val="both"/>
        <w:rPr>
          <w:rFonts w:ascii="Arial" w:eastAsiaTheme="minorHAnsi" w:hAnsi="Arial" w:cs="Arial"/>
          <w:szCs w:val="24"/>
        </w:rPr>
      </w:pPr>
      <w:r w:rsidRPr="00272CD5">
        <w:rPr>
          <w:rFonts w:ascii="Arial" w:eastAsiaTheme="minorHAnsi" w:hAnsi="Arial" w:cs="Arial"/>
          <w:szCs w:val="24"/>
        </w:rPr>
        <w:t xml:space="preserve">It is appropriate to use a difference-in-difference (DD) estimator for this study. </w:t>
      </w:r>
    </w:p>
    <w:p w:rsidR="00272CD5" w:rsidRPr="00272CD5" w:rsidRDefault="00272CD5" w:rsidP="00272CD5">
      <w:pPr>
        <w:spacing w:after="160" w:line="259" w:lineRule="auto"/>
        <w:ind w:left="720"/>
        <w:contextualSpacing/>
        <w:jc w:val="both"/>
        <w:rPr>
          <w:rFonts w:ascii="Arial" w:eastAsiaTheme="minorHAnsi" w:hAnsi="Arial" w:cs="Arial"/>
          <w:szCs w:val="24"/>
        </w:rPr>
      </w:pPr>
    </w:p>
    <w:p w:rsidR="00272CD5" w:rsidRPr="00272CD5" w:rsidRDefault="00272CD5" w:rsidP="00272CD5">
      <w:pPr>
        <w:numPr>
          <w:ilvl w:val="2"/>
          <w:numId w:val="1"/>
        </w:numPr>
        <w:spacing w:after="160" w:line="259" w:lineRule="auto"/>
        <w:ind w:right="-288"/>
        <w:contextualSpacing/>
        <w:rPr>
          <w:rFonts w:ascii="Arial" w:eastAsiaTheme="minorHAnsi" w:hAnsi="Arial" w:cs="Arial"/>
          <w:szCs w:val="24"/>
        </w:rPr>
      </w:pPr>
      <w:r w:rsidRPr="00272CD5">
        <w:rPr>
          <w:rFonts w:ascii="Arial" w:eastAsiaTheme="minorHAnsi" w:hAnsi="Arial" w:cs="Arial"/>
          <w:szCs w:val="24"/>
        </w:rPr>
        <w:t xml:space="preserve">The matched comparison group will be comprised of an equal number of eligible and nonparticipating LEAs, and Matching will be restricted of each treatment LEA to a single comparison LEA within the same State to improve the strength of the match. Thus, it may contain nonrandomized group design. </w:t>
      </w:r>
    </w:p>
    <w:p w:rsidR="00272CD5" w:rsidRPr="00272CD5" w:rsidRDefault="00272CD5" w:rsidP="00272CD5">
      <w:pPr>
        <w:numPr>
          <w:ilvl w:val="3"/>
          <w:numId w:val="1"/>
        </w:numPr>
        <w:spacing w:after="160" w:line="259" w:lineRule="auto"/>
        <w:ind w:right="-288"/>
        <w:contextualSpacing/>
        <w:jc w:val="both"/>
        <w:rPr>
          <w:rFonts w:ascii="Arial" w:eastAsiaTheme="minorHAnsi" w:hAnsi="Arial" w:cs="Arial"/>
          <w:szCs w:val="24"/>
        </w:rPr>
      </w:pPr>
      <w:r w:rsidRPr="00272CD5">
        <w:rPr>
          <w:rFonts w:ascii="Arial" w:eastAsiaTheme="minorHAnsi" w:hAnsi="Arial" w:cs="Arial"/>
          <w:szCs w:val="24"/>
        </w:rPr>
        <w:t xml:space="preserve">Nonrandomized group design is a quasi-experimental design that assigns identifiable groups of individuals to the intervention or comparison condition in some nonrandom way (Murray, 1998). Researchers often make study assignments based on characteristics of the groups for convenience (e.g., geographic location, such as within same state in this study) or other pragmatic reasons. It is very important to correct selection bias. </w:t>
      </w:r>
    </w:p>
    <w:p w:rsidR="00272CD5" w:rsidRPr="00272CD5" w:rsidRDefault="00272CD5" w:rsidP="00272CD5">
      <w:pPr>
        <w:numPr>
          <w:ilvl w:val="3"/>
          <w:numId w:val="1"/>
        </w:numPr>
        <w:spacing w:after="160" w:line="259" w:lineRule="auto"/>
        <w:ind w:right="-288"/>
        <w:contextualSpacing/>
        <w:rPr>
          <w:rFonts w:ascii="Arial" w:eastAsiaTheme="minorHAnsi" w:hAnsi="Arial" w:cs="Arial"/>
          <w:szCs w:val="24"/>
        </w:rPr>
      </w:pPr>
      <w:r w:rsidRPr="00272CD5">
        <w:rPr>
          <w:rFonts w:ascii="Arial" w:eastAsiaTheme="minorHAnsi" w:hAnsi="Arial" w:cs="Arial"/>
          <w:szCs w:val="24"/>
        </w:rPr>
        <w:t xml:space="preserve">The DD estimator can control for a wide variety of selection mechanisms (e.g., selection decisions made by the director of an agency) if there is no observational distinction exists between the selection mechanism and the study condition of the group. The advantage of DD is that it relaxes the assumption of condition </w:t>
      </w:r>
      <w:proofErr w:type="spellStart"/>
      <w:r w:rsidRPr="00272CD5">
        <w:rPr>
          <w:rFonts w:ascii="Arial" w:eastAsiaTheme="minorHAnsi" w:hAnsi="Arial" w:cs="Arial"/>
          <w:szCs w:val="24"/>
        </w:rPr>
        <w:t>exogeneity</w:t>
      </w:r>
      <w:proofErr w:type="spellEnd"/>
      <w:r w:rsidRPr="00272CD5">
        <w:rPr>
          <w:rFonts w:ascii="Arial" w:eastAsiaTheme="minorHAnsi" w:hAnsi="Arial" w:cs="Arial"/>
          <w:szCs w:val="24"/>
        </w:rPr>
        <w:t xml:space="preserve"> or selection only on observed characteristics. </w:t>
      </w:r>
    </w:p>
    <w:p w:rsidR="00272CD5" w:rsidRPr="00272CD5" w:rsidRDefault="00272CD5" w:rsidP="00272CD5">
      <w:pPr>
        <w:spacing w:after="160" w:line="259" w:lineRule="auto"/>
        <w:ind w:left="1440" w:right="-288"/>
        <w:contextualSpacing/>
        <w:jc w:val="both"/>
        <w:rPr>
          <w:rFonts w:ascii="Arial" w:eastAsiaTheme="minorHAnsi" w:hAnsi="Arial" w:cs="Arial"/>
          <w:szCs w:val="24"/>
        </w:rPr>
      </w:pPr>
    </w:p>
    <w:p w:rsidR="00272CD5" w:rsidRPr="00272CD5" w:rsidRDefault="00272CD5" w:rsidP="00272CD5">
      <w:pPr>
        <w:numPr>
          <w:ilvl w:val="2"/>
          <w:numId w:val="1"/>
        </w:numPr>
        <w:spacing w:after="160" w:line="259" w:lineRule="auto"/>
        <w:ind w:right="-288"/>
        <w:contextualSpacing/>
        <w:jc w:val="both"/>
        <w:rPr>
          <w:rFonts w:ascii="Arial" w:eastAsiaTheme="minorHAnsi" w:hAnsi="Arial" w:cs="Arial"/>
          <w:szCs w:val="24"/>
        </w:rPr>
      </w:pPr>
      <w:r w:rsidRPr="00272CD5">
        <w:rPr>
          <w:rFonts w:ascii="Arial" w:eastAsiaTheme="minorHAnsi" w:hAnsi="Arial" w:cs="Arial"/>
          <w:szCs w:val="24"/>
        </w:rPr>
        <w:t>In this study the differences in pre-program outcomes for both the treatment and a matched comparison group are compared to post-program outcomes.  A popular approach for addressing this problem is the DD or double difference estimator, obtained by comparing the change in outcomes before and after the program for a treatment group to the change in outcomes over the same time period for a control group. Thus, to conduct a DD estimation for this study is appropriate.</w:t>
      </w:r>
    </w:p>
    <w:p w:rsidR="00272CD5" w:rsidRPr="00272CD5" w:rsidRDefault="00272CD5" w:rsidP="00272CD5">
      <w:pPr>
        <w:spacing w:after="160" w:line="259" w:lineRule="auto"/>
        <w:ind w:left="720" w:right="-288"/>
        <w:contextualSpacing/>
        <w:jc w:val="both"/>
        <w:rPr>
          <w:rFonts w:ascii="Arial" w:eastAsiaTheme="minorHAnsi" w:hAnsi="Arial" w:cs="Arial"/>
          <w:color w:val="000000"/>
          <w:szCs w:val="24"/>
          <w:shd w:val="clear" w:color="auto" w:fill="FFFFFF"/>
        </w:rPr>
      </w:pPr>
      <w:r w:rsidRPr="00272CD5">
        <w:rPr>
          <w:rFonts w:ascii="Arial" w:eastAsiaTheme="minorHAnsi" w:hAnsi="Arial" w:cs="Arial"/>
          <w:color w:val="000000"/>
          <w:szCs w:val="24"/>
          <w:shd w:val="clear" w:color="auto" w:fill="FFFFFF"/>
        </w:rPr>
        <w:t xml:space="preserve">                                      </w:t>
      </w:r>
    </w:p>
    <w:p w:rsidR="00272CD5" w:rsidRPr="00272CD5" w:rsidRDefault="00272CD5" w:rsidP="00272CD5">
      <w:pPr>
        <w:spacing w:after="160" w:line="259" w:lineRule="auto"/>
        <w:ind w:left="720" w:right="-288"/>
        <w:contextualSpacing/>
        <w:jc w:val="both"/>
        <w:rPr>
          <w:rFonts w:ascii="Arial" w:eastAsiaTheme="minorHAnsi" w:hAnsi="Arial" w:cs="Arial"/>
          <w:color w:val="000000"/>
          <w:szCs w:val="24"/>
          <w:shd w:val="clear" w:color="auto" w:fill="FFFFFF"/>
        </w:rPr>
      </w:pPr>
      <w:r w:rsidRPr="00272CD5">
        <w:rPr>
          <w:rFonts w:ascii="Arial" w:eastAsiaTheme="minorHAnsi" w:hAnsi="Arial" w:cs="Arial"/>
          <w:color w:val="000000"/>
          <w:szCs w:val="24"/>
          <w:shd w:val="clear" w:color="auto" w:fill="FFFFFF"/>
        </w:rPr>
        <w:t xml:space="preserve">                                    </w:t>
      </w:r>
    </w:p>
    <w:p w:rsidR="00272CD5" w:rsidRPr="00272CD5" w:rsidRDefault="00272CD5" w:rsidP="00272CD5">
      <w:pPr>
        <w:spacing w:after="160" w:line="259" w:lineRule="auto"/>
        <w:ind w:right="-288"/>
        <w:rPr>
          <w:rFonts w:ascii="Arial" w:eastAsiaTheme="minorHAnsi" w:hAnsi="Arial" w:cs="Arial"/>
          <w:b/>
          <w:caps/>
          <w:color w:val="000000"/>
          <w:szCs w:val="24"/>
          <w:shd w:val="clear" w:color="auto" w:fill="FFFFFF"/>
        </w:rPr>
      </w:pPr>
      <w:r w:rsidRPr="00272CD5">
        <w:rPr>
          <w:rFonts w:ascii="Arial" w:eastAsiaTheme="minorHAnsi" w:hAnsi="Arial" w:cs="Arial"/>
          <w:b/>
          <w:caps/>
          <w:color w:val="000000"/>
          <w:szCs w:val="24"/>
          <w:shd w:val="clear" w:color="auto" w:fill="FFFFFF"/>
        </w:rPr>
        <w:t xml:space="preserve">Sample design, questionnaire design  </w:t>
      </w:r>
    </w:p>
    <w:p w:rsidR="00272CD5" w:rsidRPr="00272CD5" w:rsidRDefault="00272CD5" w:rsidP="00272CD5">
      <w:pPr>
        <w:numPr>
          <w:ilvl w:val="0"/>
          <w:numId w:val="1"/>
        </w:numPr>
        <w:spacing w:after="160" w:line="259" w:lineRule="auto"/>
        <w:contextualSpacing/>
        <w:rPr>
          <w:rFonts w:ascii="Arial" w:eastAsiaTheme="minorHAnsi" w:hAnsi="Arial" w:cs="Arial"/>
          <w:snapToGrid w:val="0"/>
          <w:color w:val="FF0000"/>
          <w:szCs w:val="24"/>
        </w:rPr>
      </w:pPr>
      <w:r w:rsidRPr="00272CD5">
        <w:rPr>
          <w:rFonts w:ascii="Arial" w:eastAsiaTheme="minorHAnsi" w:hAnsi="Arial" w:cs="Arial"/>
          <w:snapToGrid w:val="0"/>
          <w:szCs w:val="24"/>
        </w:rPr>
        <w:t xml:space="preserve">Consider adding questionnaire numbers for the </w:t>
      </w:r>
      <w:r w:rsidRPr="00272CD5">
        <w:rPr>
          <w:rFonts w:ascii="Arial" w:eastAsiaTheme="minorHAnsi" w:hAnsi="Arial" w:cs="Arial"/>
          <w:szCs w:val="24"/>
        </w:rPr>
        <w:t>State Agency Child Nutrition Director Web Survey (</w:t>
      </w:r>
      <w:r w:rsidRPr="00272CD5">
        <w:rPr>
          <w:rFonts w:ascii="Arial" w:eastAsiaTheme="minorHAnsi" w:hAnsi="Arial" w:cs="Arial"/>
          <w:snapToGrid w:val="0"/>
          <w:szCs w:val="24"/>
        </w:rPr>
        <w:t xml:space="preserve">APPENDIX C1), so that CN directors will be able to follow </w:t>
      </w:r>
      <w:r w:rsidRPr="00272CD5">
        <w:rPr>
          <w:rFonts w:ascii="Arial" w:eastAsiaTheme="minorHAnsi" w:hAnsi="Arial" w:cs="Arial"/>
          <w:snapToGrid w:val="0"/>
          <w:szCs w:val="24"/>
        </w:rPr>
        <w:lastRenderedPageBreak/>
        <w:t xml:space="preserve">the instructions. For example, the question directs the Director to question 1.8 which does not exist.  This type of problem occurs in several sections of this questionnaire.  </w:t>
      </w:r>
      <w:r w:rsidRPr="00272CD5">
        <w:rPr>
          <w:rFonts w:ascii="Arial" w:eastAsiaTheme="minorHAnsi" w:hAnsi="Arial" w:cs="Arial"/>
          <w:snapToGrid w:val="0"/>
          <w:color w:val="FF0000"/>
          <w:szCs w:val="24"/>
        </w:rPr>
        <w:t>(Questionnaire revised—Appendix C1)</w:t>
      </w:r>
    </w:p>
    <w:p w:rsidR="00272CD5" w:rsidRPr="00272CD5" w:rsidRDefault="00272CD5" w:rsidP="00272CD5">
      <w:pPr>
        <w:spacing w:after="160" w:line="259" w:lineRule="auto"/>
        <w:ind w:left="720"/>
        <w:contextualSpacing/>
        <w:rPr>
          <w:rFonts w:asciiTheme="minorHAnsi" w:eastAsiaTheme="minorHAnsi" w:hAnsiTheme="minorHAnsi" w:cstheme="minorBidi"/>
          <w:sz w:val="22"/>
          <w:szCs w:val="22"/>
        </w:rPr>
      </w:pPr>
      <w:r w:rsidRPr="00272CD5">
        <w:rPr>
          <w:rFonts w:asciiTheme="minorHAnsi" w:eastAsiaTheme="minorHAnsi" w:hAnsiTheme="minorHAnsi" w:cstheme="minorBidi"/>
          <w:sz w:val="22"/>
          <w:szCs w:val="22"/>
        </w:rPr>
        <w:tab/>
      </w:r>
    </w:p>
    <w:p w:rsidR="00272CD5" w:rsidRPr="00272CD5" w:rsidRDefault="00272CD5" w:rsidP="00272CD5">
      <w:pPr>
        <w:numPr>
          <w:ilvl w:val="0"/>
          <w:numId w:val="1"/>
        </w:numPr>
        <w:spacing w:after="160" w:line="259" w:lineRule="auto"/>
        <w:ind w:right="-288"/>
        <w:contextualSpacing/>
        <w:rPr>
          <w:rFonts w:ascii="Arial" w:eastAsiaTheme="minorHAnsi" w:hAnsi="Arial" w:cs="Arial"/>
          <w:szCs w:val="24"/>
        </w:rPr>
      </w:pPr>
      <w:r w:rsidRPr="00272CD5">
        <w:rPr>
          <w:rFonts w:ascii="Arial" w:eastAsiaTheme="minorHAnsi" w:hAnsi="Arial" w:cs="Arial"/>
          <w:szCs w:val="24"/>
        </w:rPr>
        <w:t xml:space="preserve">Consider changing “estimated proportion with an assumed population value” to “estimated proportion value” (last paragraph, page B-4).  If this proportion is unknown, consider setting it to 0.50, as this produces a conservative estimate of variance. </w:t>
      </w:r>
      <w:r w:rsidRPr="00272CD5">
        <w:rPr>
          <w:rFonts w:ascii="Arial" w:eastAsiaTheme="minorHAnsi" w:hAnsi="Arial" w:cs="Arial"/>
          <w:color w:val="FF0000"/>
          <w:szCs w:val="24"/>
        </w:rPr>
        <w:t>(Changed)</w:t>
      </w:r>
    </w:p>
    <w:p w:rsidR="00272CD5" w:rsidRPr="00272CD5" w:rsidRDefault="00272CD5" w:rsidP="00272CD5">
      <w:pPr>
        <w:numPr>
          <w:ilvl w:val="0"/>
          <w:numId w:val="1"/>
        </w:numPr>
        <w:spacing w:after="160" w:line="259" w:lineRule="auto"/>
        <w:ind w:left="1080" w:right="-288"/>
        <w:contextualSpacing/>
        <w:rPr>
          <w:rFonts w:ascii="Arial" w:eastAsiaTheme="minorHAnsi" w:hAnsi="Arial" w:cs="Arial"/>
          <w:szCs w:val="24"/>
        </w:rPr>
      </w:pPr>
      <w:r w:rsidRPr="00272CD5">
        <w:rPr>
          <w:rFonts w:ascii="Arial" w:eastAsiaTheme="minorHAnsi" w:hAnsi="Arial" w:cs="Arial"/>
          <w:szCs w:val="24"/>
        </w:rPr>
        <w:t xml:space="preserve">For clarity, consider moving the purposeful sample explanation on Page B-6 to the purposeful sampling comment on page B-4. </w:t>
      </w:r>
      <w:r w:rsidRPr="00272CD5">
        <w:rPr>
          <w:rFonts w:ascii="Arial" w:eastAsiaTheme="minorHAnsi" w:hAnsi="Arial" w:cs="Arial"/>
          <w:color w:val="FF0000"/>
          <w:szCs w:val="24"/>
        </w:rPr>
        <w:t>(Moved up)</w:t>
      </w:r>
      <w:r w:rsidRPr="00272CD5">
        <w:rPr>
          <w:rFonts w:ascii="Arial" w:eastAsiaTheme="minorHAnsi" w:hAnsi="Arial" w:cs="Arial"/>
          <w:szCs w:val="24"/>
        </w:rPr>
        <w:t xml:space="preserve"> Also, consider listing the 12 SAs so the reader can determine if the selections are representative. </w:t>
      </w:r>
      <w:r w:rsidRPr="00272CD5">
        <w:rPr>
          <w:rFonts w:ascii="Arial" w:eastAsiaTheme="minorHAnsi" w:hAnsi="Arial" w:cs="Arial"/>
          <w:color w:val="FF0000"/>
          <w:szCs w:val="24"/>
        </w:rPr>
        <w:t>(We do not know the States at this time.)</w:t>
      </w:r>
    </w:p>
    <w:p w:rsidR="00272CD5" w:rsidRPr="00272CD5" w:rsidRDefault="00272CD5" w:rsidP="00272CD5">
      <w:pPr>
        <w:numPr>
          <w:ilvl w:val="0"/>
          <w:numId w:val="1"/>
        </w:numPr>
        <w:spacing w:after="160" w:line="259" w:lineRule="auto"/>
        <w:ind w:right="-288"/>
        <w:contextualSpacing/>
        <w:rPr>
          <w:rFonts w:ascii="Arial" w:eastAsiaTheme="minorHAnsi" w:hAnsi="Arial" w:cs="Arial"/>
          <w:szCs w:val="24"/>
        </w:rPr>
      </w:pPr>
      <w:r w:rsidRPr="00272CD5">
        <w:rPr>
          <w:rFonts w:ascii="Arial" w:eastAsiaTheme="minorHAnsi" w:hAnsi="Arial" w:cs="Arial"/>
          <w:szCs w:val="24"/>
        </w:rPr>
        <w:t xml:space="preserve">Should 51 be 52 on page B-7? Or is the State that “will not involve sampling” omitted? </w:t>
      </w:r>
      <w:r w:rsidR="006604D0">
        <w:rPr>
          <w:rFonts w:ascii="Arial" w:eastAsiaTheme="minorHAnsi" w:hAnsi="Arial" w:cs="Arial"/>
          <w:color w:val="FF0000"/>
          <w:szCs w:val="24"/>
        </w:rPr>
        <w:t>(Changed to 52</w:t>
      </w:r>
      <w:bookmarkStart w:id="0" w:name="_GoBack"/>
      <w:bookmarkEnd w:id="0"/>
      <w:r w:rsidRPr="00272CD5">
        <w:rPr>
          <w:rFonts w:ascii="Arial" w:eastAsiaTheme="minorHAnsi" w:hAnsi="Arial" w:cs="Arial"/>
          <w:color w:val="FF0000"/>
          <w:szCs w:val="24"/>
        </w:rPr>
        <w:t>)</w:t>
      </w:r>
    </w:p>
    <w:p w:rsidR="00272CD5" w:rsidRPr="00272CD5" w:rsidRDefault="00272CD5" w:rsidP="00272CD5">
      <w:pPr>
        <w:numPr>
          <w:ilvl w:val="0"/>
          <w:numId w:val="1"/>
        </w:numPr>
        <w:spacing w:after="160" w:line="259" w:lineRule="auto"/>
        <w:ind w:right="-288"/>
        <w:contextualSpacing/>
        <w:rPr>
          <w:rFonts w:ascii="Arial" w:eastAsiaTheme="minorHAnsi" w:hAnsi="Arial" w:cs="Arial"/>
          <w:szCs w:val="24"/>
        </w:rPr>
      </w:pPr>
      <w:r w:rsidRPr="00272CD5">
        <w:rPr>
          <w:rFonts w:ascii="Arial" w:eastAsiaTheme="minorHAnsi" w:hAnsi="Arial" w:cs="Arial"/>
          <w:szCs w:val="24"/>
        </w:rPr>
        <w:t xml:space="preserve">The State CN Director Survey will be conducted as a census of all 51 State CN directors (including all States, the District of Columbia and Guam) and will not involve sampling.   </w:t>
      </w:r>
    </w:p>
    <w:p w:rsidR="00272CD5" w:rsidRPr="00272CD5" w:rsidRDefault="00272CD5" w:rsidP="00272CD5">
      <w:pPr>
        <w:spacing w:after="160" w:line="259" w:lineRule="auto"/>
        <w:ind w:left="720" w:right="-288"/>
        <w:contextualSpacing/>
        <w:rPr>
          <w:rFonts w:ascii="Arial" w:eastAsiaTheme="minorHAnsi" w:hAnsi="Arial" w:cs="Arial"/>
          <w:szCs w:val="24"/>
        </w:rPr>
      </w:pPr>
    </w:p>
    <w:p w:rsidR="00272CD5" w:rsidRPr="00272CD5" w:rsidRDefault="00272CD5" w:rsidP="00272CD5">
      <w:pPr>
        <w:numPr>
          <w:ilvl w:val="0"/>
          <w:numId w:val="1"/>
        </w:numPr>
        <w:spacing w:after="160" w:line="259" w:lineRule="auto"/>
        <w:ind w:right="-288"/>
        <w:contextualSpacing/>
        <w:rPr>
          <w:rFonts w:ascii="Arial" w:eastAsiaTheme="minorHAnsi" w:hAnsi="Arial" w:cs="Arial"/>
          <w:szCs w:val="24"/>
        </w:rPr>
      </w:pPr>
      <w:r w:rsidRPr="00272CD5">
        <w:rPr>
          <w:rFonts w:ascii="Arial" w:eastAsiaTheme="minorHAnsi" w:hAnsi="Arial" w:cs="Arial"/>
          <w:szCs w:val="24"/>
        </w:rPr>
        <w:t xml:space="preserve">Consider using logistic regression for data analysis for research question RQ-5 and RQ-8, Table 2, in Appendix A. </w:t>
      </w:r>
      <w:r w:rsidRPr="00272CD5">
        <w:rPr>
          <w:rFonts w:ascii="Arial" w:eastAsiaTheme="minorHAnsi" w:hAnsi="Arial" w:cs="Arial"/>
          <w:color w:val="FF0000"/>
          <w:szCs w:val="24"/>
        </w:rPr>
        <w:t>(This will be considered in analysis plan.)</w:t>
      </w:r>
    </w:p>
    <w:p w:rsidR="00272CD5" w:rsidRPr="00272CD5" w:rsidRDefault="00272CD5" w:rsidP="00272CD5">
      <w:pPr>
        <w:spacing w:after="160" w:line="259" w:lineRule="auto"/>
        <w:ind w:left="648" w:right="-288"/>
        <w:contextualSpacing/>
        <w:jc w:val="both"/>
        <w:rPr>
          <w:rFonts w:ascii="Arial" w:eastAsiaTheme="minorHAnsi" w:hAnsi="Arial" w:cs="Arial"/>
          <w:szCs w:val="24"/>
        </w:rPr>
      </w:pPr>
    </w:p>
    <w:p w:rsidR="00272CD5" w:rsidRPr="00272CD5" w:rsidRDefault="00272CD5" w:rsidP="00272CD5">
      <w:pPr>
        <w:numPr>
          <w:ilvl w:val="0"/>
          <w:numId w:val="1"/>
        </w:numPr>
        <w:spacing w:after="160" w:line="259" w:lineRule="auto"/>
        <w:ind w:left="288" w:right="-288"/>
        <w:contextualSpacing/>
        <w:rPr>
          <w:rFonts w:ascii="Arial" w:eastAsiaTheme="minorHAnsi" w:hAnsi="Arial" w:cs="Arial"/>
          <w:szCs w:val="24"/>
        </w:rPr>
      </w:pPr>
      <w:r w:rsidRPr="00272CD5">
        <w:rPr>
          <w:rFonts w:ascii="Arial" w:eastAsiaTheme="minorHAnsi" w:hAnsi="Arial" w:cs="Arial"/>
          <w:szCs w:val="24"/>
        </w:rPr>
        <w:t>In this study the survey data from the participating and non-participating surveys will be weighted to reflect the probability of selection into the sample, but the Taylor approach does not fully capture the effects of different weighting adjustments (</w:t>
      </w:r>
      <w:proofErr w:type="spellStart"/>
      <w:r w:rsidRPr="00272CD5">
        <w:rPr>
          <w:rFonts w:ascii="Arial" w:eastAsiaTheme="minorHAnsi" w:hAnsi="Arial" w:cs="Arial"/>
          <w:szCs w:val="24"/>
        </w:rPr>
        <w:t>Sadeq</w:t>
      </w:r>
      <w:proofErr w:type="spellEnd"/>
      <w:r w:rsidRPr="00272CD5">
        <w:rPr>
          <w:rFonts w:ascii="Arial" w:eastAsiaTheme="minorHAnsi" w:hAnsi="Arial" w:cs="Arial"/>
          <w:szCs w:val="24"/>
        </w:rPr>
        <w:t xml:space="preserve"> R. Chowdhury. A Comparison of Taylor Linearization and Balanced Repeated Replication Methods for Variance Estimation in Medical Expenditure Panel Survey. Agency for Healthcare Research and Quality Working Paper No. 13004, July 2013, </w:t>
      </w:r>
      <w:hyperlink w:history="1">
        <w:r w:rsidRPr="00272CD5">
          <w:rPr>
            <w:rFonts w:ascii="Arial" w:eastAsiaTheme="minorHAnsi" w:hAnsi="Arial" w:cs="Arial"/>
            <w:color w:val="0000FF"/>
            <w:szCs w:val="24"/>
            <w:u w:val="single"/>
          </w:rPr>
          <w:t>http://www.ahrq.gov). Thus</w:t>
        </w:r>
      </w:hyperlink>
      <w:r w:rsidRPr="00272CD5">
        <w:rPr>
          <w:rFonts w:ascii="Arial" w:eastAsiaTheme="minorHAnsi" w:hAnsi="Arial" w:cs="Arial"/>
          <w:color w:val="0000FF"/>
          <w:szCs w:val="24"/>
          <w:u w:val="single"/>
        </w:rPr>
        <w:t xml:space="preserve">, </w:t>
      </w:r>
      <w:r w:rsidRPr="00272CD5">
        <w:rPr>
          <w:rFonts w:ascii="Arial" w:eastAsiaTheme="minorHAnsi" w:hAnsi="Arial" w:cs="Arial"/>
          <w:szCs w:val="24"/>
        </w:rPr>
        <w:t>variance estimation</w:t>
      </w:r>
      <w:r w:rsidRPr="00272CD5">
        <w:rPr>
          <w:rFonts w:ascii="Arial" w:eastAsiaTheme="minorHAnsi" w:hAnsi="Arial" w:cs="Arial"/>
          <w:color w:val="000000"/>
          <w:szCs w:val="24"/>
          <w:shd w:val="clear" w:color="auto" w:fill="FFFFFF"/>
        </w:rPr>
        <w:t xml:space="preserve"> results might be conservative for </w:t>
      </w:r>
      <w:r w:rsidRPr="00272CD5">
        <w:rPr>
          <w:rFonts w:ascii="Arial" w:eastAsiaTheme="minorHAnsi" w:hAnsi="Arial" w:cs="Arial"/>
          <w:color w:val="0000FF"/>
          <w:szCs w:val="24"/>
          <w:u w:val="single"/>
        </w:rPr>
        <w:t xml:space="preserve">the </w:t>
      </w:r>
      <w:r w:rsidRPr="00272CD5">
        <w:rPr>
          <w:rFonts w:ascii="Arial" w:eastAsiaTheme="minorHAnsi" w:hAnsi="Arial" w:cs="Arial"/>
          <w:color w:val="000000"/>
          <w:szCs w:val="24"/>
          <w:shd w:val="clear" w:color="auto" w:fill="FFFFFF"/>
        </w:rPr>
        <w:t>first stage of sampling (i.e., the primary sampling units) when using the Taylor linearization approach.</w:t>
      </w:r>
      <w:r w:rsidRPr="00272CD5">
        <w:rPr>
          <w:rFonts w:ascii="Arial" w:eastAsiaTheme="minorHAnsi" w:hAnsi="Arial" w:cs="Arial"/>
          <w:color w:val="FF0000"/>
          <w:szCs w:val="24"/>
          <w:shd w:val="clear" w:color="auto" w:fill="FFFFFF"/>
        </w:rPr>
        <w:t xml:space="preserve"> (We will also use replicate weights methods to estimate variances. Amended page B-7.)</w:t>
      </w:r>
    </w:p>
    <w:p w:rsidR="003E11BF" w:rsidRDefault="003E11BF"/>
    <w:sectPr w:rsidR="003E11BF" w:rsidSect="00F43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A27DE"/>
    <w:multiLevelType w:val="hybridMultilevel"/>
    <w:tmpl w:val="A6AA4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EB077E"/>
    <w:multiLevelType w:val="hybridMultilevel"/>
    <w:tmpl w:val="35D0D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94C"/>
    <w:rsid w:val="00107430"/>
    <w:rsid w:val="0012494C"/>
    <w:rsid w:val="00166539"/>
    <w:rsid w:val="00194CDE"/>
    <w:rsid w:val="00245103"/>
    <w:rsid w:val="00256A79"/>
    <w:rsid w:val="00272CD5"/>
    <w:rsid w:val="003E11BF"/>
    <w:rsid w:val="006604D0"/>
    <w:rsid w:val="0067308A"/>
    <w:rsid w:val="00761017"/>
    <w:rsid w:val="00863A96"/>
    <w:rsid w:val="00CC7790"/>
    <w:rsid w:val="00D1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94C"/>
    <w:pPr>
      <w:spacing w:after="0" w:line="24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2494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TableTitle">
    <w:name w:val="TT-Table Title"/>
    <w:basedOn w:val="Heading1"/>
    <w:rsid w:val="0012494C"/>
    <w:pPr>
      <w:keepLines w:val="0"/>
      <w:tabs>
        <w:tab w:val="left" w:pos="1440"/>
      </w:tabs>
      <w:spacing w:before="0"/>
      <w:ind w:left="1152" w:hanging="1152"/>
    </w:pPr>
    <w:rPr>
      <w:rFonts w:ascii="Franklin Gothic Medium" w:eastAsia="Times New Roman" w:hAnsi="Franklin Gothic Medium" w:cs="Times New Roman"/>
      <w:color w:val="auto"/>
      <w:sz w:val="22"/>
      <w:szCs w:val="20"/>
    </w:rPr>
  </w:style>
  <w:style w:type="character" w:customStyle="1" w:styleId="Heading1Char">
    <w:name w:val="Heading 1 Char"/>
    <w:basedOn w:val="DefaultParagraphFont"/>
    <w:link w:val="Heading1"/>
    <w:uiPriority w:val="9"/>
    <w:rsid w:val="0012494C"/>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94C"/>
    <w:pPr>
      <w:spacing w:after="0" w:line="24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2494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TableTitle">
    <w:name w:val="TT-Table Title"/>
    <w:basedOn w:val="Heading1"/>
    <w:rsid w:val="0012494C"/>
    <w:pPr>
      <w:keepLines w:val="0"/>
      <w:tabs>
        <w:tab w:val="left" w:pos="1440"/>
      </w:tabs>
      <w:spacing w:before="0"/>
      <w:ind w:left="1152" w:hanging="1152"/>
    </w:pPr>
    <w:rPr>
      <w:rFonts w:ascii="Franklin Gothic Medium" w:eastAsia="Times New Roman" w:hAnsi="Franklin Gothic Medium" w:cs="Times New Roman"/>
      <w:color w:val="auto"/>
      <w:sz w:val="22"/>
      <w:szCs w:val="20"/>
    </w:rPr>
  </w:style>
  <w:style w:type="character" w:customStyle="1" w:styleId="Heading1Char">
    <w:name w:val="Heading 1 Char"/>
    <w:basedOn w:val="DefaultParagraphFont"/>
    <w:link w:val="Heading1"/>
    <w:uiPriority w:val="9"/>
    <w:rsid w:val="0012494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898</Words>
  <Characters>5121</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Murdoch, PhD</dc:creator>
  <cp:lastModifiedBy>jendahl</cp:lastModifiedBy>
  <cp:revision>2</cp:revision>
  <dcterms:created xsi:type="dcterms:W3CDTF">2016-05-17T20:25:00Z</dcterms:created>
  <dcterms:modified xsi:type="dcterms:W3CDTF">2016-05-17T20:25:00Z</dcterms:modified>
</cp:coreProperties>
</file>