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0D0899" w14:textId="77777777" w:rsidR="005F15C2" w:rsidRDefault="005F15C2" w:rsidP="005F15C2">
      <w:pPr>
        <w:spacing w:after="0"/>
        <w:rPr>
          <w:rFonts w:asciiTheme="majorHAnsi" w:hAnsiTheme="majorHAnsi"/>
          <w:b/>
        </w:rPr>
      </w:pPr>
    </w:p>
    <w:p w14:paraId="2A0FB052" w14:textId="77777777" w:rsidR="005F15C2" w:rsidRDefault="005F15C2" w:rsidP="005F15C2">
      <w:pPr>
        <w:spacing w:after="0"/>
        <w:rPr>
          <w:rFonts w:asciiTheme="majorHAnsi" w:hAnsiTheme="majorHAnsi"/>
          <w:b/>
        </w:rPr>
      </w:pPr>
    </w:p>
    <w:p w14:paraId="36EC125B" w14:textId="77777777" w:rsidR="005F15C2" w:rsidRDefault="005F15C2" w:rsidP="005F15C2">
      <w:pPr>
        <w:spacing w:after="0"/>
        <w:jc w:val="center"/>
        <w:rPr>
          <w:rFonts w:asciiTheme="majorHAnsi" w:hAnsiTheme="majorHAnsi"/>
          <w:b/>
        </w:rPr>
      </w:pPr>
    </w:p>
    <w:p w14:paraId="1988FB5D" w14:textId="77777777" w:rsidR="005F15C2" w:rsidRDefault="005F15C2" w:rsidP="005F15C2">
      <w:pPr>
        <w:spacing w:after="0"/>
        <w:jc w:val="center"/>
        <w:rPr>
          <w:rFonts w:asciiTheme="majorHAnsi" w:hAnsiTheme="majorHAnsi"/>
          <w:b/>
        </w:rPr>
      </w:pPr>
    </w:p>
    <w:p w14:paraId="371FCB25" w14:textId="77777777" w:rsidR="005F15C2" w:rsidRPr="00020C8F" w:rsidRDefault="005F15C2" w:rsidP="005F15C2">
      <w:pPr>
        <w:spacing w:after="0"/>
        <w:jc w:val="center"/>
        <w:rPr>
          <w:rFonts w:asciiTheme="minorHAnsi" w:hAnsiTheme="minorHAnsi" w:cstheme="minorHAnsi"/>
          <w:color w:val="0033CC"/>
          <w:sz w:val="24"/>
          <w:szCs w:val="24"/>
        </w:rPr>
      </w:pPr>
    </w:p>
    <w:p w14:paraId="59C1124C" w14:textId="77777777" w:rsidR="005F15C2" w:rsidRPr="00020C8F" w:rsidRDefault="005F15C2" w:rsidP="005F15C2">
      <w:pPr>
        <w:spacing w:after="0"/>
        <w:jc w:val="center"/>
        <w:rPr>
          <w:rFonts w:asciiTheme="minorHAnsi" w:hAnsiTheme="minorHAnsi" w:cstheme="minorHAnsi"/>
          <w:color w:val="0033CC"/>
          <w:sz w:val="24"/>
          <w:szCs w:val="24"/>
        </w:rPr>
      </w:pPr>
    </w:p>
    <w:p w14:paraId="5EE7CEDD" w14:textId="77777777" w:rsidR="005F15C2" w:rsidRPr="00020C8F" w:rsidRDefault="005F15C2" w:rsidP="005F15C2">
      <w:pPr>
        <w:spacing w:after="0"/>
        <w:jc w:val="center"/>
        <w:rPr>
          <w:rFonts w:asciiTheme="minorHAnsi" w:hAnsiTheme="minorHAnsi" w:cstheme="minorHAnsi"/>
          <w:sz w:val="24"/>
          <w:szCs w:val="24"/>
        </w:rPr>
      </w:pPr>
    </w:p>
    <w:p w14:paraId="7DF7EBA4" w14:textId="77777777" w:rsidR="005F15C2" w:rsidRPr="00020C8F" w:rsidRDefault="005F15C2" w:rsidP="005F15C2">
      <w:pPr>
        <w:spacing w:after="0"/>
        <w:jc w:val="center"/>
        <w:rPr>
          <w:rFonts w:asciiTheme="minorHAnsi" w:hAnsiTheme="minorHAnsi" w:cstheme="minorHAnsi"/>
          <w:b/>
          <w:sz w:val="24"/>
          <w:szCs w:val="24"/>
        </w:rPr>
      </w:pPr>
    </w:p>
    <w:p w14:paraId="2B180058" w14:textId="77777777" w:rsidR="005F15C2" w:rsidRPr="00020C8F" w:rsidRDefault="005F15C2" w:rsidP="005F15C2">
      <w:pPr>
        <w:spacing w:after="0"/>
        <w:jc w:val="center"/>
        <w:rPr>
          <w:rFonts w:asciiTheme="minorHAnsi" w:hAnsiTheme="minorHAnsi" w:cstheme="minorHAnsi"/>
          <w:b/>
          <w:sz w:val="40"/>
          <w:szCs w:val="40"/>
        </w:rPr>
      </w:pPr>
      <w:r w:rsidRPr="00020C8F">
        <w:rPr>
          <w:rFonts w:asciiTheme="minorHAnsi" w:hAnsiTheme="minorHAnsi" w:cstheme="minorHAnsi"/>
          <w:b/>
          <w:sz w:val="40"/>
          <w:szCs w:val="40"/>
        </w:rPr>
        <w:t xml:space="preserve">DATA Act Section 5 Grants Pilot </w:t>
      </w:r>
    </w:p>
    <w:p w14:paraId="52D1FCEB" w14:textId="77777777" w:rsidR="005F15C2" w:rsidRPr="00020C8F" w:rsidRDefault="005F15C2" w:rsidP="005F15C2">
      <w:pPr>
        <w:spacing w:after="0"/>
        <w:jc w:val="center"/>
        <w:rPr>
          <w:rFonts w:asciiTheme="minorHAnsi" w:hAnsiTheme="minorHAnsi" w:cstheme="minorHAnsi"/>
          <w:b/>
          <w:sz w:val="24"/>
          <w:szCs w:val="24"/>
        </w:rPr>
      </w:pPr>
    </w:p>
    <w:p w14:paraId="5CE0B21D" w14:textId="77777777" w:rsidR="005F15C2" w:rsidRPr="00020C8F" w:rsidRDefault="005F15C2" w:rsidP="005F15C2">
      <w:pPr>
        <w:spacing w:after="0"/>
        <w:jc w:val="center"/>
        <w:rPr>
          <w:rFonts w:asciiTheme="minorHAnsi" w:hAnsiTheme="minorHAnsi" w:cstheme="minorHAnsi"/>
          <w:sz w:val="24"/>
          <w:szCs w:val="24"/>
        </w:rPr>
      </w:pPr>
      <w:r w:rsidRPr="00020C8F">
        <w:rPr>
          <w:rFonts w:asciiTheme="minorHAnsi" w:hAnsiTheme="minorHAnsi" w:cstheme="minorHAnsi"/>
          <w:sz w:val="24"/>
          <w:szCs w:val="24"/>
        </w:rPr>
        <w:t>DATA Act PMO Generic Information Collection Request</w:t>
      </w:r>
    </w:p>
    <w:p w14:paraId="331DEE35" w14:textId="77777777" w:rsidR="005F15C2" w:rsidRPr="00020C8F" w:rsidRDefault="005F15C2" w:rsidP="005F15C2">
      <w:pPr>
        <w:spacing w:after="0"/>
        <w:rPr>
          <w:rFonts w:asciiTheme="minorHAnsi" w:hAnsiTheme="minorHAnsi" w:cstheme="minorHAnsi"/>
          <w:b/>
          <w:sz w:val="24"/>
          <w:szCs w:val="24"/>
        </w:rPr>
      </w:pPr>
    </w:p>
    <w:p w14:paraId="1E4841C5" w14:textId="77777777" w:rsidR="005F15C2" w:rsidRPr="00020C8F" w:rsidRDefault="005F15C2" w:rsidP="005F15C2">
      <w:pPr>
        <w:spacing w:after="0"/>
        <w:rPr>
          <w:rFonts w:asciiTheme="minorHAnsi" w:hAnsiTheme="minorHAnsi" w:cstheme="minorHAnsi"/>
          <w:b/>
          <w:sz w:val="24"/>
          <w:szCs w:val="24"/>
        </w:rPr>
      </w:pPr>
    </w:p>
    <w:p w14:paraId="550FE63A" w14:textId="77777777" w:rsidR="005F15C2" w:rsidRPr="00020C8F" w:rsidRDefault="005F15C2" w:rsidP="005F15C2">
      <w:pPr>
        <w:spacing w:after="0"/>
        <w:rPr>
          <w:rFonts w:asciiTheme="minorHAnsi" w:hAnsiTheme="minorHAnsi" w:cstheme="minorHAnsi"/>
          <w:b/>
          <w:sz w:val="24"/>
          <w:szCs w:val="24"/>
        </w:rPr>
      </w:pPr>
    </w:p>
    <w:p w14:paraId="5E0019BB" w14:textId="77777777" w:rsidR="005F15C2" w:rsidRPr="00CA28D4" w:rsidRDefault="005F15C2" w:rsidP="005F15C2">
      <w:pPr>
        <w:spacing w:after="0"/>
        <w:rPr>
          <w:rFonts w:asciiTheme="minorHAnsi" w:hAnsiTheme="minorHAnsi" w:cstheme="minorHAnsi"/>
          <w:b/>
          <w:sz w:val="32"/>
          <w:szCs w:val="32"/>
        </w:rPr>
      </w:pPr>
    </w:p>
    <w:p w14:paraId="44E812E5" w14:textId="57F2FDB1" w:rsidR="005F15C2" w:rsidRPr="00CA28D4" w:rsidRDefault="005F15C2" w:rsidP="005F15C2">
      <w:pPr>
        <w:spacing w:after="0"/>
        <w:jc w:val="center"/>
        <w:rPr>
          <w:rFonts w:asciiTheme="minorHAnsi" w:hAnsiTheme="minorHAnsi" w:cstheme="minorHAnsi"/>
          <w:sz w:val="32"/>
          <w:szCs w:val="32"/>
        </w:rPr>
      </w:pPr>
      <w:r w:rsidRPr="00CA28D4">
        <w:rPr>
          <w:rFonts w:asciiTheme="minorHAnsi" w:hAnsiTheme="minorHAnsi" w:cstheme="minorHAnsi"/>
          <w:b/>
          <w:sz w:val="32"/>
          <w:szCs w:val="32"/>
        </w:rPr>
        <w:t>Supporting Statement – Section A</w:t>
      </w:r>
    </w:p>
    <w:p w14:paraId="1629AD9E" w14:textId="77777777" w:rsidR="005F15C2" w:rsidRPr="00020C8F" w:rsidRDefault="005F15C2" w:rsidP="005F15C2">
      <w:pPr>
        <w:spacing w:after="0"/>
        <w:rPr>
          <w:rFonts w:asciiTheme="minorHAnsi" w:hAnsiTheme="minorHAnsi" w:cstheme="minorHAnsi"/>
          <w:b/>
          <w:sz w:val="24"/>
          <w:szCs w:val="24"/>
        </w:rPr>
      </w:pPr>
    </w:p>
    <w:p w14:paraId="57F63261" w14:textId="77777777" w:rsidR="005F15C2" w:rsidRPr="00020C8F" w:rsidRDefault="005F15C2" w:rsidP="005F15C2">
      <w:pPr>
        <w:spacing w:after="0"/>
        <w:rPr>
          <w:rFonts w:asciiTheme="minorHAnsi" w:hAnsiTheme="minorHAnsi" w:cstheme="minorHAnsi"/>
          <w:b/>
          <w:sz w:val="24"/>
          <w:szCs w:val="24"/>
        </w:rPr>
      </w:pPr>
    </w:p>
    <w:p w14:paraId="1AF7A4FB" w14:textId="77777777" w:rsidR="005F15C2" w:rsidRPr="00020C8F" w:rsidRDefault="005F15C2" w:rsidP="005F15C2">
      <w:pPr>
        <w:spacing w:after="0"/>
        <w:rPr>
          <w:rFonts w:asciiTheme="minorHAnsi" w:hAnsiTheme="minorHAnsi" w:cstheme="minorHAnsi"/>
          <w:b/>
          <w:sz w:val="24"/>
          <w:szCs w:val="24"/>
        </w:rPr>
      </w:pPr>
    </w:p>
    <w:p w14:paraId="298100AF" w14:textId="77777777" w:rsidR="005F15C2" w:rsidRPr="00020C8F" w:rsidRDefault="005F15C2" w:rsidP="005F15C2">
      <w:pPr>
        <w:spacing w:after="0"/>
        <w:rPr>
          <w:rFonts w:asciiTheme="minorHAnsi" w:hAnsiTheme="minorHAnsi" w:cstheme="minorHAnsi"/>
          <w:b/>
          <w:sz w:val="24"/>
          <w:szCs w:val="24"/>
        </w:rPr>
      </w:pPr>
    </w:p>
    <w:p w14:paraId="550408B3" w14:textId="77777777" w:rsidR="005F15C2" w:rsidRPr="00020C8F" w:rsidRDefault="005F15C2" w:rsidP="005F15C2">
      <w:pPr>
        <w:spacing w:after="0"/>
        <w:rPr>
          <w:rFonts w:asciiTheme="minorHAnsi" w:hAnsiTheme="minorHAnsi" w:cstheme="minorHAnsi"/>
          <w:b/>
          <w:sz w:val="24"/>
          <w:szCs w:val="24"/>
        </w:rPr>
      </w:pPr>
    </w:p>
    <w:p w14:paraId="16CE8DAD" w14:textId="77777777" w:rsidR="005F15C2" w:rsidRPr="00020C8F" w:rsidRDefault="005F15C2" w:rsidP="005F15C2">
      <w:pPr>
        <w:spacing w:after="0"/>
        <w:rPr>
          <w:rFonts w:asciiTheme="minorHAnsi" w:hAnsiTheme="minorHAnsi" w:cstheme="minorHAnsi"/>
          <w:b/>
          <w:sz w:val="24"/>
          <w:szCs w:val="24"/>
        </w:rPr>
      </w:pPr>
    </w:p>
    <w:p w14:paraId="0D1DE6BD" w14:textId="0070D2CB" w:rsidR="005F15C2" w:rsidRPr="00020C8F" w:rsidRDefault="005F15C2" w:rsidP="005F15C2">
      <w:pPr>
        <w:spacing w:after="0"/>
        <w:jc w:val="center"/>
        <w:rPr>
          <w:rFonts w:asciiTheme="minorHAnsi" w:hAnsiTheme="minorHAnsi" w:cstheme="minorHAnsi"/>
          <w:sz w:val="24"/>
          <w:szCs w:val="24"/>
        </w:rPr>
      </w:pPr>
      <w:r w:rsidRPr="00020C8F">
        <w:rPr>
          <w:rFonts w:asciiTheme="minorHAnsi" w:hAnsiTheme="minorHAnsi" w:cstheme="minorHAnsi"/>
          <w:b/>
          <w:sz w:val="24"/>
          <w:szCs w:val="24"/>
        </w:rPr>
        <w:t>Submitted:</w:t>
      </w:r>
      <w:r w:rsidRPr="00020C8F">
        <w:rPr>
          <w:rFonts w:asciiTheme="minorHAnsi" w:hAnsiTheme="minorHAnsi" w:cstheme="minorHAnsi"/>
          <w:sz w:val="24"/>
          <w:szCs w:val="24"/>
        </w:rPr>
        <w:t xml:space="preserve"> </w:t>
      </w:r>
      <w:r w:rsidR="00054D2D">
        <w:rPr>
          <w:rFonts w:asciiTheme="minorHAnsi" w:hAnsiTheme="minorHAnsi" w:cstheme="minorHAnsi"/>
          <w:sz w:val="24"/>
          <w:szCs w:val="24"/>
        </w:rPr>
        <w:t>January 2</w:t>
      </w:r>
      <w:r w:rsidR="005A5AD9">
        <w:rPr>
          <w:rFonts w:asciiTheme="minorHAnsi" w:hAnsiTheme="minorHAnsi" w:cstheme="minorHAnsi"/>
          <w:sz w:val="24"/>
          <w:szCs w:val="24"/>
        </w:rPr>
        <w:t>2</w:t>
      </w:r>
      <w:r w:rsidRPr="00020C8F">
        <w:rPr>
          <w:rFonts w:asciiTheme="minorHAnsi" w:hAnsiTheme="minorHAnsi" w:cstheme="minorHAnsi"/>
          <w:sz w:val="24"/>
          <w:szCs w:val="24"/>
        </w:rPr>
        <w:t>, 201</w:t>
      </w:r>
      <w:r w:rsidR="00054D2D">
        <w:rPr>
          <w:rFonts w:asciiTheme="minorHAnsi" w:hAnsiTheme="minorHAnsi" w:cstheme="minorHAnsi"/>
          <w:sz w:val="24"/>
          <w:szCs w:val="24"/>
        </w:rPr>
        <w:t>6</w:t>
      </w:r>
    </w:p>
    <w:p w14:paraId="4F299FAD" w14:textId="77777777" w:rsidR="005F15C2" w:rsidRPr="00020C8F" w:rsidRDefault="005F15C2" w:rsidP="005F15C2">
      <w:pPr>
        <w:spacing w:after="0"/>
        <w:rPr>
          <w:rFonts w:asciiTheme="minorHAnsi" w:hAnsiTheme="minorHAnsi" w:cstheme="minorHAnsi"/>
          <w:b/>
          <w:sz w:val="24"/>
          <w:szCs w:val="24"/>
        </w:rPr>
      </w:pPr>
    </w:p>
    <w:p w14:paraId="0ADF8079" w14:textId="77777777" w:rsidR="005F15C2" w:rsidRPr="00020C8F" w:rsidRDefault="005F15C2" w:rsidP="005F15C2">
      <w:pPr>
        <w:spacing w:after="0"/>
        <w:rPr>
          <w:rFonts w:asciiTheme="minorHAnsi" w:hAnsiTheme="minorHAnsi" w:cstheme="minorHAnsi"/>
          <w:b/>
          <w:sz w:val="24"/>
          <w:szCs w:val="24"/>
        </w:rPr>
      </w:pPr>
    </w:p>
    <w:p w14:paraId="3B506684" w14:textId="77777777" w:rsidR="005F15C2" w:rsidRPr="00020C8F" w:rsidRDefault="005F15C2" w:rsidP="005F15C2">
      <w:pPr>
        <w:spacing w:after="0"/>
        <w:rPr>
          <w:rFonts w:asciiTheme="minorHAnsi" w:hAnsiTheme="minorHAnsi" w:cstheme="minorHAnsi"/>
          <w:b/>
          <w:sz w:val="24"/>
          <w:szCs w:val="24"/>
        </w:rPr>
      </w:pPr>
    </w:p>
    <w:p w14:paraId="1679B783" w14:textId="77777777" w:rsidR="005F15C2" w:rsidRPr="00020C8F" w:rsidRDefault="005F15C2" w:rsidP="005F15C2">
      <w:pPr>
        <w:spacing w:after="0"/>
        <w:rPr>
          <w:rFonts w:asciiTheme="minorHAnsi" w:hAnsiTheme="minorHAnsi" w:cstheme="minorHAnsi"/>
          <w:b/>
          <w:sz w:val="24"/>
          <w:szCs w:val="24"/>
        </w:rPr>
      </w:pPr>
    </w:p>
    <w:p w14:paraId="13E98774" w14:textId="77777777" w:rsidR="005F15C2" w:rsidRPr="00020C8F" w:rsidRDefault="005F15C2" w:rsidP="005F15C2">
      <w:pPr>
        <w:spacing w:after="0"/>
        <w:rPr>
          <w:rFonts w:asciiTheme="minorHAnsi" w:hAnsiTheme="minorHAnsi" w:cstheme="minorHAnsi"/>
          <w:b/>
          <w:sz w:val="24"/>
          <w:szCs w:val="24"/>
        </w:rPr>
      </w:pPr>
    </w:p>
    <w:p w14:paraId="00FE2770" w14:textId="77777777" w:rsidR="005F15C2" w:rsidRPr="00020C8F" w:rsidRDefault="005F15C2" w:rsidP="005F15C2">
      <w:pPr>
        <w:spacing w:after="0"/>
        <w:rPr>
          <w:rFonts w:asciiTheme="minorHAnsi" w:hAnsiTheme="minorHAnsi" w:cstheme="minorHAnsi"/>
          <w:b/>
          <w:sz w:val="24"/>
          <w:szCs w:val="24"/>
        </w:rPr>
      </w:pPr>
    </w:p>
    <w:p w14:paraId="313BB34E" w14:textId="77777777" w:rsidR="005F15C2" w:rsidRPr="00020C8F" w:rsidRDefault="005F15C2" w:rsidP="005F15C2">
      <w:pPr>
        <w:spacing w:after="0"/>
        <w:rPr>
          <w:rFonts w:asciiTheme="minorHAnsi" w:hAnsiTheme="minorHAnsi" w:cstheme="minorHAnsi"/>
          <w:b/>
          <w:sz w:val="24"/>
          <w:szCs w:val="24"/>
        </w:rPr>
      </w:pPr>
    </w:p>
    <w:p w14:paraId="5A5A72FB" w14:textId="77777777" w:rsidR="005F15C2" w:rsidRPr="00020C8F" w:rsidRDefault="005F15C2" w:rsidP="005F15C2">
      <w:pPr>
        <w:spacing w:after="0"/>
        <w:rPr>
          <w:rFonts w:asciiTheme="minorHAnsi" w:hAnsiTheme="minorHAnsi" w:cstheme="minorHAnsi"/>
          <w:b/>
          <w:sz w:val="24"/>
          <w:szCs w:val="24"/>
          <w:u w:val="single"/>
        </w:rPr>
      </w:pPr>
      <w:r w:rsidRPr="00020C8F">
        <w:rPr>
          <w:rFonts w:asciiTheme="minorHAnsi" w:hAnsiTheme="minorHAnsi" w:cstheme="minorHAnsi"/>
          <w:b/>
          <w:sz w:val="24"/>
          <w:szCs w:val="24"/>
          <w:u w:val="single"/>
        </w:rPr>
        <w:t>Program Official/Project Officer</w:t>
      </w:r>
    </w:p>
    <w:p w14:paraId="5AF9DCA3" w14:textId="77777777" w:rsidR="005F15C2" w:rsidRPr="00020C8F" w:rsidRDefault="005F15C2" w:rsidP="005F15C2">
      <w:pPr>
        <w:spacing w:after="0" w:line="240" w:lineRule="auto"/>
        <w:rPr>
          <w:rFonts w:asciiTheme="minorHAnsi" w:hAnsiTheme="minorHAnsi" w:cstheme="minorHAnsi"/>
          <w:bCs/>
          <w:sz w:val="24"/>
          <w:szCs w:val="24"/>
        </w:rPr>
      </w:pPr>
      <w:r w:rsidRPr="00020C8F">
        <w:rPr>
          <w:rFonts w:asciiTheme="minorHAnsi" w:hAnsiTheme="minorHAnsi" w:cstheme="minorHAnsi"/>
          <w:bCs/>
          <w:sz w:val="24"/>
          <w:szCs w:val="24"/>
        </w:rPr>
        <w:t>Michael Peckham</w:t>
      </w:r>
    </w:p>
    <w:p w14:paraId="3E924C74" w14:textId="56A96678" w:rsidR="005F15C2" w:rsidRPr="00020C8F" w:rsidRDefault="005F15C2" w:rsidP="005F15C2">
      <w:p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Director</w:t>
      </w:r>
      <w:r w:rsidR="00F137E4">
        <w:rPr>
          <w:rFonts w:asciiTheme="minorHAnsi" w:hAnsiTheme="minorHAnsi" w:cstheme="minorHAnsi"/>
          <w:sz w:val="24"/>
          <w:szCs w:val="24"/>
        </w:rPr>
        <w:t>, HHS DATA Act PMO</w:t>
      </w:r>
    </w:p>
    <w:p w14:paraId="1C9634E2" w14:textId="77777777" w:rsidR="00BC69CC" w:rsidRPr="00020C8F" w:rsidRDefault="00BC69CC" w:rsidP="00BC69CC">
      <w:p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Assistant Secretary for Financial Resources</w:t>
      </w:r>
    </w:p>
    <w:p w14:paraId="0D8BE5EB" w14:textId="77777777" w:rsidR="005F15C2" w:rsidRPr="00020C8F" w:rsidRDefault="005F15C2" w:rsidP="005F15C2">
      <w:p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U.S. Department of Health and Human Services</w:t>
      </w:r>
    </w:p>
    <w:p w14:paraId="07F7D139" w14:textId="41AD121F" w:rsidR="005F15C2" w:rsidRPr="00020C8F" w:rsidRDefault="005F15C2" w:rsidP="005F15C2">
      <w:p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200 Independence Avenue SW</w:t>
      </w:r>
      <w:r w:rsidR="008E5237">
        <w:rPr>
          <w:rFonts w:asciiTheme="minorHAnsi" w:hAnsiTheme="minorHAnsi" w:cstheme="minorHAnsi"/>
          <w:sz w:val="24"/>
          <w:szCs w:val="24"/>
        </w:rPr>
        <w:t>,</w:t>
      </w:r>
      <w:r w:rsidR="00BC69CC" w:rsidRPr="00020C8F">
        <w:rPr>
          <w:rFonts w:asciiTheme="minorHAnsi" w:hAnsiTheme="minorHAnsi" w:cstheme="minorHAnsi"/>
          <w:sz w:val="24"/>
          <w:szCs w:val="24"/>
        </w:rPr>
        <w:t xml:space="preserve"> S</w:t>
      </w:r>
      <w:r w:rsidR="00241997" w:rsidRPr="00020C8F">
        <w:rPr>
          <w:rFonts w:asciiTheme="minorHAnsi" w:hAnsiTheme="minorHAnsi" w:cstheme="minorHAnsi"/>
          <w:sz w:val="24"/>
          <w:szCs w:val="24"/>
        </w:rPr>
        <w:t>uite</w:t>
      </w:r>
      <w:r w:rsidR="00BC69CC" w:rsidRPr="00020C8F">
        <w:rPr>
          <w:rFonts w:asciiTheme="minorHAnsi" w:hAnsiTheme="minorHAnsi" w:cstheme="minorHAnsi"/>
          <w:sz w:val="24"/>
          <w:szCs w:val="24"/>
        </w:rPr>
        <w:t xml:space="preserve"> 405D</w:t>
      </w:r>
      <w:r w:rsidRPr="00020C8F">
        <w:rPr>
          <w:rFonts w:asciiTheme="minorHAnsi" w:hAnsiTheme="minorHAnsi" w:cstheme="minorHAnsi"/>
          <w:sz w:val="24"/>
          <w:szCs w:val="24"/>
        </w:rPr>
        <w:t>, Washington DC 20201</w:t>
      </w:r>
    </w:p>
    <w:p w14:paraId="49221A40" w14:textId="77777777" w:rsidR="005F15C2" w:rsidRPr="00020C8F" w:rsidRDefault="005F15C2" w:rsidP="005F15C2">
      <w:p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206-205-9452</w:t>
      </w:r>
    </w:p>
    <w:p w14:paraId="3C55D8F9" w14:textId="77777777" w:rsidR="005F15C2" w:rsidRPr="00020C8F" w:rsidRDefault="005F15C2" w:rsidP="005F15C2">
      <w:pPr>
        <w:spacing w:after="0"/>
        <w:rPr>
          <w:rFonts w:asciiTheme="minorHAnsi" w:hAnsiTheme="minorHAnsi" w:cstheme="minorHAnsi"/>
          <w:sz w:val="24"/>
          <w:szCs w:val="24"/>
        </w:rPr>
      </w:pPr>
      <w:r w:rsidRPr="00020C8F">
        <w:rPr>
          <w:rFonts w:asciiTheme="minorHAnsi" w:hAnsiTheme="minorHAnsi" w:cstheme="minorHAnsi"/>
          <w:sz w:val="24"/>
          <w:szCs w:val="24"/>
        </w:rPr>
        <w:t>Michael.Peckham@hhs.gov</w:t>
      </w:r>
    </w:p>
    <w:p w14:paraId="4205E8E1" w14:textId="77777777" w:rsidR="00F70AB1" w:rsidRPr="00020C8F" w:rsidRDefault="00F70AB1" w:rsidP="00F70AB1">
      <w:pPr>
        <w:pStyle w:val="ListParagraph"/>
        <w:numPr>
          <w:ilvl w:val="0"/>
          <w:numId w:val="1"/>
        </w:numPr>
        <w:spacing w:after="0" w:line="240" w:lineRule="auto"/>
        <w:ind w:left="0"/>
        <w:rPr>
          <w:rFonts w:asciiTheme="minorHAnsi" w:hAnsiTheme="minorHAnsi" w:cstheme="minorHAnsi"/>
          <w:b/>
          <w:sz w:val="24"/>
          <w:szCs w:val="24"/>
        </w:rPr>
      </w:pPr>
      <w:r w:rsidRPr="00020C8F">
        <w:rPr>
          <w:rFonts w:asciiTheme="minorHAnsi" w:hAnsiTheme="minorHAnsi" w:cstheme="minorHAnsi"/>
          <w:b/>
          <w:sz w:val="24"/>
          <w:szCs w:val="24"/>
        </w:rPr>
        <w:lastRenderedPageBreak/>
        <w:t>JUSTIFICATION</w:t>
      </w:r>
    </w:p>
    <w:p w14:paraId="77C3CA4A" w14:textId="77777777" w:rsidR="00F70AB1" w:rsidRPr="00020C8F" w:rsidRDefault="00F70AB1" w:rsidP="00F70AB1">
      <w:pPr>
        <w:pStyle w:val="ListParagraph"/>
        <w:spacing w:after="0" w:line="240" w:lineRule="auto"/>
        <w:ind w:left="0"/>
        <w:rPr>
          <w:rFonts w:asciiTheme="minorHAnsi" w:hAnsiTheme="minorHAnsi" w:cstheme="minorHAnsi"/>
          <w:b/>
          <w:sz w:val="24"/>
          <w:szCs w:val="24"/>
        </w:rPr>
      </w:pPr>
    </w:p>
    <w:p w14:paraId="2D346ED2" w14:textId="77777777" w:rsidR="00F70AB1" w:rsidRPr="00020C8F" w:rsidRDefault="00F70AB1" w:rsidP="00F70AB1">
      <w:pPr>
        <w:pStyle w:val="ListParagraph"/>
        <w:numPr>
          <w:ilvl w:val="0"/>
          <w:numId w:val="2"/>
        </w:numPr>
        <w:spacing w:after="0" w:line="240" w:lineRule="auto"/>
        <w:ind w:left="0"/>
        <w:rPr>
          <w:rFonts w:asciiTheme="minorHAnsi" w:hAnsiTheme="minorHAnsi" w:cstheme="minorHAnsi"/>
          <w:b/>
          <w:sz w:val="24"/>
          <w:szCs w:val="24"/>
        </w:rPr>
      </w:pPr>
      <w:r w:rsidRPr="00020C8F">
        <w:rPr>
          <w:rFonts w:asciiTheme="minorHAnsi" w:hAnsiTheme="minorHAnsi" w:cstheme="minorHAnsi"/>
          <w:b/>
          <w:sz w:val="24"/>
          <w:szCs w:val="24"/>
        </w:rPr>
        <w:t>Circumstances Making the Collection of Information Necessary</w:t>
      </w:r>
    </w:p>
    <w:p w14:paraId="4F8C4488" w14:textId="77777777" w:rsidR="00F70AB1" w:rsidRPr="00020C8F" w:rsidRDefault="00F70AB1" w:rsidP="00F70AB1">
      <w:pPr>
        <w:pStyle w:val="ListParagraph"/>
        <w:spacing w:after="0" w:line="240" w:lineRule="auto"/>
        <w:ind w:left="0"/>
        <w:rPr>
          <w:rFonts w:asciiTheme="minorHAnsi" w:hAnsiTheme="minorHAnsi" w:cstheme="minorHAnsi"/>
          <w:b/>
          <w:sz w:val="24"/>
          <w:szCs w:val="24"/>
        </w:rPr>
      </w:pPr>
    </w:p>
    <w:p w14:paraId="6C555D7E" w14:textId="77777777" w:rsidR="008E11BC" w:rsidRDefault="00F70AB1" w:rsidP="00F70AB1">
      <w:pPr>
        <w:rPr>
          <w:rFonts w:asciiTheme="minorHAnsi" w:hAnsiTheme="minorHAnsi" w:cstheme="minorHAnsi"/>
          <w:sz w:val="24"/>
          <w:szCs w:val="24"/>
        </w:rPr>
      </w:pPr>
      <w:r w:rsidRPr="00020C8F">
        <w:rPr>
          <w:rFonts w:asciiTheme="minorHAnsi" w:hAnsiTheme="minorHAnsi" w:cstheme="minorHAnsi"/>
          <w:sz w:val="24"/>
          <w:szCs w:val="24"/>
        </w:rPr>
        <w:t>Public Law 113-101, The Digital Accountability and Transparency Act of 2014</w:t>
      </w:r>
      <w:r w:rsidR="00062505" w:rsidRPr="00020C8F">
        <w:rPr>
          <w:rFonts w:asciiTheme="minorHAnsi" w:hAnsiTheme="minorHAnsi" w:cstheme="minorHAnsi"/>
          <w:sz w:val="24"/>
          <w:szCs w:val="24"/>
        </w:rPr>
        <w:t xml:space="preserve"> (“DATA Act”)</w:t>
      </w:r>
      <w:r w:rsidRPr="00020C8F">
        <w:rPr>
          <w:rFonts w:asciiTheme="minorHAnsi" w:hAnsiTheme="minorHAnsi" w:cstheme="minorHAnsi"/>
          <w:sz w:val="24"/>
          <w:szCs w:val="24"/>
        </w:rPr>
        <w:t xml:space="preserve"> expands </w:t>
      </w:r>
      <w:r w:rsidR="00062505" w:rsidRPr="00020C8F">
        <w:rPr>
          <w:rFonts w:asciiTheme="minorHAnsi" w:hAnsiTheme="minorHAnsi" w:cstheme="minorHAnsi"/>
          <w:sz w:val="24"/>
          <w:szCs w:val="24"/>
        </w:rPr>
        <w:t>the Federal Funding Accountability and Transparency Act of 2006 by increasing</w:t>
      </w:r>
      <w:r w:rsidRPr="00020C8F">
        <w:rPr>
          <w:rFonts w:asciiTheme="minorHAnsi" w:hAnsiTheme="minorHAnsi" w:cstheme="minorHAnsi"/>
          <w:sz w:val="24"/>
          <w:szCs w:val="24"/>
        </w:rPr>
        <w:t xml:space="preserve"> accountability and transparency in</w:t>
      </w:r>
      <w:r w:rsidR="00062505" w:rsidRPr="00020C8F">
        <w:rPr>
          <w:rFonts w:asciiTheme="minorHAnsi" w:hAnsiTheme="minorHAnsi" w:cstheme="minorHAnsi"/>
          <w:sz w:val="24"/>
          <w:szCs w:val="24"/>
        </w:rPr>
        <w:t xml:space="preserve"> Federal spending.  The purpose of the DATA Act is</w:t>
      </w:r>
      <w:r w:rsidRPr="00020C8F">
        <w:rPr>
          <w:rFonts w:asciiTheme="minorHAnsi" w:hAnsiTheme="minorHAnsi" w:cstheme="minorHAnsi"/>
          <w:sz w:val="24"/>
          <w:szCs w:val="24"/>
        </w:rPr>
        <w:t xml:space="preserve"> to enable taxpayers and policy makers to track the Federal spending of Federal agencies more effectively as well as to establish Government-wide data standards for financial data, simplify reporting for entities receiving Federal funds, and improve the quality of the data submitted.  </w:t>
      </w:r>
      <w:r w:rsidR="00095A56" w:rsidRPr="00020C8F">
        <w:rPr>
          <w:rFonts w:asciiTheme="minorHAnsi" w:hAnsiTheme="minorHAnsi" w:cstheme="minorHAnsi"/>
          <w:sz w:val="24"/>
          <w:szCs w:val="24"/>
        </w:rPr>
        <w:t xml:space="preserve">Section 5 of the DATA Act (“Sec. 5. Simplifying Federal Award Reporting”) tasks the Director of the Office of Management and Budget (OMB) to establish a </w:t>
      </w:r>
      <w:r w:rsidR="00AC538C" w:rsidRPr="00020C8F">
        <w:rPr>
          <w:rFonts w:asciiTheme="minorHAnsi" w:hAnsiTheme="minorHAnsi" w:cstheme="minorHAnsi"/>
          <w:sz w:val="24"/>
          <w:szCs w:val="24"/>
        </w:rPr>
        <w:t>p</w:t>
      </w:r>
      <w:r w:rsidR="00095A56" w:rsidRPr="00020C8F">
        <w:rPr>
          <w:rFonts w:asciiTheme="minorHAnsi" w:hAnsiTheme="minorHAnsi" w:cstheme="minorHAnsi"/>
          <w:sz w:val="24"/>
          <w:szCs w:val="24"/>
        </w:rPr>
        <w:t xml:space="preserve">ilot </w:t>
      </w:r>
      <w:r w:rsidR="00AC538C" w:rsidRPr="00020C8F">
        <w:rPr>
          <w:rFonts w:asciiTheme="minorHAnsi" w:hAnsiTheme="minorHAnsi" w:cstheme="minorHAnsi"/>
          <w:sz w:val="24"/>
          <w:szCs w:val="24"/>
        </w:rPr>
        <w:t>p</w:t>
      </w:r>
      <w:r w:rsidR="00095A56" w:rsidRPr="00020C8F">
        <w:rPr>
          <w:rFonts w:asciiTheme="minorHAnsi" w:hAnsiTheme="minorHAnsi" w:cstheme="minorHAnsi"/>
          <w:sz w:val="24"/>
          <w:szCs w:val="24"/>
        </w:rPr>
        <w:t xml:space="preserve">rogram (Sec. 5 (b)).  </w:t>
      </w:r>
    </w:p>
    <w:p w14:paraId="2852A393" w14:textId="5FA94EB8" w:rsidR="008E11BC" w:rsidRDefault="00F137E4" w:rsidP="00F70AB1">
      <w:pPr>
        <w:rPr>
          <w:rFonts w:asciiTheme="minorHAnsi" w:hAnsiTheme="minorHAnsi" w:cstheme="minorHAnsi"/>
          <w:sz w:val="24"/>
          <w:szCs w:val="24"/>
        </w:rPr>
      </w:pPr>
      <w:r>
        <w:rPr>
          <w:rFonts w:asciiTheme="minorHAnsi" w:hAnsiTheme="minorHAnsi" w:cstheme="minorHAnsi"/>
          <w:sz w:val="24"/>
          <w:szCs w:val="24"/>
        </w:rPr>
        <w:t>Sec.5</w:t>
      </w:r>
      <w:r w:rsidR="00112E27">
        <w:rPr>
          <w:rFonts w:asciiTheme="minorHAnsi" w:hAnsiTheme="minorHAnsi" w:cstheme="minorHAnsi"/>
          <w:sz w:val="24"/>
          <w:szCs w:val="24"/>
        </w:rPr>
        <w:t>. (</w:t>
      </w:r>
      <w:r>
        <w:rPr>
          <w:rFonts w:asciiTheme="minorHAnsi" w:hAnsiTheme="minorHAnsi" w:cstheme="minorHAnsi"/>
          <w:sz w:val="24"/>
          <w:szCs w:val="24"/>
        </w:rPr>
        <w:t xml:space="preserve">b)(2) </w:t>
      </w:r>
      <w:r w:rsidR="00112E27">
        <w:rPr>
          <w:rFonts w:asciiTheme="minorHAnsi" w:hAnsiTheme="minorHAnsi" w:cstheme="minorHAnsi"/>
          <w:sz w:val="24"/>
          <w:szCs w:val="24"/>
        </w:rPr>
        <w:t>requires</w:t>
      </w:r>
      <w:r>
        <w:rPr>
          <w:rFonts w:asciiTheme="minorHAnsi" w:hAnsiTheme="minorHAnsi" w:cstheme="minorHAnsi"/>
          <w:sz w:val="24"/>
          <w:szCs w:val="24"/>
        </w:rPr>
        <w:t xml:space="preserve"> </w:t>
      </w:r>
      <w:r w:rsidR="008E5237">
        <w:rPr>
          <w:rFonts w:asciiTheme="minorHAnsi" w:hAnsiTheme="minorHAnsi" w:cstheme="minorHAnsi"/>
          <w:sz w:val="24"/>
          <w:szCs w:val="24"/>
        </w:rPr>
        <w:t>pilot program to</w:t>
      </w:r>
      <w:r w:rsidR="004518A7">
        <w:rPr>
          <w:rFonts w:asciiTheme="minorHAnsi" w:hAnsiTheme="minorHAnsi" w:cstheme="minorHAnsi"/>
          <w:sz w:val="24"/>
          <w:szCs w:val="24"/>
        </w:rPr>
        <w:t>:</w:t>
      </w:r>
    </w:p>
    <w:p w14:paraId="3068D869" w14:textId="13A37F98" w:rsidR="008E11BC" w:rsidRDefault="00F137E4" w:rsidP="003D4D1F">
      <w:pPr>
        <w:ind w:left="720"/>
        <w:rPr>
          <w:rFonts w:asciiTheme="minorHAnsi" w:hAnsiTheme="minorHAnsi" w:cstheme="minorHAnsi"/>
          <w:sz w:val="24"/>
          <w:szCs w:val="24"/>
        </w:rPr>
      </w:pPr>
      <w:r w:rsidRPr="00965693">
        <w:rPr>
          <w:rFonts w:asciiTheme="minorHAnsi" w:hAnsiTheme="minorHAnsi" w:cstheme="minorHAnsi"/>
          <w:sz w:val="24"/>
          <w:szCs w:val="24"/>
        </w:rPr>
        <w:t>(A) include a combination of Federal contracts, grants,</w:t>
      </w:r>
      <w:r>
        <w:rPr>
          <w:rFonts w:asciiTheme="minorHAnsi" w:hAnsiTheme="minorHAnsi" w:cstheme="minorHAnsi"/>
          <w:sz w:val="24"/>
          <w:szCs w:val="24"/>
        </w:rPr>
        <w:t xml:space="preserve"> </w:t>
      </w:r>
      <w:r w:rsidRPr="00965693">
        <w:rPr>
          <w:rFonts w:asciiTheme="minorHAnsi" w:hAnsiTheme="minorHAnsi" w:cstheme="minorHAnsi"/>
          <w:sz w:val="24"/>
          <w:szCs w:val="24"/>
        </w:rPr>
        <w:t>and subawards, the aggregate value of which is not less</w:t>
      </w:r>
      <w:r>
        <w:rPr>
          <w:rFonts w:asciiTheme="minorHAnsi" w:hAnsiTheme="minorHAnsi" w:cstheme="minorHAnsi"/>
          <w:sz w:val="24"/>
          <w:szCs w:val="24"/>
        </w:rPr>
        <w:t xml:space="preserve"> </w:t>
      </w:r>
      <w:r w:rsidRPr="00965693">
        <w:rPr>
          <w:rFonts w:asciiTheme="minorHAnsi" w:hAnsiTheme="minorHAnsi" w:cstheme="minorHAnsi"/>
          <w:sz w:val="24"/>
          <w:szCs w:val="24"/>
        </w:rPr>
        <w:t>than $1,000,000,000 and not more than $2,000,000,000;</w:t>
      </w:r>
    </w:p>
    <w:p w14:paraId="29856969" w14:textId="5C5233D0" w:rsidR="008E11BC" w:rsidRDefault="00F137E4" w:rsidP="003D4D1F">
      <w:pPr>
        <w:ind w:firstLine="720"/>
        <w:rPr>
          <w:rFonts w:asciiTheme="minorHAnsi" w:hAnsiTheme="minorHAnsi" w:cstheme="minorHAnsi"/>
          <w:sz w:val="24"/>
          <w:szCs w:val="24"/>
        </w:rPr>
      </w:pPr>
      <w:r w:rsidRPr="00965693">
        <w:rPr>
          <w:rFonts w:asciiTheme="minorHAnsi" w:hAnsiTheme="minorHAnsi" w:cstheme="minorHAnsi"/>
          <w:sz w:val="24"/>
          <w:szCs w:val="24"/>
        </w:rPr>
        <w:t>(B) include a diverse group of recipients of Federal</w:t>
      </w:r>
      <w:r>
        <w:rPr>
          <w:rFonts w:asciiTheme="minorHAnsi" w:hAnsiTheme="minorHAnsi" w:cstheme="minorHAnsi"/>
          <w:sz w:val="24"/>
          <w:szCs w:val="24"/>
        </w:rPr>
        <w:t xml:space="preserve"> </w:t>
      </w:r>
      <w:r w:rsidRPr="00965693">
        <w:rPr>
          <w:rFonts w:asciiTheme="minorHAnsi" w:hAnsiTheme="minorHAnsi" w:cstheme="minorHAnsi"/>
          <w:sz w:val="24"/>
          <w:szCs w:val="24"/>
        </w:rPr>
        <w:t>awards; and</w:t>
      </w:r>
      <w:r w:rsidR="008E11BC">
        <w:rPr>
          <w:rFonts w:asciiTheme="minorHAnsi" w:hAnsiTheme="minorHAnsi" w:cstheme="minorHAnsi"/>
          <w:sz w:val="24"/>
          <w:szCs w:val="24"/>
        </w:rPr>
        <w:t>,</w:t>
      </w:r>
    </w:p>
    <w:p w14:paraId="1DF7D543" w14:textId="77777777" w:rsidR="008E11BC" w:rsidRDefault="00F137E4" w:rsidP="003D4D1F">
      <w:pPr>
        <w:ind w:left="720"/>
        <w:rPr>
          <w:rFonts w:asciiTheme="minorHAnsi" w:hAnsiTheme="minorHAnsi" w:cstheme="minorHAnsi"/>
          <w:sz w:val="24"/>
          <w:szCs w:val="24"/>
        </w:rPr>
      </w:pPr>
      <w:r w:rsidRPr="00965693">
        <w:rPr>
          <w:rFonts w:asciiTheme="minorHAnsi" w:hAnsiTheme="minorHAnsi" w:cstheme="minorHAnsi"/>
          <w:sz w:val="24"/>
          <w:szCs w:val="24"/>
        </w:rPr>
        <w:t>(C) to the extent practicable, include recipients who</w:t>
      </w:r>
      <w:r>
        <w:rPr>
          <w:rFonts w:asciiTheme="minorHAnsi" w:hAnsiTheme="minorHAnsi" w:cstheme="minorHAnsi"/>
          <w:sz w:val="24"/>
          <w:szCs w:val="24"/>
        </w:rPr>
        <w:t xml:space="preserve"> </w:t>
      </w:r>
      <w:r w:rsidRPr="00965693">
        <w:rPr>
          <w:rFonts w:asciiTheme="minorHAnsi" w:hAnsiTheme="minorHAnsi" w:cstheme="minorHAnsi"/>
          <w:sz w:val="24"/>
          <w:szCs w:val="24"/>
        </w:rPr>
        <w:t>receive Federal awards from multiple programs across multiple</w:t>
      </w:r>
      <w:r>
        <w:rPr>
          <w:rFonts w:asciiTheme="minorHAnsi" w:hAnsiTheme="minorHAnsi" w:cstheme="minorHAnsi"/>
          <w:sz w:val="24"/>
          <w:szCs w:val="24"/>
        </w:rPr>
        <w:t xml:space="preserve"> </w:t>
      </w:r>
      <w:r w:rsidRPr="00965693">
        <w:rPr>
          <w:rFonts w:asciiTheme="minorHAnsi" w:hAnsiTheme="minorHAnsi" w:cstheme="minorHAnsi"/>
          <w:sz w:val="24"/>
          <w:szCs w:val="24"/>
        </w:rPr>
        <w:t>agencies</w:t>
      </w:r>
      <w:r w:rsidR="008E5237">
        <w:rPr>
          <w:rFonts w:asciiTheme="minorHAnsi" w:hAnsiTheme="minorHAnsi" w:cstheme="minorHAnsi"/>
          <w:sz w:val="24"/>
          <w:szCs w:val="24"/>
        </w:rPr>
        <w:t>.</w:t>
      </w:r>
      <w:r w:rsidR="003C2165">
        <w:rPr>
          <w:rFonts w:asciiTheme="minorHAnsi" w:hAnsiTheme="minorHAnsi" w:cstheme="minorHAnsi"/>
          <w:sz w:val="24"/>
          <w:szCs w:val="24"/>
        </w:rPr>
        <w:t>”</w:t>
      </w:r>
      <w:r>
        <w:rPr>
          <w:rFonts w:asciiTheme="minorHAnsi" w:hAnsiTheme="minorHAnsi" w:cstheme="minorHAnsi"/>
          <w:sz w:val="24"/>
          <w:szCs w:val="24"/>
        </w:rPr>
        <w:t xml:space="preserve">  </w:t>
      </w:r>
    </w:p>
    <w:p w14:paraId="532DF1DE" w14:textId="47BD27CF" w:rsidR="00F70AB1" w:rsidRPr="00020C8F" w:rsidRDefault="00095A56" w:rsidP="008E11BC">
      <w:pPr>
        <w:rPr>
          <w:rFonts w:asciiTheme="minorHAnsi" w:hAnsiTheme="minorHAnsi" w:cstheme="minorHAnsi"/>
          <w:sz w:val="24"/>
          <w:szCs w:val="24"/>
        </w:rPr>
      </w:pPr>
      <w:r w:rsidRPr="00020C8F">
        <w:rPr>
          <w:rFonts w:asciiTheme="minorHAnsi" w:hAnsiTheme="minorHAnsi" w:cstheme="minorHAnsi"/>
          <w:sz w:val="24"/>
          <w:szCs w:val="24"/>
        </w:rPr>
        <w:t xml:space="preserve">OMB has designated the Department of Health and Human Services (HHS) as the executing agent of the </w:t>
      </w:r>
      <w:r w:rsidR="00AC538C" w:rsidRPr="00020C8F">
        <w:rPr>
          <w:rFonts w:asciiTheme="minorHAnsi" w:hAnsiTheme="minorHAnsi" w:cstheme="minorHAnsi"/>
          <w:sz w:val="24"/>
          <w:szCs w:val="24"/>
        </w:rPr>
        <w:t>p</w:t>
      </w:r>
      <w:r w:rsidRPr="00020C8F">
        <w:rPr>
          <w:rFonts w:asciiTheme="minorHAnsi" w:hAnsiTheme="minorHAnsi" w:cstheme="minorHAnsi"/>
          <w:sz w:val="24"/>
          <w:szCs w:val="24"/>
        </w:rPr>
        <w:t xml:space="preserve">ilot </w:t>
      </w:r>
      <w:r w:rsidR="00AC538C" w:rsidRPr="00020C8F">
        <w:rPr>
          <w:rFonts w:asciiTheme="minorHAnsi" w:hAnsiTheme="minorHAnsi" w:cstheme="minorHAnsi"/>
          <w:sz w:val="24"/>
          <w:szCs w:val="24"/>
        </w:rPr>
        <w:t>p</w:t>
      </w:r>
      <w:r w:rsidRPr="00020C8F">
        <w:rPr>
          <w:rFonts w:asciiTheme="minorHAnsi" w:hAnsiTheme="minorHAnsi" w:cstheme="minorHAnsi"/>
          <w:sz w:val="24"/>
          <w:szCs w:val="24"/>
        </w:rPr>
        <w:t>rogram.  Within HHS, the DATA Act PMO (DAP) has been established under the</w:t>
      </w:r>
      <w:r w:rsidR="00F70AB1" w:rsidRPr="00020C8F">
        <w:rPr>
          <w:rFonts w:asciiTheme="minorHAnsi" w:hAnsiTheme="minorHAnsi" w:cstheme="minorHAnsi"/>
          <w:sz w:val="24"/>
          <w:szCs w:val="24"/>
        </w:rPr>
        <w:t xml:space="preserve"> Office of the Assistant Secretary for Financial Resources (ASFR) </w:t>
      </w:r>
      <w:r w:rsidR="002B379C" w:rsidRPr="00020C8F">
        <w:rPr>
          <w:rFonts w:asciiTheme="minorHAnsi" w:hAnsiTheme="minorHAnsi" w:cstheme="minorHAnsi"/>
          <w:sz w:val="24"/>
          <w:szCs w:val="24"/>
        </w:rPr>
        <w:t xml:space="preserve">in order to implement this </w:t>
      </w:r>
      <w:r w:rsidR="00AC538C" w:rsidRPr="00020C8F">
        <w:rPr>
          <w:rFonts w:asciiTheme="minorHAnsi" w:hAnsiTheme="minorHAnsi" w:cstheme="minorHAnsi"/>
          <w:sz w:val="24"/>
          <w:szCs w:val="24"/>
        </w:rPr>
        <w:t>p</w:t>
      </w:r>
      <w:r w:rsidR="002B379C" w:rsidRPr="00020C8F">
        <w:rPr>
          <w:rFonts w:asciiTheme="minorHAnsi" w:hAnsiTheme="minorHAnsi" w:cstheme="minorHAnsi"/>
          <w:sz w:val="24"/>
          <w:szCs w:val="24"/>
        </w:rPr>
        <w:t xml:space="preserve">ilot </w:t>
      </w:r>
      <w:r w:rsidR="00AC538C" w:rsidRPr="00020C8F">
        <w:rPr>
          <w:rFonts w:asciiTheme="minorHAnsi" w:hAnsiTheme="minorHAnsi" w:cstheme="minorHAnsi"/>
          <w:sz w:val="24"/>
          <w:szCs w:val="24"/>
        </w:rPr>
        <w:t>p</w:t>
      </w:r>
      <w:r w:rsidR="002B379C" w:rsidRPr="00020C8F">
        <w:rPr>
          <w:rFonts w:asciiTheme="minorHAnsi" w:hAnsiTheme="minorHAnsi" w:cstheme="minorHAnsi"/>
          <w:sz w:val="24"/>
          <w:szCs w:val="24"/>
        </w:rPr>
        <w:t>rogram.  DAP is</w:t>
      </w:r>
      <w:r w:rsidR="00F70AB1" w:rsidRPr="00020C8F">
        <w:rPr>
          <w:rFonts w:asciiTheme="minorHAnsi" w:hAnsiTheme="minorHAnsi" w:cstheme="minorHAnsi"/>
          <w:sz w:val="24"/>
          <w:szCs w:val="24"/>
        </w:rPr>
        <w:t xml:space="preserve"> requesting </w:t>
      </w:r>
      <w:r w:rsidR="002B379C" w:rsidRPr="00020C8F">
        <w:rPr>
          <w:rFonts w:asciiTheme="minorHAnsi" w:hAnsiTheme="minorHAnsi" w:cstheme="minorHAnsi"/>
          <w:sz w:val="24"/>
          <w:szCs w:val="24"/>
        </w:rPr>
        <w:t xml:space="preserve">a generic clearance for </w:t>
      </w:r>
      <w:r w:rsidR="00BB35A4" w:rsidRPr="00020C8F">
        <w:rPr>
          <w:rFonts w:asciiTheme="minorHAnsi" w:hAnsiTheme="minorHAnsi" w:cstheme="minorHAnsi"/>
          <w:sz w:val="24"/>
          <w:szCs w:val="24"/>
        </w:rPr>
        <w:t xml:space="preserve">the </w:t>
      </w:r>
      <w:r w:rsidR="002B379C" w:rsidRPr="00020C8F">
        <w:rPr>
          <w:rFonts w:asciiTheme="minorHAnsi" w:hAnsiTheme="minorHAnsi" w:cstheme="minorHAnsi"/>
          <w:sz w:val="24"/>
          <w:szCs w:val="24"/>
        </w:rPr>
        <w:t>purpose</w:t>
      </w:r>
      <w:r w:rsidR="00F70AB1" w:rsidRPr="00020C8F">
        <w:rPr>
          <w:rFonts w:asciiTheme="minorHAnsi" w:hAnsiTheme="minorHAnsi" w:cstheme="minorHAnsi"/>
          <w:sz w:val="24"/>
          <w:szCs w:val="24"/>
        </w:rPr>
        <w:t xml:space="preserve"> of conducting </w:t>
      </w:r>
      <w:r w:rsidR="00EB4586" w:rsidRPr="00020C8F">
        <w:rPr>
          <w:rFonts w:asciiTheme="minorHAnsi" w:hAnsiTheme="minorHAnsi" w:cstheme="minorHAnsi"/>
          <w:sz w:val="24"/>
          <w:szCs w:val="24"/>
        </w:rPr>
        <w:t xml:space="preserve">tests under the </w:t>
      </w:r>
      <w:r w:rsidR="00AC538C" w:rsidRPr="00020C8F">
        <w:rPr>
          <w:rFonts w:asciiTheme="minorHAnsi" w:hAnsiTheme="minorHAnsi" w:cstheme="minorHAnsi"/>
          <w:sz w:val="24"/>
          <w:szCs w:val="24"/>
        </w:rPr>
        <w:t>p</w:t>
      </w:r>
      <w:r w:rsidR="00EB4586" w:rsidRPr="00020C8F">
        <w:rPr>
          <w:rFonts w:asciiTheme="minorHAnsi" w:hAnsiTheme="minorHAnsi" w:cstheme="minorHAnsi"/>
          <w:sz w:val="24"/>
          <w:szCs w:val="24"/>
        </w:rPr>
        <w:t xml:space="preserve">ilot </w:t>
      </w:r>
      <w:r w:rsidR="00AC538C" w:rsidRPr="00020C8F">
        <w:rPr>
          <w:rFonts w:asciiTheme="minorHAnsi" w:hAnsiTheme="minorHAnsi" w:cstheme="minorHAnsi"/>
          <w:sz w:val="24"/>
          <w:szCs w:val="24"/>
        </w:rPr>
        <w:t>p</w:t>
      </w:r>
      <w:r w:rsidR="00EB4586" w:rsidRPr="00020C8F">
        <w:rPr>
          <w:rFonts w:asciiTheme="minorHAnsi" w:hAnsiTheme="minorHAnsi" w:cstheme="minorHAnsi"/>
          <w:sz w:val="24"/>
          <w:szCs w:val="24"/>
        </w:rPr>
        <w:t xml:space="preserve">rogram to obtain </w:t>
      </w:r>
      <w:r w:rsidR="00F70AB1" w:rsidRPr="00020C8F">
        <w:rPr>
          <w:rFonts w:asciiTheme="minorHAnsi" w:hAnsiTheme="minorHAnsi" w:cstheme="minorHAnsi"/>
          <w:sz w:val="24"/>
          <w:szCs w:val="24"/>
        </w:rPr>
        <w:t xml:space="preserve">qualitative </w:t>
      </w:r>
      <w:r w:rsidR="00912B99" w:rsidRPr="00020C8F">
        <w:rPr>
          <w:rFonts w:asciiTheme="minorHAnsi" w:hAnsiTheme="minorHAnsi" w:cstheme="minorHAnsi"/>
          <w:sz w:val="24"/>
          <w:szCs w:val="24"/>
        </w:rPr>
        <w:t>and quantitative data</w:t>
      </w:r>
      <w:r w:rsidR="00F70AB1" w:rsidRPr="00020C8F">
        <w:rPr>
          <w:rFonts w:asciiTheme="minorHAnsi" w:hAnsiTheme="minorHAnsi" w:cstheme="minorHAnsi"/>
          <w:sz w:val="24"/>
          <w:szCs w:val="24"/>
        </w:rPr>
        <w:t xml:space="preserve"> </w:t>
      </w:r>
      <w:r w:rsidR="00396DD8" w:rsidRPr="00020C8F">
        <w:rPr>
          <w:rFonts w:asciiTheme="minorHAnsi" w:hAnsiTheme="minorHAnsi" w:cstheme="minorHAnsi"/>
          <w:sz w:val="24"/>
          <w:szCs w:val="24"/>
        </w:rPr>
        <w:t xml:space="preserve">and </w:t>
      </w:r>
      <w:r w:rsidR="00F70AB1" w:rsidRPr="00020C8F">
        <w:rPr>
          <w:rFonts w:asciiTheme="minorHAnsi" w:hAnsiTheme="minorHAnsi" w:cstheme="minorHAnsi"/>
          <w:sz w:val="24"/>
          <w:szCs w:val="24"/>
        </w:rPr>
        <w:t xml:space="preserve">gain an understanding of the burden imposed on Federal </w:t>
      </w:r>
      <w:r w:rsidR="00BC1F8E" w:rsidRPr="00020C8F">
        <w:rPr>
          <w:rFonts w:asciiTheme="minorHAnsi" w:hAnsiTheme="minorHAnsi" w:cstheme="minorHAnsi"/>
          <w:sz w:val="24"/>
          <w:szCs w:val="24"/>
        </w:rPr>
        <w:t>recipients</w:t>
      </w:r>
      <w:r w:rsidR="00F70AB1" w:rsidRPr="00020C8F">
        <w:rPr>
          <w:rFonts w:asciiTheme="minorHAnsi" w:hAnsiTheme="minorHAnsi" w:cstheme="minorHAnsi"/>
          <w:sz w:val="24"/>
          <w:szCs w:val="24"/>
        </w:rPr>
        <w:t>.</w:t>
      </w:r>
      <w:r w:rsidR="00BC1F8E" w:rsidRPr="00020C8F">
        <w:rPr>
          <w:rFonts w:asciiTheme="minorHAnsi" w:hAnsiTheme="minorHAnsi" w:cstheme="minorHAnsi"/>
          <w:sz w:val="24"/>
          <w:szCs w:val="24"/>
        </w:rPr>
        <w:t xml:space="preserve">    </w:t>
      </w:r>
    </w:p>
    <w:p w14:paraId="1B9DC45C" w14:textId="6BD64402" w:rsidR="003246A0" w:rsidRPr="00020C8F" w:rsidRDefault="00396DD8" w:rsidP="002C3B01">
      <w:pPr>
        <w:rPr>
          <w:rFonts w:asciiTheme="minorHAnsi" w:hAnsiTheme="minorHAnsi" w:cstheme="minorHAnsi"/>
          <w:sz w:val="24"/>
          <w:szCs w:val="24"/>
        </w:rPr>
      </w:pPr>
      <w:r w:rsidRPr="00020C8F">
        <w:rPr>
          <w:rFonts w:asciiTheme="minorHAnsi" w:hAnsiTheme="minorHAnsi" w:cstheme="minorHAnsi"/>
          <w:sz w:val="24"/>
          <w:szCs w:val="24"/>
        </w:rPr>
        <w:t xml:space="preserve">The Section 5 </w:t>
      </w:r>
      <w:r w:rsidR="008E5237">
        <w:rPr>
          <w:rFonts w:asciiTheme="minorHAnsi" w:hAnsiTheme="minorHAnsi" w:cstheme="minorHAnsi"/>
          <w:sz w:val="24"/>
          <w:szCs w:val="24"/>
        </w:rPr>
        <w:t>g</w:t>
      </w:r>
      <w:r w:rsidRPr="00020C8F">
        <w:rPr>
          <w:rFonts w:asciiTheme="minorHAnsi" w:hAnsiTheme="minorHAnsi" w:cstheme="minorHAnsi"/>
          <w:sz w:val="24"/>
          <w:szCs w:val="24"/>
        </w:rPr>
        <w:t>rant</w:t>
      </w:r>
      <w:r w:rsidR="008E5237">
        <w:rPr>
          <w:rFonts w:asciiTheme="minorHAnsi" w:hAnsiTheme="minorHAnsi" w:cstheme="minorHAnsi"/>
          <w:sz w:val="24"/>
          <w:szCs w:val="24"/>
        </w:rPr>
        <w:t>s</w:t>
      </w:r>
      <w:r w:rsidRPr="00020C8F">
        <w:rPr>
          <w:rFonts w:asciiTheme="minorHAnsi" w:hAnsiTheme="minorHAnsi" w:cstheme="minorHAnsi"/>
          <w:sz w:val="24"/>
          <w:szCs w:val="24"/>
        </w:rPr>
        <w:t xml:space="preserve"> </w:t>
      </w:r>
      <w:r w:rsidR="00AC538C" w:rsidRPr="00020C8F">
        <w:rPr>
          <w:rFonts w:asciiTheme="minorHAnsi" w:hAnsiTheme="minorHAnsi" w:cstheme="minorHAnsi"/>
          <w:sz w:val="24"/>
          <w:szCs w:val="24"/>
        </w:rPr>
        <w:t>p</w:t>
      </w:r>
      <w:r w:rsidR="00922FB5" w:rsidRPr="00020C8F">
        <w:rPr>
          <w:rFonts w:asciiTheme="minorHAnsi" w:hAnsiTheme="minorHAnsi" w:cstheme="minorHAnsi"/>
          <w:sz w:val="24"/>
          <w:szCs w:val="24"/>
        </w:rPr>
        <w:t xml:space="preserve">ilot </w:t>
      </w:r>
      <w:r w:rsidR="00AC538C" w:rsidRPr="00020C8F">
        <w:rPr>
          <w:rFonts w:asciiTheme="minorHAnsi" w:hAnsiTheme="minorHAnsi" w:cstheme="minorHAnsi"/>
          <w:sz w:val="24"/>
          <w:szCs w:val="24"/>
        </w:rPr>
        <w:t>p</w:t>
      </w:r>
      <w:r w:rsidR="00922FB5" w:rsidRPr="00020C8F">
        <w:rPr>
          <w:rFonts w:asciiTheme="minorHAnsi" w:hAnsiTheme="minorHAnsi" w:cstheme="minorHAnsi"/>
          <w:sz w:val="24"/>
          <w:szCs w:val="24"/>
        </w:rPr>
        <w:t xml:space="preserve">rogram was launched in May 2015 and will conclude May 2017.  </w:t>
      </w:r>
      <w:r w:rsidRPr="00020C8F">
        <w:rPr>
          <w:rFonts w:asciiTheme="minorHAnsi" w:hAnsiTheme="minorHAnsi" w:cstheme="minorHAnsi"/>
          <w:sz w:val="24"/>
          <w:szCs w:val="24"/>
        </w:rPr>
        <w:t>The majority of d</w:t>
      </w:r>
      <w:r w:rsidR="00922FB5" w:rsidRPr="00020C8F">
        <w:rPr>
          <w:rFonts w:asciiTheme="minorHAnsi" w:hAnsiTheme="minorHAnsi" w:cstheme="minorHAnsi"/>
          <w:sz w:val="24"/>
          <w:szCs w:val="24"/>
        </w:rPr>
        <w:t xml:space="preserve">ata collection </w:t>
      </w:r>
      <w:r w:rsidRPr="00020C8F">
        <w:rPr>
          <w:rFonts w:asciiTheme="minorHAnsi" w:hAnsiTheme="minorHAnsi" w:cstheme="minorHAnsi"/>
          <w:sz w:val="24"/>
          <w:szCs w:val="24"/>
        </w:rPr>
        <w:t xml:space="preserve">efforts </w:t>
      </w:r>
      <w:r w:rsidR="00922FB5" w:rsidRPr="00020C8F">
        <w:rPr>
          <w:rFonts w:asciiTheme="minorHAnsi" w:hAnsiTheme="minorHAnsi" w:cstheme="minorHAnsi"/>
          <w:sz w:val="24"/>
          <w:szCs w:val="24"/>
        </w:rPr>
        <w:t xml:space="preserve">related to </w:t>
      </w:r>
      <w:r w:rsidR="004464E0" w:rsidRPr="00020C8F">
        <w:rPr>
          <w:rFonts w:asciiTheme="minorHAnsi" w:hAnsiTheme="minorHAnsi" w:cstheme="minorHAnsi"/>
          <w:sz w:val="24"/>
          <w:szCs w:val="24"/>
        </w:rPr>
        <w:t xml:space="preserve">the pilot </w:t>
      </w:r>
      <w:r w:rsidR="00922FB5" w:rsidRPr="00020C8F">
        <w:rPr>
          <w:rFonts w:asciiTheme="minorHAnsi" w:hAnsiTheme="minorHAnsi" w:cstheme="minorHAnsi"/>
          <w:sz w:val="24"/>
          <w:szCs w:val="24"/>
        </w:rPr>
        <w:t xml:space="preserve">tests </w:t>
      </w:r>
      <w:r w:rsidR="004464E0" w:rsidRPr="00020C8F">
        <w:rPr>
          <w:rFonts w:asciiTheme="minorHAnsi" w:hAnsiTheme="minorHAnsi" w:cstheme="minorHAnsi"/>
          <w:sz w:val="24"/>
          <w:szCs w:val="24"/>
        </w:rPr>
        <w:t>will</w:t>
      </w:r>
      <w:r w:rsidR="00922FB5" w:rsidRPr="00020C8F">
        <w:rPr>
          <w:rFonts w:asciiTheme="minorHAnsi" w:hAnsiTheme="minorHAnsi" w:cstheme="minorHAnsi"/>
          <w:sz w:val="24"/>
          <w:szCs w:val="24"/>
        </w:rPr>
        <w:t xml:space="preserve"> occur during calendar year 2016.</w:t>
      </w:r>
      <w:r w:rsidR="00BB35A4" w:rsidRPr="00020C8F">
        <w:rPr>
          <w:rFonts w:asciiTheme="minorHAnsi" w:hAnsiTheme="minorHAnsi" w:cstheme="minorHAnsi"/>
          <w:sz w:val="24"/>
          <w:szCs w:val="24"/>
        </w:rPr>
        <w:t xml:space="preserve"> </w:t>
      </w:r>
      <w:r w:rsidR="00F70AB1" w:rsidRPr="00020C8F">
        <w:rPr>
          <w:rFonts w:asciiTheme="minorHAnsi" w:hAnsiTheme="minorHAnsi" w:cstheme="minorHAnsi"/>
          <w:sz w:val="24"/>
          <w:szCs w:val="24"/>
        </w:rPr>
        <w:t xml:space="preserve">This collection of information is necessary to enable </w:t>
      </w:r>
      <w:r w:rsidR="00BC1F8E" w:rsidRPr="00020C8F">
        <w:rPr>
          <w:rFonts w:asciiTheme="minorHAnsi" w:hAnsiTheme="minorHAnsi" w:cstheme="minorHAnsi"/>
          <w:sz w:val="24"/>
          <w:szCs w:val="24"/>
        </w:rPr>
        <w:t>DAP</w:t>
      </w:r>
      <w:r w:rsidR="00F70AB1" w:rsidRPr="00020C8F">
        <w:rPr>
          <w:rFonts w:asciiTheme="minorHAnsi" w:hAnsiTheme="minorHAnsi" w:cstheme="minorHAnsi"/>
          <w:sz w:val="24"/>
          <w:szCs w:val="24"/>
        </w:rPr>
        <w:t xml:space="preserve"> to garner feedback in an efficient, timely manner, in acco</w:t>
      </w:r>
      <w:r w:rsidR="00611D02" w:rsidRPr="00020C8F">
        <w:rPr>
          <w:rFonts w:asciiTheme="minorHAnsi" w:hAnsiTheme="minorHAnsi" w:cstheme="minorHAnsi"/>
          <w:sz w:val="24"/>
          <w:szCs w:val="24"/>
        </w:rPr>
        <w:t>rdance with the project mission</w:t>
      </w:r>
      <w:r w:rsidR="00BB35A4" w:rsidRPr="00020C8F">
        <w:rPr>
          <w:rFonts w:asciiTheme="minorHAnsi" w:hAnsiTheme="minorHAnsi" w:cstheme="minorHAnsi"/>
          <w:sz w:val="24"/>
          <w:szCs w:val="24"/>
        </w:rPr>
        <w:t>.</w:t>
      </w:r>
      <w:r w:rsidR="00611D02" w:rsidRPr="00020C8F">
        <w:rPr>
          <w:rFonts w:asciiTheme="minorHAnsi" w:hAnsiTheme="minorHAnsi" w:cstheme="minorHAnsi"/>
          <w:sz w:val="24"/>
          <w:szCs w:val="24"/>
        </w:rPr>
        <w:t xml:space="preserve"> </w:t>
      </w:r>
      <w:r w:rsidR="00BB35A4" w:rsidRPr="00020C8F">
        <w:rPr>
          <w:rFonts w:asciiTheme="minorHAnsi" w:hAnsiTheme="minorHAnsi" w:cstheme="minorHAnsi"/>
          <w:sz w:val="24"/>
          <w:szCs w:val="24"/>
        </w:rPr>
        <w:t xml:space="preserve">Recipient outreach efforts will enable </w:t>
      </w:r>
      <w:r w:rsidR="003246A0" w:rsidRPr="00020C8F">
        <w:rPr>
          <w:rFonts w:asciiTheme="minorHAnsi" w:hAnsiTheme="minorHAnsi" w:cstheme="minorHAnsi"/>
          <w:sz w:val="24"/>
          <w:szCs w:val="24"/>
        </w:rPr>
        <w:t xml:space="preserve">DAP </w:t>
      </w:r>
      <w:r w:rsidR="00BB35A4" w:rsidRPr="00020C8F">
        <w:rPr>
          <w:rFonts w:asciiTheme="minorHAnsi" w:hAnsiTheme="minorHAnsi" w:cstheme="minorHAnsi"/>
          <w:sz w:val="24"/>
          <w:szCs w:val="24"/>
        </w:rPr>
        <w:t xml:space="preserve">to </w:t>
      </w:r>
      <w:r w:rsidR="003246A0" w:rsidRPr="00020C8F">
        <w:rPr>
          <w:rFonts w:asciiTheme="minorHAnsi" w:hAnsiTheme="minorHAnsi" w:cstheme="minorHAnsi"/>
          <w:sz w:val="24"/>
          <w:szCs w:val="24"/>
        </w:rPr>
        <w:t xml:space="preserve">report findings and recommendations </w:t>
      </w:r>
      <w:r w:rsidR="00BB35A4" w:rsidRPr="00020C8F">
        <w:rPr>
          <w:rFonts w:asciiTheme="minorHAnsi" w:hAnsiTheme="minorHAnsi" w:cstheme="minorHAnsi"/>
          <w:sz w:val="24"/>
          <w:szCs w:val="24"/>
        </w:rPr>
        <w:t>to OMB on s</w:t>
      </w:r>
      <w:r w:rsidR="003246A0" w:rsidRPr="00020C8F">
        <w:rPr>
          <w:rFonts w:asciiTheme="minorHAnsi" w:hAnsiTheme="minorHAnsi" w:cstheme="minorHAnsi"/>
          <w:sz w:val="24"/>
          <w:szCs w:val="24"/>
        </w:rPr>
        <w:t>tandardized reporting elements</w:t>
      </w:r>
      <w:r w:rsidR="00BB35A4" w:rsidRPr="00020C8F">
        <w:rPr>
          <w:rFonts w:asciiTheme="minorHAnsi" w:hAnsiTheme="minorHAnsi" w:cstheme="minorHAnsi"/>
          <w:sz w:val="24"/>
          <w:szCs w:val="24"/>
        </w:rPr>
        <w:t>, the e</w:t>
      </w:r>
      <w:r w:rsidR="003246A0" w:rsidRPr="00020C8F">
        <w:rPr>
          <w:rFonts w:asciiTheme="minorHAnsi" w:hAnsiTheme="minorHAnsi" w:cstheme="minorHAnsi"/>
          <w:sz w:val="24"/>
          <w:szCs w:val="24"/>
        </w:rPr>
        <w:t>limination of unnecessary duplication</w:t>
      </w:r>
      <w:r w:rsidR="00BB35A4" w:rsidRPr="00020C8F">
        <w:rPr>
          <w:rFonts w:asciiTheme="minorHAnsi" w:hAnsiTheme="minorHAnsi" w:cstheme="minorHAnsi"/>
          <w:sz w:val="24"/>
          <w:szCs w:val="24"/>
        </w:rPr>
        <w:t>, and the r</w:t>
      </w:r>
      <w:r w:rsidR="003246A0" w:rsidRPr="00020C8F">
        <w:rPr>
          <w:rFonts w:asciiTheme="minorHAnsi" w:hAnsiTheme="minorHAnsi" w:cstheme="minorHAnsi"/>
          <w:sz w:val="24"/>
          <w:szCs w:val="24"/>
        </w:rPr>
        <w:t xml:space="preserve">eduction of compliance costs for recipients of Federal funds. </w:t>
      </w:r>
    </w:p>
    <w:p w14:paraId="5B746C0C" w14:textId="77777777" w:rsidR="00F70AB1" w:rsidRPr="00020C8F" w:rsidRDefault="00F70AB1" w:rsidP="00F70AB1">
      <w:pPr>
        <w:pStyle w:val="ListParagraph"/>
        <w:numPr>
          <w:ilvl w:val="0"/>
          <w:numId w:val="2"/>
        </w:numPr>
        <w:spacing w:after="0" w:line="240" w:lineRule="auto"/>
        <w:ind w:left="0"/>
        <w:rPr>
          <w:rFonts w:asciiTheme="minorHAnsi" w:hAnsiTheme="minorHAnsi" w:cstheme="minorHAnsi"/>
          <w:b/>
          <w:sz w:val="24"/>
          <w:szCs w:val="24"/>
        </w:rPr>
      </w:pPr>
      <w:r w:rsidRPr="00020C8F">
        <w:rPr>
          <w:rFonts w:asciiTheme="minorHAnsi" w:hAnsiTheme="minorHAnsi" w:cstheme="minorHAnsi"/>
          <w:b/>
          <w:sz w:val="24"/>
          <w:szCs w:val="24"/>
        </w:rPr>
        <w:t>Purpose and Use of the Information Collection</w:t>
      </w:r>
    </w:p>
    <w:p w14:paraId="1C61DC35" w14:textId="77777777" w:rsidR="00F70AB1" w:rsidRPr="00020C8F" w:rsidRDefault="00F70AB1" w:rsidP="00F70AB1">
      <w:pPr>
        <w:spacing w:after="0" w:line="240" w:lineRule="auto"/>
        <w:rPr>
          <w:rFonts w:asciiTheme="minorHAnsi" w:hAnsiTheme="minorHAnsi" w:cstheme="minorHAnsi"/>
          <w:sz w:val="24"/>
          <w:szCs w:val="24"/>
        </w:rPr>
      </w:pPr>
    </w:p>
    <w:p w14:paraId="31634D71" w14:textId="53B344E3" w:rsidR="00786E90" w:rsidRPr="00020C8F" w:rsidRDefault="00786E90" w:rsidP="00786E90">
      <w:pPr>
        <w:rPr>
          <w:rFonts w:asciiTheme="minorHAnsi" w:hAnsiTheme="minorHAnsi" w:cstheme="minorHAnsi"/>
          <w:sz w:val="24"/>
          <w:szCs w:val="24"/>
        </w:rPr>
      </w:pPr>
      <w:r w:rsidRPr="00020C8F">
        <w:rPr>
          <w:rFonts w:asciiTheme="minorHAnsi" w:hAnsiTheme="minorHAnsi" w:cstheme="minorHAnsi"/>
          <w:sz w:val="24"/>
          <w:szCs w:val="24"/>
        </w:rPr>
        <w:t>The DAP has designed several test</w:t>
      </w:r>
      <w:r w:rsidR="00BC69CC" w:rsidRPr="00020C8F">
        <w:rPr>
          <w:rFonts w:asciiTheme="minorHAnsi" w:hAnsiTheme="minorHAnsi" w:cstheme="minorHAnsi"/>
          <w:sz w:val="24"/>
          <w:szCs w:val="24"/>
        </w:rPr>
        <w:t xml:space="preserve"> model</w:t>
      </w:r>
      <w:r w:rsidRPr="00020C8F">
        <w:rPr>
          <w:rFonts w:asciiTheme="minorHAnsi" w:hAnsiTheme="minorHAnsi" w:cstheme="minorHAnsi"/>
          <w:sz w:val="24"/>
          <w:szCs w:val="24"/>
        </w:rPr>
        <w:t>s to evaluate recipient burden and assess quality of data.  The goal of these test</w:t>
      </w:r>
      <w:r w:rsidR="00BC69CC" w:rsidRPr="00020C8F">
        <w:rPr>
          <w:rFonts w:asciiTheme="minorHAnsi" w:hAnsiTheme="minorHAnsi" w:cstheme="minorHAnsi"/>
          <w:sz w:val="24"/>
          <w:szCs w:val="24"/>
        </w:rPr>
        <w:t xml:space="preserve"> model</w:t>
      </w:r>
      <w:r w:rsidRPr="00020C8F">
        <w:rPr>
          <w:rFonts w:asciiTheme="minorHAnsi" w:hAnsiTheme="minorHAnsi" w:cstheme="minorHAnsi"/>
          <w:sz w:val="24"/>
          <w:szCs w:val="24"/>
        </w:rPr>
        <w:t xml:space="preserve">s is to determine whether new technology, data standards, </w:t>
      </w:r>
      <w:r w:rsidRPr="00020C8F">
        <w:rPr>
          <w:rFonts w:asciiTheme="minorHAnsi" w:hAnsiTheme="minorHAnsi" w:cstheme="minorHAnsi"/>
          <w:sz w:val="24"/>
          <w:szCs w:val="24"/>
        </w:rPr>
        <w:lastRenderedPageBreak/>
        <w:t xml:space="preserve">processes, and forms aid in reducing recipient burden and increase the accuracy and quality of the data submitted. </w:t>
      </w:r>
      <w:r w:rsidR="00936EC5" w:rsidRPr="00020C8F">
        <w:rPr>
          <w:rFonts w:asciiTheme="minorHAnsi" w:hAnsiTheme="minorHAnsi" w:cstheme="minorHAnsi"/>
          <w:sz w:val="24"/>
          <w:szCs w:val="24"/>
        </w:rPr>
        <w:t xml:space="preserve">Subsequent to the completion of the pilot, DAP is required to submit a report to OMB. The report will include a description of the </w:t>
      </w:r>
      <w:r w:rsidR="009D559A" w:rsidRPr="00020C8F">
        <w:rPr>
          <w:rFonts w:asciiTheme="minorHAnsi" w:hAnsiTheme="minorHAnsi" w:cstheme="minorHAnsi"/>
          <w:sz w:val="24"/>
          <w:szCs w:val="24"/>
        </w:rPr>
        <w:t xml:space="preserve">test </w:t>
      </w:r>
      <w:r w:rsidR="003364FE" w:rsidRPr="00020C8F">
        <w:rPr>
          <w:rFonts w:asciiTheme="minorHAnsi" w:hAnsiTheme="minorHAnsi" w:cstheme="minorHAnsi"/>
          <w:sz w:val="24"/>
          <w:szCs w:val="24"/>
        </w:rPr>
        <w:t>model</w:t>
      </w:r>
      <w:r w:rsidR="009D559A" w:rsidRPr="00020C8F">
        <w:rPr>
          <w:rFonts w:asciiTheme="minorHAnsi" w:hAnsiTheme="minorHAnsi" w:cstheme="minorHAnsi"/>
          <w:sz w:val="24"/>
          <w:szCs w:val="24"/>
        </w:rPr>
        <w:t xml:space="preserve">s and </w:t>
      </w:r>
      <w:r w:rsidR="00936EC5" w:rsidRPr="00020C8F">
        <w:rPr>
          <w:rFonts w:asciiTheme="minorHAnsi" w:hAnsiTheme="minorHAnsi" w:cstheme="minorHAnsi"/>
          <w:sz w:val="24"/>
          <w:szCs w:val="24"/>
        </w:rPr>
        <w:t xml:space="preserve">data collection process, </w:t>
      </w:r>
      <w:r w:rsidR="009D559A" w:rsidRPr="00020C8F">
        <w:rPr>
          <w:rFonts w:asciiTheme="minorHAnsi" w:hAnsiTheme="minorHAnsi" w:cstheme="minorHAnsi"/>
          <w:sz w:val="24"/>
          <w:szCs w:val="24"/>
        </w:rPr>
        <w:t xml:space="preserve">assumptions and constraints that impacted the tests, testing results, and </w:t>
      </w:r>
      <w:r w:rsidR="00936EC5" w:rsidRPr="00020C8F">
        <w:rPr>
          <w:rFonts w:asciiTheme="minorHAnsi" w:hAnsiTheme="minorHAnsi" w:cstheme="minorHAnsi"/>
          <w:sz w:val="24"/>
          <w:szCs w:val="24"/>
        </w:rPr>
        <w:t xml:space="preserve">recommendations </w:t>
      </w:r>
      <w:r w:rsidR="009D559A" w:rsidRPr="00020C8F">
        <w:rPr>
          <w:rFonts w:asciiTheme="minorHAnsi" w:hAnsiTheme="minorHAnsi" w:cstheme="minorHAnsi"/>
          <w:sz w:val="24"/>
          <w:szCs w:val="24"/>
        </w:rPr>
        <w:t xml:space="preserve">to improve standardization, eliminate duplication, and reduce compliance costs. </w:t>
      </w:r>
      <w:r w:rsidRPr="00020C8F">
        <w:rPr>
          <w:rFonts w:asciiTheme="minorHAnsi" w:hAnsiTheme="minorHAnsi" w:cstheme="minorHAnsi"/>
          <w:sz w:val="24"/>
          <w:szCs w:val="24"/>
        </w:rPr>
        <w:t xml:space="preserve"> </w:t>
      </w:r>
    </w:p>
    <w:p w14:paraId="6850238E" w14:textId="1FF94BAE" w:rsidR="004A4C57" w:rsidRPr="00020C8F" w:rsidRDefault="0068694C" w:rsidP="00F70AB1">
      <w:pPr>
        <w:autoSpaceDE w:val="0"/>
        <w:autoSpaceDN w:val="0"/>
        <w:adjustRightInd w:val="0"/>
        <w:spacing w:line="240" w:lineRule="auto"/>
        <w:rPr>
          <w:rFonts w:asciiTheme="minorHAnsi" w:hAnsiTheme="minorHAnsi" w:cstheme="minorHAnsi"/>
          <w:sz w:val="24"/>
          <w:szCs w:val="24"/>
        </w:rPr>
      </w:pPr>
      <w:r w:rsidRPr="00020C8F">
        <w:rPr>
          <w:rFonts w:asciiTheme="minorHAnsi" w:hAnsiTheme="minorHAnsi" w:cstheme="minorHAnsi"/>
          <w:sz w:val="24"/>
          <w:szCs w:val="24"/>
        </w:rPr>
        <w:t xml:space="preserve">The test </w:t>
      </w:r>
      <w:r w:rsidR="00BC69CC" w:rsidRPr="00020C8F">
        <w:rPr>
          <w:rFonts w:asciiTheme="minorHAnsi" w:hAnsiTheme="minorHAnsi" w:cstheme="minorHAnsi"/>
          <w:sz w:val="24"/>
          <w:szCs w:val="24"/>
        </w:rPr>
        <w:t xml:space="preserve">models </w:t>
      </w:r>
      <w:r w:rsidR="009D559A" w:rsidRPr="00020C8F">
        <w:rPr>
          <w:rFonts w:asciiTheme="minorHAnsi" w:hAnsiTheme="minorHAnsi" w:cstheme="minorHAnsi"/>
          <w:sz w:val="24"/>
          <w:szCs w:val="24"/>
        </w:rPr>
        <w:t xml:space="preserve">relate to functions </w:t>
      </w:r>
      <w:r w:rsidR="00F70AB1" w:rsidRPr="00020C8F">
        <w:rPr>
          <w:rFonts w:asciiTheme="minorHAnsi" w:hAnsiTheme="minorHAnsi" w:cstheme="minorHAnsi"/>
          <w:sz w:val="24"/>
          <w:szCs w:val="24"/>
        </w:rPr>
        <w:t xml:space="preserve">throughout the </w:t>
      </w:r>
      <w:r w:rsidR="009D559A" w:rsidRPr="00020C8F">
        <w:rPr>
          <w:rFonts w:asciiTheme="minorHAnsi" w:hAnsiTheme="minorHAnsi" w:cstheme="minorHAnsi"/>
          <w:sz w:val="24"/>
          <w:szCs w:val="24"/>
        </w:rPr>
        <w:t xml:space="preserve">grant </w:t>
      </w:r>
      <w:r w:rsidR="00F70AB1" w:rsidRPr="00020C8F">
        <w:rPr>
          <w:rFonts w:asciiTheme="minorHAnsi" w:hAnsiTheme="minorHAnsi" w:cstheme="minorHAnsi"/>
          <w:sz w:val="24"/>
          <w:szCs w:val="24"/>
        </w:rPr>
        <w:t>lifecycle</w:t>
      </w:r>
      <w:r w:rsidR="009D559A" w:rsidRPr="00020C8F">
        <w:rPr>
          <w:rFonts w:asciiTheme="minorHAnsi" w:hAnsiTheme="minorHAnsi" w:cstheme="minorHAnsi"/>
          <w:sz w:val="24"/>
          <w:szCs w:val="24"/>
        </w:rPr>
        <w:t xml:space="preserve">; to include </w:t>
      </w:r>
      <w:r w:rsidR="00F70AB1" w:rsidRPr="00020C8F">
        <w:rPr>
          <w:rFonts w:asciiTheme="minorHAnsi" w:hAnsiTheme="minorHAnsi" w:cstheme="minorHAnsi"/>
          <w:sz w:val="24"/>
          <w:szCs w:val="24"/>
        </w:rPr>
        <w:t xml:space="preserve">the initial application process, required financial reporting, and the audit </w:t>
      </w:r>
      <w:r w:rsidRPr="00020C8F">
        <w:rPr>
          <w:rFonts w:asciiTheme="minorHAnsi" w:hAnsiTheme="minorHAnsi" w:cstheme="minorHAnsi"/>
          <w:sz w:val="24"/>
          <w:szCs w:val="24"/>
        </w:rPr>
        <w:t>process</w:t>
      </w:r>
      <w:r w:rsidR="00F70AB1" w:rsidRPr="00020C8F">
        <w:rPr>
          <w:rFonts w:asciiTheme="minorHAnsi" w:hAnsiTheme="minorHAnsi" w:cstheme="minorHAnsi"/>
          <w:sz w:val="24"/>
          <w:szCs w:val="24"/>
        </w:rPr>
        <w:t xml:space="preserve">.  </w:t>
      </w:r>
      <w:r w:rsidR="00BF7FD6" w:rsidRPr="00020C8F">
        <w:rPr>
          <w:rFonts w:asciiTheme="minorHAnsi" w:hAnsiTheme="minorHAnsi" w:cstheme="minorHAnsi"/>
          <w:sz w:val="24"/>
          <w:szCs w:val="24"/>
        </w:rPr>
        <w:t xml:space="preserve">The </w:t>
      </w:r>
      <w:r w:rsidR="00646261" w:rsidRPr="00020C8F">
        <w:rPr>
          <w:rFonts w:asciiTheme="minorHAnsi" w:hAnsiTheme="minorHAnsi" w:cstheme="minorHAnsi"/>
          <w:sz w:val="24"/>
          <w:szCs w:val="24"/>
        </w:rPr>
        <w:t>S</w:t>
      </w:r>
      <w:r w:rsidR="00BF7FD6" w:rsidRPr="00020C8F">
        <w:rPr>
          <w:rFonts w:asciiTheme="minorHAnsi" w:hAnsiTheme="minorHAnsi" w:cstheme="minorHAnsi"/>
          <w:sz w:val="24"/>
          <w:szCs w:val="24"/>
        </w:rPr>
        <w:t>ection 5 pilot participants</w:t>
      </w:r>
      <w:r w:rsidR="00990038" w:rsidRPr="00020C8F">
        <w:rPr>
          <w:rFonts w:asciiTheme="minorHAnsi" w:hAnsiTheme="minorHAnsi" w:cstheme="minorHAnsi"/>
          <w:sz w:val="24"/>
          <w:szCs w:val="24"/>
        </w:rPr>
        <w:t xml:space="preserve"> </w:t>
      </w:r>
      <w:r w:rsidR="00BF7FD6" w:rsidRPr="00020C8F">
        <w:rPr>
          <w:rFonts w:asciiTheme="minorHAnsi" w:hAnsiTheme="minorHAnsi" w:cstheme="minorHAnsi"/>
          <w:sz w:val="24"/>
          <w:szCs w:val="24"/>
        </w:rPr>
        <w:t>will consist of organizations receiving Federal funds (recipients)</w:t>
      </w:r>
      <w:r w:rsidR="008D4B47" w:rsidRPr="00020C8F">
        <w:rPr>
          <w:rFonts w:asciiTheme="minorHAnsi" w:hAnsiTheme="minorHAnsi" w:cstheme="minorHAnsi"/>
          <w:sz w:val="24"/>
          <w:szCs w:val="24"/>
        </w:rPr>
        <w:t xml:space="preserve">. The primary focus of the pilot is on recipients that receive between 1 to 2 billion dollars in federal </w:t>
      </w:r>
      <w:r w:rsidR="006C5ED2" w:rsidRPr="00020C8F">
        <w:rPr>
          <w:rFonts w:asciiTheme="minorHAnsi" w:hAnsiTheme="minorHAnsi" w:cstheme="minorHAnsi"/>
          <w:sz w:val="24"/>
          <w:szCs w:val="24"/>
        </w:rPr>
        <w:t>grants</w:t>
      </w:r>
      <w:r w:rsidR="008D4B47" w:rsidRPr="00020C8F">
        <w:rPr>
          <w:rFonts w:asciiTheme="minorHAnsi" w:hAnsiTheme="minorHAnsi" w:cstheme="minorHAnsi"/>
          <w:sz w:val="24"/>
          <w:szCs w:val="24"/>
        </w:rPr>
        <w:t xml:space="preserve">, </w:t>
      </w:r>
      <w:r w:rsidR="006C5ED2" w:rsidRPr="00020C8F">
        <w:rPr>
          <w:rFonts w:asciiTheme="minorHAnsi" w:hAnsiTheme="minorHAnsi" w:cstheme="minorHAnsi"/>
          <w:sz w:val="24"/>
          <w:szCs w:val="24"/>
        </w:rPr>
        <w:t xml:space="preserve">contracts, and subawards, </w:t>
      </w:r>
      <w:r w:rsidR="008D4B47" w:rsidRPr="00020C8F">
        <w:rPr>
          <w:rFonts w:asciiTheme="minorHAnsi" w:hAnsiTheme="minorHAnsi" w:cstheme="minorHAnsi"/>
          <w:sz w:val="24"/>
          <w:szCs w:val="24"/>
        </w:rPr>
        <w:t xml:space="preserve">as required by legislation. In addition, DAP will engage recipients that do not meet the </w:t>
      </w:r>
      <w:r w:rsidR="008B4AB6" w:rsidRPr="00020C8F">
        <w:rPr>
          <w:rFonts w:asciiTheme="minorHAnsi" w:hAnsiTheme="minorHAnsi" w:cstheme="minorHAnsi"/>
          <w:sz w:val="24"/>
          <w:szCs w:val="24"/>
        </w:rPr>
        <w:t>1 to 2 billion dollar range in efforts to meet legislation requirements to “</w:t>
      </w:r>
      <w:r w:rsidR="004A4C57" w:rsidRPr="00020C8F">
        <w:rPr>
          <w:rFonts w:asciiTheme="minorHAnsi" w:hAnsiTheme="minorHAnsi" w:cstheme="minorHAnsi"/>
          <w:sz w:val="24"/>
          <w:szCs w:val="24"/>
        </w:rPr>
        <w:t>include a diverse group of recipients of Federal awards”.</w:t>
      </w:r>
      <w:r w:rsidR="008D4B47" w:rsidRPr="00020C8F">
        <w:rPr>
          <w:rFonts w:asciiTheme="minorHAnsi" w:hAnsiTheme="minorHAnsi" w:cstheme="minorHAnsi"/>
          <w:sz w:val="24"/>
          <w:szCs w:val="24"/>
        </w:rPr>
        <w:t xml:space="preserve"> </w:t>
      </w:r>
      <w:r w:rsidR="00BF7FD6" w:rsidRPr="00020C8F">
        <w:rPr>
          <w:rFonts w:asciiTheme="minorHAnsi" w:hAnsiTheme="minorHAnsi" w:cstheme="minorHAnsi"/>
          <w:sz w:val="24"/>
          <w:szCs w:val="24"/>
        </w:rPr>
        <w:t xml:space="preserve"> There will be specific parameters established for stratifying these participants </w:t>
      </w:r>
      <w:r w:rsidR="004A4C57" w:rsidRPr="00020C8F">
        <w:rPr>
          <w:rFonts w:asciiTheme="minorHAnsi" w:hAnsiTheme="minorHAnsi" w:cstheme="minorHAnsi"/>
          <w:sz w:val="24"/>
          <w:szCs w:val="24"/>
        </w:rPr>
        <w:t>in efforts to analyze the results consistently</w:t>
      </w:r>
      <w:r w:rsidR="00BF7FD6" w:rsidRPr="00020C8F">
        <w:rPr>
          <w:rFonts w:asciiTheme="minorHAnsi" w:hAnsiTheme="minorHAnsi" w:cstheme="minorHAnsi"/>
          <w:sz w:val="24"/>
          <w:szCs w:val="24"/>
        </w:rPr>
        <w:t>.</w:t>
      </w:r>
      <w:r w:rsidR="004A4C57" w:rsidRPr="00020C8F">
        <w:rPr>
          <w:rFonts w:asciiTheme="minorHAnsi" w:hAnsiTheme="minorHAnsi" w:cstheme="minorHAnsi"/>
          <w:sz w:val="24"/>
          <w:szCs w:val="24"/>
        </w:rPr>
        <w:t xml:space="preserve"> </w:t>
      </w:r>
    </w:p>
    <w:p w14:paraId="2FBAB6AA" w14:textId="39D9181F" w:rsidR="00F70AB1" w:rsidRPr="00020C8F" w:rsidRDefault="00F70AB1" w:rsidP="00F70AB1">
      <w:pPr>
        <w:autoSpaceDE w:val="0"/>
        <w:autoSpaceDN w:val="0"/>
        <w:adjustRightInd w:val="0"/>
        <w:spacing w:line="240" w:lineRule="auto"/>
        <w:rPr>
          <w:rFonts w:asciiTheme="minorHAnsi" w:hAnsiTheme="minorHAnsi" w:cstheme="minorHAnsi"/>
          <w:sz w:val="24"/>
          <w:szCs w:val="24"/>
        </w:rPr>
      </w:pPr>
      <w:r w:rsidRPr="00020C8F">
        <w:rPr>
          <w:rFonts w:asciiTheme="minorHAnsi" w:hAnsiTheme="minorHAnsi" w:cstheme="minorHAnsi"/>
          <w:sz w:val="24"/>
          <w:szCs w:val="24"/>
        </w:rPr>
        <w:t xml:space="preserve">Under this clearance, a variety of </w:t>
      </w:r>
      <w:r w:rsidR="00C109A6" w:rsidRPr="00020C8F">
        <w:rPr>
          <w:rFonts w:asciiTheme="minorHAnsi" w:hAnsiTheme="minorHAnsi" w:cstheme="minorHAnsi"/>
          <w:sz w:val="24"/>
          <w:szCs w:val="24"/>
        </w:rPr>
        <w:t>methods (surveys, focus group</w:t>
      </w:r>
      <w:r w:rsidR="00C038D2">
        <w:rPr>
          <w:rFonts w:asciiTheme="minorHAnsi" w:hAnsiTheme="minorHAnsi" w:cstheme="minorHAnsi"/>
          <w:sz w:val="24"/>
          <w:szCs w:val="24"/>
        </w:rPr>
        <w:t>s</w:t>
      </w:r>
      <w:r w:rsidR="00C109A6" w:rsidRPr="00020C8F">
        <w:rPr>
          <w:rFonts w:asciiTheme="minorHAnsi" w:hAnsiTheme="minorHAnsi" w:cstheme="minorHAnsi"/>
          <w:sz w:val="24"/>
          <w:szCs w:val="24"/>
        </w:rPr>
        <w:t>, etc.) could be</w:t>
      </w:r>
      <w:r w:rsidRPr="00020C8F">
        <w:rPr>
          <w:rFonts w:asciiTheme="minorHAnsi" w:hAnsiTheme="minorHAnsi" w:cstheme="minorHAnsi"/>
          <w:sz w:val="24"/>
          <w:szCs w:val="24"/>
        </w:rPr>
        <w:t xml:space="preserve"> used</w:t>
      </w:r>
      <w:r w:rsidR="00C109A6" w:rsidRPr="00020C8F">
        <w:rPr>
          <w:rFonts w:asciiTheme="minorHAnsi" w:hAnsiTheme="minorHAnsi" w:cstheme="minorHAnsi"/>
          <w:sz w:val="24"/>
          <w:szCs w:val="24"/>
        </w:rPr>
        <w:t xml:space="preserve"> to collect data</w:t>
      </w:r>
      <w:r w:rsidRPr="00020C8F">
        <w:rPr>
          <w:rFonts w:asciiTheme="minorHAnsi" w:hAnsiTheme="minorHAnsi" w:cstheme="minorHAnsi"/>
          <w:sz w:val="24"/>
          <w:szCs w:val="24"/>
        </w:rPr>
        <w:t>, with the exact n</w:t>
      </w:r>
      <w:r w:rsidR="00C109A6" w:rsidRPr="00020C8F">
        <w:rPr>
          <w:rFonts w:asciiTheme="minorHAnsi" w:hAnsiTheme="minorHAnsi" w:cstheme="minorHAnsi"/>
          <w:sz w:val="24"/>
          <w:szCs w:val="24"/>
        </w:rPr>
        <w:t>ature of the questions currently undetermined</w:t>
      </w:r>
      <w:r w:rsidR="00C109A6" w:rsidRPr="003D4D1F">
        <w:rPr>
          <w:rFonts w:asciiTheme="minorHAnsi" w:hAnsiTheme="minorHAnsi" w:cstheme="minorHAnsi"/>
          <w:sz w:val="24"/>
          <w:szCs w:val="24"/>
        </w:rPr>
        <w:t>.  DAP</w:t>
      </w:r>
      <w:r w:rsidRPr="003D4D1F">
        <w:rPr>
          <w:rFonts w:asciiTheme="minorHAnsi" w:hAnsiTheme="minorHAnsi" w:cstheme="minorHAnsi"/>
          <w:sz w:val="24"/>
          <w:szCs w:val="24"/>
        </w:rPr>
        <w:t xml:space="preserve"> expects these questions to include, but not be limited to, topics pertaining to the </w:t>
      </w:r>
      <w:r w:rsidR="0057696D" w:rsidRPr="003D4D1F">
        <w:rPr>
          <w:rFonts w:asciiTheme="minorHAnsi" w:hAnsiTheme="minorHAnsi" w:cstheme="minorHAnsi"/>
          <w:sz w:val="24"/>
          <w:szCs w:val="24"/>
        </w:rPr>
        <w:t>Standard Form (SF)</w:t>
      </w:r>
      <w:r w:rsidRPr="003D4D1F">
        <w:rPr>
          <w:rFonts w:asciiTheme="minorHAnsi" w:hAnsiTheme="minorHAnsi" w:cstheme="minorHAnsi"/>
          <w:sz w:val="24"/>
          <w:szCs w:val="24"/>
        </w:rPr>
        <w:t xml:space="preserve"> 424, </w:t>
      </w:r>
      <w:r w:rsidR="00C109A6" w:rsidRPr="003D4D1F">
        <w:rPr>
          <w:rFonts w:asciiTheme="minorHAnsi" w:hAnsiTheme="minorHAnsi" w:cstheme="minorHAnsi"/>
          <w:sz w:val="24"/>
          <w:szCs w:val="24"/>
        </w:rPr>
        <w:t xml:space="preserve">the </w:t>
      </w:r>
      <w:r w:rsidRPr="003D4D1F">
        <w:rPr>
          <w:rFonts w:asciiTheme="minorHAnsi" w:hAnsiTheme="minorHAnsi" w:cstheme="minorHAnsi"/>
          <w:sz w:val="24"/>
          <w:szCs w:val="24"/>
        </w:rPr>
        <w:t xml:space="preserve">Consolidated Federal Financial Reports, and </w:t>
      </w:r>
      <w:r w:rsidR="00C109A6" w:rsidRPr="003D4D1F">
        <w:rPr>
          <w:rFonts w:asciiTheme="minorHAnsi" w:hAnsiTheme="minorHAnsi" w:cstheme="minorHAnsi"/>
          <w:sz w:val="24"/>
          <w:szCs w:val="24"/>
        </w:rPr>
        <w:t xml:space="preserve">the expanded </w:t>
      </w:r>
      <w:r w:rsidRPr="003D4D1F">
        <w:rPr>
          <w:rFonts w:asciiTheme="minorHAnsi" w:hAnsiTheme="minorHAnsi" w:cstheme="minorHAnsi"/>
          <w:sz w:val="24"/>
          <w:szCs w:val="24"/>
        </w:rPr>
        <w:t xml:space="preserve">Single Audit </w:t>
      </w:r>
      <w:r w:rsidR="00C109A6" w:rsidRPr="003D4D1F">
        <w:rPr>
          <w:rFonts w:asciiTheme="minorHAnsi" w:hAnsiTheme="minorHAnsi" w:cstheme="minorHAnsi"/>
          <w:sz w:val="24"/>
          <w:szCs w:val="24"/>
        </w:rPr>
        <w:t>form (</w:t>
      </w:r>
      <w:r w:rsidRPr="003D4D1F">
        <w:rPr>
          <w:rFonts w:asciiTheme="minorHAnsi" w:hAnsiTheme="minorHAnsi" w:cstheme="minorHAnsi"/>
          <w:sz w:val="24"/>
          <w:szCs w:val="24"/>
        </w:rPr>
        <w:t>SF-SAC</w:t>
      </w:r>
      <w:r w:rsidR="00C109A6" w:rsidRPr="00020C8F">
        <w:rPr>
          <w:rFonts w:asciiTheme="minorHAnsi" w:hAnsiTheme="minorHAnsi" w:cstheme="minorHAnsi"/>
          <w:sz w:val="24"/>
          <w:szCs w:val="24"/>
        </w:rPr>
        <w:t>)</w:t>
      </w:r>
      <w:r w:rsidRPr="00020C8F">
        <w:rPr>
          <w:rFonts w:asciiTheme="minorHAnsi" w:hAnsiTheme="minorHAnsi" w:cstheme="minorHAnsi"/>
          <w:sz w:val="24"/>
          <w:szCs w:val="24"/>
        </w:rPr>
        <w:t xml:space="preserve">.  If this data is not collected, </w:t>
      </w:r>
      <w:r w:rsidR="0057696D" w:rsidRPr="00020C8F">
        <w:rPr>
          <w:rFonts w:asciiTheme="minorHAnsi" w:hAnsiTheme="minorHAnsi" w:cstheme="minorHAnsi"/>
          <w:sz w:val="24"/>
          <w:szCs w:val="24"/>
        </w:rPr>
        <w:t xml:space="preserve">the requirements of the DATA Act Section 5 pilot will not be met. Additionally, </w:t>
      </w:r>
      <w:r w:rsidRPr="00020C8F">
        <w:rPr>
          <w:rFonts w:asciiTheme="minorHAnsi" w:hAnsiTheme="minorHAnsi" w:cstheme="minorHAnsi"/>
          <w:sz w:val="24"/>
          <w:szCs w:val="24"/>
        </w:rPr>
        <w:t xml:space="preserve">vital feedback from </w:t>
      </w:r>
      <w:r w:rsidR="00006104" w:rsidRPr="00020C8F">
        <w:rPr>
          <w:rFonts w:asciiTheme="minorHAnsi" w:hAnsiTheme="minorHAnsi" w:cstheme="minorHAnsi"/>
          <w:sz w:val="24"/>
          <w:szCs w:val="24"/>
        </w:rPr>
        <w:t>recipients</w:t>
      </w:r>
      <w:r w:rsidRPr="00020C8F">
        <w:rPr>
          <w:rFonts w:asciiTheme="minorHAnsi" w:hAnsiTheme="minorHAnsi" w:cstheme="minorHAnsi"/>
          <w:sz w:val="24"/>
          <w:szCs w:val="24"/>
        </w:rPr>
        <w:t xml:space="preserve"> </w:t>
      </w:r>
      <w:r w:rsidR="0057696D" w:rsidRPr="00020C8F">
        <w:rPr>
          <w:rFonts w:asciiTheme="minorHAnsi" w:hAnsiTheme="minorHAnsi" w:cstheme="minorHAnsi"/>
          <w:sz w:val="24"/>
          <w:szCs w:val="24"/>
        </w:rPr>
        <w:t xml:space="preserve">may not be available for consideration in future legislation related to data transparency and recipient burden reduction. </w:t>
      </w:r>
      <w:r w:rsidR="001261B3" w:rsidRPr="00020C8F">
        <w:rPr>
          <w:rFonts w:asciiTheme="minorHAnsi" w:hAnsiTheme="minorHAnsi" w:cstheme="minorHAnsi"/>
          <w:sz w:val="24"/>
          <w:szCs w:val="24"/>
        </w:rPr>
        <w:t>T</w:t>
      </w:r>
      <w:r w:rsidRPr="00020C8F">
        <w:rPr>
          <w:rFonts w:asciiTheme="minorHAnsi" w:hAnsiTheme="minorHAnsi" w:cstheme="minorHAnsi"/>
          <w:sz w:val="24"/>
          <w:szCs w:val="24"/>
        </w:rPr>
        <w:t xml:space="preserve">his </w:t>
      </w:r>
      <w:r w:rsidR="00D008D4" w:rsidRPr="00020C8F">
        <w:rPr>
          <w:rFonts w:asciiTheme="minorHAnsi" w:hAnsiTheme="minorHAnsi" w:cstheme="minorHAnsi"/>
          <w:sz w:val="24"/>
          <w:szCs w:val="24"/>
        </w:rPr>
        <w:t>generic clearance</w:t>
      </w:r>
      <w:r w:rsidR="001261B3" w:rsidRPr="00020C8F">
        <w:rPr>
          <w:rFonts w:asciiTheme="minorHAnsi" w:hAnsiTheme="minorHAnsi" w:cstheme="minorHAnsi"/>
          <w:sz w:val="24"/>
          <w:szCs w:val="24"/>
        </w:rPr>
        <w:t xml:space="preserve"> enables</w:t>
      </w:r>
      <w:r w:rsidR="00D008D4" w:rsidRPr="00020C8F">
        <w:rPr>
          <w:rFonts w:asciiTheme="minorHAnsi" w:hAnsiTheme="minorHAnsi" w:cstheme="minorHAnsi"/>
          <w:sz w:val="24"/>
          <w:szCs w:val="24"/>
        </w:rPr>
        <w:t xml:space="preserve"> a larger</w:t>
      </w:r>
      <w:r w:rsidRPr="00020C8F">
        <w:rPr>
          <w:rFonts w:asciiTheme="minorHAnsi" w:hAnsiTheme="minorHAnsi" w:cstheme="minorHAnsi"/>
          <w:sz w:val="24"/>
          <w:szCs w:val="24"/>
        </w:rPr>
        <w:t xml:space="preserve"> number of </w:t>
      </w:r>
      <w:r w:rsidR="001261B3" w:rsidRPr="00020C8F">
        <w:rPr>
          <w:rFonts w:asciiTheme="minorHAnsi" w:hAnsiTheme="minorHAnsi" w:cstheme="minorHAnsi"/>
          <w:sz w:val="24"/>
          <w:szCs w:val="24"/>
        </w:rPr>
        <w:t xml:space="preserve">study </w:t>
      </w:r>
      <w:r w:rsidRPr="00020C8F">
        <w:rPr>
          <w:rFonts w:asciiTheme="minorHAnsi" w:hAnsiTheme="minorHAnsi" w:cstheme="minorHAnsi"/>
          <w:sz w:val="24"/>
          <w:szCs w:val="24"/>
        </w:rPr>
        <w:t>participants</w:t>
      </w:r>
      <w:r w:rsidR="001261B3" w:rsidRPr="00020C8F">
        <w:rPr>
          <w:rFonts w:asciiTheme="minorHAnsi" w:hAnsiTheme="minorHAnsi" w:cstheme="minorHAnsi"/>
          <w:sz w:val="24"/>
          <w:szCs w:val="24"/>
        </w:rPr>
        <w:t xml:space="preserve">, resulting in </w:t>
      </w:r>
      <w:r w:rsidRPr="00020C8F">
        <w:rPr>
          <w:rFonts w:asciiTheme="minorHAnsi" w:hAnsiTheme="minorHAnsi" w:cstheme="minorHAnsi"/>
          <w:sz w:val="24"/>
          <w:szCs w:val="24"/>
        </w:rPr>
        <w:t xml:space="preserve">a more </w:t>
      </w:r>
      <w:r w:rsidR="0057696D" w:rsidRPr="00020C8F">
        <w:rPr>
          <w:rFonts w:asciiTheme="minorHAnsi" w:hAnsiTheme="minorHAnsi" w:cstheme="minorHAnsi"/>
          <w:sz w:val="24"/>
          <w:szCs w:val="24"/>
        </w:rPr>
        <w:t xml:space="preserve">comprehensive </w:t>
      </w:r>
      <w:r w:rsidRPr="00020C8F">
        <w:rPr>
          <w:rFonts w:asciiTheme="minorHAnsi" w:hAnsiTheme="minorHAnsi" w:cstheme="minorHAnsi"/>
          <w:sz w:val="24"/>
          <w:szCs w:val="24"/>
        </w:rPr>
        <w:t>reflection of</w:t>
      </w:r>
      <w:r w:rsidR="00D008D4" w:rsidRPr="00020C8F">
        <w:rPr>
          <w:rFonts w:asciiTheme="minorHAnsi" w:hAnsiTheme="minorHAnsi" w:cstheme="minorHAnsi"/>
          <w:sz w:val="24"/>
          <w:szCs w:val="24"/>
        </w:rPr>
        <w:t xml:space="preserve"> the recipients</w:t>
      </w:r>
      <w:r w:rsidRPr="00020C8F">
        <w:rPr>
          <w:rFonts w:asciiTheme="minorHAnsi" w:hAnsiTheme="minorHAnsi" w:cstheme="minorHAnsi"/>
          <w:sz w:val="24"/>
          <w:szCs w:val="24"/>
        </w:rPr>
        <w:t xml:space="preserve"> to be affected by this </w:t>
      </w:r>
      <w:r w:rsidR="0057696D" w:rsidRPr="00020C8F">
        <w:rPr>
          <w:rFonts w:asciiTheme="minorHAnsi" w:hAnsiTheme="minorHAnsi" w:cstheme="minorHAnsi"/>
          <w:sz w:val="24"/>
          <w:szCs w:val="24"/>
        </w:rPr>
        <w:t xml:space="preserve">and future </w:t>
      </w:r>
      <w:r w:rsidRPr="00020C8F">
        <w:rPr>
          <w:rFonts w:asciiTheme="minorHAnsi" w:hAnsiTheme="minorHAnsi" w:cstheme="minorHAnsi"/>
          <w:sz w:val="24"/>
          <w:szCs w:val="24"/>
        </w:rPr>
        <w:t xml:space="preserve">legislation.    </w:t>
      </w:r>
    </w:p>
    <w:p w14:paraId="43E011B0" w14:textId="2B5B6BA3" w:rsidR="00F70AB1" w:rsidRPr="00020C8F" w:rsidRDefault="00F70AB1" w:rsidP="00F70AB1">
      <w:p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 xml:space="preserve">The Agency will only submit a collection </w:t>
      </w:r>
      <w:r w:rsidR="00AE6636" w:rsidRPr="00020C8F">
        <w:rPr>
          <w:rFonts w:asciiTheme="minorHAnsi" w:hAnsiTheme="minorHAnsi" w:cstheme="minorHAnsi"/>
          <w:sz w:val="24"/>
          <w:szCs w:val="24"/>
        </w:rPr>
        <w:t xml:space="preserve">of surveys, </w:t>
      </w:r>
      <w:r w:rsidR="004B6B53">
        <w:rPr>
          <w:rFonts w:asciiTheme="minorHAnsi" w:hAnsiTheme="minorHAnsi" w:cstheme="minorHAnsi"/>
          <w:sz w:val="24"/>
          <w:szCs w:val="24"/>
        </w:rPr>
        <w:t>f</w:t>
      </w:r>
      <w:r w:rsidR="00646261" w:rsidRPr="00020C8F">
        <w:rPr>
          <w:rFonts w:asciiTheme="minorHAnsi" w:hAnsiTheme="minorHAnsi" w:cstheme="minorHAnsi"/>
          <w:sz w:val="24"/>
          <w:szCs w:val="24"/>
        </w:rPr>
        <w:t xml:space="preserve">ocus </w:t>
      </w:r>
      <w:r w:rsidR="004B6B53">
        <w:rPr>
          <w:rFonts w:asciiTheme="minorHAnsi" w:hAnsiTheme="minorHAnsi" w:cstheme="minorHAnsi"/>
          <w:sz w:val="24"/>
          <w:szCs w:val="24"/>
        </w:rPr>
        <w:t>g</w:t>
      </w:r>
      <w:r w:rsidR="00646261" w:rsidRPr="00020C8F">
        <w:rPr>
          <w:rFonts w:asciiTheme="minorHAnsi" w:hAnsiTheme="minorHAnsi" w:cstheme="minorHAnsi"/>
          <w:sz w:val="24"/>
          <w:szCs w:val="24"/>
        </w:rPr>
        <w:t>roup</w:t>
      </w:r>
      <w:r w:rsidR="00C038D2">
        <w:rPr>
          <w:rFonts w:asciiTheme="minorHAnsi" w:hAnsiTheme="minorHAnsi" w:cstheme="minorHAnsi"/>
          <w:sz w:val="24"/>
          <w:szCs w:val="24"/>
        </w:rPr>
        <w:t>s</w:t>
      </w:r>
      <w:r w:rsidR="00AE6636" w:rsidRPr="00020C8F">
        <w:rPr>
          <w:rFonts w:asciiTheme="minorHAnsi" w:hAnsiTheme="minorHAnsi" w:cstheme="minorHAnsi"/>
          <w:sz w:val="24"/>
          <w:szCs w:val="24"/>
        </w:rPr>
        <w:t xml:space="preserve">, etc. </w:t>
      </w:r>
      <w:r w:rsidRPr="00020C8F">
        <w:rPr>
          <w:rFonts w:asciiTheme="minorHAnsi" w:hAnsiTheme="minorHAnsi" w:cstheme="minorHAnsi"/>
          <w:sz w:val="24"/>
          <w:szCs w:val="24"/>
        </w:rPr>
        <w:t xml:space="preserve">for approval under this generic clearance if it meets the following conditions:   </w:t>
      </w:r>
    </w:p>
    <w:p w14:paraId="06135399" w14:textId="77777777" w:rsidR="00F70AB1" w:rsidRPr="00020C8F" w:rsidRDefault="00F70AB1" w:rsidP="00F70AB1">
      <w:pPr>
        <w:spacing w:after="0" w:line="240" w:lineRule="auto"/>
        <w:rPr>
          <w:rFonts w:asciiTheme="minorHAnsi" w:hAnsiTheme="minorHAnsi" w:cstheme="minorHAnsi"/>
          <w:sz w:val="24"/>
          <w:szCs w:val="24"/>
        </w:rPr>
      </w:pPr>
    </w:p>
    <w:p w14:paraId="070D055B" w14:textId="77777777" w:rsidR="00BC69CC" w:rsidRPr="00020C8F" w:rsidRDefault="00AE6636" w:rsidP="00F70AB1">
      <w:pPr>
        <w:pStyle w:val="ListParagraph"/>
        <w:numPr>
          <w:ilvl w:val="0"/>
          <w:numId w:val="3"/>
        </w:num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 xml:space="preserve">Information gathered </w:t>
      </w:r>
      <w:r w:rsidR="00F70AB1" w:rsidRPr="00020C8F">
        <w:rPr>
          <w:rFonts w:asciiTheme="minorHAnsi" w:hAnsiTheme="minorHAnsi" w:cstheme="minorHAnsi"/>
          <w:sz w:val="24"/>
          <w:szCs w:val="24"/>
        </w:rPr>
        <w:t xml:space="preserve">will yield qualitative </w:t>
      </w:r>
      <w:r w:rsidRPr="00020C8F">
        <w:rPr>
          <w:rFonts w:asciiTheme="minorHAnsi" w:hAnsiTheme="minorHAnsi" w:cstheme="minorHAnsi"/>
          <w:sz w:val="24"/>
          <w:szCs w:val="24"/>
        </w:rPr>
        <w:t>or quantitative data</w:t>
      </w:r>
      <w:r w:rsidR="00F70AB1" w:rsidRPr="00020C8F">
        <w:rPr>
          <w:rFonts w:asciiTheme="minorHAnsi" w:hAnsiTheme="minorHAnsi" w:cstheme="minorHAnsi"/>
          <w:sz w:val="24"/>
          <w:szCs w:val="24"/>
        </w:rPr>
        <w:t xml:space="preserve">; </w:t>
      </w:r>
    </w:p>
    <w:p w14:paraId="3900461C" w14:textId="3A8F2001" w:rsidR="00F70AB1" w:rsidRPr="00020C8F" w:rsidRDefault="00BC69CC" w:rsidP="00F70AB1">
      <w:pPr>
        <w:pStyle w:val="ListParagraph"/>
        <w:numPr>
          <w:ilvl w:val="0"/>
          <w:numId w:val="3"/>
        </w:num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 xml:space="preserve">The collections are voluntary; </w:t>
      </w:r>
    </w:p>
    <w:p w14:paraId="280DE9B4" w14:textId="77777777" w:rsidR="00F70AB1" w:rsidRPr="00020C8F" w:rsidRDefault="00F70AB1" w:rsidP="00F70AB1">
      <w:pPr>
        <w:pStyle w:val="ListParagraph"/>
        <w:numPr>
          <w:ilvl w:val="0"/>
          <w:numId w:val="3"/>
        </w:num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The collections are low-burden for respondents (based on considerations of total burden hours, total number of respondents, or burden-hours per respondent) and are low-cost for both the respondents and the Federal Government;</w:t>
      </w:r>
    </w:p>
    <w:p w14:paraId="48A3BFD1" w14:textId="1FCB8A40" w:rsidR="00BC69CC" w:rsidRPr="00020C8F" w:rsidRDefault="00F70AB1" w:rsidP="00F70AB1">
      <w:pPr>
        <w:pStyle w:val="ListParagraph"/>
        <w:numPr>
          <w:ilvl w:val="0"/>
          <w:numId w:val="3"/>
        </w:num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Any collection is targeted</w:t>
      </w:r>
      <w:r w:rsidR="00AE6636" w:rsidRPr="00020C8F">
        <w:rPr>
          <w:rFonts w:asciiTheme="minorHAnsi" w:hAnsiTheme="minorHAnsi" w:cstheme="minorHAnsi"/>
          <w:sz w:val="24"/>
          <w:szCs w:val="24"/>
        </w:rPr>
        <w:t xml:space="preserve"> to the solicitation of information</w:t>
      </w:r>
      <w:r w:rsidRPr="00020C8F">
        <w:rPr>
          <w:rFonts w:asciiTheme="minorHAnsi" w:hAnsiTheme="minorHAnsi" w:cstheme="minorHAnsi"/>
          <w:sz w:val="24"/>
          <w:szCs w:val="24"/>
        </w:rPr>
        <w:t xml:space="preserve"> from respondents who will be subject to the legislation in the near future</w:t>
      </w:r>
      <w:r w:rsidR="008E5237">
        <w:rPr>
          <w:rFonts w:asciiTheme="minorHAnsi" w:hAnsiTheme="minorHAnsi" w:cstheme="minorHAnsi"/>
          <w:sz w:val="24"/>
          <w:szCs w:val="24"/>
        </w:rPr>
        <w:t>.</w:t>
      </w:r>
      <w:r w:rsidRPr="00020C8F">
        <w:rPr>
          <w:rFonts w:asciiTheme="minorHAnsi" w:hAnsiTheme="minorHAnsi" w:cstheme="minorHAnsi"/>
          <w:sz w:val="24"/>
          <w:szCs w:val="24"/>
        </w:rPr>
        <w:t xml:space="preserve"> </w:t>
      </w:r>
    </w:p>
    <w:p w14:paraId="163F8356" w14:textId="77777777" w:rsidR="00F70AB1" w:rsidRPr="00020C8F" w:rsidRDefault="00F70AB1" w:rsidP="00F70AB1">
      <w:pPr>
        <w:spacing w:after="0" w:line="240" w:lineRule="auto"/>
        <w:rPr>
          <w:rFonts w:asciiTheme="minorHAnsi" w:hAnsiTheme="minorHAnsi" w:cstheme="minorHAnsi"/>
          <w:sz w:val="24"/>
          <w:szCs w:val="24"/>
        </w:rPr>
      </w:pPr>
    </w:p>
    <w:p w14:paraId="1D9E3224" w14:textId="11C5B9AF" w:rsidR="00F70AB1" w:rsidRPr="00020C8F" w:rsidRDefault="00F70AB1" w:rsidP="00F70AB1">
      <w:p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To obtain approval for a collection that meets the conditions of this generic clearance, a standardized form</w:t>
      </w:r>
      <w:r w:rsidR="00522072" w:rsidRPr="00020C8F">
        <w:rPr>
          <w:rFonts w:asciiTheme="minorHAnsi" w:hAnsiTheme="minorHAnsi" w:cstheme="minorHAnsi"/>
          <w:sz w:val="24"/>
          <w:szCs w:val="24"/>
        </w:rPr>
        <w:t xml:space="preserve"> (i.e. survey form</w:t>
      </w:r>
      <w:r w:rsidR="00646261" w:rsidRPr="00020C8F">
        <w:rPr>
          <w:rFonts w:asciiTheme="minorHAnsi" w:hAnsiTheme="minorHAnsi" w:cstheme="minorHAnsi"/>
          <w:sz w:val="24"/>
          <w:szCs w:val="24"/>
        </w:rPr>
        <w:t xml:space="preserve">, </w:t>
      </w:r>
      <w:r w:rsidR="004B6B53">
        <w:rPr>
          <w:rFonts w:asciiTheme="minorHAnsi" w:hAnsiTheme="minorHAnsi" w:cstheme="minorHAnsi"/>
          <w:sz w:val="24"/>
          <w:szCs w:val="24"/>
        </w:rPr>
        <w:t>f</w:t>
      </w:r>
      <w:r w:rsidR="00646261" w:rsidRPr="00020C8F">
        <w:rPr>
          <w:rFonts w:asciiTheme="minorHAnsi" w:hAnsiTheme="minorHAnsi" w:cstheme="minorHAnsi"/>
          <w:sz w:val="24"/>
          <w:szCs w:val="24"/>
        </w:rPr>
        <w:t xml:space="preserve">ocus </w:t>
      </w:r>
      <w:r w:rsidR="004B6B53">
        <w:rPr>
          <w:rFonts w:asciiTheme="minorHAnsi" w:hAnsiTheme="minorHAnsi" w:cstheme="minorHAnsi"/>
          <w:sz w:val="24"/>
          <w:szCs w:val="24"/>
        </w:rPr>
        <w:t>g</w:t>
      </w:r>
      <w:r w:rsidR="00646261" w:rsidRPr="00020C8F">
        <w:rPr>
          <w:rFonts w:asciiTheme="minorHAnsi" w:hAnsiTheme="minorHAnsi" w:cstheme="minorHAnsi"/>
          <w:sz w:val="24"/>
          <w:szCs w:val="24"/>
        </w:rPr>
        <w:t>roup</w:t>
      </w:r>
      <w:r w:rsidR="00522072" w:rsidRPr="00020C8F">
        <w:rPr>
          <w:rFonts w:asciiTheme="minorHAnsi" w:hAnsiTheme="minorHAnsi" w:cstheme="minorHAnsi"/>
          <w:sz w:val="24"/>
          <w:szCs w:val="24"/>
        </w:rPr>
        <w:t>)</w:t>
      </w:r>
      <w:r w:rsidRPr="00020C8F">
        <w:rPr>
          <w:rFonts w:asciiTheme="minorHAnsi" w:hAnsiTheme="minorHAnsi" w:cstheme="minorHAnsi"/>
          <w:sz w:val="24"/>
          <w:szCs w:val="24"/>
        </w:rPr>
        <w:t xml:space="preserve"> will be submitted to OMB along with </w:t>
      </w:r>
      <w:r w:rsidR="00F6753C" w:rsidRPr="00020C8F">
        <w:rPr>
          <w:rFonts w:asciiTheme="minorHAnsi" w:hAnsiTheme="minorHAnsi" w:cstheme="minorHAnsi"/>
          <w:sz w:val="24"/>
          <w:szCs w:val="24"/>
        </w:rPr>
        <w:t xml:space="preserve">any applicable </w:t>
      </w:r>
      <w:r w:rsidRPr="00020C8F">
        <w:rPr>
          <w:rFonts w:asciiTheme="minorHAnsi" w:hAnsiTheme="minorHAnsi" w:cstheme="minorHAnsi"/>
          <w:sz w:val="24"/>
          <w:szCs w:val="24"/>
        </w:rPr>
        <w:t xml:space="preserve">supporting documentation. </w:t>
      </w:r>
    </w:p>
    <w:p w14:paraId="58F655E2" w14:textId="77777777" w:rsidR="00F70AB1" w:rsidRPr="00020C8F" w:rsidRDefault="00F70AB1" w:rsidP="00F70AB1">
      <w:pPr>
        <w:spacing w:after="0" w:line="240" w:lineRule="auto"/>
        <w:rPr>
          <w:rFonts w:asciiTheme="minorHAnsi" w:hAnsiTheme="minorHAnsi" w:cstheme="minorHAnsi"/>
          <w:sz w:val="24"/>
          <w:szCs w:val="24"/>
        </w:rPr>
      </w:pPr>
    </w:p>
    <w:p w14:paraId="7D49B1E3" w14:textId="77777777" w:rsidR="00F70AB1" w:rsidRPr="00020C8F" w:rsidRDefault="00F70AB1" w:rsidP="00F70AB1">
      <w:pPr>
        <w:rPr>
          <w:rFonts w:asciiTheme="minorHAnsi" w:hAnsiTheme="minorHAnsi" w:cstheme="minorHAnsi"/>
          <w:sz w:val="24"/>
          <w:szCs w:val="24"/>
        </w:rPr>
      </w:pPr>
      <w:r w:rsidRPr="00020C8F">
        <w:rPr>
          <w:rFonts w:asciiTheme="minorHAnsi" w:hAnsiTheme="minorHAnsi" w:cstheme="minorHAnsi"/>
          <w:sz w:val="24"/>
          <w:szCs w:val="24"/>
        </w:rPr>
        <w:t>The types of collections that this generic clearance covers include, but are not limited to:</w:t>
      </w:r>
    </w:p>
    <w:p w14:paraId="0F3A5C29" w14:textId="7923DCC1" w:rsidR="00F70AB1" w:rsidRPr="00020C8F" w:rsidRDefault="00F70AB1" w:rsidP="00F70AB1">
      <w:pPr>
        <w:pStyle w:val="ListParagraph"/>
        <w:numPr>
          <w:ilvl w:val="0"/>
          <w:numId w:val="5"/>
        </w:numPr>
        <w:rPr>
          <w:rFonts w:asciiTheme="minorHAnsi" w:hAnsiTheme="minorHAnsi" w:cstheme="minorHAnsi"/>
          <w:sz w:val="24"/>
          <w:szCs w:val="24"/>
        </w:rPr>
      </w:pPr>
      <w:r w:rsidRPr="00020C8F">
        <w:rPr>
          <w:rFonts w:asciiTheme="minorHAnsi" w:hAnsiTheme="minorHAnsi" w:cstheme="minorHAnsi"/>
          <w:sz w:val="24"/>
          <w:szCs w:val="24"/>
        </w:rPr>
        <w:t>Surveys</w:t>
      </w:r>
      <w:r w:rsidR="008E5237">
        <w:rPr>
          <w:rFonts w:asciiTheme="minorHAnsi" w:hAnsiTheme="minorHAnsi" w:cstheme="minorHAnsi"/>
          <w:sz w:val="24"/>
          <w:szCs w:val="24"/>
        </w:rPr>
        <w:t>,</w:t>
      </w:r>
    </w:p>
    <w:p w14:paraId="135678B7" w14:textId="6FD8C91A" w:rsidR="00032B78" w:rsidRPr="00020C8F" w:rsidRDefault="0042445A" w:rsidP="00F70AB1">
      <w:pPr>
        <w:pStyle w:val="ListParagraph"/>
        <w:numPr>
          <w:ilvl w:val="0"/>
          <w:numId w:val="5"/>
        </w:numPr>
        <w:rPr>
          <w:rFonts w:asciiTheme="minorHAnsi" w:hAnsiTheme="minorHAnsi" w:cstheme="minorHAnsi"/>
          <w:sz w:val="24"/>
          <w:szCs w:val="24"/>
        </w:rPr>
      </w:pPr>
      <w:r w:rsidRPr="00020C8F">
        <w:rPr>
          <w:rFonts w:asciiTheme="minorHAnsi" w:hAnsiTheme="minorHAnsi" w:cstheme="minorHAnsi"/>
          <w:sz w:val="24"/>
          <w:szCs w:val="24"/>
        </w:rPr>
        <w:lastRenderedPageBreak/>
        <w:t>Focus Group</w:t>
      </w:r>
      <w:r w:rsidR="00C038D2">
        <w:rPr>
          <w:rFonts w:asciiTheme="minorHAnsi" w:hAnsiTheme="minorHAnsi" w:cstheme="minorHAnsi"/>
          <w:sz w:val="24"/>
          <w:szCs w:val="24"/>
        </w:rPr>
        <w:t>s</w:t>
      </w:r>
      <w:r w:rsidR="008E5237">
        <w:rPr>
          <w:rFonts w:asciiTheme="minorHAnsi" w:hAnsiTheme="minorHAnsi" w:cstheme="minorHAnsi"/>
          <w:sz w:val="24"/>
          <w:szCs w:val="24"/>
        </w:rPr>
        <w:t>,</w:t>
      </w:r>
    </w:p>
    <w:p w14:paraId="6D03B3B2" w14:textId="589A8821" w:rsidR="00F70AB1" w:rsidRPr="00020C8F" w:rsidRDefault="00F70AB1" w:rsidP="00F70AB1">
      <w:pPr>
        <w:pStyle w:val="ListParagraph"/>
        <w:numPr>
          <w:ilvl w:val="0"/>
          <w:numId w:val="5"/>
        </w:numPr>
        <w:rPr>
          <w:rFonts w:asciiTheme="minorHAnsi" w:hAnsiTheme="minorHAnsi" w:cstheme="minorHAnsi"/>
          <w:sz w:val="24"/>
          <w:szCs w:val="24"/>
        </w:rPr>
      </w:pPr>
      <w:r w:rsidRPr="00020C8F">
        <w:rPr>
          <w:rFonts w:asciiTheme="minorHAnsi" w:hAnsiTheme="minorHAnsi" w:cstheme="minorHAnsi"/>
          <w:sz w:val="24"/>
          <w:szCs w:val="24"/>
        </w:rPr>
        <w:t>Other qualitative methods such as</w:t>
      </w:r>
      <w:r w:rsidR="00032B78" w:rsidRPr="00020C8F">
        <w:rPr>
          <w:rFonts w:asciiTheme="minorHAnsi" w:hAnsiTheme="minorHAnsi" w:cstheme="minorHAnsi"/>
          <w:sz w:val="24"/>
          <w:szCs w:val="24"/>
        </w:rPr>
        <w:t xml:space="preserve"> </w:t>
      </w:r>
      <w:r w:rsidR="008E11BC">
        <w:rPr>
          <w:rFonts w:asciiTheme="minorHAnsi" w:hAnsiTheme="minorHAnsi" w:cstheme="minorHAnsi"/>
          <w:sz w:val="24"/>
          <w:szCs w:val="24"/>
        </w:rPr>
        <w:t>interviews</w:t>
      </w:r>
      <w:r w:rsidRPr="00020C8F">
        <w:rPr>
          <w:rFonts w:asciiTheme="minorHAnsi" w:hAnsiTheme="minorHAnsi" w:cstheme="minorHAnsi"/>
          <w:sz w:val="24"/>
          <w:szCs w:val="24"/>
        </w:rPr>
        <w:t xml:space="preserve">, </w:t>
      </w:r>
      <w:r w:rsidR="00032B78" w:rsidRPr="00020C8F">
        <w:rPr>
          <w:rFonts w:asciiTheme="minorHAnsi" w:hAnsiTheme="minorHAnsi" w:cstheme="minorHAnsi"/>
          <w:sz w:val="24"/>
          <w:szCs w:val="24"/>
        </w:rPr>
        <w:t xml:space="preserve">small discussion groups, </w:t>
      </w:r>
      <w:r w:rsidRPr="00020C8F">
        <w:rPr>
          <w:rFonts w:asciiTheme="minorHAnsi" w:hAnsiTheme="minorHAnsi" w:cstheme="minorHAnsi"/>
          <w:sz w:val="24"/>
          <w:szCs w:val="24"/>
        </w:rPr>
        <w:t>and case studies</w:t>
      </w:r>
      <w:r w:rsidR="008E5237">
        <w:rPr>
          <w:rFonts w:asciiTheme="minorHAnsi" w:hAnsiTheme="minorHAnsi" w:cstheme="minorHAnsi"/>
          <w:sz w:val="24"/>
          <w:szCs w:val="24"/>
        </w:rPr>
        <w:t>.</w:t>
      </w:r>
    </w:p>
    <w:p w14:paraId="618D4ABF" w14:textId="77777777" w:rsidR="00F02E24" w:rsidRPr="00020C8F" w:rsidRDefault="00F02E24" w:rsidP="00F02E24">
      <w:pPr>
        <w:pStyle w:val="ListParagraph"/>
        <w:rPr>
          <w:rFonts w:asciiTheme="minorHAnsi" w:hAnsiTheme="minorHAnsi" w:cstheme="minorHAnsi"/>
          <w:sz w:val="24"/>
          <w:szCs w:val="24"/>
        </w:rPr>
      </w:pPr>
    </w:p>
    <w:p w14:paraId="42BCB45E" w14:textId="77777777" w:rsidR="00F70AB1" w:rsidRPr="00020C8F" w:rsidRDefault="00F70AB1" w:rsidP="00F70AB1">
      <w:pPr>
        <w:pStyle w:val="ListParagraph"/>
        <w:numPr>
          <w:ilvl w:val="0"/>
          <w:numId w:val="2"/>
        </w:numPr>
        <w:spacing w:after="0" w:line="240" w:lineRule="auto"/>
        <w:ind w:left="0"/>
        <w:rPr>
          <w:rFonts w:asciiTheme="minorHAnsi" w:hAnsiTheme="minorHAnsi" w:cstheme="minorHAnsi"/>
          <w:b/>
          <w:sz w:val="24"/>
          <w:szCs w:val="24"/>
        </w:rPr>
      </w:pPr>
      <w:r w:rsidRPr="00020C8F">
        <w:rPr>
          <w:rFonts w:asciiTheme="minorHAnsi" w:hAnsiTheme="minorHAnsi" w:cstheme="minorHAnsi"/>
          <w:b/>
          <w:sz w:val="24"/>
          <w:szCs w:val="24"/>
        </w:rPr>
        <w:t>Consideration Given to Information Technology</w:t>
      </w:r>
    </w:p>
    <w:p w14:paraId="5C604706" w14:textId="77777777" w:rsidR="00F70AB1" w:rsidRPr="00020C8F" w:rsidRDefault="00F70AB1" w:rsidP="00F70AB1">
      <w:pPr>
        <w:spacing w:after="0" w:line="240" w:lineRule="auto"/>
        <w:rPr>
          <w:rFonts w:asciiTheme="minorHAnsi" w:hAnsiTheme="minorHAnsi" w:cstheme="minorHAnsi"/>
          <w:sz w:val="24"/>
          <w:szCs w:val="24"/>
        </w:rPr>
      </w:pPr>
    </w:p>
    <w:p w14:paraId="749198F4" w14:textId="7D61468D" w:rsidR="00F70AB1" w:rsidRPr="00020C8F" w:rsidRDefault="00F70AB1" w:rsidP="00F70AB1">
      <w:p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 xml:space="preserve">In an effort to reduce </w:t>
      </w:r>
      <w:r w:rsidR="00506296" w:rsidRPr="00020C8F">
        <w:rPr>
          <w:rFonts w:asciiTheme="minorHAnsi" w:hAnsiTheme="minorHAnsi" w:cstheme="minorHAnsi"/>
          <w:sz w:val="24"/>
          <w:szCs w:val="24"/>
        </w:rPr>
        <w:t xml:space="preserve">recipient </w:t>
      </w:r>
      <w:r w:rsidRPr="00020C8F">
        <w:rPr>
          <w:rFonts w:asciiTheme="minorHAnsi" w:hAnsiTheme="minorHAnsi" w:cstheme="minorHAnsi"/>
          <w:sz w:val="24"/>
          <w:szCs w:val="24"/>
        </w:rPr>
        <w:t xml:space="preserve">burden, </w:t>
      </w:r>
      <w:r w:rsidR="00F050A8" w:rsidRPr="00020C8F">
        <w:rPr>
          <w:rFonts w:asciiTheme="minorHAnsi" w:hAnsiTheme="minorHAnsi" w:cstheme="minorHAnsi"/>
          <w:sz w:val="24"/>
          <w:szCs w:val="24"/>
        </w:rPr>
        <w:t xml:space="preserve">participant correspondence and data collection will be </w:t>
      </w:r>
      <w:r w:rsidR="00F405E7" w:rsidRPr="00020C8F">
        <w:rPr>
          <w:rFonts w:asciiTheme="minorHAnsi" w:hAnsiTheme="minorHAnsi" w:cstheme="minorHAnsi"/>
          <w:sz w:val="24"/>
          <w:szCs w:val="24"/>
        </w:rPr>
        <w:t>electronic</w:t>
      </w:r>
      <w:r w:rsidR="00F050A8" w:rsidRPr="00020C8F">
        <w:rPr>
          <w:rFonts w:asciiTheme="minorHAnsi" w:hAnsiTheme="minorHAnsi" w:cstheme="minorHAnsi"/>
          <w:sz w:val="24"/>
          <w:szCs w:val="24"/>
        </w:rPr>
        <w:t>, via email or knowledge sharing tools such as Microsoft SharePoint</w:t>
      </w:r>
      <w:r w:rsidRPr="00020C8F">
        <w:rPr>
          <w:rFonts w:asciiTheme="minorHAnsi" w:hAnsiTheme="minorHAnsi" w:cstheme="minorHAnsi"/>
          <w:sz w:val="24"/>
          <w:szCs w:val="24"/>
        </w:rPr>
        <w:t xml:space="preserve">. </w:t>
      </w:r>
      <w:r w:rsidR="00F050A8" w:rsidRPr="00020C8F">
        <w:rPr>
          <w:rFonts w:asciiTheme="minorHAnsi" w:hAnsiTheme="minorHAnsi" w:cstheme="minorHAnsi"/>
          <w:sz w:val="24"/>
          <w:szCs w:val="24"/>
        </w:rPr>
        <w:t xml:space="preserve">To the extent possible, approved HHS survey tools will be utilized to streamline data collection and analysis efforts. </w:t>
      </w:r>
    </w:p>
    <w:p w14:paraId="0832206B" w14:textId="77777777" w:rsidR="00F70AB1" w:rsidRPr="00020C8F" w:rsidRDefault="00F70AB1" w:rsidP="00F70AB1">
      <w:pPr>
        <w:spacing w:after="0" w:line="240" w:lineRule="auto"/>
        <w:rPr>
          <w:rFonts w:asciiTheme="minorHAnsi" w:hAnsiTheme="minorHAnsi" w:cstheme="minorHAnsi"/>
          <w:sz w:val="24"/>
          <w:szCs w:val="24"/>
        </w:rPr>
      </w:pPr>
    </w:p>
    <w:p w14:paraId="06124B6B" w14:textId="77777777" w:rsidR="00F70AB1" w:rsidRPr="00020C8F" w:rsidRDefault="00F70AB1" w:rsidP="00F70AB1">
      <w:pPr>
        <w:pStyle w:val="ListParagraph"/>
        <w:numPr>
          <w:ilvl w:val="0"/>
          <w:numId w:val="2"/>
        </w:numPr>
        <w:spacing w:after="0" w:line="240" w:lineRule="auto"/>
        <w:ind w:left="0"/>
        <w:rPr>
          <w:rFonts w:asciiTheme="minorHAnsi" w:hAnsiTheme="minorHAnsi" w:cstheme="minorHAnsi"/>
          <w:b/>
          <w:sz w:val="24"/>
          <w:szCs w:val="24"/>
        </w:rPr>
      </w:pPr>
      <w:r w:rsidRPr="00020C8F">
        <w:rPr>
          <w:rFonts w:asciiTheme="minorHAnsi" w:hAnsiTheme="minorHAnsi" w:cstheme="minorHAnsi"/>
          <w:b/>
          <w:sz w:val="24"/>
          <w:szCs w:val="24"/>
        </w:rPr>
        <w:t xml:space="preserve"> Duplication of Information</w:t>
      </w:r>
    </w:p>
    <w:p w14:paraId="06E3F13C" w14:textId="77777777" w:rsidR="00F70AB1" w:rsidRPr="00020C8F" w:rsidRDefault="00F70AB1" w:rsidP="00F70AB1">
      <w:pPr>
        <w:spacing w:after="0" w:line="240" w:lineRule="auto"/>
        <w:rPr>
          <w:rFonts w:asciiTheme="minorHAnsi" w:hAnsiTheme="minorHAnsi" w:cstheme="minorHAnsi"/>
          <w:sz w:val="24"/>
          <w:szCs w:val="24"/>
        </w:rPr>
      </w:pPr>
    </w:p>
    <w:p w14:paraId="71AA4876" w14:textId="1F668BB6" w:rsidR="00F70AB1" w:rsidRPr="00020C8F" w:rsidRDefault="00F70AB1" w:rsidP="00F70AB1">
      <w:p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 xml:space="preserve">No similar data has been gathered </w:t>
      </w:r>
      <w:r w:rsidR="00922FB5" w:rsidRPr="00020C8F">
        <w:rPr>
          <w:rFonts w:asciiTheme="minorHAnsi" w:hAnsiTheme="minorHAnsi" w:cstheme="minorHAnsi"/>
          <w:sz w:val="24"/>
          <w:szCs w:val="24"/>
        </w:rPr>
        <w:t>n</w:t>
      </w:r>
      <w:r w:rsidRPr="00020C8F">
        <w:rPr>
          <w:rFonts w:asciiTheme="minorHAnsi" w:hAnsiTheme="minorHAnsi" w:cstheme="minorHAnsi"/>
          <w:sz w:val="24"/>
          <w:szCs w:val="24"/>
        </w:rPr>
        <w:t xml:space="preserve">or is being gathered from other sources known to the Agency.  </w:t>
      </w:r>
      <w:r w:rsidR="00922FB5" w:rsidRPr="00020C8F">
        <w:rPr>
          <w:rFonts w:asciiTheme="minorHAnsi" w:hAnsiTheme="minorHAnsi" w:cstheme="minorHAnsi"/>
          <w:sz w:val="24"/>
          <w:szCs w:val="24"/>
        </w:rPr>
        <w:t xml:space="preserve">Since the DATA Act is new legislation and OMB designated HHS to execute the Section 5 </w:t>
      </w:r>
      <w:r w:rsidR="00646261" w:rsidRPr="00020C8F">
        <w:rPr>
          <w:rFonts w:asciiTheme="minorHAnsi" w:hAnsiTheme="minorHAnsi" w:cstheme="minorHAnsi"/>
          <w:sz w:val="24"/>
          <w:szCs w:val="24"/>
        </w:rPr>
        <w:t>p</w:t>
      </w:r>
      <w:r w:rsidR="00922FB5" w:rsidRPr="00020C8F">
        <w:rPr>
          <w:rFonts w:asciiTheme="minorHAnsi" w:hAnsiTheme="minorHAnsi" w:cstheme="minorHAnsi"/>
          <w:sz w:val="24"/>
          <w:szCs w:val="24"/>
        </w:rPr>
        <w:t xml:space="preserve">ilot, no other Agency </w:t>
      </w:r>
      <w:r w:rsidR="00F6753C" w:rsidRPr="00020C8F">
        <w:rPr>
          <w:rFonts w:asciiTheme="minorHAnsi" w:hAnsiTheme="minorHAnsi" w:cstheme="minorHAnsi"/>
          <w:sz w:val="24"/>
          <w:szCs w:val="24"/>
        </w:rPr>
        <w:t xml:space="preserve">should </w:t>
      </w:r>
      <w:r w:rsidR="00F405E7" w:rsidRPr="00020C8F">
        <w:rPr>
          <w:rFonts w:asciiTheme="minorHAnsi" w:hAnsiTheme="minorHAnsi" w:cstheme="minorHAnsi"/>
          <w:sz w:val="24"/>
          <w:szCs w:val="24"/>
        </w:rPr>
        <w:t>be conducting similar collection efforts</w:t>
      </w:r>
      <w:r w:rsidR="00922FB5" w:rsidRPr="00020C8F">
        <w:rPr>
          <w:rFonts w:asciiTheme="minorHAnsi" w:hAnsiTheme="minorHAnsi" w:cstheme="minorHAnsi"/>
          <w:sz w:val="24"/>
          <w:szCs w:val="24"/>
        </w:rPr>
        <w:t xml:space="preserve">.  Under the </w:t>
      </w:r>
      <w:r w:rsidR="00646261" w:rsidRPr="00020C8F">
        <w:rPr>
          <w:rFonts w:asciiTheme="minorHAnsi" w:hAnsiTheme="minorHAnsi" w:cstheme="minorHAnsi"/>
          <w:sz w:val="24"/>
          <w:szCs w:val="24"/>
        </w:rPr>
        <w:t>p</w:t>
      </w:r>
      <w:r w:rsidR="00922FB5" w:rsidRPr="00020C8F">
        <w:rPr>
          <w:rFonts w:asciiTheme="minorHAnsi" w:hAnsiTheme="minorHAnsi" w:cstheme="minorHAnsi"/>
          <w:sz w:val="24"/>
          <w:szCs w:val="24"/>
        </w:rPr>
        <w:t xml:space="preserve">ilot </w:t>
      </w:r>
      <w:r w:rsidR="00646261" w:rsidRPr="00020C8F">
        <w:rPr>
          <w:rFonts w:asciiTheme="minorHAnsi" w:hAnsiTheme="minorHAnsi" w:cstheme="minorHAnsi"/>
          <w:sz w:val="24"/>
          <w:szCs w:val="24"/>
        </w:rPr>
        <w:t>p</w:t>
      </w:r>
      <w:r w:rsidR="00922FB5" w:rsidRPr="00020C8F">
        <w:rPr>
          <w:rFonts w:asciiTheme="minorHAnsi" w:hAnsiTheme="minorHAnsi" w:cstheme="minorHAnsi"/>
          <w:sz w:val="24"/>
          <w:szCs w:val="24"/>
        </w:rPr>
        <w:t xml:space="preserve">rogram, the test </w:t>
      </w:r>
      <w:r w:rsidR="003364FE" w:rsidRPr="00020C8F">
        <w:rPr>
          <w:rFonts w:asciiTheme="minorHAnsi" w:hAnsiTheme="minorHAnsi" w:cstheme="minorHAnsi"/>
          <w:sz w:val="24"/>
          <w:szCs w:val="24"/>
        </w:rPr>
        <w:t>model</w:t>
      </w:r>
      <w:r w:rsidR="00922FB5" w:rsidRPr="00020C8F">
        <w:rPr>
          <w:rFonts w:asciiTheme="minorHAnsi" w:hAnsiTheme="minorHAnsi" w:cstheme="minorHAnsi"/>
          <w:sz w:val="24"/>
          <w:szCs w:val="24"/>
        </w:rPr>
        <w:t>s are</w:t>
      </w:r>
      <w:r w:rsidRPr="00020C8F">
        <w:rPr>
          <w:rFonts w:asciiTheme="minorHAnsi" w:hAnsiTheme="minorHAnsi" w:cstheme="minorHAnsi"/>
          <w:sz w:val="24"/>
          <w:szCs w:val="24"/>
        </w:rPr>
        <w:t xml:space="preserve"> new t</w:t>
      </w:r>
      <w:r w:rsidR="00922FB5" w:rsidRPr="00020C8F">
        <w:rPr>
          <w:rFonts w:asciiTheme="minorHAnsi" w:hAnsiTheme="minorHAnsi" w:cstheme="minorHAnsi"/>
          <w:sz w:val="24"/>
          <w:szCs w:val="24"/>
        </w:rPr>
        <w:t xml:space="preserve">o the public and data collected under these </w:t>
      </w:r>
      <w:r w:rsidR="00F6753C" w:rsidRPr="00020C8F">
        <w:rPr>
          <w:rFonts w:asciiTheme="minorHAnsi" w:hAnsiTheme="minorHAnsi" w:cstheme="minorHAnsi"/>
          <w:sz w:val="24"/>
          <w:szCs w:val="24"/>
        </w:rPr>
        <w:t>models</w:t>
      </w:r>
      <w:r w:rsidR="00922FB5" w:rsidRPr="00020C8F">
        <w:rPr>
          <w:rFonts w:asciiTheme="minorHAnsi" w:hAnsiTheme="minorHAnsi" w:cstheme="minorHAnsi"/>
          <w:sz w:val="24"/>
          <w:szCs w:val="24"/>
        </w:rPr>
        <w:t xml:space="preserve"> will not create a duplication of already existing data.  </w:t>
      </w:r>
    </w:p>
    <w:p w14:paraId="2E1B611E" w14:textId="77777777" w:rsidR="00F70AB1" w:rsidRPr="00020C8F" w:rsidRDefault="00F70AB1" w:rsidP="00F70AB1">
      <w:pPr>
        <w:spacing w:after="0" w:line="240" w:lineRule="auto"/>
        <w:rPr>
          <w:rFonts w:asciiTheme="minorHAnsi" w:hAnsiTheme="minorHAnsi" w:cstheme="minorHAnsi"/>
          <w:sz w:val="24"/>
          <w:szCs w:val="24"/>
        </w:rPr>
      </w:pPr>
    </w:p>
    <w:p w14:paraId="6B697E48" w14:textId="77777777" w:rsidR="00F70AB1" w:rsidRPr="00020C8F" w:rsidRDefault="00F70AB1" w:rsidP="00F70AB1">
      <w:pPr>
        <w:pStyle w:val="ListParagraph"/>
        <w:numPr>
          <w:ilvl w:val="0"/>
          <w:numId w:val="2"/>
        </w:numPr>
        <w:spacing w:after="0" w:line="240" w:lineRule="auto"/>
        <w:ind w:left="0"/>
        <w:rPr>
          <w:rFonts w:asciiTheme="minorHAnsi" w:hAnsiTheme="minorHAnsi" w:cstheme="minorHAnsi"/>
          <w:b/>
          <w:sz w:val="24"/>
          <w:szCs w:val="24"/>
        </w:rPr>
      </w:pPr>
      <w:r w:rsidRPr="00020C8F">
        <w:rPr>
          <w:rFonts w:asciiTheme="minorHAnsi" w:hAnsiTheme="minorHAnsi" w:cstheme="minorHAnsi"/>
          <w:b/>
          <w:sz w:val="24"/>
          <w:szCs w:val="24"/>
        </w:rPr>
        <w:t xml:space="preserve"> Reducing the Burden on Small Entities</w:t>
      </w:r>
    </w:p>
    <w:p w14:paraId="491E8DD0" w14:textId="77777777" w:rsidR="00F70AB1" w:rsidRPr="00020C8F" w:rsidRDefault="00F70AB1" w:rsidP="00F70AB1">
      <w:pPr>
        <w:pStyle w:val="ListParagraph"/>
        <w:spacing w:after="0" w:line="240" w:lineRule="auto"/>
        <w:ind w:left="0"/>
        <w:rPr>
          <w:rFonts w:asciiTheme="minorHAnsi" w:hAnsiTheme="minorHAnsi" w:cstheme="minorHAnsi"/>
          <w:b/>
          <w:sz w:val="24"/>
          <w:szCs w:val="24"/>
        </w:rPr>
      </w:pPr>
    </w:p>
    <w:p w14:paraId="6E85B064" w14:textId="72A9FD91" w:rsidR="00F70AB1" w:rsidRPr="00020C8F" w:rsidRDefault="00F70AB1" w:rsidP="00F70AB1">
      <w:p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Although all organizations receiving Federal funds</w:t>
      </w:r>
      <w:r w:rsidR="00C64904" w:rsidRPr="00020C8F">
        <w:rPr>
          <w:rFonts w:asciiTheme="minorHAnsi" w:hAnsiTheme="minorHAnsi" w:cstheme="minorHAnsi"/>
          <w:sz w:val="24"/>
          <w:szCs w:val="24"/>
        </w:rPr>
        <w:t xml:space="preserve"> (recipients)</w:t>
      </w:r>
      <w:r w:rsidRPr="00020C8F">
        <w:rPr>
          <w:rFonts w:asciiTheme="minorHAnsi" w:hAnsiTheme="minorHAnsi" w:cstheme="minorHAnsi"/>
          <w:sz w:val="24"/>
          <w:szCs w:val="24"/>
        </w:rPr>
        <w:t xml:space="preserve"> wil</w:t>
      </w:r>
      <w:r w:rsidR="00C64904" w:rsidRPr="00020C8F">
        <w:rPr>
          <w:rFonts w:asciiTheme="minorHAnsi" w:hAnsiTheme="minorHAnsi" w:cstheme="minorHAnsi"/>
          <w:sz w:val="24"/>
          <w:szCs w:val="24"/>
        </w:rPr>
        <w:t xml:space="preserve">l </w:t>
      </w:r>
      <w:r w:rsidR="00792FD0" w:rsidRPr="00020C8F">
        <w:rPr>
          <w:rFonts w:asciiTheme="minorHAnsi" w:hAnsiTheme="minorHAnsi" w:cstheme="minorHAnsi"/>
          <w:sz w:val="24"/>
          <w:szCs w:val="24"/>
        </w:rPr>
        <w:t>be included in the</w:t>
      </w:r>
      <w:r w:rsidR="00C64904" w:rsidRPr="00020C8F">
        <w:rPr>
          <w:rFonts w:asciiTheme="minorHAnsi" w:hAnsiTheme="minorHAnsi" w:cstheme="minorHAnsi"/>
          <w:sz w:val="24"/>
          <w:szCs w:val="24"/>
        </w:rPr>
        <w:t xml:space="preserve"> population</w:t>
      </w:r>
      <w:r w:rsidRPr="00020C8F">
        <w:rPr>
          <w:rFonts w:asciiTheme="minorHAnsi" w:hAnsiTheme="minorHAnsi" w:cstheme="minorHAnsi"/>
          <w:sz w:val="24"/>
          <w:szCs w:val="24"/>
        </w:rPr>
        <w:t xml:space="preserve">, </w:t>
      </w:r>
      <w:r w:rsidR="00C64904" w:rsidRPr="00020C8F">
        <w:rPr>
          <w:rFonts w:asciiTheme="minorHAnsi" w:hAnsiTheme="minorHAnsi" w:cstheme="minorHAnsi"/>
          <w:sz w:val="24"/>
          <w:szCs w:val="24"/>
        </w:rPr>
        <w:t xml:space="preserve">recipients </w:t>
      </w:r>
      <w:r w:rsidR="001261B3" w:rsidRPr="00020C8F">
        <w:rPr>
          <w:rFonts w:asciiTheme="minorHAnsi" w:hAnsiTheme="minorHAnsi" w:cstheme="minorHAnsi"/>
          <w:sz w:val="24"/>
          <w:szCs w:val="24"/>
        </w:rPr>
        <w:t>receiving between 1 and 2 billion dollars in f</w:t>
      </w:r>
      <w:r w:rsidR="00C64904" w:rsidRPr="00020C8F">
        <w:rPr>
          <w:rFonts w:asciiTheme="minorHAnsi" w:hAnsiTheme="minorHAnsi" w:cstheme="minorHAnsi"/>
          <w:sz w:val="24"/>
          <w:szCs w:val="24"/>
        </w:rPr>
        <w:t xml:space="preserve">ederal funds will be </w:t>
      </w:r>
      <w:r w:rsidR="00792FD0" w:rsidRPr="00020C8F">
        <w:rPr>
          <w:rFonts w:asciiTheme="minorHAnsi" w:hAnsiTheme="minorHAnsi" w:cstheme="minorHAnsi"/>
          <w:sz w:val="24"/>
          <w:szCs w:val="24"/>
        </w:rPr>
        <w:t>the primary focus of data collection efforts. The pilot is voluntary and small entities with limited resources will not be require</w:t>
      </w:r>
      <w:r w:rsidR="00F6753C" w:rsidRPr="00020C8F">
        <w:rPr>
          <w:rFonts w:asciiTheme="minorHAnsi" w:hAnsiTheme="minorHAnsi" w:cstheme="minorHAnsi"/>
          <w:sz w:val="24"/>
          <w:szCs w:val="24"/>
        </w:rPr>
        <w:t>d</w:t>
      </w:r>
      <w:r w:rsidR="00792FD0" w:rsidRPr="00020C8F">
        <w:rPr>
          <w:rFonts w:asciiTheme="minorHAnsi" w:hAnsiTheme="minorHAnsi" w:cstheme="minorHAnsi"/>
          <w:sz w:val="24"/>
          <w:szCs w:val="24"/>
        </w:rPr>
        <w:t xml:space="preserve"> to participate. </w:t>
      </w:r>
    </w:p>
    <w:p w14:paraId="19CCE377" w14:textId="77777777" w:rsidR="00F70AB1" w:rsidRPr="00020C8F" w:rsidRDefault="00F70AB1" w:rsidP="00F70AB1">
      <w:pPr>
        <w:spacing w:after="0" w:line="240" w:lineRule="auto"/>
        <w:rPr>
          <w:rFonts w:asciiTheme="minorHAnsi" w:hAnsiTheme="minorHAnsi" w:cstheme="minorHAnsi"/>
          <w:sz w:val="24"/>
          <w:szCs w:val="24"/>
        </w:rPr>
      </w:pPr>
    </w:p>
    <w:p w14:paraId="643F1EE0" w14:textId="77777777" w:rsidR="00F70AB1" w:rsidRPr="00020C8F" w:rsidRDefault="00F70AB1" w:rsidP="00F70AB1">
      <w:pPr>
        <w:pStyle w:val="ListParagraph"/>
        <w:numPr>
          <w:ilvl w:val="0"/>
          <w:numId w:val="2"/>
        </w:numPr>
        <w:spacing w:after="0" w:line="240" w:lineRule="auto"/>
        <w:ind w:left="0"/>
        <w:rPr>
          <w:rFonts w:asciiTheme="minorHAnsi" w:hAnsiTheme="minorHAnsi" w:cstheme="minorHAnsi"/>
          <w:b/>
          <w:sz w:val="24"/>
          <w:szCs w:val="24"/>
        </w:rPr>
      </w:pPr>
      <w:r w:rsidRPr="00020C8F">
        <w:rPr>
          <w:rFonts w:asciiTheme="minorHAnsi" w:hAnsiTheme="minorHAnsi" w:cstheme="minorHAnsi"/>
          <w:b/>
          <w:sz w:val="24"/>
          <w:szCs w:val="24"/>
        </w:rPr>
        <w:t xml:space="preserve">Consequences of Not Conducting Collection </w:t>
      </w:r>
    </w:p>
    <w:p w14:paraId="64905EA0" w14:textId="77777777" w:rsidR="00F70AB1" w:rsidRPr="00020C8F" w:rsidRDefault="00F70AB1" w:rsidP="00F70AB1">
      <w:pPr>
        <w:pStyle w:val="ListParagraph"/>
        <w:spacing w:after="0" w:line="240" w:lineRule="auto"/>
        <w:ind w:left="0"/>
        <w:rPr>
          <w:rFonts w:asciiTheme="minorHAnsi" w:hAnsiTheme="minorHAnsi" w:cstheme="minorHAnsi"/>
          <w:b/>
          <w:sz w:val="24"/>
          <w:szCs w:val="24"/>
        </w:rPr>
      </w:pPr>
    </w:p>
    <w:p w14:paraId="1D5EF67D" w14:textId="2BCCA9E2" w:rsidR="00F70AB1" w:rsidRPr="00020C8F" w:rsidRDefault="00DB5FE4" w:rsidP="00DB5FE4">
      <w:pPr>
        <w:autoSpaceDE w:val="0"/>
        <w:autoSpaceDN w:val="0"/>
        <w:adjustRightInd w:val="0"/>
        <w:spacing w:line="240" w:lineRule="auto"/>
        <w:rPr>
          <w:rFonts w:asciiTheme="minorHAnsi" w:hAnsiTheme="minorHAnsi" w:cstheme="minorHAnsi"/>
          <w:sz w:val="24"/>
          <w:szCs w:val="24"/>
        </w:rPr>
      </w:pPr>
      <w:r w:rsidRPr="00020C8F">
        <w:rPr>
          <w:rFonts w:asciiTheme="minorHAnsi" w:hAnsiTheme="minorHAnsi" w:cstheme="minorHAnsi"/>
          <w:sz w:val="24"/>
          <w:szCs w:val="24"/>
        </w:rPr>
        <w:t>This new legislation will impact recipients</w:t>
      </w:r>
      <w:r w:rsidR="00F70AB1" w:rsidRPr="00020C8F">
        <w:rPr>
          <w:rFonts w:asciiTheme="minorHAnsi" w:hAnsiTheme="minorHAnsi" w:cstheme="minorHAnsi"/>
          <w:sz w:val="24"/>
          <w:szCs w:val="24"/>
        </w:rPr>
        <w:t>, regardle</w:t>
      </w:r>
      <w:r w:rsidRPr="00020C8F">
        <w:rPr>
          <w:rFonts w:asciiTheme="minorHAnsi" w:hAnsiTheme="minorHAnsi" w:cstheme="minorHAnsi"/>
          <w:sz w:val="24"/>
          <w:szCs w:val="24"/>
        </w:rPr>
        <w:t>ss of their size or type (</w:t>
      </w:r>
      <w:r w:rsidR="007A0D92" w:rsidRPr="00020C8F">
        <w:rPr>
          <w:rFonts w:asciiTheme="minorHAnsi" w:hAnsiTheme="minorHAnsi" w:cstheme="minorHAnsi"/>
          <w:sz w:val="24"/>
          <w:szCs w:val="24"/>
        </w:rPr>
        <w:t xml:space="preserve">e.g. </w:t>
      </w:r>
      <w:r w:rsidRPr="00020C8F">
        <w:rPr>
          <w:rFonts w:asciiTheme="minorHAnsi" w:hAnsiTheme="minorHAnsi" w:cstheme="minorHAnsi"/>
          <w:sz w:val="24"/>
          <w:szCs w:val="24"/>
        </w:rPr>
        <w:t>State, College/University, Non-Profit)</w:t>
      </w:r>
      <w:r w:rsidR="00F70AB1" w:rsidRPr="00020C8F">
        <w:rPr>
          <w:rFonts w:asciiTheme="minorHAnsi" w:hAnsiTheme="minorHAnsi" w:cstheme="minorHAnsi"/>
          <w:sz w:val="24"/>
          <w:szCs w:val="24"/>
        </w:rPr>
        <w:t xml:space="preserve">. Through this </w:t>
      </w:r>
      <w:r w:rsidRPr="00020C8F">
        <w:rPr>
          <w:rFonts w:asciiTheme="minorHAnsi" w:hAnsiTheme="minorHAnsi" w:cstheme="minorHAnsi"/>
          <w:sz w:val="24"/>
          <w:szCs w:val="24"/>
        </w:rPr>
        <w:t xml:space="preserve">generic </w:t>
      </w:r>
      <w:r w:rsidR="00F70AB1" w:rsidRPr="00020C8F">
        <w:rPr>
          <w:rFonts w:asciiTheme="minorHAnsi" w:hAnsiTheme="minorHAnsi" w:cstheme="minorHAnsi"/>
          <w:sz w:val="24"/>
          <w:szCs w:val="24"/>
        </w:rPr>
        <w:t xml:space="preserve">clearance, </w:t>
      </w:r>
      <w:r w:rsidR="009B67C3" w:rsidRPr="00020C8F">
        <w:rPr>
          <w:rFonts w:asciiTheme="minorHAnsi" w:hAnsiTheme="minorHAnsi" w:cstheme="minorHAnsi"/>
          <w:sz w:val="24"/>
          <w:szCs w:val="24"/>
        </w:rPr>
        <w:t xml:space="preserve">information </w:t>
      </w:r>
      <w:r w:rsidR="00F70AB1" w:rsidRPr="00020C8F">
        <w:rPr>
          <w:rFonts w:asciiTheme="minorHAnsi" w:hAnsiTheme="minorHAnsi" w:cstheme="minorHAnsi"/>
          <w:sz w:val="24"/>
          <w:szCs w:val="24"/>
        </w:rPr>
        <w:t xml:space="preserve">will be </w:t>
      </w:r>
      <w:r w:rsidR="009B67C3" w:rsidRPr="00020C8F">
        <w:rPr>
          <w:rFonts w:asciiTheme="minorHAnsi" w:hAnsiTheme="minorHAnsi" w:cstheme="minorHAnsi"/>
          <w:sz w:val="24"/>
          <w:szCs w:val="24"/>
        </w:rPr>
        <w:t xml:space="preserve">collected to assess the impact of data standardization tools, data transparency, </w:t>
      </w:r>
      <w:r w:rsidR="00F6753C" w:rsidRPr="00020C8F">
        <w:rPr>
          <w:rFonts w:asciiTheme="minorHAnsi" w:hAnsiTheme="minorHAnsi" w:cstheme="minorHAnsi"/>
          <w:sz w:val="24"/>
          <w:szCs w:val="24"/>
        </w:rPr>
        <w:t xml:space="preserve">streamlined reporting, </w:t>
      </w:r>
      <w:r w:rsidR="009B67C3" w:rsidRPr="00020C8F">
        <w:rPr>
          <w:rFonts w:asciiTheme="minorHAnsi" w:hAnsiTheme="minorHAnsi" w:cstheme="minorHAnsi"/>
          <w:sz w:val="24"/>
          <w:szCs w:val="24"/>
        </w:rPr>
        <w:t xml:space="preserve">and restructured forms on recipient burden. </w:t>
      </w:r>
      <w:r w:rsidR="00F70AB1" w:rsidRPr="00020C8F">
        <w:rPr>
          <w:rFonts w:asciiTheme="minorHAnsi" w:hAnsiTheme="minorHAnsi" w:cstheme="minorHAnsi"/>
          <w:sz w:val="24"/>
          <w:szCs w:val="24"/>
        </w:rPr>
        <w:t xml:space="preserve">If this project is not carried out, </w:t>
      </w:r>
      <w:r w:rsidR="009B67C3" w:rsidRPr="00020C8F">
        <w:rPr>
          <w:rFonts w:asciiTheme="minorHAnsi" w:hAnsiTheme="minorHAnsi" w:cstheme="minorHAnsi"/>
          <w:sz w:val="24"/>
          <w:szCs w:val="24"/>
        </w:rPr>
        <w:t xml:space="preserve">organized and comprehensive </w:t>
      </w:r>
      <w:r w:rsidR="00F70AB1" w:rsidRPr="00020C8F">
        <w:rPr>
          <w:rFonts w:asciiTheme="minorHAnsi" w:hAnsiTheme="minorHAnsi" w:cstheme="minorHAnsi"/>
          <w:sz w:val="24"/>
          <w:szCs w:val="24"/>
        </w:rPr>
        <w:t>feedback on the effectiveness of the</w:t>
      </w:r>
      <w:r w:rsidR="009B67C3" w:rsidRPr="00020C8F">
        <w:rPr>
          <w:rFonts w:asciiTheme="minorHAnsi" w:hAnsiTheme="minorHAnsi" w:cstheme="minorHAnsi"/>
          <w:sz w:val="24"/>
          <w:szCs w:val="24"/>
        </w:rPr>
        <w:t xml:space="preserve">se </w:t>
      </w:r>
      <w:r w:rsidR="003364FE" w:rsidRPr="00020C8F">
        <w:rPr>
          <w:rFonts w:asciiTheme="minorHAnsi" w:hAnsiTheme="minorHAnsi" w:cstheme="minorHAnsi"/>
          <w:sz w:val="24"/>
          <w:szCs w:val="24"/>
        </w:rPr>
        <w:t>model</w:t>
      </w:r>
      <w:r w:rsidR="009B67C3" w:rsidRPr="00020C8F">
        <w:rPr>
          <w:rFonts w:asciiTheme="minorHAnsi" w:hAnsiTheme="minorHAnsi" w:cstheme="minorHAnsi"/>
          <w:sz w:val="24"/>
          <w:szCs w:val="24"/>
        </w:rPr>
        <w:t>s</w:t>
      </w:r>
      <w:r w:rsidR="00F70AB1" w:rsidRPr="00020C8F">
        <w:rPr>
          <w:rFonts w:asciiTheme="minorHAnsi" w:hAnsiTheme="minorHAnsi" w:cstheme="minorHAnsi"/>
          <w:sz w:val="24"/>
          <w:szCs w:val="24"/>
        </w:rPr>
        <w:t xml:space="preserve"> will not </w:t>
      </w:r>
      <w:r w:rsidR="009B67C3" w:rsidRPr="00020C8F">
        <w:rPr>
          <w:rFonts w:asciiTheme="minorHAnsi" w:hAnsiTheme="minorHAnsi" w:cstheme="minorHAnsi"/>
          <w:sz w:val="24"/>
          <w:szCs w:val="24"/>
        </w:rPr>
        <w:t>be available</w:t>
      </w:r>
      <w:r w:rsidR="00F70AB1" w:rsidRPr="00020C8F">
        <w:rPr>
          <w:rFonts w:asciiTheme="minorHAnsi" w:hAnsiTheme="minorHAnsi" w:cstheme="minorHAnsi"/>
          <w:sz w:val="24"/>
          <w:szCs w:val="24"/>
        </w:rPr>
        <w:t xml:space="preserve">.  </w:t>
      </w:r>
    </w:p>
    <w:p w14:paraId="5F22DDF8" w14:textId="77777777" w:rsidR="00F70AB1" w:rsidRPr="00020C8F" w:rsidRDefault="00F70AB1" w:rsidP="00F70AB1">
      <w:pPr>
        <w:pStyle w:val="ListParagraph"/>
        <w:numPr>
          <w:ilvl w:val="0"/>
          <w:numId w:val="2"/>
        </w:numPr>
        <w:spacing w:after="0" w:line="240" w:lineRule="auto"/>
        <w:ind w:left="0"/>
        <w:rPr>
          <w:rFonts w:asciiTheme="minorHAnsi" w:hAnsiTheme="minorHAnsi" w:cstheme="minorHAnsi"/>
          <w:b/>
          <w:sz w:val="24"/>
          <w:szCs w:val="24"/>
        </w:rPr>
      </w:pPr>
      <w:r w:rsidRPr="00020C8F">
        <w:rPr>
          <w:rFonts w:asciiTheme="minorHAnsi" w:hAnsiTheme="minorHAnsi" w:cstheme="minorHAnsi"/>
          <w:b/>
          <w:sz w:val="24"/>
          <w:szCs w:val="24"/>
        </w:rPr>
        <w:t>Special Circumstances</w:t>
      </w:r>
    </w:p>
    <w:p w14:paraId="57AA54A6" w14:textId="77777777" w:rsidR="00F70AB1" w:rsidRPr="00020C8F" w:rsidRDefault="00F70AB1" w:rsidP="00F70AB1">
      <w:pPr>
        <w:pStyle w:val="ListParagraph"/>
        <w:spacing w:after="0" w:line="240" w:lineRule="auto"/>
        <w:ind w:left="0"/>
        <w:rPr>
          <w:rFonts w:asciiTheme="minorHAnsi" w:hAnsiTheme="minorHAnsi" w:cstheme="minorHAnsi"/>
          <w:b/>
          <w:sz w:val="24"/>
          <w:szCs w:val="24"/>
        </w:rPr>
      </w:pPr>
    </w:p>
    <w:p w14:paraId="3C7E512D" w14:textId="2A1659BF" w:rsidR="00F70AB1" w:rsidRPr="00020C8F" w:rsidRDefault="00F70AB1" w:rsidP="00F70AB1">
      <w:p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There are no special circumstances. The information collected will be voluntary</w:t>
      </w:r>
      <w:r w:rsidR="003659EF" w:rsidRPr="00020C8F">
        <w:rPr>
          <w:rFonts w:asciiTheme="minorHAnsi" w:hAnsiTheme="minorHAnsi" w:cstheme="minorHAnsi"/>
          <w:sz w:val="24"/>
          <w:szCs w:val="24"/>
        </w:rPr>
        <w:t>.</w:t>
      </w:r>
      <w:r w:rsidRPr="00020C8F">
        <w:rPr>
          <w:rFonts w:asciiTheme="minorHAnsi" w:hAnsiTheme="minorHAnsi" w:cstheme="minorHAnsi"/>
          <w:sz w:val="24"/>
          <w:szCs w:val="24"/>
        </w:rPr>
        <w:t xml:space="preserve"> </w:t>
      </w:r>
    </w:p>
    <w:p w14:paraId="094CB928" w14:textId="77777777" w:rsidR="00F70AB1" w:rsidRPr="00020C8F" w:rsidRDefault="00F70AB1" w:rsidP="00F70AB1">
      <w:pPr>
        <w:spacing w:after="0" w:line="240" w:lineRule="auto"/>
        <w:rPr>
          <w:rFonts w:asciiTheme="minorHAnsi" w:hAnsiTheme="minorHAnsi" w:cstheme="minorHAnsi"/>
          <w:sz w:val="24"/>
          <w:szCs w:val="24"/>
        </w:rPr>
      </w:pPr>
    </w:p>
    <w:p w14:paraId="5F67EDD3" w14:textId="0BDF9BAB" w:rsidR="00F70AB1" w:rsidRPr="00020C8F" w:rsidRDefault="00F70AB1" w:rsidP="00F70AB1">
      <w:pPr>
        <w:pStyle w:val="ListParagraph"/>
        <w:numPr>
          <w:ilvl w:val="0"/>
          <w:numId w:val="2"/>
        </w:numPr>
        <w:spacing w:after="0" w:line="240" w:lineRule="auto"/>
        <w:ind w:left="0"/>
        <w:rPr>
          <w:rFonts w:asciiTheme="minorHAnsi" w:hAnsiTheme="minorHAnsi" w:cstheme="minorHAnsi"/>
          <w:b/>
          <w:sz w:val="24"/>
          <w:szCs w:val="24"/>
        </w:rPr>
      </w:pPr>
      <w:r w:rsidRPr="00020C8F">
        <w:rPr>
          <w:rFonts w:asciiTheme="minorHAnsi" w:hAnsiTheme="minorHAnsi" w:cstheme="minorHAnsi"/>
          <w:b/>
          <w:sz w:val="24"/>
          <w:szCs w:val="24"/>
        </w:rPr>
        <w:t>Consultations with Persons Outside the Agency</w:t>
      </w:r>
      <w:r w:rsidR="008061EE" w:rsidRPr="00020C8F">
        <w:rPr>
          <w:rFonts w:asciiTheme="minorHAnsi" w:hAnsiTheme="minorHAnsi" w:cstheme="minorHAnsi"/>
          <w:b/>
          <w:sz w:val="24"/>
          <w:szCs w:val="24"/>
        </w:rPr>
        <w:t xml:space="preserve"> </w:t>
      </w:r>
    </w:p>
    <w:p w14:paraId="311B9DA2" w14:textId="77777777" w:rsidR="00F70AB1" w:rsidRDefault="00F70AB1" w:rsidP="00F70AB1">
      <w:pPr>
        <w:pStyle w:val="ListParagraph"/>
        <w:spacing w:after="0" w:line="240" w:lineRule="auto"/>
        <w:ind w:left="0"/>
        <w:rPr>
          <w:rFonts w:asciiTheme="minorHAnsi" w:hAnsiTheme="minorHAnsi" w:cstheme="minorHAnsi"/>
          <w:b/>
          <w:sz w:val="24"/>
          <w:szCs w:val="24"/>
        </w:rPr>
      </w:pPr>
    </w:p>
    <w:p w14:paraId="5C3D9203" w14:textId="52396D5F" w:rsidR="00897367" w:rsidRPr="00897367" w:rsidRDefault="00897367" w:rsidP="00897367">
      <w:pPr>
        <w:rPr>
          <w:rFonts w:ascii="Times New Roman" w:hAnsi="Times New Roman"/>
          <w:sz w:val="24"/>
          <w:szCs w:val="24"/>
        </w:rPr>
      </w:pPr>
      <w:r w:rsidRPr="00897367">
        <w:rPr>
          <w:rFonts w:asciiTheme="minorHAnsi" w:hAnsiTheme="minorHAnsi" w:cstheme="minorHAnsi"/>
          <w:sz w:val="24"/>
          <w:szCs w:val="24"/>
        </w:rPr>
        <w:t xml:space="preserve">The 60 day Federal Register Notice was published November 2, 2015, volume number 80, page number </w:t>
      </w:r>
      <w:r w:rsidRPr="00897367">
        <w:rPr>
          <w:rFonts w:ascii="Times New Roman" w:hAnsi="Times New Roman"/>
          <w:sz w:val="24"/>
          <w:szCs w:val="24"/>
        </w:rPr>
        <w:t>67412 -</w:t>
      </w:r>
      <w:r w:rsidR="00186695">
        <w:rPr>
          <w:rFonts w:ascii="Times New Roman" w:hAnsi="Times New Roman"/>
          <w:sz w:val="24"/>
          <w:szCs w:val="24"/>
        </w:rPr>
        <w:t xml:space="preserve"> </w:t>
      </w:r>
      <w:r w:rsidRPr="00897367">
        <w:rPr>
          <w:rFonts w:ascii="Times New Roman" w:hAnsi="Times New Roman"/>
          <w:sz w:val="24"/>
          <w:szCs w:val="24"/>
        </w:rPr>
        <w:t>67413 (2 pages)</w:t>
      </w:r>
      <w:r>
        <w:rPr>
          <w:rFonts w:ascii="Times New Roman" w:hAnsi="Times New Roman"/>
          <w:sz w:val="24"/>
          <w:szCs w:val="24"/>
        </w:rPr>
        <w:t xml:space="preserve">.  </w:t>
      </w:r>
    </w:p>
    <w:p w14:paraId="07E35499" w14:textId="75222E34" w:rsidR="00897367" w:rsidRDefault="00897367" w:rsidP="00F70AB1">
      <w:pPr>
        <w:pStyle w:val="ListParagraph"/>
        <w:spacing w:after="0" w:line="240" w:lineRule="auto"/>
        <w:ind w:left="0"/>
        <w:rPr>
          <w:rFonts w:asciiTheme="minorHAnsi" w:hAnsiTheme="minorHAnsi" w:cstheme="minorHAnsi"/>
          <w:b/>
          <w:sz w:val="24"/>
          <w:szCs w:val="24"/>
        </w:rPr>
      </w:pPr>
    </w:p>
    <w:p w14:paraId="37313099" w14:textId="77777777" w:rsidR="00897367" w:rsidRPr="00020C8F" w:rsidRDefault="00897367" w:rsidP="00F70AB1">
      <w:pPr>
        <w:pStyle w:val="ListParagraph"/>
        <w:spacing w:after="0" w:line="240" w:lineRule="auto"/>
        <w:ind w:left="0"/>
        <w:rPr>
          <w:rFonts w:asciiTheme="minorHAnsi" w:hAnsiTheme="minorHAnsi" w:cstheme="minorHAnsi"/>
          <w:b/>
          <w:sz w:val="24"/>
          <w:szCs w:val="24"/>
        </w:rPr>
      </w:pPr>
    </w:p>
    <w:p w14:paraId="24B78DD2" w14:textId="77777777" w:rsidR="00FA324D" w:rsidRDefault="00F70AB1" w:rsidP="00F70AB1">
      <w:pPr>
        <w:spacing w:after="0" w:line="240" w:lineRule="auto"/>
        <w:rPr>
          <w:rFonts w:asciiTheme="minorHAnsi" w:hAnsiTheme="minorHAnsi" w:cstheme="minorHAnsi"/>
          <w:sz w:val="24"/>
          <w:szCs w:val="24"/>
        </w:rPr>
      </w:pPr>
      <w:r w:rsidRPr="00020C8F">
        <w:rPr>
          <w:rFonts w:asciiTheme="minorHAnsi" w:hAnsiTheme="minorHAnsi" w:cstheme="minorHAnsi"/>
          <w:sz w:val="24"/>
          <w:szCs w:val="24"/>
        </w:rPr>
        <w:lastRenderedPageBreak/>
        <w:t xml:space="preserve">In accordance with 5 CFR 1320.8(d), on </w:t>
      </w:r>
      <w:r w:rsidR="00FA324D">
        <w:rPr>
          <w:rFonts w:asciiTheme="minorHAnsi" w:hAnsiTheme="minorHAnsi" w:cstheme="minorHAnsi"/>
          <w:sz w:val="24"/>
          <w:szCs w:val="24"/>
        </w:rPr>
        <w:t xml:space="preserve">January 4, 2016, the following comments were received.  The Government response is also included below.  These responses will be forwarded to the sender in accordance with standard procedure.  </w:t>
      </w:r>
    </w:p>
    <w:p w14:paraId="69A42D24" w14:textId="77777777" w:rsidR="000F6AD0" w:rsidRDefault="000F6AD0" w:rsidP="00F70AB1">
      <w:pPr>
        <w:spacing w:after="0" w:line="240" w:lineRule="auto"/>
        <w:rPr>
          <w:rFonts w:asciiTheme="minorHAnsi" w:hAnsiTheme="minorHAnsi" w:cstheme="minorHAnsi"/>
          <w:sz w:val="24"/>
          <w:szCs w:val="24"/>
        </w:rPr>
      </w:pPr>
    </w:p>
    <w:p w14:paraId="2950F32F" w14:textId="388D900B" w:rsidR="004D46F2" w:rsidRDefault="00FA324D" w:rsidP="004D46F2">
      <w:pPr>
        <w:pStyle w:val="ListParagraph"/>
        <w:numPr>
          <w:ilvl w:val="0"/>
          <w:numId w:val="8"/>
        </w:numPr>
        <w:spacing w:after="0" w:line="240" w:lineRule="auto"/>
      </w:pPr>
      <w:r>
        <w:rPr>
          <w:rFonts w:asciiTheme="minorHAnsi" w:hAnsiTheme="minorHAnsi" w:cstheme="minorHAnsi"/>
          <w:sz w:val="24"/>
          <w:szCs w:val="24"/>
        </w:rPr>
        <w:t xml:space="preserve">  </w:t>
      </w:r>
      <w:r w:rsidRPr="0073424D">
        <w:rPr>
          <w:b/>
          <w:bCs/>
        </w:rPr>
        <w:t>Articulate a compelling vision for a government-wide transformation of</w:t>
      </w:r>
      <w:r>
        <w:rPr>
          <w:b/>
          <w:bCs/>
        </w:rPr>
        <w:t xml:space="preserve"> </w:t>
      </w:r>
      <w:r w:rsidRPr="0073424D">
        <w:rPr>
          <w:b/>
          <w:bCs/>
        </w:rPr>
        <w:t>grant reporting.</w:t>
      </w:r>
      <w:r w:rsidRPr="0073424D">
        <w:t xml:space="preserve"> </w:t>
      </w:r>
    </w:p>
    <w:p w14:paraId="23D8C041" w14:textId="77777777" w:rsidR="008876E9" w:rsidRDefault="008876E9" w:rsidP="008876E9">
      <w:pPr>
        <w:pStyle w:val="ListParagraph"/>
        <w:spacing w:after="0" w:line="240" w:lineRule="auto"/>
      </w:pPr>
    </w:p>
    <w:p w14:paraId="5686FA4B" w14:textId="636CC63B" w:rsidR="004D46F2" w:rsidRDefault="00FA324D" w:rsidP="00FA324D">
      <w:r w:rsidRPr="0073424D">
        <w:t>OMB has characterized the Section 5 pilot as a program to “simplify”</w:t>
      </w:r>
      <w:r w:rsidR="008876E9">
        <w:t xml:space="preserve"> </w:t>
      </w:r>
      <w:r w:rsidRPr="0073424D">
        <w:t xml:space="preserve">grant and contractor reporting.  </w:t>
      </w:r>
    </w:p>
    <w:p w14:paraId="051A62BB" w14:textId="77777777" w:rsidR="008876E9" w:rsidRDefault="00FA324D" w:rsidP="00FA324D">
      <w:r w:rsidRPr="0073424D">
        <w:t>But the DATA Act’s intent is not merely to simplify</w:t>
      </w:r>
      <w:r w:rsidR="008876E9">
        <w:t xml:space="preserve"> </w:t>
      </w:r>
      <w:r w:rsidRPr="0073424D">
        <w:t>recipient reporting, but to fully transform it from</w:t>
      </w:r>
    </w:p>
    <w:p w14:paraId="0F69CBB0" w14:textId="77777777" w:rsidR="008876E9" w:rsidRDefault="00FA324D" w:rsidP="00FA324D">
      <w:r w:rsidRPr="0073424D">
        <w:t>document-based to data-centric by</w:t>
      </w:r>
      <w:r w:rsidR="008876E9">
        <w:t xml:space="preserve"> </w:t>
      </w:r>
      <w:r w:rsidRPr="0073424D">
        <w:t>adopting a single set of standardized data fields and formats for all</w:t>
      </w:r>
    </w:p>
    <w:p w14:paraId="0352BFA4" w14:textId="075DD3CE" w:rsidR="008876E9" w:rsidRDefault="00FA324D" w:rsidP="00FA324D">
      <w:r w:rsidRPr="0073424D">
        <w:t xml:space="preserve"> such reporting. To</w:t>
      </w:r>
      <w:r w:rsidR="001725DB">
        <w:t xml:space="preserve"> </w:t>
      </w:r>
      <w:r w:rsidRPr="0073424D">
        <w:t xml:space="preserve">imply that the requirements of Section 5 will be satisfied by the consolidation of </w:t>
      </w:r>
    </w:p>
    <w:p w14:paraId="7D8F944C" w14:textId="5357F0C5" w:rsidR="00FA324D" w:rsidRPr="0073424D" w:rsidRDefault="00FA324D" w:rsidP="00FA324D">
      <w:r w:rsidRPr="0073424D">
        <w:t>some</w:t>
      </w:r>
      <w:r w:rsidR="008876E9">
        <w:t xml:space="preserve"> </w:t>
      </w:r>
      <w:r w:rsidRPr="0073424D">
        <w:t>forms with one another, or by a report outlining possible future changes of this kind,</w:t>
      </w:r>
    </w:p>
    <w:p w14:paraId="5CBCA93C" w14:textId="77777777" w:rsidR="000F6AD0" w:rsidRDefault="00FA324D" w:rsidP="00FA324D">
      <w:r w:rsidRPr="0073424D">
        <w:t>frustrates the will of Congress. Instead, OMB and HHS, in their public statements about</w:t>
      </w:r>
      <w:r w:rsidR="000F6AD0">
        <w:t xml:space="preserve"> </w:t>
      </w:r>
      <w:r w:rsidRPr="0073424D">
        <w:t xml:space="preserve">the Section 5 </w:t>
      </w:r>
    </w:p>
    <w:p w14:paraId="4EFE2F3B" w14:textId="4CB55177" w:rsidR="000F6AD0" w:rsidRDefault="00FA324D" w:rsidP="00FA324D">
      <w:r w:rsidRPr="0073424D">
        <w:t>grants pilot program, should clarify that the program is aimed at</w:t>
      </w:r>
      <w:r w:rsidR="000F6AD0">
        <w:t xml:space="preserve"> </w:t>
      </w:r>
      <w:r w:rsidRPr="0073424D">
        <w:t>transformation, not mere</w:t>
      </w:r>
    </w:p>
    <w:p w14:paraId="204EDB28" w14:textId="77777777" w:rsidR="000F6AD0" w:rsidRDefault="00FA324D" w:rsidP="00FA324D">
      <w:r w:rsidRPr="0073424D">
        <w:t xml:space="preserve"> simplification. OMB, in particular, should recognize, and</w:t>
      </w:r>
      <w:r w:rsidR="000F6AD0">
        <w:t xml:space="preserve"> </w:t>
      </w:r>
      <w:r w:rsidRPr="0073424D">
        <w:t xml:space="preserve">restate, its statutory authority under the DATA </w:t>
      </w:r>
    </w:p>
    <w:p w14:paraId="0784610E" w14:textId="78020F19" w:rsidR="00FA324D" w:rsidRPr="0073424D" w:rsidRDefault="00FA324D" w:rsidP="00FA324D">
      <w:r w:rsidRPr="0073424D">
        <w:t>Act to formally adopt DATA Act</w:t>
      </w:r>
      <w:r w:rsidR="000F6AD0">
        <w:t xml:space="preserve"> </w:t>
      </w:r>
      <w:r w:rsidRPr="0073424D">
        <w:t xml:space="preserve">standards for mandatory use by all federal grantees.  </w:t>
      </w:r>
    </w:p>
    <w:p w14:paraId="7C8BFF25" w14:textId="5C06DAE4" w:rsidR="00FA324D" w:rsidRPr="008876E9" w:rsidRDefault="004D46F2" w:rsidP="00FA324D">
      <w:pPr>
        <w:rPr>
          <w:b/>
        </w:rPr>
      </w:pPr>
      <w:r w:rsidRPr="008876E9">
        <w:rPr>
          <w:b/>
        </w:rPr>
        <w:t>Response:</w:t>
      </w:r>
    </w:p>
    <w:p w14:paraId="21C81CF6" w14:textId="77777777" w:rsidR="00FA324D" w:rsidRPr="0073424D" w:rsidRDefault="00FA324D" w:rsidP="00FA324D">
      <w:pPr>
        <w:rPr>
          <w:b/>
          <w:bCs/>
        </w:rPr>
      </w:pPr>
      <w:r w:rsidRPr="0073424D">
        <w:rPr>
          <w:b/>
          <w:bCs/>
        </w:rPr>
        <w:t>It is the goal of OMB and HHS to continue to improve the grant reporting process in ways that reduce grantee burden and streamline/standardize reporting processes. </w:t>
      </w:r>
      <w:r>
        <w:rPr>
          <w:b/>
          <w:bCs/>
        </w:rPr>
        <w:t xml:space="preserve">The DATA Act requires OMB to create a pilot program to facilitate the development of recommendations for standardizing reporting elements, eliminating unnecessary duplication in financial reporting, and the reduction of compliance costs. OMB has partnered with HHS to fulfill this requirement on behalf of the grants community. </w:t>
      </w:r>
      <w:r w:rsidRPr="0073424D">
        <w:rPr>
          <w:b/>
          <w:bCs/>
        </w:rPr>
        <w:t>OMB and HHS recognize the opportunity that is provided by the DATA Act legislation to bring positive change to the Federal grantee community</w:t>
      </w:r>
      <w:r>
        <w:rPr>
          <w:b/>
          <w:bCs/>
        </w:rPr>
        <w:t>, and are committed to using the pilot as an opportunity to take steps towards the goal of improving the grant process</w:t>
      </w:r>
      <w:r w:rsidRPr="0073424D">
        <w:rPr>
          <w:b/>
          <w:bCs/>
        </w:rPr>
        <w:t xml:space="preserve">.   OMB and HHS will continue to engage the Federal grantee community </w:t>
      </w:r>
      <w:r>
        <w:rPr>
          <w:b/>
          <w:bCs/>
        </w:rPr>
        <w:t>throughout the development of the Section 5 Grants Pilot</w:t>
      </w:r>
      <w:r w:rsidRPr="0073424D">
        <w:rPr>
          <w:b/>
          <w:bCs/>
        </w:rPr>
        <w:t xml:space="preserve">.    </w:t>
      </w:r>
    </w:p>
    <w:p w14:paraId="150BE036" w14:textId="77777777" w:rsidR="00FA324D" w:rsidRPr="0073424D" w:rsidRDefault="00FA324D" w:rsidP="00FA324D"/>
    <w:p w14:paraId="03A53F1A" w14:textId="77777777" w:rsidR="00FA324D" w:rsidRPr="004D46F2" w:rsidRDefault="00FA324D" w:rsidP="00FA324D">
      <w:pPr>
        <w:pStyle w:val="ListParagraph"/>
        <w:numPr>
          <w:ilvl w:val="0"/>
          <w:numId w:val="8"/>
        </w:numPr>
        <w:spacing w:after="0" w:line="240" w:lineRule="auto"/>
      </w:pPr>
      <w:r w:rsidRPr="0073424D">
        <w:rPr>
          <w:b/>
          <w:bCs/>
        </w:rPr>
        <w:t xml:space="preserve">Expand the CDERL to cover all data elements for all grant reports. </w:t>
      </w:r>
    </w:p>
    <w:p w14:paraId="2A88AE51" w14:textId="77777777" w:rsidR="004D46F2" w:rsidRPr="0073424D" w:rsidRDefault="004D46F2" w:rsidP="004D46F2">
      <w:pPr>
        <w:pStyle w:val="ListParagraph"/>
        <w:spacing w:after="0" w:line="240" w:lineRule="auto"/>
      </w:pPr>
    </w:p>
    <w:p w14:paraId="757286DC" w14:textId="77777777" w:rsidR="00FA324D" w:rsidRPr="0073424D" w:rsidRDefault="00FA324D" w:rsidP="00FA324D">
      <w:r w:rsidRPr="0073424D">
        <w:t>The pre-DATA Act development of the Central Data Element Repository Library (CDERL)13 is</w:t>
      </w:r>
    </w:p>
    <w:p w14:paraId="45AC8B86" w14:textId="58781AA7" w:rsidR="00FA324D" w:rsidRPr="0073424D" w:rsidRDefault="00FA324D" w:rsidP="00FA324D">
      <w:proofErr w:type="gramStart"/>
      <w:r w:rsidRPr="0073424D">
        <w:t>the</w:t>
      </w:r>
      <w:proofErr w:type="gramEnd"/>
      <w:r w:rsidRPr="0073424D">
        <w:t xml:space="preserve"> HHS DATA Act Program Management Office’s most valuable asset. </w:t>
      </w:r>
      <w:r w:rsidR="008C157F">
        <w:t xml:space="preserve"> </w:t>
      </w:r>
      <w:r w:rsidRPr="0073424D">
        <w:t>The CDERL,</w:t>
      </w:r>
    </w:p>
    <w:p w14:paraId="07717936" w14:textId="77777777" w:rsidR="00FA324D" w:rsidRPr="0073424D" w:rsidRDefault="00FA324D" w:rsidP="00FA324D">
      <w:r w:rsidRPr="0073424D">
        <w:t>since it currently encompasses nearly every form used by HHS’ components for their</w:t>
      </w:r>
    </w:p>
    <w:p w14:paraId="2743C4D1" w14:textId="77777777" w:rsidR="00FA324D" w:rsidRPr="0073424D" w:rsidRDefault="00FA324D" w:rsidP="00FA324D">
      <w:r w:rsidRPr="0073424D">
        <w:t>grantees’ reports, is already a valuable resource and sufficient to demonstrate the</w:t>
      </w:r>
    </w:p>
    <w:p w14:paraId="6DE2423E" w14:textId="77777777" w:rsidR="00FA324D" w:rsidRPr="0073424D" w:rsidRDefault="00FA324D" w:rsidP="00FA324D">
      <w:r w:rsidRPr="0073424D">
        <w:lastRenderedPageBreak/>
        <w:t>transforming impact of standards. However, the Section 5 grants pilot program will only</w:t>
      </w:r>
    </w:p>
    <w:p w14:paraId="1C1426D5" w14:textId="77777777" w:rsidR="00FA324D" w:rsidRPr="0073424D" w:rsidRDefault="00FA324D" w:rsidP="00FA324D">
      <w:r w:rsidRPr="0073424D">
        <w:t>achieve Congress’ intended government-wide scope if the CDERL is expanded to include</w:t>
      </w:r>
    </w:p>
    <w:p w14:paraId="4C2278D8" w14:textId="77777777" w:rsidR="00FA324D" w:rsidRPr="0073424D" w:rsidRDefault="00FA324D" w:rsidP="00FA324D">
      <w:r w:rsidRPr="0073424D">
        <w:t>all grant reporting, to all federal grantor agencies.</w:t>
      </w:r>
    </w:p>
    <w:p w14:paraId="6182CA89" w14:textId="6A74B5C4" w:rsidR="00FA324D" w:rsidRPr="008876E9" w:rsidRDefault="004D46F2" w:rsidP="00FA324D">
      <w:pPr>
        <w:rPr>
          <w:b/>
        </w:rPr>
      </w:pPr>
      <w:r w:rsidRPr="008876E9">
        <w:rPr>
          <w:b/>
        </w:rPr>
        <w:t>Response:</w:t>
      </w:r>
    </w:p>
    <w:p w14:paraId="57A1E587" w14:textId="03536973" w:rsidR="00FA324D" w:rsidRPr="0073424D" w:rsidRDefault="00FA324D" w:rsidP="00FA324D">
      <w:r w:rsidRPr="0073424D">
        <w:rPr>
          <w:b/>
          <w:bCs/>
        </w:rPr>
        <w:t xml:space="preserve">HHS continues to engage Federal Agencies in an effort to inform them about the value of the Common Data Element Repository Library (CDER Library) and to demonstrate the CDER Library’s current and future possibilities.  HHS and OMB agree that the CDER Library is an important asset that offers an even greater future possibility.  </w:t>
      </w:r>
      <w:r>
        <w:rPr>
          <w:b/>
          <w:bCs/>
        </w:rPr>
        <w:t xml:space="preserve">One purpose of the pilot is to test the utility of </w:t>
      </w:r>
      <w:r w:rsidR="00232437">
        <w:rPr>
          <w:b/>
          <w:bCs/>
        </w:rPr>
        <w:t xml:space="preserve">the </w:t>
      </w:r>
      <w:r>
        <w:rPr>
          <w:b/>
          <w:bCs/>
        </w:rPr>
        <w:t xml:space="preserve">CDER Library to provide access to agreed-upon data standards, to promote consistency of Federal financial business terms, and to assist the Federal government in creating information collection instruments. Based on the results of this test, OMB and HHS will make recommendations about the future use and utility of the CDER Library. </w:t>
      </w:r>
    </w:p>
    <w:p w14:paraId="78EF60C7" w14:textId="77777777" w:rsidR="00FA324D" w:rsidRDefault="00FA324D" w:rsidP="00FA324D">
      <w:pPr>
        <w:pStyle w:val="ListParagraph"/>
        <w:numPr>
          <w:ilvl w:val="0"/>
          <w:numId w:val="8"/>
        </w:numPr>
        <w:spacing w:after="0" w:line="240" w:lineRule="auto"/>
        <w:rPr>
          <w:b/>
          <w:bCs/>
        </w:rPr>
      </w:pPr>
      <w:r w:rsidRPr="0073424D">
        <w:rPr>
          <w:b/>
          <w:bCs/>
        </w:rPr>
        <w:t>Engage with grant administration leaders from every major grantor agency.</w:t>
      </w:r>
    </w:p>
    <w:p w14:paraId="0F4E6672" w14:textId="77777777" w:rsidR="004D46F2" w:rsidRPr="0073424D" w:rsidRDefault="004D46F2" w:rsidP="004D46F2">
      <w:pPr>
        <w:pStyle w:val="ListParagraph"/>
        <w:spacing w:after="0" w:line="240" w:lineRule="auto"/>
        <w:rPr>
          <w:b/>
          <w:bCs/>
        </w:rPr>
      </w:pPr>
    </w:p>
    <w:p w14:paraId="1260B259" w14:textId="77777777" w:rsidR="00FA324D" w:rsidRPr="0073424D" w:rsidRDefault="00FA324D" w:rsidP="00FA324D">
      <w:r w:rsidRPr="0073424D">
        <w:t xml:space="preserve">For similar reasons, OMB and HHS must involve the grant administration leadership of every </w:t>
      </w:r>
    </w:p>
    <w:p w14:paraId="22A6C425" w14:textId="77777777" w:rsidR="00FA324D" w:rsidRPr="0073424D" w:rsidRDefault="00FA324D" w:rsidP="00FA324D">
      <w:r w:rsidRPr="0073424D">
        <w:t>major grantor agency in the conduct and management of the Section 5 grants pilot</w:t>
      </w:r>
    </w:p>
    <w:p w14:paraId="72BF81AD" w14:textId="77777777" w:rsidR="00FA324D" w:rsidRPr="0073424D" w:rsidRDefault="00FA324D" w:rsidP="00FA324D">
      <w:r w:rsidRPr="0073424D">
        <w:t>program.</w:t>
      </w:r>
    </w:p>
    <w:p w14:paraId="37DEB991" w14:textId="6CBD1773" w:rsidR="00FA324D" w:rsidRPr="008876E9" w:rsidRDefault="004D46F2" w:rsidP="00FA324D">
      <w:pPr>
        <w:rPr>
          <w:b/>
        </w:rPr>
      </w:pPr>
      <w:r w:rsidRPr="008876E9">
        <w:rPr>
          <w:b/>
        </w:rPr>
        <w:t>Response:</w:t>
      </w:r>
    </w:p>
    <w:p w14:paraId="7681C2EB" w14:textId="1A8E6286" w:rsidR="00FA324D" w:rsidRDefault="00FA324D" w:rsidP="00FA324D">
      <w:pPr>
        <w:rPr>
          <w:b/>
          <w:bCs/>
        </w:rPr>
      </w:pPr>
      <w:r w:rsidRPr="0073424D">
        <w:rPr>
          <w:b/>
          <w:bCs/>
        </w:rPr>
        <w:t>OMB and HHS agree that it is important to engage the larger Federal grantor community</w:t>
      </w:r>
      <w:r>
        <w:rPr>
          <w:b/>
          <w:bCs/>
        </w:rPr>
        <w:t>. HHS and OMB have, and will continue to engage grant administration leadership regarding the Section 5 Pilot through councils such as the Award Committee for Egovernment (ACE) and the Financial Assistance Committee for Egovernment (FACE).</w:t>
      </w:r>
      <w:r w:rsidRPr="0073424D">
        <w:rPr>
          <w:b/>
          <w:bCs/>
        </w:rPr>
        <w:t xml:space="preserve"> </w:t>
      </w:r>
    </w:p>
    <w:p w14:paraId="38C9D349" w14:textId="77777777" w:rsidR="00FA324D" w:rsidRDefault="00FA324D" w:rsidP="00FA324D">
      <w:pPr>
        <w:pStyle w:val="ListParagraph"/>
        <w:numPr>
          <w:ilvl w:val="0"/>
          <w:numId w:val="8"/>
        </w:numPr>
        <w:spacing w:after="0" w:line="240" w:lineRule="auto"/>
      </w:pPr>
      <w:r w:rsidRPr="0073424D">
        <w:rPr>
          <w:b/>
          <w:bCs/>
        </w:rPr>
        <w:t>Work with the vendors of grantees’ data management solutions.</w:t>
      </w:r>
      <w:r w:rsidRPr="0073424D">
        <w:t xml:space="preserve"> </w:t>
      </w:r>
    </w:p>
    <w:p w14:paraId="49307C8D" w14:textId="77777777" w:rsidR="004D46F2" w:rsidRPr="0073424D" w:rsidRDefault="004D46F2" w:rsidP="004D46F2">
      <w:pPr>
        <w:pStyle w:val="ListParagraph"/>
        <w:spacing w:after="0" w:line="240" w:lineRule="auto"/>
      </w:pPr>
    </w:p>
    <w:p w14:paraId="31BB7927" w14:textId="77777777" w:rsidR="00FA324D" w:rsidRPr="0073424D" w:rsidRDefault="00FA324D" w:rsidP="00FA324D">
      <w:r w:rsidRPr="0073424D">
        <w:t>The cost-reducing benefit of government-wide grant reporting data standards depends on</w:t>
      </w:r>
    </w:p>
    <w:p w14:paraId="00239AA6" w14:textId="77777777" w:rsidR="00FA324D" w:rsidRPr="0073424D" w:rsidRDefault="00FA324D" w:rsidP="00FA324D">
      <w:r w:rsidRPr="0073424D">
        <w:t>whether vendors are able to use those standards within their software solutions.</w:t>
      </w:r>
    </w:p>
    <w:p w14:paraId="70F07EBC" w14:textId="77777777" w:rsidR="00FA324D" w:rsidRPr="0073424D" w:rsidRDefault="00FA324D" w:rsidP="00FA324D">
      <w:r w:rsidRPr="0073424D">
        <w:t>Therefore, OMB and HHS should involve such vendors in all phases of the Section 5</w:t>
      </w:r>
    </w:p>
    <w:p w14:paraId="553AE77C" w14:textId="77777777" w:rsidR="00FA324D" w:rsidRPr="0073424D" w:rsidRDefault="00FA324D" w:rsidP="00FA324D">
      <w:r w:rsidRPr="0073424D">
        <w:t>grants pilot. For a successful model of standards-driven automation, OMB and HHS</w:t>
      </w:r>
    </w:p>
    <w:p w14:paraId="4FCF6B91" w14:textId="77777777" w:rsidR="00FA324D" w:rsidRPr="0073424D" w:rsidRDefault="00FA324D" w:rsidP="00FA324D">
      <w:r w:rsidRPr="0073424D">
        <w:t>could look to the Federal Deposit Insurance Corporation’s (FDIC) implementation of the</w:t>
      </w:r>
    </w:p>
    <w:p w14:paraId="635E8C9D" w14:textId="7B93B232" w:rsidR="00FA324D" w:rsidRPr="0073424D" w:rsidRDefault="00037DA1" w:rsidP="00FA324D">
      <w:r>
        <w:t>E</w:t>
      </w:r>
      <w:r w:rsidR="00944F9E">
        <w:t>x</w:t>
      </w:r>
      <w:r w:rsidR="00FA324D" w:rsidRPr="0073424D">
        <w:t>tensible Business Reporting Language (XBRL) for banks’ call reports.  Because the</w:t>
      </w:r>
    </w:p>
    <w:p w14:paraId="3D45554D" w14:textId="77777777" w:rsidR="00FA324D" w:rsidRPr="0073424D" w:rsidRDefault="00FA324D" w:rsidP="00FA324D">
      <w:r w:rsidRPr="0073424D">
        <w:t>FDIC worked closely with vendors of banks’ data management software as they</w:t>
      </w:r>
    </w:p>
    <w:p w14:paraId="27E644E3" w14:textId="77777777" w:rsidR="00FA324D" w:rsidRPr="0073424D" w:rsidRDefault="00FA324D" w:rsidP="00FA324D">
      <w:r w:rsidRPr="0073424D">
        <w:lastRenderedPageBreak/>
        <w:t>developed and implemented standardized data fields and the XBRL format, replacing the</w:t>
      </w:r>
    </w:p>
    <w:p w14:paraId="47ED911B" w14:textId="77777777" w:rsidR="00FA324D" w:rsidRPr="0073424D" w:rsidRDefault="00FA324D" w:rsidP="00FA324D">
      <w:r w:rsidRPr="0073424D">
        <w:t>document-based PDF format, banks’ compliance costs were reduced.</w:t>
      </w:r>
    </w:p>
    <w:p w14:paraId="7FE48E13" w14:textId="334C5D1A" w:rsidR="00FA324D" w:rsidRPr="008876E9" w:rsidRDefault="004D46F2" w:rsidP="00FA324D">
      <w:pPr>
        <w:rPr>
          <w:b/>
        </w:rPr>
      </w:pPr>
      <w:r w:rsidRPr="008876E9">
        <w:rPr>
          <w:b/>
        </w:rPr>
        <w:t>Response:</w:t>
      </w:r>
    </w:p>
    <w:p w14:paraId="0B7B0B7F" w14:textId="7E2B63DD" w:rsidR="00F70AB1" w:rsidRPr="00020C8F" w:rsidRDefault="00FA324D" w:rsidP="00FA324D">
      <w:pPr>
        <w:spacing w:after="0" w:line="240" w:lineRule="auto"/>
        <w:rPr>
          <w:rFonts w:asciiTheme="minorHAnsi" w:hAnsiTheme="minorHAnsi" w:cstheme="minorHAnsi"/>
          <w:sz w:val="24"/>
          <w:szCs w:val="24"/>
        </w:rPr>
      </w:pPr>
      <w:r w:rsidRPr="0073424D">
        <w:rPr>
          <w:b/>
          <w:bCs/>
        </w:rPr>
        <w:t>It will be valuable to receive input from this vendor community.  At the moment, OMB and HHS are focused on executing the Section 5 pilot in accordance with the DATA Act legislation.  This current implementation phase involves running a series of tests, collecting and analyzing data and submitting a final report to Congress as specified in the DATA Act.  Vendor community input may be solicited at a future date.  In the meantime, the vendor community and grantee community now can submit any desired input to the National Dialogue website found at:   </w:t>
      </w:r>
      <w:hyperlink r:id="rId8" w:history="1">
        <w:r w:rsidRPr="0073424D">
          <w:rPr>
            <w:rStyle w:val="Hyperlink"/>
            <w:b/>
            <w:bCs/>
          </w:rPr>
          <w:t>https://cxo.dialogue2.cao.gov/a/ideas/top/campaign-filter/byids/campaigns/13162</w:t>
        </w:r>
      </w:hyperlink>
      <w:r w:rsidRPr="0073424D">
        <w:rPr>
          <w:b/>
          <w:bCs/>
        </w:rPr>
        <w:t>.  OMB and HHS will consider all input received at the above website.</w:t>
      </w:r>
    </w:p>
    <w:p w14:paraId="26C121D0" w14:textId="77777777" w:rsidR="008E5237" w:rsidRDefault="008E5237" w:rsidP="00F70AB1">
      <w:pPr>
        <w:spacing w:after="0" w:line="240" w:lineRule="auto"/>
        <w:rPr>
          <w:rFonts w:asciiTheme="minorHAnsi" w:hAnsiTheme="minorHAnsi" w:cstheme="minorHAnsi"/>
          <w:sz w:val="24"/>
          <w:szCs w:val="24"/>
        </w:rPr>
      </w:pPr>
    </w:p>
    <w:p w14:paraId="3E8643E9" w14:textId="77777777" w:rsidR="00F70AB1" w:rsidRPr="00020C8F" w:rsidRDefault="00F70AB1" w:rsidP="00F70AB1">
      <w:pPr>
        <w:pStyle w:val="ListParagraph"/>
        <w:numPr>
          <w:ilvl w:val="0"/>
          <w:numId w:val="2"/>
        </w:numPr>
        <w:spacing w:after="0" w:line="240" w:lineRule="auto"/>
        <w:ind w:left="0"/>
        <w:rPr>
          <w:rFonts w:asciiTheme="minorHAnsi" w:hAnsiTheme="minorHAnsi" w:cstheme="minorHAnsi"/>
          <w:b/>
          <w:sz w:val="24"/>
          <w:szCs w:val="24"/>
        </w:rPr>
      </w:pPr>
      <w:r w:rsidRPr="00020C8F">
        <w:rPr>
          <w:rFonts w:asciiTheme="minorHAnsi" w:hAnsiTheme="minorHAnsi" w:cstheme="minorHAnsi"/>
          <w:b/>
          <w:sz w:val="24"/>
          <w:szCs w:val="24"/>
        </w:rPr>
        <w:t>Payment or Gift</w:t>
      </w:r>
    </w:p>
    <w:p w14:paraId="3FE81258" w14:textId="77777777" w:rsidR="00F70AB1" w:rsidRPr="00020C8F" w:rsidRDefault="00F70AB1" w:rsidP="00F70AB1">
      <w:pPr>
        <w:spacing w:after="0" w:line="240" w:lineRule="auto"/>
        <w:rPr>
          <w:rFonts w:asciiTheme="minorHAnsi" w:hAnsiTheme="minorHAnsi" w:cstheme="minorHAnsi"/>
          <w:sz w:val="24"/>
          <w:szCs w:val="24"/>
        </w:rPr>
      </w:pPr>
    </w:p>
    <w:p w14:paraId="4514857F" w14:textId="77777777" w:rsidR="00F70AB1" w:rsidRPr="00020C8F" w:rsidRDefault="00F70AB1" w:rsidP="00F70AB1">
      <w:p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 xml:space="preserve">The Agency will not provide payment or other forms of remuneration to respondents of its various forms of collecting feedback.  </w:t>
      </w:r>
    </w:p>
    <w:p w14:paraId="09E81340" w14:textId="77777777" w:rsidR="0042445A" w:rsidRPr="00020C8F" w:rsidRDefault="0042445A" w:rsidP="00F70AB1">
      <w:pPr>
        <w:spacing w:after="0" w:line="240" w:lineRule="auto"/>
        <w:rPr>
          <w:rFonts w:asciiTheme="minorHAnsi" w:hAnsiTheme="minorHAnsi" w:cstheme="minorHAnsi"/>
          <w:sz w:val="24"/>
          <w:szCs w:val="24"/>
        </w:rPr>
      </w:pPr>
    </w:p>
    <w:p w14:paraId="50046C49" w14:textId="77777777" w:rsidR="00F70AB1" w:rsidRPr="00020C8F" w:rsidRDefault="00F70AB1" w:rsidP="00F70AB1">
      <w:pPr>
        <w:pStyle w:val="ListParagraph"/>
        <w:numPr>
          <w:ilvl w:val="0"/>
          <w:numId w:val="2"/>
        </w:numPr>
        <w:spacing w:after="0" w:line="240" w:lineRule="auto"/>
        <w:ind w:left="0"/>
        <w:rPr>
          <w:rFonts w:asciiTheme="minorHAnsi" w:hAnsiTheme="minorHAnsi" w:cstheme="minorHAnsi"/>
          <w:b/>
          <w:sz w:val="24"/>
          <w:szCs w:val="24"/>
        </w:rPr>
      </w:pPr>
      <w:r w:rsidRPr="00020C8F">
        <w:rPr>
          <w:rFonts w:asciiTheme="minorHAnsi" w:hAnsiTheme="minorHAnsi" w:cstheme="minorHAnsi"/>
          <w:b/>
          <w:sz w:val="24"/>
          <w:szCs w:val="24"/>
        </w:rPr>
        <w:t xml:space="preserve"> Confidentiality </w:t>
      </w:r>
    </w:p>
    <w:p w14:paraId="54BAFFEA" w14:textId="77777777" w:rsidR="00F70AB1" w:rsidRPr="00020C8F" w:rsidRDefault="00F70AB1" w:rsidP="00F70AB1">
      <w:pPr>
        <w:spacing w:after="0" w:line="240" w:lineRule="auto"/>
        <w:rPr>
          <w:rFonts w:asciiTheme="minorHAnsi" w:hAnsiTheme="minorHAnsi" w:cstheme="minorHAnsi"/>
          <w:sz w:val="24"/>
          <w:szCs w:val="24"/>
        </w:rPr>
      </w:pPr>
    </w:p>
    <w:p w14:paraId="24F89438" w14:textId="58121711" w:rsidR="00F70AB1" w:rsidRDefault="000F7D71" w:rsidP="00EC0568">
      <w:p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 xml:space="preserve">The results of this data collection will be summarized in a report to OMB and </w:t>
      </w:r>
      <w:r w:rsidR="00F6753C" w:rsidRPr="00020C8F">
        <w:rPr>
          <w:rFonts w:asciiTheme="minorHAnsi" w:hAnsiTheme="minorHAnsi" w:cstheme="minorHAnsi"/>
          <w:sz w:val="24"/>
          <w:szCs w:val="24"/>
        </w:rPr>
        <w:t xml:space="preserve">at some point </w:t>
      </w:r>
      <w:r w:rsidRPr="00020C8F">
        <w:rPr>
          <w:rFonts w:asciiTheme="minorHAnsi" w:hAnsiTheme="minorHAnsi" w:cstheme="minorHAnsi"/>
          <w:sz w:val="24"/>
          <w:szCs w:val="24"/>
        </w:rPr>
        <w:t>likely available to the public</w:t>
      </w:r>
      <w:r w:rsidR="00EC0568">
        <w:rPr>
          <w:rFonts w:asciiTheme="minorHAnsi" w:hAnsiTheme="minorHAnsi" w:cstheme="minorHAnsi"/>
          <w:sz w:val="24"/>
          <w:szCs w:val="24"/>
        </w:rPr>
        <w:t xml:space="preserve">.  </w:t>
      </w:r>
    </w:p>
    <w:p w14:paraId="0C5FF3A1" w14:textId="77777777" w:rsidR="00EC0568" w:rsidRDefault="00EC0568" w:rsidP="00EC0568">
      <w:pPr>
        <w:spacing w:after="0" w:line="240" w:lineRule="auto"/>
        <w:rPr>
          <w:rFonts w:asciiTheme="minorHAnsi" w:hAnsiTheme="minorHAnsi" w:cstheme="minorHAnsi"/>
          <w:sz w:val="24"/>
          <w:szCs w:val="24"/>
        </w:rPr>
      </w:pPr>
    </w:p>
    <w:p w14:paraId="490BCE21" w14:textId="64EF917E" w:rsidR="00EC0568" w:rsidRPr="00020C8F" w:rsidRDefault="00EC0568" w:rsidP="00EC0568">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No Personally Identifiable Information (PII) will be collected during the course of any of these Test Models.  </w:t>
      </w:r>
    </w:p>
    <w:p w14:paraId="0CFD49F6" w14:textId="77777777" w:rsidR="00F70AB1" w:rsidRPr="00020C8F" w:rsidRDefault="00F70AB1" w:rsidP="00F70AB1">
      <w:pPr>
        <w:spacing w:after="0" w:line="240" w:lineRule="auto"/>
        <w:rPr>
          <w:rFonts w:asciiTheme="minorHAnsi" w:hAnsiTheme="minorHAnsi" w:cstheme="minorHAnsi"/>
          <w:sz w:val="24"/>
          <w:szCs w:val="24"/>
        </w:rPr>
      </w:pPr>
    </w:p>
    <w:p w14:paraId="6C0B2A39" w14:textId="77777777" w:rsidR="00F70AB1" w:rsidRPr="00020C8F" w:rsidRDefault="00F70AB1" w:rsidP="00F70AB1">
      <w:pPr>
        <w:pStyle w:val="ListParagraph"/>
        <w:numPr>
          <w:ilvl w:val="0"/>
          <w:numId w:val="2"/>
        </w:numPr>
        <w:spacing w:after="0" w:line="240" w:lineRule="auto"/>
        <w:ind w:left="0"/>
        <w:rPr>
          <w:rFonts w:asciiTheme="minorHAnsi" w:hAnsiTheme="minorHAnsi" w:cstheme="minorHAnsi"/>
          <w:b/>
          <w:sz w:val="24"/>
          <w:szCs w:val="24"/>
        </w:rPr>
      </w:pPr>
      <w:r w:rsidRPr="00020C8F">
        <w:rPr>
          <w:rFonts w:asciiTheme="minorHAnsi" w:hAnsiTheme="minorHAnsi" w:cstheme="minorHAnsi"/>
          <w:b/>
          <w:sz w:val="24"/>
          <w:szCs w:val="24"/>
        </w:rPr>
        <w:t>Sensitive Nature</w:t>
      </w:r>
    </w:p>
    <w:p w14:paraId="035FADF8" w14:textId="77777777" w:rsidR="00F70AB1" w:rsidRPr="00020C8F" w:rsidRDefault="00F70AB1" w:rsidP="00F70AB1">
      <w:pPr>
        <w:pStyle w:val="ListParagraph"/>
        <w:spacing w:after="0" w:line="240" w:lineRule="auto"/>
        <w:ind w:left="0"/>
        <w:rPr>
          <w:rFonts w:asciiTheme="minorHAnsi" w:hAnsiTheme="minorHAnsi" w:cstheme="minorHAnsi"/>
          <w:b/>
          <w:sz w:val="24"/>
          <w:szCs w:val="24"/>
        </w:rPr>
      </w:pPr>
    </w:p>
    <w:p w14:paraId="08A1ADE2" w14:textId="77777777" w:rsidR="00F70AB1" w:rsidRPr="00020C8F" w:rsidRDefault="00F70AB1" w:rsidP="00F70AB1">
      <w:p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No questions will be asked that are of a personal or sensitive nature.</w:t>
      </w:r>
    </w:p>
    <w:p w14:paraId="3D985FB7" w14:textId="77777777" w:rsidR="00F70AB1" w:rsidRPr="00020C8F" w:rsidRDefault="00F70AB1" w:rsidP="00F70AB1">
      <w:pPr>
        <w:spacing w:after="0" w:line="240" w:lineRule="auto"/>
        <w:rPr>
          <w:rFonts w:asciiTheme="minorHAnsi" w:hAnsiTheme="minorHAnsi" w:cstheme="minorHAnsi"/>
          <w:sz w:val="24"/>
          <w:szCs w:val="24"/>
        </w:rPr>
      </w:pPr>
    </w:p>
    <w:p w14:paraId="2BB984EF" w14:textId="51427D28" w:rsidR="00F70AB1" w:rsidRPr="003D4D1F" w:rsidRDefault="00F70AB1" w:rsidP="00F70AB1">
      <w:pPr>
        <w:pStyle w:val="ListParagraph"/>
        <w:numPr>
          <w:ilvl w:val="0"/>
          <w:numId w:val="2"/>
        </w:numPr>
        <w:spacing w:after="0" w:line="240" w:lineRule="auto"/>
        <w:ind w:left="0"/>
        <w:rPr>
          <w:rFonts w:asciiTheme="minorHAnsi" w:hAnsiTheme="minorHAnsi" w:cstheme="minorHAnsi"/>
          <w:b/>
          <w:sz w:val="24"/>
          <w:szCs w:val="24"/>
        </w:rPr>
      </w:pPr>
      <w:r w:rsidRPr="003D4D1F">
        <w:rPr>
          <w:rFonts w:asciiTheme="minorHAnsi" w:hAnsiTheme="minorHAnsi" w:cstheme="minorHAnsi"/>
          <w:b/>
          <w:sz w:val="24"/>
          <w:szCs w:val="24"/>
        </w:rPr>
        <w:t>Burden of Information Collection</w:t>
      </w:r>
      <w:r w:rsidR="00861BEA" w:rsidRPr="003D4D1F">
        <w:rPr>
          <w:rFonts w:asciiTheme="minorHAnsi" w:hAnsiTheme="minorHAnsi" w:cstheme="minorHAnsi"/>
          <w:b/>
          <w:sz w:val="24"/>
          <w:szCs w:val="24"/>
        </w:rPr>
        <w:t xml:space="preserve"> </w:t>
      </w:r>
    </w:p>
    <w:p w14:paraId="072D8318" w14:textId="77777777" w:rsidR="00F70AB1" w:rsidRPr="003D4D1F" w:rsidRDefault="00F70AB1" w:rsidP="00F70AB1">
      <w:pPr>
        <w:spacing w:after="0" w:line="240" w:lineRule="auto"/>
        <w:rPr>
          <w:rFonts w:asciiTheme="minorHAnsi" w:hAnsiTheme="minorHAnsi" w:cstheme="minorHAnsi"/>
          <w:sz w:val="24"/>
          <w:szCs w:val="24"/>
        </w:rPr>
      </w:pPr>
    </w:p>
    <w:p w14:paraId="0E44868A" w14:textId="1BD31A07" w:rsidR="00F740A6" w:rsidRDefault="00AF7EF6" w:rsidP="00AF7EF6">
      <w:pPr>
        <w:tabs>
          <w:tab w:val="left" w:pos="540"/>
        </w:tabs>
        <w:rPr>
          <w:rFonts w:asciiTheme="minorHAnsi" w:hAnsiTheme="minorHAnsi" w:cstheme="minorHAnsi"/>
          <w:sz w:val="24"/>
          <w:szCs w:val="24"/>
        </w:rPr>
      </w:pPr>
      <w:r w:rsidRPr="003D4D1F">
        <w:rPr>
          <w:rFonts w:asciiTheme="minorHAnsi" w:hAnsiTheme="minorHAnsi" w:cstheme="minorHAnsi"/>
          <w:sz w:val="24"/>
          <w:szCs w:val="24"/>
        </w:rPr>
        <w:t xml:space="preserve">A variety of instruments and platforms will be used to collect information from respondents.  The annual burden hours requested are </w:t>
      </w:r>
      <w:r w:rsidR="008E11BC" w:rsidRPr="003D4D1F">
        <w:rPr>
          <w:rFonts w:asciiTheme="minorHAnsi" w:hAnsiTheme="minorHAnsi" w:cstheme="minorHAnsi"/>
          <w:sz w:val="24"/>
          <w:szCs w:val="24"/>
        </w:rPr>
        <w:t xml:space="preserve">estimated </w:t>
      </w:r>
      <w:r w:rsidRPr="003D4D1F">
        <w:rPr>
          <w:rFonts w:asciiTheme="minorHAnsi" w:hAnsiTheme="minorHAnsi" w:cstheme="minorHAnsi"/>
          <w:sz w:val="24"/>
          <w:szCs w:val="24"/>
        </w:rPr>
        <w:t xml:space="preserve">based on the number of collections we expect to conduct over the requested period for this clearance.  Although </w:t>
      </w:r>
      <w:r w:rsidR="008522DC">
        <w:rPr>
          <w:rFonts w:asciiTheme="minorHAnsi" w:hAnsiTheme="minorHAnsi" w:cstheme="minorHAnsi"/>
          <w:sz w:val="24"/>
          <w:szCs w:val="24"/>
        </w:rPr>
        <w:t>the</w:t>
      </w:r>
      <w:r w:rsidRPr="003D4D1F">
        <w:rPr>
          <w:rFonts w:asciiTheme="minorHAnsi" w:hAnsiTheme="minorHAnsi" w:cstheme="minorHAnsi"/>
          <w:sz w:val="24"/>
          <w:szCs w:val="24"/>
        </w:rPr>
        <w:t xml:space="preserve"> sample size is dependent on the size of the population, which has not yet been fully defined, to calculate a </w:t>
      </w:r>
      <w:r w:rsidR="008E11BC" w:rsidRPr="003D4D1F">
        <w:rPr>
          <w:rFonts w:asciiTheme="minorHAnsi" w:hAnsiTheme="minorHAnsi" w:cstheme="minorHAnsi"/>
          <w:sz w:val="24"/>
          <w:szCs w:val="24"/>
        </w:rPr>
        <w:t>probable</w:t>
      </w:r>
      <w:r w:rsidRPr="003D4D1F">
        <w:rPr>
          <w:rFonts w:asciiTheme="minorHAnsi" w:hAnsiTheme="minorHAnsi" w:cstheme="minorHAnsi"/>
          <w:sz w:val="24"/>
          <w:szCs w:val="24"/>
        </w:rPr>
        <w:t xml:space="preserve">, annual burden to respondents, we assume 300 responses across the test </w:t>
      </w:r>
      <w:r w:rsidR="00F6753C" w:rsidRPr="003D4D1F">
        <w:rPr>
          <w:rFonts w:asciiTheme="minorHAnsi" w:hAnsiTheme="minorHAnsi" w:cstheme="minorHAnsi"/>
          <w:sz w:val="24"/>
          <w:szCs w:val="24"/>
        </w:rPr>
        <w:t>models</w:t>
      </w:r>
      <w:r w:rsidRPr="003D4D1F">
        <w:rPr>
          <w:rFonts w:asciiTheme="minorHAnsi" w:hAnsiTheme="minorHAnsi" w:cstheme="minorHAnsi"/>
          <w:sz w:val="24"/>
          <w:szCs w:val="24"/>
        </w:rPr>
        <w:t xml:space="preserve">. These responses will consist of large and small recipient organizations. Recipients may elect to participate in one or more of the </w:t>
      </w:r>
      <w:r w:rsidR="003364FE" w:rsidRPr="003D4D1F">
        <w:rPr>
          <w:rFonts w:asciiTheme="minorHAnsi" w:hAnsiTheme="minorHAnsi" w:cstheme="minorHAnsi"/>
          <w:sz w:val="24"/>
          <w:szCs w:val="24"/>
        </w:rPr>
        <w:t>model</w:t>
      </w:r>
      <w:r w:rsidRPr="003D4D1F">
        <w:rPr>
          <w:rFonts w:asciiTheme="minorHAnsi" w:hAnsiTheme="minorHAnsi" w:cstheme="minorHAnsi"/>
          <w:sz w:val="24"/>
          <w:szCs w:val="24"/>
        </w:rPr>
        <w:t>s</w:t>
      </w:r>
      <w:r w:rsidR="00F740A6">
        <w:rPr>
          <w:rFonts w:asciiTheme="minorHAnsi" w:hAnsiTheme="minorHAnsi" w:cstheme="minorHAnsi"/>
          <w:sz w:val="24"/>
          <w:szCs w:val="24"/>
        </w:rPr>
        <w:t xml:space="preserve">.  </w:t>
      </w:r>
    </w:p>
    <w:p w14:paraId="32F28C24" w14:textId="47F4B63C" w:rsidR="00B334F4" w:rsidRPr="003D4D1F" w:rsidRDefault="00F740A6" w:rsidP="00AF7EF6">
      <w:pPr>
        <w:tabs>
          <w:tab w:val="left" w:pos="540"/>
        </w:tabs>
        <w:rPr>
          <w:rFonts w:asciiTheme="minorHAnsi" w:hAnsiTheme="minorHAnsi" w:cstheme="minorHAnsi"/>
          <w:sz w:val="24"/>
          <w:szCs w:val="24"/>
        </w:rPr>
      </w:pPr>
      <w:r>
        <w:rPr>
          <w:rFonts w:asciiTheme="minorHAnsi" w:hAnsiTheme="minorHAnsi" w:cstheme="minorHAnsi"/>
          <w:sz w:val="24"/>
          <w:szCs w:val="24"/>
        </w:rPr>
        <w:t xml:space="preserve">Each Test Model </w:t>
      </w:r>
      <w:r w:rsidRPr="00F740A6">
        <w:rPr>
          <w:rFonts w:asciiTheme="minorHAnsi" w:hAnsiTheme="minorHAnsi" w:cstheme="minorHAnsi"/>
          <w:sz w:val="24"/>
          <w:szCs w:val="24"/>
        </w:rPr>
        <w:t>will address the specific bu</w:t>
      </w:r>
      <w:r>
        <w:rPr>
          <w:rFonts w:asciiTheme="minorHAnsi" w:hAnsiTheme="minorHAnsi" w:cstheme="minorHAnsi"/>
          <w:sz w:val="24"/>
          <w:szCs w:val="24"/>
        </w:rPr>
        <w:t xml:space="preserve">rden amount </w:t>
      </w:r>
      <w:r w:rsidRPr="00F740A6">
        <w:rPr>
          <w:rFonts w:asciiTheme="minorHAnsi" w:hAnsiTheme="minorHAnsi" w:cstheme="minorHAnsi"/>
          <w:sz w:val="24"/>
          <w:szCs w:val="24"/>
        </w:rPr>
        <w:t>in the corresponding child clearance</w:t>
      </w:r>
      <w:r>
        <w:rPr>
          <w:rFonts w:asciiTheme="minorHAnsi" w:hAnsiTheme="minorHAnsi" w:cstheme="minorHAnsi"/>
          <w:sz w:val="24"/>
          <w:szCs w:val="24"/>
        </w:rPr>
        <w:t xml:space="preserve">.  </w:t>
      </w:r>
    </w:p>
    <w:p w14:paraId="04796652" w14:textId="77777777" w:rsidR="00F02E24" w:rsidRDefault="00F02E24" w:rsidP="00F70AB1">
      <w:pPr>
        <w:tabs>
          <w:tab w:val="left" w:pos="-1080"/>
          <w:tab w:val="left" w:pos="-720"/>
          <w:tab w:val="left" w:pos="0"/>
          <w:tab w:val="left" w:pos="450"/>
          <w:tab w:val="left" w:pos="720"/>
          <w:tab w:val="left" w:pos="2160"/>
        </w:tabs>
        <w:spacing w:after="0" w:line="240" w:lineRule="auto"/>
        <w:rPr>
          <w:rFonts w:asciiTheme="minorHAnsi" w:hAnsiTheme="minorHAnsi" w:cstheme="minorHAnsi"/>
          <w:sz w:val="24"/>
          <w:szCs w:val="24"/>
        </w:rPr>
      </w:pPr>
    </w:p>
    <w:tbl>
      <w:tblPr>
        <w:tblStyle w:val="TableGrid"/>
        <w:tblW w:w="0" w:type="auto"/>
        <w:tblLook w:val="04A0" w:firstRow="1" w:lastRow="0" w:firstColumn="1" w:lastColumn="0" w:noHBand="0" w:noVBand="1"/>
      </w:tblPr>
      <w:tblGrid>
        <w:gridCol w:w="1357"/>
        <w:gridCol w:w="2109"/>
        <w:gridCol w:w="1795"/>
        <w:gridCol w:w="1674"/>
        <w:gridCol w:w="1297"/>
      </w:tblGrid>
      <w:tr w:rsidR="008B4AAC" w14:paraId="67FD9866" w14:textId="77777777" w:rsidTr="008B4AAC">
        <w:tc>
          <w:tcPr>
            <w:tcW w:w="1357" w:type="dxa"/>
          </w:tcPr>
          <w:p w14:paraId="43AF1ECF" w14:textId="77777777" w:rsidR="008B4AAC"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color w:val="000000"/>
                <w:sz w:val="24"/>
                <w:szCs w:val="24"/>
              </w:rPr>
            </w:pPr>
          </w:p>
          <w:p w14:paraId="2BBE90C2" w14:textId="31371D60" w:rsidR="008B4AAC" w:rsidRPr="00150460"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b/>
                <w:sz w:val="24"/>
                <w:szCs w:val="24"/>
              </w:rPr>
            </w:pPr>
            <w:r>
              <w:rPr>
                <w:rFonts w:asciiTheme="minorHAnsi" w:hAnsiTheme="minorHAnsi" w:cstheme="minorHAnsi"/>
                <w:color w:val="000000"/>
                <w:sz w:val="24"/>
                <w:szCs w:val="24"/>
              </w:rPr>
              <w:t xml:space="preserve">Test Model </w:t>
            </w:r>
          </w:p>
        </w:tc>
        <w:tc>
          <w:tcPr>
            <w:tcW w:w="2109" w:type="dxa"/>
            <w:vAlign w:val="center"/>
          </w:tcPr>
          <w:p w14:paraId="48C42131" w14:textId="5F8E3584" w:rsidR="008B4AAC" w:rsidRPr="00150460" w:rsidRDefault="008B4AAC" w:rsidP="008B4AAC">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b/>
                <w:sz w:val="24"/>
                <w:szCs w:val="24"/>
              </w:rPr>
            </w:pPr>
            <w:r>
              <w:rPr>
                <w:rFonts w:asciiTheme="minorHAnsi" w:hAnsiTheme="minorHAnsi" w:cstheme="minorHAnsi"/>
                <w:color w:val="000000"/>
                <w:sz w:val="24"/>
                <w:szCs w:val="24"/>
              </w:rPr>
              <w:t xml:space="preserve">Type of Respondent </w:t>
            </w:r>
          </w:p>
        </w:tc>
        <w:tc>
          <w:tcPr>
            <w:tcW w:w="1795" w:type="dxa"/>
            <w:vAlign w:val="center"/>
          </w:tcPr>
          <w:p w14:paraId="273A2FEA" w14:textId="0F855214" w:rsidR="008B4AAC" w:rsidRPr="00150460" w:rsidRDefault="008B4AAC" w:rsidP="002825EB">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b/>
                <w:sz w:val="24"/>
                <w:szCs w:val="24"/>
              </w:rPr>
            </w:pPr>
            <w:r>
              <w:rPr>
                <w:rFonts w:asciiTheme="minorHAnsi" w:hAnsiTheme="minorHAnsi" w:cstheme="minorHAnsi"/>
                <w:color w:val="000000"/>
                <w:sz w:val="24"/>
                <w:szCs w:val="24"/>
              </w:rPr>
              <w:t xml:space="preserve">Number of respondents </w:t>
            </w:r>
          </w:p>
        </w:tc>
        <w:tc>
          <w:tcPr>
            <w:tcW w:w="1674" w:type="dxa"/>
            <w:vAlign w:val="center"/>
          </w:tcPr>
          <w:p w14:paraId="7E4CF90C" w14:textId="17EC6A93" w:rsidR="008B4AAC" w:rsidRPr="00150460"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b/>
                <w:sz w:val="24"/>
                <w:szCs w:val="24"/>
              </w:rPr>
            </w:pPr>
            <w:r>
              <w:rPr>
                <w:rFonts w:asciiTheme="minorHAnsi" w:hAnsiTheme="minorHAnsi" w:cstheme="minorHAnsi"/>
                <w:color w:val="000000"/>
                <w:sz w:val="24"/>
                <w:szCs w:val="24"/>
              </w:rPr>
              <w:t>Average Burden (in hours)</w:t>
            </w:r>
            <w:r w:rsidRPr="003D4D1F">
              <w:rPr>
                <w:rFonts w:asciiTheme="minorHAnsi" w:hAnsiTheme="minorHAnsi" w:cstheme="minorHAnsi"/>
                <w:color w:val="000000"/>
                <w:sz w:val="24"/>
                <w:szCs w:val="24"/>
              </w:rPr>
              <w:t xml:space="preserve"> per Response</w:t>
            </w:r>
          </w:p>
        </w:tc>
        <w:tc>
          <w:tcPr>
            <w:tcW w:w="1297" w:type="dxa"/>
            <w:vAlign w:val="center"/>
          </w:tcPr>
          <w:p w14:paraId="69FB47C7" w14:textId="545E7F5A" w:rsidR="008B4AAC" w:rsidRPr="00150460"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b/>
                <w:sz w:val="24"/>
                <w:szCs w:val="24"/>
              </w:rPr>
            </w:pPr>
            <w:r w:rsidRPr="003D4D1F">
              <w:rPr>
                <w:rFonts w:asciiTheme="minorHAnsi" w:hAnsiTheme="minorHAnsi" w:cstheme="minorHAnsi"/>
                <w:color w:val="000000"/>
                <w:sz w:val="24"/>
                <w:szCs w:val="24"/>
              </w:rPr>
              <w:t xml:space="preserve">Total </w:t>
            </w:r>
            <w:r>
              <w:rPr>
                <w:rFonts w:asciiTheme="minorHAnsi" w:hAnsiTheme="minorHAnsi" w:cstheme="minorHAnsi"/>
                <w:color w:val="000000"/>
                <w:sz w:val="24"/>
                <w:szCs w:val="24"/>
              </w:rPr>
              <w:t xml:space="preserve">Burden </w:t>
            </w:r>
            <w:r w:rsidRPr="003D4D1F">
              <w:rPr>
                <w:rFonts w:asciiTheme="minorHAnsi" w:hAnsiTheme="minorHAnsi" w:cstheme="minorHAnsi"/>
                <w:color w:val="000000"/>
                <w:sz w:val="24"/>
                <w:szCs w:val="24"/>
              </w:rPr>
              <w:t>Hours</w:t>
            </w:r>
          </w:p>
        </w:tc>
      </w:tr>
      <w:tr w:rsidR="008B4AAC" w14:paraId="39068F25" w14:textId="77777777" w:rsidTr="008B4AAC">
        <w:tc>
          <w:tcPr>
            <w:tcW w:w="1357" w:type="dxa"/>
          </w:tcPr>
          <w:p w14:paraId="06CC6B9B" w14:textId="20AABBB2" w:rsidR="008B4AAC"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sz w:val="24"/>
                <w:szCs w:val="24"/>
              </w:rPr>
            </w:pPr>
            <w:r>
              <w:rPr>
                <w:rFonts w:asciiTheme="minorHAnsi" w:hAnsiTheme="minorHAnsi" w:cstheme="minorHAnsi"/>
                <w:sz w:val="24"/>
                <w:szCs w:val="24"/>
              </w:rPr>
              <w:t>1</w:t>
            </w:r>
          </w:p>
        </w:tc>
        <w:tc>
          <w:tcPr>
            <w:tcW w:w="2109" w:type="dxa"/>
          </w:tcPr>
          <w:p w14:paraId="6B48D805" w14:textId="0AB5A9F1" w:rsidR="008B4AAC"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sz w:val="24"/>
                <w:szCs w:val="24"/>
              </w:rPr>
            </w:pPr>
            <w:r>
              <w:rPr>
                <w:rFonts w:asciiTheme="minorHAnsi" w:hAnsiTheme="minorHAnsi" w:cstheme="minorHAnsi"/>
                <w:sz w:val="24"/>
                <w:szCs w:val="24"/>
              </w:rPr>
              <w:t>Form and Survey</w:t>
            </w:r>
          </w:p>
        </w:tc>
        <w:tc>
          <w:tcPr>
            <w:tcW w:w="1795" w:type="dxa"/>
            <w:vAlign w:val="center"/>
          </w:tcPr>
          <w:p w14:paraId="6494394A" w14:textId="21178662" w:rsidR="008B4AAC"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sz w:val="24"/>
                <w:szCs w:val="24"/>
              </w:rPr>
            </w:pPr>
            <w:r>
              <w:t>60</w:t>
            </w:r>
          </w:p>
        </w:tc>
        <w:tc>
          <w:tcPr>
            <w:tcW w:w="1674" w:type="dxa"/>
            <w:vAlign w:val="center"/>
          </w:tcPr>
          <w:p w14:paraId="2566C74B" w14:textId="087727D6" w:rsidR="008B4AAC" w:rsidRDefault="008B4AAC" w:rsidP="002F57E3">
            <w:pPr>
              <w:tabs>
                <w:tab w:val="left" w:pos="-1080"/>
                <w:tab w:val="left" w:pos="-720"/>
                <w:tab w:val="left" w:pos="0"/>
                <w:tab w:val="left" w:pos="450"/>
                <w:tab w:val="left" w:pos="720"/>
                <w:tab w:val="left" w:pos="2160"/>
              </w:tabs>
              <w:spacing w:after="0" w:line="240" w:lineRule="auto"/>
              <w:jc w:val="right"/>
              <w:rPr>
                <w:rFonts w:asciiTheme="minorHAnsi" w:hAnsiTheme="minorHAnsi" w:cstheme="minorHAnsi"/>
                <w:sz w:val="24"/>
                <w:szCs w:val="24"/>
              </w:rPr>
            </w:pPr>
            <w:r>
              <w:t>24.5</w:t>
            </w:r>
          </w:p>
        </w:tc>
        <w:tc>
          <w:tcPr>
            <w:tcW w:w="1297" w:type="dxa"/>
            <w:vAlign w:val="center"/>
          </w:tcPr>
          <w:p w14:paraId="72F841F0" w14:textId="582F1D08" w:rsidR="008B4AAC" w:rsidRDefault="008B4AAC" w:rsidP="002F57E3">
            <w:pPr>
              <w:tabs>
                <w:tab w:val="left" w:pos="-1080"/>
                <w:tab w:val="left" w:pos="-720"/>
                <w:tab w:val="left" w:pos="0"/>
                <w:tab w:val="left" w:pos="450"/>
                <w:tab w:val="left" w:pos="720"/>
                <w:tab w:val="left" w:pos="2160"/>
              </w:tabs>
              <w:spacing w:after="0" w:line="240" w:lineRule="auto"/>
              <w:jc w:val="right"/>
              <w:rPr>
                <w:rFonts w:asciiTheme="minorHAnsi" w:hAnsiTheme="minorHAnsi" w:cstheme="minorHAnsi"/>
                <w:sz w:val="24"/>
                <w:szCs w:val="24"/>
              </w:rPr>
            </w:pPr>
            <w:r>
              <w:t xml:space="preserve">           1,470 </w:t>
            </w:r>
          </w:p>
        </w:tc>
      </w:tr>
      <w:tr w:rsidR="008B4AAC" w14:paraId="6CFCE7FE" w14:textId="77777777" w:rsidTr="008B4AAC">
        <w:tc>
          <w:tcPr>
            <w:tcW w:w="1357" w:type="dxa"/>
          </w:tcPr>
          <w:p w14:paraId="4BAE5B21" w14:textId="572DA028" w:rsidR="008B4AAC"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sz w:val="24"/>
                <w:szCs w:val="24"/>
              </w:rPr>
            </w:pPr>
            <w:r>
              <w:rPr>
                <w:rFonts w:asciiTheme="minorHAnsi" w:hAnsiTheme="minorHAnsi" w:cstheme="minorHAnsi"/>
                <w:sz w:val="24"/>
                <w:szCs w:val="24"/>
              </w:rPr>
              <w:t>3</w:t>
            </w:r>
          </w:p>
        </w:tc>
        <w:tc>
          <w:tcPr>
            <w:tcW w:w="2109" w:type="dxa"/>
          </w:tcPr>
          <w:p w14:paraId="7AEACEE9" w14:textId="2FF8AD21" w:rsidR="008B4AAC"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sz w:val="24"/>
                <w:szCs w:val="24"/>
              </w:rPr>
            </w:pPr>
            <w:r>
              <w:rPr>
                <w:rFonts w:asciiTheme="minorHAnsi" w:hAnsiTheme="minorHAnsi" w:cstheme="minorHAnsi"/>
                <w:sz w:val="24"/>
                <w:szCs w:val="24"/>
              </w:rPr>
              <w:t>Form and Survey</w:t>
            </w:r>
          </w:p>
        </w:tc>
        <w:tc>
          <w:tcPr>
            <w:tcW w:w="1795" w:type="dxa"/>
            <w:vAlign w:val="center"/>
          </w:tcPr>
          <w:p w14:paraId="1D10BD41" w14:textId="22799ED0" w:rsidR="008B4AAC"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sz w:val="24"/>
                <w:szCs w:val="24"/>
              </w:rPr>
            </w:pPr>
            <w:r>
              <w:t>60</w:t>
            </w:r>
          </w:p>
        </w:tc>
        <w:tc>
          <w:tcPr>
            <w:tcW w:w="1674" w:type="dxa"/>
            <w:vAlign w:val="center"/>
          </w:tcPr>
          <w:p w14:paraId="26391CCA" w14:textId="54431949" w:rsidR="008B4AAC" w:rsidRDefault="008B4AAC" w:rsidP="002F57E3">
            <w:pPr>
              <w:tabs>
                <w:tab w:val="left" w:pos="-1080"/>
                <w:tab w:val="left" w:pos="-720"/>
                <w:tab w:val="left" w:pos="0"/>
                <w:tab w:val="left" w:pos="450"/>
                <w:tab w:val="left" w:pos="720"/>
                <w:tab w:val="left" w:pos="2160"/>
              </w:tabs>
              <w:spacing w:after="0" w:line="240" w:lineRule="auto"/>
              <w:jc w:val="right"/>
              <w:rPr>
                <w:rFonts w:asciiTheme="minorHAnsi" w:hAnsiTheme="minorHAnsi" w:cstheme="minorHAnsi"/>
                <w:sz w:val="24"/>
                <w:szCs w:val="24"/>
              </w:rPr>
            </w:pPr>
            <w:r>
              <w:t>8.2</w:t>
            </w:r>
          </w:p>
        </w:tc>
        <w:tc>
          <w:tcPr>
            <w:tcW w:w="1297" w:type="dxa"/>
            <w:vAlign w:val="center"/>
          </w:tcPr>
          <w:p w14:paraId="7812315E" w14:textId="3EA22F9C" w:rsidR="008B4AAC" w:rsidRDefault="008B4AAC" w:rsidP="002F57E3">
            <w:pPr>
              <w:tabs>
                <w:tab w:val="left" w:pos="-1080"/>
                <w:tab w:val="left" w:pos="-720"/>
                <w:tab w:val="left" w:pos="0"/>
                <w:tab w:val="left" w:pos="450"/>
                <w:tab w:val="left" w:pos="720"/>
                <w:tab w:val="left" w:pos="2160"/>
              </w:tabs>
              <w:spacing w:after="0" w:line="240" w:lineRule="auto"/>
              <w:jc w:val="right"/>
              <w:rPr>
                <w:rFonts w:asciiTheme="minorHAnsi" w:hAnsiTheme="minorHAnsi" w:cstheme="minorHAnsi"/>
                <w:sz w:val="24"/>
                <w:szCs w:val="24"/>
              </w:rPr>
            </w:pPr>
            <w:r>
              <w:t xml:space="preserve">               490 </w:t>
            </w:r>
          </w:p>
        </w:tc>
      </w:tr>
      <w:tr w:rsidR="008B4AAC" w14:paraId="3D0E0009" w14:textId="77777777" w:rsidTr="008B4AAC">
        <w:tc>
          <w:tcPr>
            <w:tcW w:w="1357" w:type="dxa"/>
          </w:tcPr>
          <w:p w14:paraId="3D5CFD6D" w14:textId="7AA0C8FC" w:rsidR="008B4AAC" w:rsidRDefault="008B4AAC" w:rsidP="002825EB">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sz w:val="24"/>
                <w:szCs w:val="24"/>
              </w:rPr>
            </w:pPr>
            <w:r>
              <w:rPr>
                <w:rFonts w:asciiTheme="minorHAnsi" w:hAnsiTheme="minorHAnsi" w:cstheme="minorHAnsi"/>
                <w:sz w:val="24"/>
                <w:szCs w:val="24"/>
              </w:rPr>
              <w:t>4</w:t>
            </w:r>
          </w:p>
        </w:tc>
        <w:tc>
          <w:tcPr>
            <w:tcW w:w="2109" w:type="dxa"/>
          </w:tcPr>
          <w:p w14:paraId="337305B5" w14:textId="4F8158CB" w:rsidR="008B4AAC"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sz w:val="24"/>
                <w:szCs w:val="24"/>
              </w:rPr>
            </w:pPr>
            <w:r>
              <w:rPr>
                <w:rFonts w:asciiTheme="minorHAnsi" w:hAnsiTheme="minorHAnsi" w:cstheme="minorHAnsi"/>
                <w:sz w:val="24"/>
                <w:szCs w:val="24"/>
              </w:rPr>
              <w:t>Form and Survey</w:t>
            </w:r>
          </w:p>
        </w:tc>
        <w:tc>
          <w:tcPr>
            <w:tcW w:w="1795" w:type="dxa"/>
            <w:vAlign w:val="center"/>
          </w:tcPr>
          <w:p w14:paraId="5EAEB2B0" w14:textId="110B7A83" w:rsidR="008B4AAC"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sz w:val="24"/>
                <w:szCs w:val="24"/>
              </w:rPr>
            </w:pPr>
            <w:r>
              <w:t>60</w:t>
            </w:r>
          </w:p>
        </w:tc>
        <w:tc>
          <w:tcPr>
            <w:tcW w:w="1674" w:type="dxa"/>
            <w:vAlign w:val="center"/>
          </w:tcPr>
          <w:p w14:paraId="6F0A0425" w14:textId="53D5FE7B" w:rsidR="008B4AAC" w:rsidRDefault="008B4AAC" w:rsidP="002F57E3">
            <w:pPr>
              <w:tabs>
                <w:tab w:val="left" w:pos="-1080"/>
                <w:tab w:val="left" w:pos="-720"/>
                <w:tab w:val="left" w:pos="0"/>
                <w:tab w:val="left" w:pos="450"/>
                <w:tab w:val="left" w:pos="720"/>
                <w:tab w:val="left" w:pos="2160"/>
              </w:tabs>
              <w:spacing w:after="0" w:line="240" w:lineRule="auto"/>
              <w:jc w:val="right"/>
              <w:rPr>
                <w:rFonts w:asciiTheme="minorHAnsi" w:hAnsiTheme="minorHAnsi" w:cstheme="minorHAnsi"/>
                <w:sz w:val="24"/>
                <w:szCs w:val="24"/>
              </w:rPr>
            </w:pPr>
            <w:r>
              <w:t>238.8</w:t>
            </w:r>
          </w:p>
        </w:tc>
        <w:tc>
          <w:tcPr>
            <w:tcW w:w="1297" w:type="dxa"/>
            <w:vAlign w:val="center"/>
          </w:tcPr>
          <w:p w14:paraId="6E4DE318" w14:textId="240822C5" w:rsidR="008B4AAC" w:rsidRDefault="008B4AAC" w:rsidP="002F57E3">
            <w:pPr>
              <w:tabs>
                <w:tab w:val="left" w:pos="-1080"/>
                <w:tab w:val="left" w:pos="-720"/>
                <w:tab w:val="left" w:pos="0"/>
                <w:tab w:val="left" w:pos="450"/>
                <w:tab w:val="left" w:pos="720"/>
                <w:tab w:val="left" w:pos="2160"/>
              </w:tabs>
              <w:spacing w:after="0" w:line="240" w:lineRule="auto"/>
              <w:jc w:val="right"/>
              <w:rPr>
                <w:rFonts w:asciiTheme="minorHAnsi" w:hAnsiTheme="minorHAnsi" w:cstheme="minorHAnsi"/>
                <w:sz w:val="24"/>
                <w:szCs w:val="24"/>
              </w:rPr>
            </w:pPr>
            <w:r>
              <w:t xml:space="preserve">         14,328 </w:t>
            </w:r>
          </w:p>
        </w:tc>
      </w:tr>
      <w:tr w:rsidR="008B4AAC" w14:paraId="3FF57874" w14:textId="77777777" w:rsidTr="008B4AAC">
        <w:tc>
          <w:tcPr>
            <w:tcW w:w="1357" w:type="dxa"/>
          </w:tcPr>
          <w:p w14:paraId="5D243DE6" w14:textId="60A93D3C" w:rsidR="008B4AAC"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sz w:val="24"/>
                <w:szCs w:val="24"/>
              </w:rPr>
            </w:pPr>
            <w:r>
              <w:rPr>
                <w:rFonts w:asciiTheme="minorHAnsi" w:hAnsiTheme="minorHAnsi" w:cstheme="minorHAnsi"/>
                <w:sz w:val="24"/>
                <w:szCs w:val="24"/>
              </w:rPr>
              <w:t>5</w:t>
            </w:r>
          </w:p>
        </w:tc>
        <w:tc>
          <w:tcPr>
            <w:tcW w:w="2109" w:type="dxa"/>
          </w:tcPr>
          <w:p w14:paraId="52677838" w14:textId="13A2594B" w:rsidR="008B4AAC"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sz w:val="24"/>
                <w:szCs w:val="24"/>
              </w:rPr>
            </w:pPr>
            <w:r>
              <w:rPr>
                <w:rFonts w:asciiTheme="minorHAnsi" w:hAnsiTheme="minorHAnsi" w:cstheme="minorHAnsi"/>
                <w:sz w:val="24"/>
                <w:szCs w:val="24"/>
              </w:rPr>
              <w:t>Form and Survey</w:t>
            </w:r>
          </w:p>
        </w:tc>
        <w:tc>
          <w:tcPr>
            <w:tcW w:w="1795" w:type="dxa"/>
            <w:vAlign w:val="center"/>
          </w:tcPr>
          <w:p w14:paraId="667BEA1D" w14:textId="672AB715" w:rsidR="008B4AAC"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sz w:val="24"/>
                <w:szCs w:val="24"/>
              </w:rPr>
            </w:pPr>
            <w:r>
              <w:t>60</w:t>
            </w:r>
          </w:p>
        </w:tc>
        <w:tc>
          <w:tcPr>
            <w:tcW w:w="1674" w:type="dxa"/>
            <w:vAlign w:val="center"/>
          </w:tcPr>
          <w:p w14:paraId="3AD13859" w14:textId="6D8187C9" w:rsidR="008B4AAC" w:rsidRDefault="008B4AAC" w:rsidP="002F57E3">
            <w:pPr>
              <w:tabs>
                <w:tab w:val="left" w:pos="-1080"/>
                <w:tab w:val="left" w:pos="-720"/>
                <w:tab w:val="left" w:pos="0"/>
                <w:tab w:val="left" w:pos="450"/>
                <w:tab w:val="left" w:pos="720"/>
                <w:tab w:val="left" w:pos="2160"/>
              </w:tabs>
              <w:spacing w:after="0" w:line="240" w:lineRule="auto"/>
              <w:jc w:val="right"/>
              <w:rPr>
                <w:rFonts w:asciiTheme="minorHAnsi" w:hAnsiTheme="minorHAnsi" w:cstheme="minorHAnsi"/>
                <w:sz w:val="24"/>
                <w:szCs w:val="24"/>
              </w:rPr>
            </w:pPr>
            <w:r>
              <w:t>3.3</w:t>
            </w:r>
          </w:p>
        </w:tc>
        <w:tc>
          <w:tcPr>
            <w:tcW w:w="1297" w:type="dxa"/>
            <w:vAlign w:val="center"/>
          </w:tcPr>
          <w:p w14:paraId="076B71B2" w14:textId="657AFC16" w:rsidR="008B4AAC" w:rsidRDefault="008B4AAC" w:rsidP="002F57E3">
            <w:pPr>
              <w:tabs>
                <w:tab w:val="left" w:pos="-1080"/>
                <w:tab w:val="left" w:pos="-720"/>
                <w:tab w:val="left" w:pos="0"/>
                <w:tab w:val="left" w:pos="450"/>
                <w:tab w:val="left" w:pos="720"/>
                <w:tab w:val="left" w:pos="2160"/>
              </w:tabs>
              <w:spacing w:after="0" w:line="240" w:lineRule="auto"/>
              <w:jc w:val="right"/>
              <w:rPr>
                <w:rFonts w:asciiTheme="minorHAnsi" w:hAnsiTheme="minorHAnsi" w:cstheme="minorHAnsi"/>
                <w:sz w:val="24"/>
                <w:szCs w:val="24"/>
              </w:rPr>
            </w:pPr>
            <w:r>
              <w:t xml:space="preserve">               196 </w:t>
            </w:r>
          </w:p>
        </w:tc>
      </w:tr>
      <w:tr w:rsidR="008B4AAC" w14:paraId="3EAFB1FA" w14:textId="77777777" w:rsidTr="008B4AAC">
        <w:trPr>
          <w:trHeight w:val="323"/>
        </w:trPr>
        <w:tc>
          <w:tcPr>
            <w:tcW w:w="1357" w:type="dxa"/>
          </w:tcPr>
          <w:p w14:paraId="471ADC39" w14:textId="09C5C071" w:rsidR="008B4AAC"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sz w:val="24"/>
                <w:szCs w:val="24"/>
              </w:rPr>
            </w:pPr>
            <w:r>
              <w:rPr>
                <w:rFonts w:asciiTheme="minorHAnsi" w:hAnsiTheme="minorHAnsi" w:cstheme="minorHAnsi"/>
                <w:sz w:val="24"/>
                <w:szCs w:val="24"/>
              </w:rPr>
              <w:t>6</w:t>
            </w:r>
          </w:p>
        </w:tc>
        <w:tc>
          <w:tcPr>
            <w:tcW w:w="2109" w:type="dxa"/>
          </w:tcPr>
          <w:p w14:paraId="6C7F47A1" w14:textId="071ED15F" w:rsidR="008B4AAC"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sz w:val="24"/>
                <w:szCs w:val="24"/>
              </w:rPr>
            </w:pPr>
            <w:r>
              <w:rPr>
                <w:rFonts w:asciiTheme="minorHAnsi" w:hAnsiTheme="minorHAnsi" w:cstheme="minorHAnsi"/>
                <w:sz w:val="24"/>
                <w:szCs w:val="24"/>
              </w:rPr>
              <w:t>Quiz and Survey</w:t>
            </w:r>
          </w:p>
        </w:tc>
        <w:tc>
          <w:tcPr>
            <w:tcW w:w="1795" w:type="dxa"/>
            <w:vAlign w:val="center"/>
          </w:tcPr>
          <w:p w14:paraId="69EBCBEB" w14:textId="3A25CF5B" w:rsidR="008B4AAC"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sz w:val="24"/>
                <w:szCs w:val="24"/>
              </w:rPr>
            </w:pPr>
            <w:r>
              <w:t>60</w:t>
            </w:r>
          </w:p>
        </w:tc>
        <w:tc>
          <w:tcPr>
            <w:tcW w:w="1674" w:type="dxa"/>
            <w:vAlign w:val="center"/>
          </w:tcPr>
          <w:p w14:paraId="15FAEDE2" w14:textId="34308475" w:rsidR="008B4AAC" w:rsidRDefault="008B4AAC" w:rsidP="002F57E3">
            <w:pPr>
              <w:tabs>
                <w:tab w:val="left" w:pos="-1080"/>
                <w:tab w:val="left" w:pos="-720"/>
                <w:tab w:val="left" w:pos="0"/>
                <w:tab w:val="left" w:pos="450"/>
                <w:tab w:val="left" w:pos="720"/>
                <w:tab w:val="left" w:pos="2160"/>
              </w:tabs>
              <w:spacing w:after="0" w:line="240" w:lineRule="auto"/>
              <w:jc w:val="right"/>
              <w:rPr>
                <w:rFonts w:asciiTheme="minorHAnsi" w:hAnsiTheme="minorHAnsi" w:cstheme="minorHAnsi"/>
                <w:sz w:val="24"/>
                <w:szCs w:val="24"/>
              </w:rPr>
            </w:pPr>
            <w:r>
              <w:t>6.5</w:t>
            </w:r>
          </w:p>
        </w:tc>
        <w:tc>
          <w:tcPr>
            <w:tcW w:w="1297" w:type="dxa"/>
            <w:vAlign w:val="center"/>
          </w:tcPr>
          <w:p w14:paraId="5684C613" w14:textId="61016708" w:rsidR="008B4AAC" w:rsidRDefault="008B4AAC" w:rsidP="002F57E3">
            <w:pPr>
              <w:tabs>
                <w:tab w:val="left" w:pos="-1080"/>
                <w:tab w:val="left" w:pos="-720"/>
                <w:tab w:val="left" w:pos="0"/>
                <w:tab w:val="left" w:pos="450"/>
                <w:tab w:val="left" w:pos="720"/>
                <w:tab w:val="left" w:pos="2160"/>
              </w:tabs>
              <w:spacing w:after="0" w:line="240" w:lineRule="auto"/>
              <w:jc w:val="right"/>
              <w:rPr>
                <w:rFonts w:asciiTheme="minorHAnsi" w:hAnsiTheme="minorHAnsi" w:cstheme="minorHAnsi"/>
                <w:sz w:val="24"/>
                <w:szCs w:val="24"/>
              </w:rPr>
            </w:pPr>
            <w:r>
              <w:t xml:space="preserve">               392 </w:t>
            </w:r>
          </w:p>
        </w:tc>
      </w:tr>
      <w:tr w:rsidR="008B4AAC" w14:paraId="6E81786B" w14:textId="77777777" w:rsidTr="008B4AAC">
        <w:tc>
          <w:tcPr>
            <w:tcW w:w="1357" w:type="dxa"/>
          </w:tcPr>
          <w:p w14:paraId="754B8CF3" w14:textId="252E94D3" w:rsidR="008B4AAC" w:rsidRPr="00150460"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b/>
                <w:sz w:val="24"/>
                <w:szCs w:val="24"/>
              </w:rPr>
            </w:pPr>
            <w:r w:rsidRPr="00150460">
              <w:rPr>
                <w:rFonts w:asciiTheme="minorHAnsi" w:hAnsiTheme="minorHAnsi" w:cstheme="minorHAnsi"/>
                <w:b/>
                <w:sz w:val="24"/>
                <w:szCs w:val="24"/>
              </w:rPr>
              <w:t>Total</w:t>
            </w:r>
          </w:p>
        </w:tc>
        <w:tc>
          <w:tcPr>
            <w:tcW w:w="2109" w:type="dxa"/>
          </w:tcPr>
          <w:p w14:paraId="6E6B2AE7" w14:textId="77777777" w:rsidR="008B4AAC" w:rsidRPr="00150460"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b/>
                <w:sz w:val="24"/>
                <w:szCs w:val="24"/>
              </w:rPr>
            </w:pPr>
          </w:p>
        </w:tc>
        <w:tc>
          <w:tcPr>
            <w:tcW w:w="1795" w:type="dxa"/>
          </w:tcPr>
          <w:p w14:paraId="2059DE06" w14:textId="20D720B3" w:rsidR="008B4AAC" w:rsidRPr="00150460"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b/>
                <w:sz w:val="24"/>
                <w:szCs w:val="24"/>
              </w:rPr>
            </w:pPr>
            <w:r w:rsidRPr="00150460">
              <w:rPr>
                <w:rFonts w:asciiTheme="minorHAnsi" w:hAnsiTheme="minorHAnsi" w:cstheme="minorHAnsi"/>
                <w:b/>
                <w:sz w:val="24"/>
                <w:szCs w:val="24"/>
              </w:rPr>
              <w:t>300</w:t>
            </w:r>
          </w:p>
        </w:tc>
        <w:tc>
          <w:tcPr>
            <w:tcW w:w="1674" w:type="dxa"/>
          </w:tcPr>
          <w:p w14:paraId="32A75AA1" w14:textId="3F71DD2F" w:rsidR="008B4AAC" w:rsidRPr="00150460" w:rsidRDefault="008B4AAC" w:rsidP="00150460">
            <w:pPr>
              <w:tabs>
                <w:tab w:val="left" w:pos="-1080"/>
                <w:tab w:val="left" w:pos="-720"/>
                <w:tab w:val="left" w:pos="0"/>
                <w:tab w:val="left" w:pos="450"/>
                <w:tab w:val="left" w:pos="720"/>
                <w:tab w:val="left" w:pos="2160"/>
              </w:tabs>
              <w:spacing w:after="0" w:line="240" w:lineRule="auto"/>
              <w:jc w:val="center"/>
              <w:rPr>
                <w:rFonts w:asciiTheme="minorHAnsi" w:hAnsiTheme="minorHAnsi" w:cstheme="minorHAnsi"/>
                <w:b/>
                <w:sz w:val="24"/>
                <w:szCs w:val="24"/>
              </w:rPr>
            </w:pPr>
          </w:p>
        </w:tc>
        <w:tc>
          <w:tcPr>
            <w:tcW w:w="1297" w:type="dxa"/>
          </w:tcPr>
          <w:p w14:paraId="594CB325" w14:textId="0DDA8CA7" w:rsidR="008B4AAC" w:rsidRPr="00150460" w:rsidRDefault="008B4AAC" w:rsidP="002F57E3">
            <w:pPr>
              <w:tabs>
                <w:tab w:val="left" w:pos="-1080"/>
                <w:tab w:val="left" w:pos="-720"/>
                <w:tab w:val="left" w:pos="0"/>
                <w:tab w:val="left" w:pos="450"/>
                <w:tab w:val="left" w:pos="720"/>
                <w:tab w:val="left" w:pos="2160"/>
              </w:tabs>
              <w:spacing w:after="0" w:line="240" w:lineRule="auto"/>
              <w:jc w:val="right"/>
              <w:rPr>
                <w:rFonts w:asciiTheme="minorHAnsi" w:hAnsiTheme="minorHAnsi" w:cstheme="minorHAnsi"/>
                <w:b/>
                <w:sz w:val="24"/>
                <w:szCs w:val="24"/>
              </w:rPr>
            </w:pPr>
            <w:r w:rsidRPr="00D33BB1">
              <w:rPr>
                <w:b/>
                <w:bCs/>
              </w:rPr>
              <w:t>16,876</w:t>
            </w:r>
          </w:p>
        </w:tc>
      </w:tr>
    </w:tbl>
    <w:p w14:paraId="7ACB7569" w14:textId="77777777" w:rsidR="00566D69" w:rsidRDefault="00566D69" w:rsidP="00F70AB1">
      <w:pPr>
        <w:tabs>
          <w:tab w:val="left" w:pos="-1080"/>
          <w:tab w:val="left" w:pos="-720"/>
          <w:tab w:val="left" w:pos="0"/>
          <w:tab w:val="left" w:pos="450"/>
          <w:tab w:val="left" w:pos="720"/>
          <w:tab w:val="left" w:pos="2160"/>
        </w:tabs>
        <w:spacing w:after="0" w:line="240" w:lineRule="auto"/>
        <w:rPr>
          <w:rFonts w:asciiTheme="minorHAnsi" w:hAnsiTheme="minorHAnsi" w:cstheme="minorHAnsi"/>
          <w:sz w:val="24"/>
          <w:szCs w:val="24"/>
        </w:rPr>
      </w:pPr>
    </w:p>
    <w:p w14:paraId="014462AE" w14:textId="77777777" w:rsidR="00B334F4" w:rsidRDefault="00B334F4" w:rsidP="00F70AB1">
      <w:pPr>
        <w:tabs>
          <w:tab w:val="left" w:pos="-1080"/>
          <w:tab w:val="left" w:pos="-720"/>
          <w:tab w:val="left" w:pos="0"/>
          <w:tab w:val="left" w:pos="450"/>
          <w:tab w:val="left" w:pos="720"/>
          <w:tab w:val="left" w:pos="2160"/>
        </w:tabs>
        <w:spacing w:after="0" w:line="240" w:lineRule="auto"/>
        <w:rPr>
          <w:rFonts w:asciiTheme="minorHAnsi" w:hAnsiTheme="minorHAnsi" w:cstheme="minorHAnsi"/>
          <w:sz w:val="24"/>
          <w:szCs w:val="24"/>
        </w:rPr>
      </w:pPr>
    </w:p>
    <w:p w14:paraId="378A6BDA" w14:textId="77777777" w:rsidR="00B334F4" w:rsidRPr="00B334F4" w:rsidRDefault="00B334F4" w:rsidP="00F70AB1">
      <w:pPr>
        <w:tabs>
          <w:tab w:val="left" w:pos="-1080"/>
          <w:tab w:val="left" w:pos="-720"/>
          <w:tab w:val="left" w:pos="0"/>
          <w:tab w:val="left" w:pos="450"/>
          <w:tab w:val="left" w:pos="720"/>
          <w:tab w:val="left" w:pos="2160"/>
        </w:tabs>
        <w:spacing w:after="0" w:line="240" w:lineRule="auto"/>
        <w:rPr>
          <w:rFonts w:asciiTheme="minorHAnsi" w:hAnsiTheme="minorHAnsi" w:cstheme="minorHAnsi"/>
          <w:sz w:val="24"/>
          <w:szCs w:val="24"/>
        </w:rPr>
      </w:pPr>
    </w:p>
    <w:p w14:paraId="7F3CEF52" w14:textId="77777777" w:rsidR="00F70AB1" w:rsidRPr="00020C8F" w:rsidRDefault="00F70AB1" w:rsidP="00F70AB1">
      <w:pPr>
        <w:pStyle w:val="ListParagraph"/>
        <w:numPr>
          <w:ilvl w:val="0"/>
          <w:numId w:val="2"/>
        </w:numPr>
        <w:spacing w:after="0" w:line="240" w:lineRule="auto"/>
        <w:ind w:left="0"/>
        <w:rPr>
          <w:rFonts w:asciiTheme="minorHAnsi" w:hAnsiTheme="minorHAnsi" w:cstheme="minorHAnsi"/>
          <w:b/>
          <w:sz w:val="24"/>
          <w:szCs w:val="24"/>
        </w:rPr>
      </w:pPr>
      <w:r w:rsidRPr="00020C8F">
        <w:rPr>
          <w:rFonts w:asciiTheme="minorHAnsi" w:hAnsiTheme="minorHAnsi" w:cstheme="minorHAnsi"/>
          <w:b/>
          <w:sz w:val="24"/>
          <w:szCs w:val="24"/>
        </w:rPr>
        <w:t>Costs to Respondents</w:t>
      </w:r>
    </w:p>
    <w:p w14:paraId="5FB60EE7" w14:textId="77777777" w:rsidR="00F70AB1" w:rsidRPr="00020C8F" w:rsidRDefault="00F70AB1" w:rsidP="00F70AB1">
      <w:pPr>
        <w:pStyle w:val="ListParagraph"/>
        <w:spacing w:after="0" w:line="240" w:lineRule="auto"/>
        <w:ind w:left="0"/>
        <w:rPr>
          <w:rFonts w:asciiTheme="minorHAnsi" w:hAnsiTheme="minorHAnsi" w:cstheme="minorHAnsi"/>
          <w:b/>
          <w:sz w:val="24"/>
          <w:szCs w:val="24"/>
        </w:rPr>
      </w:pPr>
    </w:p>
    <w:p w14:paraId="27373BEB" w14:textId="6D3F601A" w:rsidR="0042445A" w:rsidRPr="00020C8F" w:rsidRDefault="00F70AB1" w:rsidP="00F70AB1">
      <w:p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No costs are anticipated.</w:t>
      </w:r>
    </w:p>
    <w:p w14:paraId="1E27791B" w14:textId="6A1F5652" w:rsidR="00580759" w:rsidRPr="00020C8F" w:rsidRDefault="00F70AB1" w:rsidP="00F70AB1">
      <w:p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 xml:space="preserve">  </w:t>
      </w:r>
    </w:p>
    <w:p w14:paraId="4AF7C055" w14:textId="3C9FAF67" w:rsidR="00F70AB1" w:rsidRPr="00020C8F" w:rsidRDefault="00F70AB1" w:rsidP="00F70AB1">
      <w:pPr>
        <w:pStyle w:val="ListParagraph"/>
        <w:numPr>
          <w:ilvl w:val="0"/>
          <w:numId w:val="2"/>
        </w:numPr>
        <w:spacing w:after="0" w:line="240" w:lineRule="auto"/>
        <w:ind w:left="0"/>
        <w:rPr>
          <w:rFonts w:asciiTheme="minorHAnsi" w:hAnsiTheme="minorHAnsi" w:cstheme="minorHAnsi"/>
          <w:b/>
          <w:sz w:val="24"/>
          <w:szCs w:val="24"/>
        </w:rPr>
      </w:pPr>
      <w:r w:rsidRPr="00020C8F">
        <w:rPr>
          <w:rFonts w:asciiTheme="minorHAnsi" w:hAnsiTheme="minorHAnsi" w:cstheme="minorHAnsi"/>
          <w:b/>
          <w:sz w:val="24"/>
          <w:szCs w:val="24"/>
        </w:rPr>
        <w:t>Costs to Federal Government</w:t>
      </w:r>
      <w:r w:rsidR="008F2D08" w:rsidRPr="00020C8F">
        <w:rPr>
          <w:rFonts w:asciiTheme="minorHAnsi" w:hAnsiTheme="minorHAnsi" w:cstheme="minorHAnsi"/>
          <w:b/>
          <w:sz w:val="24"/>
          <w:szCs w:val="24"/>
        </w:rPr>
        <w:t xml:space="preserve"> </w:t>
      </w:r>
    </w:p>
    <w:p w14:paraId="1D9A52E6" w14:textId="77777777" w:rsidR="00F70AB1" w:rsidRPr="00020C8F" w:rsidRDefault="00F70AB1" w:rsidP="00F70AB1">
      <w:pPr>
        <w:pStyle w:val="ListParagraph"/>
        <w:spacing w:after="0" w:line="240" w:lineRule="auto"/>
        <w:ind w:left="0"/>
        <w:rPr>
          <w:rFonts w:asciiTheme="minorHAnsi" w:hAnsiTheme="minorHAnsi" w:cstheme="minorHAnsi"/>
          <w:b/>
          <w:sz w:val="24"/>
          <w:szCs w:val="24"/>
        </w:rPr>
      </w:pPr>
    </w:p>
    <w:p w14:paraId="446B091C" w14:textId="49E5F79F" w:rsidR="00F70AB1" w:rsidRPr="00020C8F" w:rsidRDefault="00F70AB1" w:rsidP="00F70AB1">
      <w:pPr>
        <w:pStyle w:val="ListParagraph"/>
        <w:spacing w:after="0" w:line="240" w:lineRule="auto"/>
        <w:ind w:left="0"/>
        <w:rPr>
          <w:rFonts w:asciiTheme="minorHAnsi" w:hAnsiTheme="minorHAnsi" w:cstheme="minorHAnsi"/>
          <w:sz w:val="24"/>
          <w:szCs w:val="24"/>
        </w:rPr>
      </w:pPr>
      <w:r w:rsidRPr="00020C8F">
        <w:rPr>
          <w:rFonts w:asciiTheme="minorHAnsi" w:hAnsiTheme="minorHAnsi" w:cstheme="minorHAnsi"/>
          <w:sz w:val="24"/>
          <w:szCs w:val="24"/>
        </w:rPr>
        <w:t>The anticipated cost to the Federal Government is approximately $</w:t>
      </w:r>
      <w:r w:rsidR="00F33023" w:rsidRPr="00020C8F">
        <w:rPr>
          <w:rFonts w:asciiTheme="minorHAnsi" w:hAnsiTheme="minorHAnsi" w:cstheme="minorHAnsi"/>
          <w:sz w:val="24"/>
          <w:szCs w:val="24"/>
        </w:rPr>
        <w:t>700,000</w:t>
      </w:r>
      <w:r w:rsidRPr="00020C8F">
        <w:rPr>
          <w:rFonts w:asciiTheme="minorHAnsi" w:hAnsiTheme="minorHAnsi" w:cstheme="minorHAnsi"/>
          <w:sz w:val="24"/>
          <w:szCs w:val="24"/>
        </w:rPr>
        <w:t xml:space="preserve"> annually, for a total of </w:t>
      </w:r>
      <w:r w:rsidR="00F33023" w:rsidRPr="00020C8F">
        <w:rPr>
          <w:rFonts w:asciiTheme="minorHAnsi" w:hAnsiTheme="minorHAnsi" w:cstheme="minorHAnsi"/>
          <w:sz w:val="24"/>
          <w:szCs w:val="24"/>
        </w:rPr>
        <w:t>$1</w:t>
      </w:r>
      <w:r w:rsidRPr="00020C8F">
        <w:rPr>
          <w:rFonts w:asciiTheme="minorHAnsi" w:hAnsiTheme="minorHAnsi" w:cstheme="minorHAnsi"/>
          <w:sz w:val="24"/>
          <w:szCs w:val="24"/>
        </w:rPr>
        <w:t xml:space="preserve"> million over </w:t>
      </w:r>
      <w:r w:rsidR="008C4E92" w:rsidRPr="00020C8F">
        <w:rPr>
          <w:rFonts w:asciiTheme="minorHAnsi" w:hAnsiTheme="minorHAnsi" w:cstheme="minorHAnsi"/>
          <w:sz w:val="24"/>
          <w:szCs w:val="24"/>
        </w:rPr>
        <w:t xml:space="preserve">a </w:t>
      </w:r>
      <w:r w:rsidRPr="00020C8F">
        <w:rPr>
          <w:rFonts w:asciiTheme="minorHAnsi" w:hAnsiTheme="minorHAnsi" w:cstheme="minorHAnsi"/>
          <w:sz w:val="24"/>
          <w:szCs w:val="24"/>
        </w:rPr>
        <w:t xml:space="preserve">period of </w:t>
      </w:r>
      <w:r w:rsidR="008C4E92" w:rsidRPr="00020C8F">
        <w:rPr>
          <w:rFonts w:asciiTheme="minorHAnsi" w:hAnsiTheme="minorHAnsi" w:cstheme="minorHAnsi"/>
          <w:sz w:val="24"/>
          <w:szCs w:val="24"/>
        </w:rPr>
        <w:t>18 months (1.5 years)</w:t>
      </w:r>
      <w:r w:rsidRPr="00020C8F">
        <w:rPr>
          <w:rFonts w:asciiTheme="minorHAnsi" w:hAnsiTheme="minorHAnsi" w:cstheme="minorHAnsi"/>
          <w:sz w:val="24"/>
          <w:szCs w:val="24"/>
        </w:rPr>
        <w:t xml:space="preserve">.  These costs are comprised of:  operational expenses (e.g., </w:t>
      </w:r>
      <w:r w:rsidR="00F33023" w:rsidRPr="00020C8F">
        <w:rPr>
          <w:rFonts w:asciiTheme="minorHAnsi" w:hAnsiTheme="minorHAnsi" w:cstheme="minorHAnsi"/>
          <w:sz w:val="24"/>
          <w:szCs w:val="24"/>
        </w:rPr>
        <w:t>salaries, system enhancements, IV&amp;V</w:t>
      </w:r>
      <w:r w:rsidRPr="00020C8F">
        <w:rPr>
          <w:rFonts w:asciiTheme="minorHAnsi" w:hAnsiTheme="minorHAnsi" w:cstheme="minorHAnsi"/>
          <w:sz w:val="24"/>
          <w:szCs w:val="24"/>
        </w:rPr>
        <w:t>), contractor payments and any other expense that is necessary to collect the information approved under this generic clearance.</w:t>
      </w:r>
      <w:r w:rsidR="008C4E92" w:rsidRPr="00020C8F">
        <w:rPr>
          <w:rFonts w:asciiTheme="minorHAnsi" w:hAnsiTheme="minorHAnsi" w:cstheme="minorHAnsi"/>
          <w:sz w:val="24"/>
          <w:szCs w:val="24"/>
        </w:rPr>
        <w:t xml:space="preserve"> A </w:t>
      </w:r>
      <w:bookmarkStart w:id="0" w:name="_GoBack"/>
      <w:bookmarkEnd w:id="0"/>
      <w:r w:rsidR="008C4E92" w:rsidRPr="00020C8F">
        <w:rPr>
          <w:rFonts w:asciiTheme="minorHAnsi" w:hAnsiTheme="minorHAnsi" w:cstheme="minorHAnsi"/>
          <w:sz w:val="24"/>
          <w:szCs w:val="24"/>
        </w:rPr>
        <w:t xml:space="preserve">period of 18 months was chosen due to the requirements of the legislation to complete the </w:t>
      </w:r>
      <w:r w:rsidR="00646261" w:rsidRPr="00020C8F">
        <w:rPr>
          <w:rFonts w:asciiTheme="minorHAnsi" w:hAnsiTheme="minorHAnsi" w:cstheme="minorHAnsi"/>
          <w:sz w:val="24"/>
          <w:szCs w:val="24"/>
        </w:rPr>
        <w:t>p</w:t>
      </w:r>
      <w:r w:rsidR="008C4E92" w:rsidRPr="00020C8F">
        <w:rPr>
          <w:rFonts w:asciiTheme="minorHAnsi" w:hAnsiTheme="minorHAnsi" w:cstheme="minorHAnsi"/>
          <w:sz w:val="24"/>
          <w:szCs w:val="24"/>
        </w:rPr>
        <w:t>ilot by May, 2017.</w:t>
      </w:r>
    </w:p>
    <w:p w14:paraId="594962EB" w14:textId="77777777" w:rsidR="00F70AB1" w:rsidRPr="00020C8F" w:rsidRDefault="00F70AB1" w:rsidP="00F70AB1">
      <w:pPr>
        <w:pStyle w:val="ListParagraph"/>
        <w:spacing w:after="0" w:line="240" w:lineRule="auto"/>
        <w:ind w:left="0"/>
        <w:rPr>
          <w:rFonts w:asciiTheme="minorHAnsi" w:hAnsiTheme="minorHAnsi" w:cstheme="minorHAnsi"/>
          <w:sz w:val="24"/>
          <w:szCs w:val="24"/>
        </w:rPr>
      </w:pPr>
    </w:p>
    <w:p w14:paraId="6F64B2DA" w14:textId="77777777" w:rsidR="00F70AB1" w:rsidRPr="00020C8F" w:rsidRDefault="00F70AB1" w:rsidP="00F70AB1">
      <w:pPr>
        <w:pStyle w:val="ListParagraph"/>
        <w:numPr>
          <w:ilvl w:val="0"/>
          <w:numId w:val="2"/>
        </w:numPr>
        <w:spacing w:after="0" w:line="240" w:lineRule="auto"/>
        <w:ind w:left="0"/>
        <w:rPr>
          <w:rFonts w:asciiTheme="minorHAnsi" w:hAnsiTheme="minorHAnsi" w:cstheme="minorHAnsi"/>
          <w:b/>
          <w:sz w:val="24"/>
          <w:szCs w:val="24"/>
        </w:rPr>
      </w:pPr>
      <w:r w:rsidRPr="00020C8F">
        <w:rPr>
          <w:rFonts w:asciiTheme="minorHAnsi" w:hAnsiTheme="minorHAnsi" w:cstheme="minorHAnsi"/>
          <w:b/>
          <w:sz w:val="24"/>
          <w:szCs w:val="24"/>
        </w:rPr>
        <w:t>Reason for Change</w:t>
      </w:r>
    </w:p>
    <w:p w14:paraId="052E3B1A" w14:textId="77777777" w:rsidR="00F70AB1" w:rsidRPr="00020C8F" w:rsidRDefault="00F70AB1" w:rsidP="00F70AB1">
      <w:pPr>
        <w:pStyle w:val="ListParagraph"/>
        <w:spacing w:after="0" w:line="240" w:lineRule="auto"/>
        <w:ind w:left="0"/>
        <w:rPr>
          <w:rFonts w:asciiTheme="minorHAnsi" w:hAnsiTheme="minorHAnsi" w:cstheme="minorHAnsi"/>
          <w:b/>
          <w:sz w:val="24"/>
          <w:szCs w:val="24"/>
        </w:rPr>
      </w:pPr>
    </w:p>
    <w:p w14:paraId="599E091E" w14:textId="77777777" w:rsidR="00F70AB1" w:rsidRPr="00020C8F" w:rsidRDefault="00F70AB1" w:rsidP="00F70AB1">
      <w:p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Not applicable.  This is a new request for a generic ICR.</w:t>
      </w:r>
    </w:p>
    <w:p w14:paraId="1ED0B857" w14:textId="77777777" w:rsidR="00F70AB1" w:rsidRPr="00020C8F" w:rsidRDefault="00F70AB1" w:rsidP="00F70AB1">
      <w:pPr>
        <w:spacing w:after="0" w:line="240" w:lineRule="auto"/>
        <w:rPr>
          <w:rFonts w:asciiTheme="minorHAnsi" w:hAnsiTheme="minorHAnsi" w:cstheme="minorHAnsi"/>
          <w:b/>
          <w:sz w:val="24"/>
          <w:szCs w:val="24"/>
        </w:rPr>
      </w:pPr>
    </w:p>
    <w:p w14:paraId="483C9F6C" w14:textId="77777777" w:rsidR="00F70AB1" w:rsidRPr="00020C8F" w:rsidRDefault="00F70AB1" w:rsidP="00F70AB1">
      <w:pPr>
        <w:pStyle w:val="ListParagraph"/>
        <w:numPr>
          <w:ilvl w:val="0"/>
          <w:numId w:val="2"/>
        </w:numPr>
        <w:spacing w:after="0" w:line="240" w:lineRule="auto"/>
        <w:ind w:left="0"/>
        <w:rPr>
          <w:rFonts w:asciiTheme="minorHAnsi" w:hAnsiTheme="minorHAnsi" w:cstheme="minorHAnsi"/>
          <w:b/>
          <w:sz w:val="24"/>
          <w:szCs w:val="24"/>
        </w:rPr>
      </w:pPr>
      <w:r w:rsidRPr="00020C8F">
        <w:rPr>
          <w:rFonts w:asciiTheme="minorHAnsi" w:hAnsiTheme="minorHAnsi" w:cstheme="minorHAnsi"/>
          <w:b/>
          <w:sz w:val="24"/>
          <w:szCs w:val="24"/>
        </w:rPr>
        <w:t>Tabulation of Results, Schedule, Analysis Plans</w:t>
      </w:r>
    </w:p>
    <w:p w14:paraId="58BCC674" w14:textId="77777777" w:rsidR="00F70AB1" w:rsidRPr="00020C8F" w:rsidRDefault="00F70AB1" w:rsidP="00F70AB1">
      <w:pPr>
        <w:spacing w:after="0" w:line="240" w:lineRule="auto"/>
        <w:rPr>
          <w:rFonts w:asciiTheme="minorHAnsi" w:hAnsiTheme="minorHAnsi" w:cstheme="minorHAnsi"/>
          <w:sz w:val="24"/>
          <w:szCs w:val="24"/>
        </w:rPr>
      </w:pPr>
    </w:p>
    <w:p w14:paraId="0EA443E4" w14:textId="1659714C" w:rsidR="00E71EE2" w:rsidRPr="00020C8F" w:rsidRDefault="00E71EE2" w:rsidP="00E71EE2">
      <w:p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 xml:space="preserve">Information collected under this generic clearance provides useful information, but it may not yield data that can be generalized to the overall population. Findings </w:t>
      </w:r>
      <w:r w:rsidR="004E3DF0" w:rsidRPr="00020C8F">
        <w:rPr>
          <w:rFonts w:asciiTheme="minorHAnsi" w:hAnsiTheme="minorHAnsi" w:cstheme="minorHAnsi"/>
          <w:sz w:val="24"/>
          <w:szCs w:val="24"/>
        </w:rPr>
        <w:t xml:space="preserve">and recommendations </w:t>
      </w:r>
      <w:r w:rsidRPr="00020C8F">
        <w:rPr>
          <w:rFonts w:asciiTheme="minorHAnsi" w:hAnsiTheme="minorHAnsi" w:cstheme="minorHAnsi"/>
          <w:sz w:val="24"/>
          <w:szCs w:val="24"/>
        </w:rPr>
        <w:t xml:space="preserve">will be compiled in a report </w:t>
      </w:r>
      <w:r w:rsidR="004E3DF0" w:rsidRPr="00020C8F">
        <w:rPr>
          <w:rFonts w:asciiTheme="minorHAnsi" w:hAnsiTheme="minorHAnsi" w:cstheme="minorHAnsi"/>
          <w:sz w:val="24"/>
          <w:szCs w:val="24"/>
        </w:rPr>
        <w:t xml:space="preserve">shortly after May 2017 (end date for Section 5 pilot program) and submitted to OMB.  OMB </w:t>
      </w:r>
      <w:r w:rsidR="00646261" w:rsidRPr="00020C8F">
        <w:rPr>
          <w:rFonts w:asciiTheme="minorHAnsi" w:hAnsiTheme="minorHAnsi" w:cstheme="minorHAnsi"/>
          <w:sz w:val="24"/>
          <w:szCs w:val="24"/>
        </w:rPr>
        <w:t>is required to report</w:t>
      </w:r>
      <w:r w:rsidR="004E3DF0" w:rsidRPr="00020C8F">
        <w:rPr>
          <w:rFonts w:asciiTheme="minorHAnsi" w:hAnsiTheme="minorHAnsi" w:cstheme="minorHAnsi"/>
          <w:sz w:val="24"/>
          <w:szCs w:val="24"/>
        </w:rPr>
        <w:t xml:space="preserve"> to Congress</w:t>
      </w:r>
      <w:r w:rsidR="00646261" w:rsidRPr="00020C8F">
        <w:rPr>
          <w:rFonts w:asciiTheme="minorHAnsi" w:hAnsiTheme="minorHAnsi" w:cstheme="minorHAnsi"/>
          <w:sz w:val="24"/>
          <w:szCs w:val="24"/>
        </w:rPr>
        <w:t xml:space="preserve"> on the pilot program by</w:t>
      </w:r>
      <w:r w:rsidR="004E3DF0" w:rsidRPr="00020C8F">
        <w:rPr>
          <w:rFonts w:asciiTheme="minorHAnsi" w:hAnsiTheme="minorHAnsi" w:cstheme="minorHAnsi"/>
          <w:sz w:val="24"/>
          <w:szCs w:val="24"/>
        </w:rPr>
        <w:t xml:space="preserve"> </w:t>
      </w:r>
      <w:r w:rsidRPr="00020C8F">
        <w:rPr>
          <w:rFonts w:asciiTheme="minorHAnsi" w:hAnsiTheme="minorHAnsi" w:cstheme="minorHAnsi"/>
          <w:sz w:val="24"/>
          <w:szCs w:val="24"/>
        </w:rPr>
        <w:t xml:space="preserve">August, 2017. Outside of the report to </w:t>
      </w:r>
      <w:r w:rsidR="00292CB6" w:rsidRPr="00020C8F">
        <w:rPr>
          <w:rFonts w:asciiTheme="minorHAnsi" w:hAnsiTheme="minorHAnsi" w:cstheme="minorHAnsi"/>
          <w:sz w:val="24"/>
          <w:szCs w:val="24"/>
        </w:rPr>
        <w:t>OMB, i</w:t>
      </w:r>
      <w:r w:rsidRPr="00020C8F">
        <w:rPr>
          <w:rFonts w:asciiTheme="minorHAnsi" w:hAnsiTheme="minorHAnsi" w:cstheme="minorHAnsi"/>
          <w:sz w:val="24"/>
          <w:szCs w:val="24"/>
        </w:rPr>
        <w:t>f it is deemed appropriate and necessary to disseminate information related to this data collection, DAP</w:t>
      </w:r>
      <w:r w:rsidR="008C4E92" w:rsidRPr="00020C8F">
        <w:rPr>
          <w:rFonts w:asciiTheme="minorHAnsi" w:hAnsiTheme="minorHAnsi" w:cstheme="minorHAnsi"/>
          <w:sz w:val="24"/>
          <w:szCs w:val="24"/>
        </w:rPr>
        <w:t xml:space="preserve"> will </w:t>
      </w:r>
      <w:r w:rsidRPr="00020C8F">
        <w:rPr>
          <w:rFonts w:asciiTheme="minorHAnsi" w:hAnsiTheme="minorHAnsi" w:cstheme="minorHAnsi"/>
          <w:sz w:val="24"/>
          <w:szCs w:val="24"/>
        </w:rPr>
        <w:t xml:space="preserve">follow the HHS "Guidelines for Ensuring the Quality of Information Disseminated to the Public," and will include specific discussion of the limitation of the qualitative results discussed above.  </w:t>
      </w:r>
      <w:r w:rsidR="008C4E92" w:rsidRPr="00020C8F">
        <w:rPr>
          <w:rFonts w:asciiTheme="minorHAnsi" w:hAnsiTheme="minorHAnsi" w:cstheme="minorHAnsi"/>
          <w:sz w:val="24"/>
          <w:szCs w:val="24"/>
        </w:rPr>
        <w:t>DAP</w:t>
      </w:r>
      <w:r w:rsidRPr="00020C8F">
        <w:rPr>
          <w:rFonts w:asciiTheme="minorHAnsi" w:hAnsiTheme="minorHAnsi" w:cstheme="minorHAnsi"/>
          <w:sz w:val="24"/>
          <w:szCs w:val="24"/>
        </w:rPr>
        <w:t xml:space="preserve"> may also receive requests to release the information (e.g., congressional inquiry, Freedom of Information Act requests), and we will comply with those requests as appropriate.  </w:t>
      </w:r>
    </w:p>
    <w:p w14:paraId="319990C4" w14:textId="77777777" w:rsidR="00F70AB1" w:rsidRDefault="00F70AB1" w:rsidP="00F70AB1">
      <w:pPr>
        <w:spacing w:after="0" w:line="240" w:lineRule="auto"/>
        <w:rPr>
          <w:rFonts w:asciiTheme="minorHAnsi" w:hAnsiTheme="minorHAnsi" w:cstheme="minorHAnsi"/>
          <w:sz w:val="24"/>
          <w:szCs w:val="24"/>
        </w:rPr>
      </w:pPr>
    </w:p>
    <w:p w14:paraId="7FBB642A" w14:textId="77777777" w:rsidR="00037DA1" w:rsidRPr="00020C8F" w:rsidRDefault="00037DA1" w:rsidP="00F70AB1">
      <w:pPr>
        <w:spacing w:after="0" w:line="240" w:lineRule="auto"/>
        <w:rPr>
          <w:rFonts w:asciiTheme="minorHAnsi" w:hAnsiTheme="minorHAnsi" w:cstheme="minorHAnsi"/>
          <w:sz w:val="24"/>
          <w:szCs w:val="24"/>
        </w:rPr>
      </w:pPr>
    </w:p>
    <w:p w14:paraId="6B537688" w14:textId="77777777" w:rsidR="00F70AB1" w:rsidRPr="00020C8F" w:rsidRDefault="00F70AB1" w:rsidP="00F70AB1">
      <w:pPr>
        <w:pStyle w:val="ListParagraph"/>
        <w:numPr>
          <w:ilvl w:val="0"/>
          <w:numId w:val="2"/>
        </w:numPr>
        <w:spacing w:after="0" w:line="240" w:lineRule="auto"/>
        <w:ind w:left="0"/>
        <w:rPr>
          <w:rFonts w:asciiTheme="minorHAnsi" w:hAnsiTheme="minorHAnsi" w:cstheme="minorHAnsi"/>
          <w:b/>
          <w:sz w:val="24"/>
          <w:szCs w:val="24"/>
        </w:rPr>
      </w:pPr>
      <w:r w:rsidRPr="00020C8F">
        <w:rPr>
          <w:rFonts w:asciiTheme="minorHAnsi" w:hAnsiTheme="minorHAnsi" w:cstheme="minorHAnsi"/>
          <w:b/>
          <w:sz w:val="24"/>
          <w:szCs w:val="24"/>
        </w:rPr>
        <w:t>Display of OMB Approval Date</w:t>
      </w:r>
    </w:p>
    <w:p w14:paraId="7BF73C9C" w14:textId="77777777" w:rsidR="00F70AB1" w:rsidRPr="00020C8F" w:rsidRDefault="00F70AB1" w:rsidP="00F70AB1">
      <w:pPr>
        <w:pStyle w:val="ListParagraph"/>
        <w:spacing w:after="0" w:line="240" w:lineRule="auto"/>
        <w:ind w:left="0"/>
        <w:rPr>
          <w:rFonts w:asciiTheme="minorHAnsi" w:hAnsiTheme="minorHAnsi" w:cstheme="minorHAnsi"/>
          <w:b/>
          <w:sz w:val="24"/>
          <w:szCs w:val="24"/>
        </w:rPr>
      </w:pPr>
    </w:p>
    <w:p w14:paraId="56DD1A97" w14:textId="1C428ECD" w:rsidR="00F70AB1" w:rsidRPr="00020C8F" w:rsidRDefault="00F70AB1" w:rsidP="00F70AB1">
      <w:pPr>
        <w:spacing w:after="0" w:line="240" w:lineRule="auto"/>
        <w:rPr>
          <w:rFonts w:asciiTheme="minorHAnsi" w:hAnsiTheme="minorHAnsi" w:cstheme="minorHAnsi"/>
          <w:sz w:val="24"/>
          <w:szCs w:val="24"/>
        </w:rPr>
      </w:pPr>
      <w:r w:rsidRPr="003D4D1F">
        <w:rPr>
          <w:rFonts w:asciiTheme="minorHAnsi" w:hAnsiTheme="minorHAnsi" w:cstheme="minorHAnsi"/>
          <w:sz w:val="24"/>
          <w:szCs w:val="24"/>
        </w:rPr>
        <w:t>We are requesting no exemption</w:t>
      </w:r>
      <w:r w:rsidR="008B08C6">
        <w:rPr>
          <w:rFonts w:asciiTheme="minorHAnsi" w:hAnsiTheme="minorHAnsi" w:cstheme="minorHAnsi"/>
          <w:sz w:val="24"/>
          <w:szCs w:val="24"/>
        </w:rPr>
        <w:t xml:space="preserve">.  </w:t>
      </w:r>
    </w:p>
    <w:p w14:paraId="7B51FEAD" w14:textId="77777777" w:rsidR="00F70AB1" w:rsidRPr="00020C8F" w:rsidRDefault="00F70AB1" w:rsidP="00F70AB1">
      <w:pPr>
        <w:spacing w:after="0" w:line="240" w:lineRule="auto"/>
        <w:rPr>
          <w:rFonts w:asciiTheme="minorHAnsi" w:hAnsiTheme="minorHAnsi" w:cstheme="minorHAnsi"/>
          <w:sz w:val="24"/>
          <w:szCs w:val="24"/>
        </w:rPr>
      </w:pPr>
    </w:p>
    <w:p w14:paraId="13A41B4D" w14:textId="77777777" w:rsidR="00F70AB1" w:rsidRPr="00020C8F" w:rsidRDefault="00F70AB1" w:rsidP="00F70AB1">
      <w:pPr>
        <w:pStyle w:val="ListParagraph"/>
        <w:numPr>
          <w:ilvl w:val="0"/>
          <w:numId w:val="2"/>
        </w:numPr>
        <w:spacing w:after="0" w:line="240" w:lineRule="auto"/>
        <w:ind w:left="0"/>
        <w:rPr>
          <w:rFonts w:asciiTheme="minorHAnsi" w:hAnsiTheme="minorHAnsi" w:cstheme="minorHAnsi"/>
          <w:b/>
          <w:sz w:val="24"/>
          <w:szCs w:val="24"/>
        </w:rPr>
      </w:pPr>
      <w:r w:rsidRPr="00020C8F">
        <w:rPr>
          <w:rFonts w:asciiTheme="minorHAnsi" w:hAnsiTheme="minorHAnsi" w:cstheme="minorHAnsi"/>
          <w:b/>
          <w:sz w:val="24"/>
          <w:szCs w:val="24"/>
        </w:rPr>
        <w:t>Exceptions to Certification for Paperwork Reduction Act Submissions</w:t>
      </w:r>
    </w:p>
    <w:p w14:paraId="19B8148B" w14:textId="77777777" w:rsidR="00F70AB1" w:rsidRPr="00020C8F" w:rsidRDefault="00F70AB1" w:rsidP="00F70AB1">
      <w:pPr>
        <w:pStyle w:val="ListParagraph"/>
        <w:spacing w:after="0" w:line="240" w:lineRule="auto"/>
        <w:ind w:left="0"/>
        <w:rPr>
          <w:rFonts w:asciiTheme="minorHAnsi" w:hAnsiTheme="minorHAnsi" w:cstheme="minorHAnsi"/>
          <w:b/>
          <w:sz w:val="24"/>
          <w:szCs w:val="24"/>
        </w:rPr>
      </w:pPr>
    </w:p>
    <w:p w14:paraId="7708E65B" w14:textId="0438ACED" w:rsidR="00F70AB1" w:rsidRPr="00020C8F" w:rsidRDefault="00F70AB1" w:rsidP="00F70AB1">
      <w:pPr>
        <w:spacing w:after="0" w:line="240" w:lineRule="auto"/>
        <w:rPr>
          <w:rFonts w:asciiTheme="minorHAnsi" w:hAnsiTheme="minorHAnsi" w:cstheme="minorHAnsi"/>
          <w:sz w:val="24"/>
          <w:szCs w:val="24"/>
        </w:rPr>
      </w:pPr>
      <w:r w:rsidRPr="00020C8F">
        <w:rPr>
          <w:rFonts w:asciiTheme="minorHAnsi" w:hAnsiTheme="minorHAnsi" w:cstheme="minorHAnsi"/>
          <w:sz w:val="24"/>
          <w:szCs w:val="24"/>
        </w:rPr>
        <w:t>These activities comply with the requirements in 5 CFR 1320.9.</w:t>
      </w:r>
    </w:p>
    <w:p w14:paraId="08539971" w14:textId="77777777" w:rsidR="00F70AB1" w:rsidRPr="00020C8F" w:rsidRDefault="00F70AB1" w:rsidP="00F70AB1">
      <w:pPr>
        <w:spacing w:after="0" w:line="240" w:lineRule="auto"/>
        <w:rPr>
          <w:rFonts w:asciiTheme="minorHAnsi" w:hAnsiTheme="minorHAnsi" w:cstheme="minorHAnsi"/>
          <w:sz w:val="24"/>
          <w:szCs w:val="24"/>
        </w:rPr>
      </w:pPr>
    </w:p>
    <w:p w14:paraId="10FDA38A" w14:textId="77777777" w:rsidR="00F70AB1" w:rsidRPr="00020C8F" w:rsidRDefault="00F70AB1">
      <w:pPr>
        <w:rPr>
          <w:rFonts w:asciiTheme="minorHAnsi" w:hAnsiTheme="minorHAnsi" w:cstheme="minorHAnsi"/>
          <w:sz w:val="24"/>
          <w:szCs w:val="24"/>
        </w:rPr>
      </w:pPr>
    </w:p>
    <w:sectPr w:rsidR="00F70AB1" w:rsidRPr="00020C8F">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076C5" w14:textId="77777777" w:rsidR="00EF1D27" w:rsidRDefault="00EF1D27" w:rsidP="00154AE0">
      <w:pPr>
        <w:spacing w:after="0" w:line="240" w:lineRule="auto"/>
      </w:pPr>
      <w:r>
        <w:separator/>
      </w:r>
    </w:p>
  </w:endnote>
  <w:endnote w:type="continuationSeparator" w:id="0">
    <w:p w14:paraId="5A986A3F" w14:textId="77777777" w:rsidR="00EF1D27" w:rsidRDefault="00EF1D27" w:rsidP="0015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0731942"/>
      <w:docPartObj>
        <w:docPartGallery w:val="Page Numbers (Bottom of Page)"/>
        <w:docPartUnique/>
      </w:docPartObj>
    </w:sdtPr>
    <w:sdtEndPr/>
    <w:sdtContent>
      <w:sdt>
        <w:sdtPr>
          <w:id w:val="-1769616900"/>
          <w:docPartObj>
            <w:docPartGallery w:val="Page Numbers (Top of Page)"/>
            <w:docPartUnique/>
          </w:docPartObj>
        </w:sdtPr>
        <w:sdtEndPr/>
        <w:sdtContent>
          <w:p w14:paraId="07830FCC" w14:textId="41E1C3D5" w:rsidR="00487D41" w:rsidRDefault="00487D4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745557">
              <w:rPr>
                <w:b/>
                <w:bCs/>
                <w:noProof/>
              </w:rPr>
              <w:t>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45557">
              <w:rPr>
                <w:b/>
                <w:bCs/>
                <w:noProof/>
              </w:rPr>
              <w:t>9</w:t>
            </w:r>
            <w:r>
              <w:rPr>
                <w:b/>
                <w:bCs/>
                <w:sz w:val="24"/>
                <w:szCs w:val="24"/>
              </w:rPr>
              <w:fldChar w:fldCharType="end"/>
            </w:r>
          </w:p>
        </w:sdtContent>
      </w:sdt>
    </w:sdtContent>
  </w:sdt>
  <w:p w14:paraId="1B50298A" w14:textId="77777777" w:rsidR="00487D41" w:rsidRDefault="00487D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7A7991" w14:textId="77777777" w:rsidR="00EF1D27" w:rsidRDefault="00EF1D27" w:rsidP="00154AE0">
      <w:pPr>
        <w:spacing w:after="0" w:line="240" w:lineRule="auto"/>
      </w:pPr>
      <w:r>
        <w:separator/>
      </w:r>
    </w:p>
  </w:footnote>
  <w:footnote w:type="continuationSeparator" w:id="0">
    <w:p w14:paraId="58D15313" w14:textId="77777777" w:rsidR="00EF1D27" w:rsidRDefault="00EF1D27" w:rsidP="00154AE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1526DD"/>
    <w:multiLevelType w:val="hybridMultilevel"/>
    <w:tmpl w:val="9BD23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5FB5E7C"/>
    <w:multiLevelType w:val="singleLevel"/>
    <w:tmpl w:val="282462B0"/>
    <w:lvl w:ilvl="0">
      <w:start w:val="1"/>
      <w:numFmt w:val="bullet"/>
      <w:lvlText w:val=""/>
      <w:lvlJc w:val="left"/>
      <w:pPr>
        <w:tabs>
          <w:tab w:val="num" w:pos="340"/>
        </w:tabs>
        <w:ind w:left="340" w:hanging="340"/>
      </w:pPr>
      <w:rPr>
        <w:rFonts w:ascii="Symbol" w:hAnsi="Symbol" w:hint="default"/>
        <w:color w:val="auto"/>
        <w:sz w:val="22"/>
      </w:rPr>
    </w:lvl>
  </w:abstractNum>
  <w:abstractNum w:abstractNumId="4">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F31221C"/>
    <w:multiLevelType w:val="singleLevel"/>
    <w:tmpl w:val="5D285358"/>
    <w:lvl w:ilvl="0">
      <w:start w:val="1"/>
      <w:numFmt w:val="bullet"/>
      <w:lvlText w:val=""/>
      <w:lvlJc w:val="left"/>
      <w:pPr>
        <w:tabs>
          <w:tab w:val="num" w:pos="340"/>
        </w:tabs>
        <w:ind w:left="340" w:hanging="340"/>
      </w:pPr>
      <w:rPr>
        <w:rFonts w:ascii="Symbol" w:hAnsi="Symbol" w:hint="default"/>
        <w:color w:val="auto"/>
        <w:sz w:val="22"/>
      </w:rPr>
    </w:lvl>
  </w:abstractNum>
  <w:abstractNum w:abstractNumId="7">
    <w:nsid w:val="6D412705"/>
    <w:multiLevelType w:val="hybridMultilevel"/>
    <w:tmpl w:val="5B48558A"/>
    <w:lvl w:ilvl="0" w:tplc="D03C0ACA">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7"/>
  </w:num>
  <w:num w:numId="3">
    <w:abstractNumId w:val="5"/>
  </w:num>
  <w:num w:numId="4">
    <w:abstractNumId w:val="0"/>
  </w:num>
  <w:num w:numId="5">
    <w:abstractNumId w:val="1"/>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AB1"/>
    <w:rsid w:val="00006104"/>
    <w:rsid w:val="00020C8F"/>
    <w:rsid w:val="00032B78"/>
    <w:rsid w:val="00037DA1"/>
    <w:rsid w:val="000446E0"/>
    <w:rsid w:val="00054D2D"/>
    <w:rsid w:val="00057333"/>
    <w:rsid w:val="00062505"/>
    <w:rsid w:val="00095A56"/>
    <w:rsid w:val="000F4BAD"/>
    <w:rsid w:val="000F6AD0"/>
    <w:rsid w:val="000F7D71"/>
    <w:rsid w:val="00112E27"/>
    <w:rsid w:val="001149E1"/>
    <w:rsid w:val="001261B3"/>
    <w:rsid w:val="00131982"/>
    <w:rsid w:val="0014049B"/>
    <w:rsid w:val="001439BE"/>
    <w:rsid w:val="00150460"/>
    <w:rsid w:val="00154AE0"/>
    <w:rsid w:val="001725DB"/>
    <w:rsid w:val="00186695"/>
    <w:rsid w:val="001A659B"/>
    <w:rsid w:val="001B61E6"/>
    <w:rsid w:val="001B6B87"/>
    <w:rsid w:val="001E2757"/>
    <w:rsid w:val="00232408"/>
    <w:rsid w:val="00232437"/>
    <w:rsid w:val="00237A09"/>
    <w:rsid w:val="00241997"/>
    <w:rsid w:val="0026624E"/>
    <w:rsid w:val="00267E79"/>
    <w:rsid w:val="002825EB"/>
    <w:rsid w:val="00286630"/>
    <w:rsid w:val="00292CB6"/>
    <w:rsid w:val="002B379C"/>
    <w:rsid w:val="002C3B01"/>
    <w:rsid w:val="002F1B18"/>
    <w:rsid w:val="002F57E3"/>
    <w:rsid w:val="00310CA6"/>
    <w:rsid w:val="003246A0"/>
    <w:rsid w:val="00333908"/>
    <w:rsid w:val="003364FE"/>
    <w:rsid w:val="003607EB"/>
    <w:rsid w:val="003651E5"/>
    <w:rsid w:val="003659EF"/>
    <w:rsid w:val="00390E99"/>
    <w:rsid w:val="00392E14"/>
    <w:rsid w:val="00396DD8"/>
    <w:rsid w:val="003C2165"/>
    <w:rsid w:val="003C68BB"/>
    <w:rsid w:val="003D4D1F"/>
    <w:rsid w:val="003F2B0D"/>
    <w:rsid w:val="0042445A"/>
    <w:rsid w:val="00433AFC"/>
    <w:rsid w:val="004464E0"/>
    <w:rsid w:val="004518A7"/>
    <w:rsid w:val="00466298"/>
    <w:rsid w:val="00487D41"/>
    <w:rsid w:val="00495CBF"/>
    <w:rsid w:val="004A4C57"/>
    <w:rsid w:val="004B2F68"/>
    <w:rsid w:val="004B3D32"/>
    <w:rsid w:val="004B6B53"/>
    <w:rsid w:val="004C7272"/>
    <w:rsid w:val="004D46F2"/>
    <w:rsid w:val="004E3DF0"/>
    <w:rsid w:val="004F7B76"/>
    <w:rsid w:val="00506296"/>
    <w:rsid w:val="005109DC"/>
    <w:rsid w:val="00522072"/>
    <w:rsid w:val="005306E0"/>
    <w:rsid w:val="005437A6"/>
    <w:rsid w:val="00553F3F"/>
    <w:rsid w:val="00563092"/>
    <w:rsid w:val="00566D69"/>
    <w:rsid w:val="0057696D"/>
    <w:rsid w:val="00580759"/>
    <w:rsid w:val="005A4B85"/>
    <w:rsid w:val="005A5AD9"/>
    <w:rsid w:val="005B358F"/>
    <w:rsid w:val="005B4CE7"/>
    <w:rsid w:val="005D06E1"/>
    <w:rsid w:val="005F15C2"/>
    <w:rsid w:val="005F4F47"/>
    <w:rsid w:val="00611D02"/>
    <w:rsid w:val="00646261"/>
    <w:rsid w:val="00661A9F"/>
    <w:rsid w:val="0068694C"/>
    <w:rsid w:val="00691A21"/>
    <w:rsid w:val="006C5ED2"/>
    <w:rsid w:val="006E6837"/>
    <w:rsid w:val="006F7FD7"/>
    <w:rsid w:val="007072A2"/>
    <w:rsid w:val="00727225"/>
    <w:rsid w:val="007311D5"/>
    <w:rsid w:val="00731BA4"/>
    <w:rsid w:val="00745557"/>
    <w:rsid w:val="00750DAF"/>
    <w:rsid w:val="007530FE"/>
    <w:rsid w:val="00754371"/>
    <w:rsid w:val="00786E90"/>
    <w:rsid w:val="00792FD0"/>
    <w:rsid w:val="007A0D92"/>
    <w:rsid w:val="007B3C7C"/>
    <w:rsid w:val="007C5063"/>
    <w:rsid w:val="00802F2B"/>
    <w:rsid w:val="008061EE"/>
    <w:rsid w:val="008165B9"/>
    <w:rsid w:val="00831486"/>
    <w:rsid w:val="008522DC"/>
    <w:rsid w:val="00861BEA"/>
    <w:rsid w:val="008876E9"/>
    <w:rsid w:val="00897367"/>
    <w:rsid w:val="008B08C6"/>
    <w:rsid w:val="008B4AAC"/>
    <w:rsid w:val="008B4AB6"/>
    <w:rsid w:val="008C157F"/>
    <w:rsid w:val="008C4E92"/>
    <w:rsid w:val="008C5574"/>
    <w:rsid w:val="008D4B47"/>
    <w:rsid w:val="008E11BC"/>
    <w:rsid w:val="008E5237"/>
    <w:rsid w:val="008F2D08"/>
    <w:rsid w:val="00912B99"/>
    <w:rsid w:val="00922FB5"/>
    <w:rsid w:val="00936EC5"/>
    <w:rsid w:val="00944F9E"/>
    <w:rsid w:val="0095677B"/>
    <w:rsid w:val="00967BDB"/>
    <w:rsid w:val="00983C79"/>
    <w:rsid w:val="00990038"/>
    <w:rsid w:val="009B67C3"/>
    <w:rsid w:val="009D559A"/>
    <w:rsid w:val="00A01596"/>
    <w:rsid w:val="00A05D4D"/>
    <w:rsid w:val="00A65EF4"/>
    <w:rsid w:val="00A676ED"/>
    <w:rsid w:val="00A91260"/>
    <w:rsid w:val="00AA0611"/>
    <w:rsid w:val="00AA3910"/>
    <w:rsid w:val="00AC538C"/>
    <w:rsid w:val="00AE6636"/>
    <w:rsid w:val="00AE6CC8"/>
    <w:rsid w:val="00AF4070"/>
    <w:rsid w:val="00AF7EF6"/>
    <w:rsid w:val="00B334F4"/>
    <w:rsid w:val="00B35689"/>
    <w:rsid w:val="00B36048"/>
    <w:rsid w:val="00B50D65"/>
    <w:rsid w:val="00B538FE"/>
    <w:rsid w:val="00B53FD7"/>
    <w:rsid w:val="00B95CFF"/>
    <w:rsid w:val="00BB2D05"/>
    <w:rsid w:val="00BB35A4"/>
    <w:rsid w:val="00BB6C89"/>
    <w:rsid w:val="00BC1F8E"/>
    <w:rsid w:val="00BC2D74"/>
    <w:rsid w:val="00BC69CC"/>
    <w:rsid w:val="00BD52BB"/>
    <w:rsid w:val="00BE102A"/>
    <w:rsid w:val="00BE2763"/>
    <w:rsid w:val="00BF7FD6"/>
    <w:rsid w:val="00C038D2"/>
    <w:rsid w:val="00C03B20"/>
    <w:rsid w:val="00C109A6"/>
    <w:rsid w:val="00C13A4B"/>
    <w:rsid w:val="00C3542D"/>
    <w:rsid w:val="00C46DB2"/>
    <w:rsid w:val="00C64904"/>
    <w:rsid w:val="00C676CA"/>
    <w:rsid w:val="00C83F50"/>
    <w:rsid w:val="00C97100"/>
    <w:rsid w:val="00CA28D4"/>
    <w:rsid w:val="00CB4BAE"/>
    <w:rsid w:val="00CE3A15"/>
    <w:rsid w:val="00CF76B0"/>
    <w:rsid w:val="00D008D4"/>
    <w:rsid w:val="00D0535A"/>
    <w:rsid w:val="00D33BB1"/>
    <w:rsid w:val="00D53751"/>
    <w:rsid w:val="00DB3573"/>
    <w:rsid w:val="00DB5FE4"/>
    <w:rsid w:val="00DC5D1B"/>
    <w:rsid w:val="00DD5811"/>
    <w:rsid w:val="00DF2DC5"/>
    <w:rsid w:val="00E65681"/>
    <w:rsid w:val="00E71776"/>
    <w:rsid w:val="00E71EE2"/>
    <w:rsid w:val="00EB4586"/>
    <w:rsid w:val="00EC0568"/>
    <w:rsid w:val="00EC3E54"/>
    <w:rsid w:val="00EE4939"/>
    <w:rsid w:val="00EE7910"/>
    <w:rsid w:val="00EF1D27"/>
    <w:rsid w:val="00F0013B"/>
    <w:rsid w:val="00F02E24"/>
    <w:rsid w:val="00F050A8"/>
    <w:rsid w:val="00F137E4"/>
    <w:rsid w:val="00F17921"/>
    <w:rsid w:val="00F272F6"/>
    <w:rsid w:val="00F33023"/>
    <w:rsid w:val="00F405E7"/>
    <w:rsid w:val="00F436F7"/>
    <w:rsid w:val="00F537E6"/>
    <w:rsid w:val="00F6753C"/>
    <w:rsid w:val="00F70932"/>
    <w:rsid w:val="00F70AB1"/>
    <w:rsid w:val="00F740A6"/>
    <w:rsid w:val="00F77BA3"/>
    <w:rsid w:val="00FA0218"/>
    <w:rsid w:val="00FA324D"/>
    <w:rsid w:val="00FD3D6C"/>
    <w:rsid w:val="00FE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4F5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AB1"/>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F70AB1"/>
    <w:rPr>
      <w:sz w:val="16"/>
      <w:szCs w:val="16"/>
    </w:rPr>
  </w:style>
  <w:style w:type="paragraph" w:styleId="CommentText">
    <w:name w:val="annotation text"/>
    <w:basedOn w:val="Normal"/>
    <w:link w:val="CommentTextChar"/>
    <w:semiHidden/>
    <w:unhideWhenUsed/>
    <w:rsid w:val="00F70AB1"/>
    <w:pPr>
      <w:spacing w:line="240" w:lineRule="auto"/>
    </w:pPr>
    <w:rPr>
      <w:sz w:val="20"/>
      <w:szCs w:val="20"/>
      <w:lang w:val="x-none" w:eastAsia="x-none"/>
    </w:rPr>
  </w:style>
  <w:style w:type="character" w:customStyle="1" w:styleId="CommentTextChar">
    <w:name w:val="Comment Text Char"/>
    <w:basedOn w:val="DefaultParagraphFont"/>
    <w:link w:val="CommentText"/>
    <w:semiHidden/>
    <w:rsid w:val="00F70AB1"/>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0A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AB1"/>
    <w:rPr>
      <w:rFonts w:ascii="Segoe UI" w:eastAsia="Times New Roman" w:hAnsi="Segoe UI" w:cs="Segoe UI"/>
      <w:sz w:val="18"/>
      <w:szCs w:val="18"/>
    </w:rPr>
  </w:style>
  <w:style w:type="paragraph" w:styleId="ListParagraph">
    <w:name w:val="List Paragraph"/>
    <w:basedOn w:val="Normal"/>
    <w:uiPriority w:val="34"/>
    <w:qFormat/>
    <w:rsid w:val="00F70AB1"/>
    <w:pPr>
      <w:ind w:left="720"/>
      <w:contextualSpacing/>
    </w:pPr>
  </w:style>
  <w:style w:type="paragraph" w:styleId="Header">
    <w:name w:val="header"/>
    <w:basedOn w:val="Normal"/>
    <w:link w:val="HeaderChar"/>
    <w:uiPriority w:val="99"/>
    <w:unhideWhenUsed/>
    <w:rsid w:val="00154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AE0"/>
    <w:rPr>
      <w:rFonts w:ascii="Calibri" w:eastAsia="Times New Roman" w:hAnsi="Calibri" w:cs="Times New Roman"/>
    </w:rPr>
  </w:style>
  <w:style w:type="paragraph" w:styleId="Footer">
    <w:name w:val="footer"/>
    <w:basedOn w:val="Normal"/>
    <w:link w:val="FooterChar"/>
    <w:uiPriority w:val="99"/>
    <w:unhideWhenUsed/>
    <w:rsid w:val="00154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AE0"/>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390E99"/>
    <w:rPr>
      <w:b/>
      <w:bCs/>
      <w:lang w:val="en-US" w:eastAsia="en-US"/>
    </w:rPr>
  </w:style>
  <w:style w:type="character" w:customStyle="1" w:styleId="CommentSubjectChar">
    <w:name w:val="Comment Subject Char"/>
    <w:basedOn w:val="CommentTextChar"/>
    <w:link w:val="CommentSubject"/>
    <w:uiPriority w:val="99"/>
    <w:semiHidden/>
    <w:rsid w:val="00390E99"/>
    <w:rPr>
      <w:rFonts w:ascii="Calibri" w:eastAsia="Times New Roman" w:hAnsi="Calibri" w:cs="Times New Roman"/>
      <w:b/>
      <w:bCs/>
      <w:sz w:val="20"/>
      <w:szCs w:val="20"/>
      <w:lang w:val="x-none" w:eastAsia="x-none"/>
    </w:rPr>
  </w:style>
  <w:style w:type="paragraph" w:styleId="Revision">
    <w:name w:val="Revision"/>
    <w:hidden/>
    <w:uiPriority w:val="99"/>
    <w:semiHidden/>
    <w:rsid w:val="0057696D"/>
    <w:pPr>
      <w:spacing w:after="0" w:line="240" w:lineRule="auto"/>
    </w:pPr>
    <w:rPr>
      <w:rFonts w:ascii="Calibri" w:eastAsia="Times New Roman" w:hAnsi="Calibri" w:cs="Times New Roman"/>
    </w:rPr>
  </w:style>
  <w:style w:type="character" w:styleId="Hyperlink">
    <w:name w:val="Hyperlink"/>
    <w:basedOn w:val="DefaultParagraphFont"/>
    <w:uiPriority w:val="99"/>
    <w:semiHidden/>
    <w:unhideWhenUsed/>
    <w:rsid w:val="00FA324D"/>
    <w:rPr>
      <w:color w:val="0000FF"/>
      <w:u w:val="single"/>
    </w:rPr>
  </w:style>
  <w:style w:type="table" w:styleId="TableGrid">
    <w:name w:val="Table Grid"/>
    <w:basedOn w:val="TableNormal"/>
    <w:uiPriority w:val="39"/>
    <w:rsid w:val="00B33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0AB1"/>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F70AB1"/>
    <w:rPr>
      <w:sz w:val="16"/>
      <w:szCs w:val="16"/>
    </w:rPr>
  </w:style>
  <w:style w:type="paragraph" w:styleId="CommentText">
    <w:name w:val="annotation text"/>
    <w:basedOn w:val="Normal"/>
    <w:link w:val="CommentTextChar"/>
    <w:semiHidden/>
    <w:unhideWhenUsed/>
    <w:rsid w:val="00F70AB1"/>
    <w:pPr>
      <w:spacing w:line="240" w:lineRule="auto"/>
    </w:pPr>
    <w:rPr>
      <w:sz w:val="20"/>
      <w:szCs w:val="20"/>
      <w:lang w:val="x-none" w:eastAsia="x-none"/>
    </w:rPr>
  </w:style>
  <w:style w:type="character" w:customStyle="1" w:styleId="CommentTextChar">
    <w:name w:val="Comment Text Char"/>
    <w:basedOn w:val="DefaultParagraphFont"/>
    <w:link w:val="CommentText"/>
    <w:semiHidden/>
    <w:rsid w:val="00F70AB1"/>
    <w:rPr>
      <w:rFonts w:ascii="Calibri" w:eastAsia="Times New Roman" w:hAnsi="Calibri" w:cs="Times New Roman"/>
      <w:sz w:val="20"/>
      <w:szCs w:val="20"/>
      <w:lang w:val="x-none" w:eastAsia="x-none"/>
    </w:rPr>
  </w:style>
  <w:style w:type="paragraph" w:styleId="BalloonText">
    <w:name w:val="Balloon Text"/>
    <w:basedOn w:val="Normal"/>
    <w:link w:val="BalloonTextChar"/>
    <w:uiPriority w:val="99"/>
    <w:semiHidden/>
    <w:unhideWhenUsed/>
    <w:rsid w:val="00F70A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0AB1"/>
    <w:rPr>
      <w:rFonts w:ascii="Segoe UI" w:eastAsia="Times New Roman" w:hAnsi="Segoe UI" w:cs="Segoe UI"/>
      <w:sz w:val="18"/>
      <w:szCs w:val="18"/>
    </w:rPr>
  </w:style>
  <w:style w:type="paragraph" w:styleId="ListParagraph">
    <w:name w:val="List Paragraph"/>
    <w:basedOn w:val="Normal"/>
    <w:uiPriority w:val="34"/>
    <w:qFormat/>
    <w:rsid w:val="00F70AB1"/>
    <w:pPr>
      <w:ind w:left="720"/>
      <w:contextualSpacing/>
    </w:pPr>
  </w:style>
  <w:style w:type="paragraph" w:styleId="Header">
    <w:name w:val="header"/>
    <w:basedOn w:val="Normal"/>
    <w:link w:val="HeaderChar"/>
    <w:uiPriority w:val="99"/>
    <w:unhideWhenUsed/>
    <w:rsid w:val="00154A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AE0"/>
    <w:rPr>
      <w:rFonts w:ascii="Calibri" w:eastAsia="Times New Roman" w:hAnsi="Calibri" w:cs="Times New Roman"/>
    </w:rPr>
  </w:style>
  <w:style w:type="paragraph" w:styleId="Footer">
    <w:name w:val="footer"/>
    <w:basedOn w:val="Normal"/>
    <w:link w:val="FooterChar"/>
    <w:uiPriority w:val="99"/>
    <w:unhideWhenUsed/>
    <w:rsid w:val="00154A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4AE0"/>
    <w:rPr>
      <w:rFonts w:ascii="Calibri" w:eastAsia="Times New Roman" w:hAnsi="Calibri" w:cs="Times New Roman"/>
    </w:rPr>
  </w:style>
  <w:style w:type="paragraph" w:styleId="CommentSubject">
    <w:name w:val="annotation subject"/>
    <w:basedOn w:val="CommentText"/>
    <w:next w:val="CommentText"/>
    <w:link w:val="CommentSubjectChar"/>
    <w:uiPriority w:val="99"/>
    <w:semiHidden/>
    <w:unhideWhenUsed/>
    <w:rsid w:val="00390E99"/>
    <w:rPr>
      <w:b/>
      <w:bCs/>
      <w:lang w:val="en-US" w:eastAsia="en-US"/>
    </w:rPr>
  </w:style>
  <w:style w:type="character" w:customStyle="1" w:styleId="CommentSubjectChar">
    <w:name w:val="Comment Subject Char"/>
    <w:basedOn w:val="CommentTextChar"/>
    <w:link w:val="CommentSubject"/>
    <w:uiPriority w:val="99"/>
    <w:semiHidden/>
    <w:rsid w:val="00390E99"/>
    <w:rPr>
      <w:rFonts w:ascii="Calibri" w:eastAsia="Times New Roman" w:hAnsi="Calibri" w:cs="Times New Roman"/>
      <w:b/>
      <w:bCs/>
      <w:sz w:val="20"/>
      <w:szCs w:val="20"/>
      <w:lang w:val="x-none" w:eastAsia="x-none"/>
    </w:rPr>
  </w:style>
  <w:style w:type="paragraph" w:styleId="Revision">
    <w:name w:val="Revision"/>
    <w:hidden/>
    <w:uiPriority w:val="99"/>
    <w:semiHidden/>
    <w:rsid w:val="0057696D"/>
    <w:pPr>
      <w:spacing w:after="0" w:line="240" w:lineRule="auto"/>
    </w:pPr>
    <w:rPr>
      <w:rFonts w:ascii="Calibri" w:eastAsia="Times New Roman" w:hAnsi="Calibri" w:cs="Times New Roman"/>
    </w:rPr>
  </w:style>
  <w:style w:type="character" w:styleId="Hyperlink">
    <w:name w:val="Hyperlink"/>
    <w:basedOn w:val="DefaultParagraphFont"/>
    <w:uiPriority w:val="99"/>
    <w:semiHidden/>
    <w:unhideWhenUsed/>
    <w:rsid w:val="00FA324D"/>
    <w:rPr>
      <w:color w:val="0000FF"/>
      <w:u w:val="single"/>
    </w:rPr>
  </w:style>
  <w:style w:type="table" w:styleId="TableGrid">
    <w:name w:val="Table Grid"/>
    <w:basedOn w:val="TableNormal"/>
    <w:uiPriority w:val="39"/>
    <w:rsid w:val="00B334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8585">
      <w:bodyDiv w:val="1"/>
      <w:marLeft w:val="0"/>
      <w:marRight w:val="0"/>
      <w:marTop w:val="0"/>
      <w:marBottom w:val="0"/>
      <w:divBdr>
        <w:top w:val="none" w:sz="0" w:space="0" w:color="auto"/>
        <w:left w:val="none" w:sz="0" w:space="0" w:color="auto"/>
        <w:bottom w:val="none" w:sz="0" w:space="0" w:color="auto"/>
        <w:right w:val="none" w:sz="0" w:space="0" w:color="auto"/>
      </w:divBdr>
    </w:div>
    <w:div w:id="638613570">
      <w:bodyDiv w:val="1"/>
      <w:marLeft w:val="0"/>
      <w:marRight w:val="0"/>
      <w:marTop w:val="0"/>
      <w:marBottom w:val="0"/>
      <w:divBdr>
        <w:top w:val="none" w:sz="0" w:space="0" w:color="auto"/>
        <w:left w:val="none" w:sz="0" w:space="0" w:color="auto"/>
        <w:bottom w:val="none" w:sz="0" w:space="0" w:color="auto"/>
        <w:right w:val="none" w:sz="0" w:space="0" w:color="auto"/>
      </w:divBdr>
      <w:divsChild>
        <w:div w:id="1787887910">
          <w:marLeft w:val="0"/>
          <w:marRight w:val="0"/>
          <w:marTop w:val="0"/>
          <w:marBottom w:val="0"/>
          <w:divBdr>
            <w:top w:val="none" w:sz="0" w:space="0" w:color="auto"/>
            <w:left w:val="none" w:sz="0" w:space="0" w:color="auto"/>
            <w:bottom w:val="none" w:sz="0" w:space="0" w:color="auto"/>
            <w:right w:val="none" w:sz="0" w:space="0" w:color="auto"/>
          </w:divBdr>
          <w:divsChild>
            <w:div w:id="1070809369">
              <w:marLeft w:val="0"/>
              <w:marRight w:val="0"/>
              <w:marTop w:val="0"/>
              <w:marBottom w:val="0"/>
              <w:divBdr>
                <w:top w:val="none" w:sz="0" w:space="0" w:color="auto"/>
                <w:left w:val="none" w:sz="0" w:space="0" w:color="auto"/>
                <w:bottom w:val="none" w:sz="0" w:space="0" w:color="auto"/>
                <w:right w:val="none" w:sz="0" w:space="0" w:color="auto"/>
              </w:divBdr>
              <w:divsChild>
                <w:div w:id="1052120657">
                  <w:marLeft w:val="0"/>
                  <w:marRight w:val="0"/>
                  <w:marTop w:val="0"/>
                  <w:marBottom w:val="0"/>
                  <w:divBdr>
                    <w:top w:val="none" w:sz="0" w:space="0" w:color="auto"/>
                    <w:left w:val="none" w:sz="0" w:space="0" w:color="auto"/>
                    <w:bottom w:val="none" w:sz="0" w:space="0" w:color="auto"/>
                    <w:right w:val="none" w:sz="0" w:space="0" w:color="auto"/>
                  </w:divBdr>
                  <w:divsChild>
                    <w:div w:id="107886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xo.dialogue2.cao.gov/a/ideas/top/campaign-filter/byids/campaigns/13162"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2542</Words>
  <Characters>14492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17001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KPMG</dc:creator>
  <cp:lastModifiedBy>Windows User</cp:lastModifiedBy>
  <cp:revision>3</cp:revision>
  <dcterms:created xsi:type="dcterms:W3CDTF">2016-03-16T14:33:00Z</dcterms:created>
  <dcterms:modified xsi:type="dcterms:W3CDTF">2016-03-16T14:34:00Z</dcterms:modified>
</cp:coreProperties>
</file>