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5686C" w14:textId="69613192" w:rsidR="00177BA0" w:rsidRDefault="004B1339" w:rsidP="00C21069">
      <w:pPr>
        <w:tabs>
          <w:tab w:val="right" w:pos="9360"/>
        </w:tabs>
        <w:suppressAutoHyphens/>
        <w:rPr>
          <w:b/>
          <w:szCs w:val="24"/>
        </w:rPr>
      </w:pPr>
      <w:r>
        <w:rPr>
          <w:b/>
          <w:szCs w:val="24"/>
        </w:rPr>
        <w:t>First Respond</w:t>
      </w:r>
      <w:r w:rsidR="00177BA0">
        <w:rPr>
          <w:b/>
          <w:szCs w:val="24"/>
        </w:rPr>
        <w:t xml:space="preserve">er Information in the </w:t>
      </w:r>
      <w:r w:rsidR="00177BA0">
        <w:rPr>
          <w:b/>
          <w:szCs w:val="24"/>
        </w:rPr>
        <w:tab/>
        <w:t>3060-1127</w:t>
      </w:r>
    </w:p>
    <w:p w14:paraId="115B7214" w14:textId="2FE6C63E" w:rsidR="004B1339" w:rsidRDefault="00177BA0" w:rsidP="00C21069">
      <w:pPr>
        <w:tabs>
          <w:tab w:val="right" w:pos="9360"/>
        </w:tabs>
        <w:suppressAutoHyphens/>
        <w:rPr>
          <w:b/>
          <w:szCs w:val="24"/>
        </w:rPr>
      </w:pPr>
      <w:r>
        <w:rPr>
          <w:b/>
          <w:szCs w:val="24"/>
        </w:rPr>
        <w:t xml:space="preserve">Universal </w:t>
      </w:r>
      <w:r w:rsidR="004B1339">
        <w:rPr>
          <w:b/>
          <w:szCs w:val="24"/>
        </w:rPr>
        <w:t xml:space="preserve">Licensing System (ULS) </w:t>
      </w:r>
      <w:r>
        <w:rPr>
          <w:b/>
          <w:szCs w:val="24"/>
        </w:rPr>
        <w:tab/>
        <w:t>April 2016</w:t>
      </w:r>
    </w:p>
    <w:p w14:paraId="7C341E9C" w14:textId="77777777" w:rsidR="004B1339" w:rsidRDefault="004B1339" w:rsidP="006E62BD">
      <w:pPr>
        <w:tabs>
          <w:tab w:val="right" w:pos="9360"/>
        </w:tabs>
        <w:suppressAutoHyphens/>
        <w:jc w:val="right"/>
        <w:rPr>
          <w:b/>
          <w:szCs w:val="24"/>
        </w:rPr>
      </w:pPr>
      <w:r>
        <w:rPr>
          <w:b/>
          <w:szCs w:val="24"/>
        </w:rPr>
        <w:t xml:space="preserve"> </w:t>
      </w:r>
      <w:r w:rsidR="00295E70" w:rsidRPr="00682B07">
        <w:rPr>
          <w:b/>
          <w:szCs w:val="24"/>
        </w:rPr>
        <w:tab/>
      </w:r>
      <w:r w:rsidR="00295E70" w:rsidRPr="00682B07">
        <w:rPr>
          <w:b/>
          <w:szCs w:val="24"/>
        </w:rPr>
        <w:tab/>
      </w:r>
    </w:p>
    <w:p w14:paraId="592E89CD" w14:textId="36317722" w:rsidR="00AA48B9" w:rsidRPr="00682B07" w:rsidRDefault="00AA48B9" w:rsidP="00C21069">
      <w:pPr>
        <w:tabs>
          <w:tab w:val="right" w:pos="9360"/>
        </w:tabs>
        <w:suppressAutoHyphens/>
        <w:jc w:val="right"/>
        <w:rPr>
          <w:szCs w:val="24"/>
        </w:rPr>
      </w:pPr>
    </w:p>
    <w:p w14:paraId="69695BA8" w14:textId="77777777" w:rsidR="00E14530" w:rsidRPr="00682B07" w:rsidRDefault="00E14530" w:rsidP="006E62BD">
      <w:pPr>
        <w:tabs>
          <w:tab w:val="left" w:pos="0"/>
        </w:tabs>
        <w:suppressAutoHyphens/>
        <w:jc w:val="right"/>
        <w:rPr>
          <w:szCs w:val="24"/>
        </w:rPr>
      </w:pPr>
    </w:p>
    <w:p w14:paraId="09EE223D" w14:textId="77777777" w:rsidR="008F251F" w:rsidRPr="00682B07" w:rsidRDefault="008D46F1" w:rsidP="00BD2F12">
      <w:pPr>
        <w:tabs>
          <w:tab w:val="center" w:pos="4680"/>
        </w:tabs>
        <w:suppressAutoHyphens/>
        <w:outlineLvl w:val="0"/>
        <w:rPr>
          <w:szCs w:val="24"/>
        </w:rPr>
      </w:pPr>
      <w:r w:rsidRPr="00682B07">
        <w:rPr>
          <w:b/>
          <w:szCs w:val="24"/>
        </w:rPr>
        <w:tab/>
      </w:r>
      <w:r w:rsidRPr="00682B07">
        <w:rPr>
          <w:szCs w:val="24"/>
        </w:rPr>
        <w:t>SUPPORTING STATEMENT</w:t>
      </w:r>
    </w:p>
    <w:p w14:paraId="0FA42859" w14:textId="77777777" w:rsidR="008F251F" w:rsidRPr="00682B07" w:rsidRDefault="008F251F" w:rsidP="00BD2F12">
      <w:pPr>
        <w:tabs>
          <w:tab w:val="center" w:pos="4680"/>
        </w:tabs>
        <w:suppressAutoHyphens/>
        <w:outlineLvl w:val="0"/>
        <w:rPr>
          <w:szCs w:val="24"/>
        </w:rPr>
      </w:pPr>
    </w:p>
    <w:p w14:paraId="27AC9BED" w14:textId="5AC4FDFD" w:rsidR="008D46F1" w:rsidRPr="00682B07" w:rsidRDefault="008F251F" w:rsidP="00BD2F12">
      <w:pPr>
        <w:tabs>
          <w:tab w:val="center" w:pos="4680"/>
        </w:tabs>
        <w:suppressAutoHyphens/>
        <w:outlineLvl w:val="0"/>
        <w:rPr>
          <w:szCs w:val="24"/>
        </w:rPr>
      </w:pPr>
      <w:r w:rsidRPr="00682B07">
        <w:rPr>
          <w:szCs w:val="24"/>
        </w:rPr>
        <w:t xml:space="preserve">The Commission is seeking </w:t>
      </w:r>
      <w:r w:rsidR="00636797" w:rsidRPr="00682B07">
        <w:rPr>
          <w:szCs w:val="24"/>
        </w:rPr>
        <w:t xml:space="preserve">a three-year </w:t>
      </w:r>
      <w:r w:rsidR="001C5C15" w:rsidRPr="00682B07">
        <w:rPr>
          <w:szCs w:val="24"/>
        </w:rPr>
        <w:t>extension</w:t>
      </w:r>
      <w:r w:rsidR="00636797" w:rsidRPr="00682B07">
        <w:rPr>
          <w:szCs w:val="24"/>
        </w:rPr>
        <w:t xml:space="preserve"> of the collection</w:t>
      </w:r>
      <w:r w:rsidRPr="00682B07">
        <w:rPr>
          <w:szCs w:val="24"/>
        </w:rPr>
        <w:t xml:space="preserve"> from the Office of Management and Budget (OMB).    There are no changes to the reporting requirement(s) and there is no change to the Commission’s burden estimates.</w:t>
      </w:r>
      <w:r w:rsidR="008D46F1" w:rsidRPr="00682B07">
        <w:rPr>
          <w:szCs w:val="24"/>
        </w:rPr>
        <w:fldChar w:fldCharType="begin"/>
      </w:r>
      <w:r w:rsidR="008D46F1" w:rsidRPr="00682B07">
        <w:rPr>
          <w:szCs w:val="24"/>
        </w:rPr>
        <w:instrText xml:space="preserve">PRIVATE </w:instrText>
      </w:r>
      <w:r w:rsidR="008D46F1" w:rsidRPr="00682B07">
        <w:rPr>
          <w:szCs w:val="24"/>
        </w:rPr>
        <w:fldChar w:fldCharType="end"/>
      </w:r>
    </w:p>
    <w:p w14:paraId="23E6926A" w14:textId="77777777" w:rsidR="008D46F1" w:rsidRPr="00682B07" w:rsidRDefault="008D46F1" w:rsidP="008D46F1">
      <w:pPr>
        <w:tabs>
          <w:tab w:val="left" w:pos="0"/>
        </w:tabs>
        <w:suppressAutoHyphens/>
        <w:jc w:val="center"/>
        <w:rPr>
          <w:b/>
          <w:szCs w:val="24"/>
        </w:rPr>
      </w:pPr>
    </w:p>
    <w:p w14:paraId="5F8BB2A4" w14:textId="77777777" w:rsidR="008D46F1" w:rsidRPr="00682B07" w:rsidRDefault="008D46F1" w:rsidP="008D46F1">
      <w:pPr>
        <w:pStyle w:val="Heading1"/>
        <w:rPr>
          <w:b/>
          <w:szCs w:val="24"/>
        </w:rPr>
      </w:pPr>
      <w:r w:rsidRPr="00682B07">
        <w:rPr>
          <w:b/>
          <w:szCs w:val="24"/>
        </w:rPr>
        <w:t>A.</w:t>
      </w:r>
      <w:r w:rsidRPr="00682B07">
        <w:rPr>
          <w:b/>
          <w:szCs w:val="24"/>
        </w:rPr>
        <w:tab/>
      </w:r>
      <w:r w:rsidRPr="00682B07">
        <w:rPr>
          <w:b/>
          <w:szCs w:val="24"/>
          <w:u w:val="single"/>
        </w:rPr>
        <w:t>Justification</w:t>
      </w:r>
      <w:r w:rsidR="006E62BD" w:rsidRPr="00682B07">
        <w:rPr>
          <w:b/>
          <w:szCs w:val="24"/>
          <w:u w:val="single"/>
        </w:rPr>
        <w:t>:</w:t>
      </w:r>
    </w:p>
    <w:p w14:paraId="0D511805" w14:textId="77777777" w:rsidR="008D46F1" w:rsidRPr="00682B07" w:rsidRDefault="008D46F1" w:rsidP="008D46F1">
      <w:pPr>
        <w:numPr>
          <w:ilvl w:val="0"/>
          <w:numId w:val="5"/>
        </w:numPr>
        <w:tabs>
          <w:tab w:val="left" w:pos="0"/>
        </w:tabs>
        <w:suppressAutoHyphens/>
        <w:rPr>
          <w:szCs w:val="24"/>
        </w:rPr>
      </w:pPr>
    </w:p>
    <w:p w14:paraId="7B133481" w14:textId="77777777" w:rsidR="00591B5C" w:rsidRPr="00682B07" w:rsidRDefault="00591B5C" w:rsidP="00453524">
      <w:pPr>
        <w:pStyle w:val="ParaNumCharChar"/>
        <w:numPr>
          <w:ilvl w:val="0"/>
          <w:numId w:val="7"/>
        </w:numPr>
        <w:tabs>
          <w:tab w:val="clear" w:pos="1800"/>
          <w:tab w:val="num" w:pos="0"/>
          <w:tab w:val="left" w:pos="1080"/>
        </w:tabs>
        <w:ind w:left="0" w:firstLine="720"/>
        <w:rPr>
          <w:rStyle w:val="documentbody1"/>
          <w:rFonts w:ascii="Times New Roman" w:hAnsi="Times New Roman"/>
          <w:sz w:val="24"/>
          <w:szCs w:val="24"/>
        </w:rPr>
      </w:pPr>
      <w:r w:rsidRPr="00682B07">
        <w:rPr>
          <w:rStyle w:val="documentbody1"/>
          <w:rFonts w:ascii="Times New Roman" w:hAnsi="Times New Roman"/>
          <w:sz w:val="24"/>
          <w:szCs w:val="24"/>
        </w:rPr>
        <w:t>Explain the circumstances that make the collection of information necessary.  Identify any legal or administrative requirements that necessitate the collection.</w:t>
      </w:r>
      <w:r w:rsidR="00453524" w:rsidRPr="00682B07">
        <w:rPr>
          <w:rStyle w:val="documentbody1"/>
          <w:rFonts w:ascii="Times New Roman" w:hAnsi="Times New Roman"/>
          <w:sz w:val="24"/>
          <w:szCs w:val="24"/>
        </w:rPr>
        <w:t xml:space="preserve">  </w:t>
      </w:r>
    </w:p>
    <w:p w14:paraId="2AD23E03" w14:textId="77777777" w:rsidR="00453524" w:rsidRPr="00682B07" w:rsidRDefault="00F412C4" w:rsidP="00F412C4">
      <w:pPr>
        <w:spacing w:before="120"/>
        <w:ind w:firstLine="720"/>
        <w:rPr>
          <w:szCs w:val="24"/>
        </w:rPr>
      </w:pPr>
      <w:r w:rsidRPr="00682B07">
        <w:rPr>
          <w:szCs w:val="24"/>
        </w:rPr>
        <w:t xml:space="preserve">The Public Safety and Homeland Security Bureau (Bureau) enhanced the </w:t>
      </w:r>
      <w:r w:rsidR="00C06779" w:rsidRPr="00682B07">
        <w:rPr>
          <w:szCs w:val="24"/>
        </w:rPr>
        <w:t xml:space="preserve">existing </w:t>
      </w:r>
      <w:r w:rsidRPr="00682B07">
        <w:rPr>
          <w:szCs w:val="24"/>
        </w:rPr>
        <w:t xml:space="preserve">Universal Licensing System (ULS) to collect operational point of contact information from public safety licensees and non-public safety licensees designated as emergency first responders responsible for coordinating with state, county and local authorities during times of emergency.  </w:t>
      </w:r>
      <w:r w:rsidR="00C06779" w:rsidRPr="00682B07">
        <w:rPr>
          <w:szCs w:val="24"/>
        </w:rPr>
        <w:t>The process of procuring and maintaining spectrum using the ULS remains intact and requires no additional training</w:t>
      </w:r>
      <w:r w:rsidR="004D43B6" w:rsidRPr="00682B07">
        <w:rPr>
          <w:szCs w:val="24"/>
        </w:rPr>
        <w:t xml:space="preserve"> for licensees to participate in this </w:t>
      </w:r>
      <w:r w:rsidR="003C06FE" w:rsidRPr="00682B07">
        <w:rPr>
          <w:szCs w:val="24"/>
        </w:rPr>
        <w:t>voluntary</w:t>
      </w:r>
      <w:r w:rsidR="004D43B6" w:rsidRPr="00682B07">
        <w:rPr>
          <w:szCs w:val="24"/>
        </w:rPr>
        <w:t xml:space="preserve"> collection.</w:t>
      </w:r>
      <w:r w:rsidR="004D43B6" w:rsidRPr="00682B07">
        <w:rPr>
          <w:rStyle w:val="FootnoteReference"/>
          <w:sz w:val="24"/>
          <w:szCs w:val="24"/>
        </w:rPr>
        <w:footnoteReference w:id="1"/>
      </w:r>
      <w:r w:rsidR="004D43B6" w:rsidRPr="00682B07">
        <w:rPr>
          <w:szCs w:val="24"/>
        </w:rPr>
        <w:t xml:space="preserve">  </w:t>
      </w:r>
      <w:r w:rsidRPr="00682B07">
        <w:rPr>
          <w:szCs w:val="24"/>
        </w:rPr>
        <w:t xml:space="preserve">This enhancement to ULS to collect </w:t>
      </w:r>
      <w:r w:rsidR="003C06FE" w:rsidRPr="00682B07">
        <w:rPr>
          <w:szCs w:val="24"/>
        </w:rPr>
        <w:t>emergency</w:t>
      </w:r>
      <w:r w:rsidRPr="00682B07">
        <w:rPr>
          <w:szCs w:val="24"/>
        </w:rPr>
        <w:t xml:space="preserve"> point of contact information enable</w:t>
      </w:r>
      <w:r w:rsidR="002F0120" w:rsidRPr="00682B07">
        <w:rPr>
          <w:szCs w:val="24"/>
        </w:rPr>
        <w:t>s</w:t>
      </w:r>
      <w:r w:rsidRPr="00682B07">
        <w:rPr>
          <w:szCs w:val="24"/>
        </w:rPr>
        <w:t xml:space="preserve"> Commission staff to more effectively provide immediate assistance and outreach to licensees during times of emergency.  </w:t>
      </w:r>
      <w:r w:rsidR="00943206" w:rsidRPr="00682B07">
        <w:rPr>
          <w:szCs w:val="24"/>
        </w:rPr>
        <w:t xml:space="preserve">Using this information, the Bureau </w:t>
      </w:r>
      <w:r w:rsidR="002F0120" w:rsidRPr="00682B07">
        <w:rPr>
          <w:szCs w:val="24"/>
        </w:rPr>
        <w:t xml:space="preserve">is </w:t>
      </w:r>
      <w:r w:rsidR="00943206" w:rsidRPr="00682B07">
        <w:rPr>
          <w:szCs w:val="24"/>
        </w:rPr>
        <w:t xml:space="preserve">able to coordinate among licensees in given geographic areas to make more wireless radio service available to emergency first responders and emergency operations.  </w:t>
      </w:r>
    </w:p>
    <w:p w14:paraId="5EA1CA63" w14:textId="6FB7041C" w:rsidR="007B6873" w:rsidRPr="00682B07" w:rsidRDefault="004B1339" w:rsidP="008F251F">
      <w:pPr>
        <w:spacing w:before="120"/>
        <w:ind w:firstLine="720"/>
        <w:rPr>
          <w:szCs w:val="24"/>
        </w:rPr>
      </w:pPr>
      <w:r w:rsidRPr="00B4454F">
        <w:rPr>
          <w:szCs w:val="24"/>
        </w:rPr>
        <w:t>T</w:t>
      </w:r>
      <w:r w:rsidR="007B6873" w:rsidRPr="00B4454F">
        <w:rPr>
          <w:szCs w:val="24"/>
        </w:rPr>
        <w:t>his information collection does not affect individuals or households; thus, there are no impacts under the Privacy Act.</w:t>
      </w:r>
    </w:p>
    <w:p w14:paraId="7FDE14DF" w14:textId="77777777" w:rsidR="007B6873" w:rsidRPr="00682B07" w:rsidRDefault="007B6873" w:rsidP="008D46F1">
      <w:pPr>
        <w:tabs>
          <w:tab w:val="left" w:pos="0"/>
        </w:tabs>
        <w:suppressAutoHyphens/>
        <w:jc w:val="both"/>
        <w:rPr>
          <w:szCs w:val="24"/>
        </w:rPr>
      </w:pPr>
    </w:p>
    <w:p w14:paraId="05D3B836" w14:textId="77777777" w:rsidR="007B6873" w:rsidRPr="00682B07" w:rsidRDefault="00682B07" w:rsidP="008D46F1">
      <w:pPr>
        <w:tabs>
          <w:tab w:val="left" w:pos="0"/>
        </w:tabs>
        <w:suppressAutoHyphens/>
        <w:jc w:val="both"/>
        <w:rPr>
          <w:szCs w:val="24"/>
        </w:rPr>
      </w:pPr>
      <w:r>
        <w:rPr>
          <w:szCs w:val="24"/>
        </w:rPr>
        <w:tab/>
      </w:r>
      <w:r w:rsidR="007B6873" w:rsidRPr="00682B07">
        <w:rPr>
          <w:szCs w:val="24"/>
        </w:rPr>
        <w:t xml:space="preserve">Statutory authority for this collection of information is contained in </w:t>
      </w:r>
      <w:r w:rsidR="00EA2A4B" w:rsidRPr="00682B07">
        <w:rPr>
          <w:szCs w:val="24"/>
        </w:rPr>
        <w:t>Sections 4(i) of the Communications Act of 1934, as amended, 47 U.S.C. § 154(i), and Section 0.191 of the Commission’s rules, 47 CF</w:t>
      </w:r>
      <w:r w:rsidR="0027098F" w:rsidRPr="00682B07">
        <w:rPr>
          <w:szCs w:val="24"/>
        </w:rPr>
        <w:t>R</w:t>
      </w:r>
      <w:r w:rsidR="00EA2A4B" w:rsidRPr="00682B07">
        <w:rPr>
          <w:szCs w:val="24"/>
        </w:rPr>
        <w:t xml:space="preserve"> § 0.191.</w:t>
      </w:r>
    </w:p>
    <w:p w14:paraId="264E9336" w14:textId="77777777" w:rsidR="007B6873" w:rsidRPr="00682B07" w:rsidRDefault="007B6873" w:rsidP="008D46F1">
      <w:pPr>
        <w:tabs>
          <w:tab w:val="left" w:pos="0"/>
        </w:tabs>
        <w:suppressAutoHyphens/>
        <w:jc w:val="both"/>
        <w:rPr>
          <w:szCs w:val="24"/>
        </w:rPr>
      </w:pPr>
    </w:p>
    <w:p w14:paraId="2F723CCF" w14:textId="77777777" w:rsidR="00366785" w:rsidRPr="00682B07" w:rsidRDefault="00366785" w:rsidP="00366785">
      <w:pPr>
        <w:numPr>
          <w:ilvl w:val="0"/>
          <w:numId w:val="4"/>
        </w:numPr>
        <w:tabs>
          <w:tab w:val="left" w:pos="0"/>
        </w:tabs>
        <w:suppressAutoHyphens/>
        <w:jc w:val="both"/>
        <w:rPr>
          <w:szCs w:val="24"/>
        </w:rPr>
      </w:pPr>
      <w:r w:rsidRPr="00682B07">
        <w:rPr>
          <w:szCs w:val="24"/>
        </w:rPr>
        <w:t>Indicate how, by whom and for what purpose the information is to be used.  Except for a new collection, indicate the actual use the agency has made of the information received from the current collection.</w:t>
      </w:r>
      <w:r w:rsidR="00453524" w:rsidRPr="00682B07">
        <w:rPr>
          <w:szCs w:val="24"/>
        </w:rPr>
        <w:t xml:space="preserve">  </w:t>
      </w:r>
    </w:p>
    <w:p w14:paraId="4C93A1E6" w14:textId="77777777" w:rsidR="00453524" w:rsidRPr="00682B07" w:rsidRDefault="00453524" w:rsidP="00453524">
      <w:pPr>
        <w:tabs>
          <w:tab w:val="left" w:pos="0"/>
        </w:tabs>
        <w:suppressAutoHyphens/>
        <w:jc w:val="both"/>
        <w:rPr>
          <w:szCs w:val="24"/>
        </w:rPr>
      </w:pPr>
    </w:p>
    <w:p w14:paraId="56B6C015" w14:textId="77777777" w:rsidR="00F412C4" w:rsidRPr="00682B07" w:rsidRDefault="00F412C4" w:rsidP="00F412C4">
      <w:pPr>
        <w:spacing w:before="120"/>
        <w:ind w:firstLine="720"/>
        <w:rPr>
          <w:rStyle w:val="Strong"/>
          <w:b w:val="0"/>
          <w:szCs w:val="24"/>
        </w:rPr>
      </w:pPr>
      <w:r w:rsidRPr="00682B07">
        <w:rPr>
          <w:szCs w:val="24"/>
        </w:rPr>
        <w:t xml:space="preserve">Public safety licensees and non-public safety licensees designated as emergency first responders operating pursuant to Part 90 of the Commission’s rules should </w:t>
      </w:r>
      <w:r w:rsidRPr="00682B07">
        <w:rPr>
          <w:rStyle w:val="Strong"/>
          <w:b w:val="0"/>
          <w:szCs w:val="24"/>
        </w:rPr>
        <w:t xml:space="preserve">identify </w:t>
      </w:r>
      <w:r w:rsidRPr="00682B07">
        <w:rPr>
          <w:rStyle w:val="Strong"/>
          <w:b w:val="0"/>
          <w:szCs w:val="24"/>
        </w:rPr>
        <w:lastRenderedPageBreak/>
        <w:t>the following information regarding the operational point of contact for the Licensee directly responsible for coordinating with the state, county, and/or local emergency authorities:</w:t>
      </w:r>
    </w:p>
    <w:p w14:paraId="3BF3C311" w14:textId="77777777" w:rsidR="00F412C4" w:rsidRPr="00682B07" w:rsidRDefault="00F412C4" w:rsidP="00F412C4">
      <w:pPr>
        <w:spacing w:before="120"/>
        <w:ind w:firstLine="720"/>
        <w:rPr>
          <w:rStyle w:val="Strong"/>
          <w:b w:val="0"/>
          <w:bCs w:val="0"/>
          <w:szCs w:val="24"/>
        </w:rPr>
      </w:pPr>
      <w:r w:rsidRPr="00682B07">
        <w:rPr>
          <w:rStyle w:val="Strong"/>
          <w:b w:val="0"/>
          <w:szCs w:val="24"/>
        </w:rPr>
        <w:t xml:space="preserve">(a) Name and Title, </w:t>
      </w:r>
    </w:p>
    <w:p w14:paraId="118F2A10" w14:textId="77777777" w:rsidR="00F412C4" w:rsidRPr="00682B07" w:rsidRDefault="00F412C4" w:rsidP="00F412C4">
      <w:pPr>
        <w:spacing w:before="120"/>
        <w:ind w:firstLine="720"/>
        <w:rPr>
          <w:rStyle w:val="Strong"/>
          <w:b w:val="0"/>
          <w:szCs w:val="24"/>
        </w:rPr>
      </w:pPr>
      <w:r w:rsidRPr="00682B07">
        <w:rPr>
          <w:rStyle w:val="Strong"/>
          <w:b w:val="0"/>
          <w:szCs w:val="24"/>
        </w:rPr>
        <w:t xml:space="preserve">(b) Office telephone number, </w:t>
      </w:r>
    </w:p>
    <w:p w14:paraId="3C4D54D8" w14:textId="77777777" w:rsidR="00F412C4" w:rsidRPr="00682B07" w:rsidRDefault="00F412C4" w:rsidP="00F412C4">
      <w:pPr>
        <w:spacing w:before="120"/>
        <w:ind w:firstLine="720"/>
        <w:rPr>
          <w:rStyle w:val="Strong"/>
          <w:b w:val="0"/>
          <w:szCs w:val="24"/>
        </w:rPr>
      </w:pPr>
      <w:r w:rsidRPr="00682B07">
        <w:rPr>
          <w:rStyle w:val="Strong"/>
          <w:b w:val="0"/>
          <w:szCs w:val="24"/>
        </w:rPr>
        <w:t xml:space="preserve">(c) Mobile telephone number, and </w:t>
      </w:r>
    </w:p>
    <w:p w14:paraId="7DBCC2AC" w14:textId="77777777" w:rsidR="00453524" w:rsidRPr="00682B07" w:rsidRDefault="00F412C4" w:rsidP="00F412C4">
      <w:pPr>
        <w:spacing w:before="120"/>
        <w:ind w:firstLine="720"/>
        <w:rPr>
          <w:szCs w:val="24"/>
        </w:rPr>
      </w:pPr>
      <w:r w:rsidRPr="00682B07">
        <w:rPr>
          <w:rStyle w:val="Strong"/>
          <w:b w:val="0"/>
          <w:szCs w:val="24"/>
        </w:rPr>
        <w:t xml:space="preserve">(d) E-mail address </w:t>
      </w:r>
    </w:p>
    <w:p w14:paraId="4D854961" w14:textId="77777777" w:rsidR="0035138D" w:rsidRPr="00682B07" w:rsidRDefault="00366785" w:rsidP="0035138D">
      <w:pPr>
        <w:tabs>
          <w:tab w:val="left" w:pos="0"/>
        </w:tabs>
        <w:suppressAutoHyphens/>
        <w:jc w:val="both"/>
        <w:rPr>
          <w:szCs w:val="24"/>
        </w:rPr>
      </w:pPr>
      <w:r w:rsidRPr="00682B07">
        <w:rPr>
          <w:szCs w:val="24"/>
        </w:rPr>
        <w:tab/>
      </w:r>
    </w:p>
    <w:p w14:paraId="0D5CE2B0" w14:textId="3ED68955" w:rsidR="00F73FBA" w:rsidRPr="00682B07" w:rsidRDefault="00F73FBA" w:rsidP="0035138D">
      <w:pPr>
        <w:tabs>
          <w:tab w:val="left" w:pos="0"/>
        </w:tabs>
        <w:suppressAutoHyphens/>
        <w:jc w:val="both"/>
        <w:rPr>
          <w:szCs w:val="24"/>
        </w:rPr>
      </w:pPr>
      <w:r w:rsidRPr="00682B07">
        <w:rPr>
          <w:szCs w:val="24"/>
        </w:rPr>
        <w:tab/>
      </w:r>
      <w:r w:rsidR="006F3681" w:rsidRPr="00682B07">
        <w:rPr>
          <w:szCs w:val="24"/>
        </w:rPr>
        <w:t>T</w:t>
      </w:r>
      <w:r w:rsidRPr="00682B07">
        <w:rPr>
          <w:szCs w:val="24"/>
        </w:rPr>
        <w:t>he Bureau issue</w:t>
      </w:r>
      <w:r w:rsidR="002F0120" w:rsidRPr="00682B07">
        <w:rPr>
          <w:szCs w:val="24"/>
        </w:rPr>
        <w:t>d</w:t>
      </w:r>
      <w:r w:rsidRPr="00682B07">
        <w:rPr>
          <w:szCs w:val="24"/>
        </w:rPr>
        <w:t xml:space="preserve"> a Public Notice</w:t>
      </w:r>
      <w:r w:rsidR="00F30E89">
        <w:rPr>
          <w:szCs w:val="24"/>
        </w:rPr>
        <w:t>, DA-09-2043,</w:t>
      </w:r>
      <w:r w:rsidRPr="00682B07">
        <w:rPr>
          <w:szCs w:val="24"/>
        </w:rPr>
        <w:t xml:space="preserve"> with step-by-step instructions on how to use the enhanced features made available to licensees to provide this information.</w:t>
      </w:r>
      <w:r w:rsidR="00E02F09" w:rsidRPr="00682B07">
        <w:rPr>
          <w:rStyle w:val="FootnoteReference"/>
          <w:sz w:val="24"/>
          <w:szCs w:val="24"/>
        </w:rPr>
        <w:footnoteReference w:id="2"/>
      </w:r>
    </w:p>
    <w:p w14:paraId="3F712240" w14:textId="77777777" w:rsidR="00F73FBA" w:rsidRPr="00682B07" w:rsidRDefault="00F73FBA" w:rsidP="0035138D">
      <w:pPr>
        <w:tabs>
          <w:tab w:val="left" w:pos="0"/>
        </w:tabs>
        <w:suppressAutoHyphens/>
        <w:jc w:val="both"/>
        <w:rPr>
          <w:szCs w:val="24"/>
        </w:rPr>
      </w:pPr>
    </w:p>
    <w:p w14:paraId="723BC072" w14:textId="77777777" w:rsidR="00C45199" w:rsidRPr="00682B07" w:rsidRDefault="00C45199" w:rsidP="00C7501D">
      <w:pPr>
        <w:numPr>
          <w:ilvl w:val="0"/>
          <w:numId w:val="4"/>
        </w:numPr>
        <w:tabs>
          <w:tab w:val="left" w:pos="0"/>
        </w:tabs>
        <w:suppressAutoHyphens/>
        <w:rPr>
          <w:szCs w:val="24"/>
        </w:rPr>
      </w:pPr>
      <w:r w:rsidRPr="00682B07">
        <w:rPr>
          <w:szCs w:val="24"/>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14:paraId="7952D563" w14:textId="77777777" w:rsidR="00C45199" w:rsidRPr="00682B07" w:rsidRDefault="00C45199" w:rsidP="00C45199">
      <w:pPr>
        <w:tabs>
          <w:tab w:val="left" w:pos="0"/>
        </w:tabs>
        <w:suppressAutoHyphens/>
        <w:jc w:val="both"/>
        <w:rPr>
          <w:szCs w:val="24"/>
        </w:rPr>
      </w:pPr>
    </w:p>
    <w:p w14:paraId="79D14074" w14:textId="77777777" w:rsidR="0035138D" w:rsidRPr="00682B07" w:rsidRDefault="00C45199" w:rsidP="00C45199">
      <w:pPr>
        <w:tabs>
          <w:tab w:val="left" w:pos="0"/>
        </w:tabs>
        <w:suppressAutoHyphens/>
        <w:jc w:val="both"/>
        <w:rPr>
          <w:szCs w:val="24"/>
          <w:shd w:val="clear" w:color="auto" w:fill="FFFF00"/>
        </w:rPr>
      </w:pPr>
      <w:r w:rsidRPr="00682B07">
        <w:rPr>
          <w:szCs w:val="24"/>
        </w:rPr>
        <w:tab/>
      </w:r>
      <w:r w:rsidR="00F412C4" w:rsidRPr="00682B07">
        <w:rPr>
          <w:szCs w:val="24"/>
        </w:rPr>
        <w:t xml:space="preserve">Licensees are expected to use the fully-electronic ULS to file the information via the Internet.  </w:t>
      </w:r>
    </w:p>
    <w:p w14:paraId="6BA2AE54" w14:textId="77777777" w:rsidR="0035138D" w:rsidRPr="00682B07" w:rsidRDefault="0035138D" w:rsidP="0035138D">
      <w:pPr>
        <w:tabs>
          <w:tab w:val="left" w:pos="0"/>
        </w:tabs>
        <w:suppressAutoHyphens/>
        <w:jc w:val="both"/>
        <w:rPr>
          <w:szCs w:val="24"/>
        </w:rPr>
      </w:pPr>
    </w:p>
    <w:p w14:paraId="5B06C706" w14:textId="77777777" w:rsidR="00C45199" w:rsidRPr="00682B07" w:rsidRDefault="00C45199" w:rsidP="00C45199">
      <w:pPr>
        <w:numPr>
          <w:ilvl w:val="0"/>
          <w:numId w:val="4"/>
        </w:numPr>
        <w:rPr>
          <w:szCs w:val="24"/>
        </w:rPr>
      </w:pPr>
      <w:r w:rsidRPr="00682B07">
        <w:rPr>
          <w:szCs w:val="24"/>
        </w:rPr>
        <w:t>Describe efforts to identify duplication.  Show specifically why any similar information already available cannot be used or modified for use for the purposes described in item 2 above.</w:t>
      </w:r>
    </w:p>
    <w:p w14:paraId="2E0E0A6C" w14:textId="77777777" w:rsidR="00453524" w:rsidRPr="00682B07" w:rsidRDefault="00453524" w:rsidP="00453524">
      <w:pPr>
        <w:rPr>
          <w:szCs w:val="24"/>
        </w:rPr>
      </w:pPr>
    </w:p>
    <w:p w14:paraId="6BB29185" w14:textId="77777777" w:rsidR="005E5B99" w:rsidRPr="00682B07" w:rsidRDefault="00C45199" w:rsidP="00C45199">
      <w:pPr>
        <w:pStyle w:val="ParaNumCharChar"/>
        <w:tabs>
          <w:tab w:val="clear" w:pos="1080"/>
        </w:tabs>
        <w:rPr>
          <w:szCs w:val="24"/>
        </w:rPr>
      </w:pPr>
      <w:r w:rsidRPr="00682B07">
        <w:rPr>
          <w:szCs w:val="24"/>
        </w:rPr>
        <w:t xml:space="preserve">There is no similar or duplicative reporting requirement.  </w:t>
      </w:r>
      <w:r w:rsidR="00943206" w:rsidRPr="00682B07">
        <w:rPr>
          <w:szCs w:val="24"/>
        </w:rPr>
        <w:t xml:space="preserve">Emergency contact information pursuant to 47 CFR § 4(f), Disruptions to Communications- Wireless service providers, </w:t>
      </w:r>
      <w:r w:rsidR="00413B69" w:rsidRPr="00682B07">
        <w:rPr>
          <w:szCs w:val="24"/>
        </w:rPr>
        <w:t>must be reported, but only after an outage “of significant degradation” occurs.</w:t>
      </w:r>
      <w:r w:rsidR="00413B69" w:rsidRPr="00682B07">
        <w:rPr>
          <w:rStyle w:val="FootnoteReference"/>
          <w:sz w:val="24"/>
          <w:szCs w:val="24"/>
        </w:rPr>
        <w:footnoteReference w:id="3"/>
      </w:r>
      <w:r w:rsidR="00413B69" w:rsidRPr="00682B07">
        <w:rPr>
          <w:szCs w:val="24"/>
        </w:rPr>
        <w:t xml:space="preserve">  If there is no outage, no information needs to be reported.  Emergency contact information collected via the ULS is not mandatory and can be reported at any time, with or without an emergency or an outage.  In addition to the original outage notification report, licensees must file initial and final outage reports containing much technical information usually produced by engineering staff for use by the Commission in establishing policies for network reliability.</w:t>
      </w:r>
      <w:r w:rsidR="00413B69" w:rsidRPr="00682B07">
        <w:rPr>
          <w:rStyle w:val="FootnoteReference"/>
          <w:sz w:val="24"/>
          <w:szCs w:val="24"/>
        </w:rPr>
        <w:footnoteReference w:id="4"/>
      </w:r>
      <w:r w:rsidR="00413B69" w:rsidRPr="00682B07">
        <w:rPr>
          <w:szCs w:val="24"/>
        </w:rPr>
        <w:t xml:space="preserve"> </w:t>
      </w:r>
      <w:r w:rsidR="005E5B99" w:rsidRPr="00682B07">
        <w:rPr>
          <w:szCs w:val="24"/>
        </w:rPr>
        <w:t xml:space="preserve">  This information is </w:t>
      </w:r>
      <w:r w:rsidR="003D4EC4" w:rsidRPr="00682B07">
        <w:rPr>
          <w:szCs w:val="24"/>
        </w:rPr>
        <w:t xml:space="preserve">currently being </w:t>
      </w:r>
      <w:r w:rsidR="005E5B99" w:rsidRPr="00682B07">
        <w:rPr>
          <w:szCs w:val="24"/>
        </w:rPr>
        <w:t>collected under OMB Control Number 3060-1003.</w:t>
      </w:r>
    </w:p>
    <w:p w14:paraId="3C8595AD" w14:textId="77777777" w:rsidR="00C45199" w:rsidRPr="00682B07" w:rsidRDefault="00413B69" w:rsidP="00C45199">
      <w:pPr>
        <w:pStyle w:val="ParaNumCharChar"/>
        <w:tabs>
          <w:tab w:val="clear" w:pos="1080"/>
        </w:tabs>
        <w:rPr>
          <w:szCs w:val="24"/>
        </w:rPr>
      </w:pPr>
      <w:r w:rsidRPr="00682B07">
        <w:rPr>
          <w:szCs w:val="24"/>
        </w:rPr>
        <w:lastRenderedPageBreak/>
        <w:t xml:space="preserve"> The ULS information is used by Commission Public Safety staff to bring licensees together and manage more efficiently </w:t>
      </w:r>
      <w:r w:rsidR="003D4EC4" w:rsidRPr="00682B07">
        <w:rPr>
          <w:szCs w:val="24"/>
        </w:rPr>
        <w:t xml:space="preserve">the </w:t>
      </w:r>
      <w:r w:rsidRPr="00682B07">
        <w:rPr>
          <w:szCs w:val="24"/>
        </w:rPr>
        <w:t xml:space="preserve">existing spectrum, which does not require significant engineering analysis.  Thus, the people responding to the mandatory collections under Part 4 of the Commission’s rules, Disruptions to Communications, are likely not the same people providing the contact information pursuant to the </w:t>
      </w:r>
      <w:r w:rsidR="00784899" w:rsidRPr="00682B07">
        <w:rPr>
          <w:szCs w:val="24"/>
        </w:rPr>
        <w:t xml:space="preserve">non-mandatory </w:t>
      </w:r>
      <w:r w:rsidRPr="00682B07">
        <w:rPr>
          <w:szCs w:val="24"/>
        </w:rPr>
        <w:t xml:space="preserve">ULS collection.  </w:t>
      </w:r>
      <w:r w:rsidR="00784899" w:rsidRPr="00682B07">
        <w:rPr>
          <w:szCs w:val="24"/>
        </w:rPr>
        <w:t>The Part 4 and ULS collections are therefore different in purpose and source.</w:t>
      </w:r>
      <w:r w:rsidRPr="00682B07">
        <w:rPr>
          <w:szCs w:val="24"/>
        </w:rPr>
        <w:t xml:space="preserve"> </w:t>
      </w:r>
      <w:r w:rsidR="00943206" w:rsidRPr="00682B07">
        <w:rPr>
          <w:szCs w:val="24"/>
        </w:rPr>
        <w:t xml:space="preserve"> </w:t>
      </w:r>
      <w:r w:rsidR="00C45199" w:rsidRPr="00682B07">
        <w:rPr>
          <w:szCs w:val="24"/>
        </w:rPr>
        <w:t xml:space="preserve">    </w:t>
      </w:r>
    </w:p>
    <w:p w14:paraId="6BCBD926" w14:textId="5B25AC4B" w:rsidR="00C45199" w:rsidRPr="00682B07" w:rsidRDefault="00C45199" w:rsidP="00C45199">
      <w:pPr>
        <w:numPr>
          <w:ilvl w:val="0"/>
          <w:numId w:val="4"/>
        </w:numPr>
        <w:rPr>
          <w:szCs w:val="24"/>
        </w:rPr>
      </w:pPr>
      <w:r w:rsidRPr="00682B07">
        <w:rPr>
          <w:szCs w:val="24"/>
        </w:rPr>
        <w:t>If the collection of information impacts small businesses or other small entities, describe any methods used to minimize the burden.</w:t>
      </w:r>
    </w:p>
    <w:p w14:paraId="065675B4" w14:textId="77777777" w:rsidR="00F412C4" w:rsidRPr="00682B07" w:rsidRDefault="00F412C4" w:rsidP="00F412C4">
      <w:pPr>
        <w:rPr>
          <w:szCs w:val="24"/>
        </w:rPr>
      </w:pPr>
    </w:p>
    <w:p w14:paraId="3DEE2746" w14:textId="4F4F987B" w:rsidR="00F412C4" w:rsidRPr="00682B07" w:rsidRDefault="00F412C4" w:rsidP="00F412C4">
      <w:pPr>
        <w:ind w:firstLine="720"/>
        <w:rPr>
          <w:szCs w:val="24"/>
        </w:rPr>
      </w:pPr>
      <w:r w:rsidRPr="00682B07">
        <w:rPr>
          <w:szCs w:val="24"/>
        </w:rPr>
        <w:t>The collection utilizes existing, electronic forms already provided by entities to procure the licenses initially, so providing the additional information involves an electronic form population process already familiar to small businesses and entities.  The result is a simple and expeditious experience for all entities, including small businesses.</w:t>
      </w:r>
      <w:r w:rsidR="00F73FBA" w:rsidRPr="00682B07">
        <w:rPr>
          <w:szCs w:val="24"/>
        </w:rPr>
        <w:t xml:space="preserve">  In addition, providing the information described by this collection request is voluntary for all licensees.</w:t>
      </w:r>
    </w:p>
    <w:p w14:paraId="74657AB3" w14:textId="77777777" w:rsidR="00C45199" w:rsidRPr="00682B07" w:rsidRDefault="00C45199" w:rsidP="00C45199">
      <w:pPr>
        <w:rPr>
          <w:szCs w:val="24"/>
        </w:rPr>
      </w:pPr>
    </w:p>
    <w:p w14:paraId="74210FCC" w14:textId="77777777" w:rsidR="00C45199" w:rsidRPr="00682B07" w:rsidRDefault="00C45199" w:rsidP="00C45199">
      <w:pPr>
        <w:numPr>
          <w:ilvl w:val="0"/>
          <w:numId w:val="4"/>
        </w:numPr>
        <w:rPr>
          <w:szCs w:val="24"/>
        </w:rPr>
      </w:pPr>
      <w:r w:rsidRPr="00682B07">
        <w:rPr>
          <w:szCs w:val="24"/>
        </w:rPr>
        <w:t>Describe the consequences to Federal program or policy activities if the collection is not conducted or is conducted less frequently, as well as any technical or legal obstacles to reducing the burden.</w:t>
      </w:r>
    </w:p>
    <w:p w14:paraId="3367FF2B" w14:textId="77777777" w:rsidR="00F412C4" w:rsidRPr="00682B07" w:rsidRDefault="00F412C4" w:rsidP="00F412C4">
      <w:pPr>
        <w:rPr>
          <w:szCs w:val="24"/>
        </w:rPr>
      </w:pPr>
    </w:p>
    <w:p w14:paraId="37B4EA6A" w14:textId="77777777" w:rsidR="00F412C4" w:rsidRPr="00682B07" w:rsidRDefault="00F412C4" w:rsidP="00F412C4">
      <w:pPr>
        <w:ind w:firstLine="720"/>
        <w:rPr>
          <w:szCs w:val="24"/>
        </w:rPr>
      </w:pPr>
      <w:r w:rsidRPr="00682B07">
        <w:rPr>
          <w:szCs w:val="24"/>
        </w:rPr>
        <w:t>The Commission needs this information in order to coordinate effective, efficient and immediate use of spectrum assets among first responders on location during an emergency</w:t>
      </w:r>
      <w:r w:rsidR="00F73FBA" w:rsidRPr="00682B07">
        <w:rPr>
          <w:szCs w:val="24"/>
        </w:rPr>
        <w:t xml:space="preserve"> to help save the loss of life and property</w:t>
      </w:r>
      <w:r w:rsidRPr="00682B07">
        <w:rPr>
          <w:szCs w:val="24"/>
        </w:rPr>
        <w:t xml:space="preserve">.  Entities need only to provide the contact information described by this collection request once and update it if and when it changes, </w:t>
      </w:r>
      <w:r w:rsidR="00F73FBA" w:rsidRPr="00682B07">
        <w:rPr>
          <w:szCs w:val="24"/>
        </w:rPr>
        <w:t xml:space="preserve">resulting in a </w:t>
      </w:r>
      <w:r w:rsidRPr="00682B07">
        <w:rPr>
          <w:szCs w:val="24"/>
        </w:rPr>
        <w:t xml:space="preserve">collection burden </w:t>
      </w:r>
      <w:r w:rsidR="00F73FBA" w:rsidRPr="00682B07">
        <w:rPr>
          <w:szCs w:val="24"/>
        </w:rPr>
        <w:t xml:space="preserve">that </w:t>
      </w:r>
      <w:r w:rsidRPr="00682B07">
        <w:rPr>
          <w:szCs w:val="24"/>
        </w:rPr>
        <w:t xml:space="preserve">is </w:t>
      </w:r>
      <w:r w:rsidRPr="00682B07">
        <w:rPr>
          <w:i/>
          <w:szCs w:val="24"/>
        </w:rPr>
        <w:t>de minimus</w:t>
      </w:r>
      <w:r w:rsidRPr="00682B07">
        <w:rPr>
          <w:szCs w:val="24"/>
        </w:rPr>
        <w:t>.</w:t>
      </w:r>
    </w:p>
    <w:p w14:paraId="3291BD86" w14:textId="77777777" w:rsidR="005E5B99" w:rsidRPr="00682B07" w:rsidRDefault="005E5B99" w:rsidP="00F412C4">
      <w:pPr>
        <w:ind w:firstLine="720"/>
        <w:rPr>
          <w:szCs w:val="24"/>
        </w:rPr>
      </w:pPr>
    </w:p>
    <w:p w14:paraId="1C208F6E" w14:textId="77777777" w:rsidR="00C45199" w:rsidRPr="00682B07" w:rsidRDefault="00C45199" w:rsidP="005E5B99">
      <w:pPr>
        <w:numPr>
          <w:ilvl w:val="0"/>
          <w:numId w:val="4"/>
        </w:numPr>
        <w:rPr>
          <w:szCs w:val="24"/>
        </w:rPr>
      </w:pPr>
      <w:r w:rsidRPr="00682B07">
        <w:rPr>
          <w:szCs w:val="24"/>
        </w:rPr>
        <w:t>Explain any special circumstances that would cause an information collected in a manner inconsistent with the guidelines in 5 CF</w:t>
      </w:r>
      <w:r w:rsidR="009F194E" w:rsidRPr="00682B07">
        <w:rPr>
          <w:szCs w:val="24"/>
        </w:rPr>
        <w:t>R</w:t>
      </w:r>
      <w:r w:rsidRPr="00682B07">
        <w:rPr>
          <w:szCs w:val="24"/>
        </w:rPr>
        <w:t xml:space="preserve"> § 1320.5(d)(2).</w:t>
      </w:r>
    </w:p>
    <w:p w14:paraId="282B28F5" w14:textId="77777777" w:rsidR="00154D2C" w:rsidRPr="00682B07" w:rsidRDefault="00154D2C" w:rsidP="00154D2C">
      <w:pPr>
        <w:rPr>
          <w:szCs w:val="24"/>
        </w:rPr>
      </w:pPr>
    </w:p>
    <w:p w14:paraId="1ACF091C" w14:textId="77777777" w:rsidR="00154D2C" w:rsidRPr="00682B07" w:rsidRDefault="00154D2C" w:rsidP="00154D2C">
      <w:pPr>
        <w:ind w:firstLine="720"/>
        <w:rPr>
          <w:szCs w:val="24"/>
        </w:rPr>
      </w:pPr>
      <w:r w:rsidRPr="00682B07">
        <w:rPr>
          <w:szCs w:val="24"/>
        </w:rPr>
        <w:t xml:space="preserve">There are no special circumstances that would cause an information collected in a manner inconsistent with the guidelines in 5 CFR § 1320.5(d)(2). </w:t>
      </w:r>
    </w:p>
    <w:p w14:paraId="139D434D" w14:textId="77777777" w:rsidR="00C45199" w:rsidRPr="00682B07" w:rsidRDefault="00C45199" w:rsidP="00C45199">
      <w:pPr>
        <w:rPr>
          <w:szCs w:val="24"/>
        </w:rPr>
      </w:pPr>
    </w:p>
    <w:p w14:paraId="132BA96E" w14:textId="77777777" w:rsidR="00C45199" w:rsidRPr="00682B07" w:rsidRDefault="00C45199" w:rsidP="00C45199">
      <w:pPr>
        <w:numPr>
          <w:ilvl w:val="0"/>
          <w:numId w:val="4"/>
        </w:numPr>
        <w:rPr>
          <w:szCs w:val="24"/>
        </w:rPr>
      </w:pPr>
      <w:r w:rsidRPr="00682B07">
        <w:rPr>
          <w:szCs w:val="24"/>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84899" w:rsidRPr="00682B07">
        <w:rPr>
          <w:szCs w:val="24"/>
        </w:rPr>
        <w:t xml:space="preserve">  </w:t>
      </w:r>
    </w:p>
    <w:p w14:paraId="0D0FAD3E" w14:textId="77777777" w:rsidR="00784899" w:rsidRPr="00682B07" w:rsidRDefault="00784899" w:rsidP="00784899">
      <w:pPr>
        <w:rPr>
          <w:szCs w:val="24"/>
        </w:rPr>
      </w:pPr>
    </w:p>
    <w:p w14:paraId="2D75D38E" w14:textId="3B997B5A" w:rsidR="00784899" w:rsidRPr="00682B07" w:rsidRDefault="00784899" w:rsidP="00784899">
      <w:pPr>
        <w:pStyle w:val="ParaNumCharChar"/>
        <w:tabs>
          <w:tab w:val="clear" w:pos="1080"/>
        </w:tabs>
        <w:rPr>
          <w:szCs w:val="24"/>
        </w:rPr>
      </w:pPr>
      <w:r w:rsidRPr="00682B07">
        <w:rPr>
          <w:szCs w:val="24"/>
        </w:rPr>
        <w:t xml:space="preserve">The Commission </w:t>
      </w:r>
      <w:r w:rsidR="006F3681" w:rsidRPr="00682B07">
        <w:rPr>
          <w:szCs w:val="24"/>
        </w:rPr>
        <w:t xml:space="preserve">published a </w:t>
      </w:r>
      <w:r w:rsidR="006A0048" w:rsidRPr="00682B07">
        <w:rPr>
          <w:szCs w:val="24"/>
        </w:rPr>
        <w:t xml:space="preserve">60 day notice </w:t>
      </w:r>
      <w:r w:rsidR="006F3681" w:rsidRPr="00682B07">
        <w:rPr>
          <w:szCs w:val="24"/>
        </w:rPr>
        <w:t>as required by 5 CFR 1320.8(d) on</w:t>
      </w:r>
      <w:r w:rsidR="00C21069">
        <w:rPr>
          <w:szCs w:val="24"/>
        </w:rPr>
        <w:t xml:space="preserve"> January 6, 2016 (81 FR 485)</w:t>
      </w:r>
      <w:r w:rsidRPr="00682B07">
        <w:rPr>
          <w:szCs w:val="24"/>
        </w:rPr>
        <w:t xml:space="preserve">.  No comments were received as a result of the notice.  </w:t>
      </w:r>
    </w:p>
    <w:p w14:paraId="1C41B2A0" w14:textId="77777777" w:rsidR="00864A1A" w:rsidRPr="00682B07" w:rsidRDefault="00FE67D6" w:rsidP="00C45199">
      <w:pPr>
        <w:numPr>
          <w:ilvl w:val="0"/>
          <w:numId w:val="4"/>
        </w:numPr>
        <w:rPr>
          <w:szCs w:val="24"/>
        </w:rPr>
      </w:pPr>
      <w:r w:rsidRPr="00682B07">
        <w:rPr>
          <w:szCs w:val="24"/>
        </w:rPr>
        <w:lastRenderedPageBreak/>
        <w:t xml:space="preserve">   </w:t>
      </w:r>
      <w:r w:rsidR="005E5B99" w:rsidRPr="00682B07">
        <w:rPr>
          <w:szCs w:val="24"/>
        </w:rPr>
        <w:t xml:space="preserve">Explain any decision to provide any payment or gift to respondents, other than </w:t>
      </w:r>
      <w:r w:rsidR="00FC4DED" w:rsidRPr="00682B07">
        <w:rPr>
          <w:szCs w:val="24"/>
        </w:rPr>
        <w:t>enumeration</w:t>
      </w:r>
      <w:r w:rsidR="005E5B99" w:rsidRPr="00682B07">
        <w:rPr>
          <w:szCs w:val="24"/>
        </w:rPr>
        <w:t xml:space="preserve"> of contractors or grantees.  </w:t>
      </w:r>
    </w:p>
    <w:p w14:paraId="1F6E54E8" w14:textId="77777777" w:rsidR="00864A1A" w:rsidRPr="00682B07" w:rsidRDefault="00864A1A" w:rsidP="00864A1A">
      <w:pPr>
        <w:rPr>
          <w:szCs w:val="24"/>
        </w:rPr>
      </w:pPr>
    </w:p>
    <w:p w14:paraId="66BC0545" w14:textId="77777777" w:rsidR="00FE67D6" w:rsidRPr="00682B07" w:rsidRDefault="005E5B99" w:rsidP="00864A1A">
      <w:pPr>
        <w:ind w:firstLine="720"/>
        <w:rPr>
          <w:szCs w:val="24"/>
        </w:rPr>
      </w:pPr>
      <w:r w:rsidRPr="00682B07">
        <w:rPr>
          <w:i/>
          <w:szCs w:val="24"/>
        </w:rPr>
        <w:t xml:space="preserve"> </w:t>
      </w:r>
      <w:r w:rsidRPr="00682B07">
        <w:rPr>
          <w:szCs w:val="24"/>
        </w:rPr>
        <w:t>There are no payments or gifts to respondents.</w:t>
      </w:r>
      <w:r w:rsidR="00FE67D6" w:rsidRPr="00682B07">
        <w:rPr>
          <w:szCs w:val="24"/>
        </w:rPr>
        <w:t xml:space="preserve">              </w:t>
      </w:r>
    </w:p>
    <w:p w14:paraId="562322B9" w14:textId="77777777" w:rsidR="00002153" w:rsidRPr="00682B07" w:rsidRDefault="00002153" w:rsidP="00002153">
      <w:pPr>
        <w:tabs>
          <w:tab w:val="left" w:pos="0"/>
        </w:tabs>
        <w:suppressAutoHyphens/>
        <w:jc w:val="both"/>
        <w:rPr>
          <w:szCs w:val="24"/>
        </w:rPr>
      </w:pPr>
    </w:p>
    <w:p w14:paraId="1CF7FA50" w14:textId="77777777" w:rsidR="00154D2C" w:rsidRPr="00682B07" w:rsidRDefault="00002153" w:rsidP="00154D2C">
      <w:pPr>
        <w:numPr>
          <w:ilvl w:val="0"/>
          <w:numId w:val="4"/>
        </w:numPr>
        <w:rPr>
          <w:szCs w:val="24"/>
        </w:rPr>
      </w:pPr>
      <w:r w:rsidRPr="00682B07">
        <w:rPr>
          <w:szCs w:val="24"/>
        </w:rPr>
        <w:t xml:space="preserve"> </w:t>
      </w:r>
      <w:r w:rsidR="00704C20" w:rsidRPr="00682B07">
        <w:rPr>
          <w:szCs w:val="24"/>
        </w:rPr>
        <w:t xml:space="preserve">Describe any assurance of confidentiality provided to respondents and the basis for the assurance in statute, regulation, or agency policy.  </w:t>
      </w:r>
    </w:p>
    <w:p w14:paraId="704A8023" w14:textId="741DAC92" w:rsidR="00154D2C" w:rsidRPr="00682B07" w:rsidRDefault="00154D2C" w:rsidP="00154D2C">
      <w:pPr>
        <w:spacing w:before="120"/>
        <w:ind w:firstLine="720"/>
        <w:rPr>
          <w:szCs w:val="24"/>
        </w:rPr>
      </w:pPr>
      <w:r w:rsidRPr="00682B07">
        <w:rPr>
          <w:szCs w:val="24"/>
        </w:rPr>
        <w:t>To protect the identities and locations of key first responder communications personnel, the Commission will treat emergency contact information submitted into ULS pursuant to th</w:t>
      </w:r>
      <w:r w:rsidR="00261BA2">
        <w:rPr>
          <w:szCs w:val="24"/>
        </w:rPr>
        <w:t>e</w:t>
      </w:r>
      <w:r w:rsidRPr="00682B07">
        <w:rPr>
          <w:szCs w:val="24"/>
        </w:rPr>
        <w:t xml:space="preserve"> Public Notice</w:t>
      </w:r>
      <w:r w:rsidR="00261BA2">
        <w:rPr>
          <w:szCs w:val="24"/>
        </w:rPr>
        <w:t>, DA-09-243,</w:t>
      </w:r>
      <w:r w:rsidRPr="00682B07">
        <w:rPr>
          <w:szCs w:val="24"/>
        </w:rPr>
        <w:t xml:space="preserve"> as confidential and will not make such information publicly available.</w:t>
      </w:r>
      <w:r w:rsidR="00FE67D6" w:rsidRPr="00682B07">
        <w:rPr>
          <w:rStyle w:val="FootnoteReference"/>
          <w:sz w:val="24"/>
          <w:szCs w:val="24"/>
        </w:rPr>
        <w:footnoteReference w:id="5"/>
      </w:r>
      <w:r w:rsidRPr="00682B07">
        <w:rPr>
          <w:szCs w:val="24"/>
        </w:rPr>
        <w:t xml:space="preserve">  The contact information submitted into ULS by public safety licensees and non-public safety licensees designated as emergency first responders will be available only to Commission staff.  Interested licensees should file their operational point of contact information in ULS in the form of a confidential pleading.</w:t>
      </w:r>
      <w:r w:rsidR="00784899" w:rsidRPr="00682B07">
        <w:rPr>
          <w:szCs w:val="24"/>
        </w:rPr>
        <w:t xml:space="preserve">  </w:t>
      </w:r>
    </w:p>
    <w:p w14:paraId="7522BDF1" w14:textId="29B189F6" w:rsidR="00784899" w:rsidRPr="00682B07" w:rsidRDefault="00261BA2" w:rsidP="00154D2C">
      <w:pPr>
        <w:spacing w:before="120"/>
        <w:ind w:firstLine="720"/>
        <w:rPr>
          <w:szCs w:val="24"/>
        </w:rPr>
      </w:pPr>
      <w:r>
        <w:rPr>
          <w:szCs w:val="24"/>
        </w:rPr>
        <w:t>Also, t</w:t>
      </w:r>
      <w:r w:rsidR="00784899" w:rsidRPr="00682B07">
        <w:rPr>
          <w:szCs w:val="24"/>
        </w:rPr>
        <w:t xml:space="preserve">o protect the confidentiality, integrity and availability of the emergency contact information submitted pursuant to this collection, the Commission will </w:t>
      </w:r>
      <w:r w:rsidR="00F30E89">
        <w:rPr>
          <w:szCs w:val="24"/>
        </w:rPr>
        <w:t xml:space="preserve">ensure that the sensitive </w:t>
      </w:r>
      <w:r w:rsidR="00784899" w:rsidRPr="00682B07">
        <w:rPr>
          <w:szCs w:val="24"/>
        </w:rPr>
        <w:t xml:space="preserve">information </w:t>
      </w:r>
      <w:r w:rsidR="00F30E89">
        <w:rPr>
          <w:szCs w:val="24"/>
        </w:rPr>
        <w:t xml:space="preserve">is </w:t>
      </w:r>
      <w:r w:rsidR="00784899" w:rsidRPr="00682B07">
        <w:rPr>
          <w:szCs w:val="24"/>
        </w:rPr>
        <w:t>encrypt</w:t>
      </w:r>
      <w:r w:rsidR="00F30E89">
        <w:rPr>
          <w:szCs w:val="24"/>
        </w:rPr>
        <w:t>ed</w:t>
      </w:r>
      <w:r w:rsidR="00784899" w:rsidRPr="00682B07">
        <w:rPr>
          <w:szCs w:val="24"/>
        </w:rPr>
        <w:t xml:space="preserve"> and </w:t>
      </w:r>
      <w:r w:rsidR="00F30E89">
        <w:rPr>
          <w:szCs w:val="24"/>
        </w:rPr>
        <w:t xml:space="preserve">properly </w:t>
      </w:r>
      <w:r w:rsidR="00784899" w:rsidRPr="00682B07">
        <w:rPr>
          <w:szCs w:val="24"/>
        </w:rPr>
        <w:t>store</w:t>
      </w:r>
      <w:r w:rsidR="00F30E89">
        <w:rPr>
          <w:szCs w:val="24"/>
        </w:rPr>
        <w:t>d.</w:t>
      </w:r>
    </w:p>
    <w:p w14:paraId="50DDB0E0" w14:textId="77777777" w:rsidR="00784899" w:rsidRPr="00682B07" w:rsidRDefault="00784899" w:rsidP="00154D2C">
      <w:pPr>
        <w:spacing w:before="120"/>
        <w:ind w:firstLine="720"/>
        <w:rPr>
          <w:szCs w:val="24"/>
        </w:rPr>
      </w:pPr>
    </w:p>
    <w:p w14:paraId="63D7519F" w14:textId="77777777" w:rsidR="00704C20" w:rsidRPr="00682B07" w:rsidRDefault="00704C20" w:rsidP="00682B07">
      <w:pPr>
        <w:numPr>
          <w:ilvl w:val="0"/>
          <w:numId w:val="4"/>
        </w:numPr>
        <w:tabs>
          <w:tab w:val="left" w:pos="0"/>
        </w:tabs>
        <w:suppressAutoHyphens/>
        <w:rPr>
          <w:i/>
          <w:szCs w:val="24"/>
        </w:rPr>
      </w:pPr>
      <w:r w:rsidRPr="00682B07">
        <w:rPr>
          <w:szCs w:val="24"/>
        </w:rPr>
        <w:t>Provide additional justification for any questions of a sensitive nature.</w:t>
      </w:r>
    </w:p>
    <w:p w14:paraId="56632F34" w14:textId="77777777" w:rsidR="00704C20" w:rsidRPr="00682B07" w:rsidRDefault="00704C20" w:rsidP="00704C20">
      <w:pPr>
        <w:rPr>
          <w:i/>
          <w:szCs w:val="24"/>
        </w:rPr>
      </w:pPr>
    </w:p>
    <w:p w14:paraId="3616D40E" w14:textId="77777777" w:rsidR="00F2477A" w:rsidRPr="00682B07" w:rsidRDefault="00002153" w:rsidP="00704C20">
      <w:pPr>
        <w:ind w:firstLine="720"/>
        <w:rPr>
          <w:szCs w:val="24"/>
        </w:rPr>
      </w:pPr>
      <w:r w:rsidRPr="00682B07">
        <w:rPr>
          <w:szCs w:val="24"/>
        </w:rPr>
        <w:t>This information collection does not address any private matters of a sensitive nature.</w:t>
      </w:r>
    </w:p>
    <w:p w14:paraId="24D1E1B9" w14:textId="77777777" w:rsidR="00704C20" w:rsidRPr="00682B07" w:rsidRDefault="00704C20" w:rsidP="00704C20">
      <w:pPr>
        <w:ind w:firstLine="720"/>
        <w:rPr>
          <w:szCs w:val="24"/>
        </w:rPr>
      </w:pPr>
    </w:p>
    <w:p w14:paraId="22CD385F" w14:textId="77777777" w:rsidR="00704C20" w:rsidRPr="00682B07" w:rsidRDefault="006C7326" w:rsidP="00682B07">
      <w:pPr>
        <w:numPr>
          <w:ilvl w:val="0"/>
          <w:numId w:val="4"/>
        </w:numPr>
        <w:tabs>
          <w:tab w:val="left" w:pos="0"/>
        </w:tabs>
        <w:suppressAutoHyphens/>
        <w:rPr>
          <w:szCs w:val="24"/>
        </w:rPr>
      </w:pPr>
      <w:r w:rsidRPr="00682B07">
        <w:rPr>
          <w:b/>
          <w:szCs w:val="24"/>
        </w:rPr>
        <w:t xml:space="preserve">Burden Hours on the Respondent:  </w:t>
      </w:r>
      <w:r w:rsidR="00704C20" w:rsidRPr="00682B07">
        <w:rPr>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14:paraId="35F856E6" w14:textId="77777777" w:rsidR="00F2477A" w:rsidRPr="00682B07" w:rsidRDefault="00002153" w:rsidP="006C7326">
      <w:pPr>
        <w:pStyle w:val="ParaNumCharChar"/>
        <w:tabs>
          <w:tab w:val="clear" w:pos="1080"/>
          <w:tab w:val="left" w:pos="720"/>
        </w:tabs>
        <w:ind w:left="360" w:firstLine="0"/>
        <w:rPr>
          <w:szCs w:val="24"/>
        </w:rPr>
      </w:pPr>
      <w:r w:rsidRPr="00682B07">
        <w:rPr>
          <w:szCs w:val="24"/>
        </w:rPr>
        <w:t xml:space="preserve">The total burden hour for this information collection is </w:t>
      </w:r>
      <w:r w:rsidR="00342FA1" w:rsidRPr="00682B07">
        <w:rPr>
          <w:szCs w:val="24"/>
        </w:rPr>
        <w:t>33,274</w:t>
      </w:r>
      <w:r w:rsidR="00D819E0" w:rsidRPr="00682B07">
        <w:rPr>
          <w:szCs w:val="24"/>
        </w:rPr>
        <w:t xml:space="preserve"> </w:t>
      </w:r>
      <w:r w:rsidRPr="00682B07">
        <w:rPr>
          <w:szCs w:val="24"/>
        </w:rPr>
        <w:t xml:space="preserve">total </w:t>
      </w:r>
      <w:r w:rsidR="00D1293D" w:rsidRPr="00682B07">
        <w:rPr>
          <w:szCs w:val="24"/>
        </w:rPr>
        <w:t>burden</w:t>
      </w:r>
      <w:r w:rsidRPr="00682B07">
        <w:rPr>
          <w:szCs w:val="24"/>
        </w:rPr>
        <w:t xml:space="preserve"> hours</w:t>
      </w:r>
      <w:r w:rsidR="00D819E0" w:rsidRPr="00682B07">
        <w:rPr>
          <w:szCs w:val="24"/>
        </w:rPr>
        <w:t xml:space="preserve"> for the first year and </w:t>
      </w:r>
      <w:r w:rsidR="00342FA1" w:rsidRPr="00682B07">
        <w:rPr>
          <w:szCs w:val="24"/>
        </w:rPr>
        <w:t>3,327</w:t>
      </w:r>
      <w:r w:rsidR="00D819E0" w:rsidRPr="00682B07">
        <w:rPr>
          <w:szCs w:val="24"/>
        </w:rPr>
        <w:t xml:space="preserve"> burden hours annually thereafter</w:t>
      </w:r>
      <w:r w:rsidRPr="00682B07">
        <w:rPr>
          <w:szCs w:val="24"/>
        </w:rPr>
        <w:t>.  Below we summarize our estimat</w:t>
      </w:r>
      <w:r w:rsidR="00F2477A" w:rsidRPr="00682B07">
        <w:rPr>
          <w:szCs w:val="24"/>
        </w:rPr>
        <w:t>e</w:t>
      </w:r>
      <w:r w:rsidR="00295E70" w:rsidRPr="00682B07">
        <w:rPr>
          <w:szCs w:val="24"/>
        </w:rPr>
        <w:t>.</w:t>
      </w:r>
      <w:r w:rsidR="00F2477A" w:rsidRPr="00682B07">
        <w:rPr>
          <w:szCs w:val="24"/>
        </w:rPr>
        <w:t xml:space="preserve"> </w:t>
      </w:r>
    </w:p>
    <w:p w14:paraId="132A8CD9" w14:textId="77777777" w:rsidR="00295E70" w:rsidRPr="00682B07" w:rsidRDefault="00295E70" w:rsidP="00FD26F8">
      <w:pPr>
        <w:ind w:left="360" w:right="144"/>
        <w:rPr>
          <w:szCs w:val="24"/>
        </w:rPr>
      </w:pPr>
      <w:r w:rsidRPr="00682B07">
        <w:rPr>
          <w:szCs w:val="24"/>
        </w:rPr>
        <w:t>The Commission estimate</w:t>
      </w:r>
      <w:r w:rsidR="00FD26F8" w:rsidRPr="00682B07">
        <w:rPr>
          <w:szCs w:val="24"/>
        </w:rPr>
        <w:t>d</w:t>
      </w:r>
      <w:r w:rsidRPr="00682B07">
        <w:rPr>
          <w:szCs w:val="24"/>
        </w:rPr>
        <w:t xml:space="preserve"> that </w:t>
      </w:r>
      <w:r w:rsidR="0044032E" w:rsidRPr="00682B07">
        <w:rPr>
          <w:szCs w:val="24"/>
        </w:rPr>
        <w:t>133,095 entries into ULS</w:t>
      </w:r>
      <w:r w:rsidRPr="00682B07">
        <w:rPr>
          <w:szCs w:val="24"/>
        </w:rPr>
        <w:t xml:space="preserve"> </w:t>
      </w:r>
      <w:r w:rsidR="00FD26F8" w:rsidRPr="00682B07">
        <w:rPr>
          <w:szCs w:val="24"/>
        </w:rPr>
        <w:t>were</w:t>
      </w:r>
      <w:r w:rsidRPr="00682B07">
        <w:rPr>
          <w:szCs w:val="24"/>
        </w:rPr>
        <w:t xml:space="preserve"> filed </w:t>
      </w:r>
      <w:r w:rsidR="0044032E" w:rsidRPr="00682B07">
        <w:rPr>
          <w:szCs w:val="24"/>
        </w:rPr>
        <w:t xml:space="preserve">during the first year </w:t>
      </w:r>
      <w:r w:rsidR="00FD26F8" w:rsidRPr="00682B07">
        <w:rPr>
          <w:szCs w:val="24"/>
        </w:rPr>
        <w:t xml:space="preserve">(2009 – 2010) </w:t>
      </w:r>
      <w:r w:rsidR="0044032E" w:rsidRPr="00682B07">
        <w:rPr>
          <w:szCs w:val="24"/>
        </w:rPr>
        <w:t xml:space="preserve">and </w:t>
      </w:r>
      <w:r w:rsidR="00864A1A" w:rsidRPr="00682B07">
        <w:rPr>
          <w:szCs w:val="24"/>
        </w:rPr>
        <w:t>10% of those respondents (</w:t>
      </w:r>
      <w:r w:rsidR="0044032E" w:rsidRPr="00682B07">
        <w:rPr>
          <w:szCs w:val="24"/>
        </w:rPr>
        <w:t>13,310</w:t>
      </w:r>
      <w:r w:rsidR="00864A1A" w:rsidRPr="00682B07">
        <w:rPr>
          <w:szCs w:val="24"/>
        </w:rPr>
        <w:t>)</w:t>
      </w:r>
      <w:r w:rsidR="0044032E" w:rsidRPr="00682B07">
        <w:rPr>
          <w:szCs w:val="24"/>
        </w:rPr>
        <w:t xml:space="preserve"> will add, delete and change their information each year</w:t>
      </w:r>
      <w:r w:rsidR="00FC4DED" w:rsidRPr="00682B07">
        <w:rPr>
          <w:szCs w:val="24"/>
        </w:rPr>
        <w:t xml:space="preserve"> thereafter</w:t>
      </w:r>
      <w:r w:rsidR="0044032E" w:rsidRPr="00682B07">
        <w:rPr>
          <w:szCs w:val="24"/>
        </w:rPr>
        <w:t xml:space="preserve">.  </w:t>
      </w:r>
      <w:r w:rsidRPr="00682B07">
        <w:rPr>
          <w:szCs w:val="24"/>
        </w:rPr>
        <w:t xml:space="preserve">The Commission estimates that each </w:t>
      </w:r>
      <w:r w:rsidR="0044032E" w:rsidRPr="00682B07">
        <w:rPr>
          <w:szCs w:val="24"/>
        </w:rPr>
        <w:t>entry</w:t>
      </w:r>
      <w:r w:rsidRPr="00682B07">
        <w:rPr>
          <w:szCs w:val="24"/>
        </w:rPr>
        <w:t xml:space="preserve"> will take approximately </w:t>
      </w:r>
      <w:r w:rsidR="005E5B99" w:rsidRPr="00682B07">
        <w:rPr>
          <w:szCs w:val="24"/>
        </w:rPr>
        <w:t>.</w:t>
      </w:r>
      <w:r w:rsidR="0044032E" w:rsidRPr="00682B07">
        <w:rPr>
          <w:szCs w:val="24"/>
        </w:rPr>
        <w:t>2</w:t>
      </w:r>
      <w:r w:rsidR="005E5B99" w:rsidRPr="00682B07">
        <w:rPr>
          <w:szCs w:val="24"/>
        </w:rPr>
        <w:t>5</w:t>
      </w:r>
      <w:r w:rsidRPr="00682B07">
        <w:rPr>
          <w:szCs w:val="24"/>
        </w:rPr>
        <w:t xml:space="preserve"> hours </w:t>
      </w:r>
      <w:r w:rsidR="00864A1A" w:rsidRPr="00682B07">
        <w:rPr>
          <w:szCs w:val="24"/>
        </w:rPr>
        <w:t xml:space="preserve">(15 minutes) </w:t>
      </w:r>
      <w:r w:rsidRPr="00682B07">
        <w:rPr>
          <w:szCs w:val="24"/>
        </w:rPr>
        <w:t xml:space="preserve">to </w:t>
      </w:r>
      <w:r w:rsidR="0044032E" w:rsidRPr="00682B07">
        <w:rPr>
          <w:szCs w:val="24"/>
        </w:rPr>
        <w:t>complete</w:t>
      </w:r>
      <w:r w:rsidRPr="00682B07">
        <w:rPr>
          <w:szCs w:val="24"/>
        </w:rPr>
        <w:t>, and each carrier can be expected to assign a staff engineer to perform this function.</w:t>
      </w:r>
    </w:p>
    <w:p w14:paraId="626A2BC2" w14:textId="77777777" w:rsidR="00295E70" w:rsidRPr="00682B07" w:rsidRDefault="00295E70" w:rsidP="00295E70">
      <w:pPr>
        <w:ind w:left="630" w:right="144"/>
        <w:rPr>
          <w:b/>
          <w:szCs w:val="24"/>
        </w:rPr>
      </w:pPr>
    </w:p>
    <w:p w14:paraId="1E1DA3E5" w14:textId="77777777" w:rsidR="006E62BD" w:rsidRDefault="00B258B9" w:rsidP="0044032E">
      <w:pPr>
        <w:ind w:left="360" w:right="144"/>
        <w:rPr>
          <w:b/>
          <w:szCs w:val="24"/>
        </w:rPr>
      </w:pPr>
      <w:r w:rsidRPr="00682B07">
        <w:rPr>
          <w:szCs w:val="24"/>
        </w:rPr>
        <w:t>.</w:t>
      </w:r>
      <w:r w:rsidR="00295E70" w:rsidRPr="00682B07">
        <w:rPr>
          <w:szCs w:val="24"/>
        </w:rPr>
        <w:t>2</w:t>
      </w:r>
      <w:r w:rsidRPr="00682B07">
        <w:rPr>
          <w:szCs w:val="24"/>
        </w:rPr>
        <w:t>5</w:t>
      </w:r>
      <w:r w:rsidR="00295E70" w:rsidRPr="00682B07">
        <w:rPr>
          <w:szCs w:val="24"/>
        </w:rPr>
        <w:t xml:space="preserve"> hours</w:t>
      </w:r>
      <w:r w:rsidRPr="00682B07">
        <w:rPr>
          <w:szCs w:val="24"/>
        </w:rPr>
        <w:t xml:space="preserve"> (15 minutes)</w:t>
      </w:r>
      <w:r w:rsidR="00295E70" w:rsidRPr="00682B07">
        <w:rPr>
          <w:szCs w:val="24"/>
        </w:rPr>
        <w:t xml:space="preserve"> x </w:t>
      </w:r>
      <w:r w:rsidR="0044032E" w:rsidRPr="00682B07">
        <w:rPr>
          <w:szCs w:val="24"/>
        </w:rPr>
        <w:t>13,310</w:t>
      </w:r>
      <w:r w:rsidR="00295E70" w:rsidRPr="00682B07">
        <w:rPr>
          <w:szCs w:val="24"/>
        </w:rPr>
        <w:t xml:space="preserve"> </w:t>
      </w:r>
      <w:r w:rsidR="0044032E" w:rsidRPr="00682B07">
        <w:rPr>
          <w:szCs w:val="24"/>
        </w:rPr>
        <w:t>entities for succeeding years</w:t>
      </w:r>
      <w:r w:rsidR="00295E70" w:rsidRPr="00682B07">
        <w:rPr>
          <w:b/>
          <w:szCs w:val="24"/>
        </w:rPr>
        <w:t xml:space="preserve"> = </w:t>
      </w:r>
      <w:r w:rsidR="00FD26F8" w:rsidRPr="00682B07">
        <w:rPr>
          <w:b/>
          <w:szCs w:val="24"/>
        </w:rPr>
        <w:t xml:space="preserve">total annual </w:t>
      </w:r>
      <w:r w:rsidRPr="00682B07">
        <w:rPr>
          <w:b/>
          <w:szCs w:val="24"/>
        </w:rPr>
        <w:t>3,327 b</w:t>
      </w:r>
      <w:r w:rsidR="00295E70" w:rsidRPr="00682B07">
        <w:rPr>
          <w:b/>
          <w:szCs w:val="24"/>
        </w:rPr>
        <w:t>urden hours</w:t>
      </w:r>
      <w:r w:rsidR="00FD26F8" w:rsidRPr="00682B07">
        <w:rPr>
          <w:b/>
          <w:szCs w:val="24"/>
        </w:rPr>
        <w:t>.</w:t>
      </w:r>
    </w:p>
    <w:p w14:paraId="22B41DFB" w14:textId="77777777" w:rsidR="00C21069" w:rsidRPr="00682B07" w:rsidRDefault="00C21069" w:rsidP="0044032E">
      <w:pPr>
        <w:ind w:left="360" w:right="144"/>
        <w:rPr>
          <w:b/>
          <w:szCs w:val="24"/>
        </w:rPr>
      </w:pPr>
    </w:p>
    <w:p w14:paraId="722549AD" w14:textId="77777777" w:rsidR="004F3574" w:rsidRPr="00682B07" w:rsidRDefault="004F3574" w:rsidP="004F3574">
      <w:pPr>
        <w:ind w:left="630" w:right="144"/>
        <w:rPr>
          <w:szCs w:val="24"/>
        </w:rPr>
      </w:pPr>
      <w:r w:rsidRPr="00682B07">
        <w:rPr>
          <w:szCs w:val="24"/>
        </w:rPr>
        <w:tab/>
      </w:r>
      <w:r w:rsidRPr="00682B07">
        <w:rPr>
          <w:szCs w:val="24"/>
        </w:rPr>
        <w:tab/>
      </w:r>
    </w:p>
    <w:p w14:paraId="1B88689D" w14:textId="472E9BBA" w:rsidR="00704C20" w:rsidRPr="00682B07" w:rsidRDefault="00680CB0" w:rsidP="00C21069">
      <w:pPr>
        <w:tabs>
          <w:tab w:val="left" w:pos="0"/>
        </w:tabs>
        <w:suppressAutoHyphens/>
        <w:rPr>
          <w:i/>
          <w:szCs w:val="24"/>
        </w:rPr>
      </w:pPr>
      <w:r>
        <w:rPr>
          <w:b/>
          <w:szCs w:val="24"/>
        </w:rPr>
        <w:lastRenderedPageBreak/>
        <w:t xml:space="preserve">In-house </w:t>
      </w:r>
      <w:r w:rsidR="00137AF1" w:rsidRPr="00682B07">
        <w:rPr>
          <w:b/>
          <w:szCs w:val="24"/>
        </w:rPr>
        <w:t xml:space="preserve">Cost </w:t>
      </w:r>
      <w:r>
        <w:rPr>
          <w:b/>
          <w:szCs w:val="24"/>
        </w:rPr>
        <w:t xml:space="preserve">to </w:t>
      </w:r>
      <w:r w:rsidR="00137AF1" w:rsidRPr="00682B07">
        <w:rPr>
          <w:b/>
          <w:szCs w:val="24"/>
        </w:rPr>
        <w:t>the Respondent:</w:t>
      </w:r>
      <w:r w:rsidR="00704C20" w:rsidRPr="00682B07">
        <w:rPr>
          <w:i/>
          <w:szCs w:val="24"/>
        </w:rPr>
        <w:t xml:space="preserve">    </w:t>
      </w:r>
    </w:p>
    <w:p w14:paraId="5B21FEC3" w14:textId="77777777" w:rsidR="00704C20" w:rsidRPr="00682B07" w:rsidRDefault="00704C20" w:rsidP="00704C20">
      <w:pPr>
        <w:rPr>
          <w:szCs w:val="24"/>
        </w:rPr>
      </w:pPr>
    </w:p>
    <w:p w14:paraId="423773BA" w14:textId="2DEE1FF4" w:rsidR="00DC2A0C" w:rsidRPr="00682B07" w:rsidRDefault="00DC2A0C" w:rsidP="00704C20">
      <w:pPr>
        <w:pStyle w:val="ParaNumCharChar"/>
        <w:tabs>
          <w:tab w:val="clear" w:pos="1080"/>
        </w:tabs>
        <w:ind w:firstLine="630"/>
        <w:rPr>
          <w:szCs w:val="24"/>
        </w:rPr>
      </w:pPr>
      <w:r w:rsidRPr="00682B07">
        <w:rPr>
          <w:szCs w:val="24"/>
        </w:rPr>
        <w:t xml:space="preserve">Below we summarize our estimate for the total </w:t>
      </w:r>
      <w:r w:rsidR="00C8701D">
        <w:rPr>
          <w:szCs w:val="24"/>
        </w:rPr>
        <w:t xml:space="preserve">in-house </w:t>
      </w:r>
      <w:r w:rsidRPr="00682B07">
        <w:rPr>
          <w:szCs w:val="24"/>
        </w:rPr>
        <w:t xml:space="preserve">cost burden. </w:t>
      </w:r>
    </w:p>
    <w:p w14:paraId="645F8E32" w14:textId="77777777" w:rsidR="00295E70" w:rsidRPr="00682B07" w:rsidRDefault="00295E70" w:rsidP="00295E70">
      <w:pPr>
        <w:ind w:left="630" w:right="144"/>
        <w:rPr>
          <w:szCs w:val="24"/>
          <w:u w:val="single"/>
        </w:rPr>
      </w:pPr>
      <w:r w:rsidRPr="00682B07">
        <w:rPr>
          <w:szCs w:val="24"/>
          <w:u w:val="single"/>
        </w:rPr>
        <w:t>In-House Costs:</w:t>
      </w:r>
    </w:p>
    <w:p w14:paraId="40DEF605" w14:textId="77777777" w:rsidR="0092177F" w:rsidRPr="00682B07" w:rsidRDefault="0092177F" w:rsidP="00295E70">
      <w:pPr>
        <w:ind w:left="630" w:right="144"/>
        <w:rPr>
          <w:szCs w:val="24"/>
          <w:u w:val="single"/>
        </w:rPr>
      </w:pPr>
    </w:p>
    <w:p w14:paraId="44910033" w14:textId="790DC825" w:rsidR="00991376" w:rsidRPr="00682B07" w:rsidRDefault="0044032E" w:rsidP="00137AF1">
      <w:pPr>
        <w:ind w:left="630" w:right="144"/>
        <w:rPr>
          <w:szCs w:val="24"/>
        </w:rPr>
      </w:pPr>
      <w:r w:rsidRPr="00682B07">
        <w:rPr>
          <w:szCs w:val="24"/>
        </w:rPr>
        <w:t>The Commission</w:t>
      </w:r>
      <w:r w:rsidR="00991376" w:rsidRPr="00682B07">
        <w:rPr>
          <w:szCs w:val="24"/>
        </w:rPr>
        <w:t xml:space="preserve"> anticipates that </w:t>
      </w:r>
      <w:r w:rsidRPr="00682B07">
        <w:rPr>
          <w:szCs w:val="24"/>
        </w:rPr>
        <w:t xml:space="preserve">the licensees </w:t>
      </w:r>
      <w:r w:rsidR="00991376" w:rsidRPr="00682B07">
        <w:rPr>
          <w:szCs w:val="24"/>
        </w:rPr>
        <w:t xml:space="preserve">will assign </w:t>
      </w:r>
      <w:r w:rsidR="00B258B9" w:rsidRPr="00682B07">
        <w:rPr>
          <w:szCs w:val="24"/>
        </w:rPr>
        <w:t xml:space="preserve">in-house </w:t>
      </w:r>
      <w:r w:rsidR="00991376" w:rsidRPr="00682B07">
        <w:rPr>
          <w:szCs w:val="24"/>
        </w:rPr>
        <w:t>staff engineers ($</w:t>
      </w:r>
      <w:r w:rsidR="00373B09">
        <w:rPr>
          <w:szCs w:val="24"/>
        </w:rPr>
        <w:t xml:space="preserve">55 </w:t>
      </w:r>
      <w:r w:rsidR="00991376" w:rsidRPr="00682B07">
        <w:rPr>
          <w:szCs w:val="24"/>
        </w:rPr>
        <w:t>per hour</w:t>
      </w:r>
      <w:r w:rsidR="00373B09">
        <w:rPr>
          <w:szCs w:val="24"/>
        </w:rPr>
        <w:t>, rounded up</w:t>
      </w:r>
      <w:r w:rsidR="00991376" w:rsidRPr="00682B07">
        <w:rPr>
          <w:szCs w:val="24"/>
        </w:rPr>
        <w:t>)</w:t>
      </w:r>
      <w:r w:rsidR="00373B09">
        <w:rPr>
          <w:rStyle w:val="FootnoteReference"/>
          <w:szCs w:val="24"/>
        </w:rPr>
        <w:footnoteReference w:id="6"/>
      </w:r>
      <w:r w:rsidR="00991376" w:rsidRPr="00682B07">
        <w:rPr>
          <w:szCs w:val="24"/>
        </w:rPr>
        <w:t xml:space="preserve"> to draft and submit</w:t>
      </w:r>
      <w:r w:rsidR="003B0022" w:rsidRPr="00682B07">
        <w:rPr>
          <w:szCs w:val="24"/>
        </w:rPr>
        <w:t xml:space="preserve"> the data</w:t>
      </w:r>
      <w:r w:rsidR="00991376" w:rsidRPr="00682B07">
        <w:rPr>
          <w:szCs w:val="24"/>
        </w:rPr>
        <w:t xml:space="preserve">.  As indicated above, the annual hourly burden per carrier for this burden is estimated to be about </w:t>
      </w:r>
      <w:r w:rsidR="00EA2A4B" w:rsidRPr="00682B07">
        <w:rPr>
          <w:szCs w:val="24"/>
        </w:rPr>
        <w:t>.</w:t>
      </w:r>
      <w:r w:rsidR="00991376" w:rsidRPr="00682B07">
        <w:rPr>
          <w:szCs w:val="24"/>
        </w:rPr>
        <w:t>2</w:t>
      </w:r>
      <w:r w:rsidR="00EA2A4B" w:rsidRPr="00682B07">
        <w:rPr>
          <w:szCs w:val="24"/>
        </w:rPr>
        <w:t>5</w:t>
      </w:r>
      <w:r w:rsidR="00991376" w:rsidRPr="00682B07">
        <w:rPr>
          <w:szCs w:val="24"/>
        </w:rPr>
        <w:t xml:space="preserve"> hours.</w:t>
      </w:r>
    </w:p>
    <w:p w14:paraId="09C16AF7" w14:textId="77777777" w:rsidR="00991376" w:rsidRPr="00682B07" w:rsidRDefault="00991376" w:rsidP="00137AF1">
      <w:pPr>
        <w:ind w:left="1890" w:right="144"/>
        <w:rPr>
          <w:szCs w:val="24"/>
        </w:rPr>
      </w:pPr>
    </w:p>
    <w:p w14:paraId="5C312F50" w14:textId="51F50C81" w:rsidR="00991376" w:rsidRPr="00682B07" w:rsidRDefault="00991376" w:rsidP="00991376">
      <w:pPr>
        <w:ind w:left="630" w:right="144"/>
        <w:rPr>
          <w:b/>
          <w:szCs w:val="24"/>
        </w:rPr>
      </w:pPr>
      <w:r w:rsidRPr="00682B07">
        <w:rPr>
          <w:b/>
          <w:szCs w:val="24"/>
        </w:rPr>
        <w:t>$</w:t>
      </w:r>
      <w:r w:rsidR="00373B09">
        <w:rPr>
          <w:b/>
          <w:szCs w:val="24"/>
        </w:rPr>
        <w:t>55</w:t>
      </w:r>
      <w:r w:rsidRPr="00682B07">
        <w:rPr>
          <w:b/>
          <w:szCs w:val="24"/>
        </w:rPr>
        <w:t xml:space="preserve"> x </w:t>
      </w:r>
      <w:r w:rsidR="00B258B9" w:rsidRPr="00682B07">
        <w:rPr>
          <w:b/>
          <w:szCs w:val="24"/>
        </w:rPr>
        <w:t>.</w:t>
      </w:r>
      <w:r w:rsidRPr="00682B07">
        <w:rPr>
          <w:b/>
          <w:szCs w:val="24"/>
        </w:rPr>
        <w:t>2</w:t>
      </w:r>
      <w:r w:rsidR="00B258B9" w:rsidRPr="00682B07">
        <w:rPr>
          <w:b/>
          <w:szCs w:val="24"/>
        </w:rPr>
        <w:t>5</w:t>
      </w:r>
      <w:r w:rsidRPr="00682B07">
        <w:rPr>
          <w:b/>
          <w:szCs w:val="24"/>
        </w:rPr>
        <w:t xml:space="preserve"> hours = $</w:t>
      </w:r>
      <w:r w:rsidR="00373B09">
        <w:rPr>
          <w:b/>
          <w:szCs w:val="24"/>
        </w:rPr>
        <w:t xml:space="preserve">14 </w:t>
      </w:r>
      <w:r w:rsidRPr="00682B07">
        <w:rPr>
          <w:b/>
          <w:szCs w:val="24"/>
        </w:rPr>
        <w:t xml:space="preserve"> </w:t>
      </w:r>
      <w:r w:rsidR="00373B09">
        <w:rPr>
          <w:b/>
          <w:szCs w:val="24"/>
        </w:rPr>
        <w:t xml:space="preserve">(rounded up) </w:t>
      </w:r>
      <w:r w:rsidRPr="00682B07">
        <w:rPr>
          <w:b/>
          <w:szCs w:val="24"/>
        </w:rPr>
        <w:t xml:space="preserve">per </w:t>
      </w:r>
      <w:r w:rsidR="00095758" w:rsidRPr="00682B07">
        <w:rPr>
          <w:b/>
          <w:szCs w:val="24"/>
        </w:rPr>
        <w:t xml:space="preserve">entity </w:t>
      </w:r>
    </w:p>
    <w:p w14:paraId="65F108FF" w14:textId="62190782" w:rsidR="0044032E" w:rsidRDefault="0044032E" w:rsidP="00991376">
      <w:pPr>
        <w:ind w:left="630" w:right="144"/>
        <w:rPr>
          <w:szCs w:val="24"/>
        </w:rPr>
      </w:pPr>
      <w:r w:rsidRPr="00682B07">
        <w:rPr>
          <w:b/>
          <w:szCs w:val="24"/>
        </w:rPr>
        <w:t xml:space="preserve">$ </w:t>
      </w:r>
      <w:r w:rsidR="00373B09">
        <w:rPr>
          <w:b/>
          <w:szCs w:val="24"/>
        </w:rPr>
        <w:t xml:space="preserve">14 </w:t>
      </w:r>
      <w:r w:rsidRPr="00682B07">
        <w:rPr>
          <w:b/>
          <w:szCs w:val="24"/>
        </w:rPr>
        <w:t>x 13,310 = $</w:t>
      </w:r>
      <w:r w:rsidR="00373B09">
        <w:rPr>
          <w:b/>
          <w:szCs w:val="24"/>
        </w:rPr>
        <w:t xml:space="preserve">186,340 </w:t>
      </w:r>
      <w:r w:rsidRPr="00C21069">
        <w:rPr>
          <w:b/>
          <w:szCs w:val="24"/>
        </w:rPr>
        <w:t>for successive years</w:t>
      </w:r>
    </w:p>
    <w:p w14:paraId="072A66E0" w14:textId="61D6162E" w:rsidR="00680CB0" w:rsidRPr="00C8701D" w:rsidRDefault="00680CB0" w:rsidP="00C21069">
      <w:pPr>
        <w:ind w:left="630" w:right="144"/>
        <w:rPr>
          <w:szCs w:val="24"/>
        </w:rPr>
      </w:pPr>
    </w:p>
    <w:p w14:paraId="00B94944" w14:textId="77777777" w:rsidR="00991376" w:rsidRPr="00682B07" w:rsidRDefault="00991376" w:rsidP="00991376">
      <w:pPr>
        <w:ind w:left="630" w:right="144"/>
        <w:rPr>
          <w:b/>
          <w:szCs w:val="24"/>
        </w:rPr>
      </w:pPr>
    </w:p>
    <w:p w14:paraId="5F3C576B" w14:textId="77777777" w:rsidR="00C8701D" w:rsidRPr="00C21069" w:rsidRDefault="00C8701D" w:rsidP="00682B07">
      <w:pPr>
        <w:numPr>
          <w:ilvl w:val="0"/>
          <w:numId w:val="4"/>
        </w:numPr>
        <w:tabs>
          <w:tab w:val="left" w:pos="0"/>
        </w:tabs>
        <w:suppressAutoHyphens/>
        <w:rPr>
          <w:i/>
          <w:szCs w:val="24"/>
        </w:rPr>
      </w:pPr>
      <w:r w:rsidRPr="00682B07">
        <w:rPr>
          <w:szCs w:val="24"/>
        </w:rPr>
        <w:t>Provide an estimate of the total annual cost burden to respondents or record keepers resulting from the collection of information.  Do not include the cost of any hour burden shown in items 12 and 14.</w:t>
      </w:r>
    </w:p>
    <w:p w14:paraId="28F29A09" w14:textId="77777777" w:rsidR="00C8701D" w:rsidRDefault="00C8701D" w:rsidP="00C21069">
      <w:pPr>
        <w:tabs>
          <w:tab w:val="left" w:pos="0"/>
        </w:tabs>
        <w:suppressAutoHyphens/>
        <w:rPr>
          <w:szCs w:val="24"/>
        </w:rPr>
      </w:pPr>
    </w:p>
    <w:p w14:paraId="7E0C1B5D" w14:textId="77777777" w:rsidR="00C8701D" w:rsidRPr="00C21069" w:rsidRDefault="00C8701D" w:rsidP="00C21069">
      <w:pPr>
        <w:pStyle w:val="ListParagraph"/>
        <w:numPr>
          <w:ilvl w:val="0"/>
          <w:numId w:val="8"/>
        </w:numPr>
        <w:tabs>
          <w:tab w:val="left" w:pos="0"/>
        </w:tabs>
        <w:suppressAutoHyphens/>
        <w:rPr>
          <w:i/>
          <w:szCs w:val="24"/>
        </w:rPr>
      </w:pPr>
      <w:r>
        <w:rPr>
          <w:szCs w:val="24"/>
        </w:rPr>
        <w:t xml:space="preserve">There will be no start-up or capital costs incurred by the respondent.  </w:t>
      </w:r>
    </w:p>
    <w:p w14:paraId="3182C5A8" w14:textId="77777777" w:rsidR="00C8701D" w:rsidRPr="00C21069" w:rsidRDefault="00C8701D" w:rsidP="00C21069">
      <w:pPr>
        <w:pStyle w:val="ListParagraph"/>
        <w:numPr>
          <w:ilvl w:val="0"/>
          <w:numId w:val="8"/>
        </w:numPr>
        <w:tabs>
          <w:tab w:val="left" w:pos="0"/>
        </w:tabs>
        <w:suppressAutoHyphens/>
        <w:rPr>
          <w:i/>
          <w:szCs w:val="24"/>
        </w:rPr>
      </w:pPr>
      <w:r>
        <w:rPr>
          <w:szCs w:val="24"/>
        </w:rPr>
        <w:t xml:space="preserve">There will be no operation and maintenance costs incurred by the respondent.  </w:t>
      </w:r>
    </w:p>
    <w:p w14:paraId="00E59613" w14:textId="77777777" w:rsidR="00C8701D" w:rsidRPr="00C21069" w:rsidRDefault="00C8701D" w:rsidP="00C21069">
      <w:pPr>
        <w:pStyle w:val="ListParagraph"/>
        <w:tabs>
          <w:tab w:val="left" w:pos="0"/>
        </w:tabs>
        <w:suppressAutoHyphens/>
        <w:ind w:left="1080"/>
        <w:rPr>
          <w:i/>
          <w:szCs w:val="24"/>
        </w:rPr>
      </w:pPr>
    </w:p>
    <w:p w14:paraId="02BB1ACB" w14:textId="77777777" w:rsidR="00704C20" w:rsidRPr="00682B07" w:rsidRDefault="00704C20" w:rsidP="00682B07">
      <w:pPr>
        <w:numPr>
          <w:ilvl w:val="0"/>
          <w:numId w:val="4"/>
        </w:numPr>
        <w:tabs>
          <w:tab w:val="left" w:pos="0"/>
        </w:tabs>
        <w:suppressAutoHyphens/>
        <w:rPr>
          <w:i/>
          <w:szCs w:val="24"/>
        </w:rPr>
      </w:pPr>
      <w:r w:rsidRPr="00682B07">
        <w:rPr>
          <w:szCs w:val="24"/>
        </w:rPr>
        <w:t>Provide estimates of annualized costs to the Federal government.  Also provide</w:t>
      </w:r>
      <w:r w:rsidR="00682B07" w:rsidRPr="00682B07">
        <w:rPr>
          <w:szCs w:val="24"/>
        </w:rPr>
        <w:t xml:space="preserve"> a description </w:t>
      </w:r>
      <w:r w:rsidRPr="00682B07">
        <w:rPr>
          <w:szCs w:val="24"/>
        </w:rPr>
        <w:t>of the method used to estimate cost, which should include quantification of hours, operational expenses (such as equipment, overhead, printing, and support staff), and any other expenses that would not have been incurred without this collection of information.</w:t>
      </w:r>
    </w:p>
    <w:p w14:paraId="5EFF8096" w14:textId="77777777" w:rsidR="0044032E" w:rsidRPr="00682B07" w:rsidRDefault="0044032E" w:rsidP="0044032E">
      <w:pPr>
        <w:rPr>
          <w:szCs w:val="24"/>
        </w:rPr>
      </w:pPr>
    </w:p>
    <w:p w14:paraId="0AF4F198" w14:textId="77777777" w:rsidR="00704C20" w:rsidRPr="00682B07" w:rsidRDefault="0044032E" w:rsidP="00682B07">
      <w:pPr>
        <w:ind w:left="360"/>
        <w:rPr>
          <w:szCs w:val="24"/>
        </w:rPr>
      </w:pPr>
      <w:r w:rsidRPr="00682B07">
        <w:rPr>
          <w:szCs w:val="24"/>
        </w:rPr>
        <w:t>Since the information is entered by the licensees into the Commission’s ULS database directly</w:t>
      </w:r>
      <w:r w:rsidR="00D819E0" w:rsidRPr="00682B07">
        <w:rPr>
          <w:szCs w:val="24"/>
        </w:rPr>
        <w:t xml:space="preserve"> via the Internet</w:t>
      </w:r>
      <w:r w:rsidRPr="00682B07">
        <w:rPr>
          <w:szCs w:val="24"/>
        </w:rPr>
        <w:t>, there is no reviewing, processing and handling costs on the part of the Commission.  Also, the licensees have complete control over any changes to their contact information, further obviating the need for Commission intervention and supervision.</w:t>
      </w:r>
    </w:p>
    <w:p w14:paraId="71E4F915" w14:textId="77777777" w:rsidR="00991376" w:rsidRPr="00682B07" w:rsidRDefault="00991376" w:rsidP="00991376">
      <w:pPr>
        <w:ind w:left="630" w:right="144"/>
        <w:rPr>
          <w:szCs w:val="24"/>
        </w:rPr>
      </w:pPr>
    </w:p>
    <w:p w14:paraId="7834828D" w14:textId="77777777" w:rsidR="00704C20" w:rsidRPr="00682B07" w:rsidRDefault="006E62BD" w:rsidP="00704C20">
      <w:pPr>
        <w:ind w:left="360" w:firstLine="270"/>
        <w:rPr>
          <w:szCs w:val="24"/>
        </w:rPr>
      </w:pPr>
      <w:r w:rsidRPr="00682B07">
        <w:rPr>
          <w:szCs w:val="24"/>
        </w:rPr>
        <w:t xml:space="preserve">15.  </w:t>
      </w:r>
      <w:r w:rsidR="00704C20" w:rsidRPr="00682B07">
        <w:rPr>
          <w:szCs w:val="24"/>
        </w:rPr>
        <w:t>Explain the reasons for any program changes or adjustments reported.</w:t>
      </w:r>
    </w:p>
    <w:p w14:paraId="11815908" w14:textId="77777777" w:rsidR="00704C20" w:rsidRPr="00682B07" w:rsidRDefault="00704C20" w:rsidP="00EC302C">
      <w:pPr>
        <w:ind w:left="630" w:right="144"/>
        <w:rPr>
          <w:szCs w:val="24"/>
        </w:rPr>
      </w:pPr>
    </w:p>
    <w:p w14:paraId="2A413A7C" w14:textId="52F69B68" w:rsidR="00D1293D" w:rsidRPr="00682B07" w:rsidRDefault="00B258B9" w:rsidP="00937F38">
      <w:pPr>
        <w:ind w:left="360" w:right="144" w:firstLine="360"/>
        <w:rPr>
          <w:szCs w:val="24"/>
        </w:rPr>
      </w:pPr>
      <w:r w:rsidRPr="00682B07">
        <w:rPr>
          <w:szCs w:val="24"/>
        </w:rPr>
        <w:t>Th</w:t>
      </w:r>
      <w:r w:rsidR="00E245E6" w:rsidRPr="00682B07">
        <w:rPr>
          <w:szCs w:val="24"/>
        </w:rPr>
        <w:t xml:space="preserve">ere </w:t>
      </w:r>
      <w:r w:rsidR="00D250C7">
        <w:rPr>
          <w:szCs w:val="24"/>
        </w:rPr>
        <w:t xml:space="preserve">are no program changes or adjustments with this information collection. </w:t>
      </w:r>
    </w:p>
    <w:p w14:paraId="236D71D4" w14:textId="77777777" w:rsidR="0044032E" w:rsidRPr="00682B07" w:rsidRDefault="0044032E" w:rsidP="006E62BD">
      <w:pPr>
        <w:ind w:right="144"/>
        <w:rPr>
          <w:szCs w:val="24"/>
        </w:rPr>
      </w:pPr>
    </w:p>
    <w:p w14:paraId="38B49022" w14:textId="77777777" w:rsidR="00704C20" w:rsidRPr="00682B07" w:rsidRDefault="006E62BD" w:rsidP="00704C20">
      <w:pPr>
        <w:ind w:firstLine="630"/>
        <w:rPr>
          <w:szCs w:val="24"/>
        </w:rPr>
      </w:pPr>
      <w:r w:rsidRPr="00682B07">
        <w:rPr>
          <w:szCs w:val="24"/>
        </w:rPr>
        <w:t>16</w:t>
      </w:r>
      <w:r w:rsidRPr="00682B07">
        <w:rPr>
          <w:i/>
          <w:szCs w:val="24"/>
        </w:rPr>
        <w:t xml:space="preserve">.  </w:t>
      </w:r>
      <w:r w:rsidR="00704C20" w:rsidRPr="00682B07">
        <w:rPr>
          <w:szCs w:val="24"/>
        </w:rPr>
        <w:t xml:space="preserve">For collections of information whose results will be published, outline plans for tabulation and publication. </w:t>
      </w:r>
    </w:p>
    <w:p w14:paraId="020A3216" w14:textId="77777777" w:rsidR="00704C20" w:rsidRPr="00682B07" w:rsidRDefault="00704C20" w:rsidP="006E62BD">
      <w:pPr>
        <w:ind w:left="720" w:right="144"/>
        <w:rPr>
          <w:szCs w:val="24"/>
        </w:rPr>
      </w:pPr>
    </w:p>
    <w:p w14:paraId="5C301F47" w14:textId="77777777" w:rsidR="00D1293D" w:rsidRPr="00682B07" w:rsidRDefault="00D1293D" w:rsidP="006E62BD">
      <w:pPr>
        <w:ind w:left="720" w:right="144"/>
        <w:rPr>
          <w:szCs w:val="24"/>
        </w:rPr>
      </w:pPr>
      <w:r w:rsidRPr="00682B07">
        <w:rPr>
          <w:szCs w:val="24"/>
        </w:rPr>
        <w:t xml:space="preserve">The data will not be published for </w:t>
      </w:r>
      <w:r w:rsidR="00295E70" w:rsidRPr="00682B07">
        <w:rPr>
          <w:szCs w:val="24"/>
        </w:rPr>
        <w:t>statistical use.</w:t>
      </w:r>
      <w:r w:rsidRPr="00682B07">
        <w:rPr>
          <w:szCs w:val="24"/>
        </w:rPr>
        <w:t xml:space="preserve">  </w:t>
      </w:r>
    </w:p>
    <w:p w14:paraId="3D2CC3DB" w14:textId="77777777" w:rsidR="00D1293D" w:rsidRPr="00682B07" w:rsidRDefault="00D1293D" w:rsidP="00D1293D">
      <w:pPr>
        <w:ind w:right="144"/>
        <w:rPr>
          <w:szCs w:val="24"/>
        </w:rPr>
      </w:pPr>
    </w:p>
    <w:p w14:paraId="796289F6" w14:textId="77777777" w:rsidR="00704C20" w:rsidRPr="00682B07" w:rsidRDefault="006E62BD" w:rsidP="00704C20">
      <w:pPr>
        <w:ind w:right="144" w:firstLine="630"/>
        <w:rPr>
          <w:szCs w:val="24"/>
        </w:rPr>
      </w:pPr>
      <w:r w:rsidRPr="00682B07">
        <w:rPr>
          <w:szCs w:val="24"/>
        </w:rPr>
        <w:t xml:space="preserve">17.  </w:t>
      </w:r>
      <w:r w:rsidR="00704C20" w:rsidRPr="00682B07">
        <w:rPr>
          <w:szCs w:val="24"/>
        </w:rPr>
        <w:t xml:space="preserve">If seeking approval to not display the expiration date for OMB approval of the information collection, explain the reason that a display would be inappropriate.  </w:t>
      </w:r>
    </w:p>
    <w:p w14:paraId="5453A7AA" w14:textId="77777777" w:rsidR="00704C20" w:rsidRPr="00682B07" w:rsidRDefault="00704C20" w:rsidP="006E62BD">
      <w:pPr>
        <w:ind w:left="720" w:right="144"/>
        <w:rPr>
          <w:szCs w:val="24"/>
        </w:rPr>
      </w:pPr>
    </w:p>
    <w:p w14:paraId="285403FE" w14:textId="77777777" w:rsidR="00295E70" w:rsidRPr="00682B07" w:rsidRDefault="006E62BD" w:rsidP="0044032E">
      <w:pPr>
        <w:ind w:right="144" w:firstLine="630"/>
        <w:rPr>
          <w:szCs w:val="24"/>
        </w:rPr>
      </w:pPr>
      <w:r w:rsidRPr="00682B07">
        <w:rPr>
          <w:szCs w:val="24"/>
        </w:rPr>
        <w:t>The Commission is not s</w:t>
      </w:r>
      <w:r w:rsidR="00295E70" w:rsidRPr="00682B07">
        <w:rPr>
          <w:szCs w:val="24"/>
        </w:rPr>
        <w:t xml:space="preserve">eeking approval to </w:t>
      </w:r>
      <w:r w:rsidR="00B258B9" w:rsidRPr="00682B07">
        <w:rPr>
          <w:szCs w:val="24"/>
        </w:rPr>
        <w:t xml:space="preserve">not </w:t>
      </w:r>
      <w:r w:rsidR="00295E70" w:rsidRPr="00682B07">
        <w:rPr>
          <w:szCs w:val="24"/>
        </w:rPr>
        <w:t xml:space="preserve">display the </w:t>
      </w:r>
      <w:r w:rsidR="00B258B9" w:rsidRPr="00682B07">
        <w:rPr>
          <w:szCs w:val="24"/>
        </w:rPr>
        <w:t xml:space="preserve">OMB </w:t>
      </w:r>
      <w:r w:rsidR="00295E70" w:rsidRPr="00682B07">
        <w:rPr>
          <w:szCs w:val="24"/>
        </w:rPr>
        <w:t xml:space="preserve">expiration date for OMB approval of the information collection. </w:t>
      </w:r>
      <w:r w:rsidR="005E3526" w:rsidRPr="00682B07">
        <w:rPr>
          <w:szCs w:val="24"/>
        </w:rPr>
        <w:t xml:space="preserve">  The Commission publishes a list of all OMB-approved information collections including their OMB control numbers, OMB expiration dates and titles in 47 CFR 0.408.</w:t>
      </w:r>
    </w:p>
    <w:p w14:paraId="3A29FBF1" w14:textId="77777777" w:rsidR="00D1293D" w:rsidRPr="00682B07" w:rsidRDefault="00D1293D" w:rsidP="00D1293D">
      <w:pPr>
        <w:ind w:right="144"/>
        <w:rPr>
          <w:szCs w:val="24"/>
        </w:rPr>
      </w:pPr>
    </w:p>
    <w:p w14:paraId="77B33021" w14:textId="77777777" w:rsidR="00704C20" w:rsidRPr="00682B07" w:rsidRDefault="006E62BD" w:rsidP="00704C20">
      <w:pPr>
        <w:ind w:firstLine="630"/>
        <w:rPr>
          <w:szCs w:val="24"/>
        </w:rPr>
      </w:pPr>
      <w:r w:rsidRPr="00682B07">
        <w:rPr>
          <w:szCs w:val="24"/>
        </w:rPr>
        <w:t xml:space="preserve">18. </w:t>
      </w:r>
      <w:r w:rsidR="00704C20" w:rsidRPr="00682B07">
        <w:rPr>
          <w:szCs w:val="24"/>
        </w:rPr>
        <w:t xml:space="preserve">Explain any exceptions to the statement certifying compliance with 5 C.F.R. § 1320.9 and the related provisions of 5 C.F.R. § 1320.8(b)(3). </w:t>
      </w:r>
    </w:p>
    <w:p w14:paraId="304A4B30" w14:textId="77777777" w:rsidR="00704C20" w:rsidRPr="00682B07" w:rsidRDefault="00704C20" w:rsidP="00704C20">
      <w:pPr>
        <w:ind w:firstLine="630"/>
        <w:rPr>
          <w:szCs w:val="24"/>
        </w:rPr>
      </w:pPr>
    </w:p>
    <w:p w14:paraId="4D8AA327" w14:textId="77777777" w:rsidR="00B265C4" w:rsidRDefault="001D1D86" w:rsidP="006E62BD">
      <w:pPr>
        <w:pStyle w:val="ParaNumCharChar"/>
        <w:tabs>
          <w:tab w:val="clear" w:pos="1080"/>
        </w:tabs>
        <w:ind w:left="720" w:firstLine="0"/>
        <w:rPr>
          <w:szCs w:val="24"/>
        </w:rPr>
      </w:pPr>
      <w:r>
        <w:rPr>
          <w:szCs w:val="24"/>
        </w:rPr>
        <w:t>When the 60 Day Notice was published in the Federal Register on January 6, 2016</w:t>
      </w:r>
      <w:r w:rsidR="00C21069">
        <w:rPr>
          <w:szCs w:val="24"/>
        </w:rPr>
        <w:t xml:space="preserve"> (81 FR 485)</w:t>
      </w:r>
      <w:r>
        <w:rPr>
          <w:szCs w:val="24"/>
        </w:rPr>
        <w:t xml:space="preserve">, the Commission inadvertently published this information collection as a regular collection rather than a delegated collection. </w:t>
      </w:r>
    </w:p>
    <w:p w14:paraId="2D334B2D" w14:textId="5AA1F3B8" w:rsidR="00D1293D" w:rsidRPr="00682B07" w:rsidRDefault="00B92F83" w:rsidP="006E62BD">
      <w:pPr>
        <w:pStyle w:val="ParaNumCharChar"/>
        <w:tabs>
          <w:tab w:val="clear" w:pos="1080"/>
        </w:tabs>
        <w:ind w:left="720" w:firstLine="0"/>
        <w:rPr>
          <w:szCs w:val="24"/>
        </w:rPr>
      </w:pPr>
      <w:bookmarkStart w:id="0" w:name="_GoBack"/>
      <w:bookmarkEnd w:id="0"/>
      <w:r w:rsidRPr="00682B07">
        <w:rPr>
          <w:szCs w:val="24"/>
        </w:rPr>
        <w:t>The</w:t>
      </w:r>
      <w:r w:rsidR="00B258B9" w:rsidRPr="00682B07">
        <w:rPr>
          <w:szCs w:val="24"/>
        </w:rPr>
        <w:t>re</w:t>
      </w:r>
      <w:r w:rsidRPr="00682B07">
        <w:rPr>
          <w:szCs w:val="24"/>
        </w:rPr>
        <w:t xml:space="preserve"> </w:t>
      </w:r>
      <w:r w:rsidR="00B258B9" w:rsidRPr="00682B07">
        <w:rPr>
          <w:szCs w:val="24"/>
        </w:rPr>
        <w:t xml:space="preserve">are </w:t>
      </w:r>
      <w:r w:rsidR="00E245E6" w:rsidRPr="00682B07">
        <w:rPr>
          <w:szCs w:val="24"/>
        </w:rPr>
        <w:t xml:space="preserve">no </w:t>
      </w:r>
      <w:r w:rsidR="001D1D86">
        <w:rPr>
          <w:szCs w:val="24"/>
        </w:rPr>
        <w:t xml:space="preserve">other </w:t>
      </w:r>
      <w:r w:rsidRPr="00682B07">
        <w:rPr>
          <w:szCs w:val="24"/>
        </w:rPr>
        <w:t>exceptions</w:t>
      </w:r>
      <w:r w:rsidR="00B258B9" w:rsidRPr="00682B07">
        <w:rPr>
          <w:szCs w:val="24"/>
        </w:rPr>
        <w:t xml:space="preserve"> to </w:t>
      </w:r>
      <w:r w:rsidR="00C8701D">
        <w:rPr>
          <w:szCs w:val="24"/>
        </w:rPr>
        <w:t>the Certification Statement</w:t>
      </w:r>
      <w:r w:rsidR="00B258B9" w:rsidRPr="00682B07">
        <w:rPr>
          <w:szCs w:val="24"/>
        </w:rPr>
        <w:t xml:space="preserve">   </w:t>
      </w:r>
    </w:p>
    <w:p w14:paraId="23D7D5EA" w14:textId="77777777" w:rsidR="00295E70" w:rsidRPr="00682B07" w:rsidRDefault="00295E70" w:rsidP="00295E70">
      <w:pPr>
        <w:tabs>
          <w:tab w:val="left" w:pos="399"/>
        </w:tabs>
        <w:rPr>
          <w:b/>
          <w:szCs w:val="24"/>
          <w:u w:val="single"/>
        </w:rPr>
      </w:pPr>
      <w:r w:rsidRPr="00682B07">
        <w:rPr>
          <w:b/>
          <w:szCs w:val="24"/>
        </w:rPr>
        <w:t xml:space="preserve">B. </w:t>
      </w:r>
      <w:r w:rsidRPr="00682B07">
        <w:rPr>
          <w:b/>
          <w:szCs w:val="24"/>
          <w:u w:val="single"/>
        </w:rPr>
        <w:t>Collections of Information Employing Statistical Methods:</w:t>
      </w:r>
    </w:p>
    <w:p w14:paraId="2A36404F" w14:textId="77777777" w:rsidR="00295E70" w:rsidRPr="00682B07" w:rsidRDefault="00295E70" w:rsidP="00295E70">
      <w:pPr>
        <w:tabs>
          <w:tab w:val="left" w:pos="399"/>
        </w:tabs>
        <w:rPr>
          <w:szCs w:val="24"/>
        </w:rPr>
      </w:pPr>
    </w:p>
    <w:p w14:paraId="7E4DE96B" w14:textId="77777777" w:rsidR="00295E70" w:rsidRPr="00682B07" w:rsidRDefault="00295E70" w:rsidP="00295E70">
      <w:pPr>
        <w:tabs>
          <w:tab w:val="left" w:pos="399"/>
        </w:tabs>
        <w:rPr>
          <w:szCs w:val="24"/>
        </w:rPr>
      </w:pPr>
      <w:r w:rsidRPr="00682B07">
        <w:rPr>
          <w:szCs w:val="24"/>
        </w:rPr>
        <w:tab/>
      </w:r>
      <w:r w:rsidR="00D1293D" w:rsidRPr="00682B07">
        <w:rPr>
          <w:szCs w:val="24"/>
        </w:rPr>
        <w:tab/>
      </w:r>
      <w:r w:rsidRPr="00682B07">
        <w:rPr>
          <w:szCs w:val="24"/>
        </w:rPr>
        <w:t>No statistical methods are employed.</w:t>
      </w:r>
    </w:p>
    <w:p w14:paraId="0E009C18" w14:textId="77777777" w:rsidR="004B436C" w:rsidRPr="00682B07" w:rsidRDefault="004B436C" w:rsidP="004B436C">
      <w:pPr>
        <w:pStyle w:val="ParaNum"/>
        <w:numPr>
          <w:ilvl w:val="0"/>
          <w:numId w:val="0"/>
        </w:numPr>
        <w:tabs>
          <w:tab w:val="left" w:pos="720"/>
        </w:tabs>
        <w:jc w:val="left"/>
        <w:rPr>
          <w:b/>
          <w:snapToGrid/>
          <w:kern w:val="0"/>
          <w:sz w:val="24"/>
          <w:szCs w:val="24"/>
        </w:rPr>
      </w:pPr>
    </w:p>
    <w:p w14:paraId="4870FFB0" w14:textId="77777777" w:rsidR="00BD21B8" w:rsidRPr="00682B07" w:rsidRDefault="0014546A" w:rsidP="00295E70">
      <w:pPr>
        <w:pStyle w:val="ParaNumCharChar"/>
        <w:tabs>
          <w:tab w:val="clear" w:pos="1080"/>
        </w:tabs>
        <w:ind w:firstLine="0"/>
        <w:rPr>
          <w:szCs w:val="24"/>
        </w:rPr>
      </w:pPr>
      <w:r w:rsidRPr="00682B07">
        <w:rPr>
          <w:szCs w:val="24"/>
        </w:rPr>
        <w:tab/>
      </w:r>
      <w:r w:rsidR="005C5380" w:rsidRPr="00682B07">
        <w:rPr>
          <w:szCs w:val="24"/>
        </w:rPr>
        <w:t xml:space="preserve"> </w:t>
      </w:r>
    </w:p>
    <w:sectPr w:rsidR="00BD21B8" w:rsidRPr="00682B07" w:rsidSect="00704C20">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22B49" w14:textId="77777777" w:rsidR="00E11FD2" w:rsidRDefault="00E11FD2">
      <w:r>
        <w:separator/>
      </w:r>
    </w:p>
  </w:endnote>
  <w:endnote w:type="continuationSeparator" w:id="0">
    <w:p w14:paraId="4B930DDC" w14:textId="77777777" w:rsidR="00E11FD2" w:rsidRDefault="00E1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1965B" w14:textId="77777777" w:rsidR="002D4084" w:rsidRDefault="002D4084"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D201A4" w14:textId="77777777" w:rsidR="002D4084" w:rsidRDefault="002D4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9939F" w14:textId="77777777" w:rsidR="002D4084" w:rsidRDefault="002D4084"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5C4">
      <w:rPr>
        <w:rStyle w:val="PageNumber"/>
        <w:noProof/>
      </w:rPr>
      <w:t>5</w:t>
    </w:r>
    <w:r>
      <w:rPr>
        <w:rStyle w:val="PageNumber"/>
      </w:rPr>
      <w:fldChar w:fldCharType="end"/>
    </w:r>
  </w:p>
  <w:p w14:paraId="55B10457" w14:textId="77777777" w:rsidR="002D4084" w:rsidRDefault="002D4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01247" w14:textId="77777777" w:rsidR="00E11FD2" w:rsidRDefault="00E11FD2">
      <w:r>
        <w:separator/>
      </w:r>
    </w:p>
  </w:footnote>
  <w:footnote w:type="continuationSeparator" w:id="0">
    <w:p w14:paraId="74F34C93" w14:textId="77777777" w:rsidR="00E11FD2" w:rsidRDefault="00E11FD2">
      <w:r>
        <w:continuationSeparator/>
      </w:r>
    </w:p>
  </w:footnote>
  <w:footnote w:id="1">
    <w:p w14:paraId="41F8F69C" w14:textId="77777777" w:rsidR="002D4084" w:rsidRDefault="002D4084">
      <w:pPr>
        <w:pStyle w:val="FootnoteText"/>
      </w:pPr>
      <w:r>
        <w:rPr>
          <w:rStyle w:val="FootnoteReference"/>
        </w:rPr>
        <w:footnoteRef/>
      </w:r>
      <w:r>
        <w:t xml:space="preserve"> For a description of spectrum acquisition and maintenance requirements, see 47 CFR 1.901 </w:t>
      </w:r>
      <w:r w:rsidRPr="00CB717A">
        <w:rPr>
          <w:i/>
        </w:rPr>
        <w:t>et seq.</w:t>
      </w:r>
      <w:r>
        <w:t>, subpart F of the Commission’s rules.</w:t>
      </w:r>
    </w:p>
  </w:footnote>
  <w:footnote w:id="2">
    <w:p w14:paraId="07199E5C" w14:textId="77777777" w:rsidR="00E02F09" w:rsidRDefault="00E02F09">
      <w:pPr>
        <w:pStyle w:val="FootnoteText"/>
      </w:pPr>
      <w:r>
        <w:rPr>
          <w:rStyle w:val="FootnoteReference"/>
        </w:rPr>
        <w:footnoteRef/>
      </w:r>
      <w:r>
        <w:t xml:space="preserve"> </w:t>
      </w:r>
      <w:r w:rsidRPr="00E02F09">
        <w:t xml:space="preserve">Public Safety and Homeland Security Bureau Announces Enhancement of Universal Licensing System to Collect Operational Point of Contact Information from Public Safety Licensees and Non-Public Safety Licensees Designated as Emergency First Responders, </w:t>
      </w:r>
      <w:r w:rsidRPr="00E02F09">
        <w:rPr>
          <w:i/>
        </w:rPr>
        <w:t>Public Notice</w:t>
      </w:r>
      <w:r w:rsidRPr="00E02F09">
        <w:t>, DA 09-2043 (rel. September 14, 2009).</w:t>
      </w:r>
    </w:p>
  </w:footnote>
  <w:footnote w:id="3">
    <w:p w14:paraId="7CDCE12C" w14:textId="77777777" w:rsidR="002D4084" w:rsidRDefault="002D4084">
      <w:pPr>
        <w:pStyle w:val="FootnoteText"/>
      </w:pPr>
      <w:r>
        <w:rPr>
          <w:rStyle w:val="FootnoteReference"/>
        </w:rPr>
        <w:footnoteRef/>
      </w:r>
      <w:r>
        <w:t xml:space="preserve"> 47 CFR § 4.5(a)</w:t>
      </w:r>
    </w:p>
  </w:footnote>
  <w:footnote w:id="4">
    <w:p w14:paraId="40B74634" w14:textId="77777777" w:rsidR="002D4084" w:rsidRDefault="002D4084">
      <w:pPr>
        <w:pStyle w:val="FootnoteText"/>
      </w:pPr>
      <w:r>
        <w:rPr>
          <w:rStyle w:val="FootnoteReference"/>
        </w:rPr>
        <w:footnoteRef/>
      </w:r>
      <w:r>
        <w:t xml:space="preserve"> 47 CFR § 4.11</w:t>
      </w:r>
    </w:p>
  </w:footnote>
  <w:footnote w:id="5">
    <w:p w14:paraId="520CFE0C" w14:textId="77777777" w:rsidR="002D4084" w:rsidRDefault="002D4084">
      <w:pPr>
        <w:pStyle w:val="FootnoteText"/>
      </w:pPr>
      <w:r>
        <w:rPr>
          <w:rStyle w:val="FootnoteReference"/>
        </w:rPr>
        <w:footnoteRef/>
      </w:r>
      <w:r>
        <w:t xml:space="preserve"> 47 CFR § 0.457</w:t>
      </w:r>
    </w:p>
  </w:footnote>
  <w:footnote w:id="6">
    <w:p w14:paraId="4222AC53" w14:textId="48929C5B" w:rsidR="00373B09" w:rsidRDefault="00373B09" w:rsidP="00D250C7">
      <w:pPr>
        <w:pStyle w:val="FootnoteText"/>
      </w:pPr>
      <w:r>
        <w:rPr>
          <w:rStyle w:val="FootnoteReference"/>
        </w:rPr>
        <w:footnoteRef/>
      </w:r>
      <w:r>
        <w:t xml:space="preserve"> </w:t>
      </w:r>
      <w:r w:rsidR="0083520B">
        <w:t>Occupational Employment and Wages, May 2014, Electronics Engineers, except computer hourly salary rate was retrieved from the Bureau of Labor of Statistics</w:t>
      </w:r>
      <w:r w:rsidR="00D250C7">
        <w:t xml:space="preserve"> f</w:t>
      </w:r>
      <w:r w:rsidR="0083520B">
        <w:t xml:space="preserve">or the Washington, D.C., Maryland, Virginia and West Virginia </w:t>
      </w:r>
      <w:r w:rsidR="00D250C7">
        <w:t xml:space="preserve">division </w:t>
      </w:r>
      <w:r w:rsidR="009C02D1">
        <w:t xml:space="preserve">may </w:t>
      </w:r>
      <w:r w:rsidR="00D250C7">
        <w:t xml:space="preserve">be found at </w:t>
      </w:r>
      <w:r w:rsidR="0083520B" w:rsidRPr="0083520B">
        <w:t>http://www.bls.gov/oes/current/oes172072.htm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75C7A"/>
    <w:multiLevelType w:val="singleLevel"/>
    <w:tmpl w:val="20E426E4"/>
    <w:lvl w:ilvl="0">
      <w:start w:val="1"/>
      <w:numFmt w:val="upperLetter"/>
      <w:lvlText w:val=""/>
      <w:lvlJc w:val="left"/>
      <w:pPr>
        <w:tabs>
          <w:tab w:val="num" w:pos="360"/>
        </w:tabs>
        <w:ind w:left="360" w:hanging="360"/>
      </w:pPr>
      <w:rPr>
        <w:rFonts w:hint="default"/>
        <w:b/>
      </w:rPr>
    </w:lvl>
  </w:abstractNum>
  <w:abstractNum w:abstractNumId="1" w15:restartNumberingAfterBreak="0">
    <w:nsid w:val="17B00284"/>
    <w:multiLevelType w:val="hybridMultilevel"/>
    <w:tmpl w:val="C68EEC80"/>
    <w:lvl w:ilvl="0" w:tplc="DCD8CC3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C2895"/>
    <w:multiLevelType w:val="hybridMultilevel"/>
    <w:tmpl w:val="C5F281A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346B39"/>
    <w:multiLevelType w:val="hybridMultilevel"/>
    <w:tmpl w:val="1264D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040B15"/>
    <w:multiLevelType w:val="hybridMultilevel"/>
    <w:tmpl w:val="7BD03B76"/>
    <w:lvl w:ilvl="0" w:tplc="FF8C2AFC">
      <w:start w:val="1"/>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63A21AC8"/>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7" w15:restartNumberingAfterBreak="0">
    <w:nsid w:val="6E7E2DEB"/>
    <w:multiLevelType w:val="hybridMultilevel"/>
    <w:tmpl w:val="747EA3A8"/>
    <w:lvl w:ilvl="0" w:tplc="45CE82D4">
      <w:start w:val="1"/>
      <w:numFmt w:val="decimal"/>
      <w:lvlText w:val="%1."/>
      <w:lvlJc w:val="left"/>
      <w:pPr>
        <w:tabs>
          <w:tab w:val="num" w:pos="1800"/>
        </w:tabs>
        <w:ind w:left="1800" w:hanging="108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9A"/>
    <w:rsid w:val="00001A6C"/>
    <w:rsid w:val="00002153"/>
    <w:rsid w:val="000111C6"/>
    <w:rsid w:val="0001370F"/>
    <w:rsid w:val="000303EA"/>
    <w:rsid w:val="00082EB5"/>
    <w:rsid w:val="00085899"/>
    <w:rsid w:val="000863E7"/>
    <w:rsid w:val="000901EE"/>
    <w:rsid w:val="00090C71"/>
    <w:rsid w:val="00095758"/>
    <w:rsid w:val="000A2BB7"/>
    <w:rsid w:val="000A4E2C"/>
    <w:rsid w:val="000A5FFE"/>
    <w:rsid w:val="000A66E7"/>
    <w:rsid w:val="000B627D"/>
    <w:rsid w:val="000D522B"/>
    <w:rsid w:val="000D53BC"/>
    <w:rsid w:val="000F2C34"/>
    <w:rsid w:val="000F3969"/>
    <w:rsid w:val="000F3AC5"/>
    <w:rsid w:val="000F5EDB"/>
    <w:rsid w:val="000F7328"/>
    <w:rsid w:val="00105BE7"/>
    <w:rsid w:val="00131BF1"/>
    <w:rsid w:val="0013750F"/>
    <w:rsid w:val="00137AF1"/>
    <w:rsid w:val="00141649"/>
    <w:rsid w:val="00142015"/>
    <w:rsid w:val="0014546A"/>
    <w:rsid w:val="00150313"/>
    <w:rsid w:val="001505D4"/>
    <w:rsid w:val="00154D2C"/>
    <w:rsid w:val="0016479D"/>
    <w:rsid w:val="00170DAA"/>
    <w:rsid w:val="00177BA0"/>
    <w:rsid w:val="00181DBB"/>
    <w:rsid w:val="001871F5"/>
    <w:rsid w:val="00196E61"/>
    <w:rsid w:val="00197DB2"/>
    <w:rsid w:val="001A7A18"/>
    <w:rsid w:val="001B12D0"/>
    <w:rsid w:val="001C5C15"/>
    <w:rsid w:val="001D1D86"/>
    <w:rsid w:val="001F1654"/>
    <w:rsid w:val="001F18BF"/>
    <w:rsid w:val="001F3635"/>
    <w:rsid w:val="002000D9"/>
    <w:rsid w:val="00245462"/>
    <w:rsid w:val="00245AC1"/>
    <w:rsid w:val="00247A96"/>
    <w:rsid w:val="00254773"/>
    <w:rsid w:val="00261BA2"/>
    <w:rsid w:val="00261BD2"/>
    <w:rsid w:val="0026405B"/>
    <w:rsid w:val="0026604B"/>
    <w:rsid w:val="00266931"/>
    <w:rsid w:val="0027098F"/>
    <w:rsid w:val="00272F92"/>
    <w:rsid w:val="00273CFD"/>
    <w:rsid w:val="00276C5A"/>
    <w:rsid w:val="0029270C"/>
    <w:rsid w:val="00295E70"/>
    <w:rsid w:val="002A5292"/>
    <w:rsid w:val="002A7604"/>
    <w:rsid w:val="002C2EBA"/>
    <w:rsid w:val="002C68C6"/>
    <w:rsid w:val="002D006F"/>
    <w:rsid w:val="002D1A00"/>
    <w:rsid w:val="002D4084"/>
    <w:rsid w:val="002D6F56"/>
    <w:rsid w:val="002D7D48"/>
    <w:rsid w:val="002E2422"/>
    <w:rsid w:val="002F0120"/>
    <w:rsid w:val="002F0551"/>
    <w:rsid w:val="00325856"/>
    <w:rsid w:val="0033689E"/>
    <w:rsid w:val="00342FA1"/>
    <w:rsid w:val="003450A2"/>
    <w:rsid w:val="0035138D"/>
    <w:rsid w:val="00361D8D"/>
    <w:rsid w:val="00361E7F"/>
    <w:rsid w:val="00366785"/>
    <w:rsid w:val="00373B09"/>
    <w:rsid w:val="00376B02"/>
    <w:rsid w:val="003971C4"/>
    <w:rsid w:val="003A2711"/>
    <w:rsid w:val="003A6CC9"/>
    <w:rsid w:val="003A6F6F"/>
    <w:rsid w:val="003B0022"/>
    <w:rsid w:val="003B15D3"/>
    <w:rsid w:val="003B39A0"/>
    <w:rsid w:val="003C06FE"/>
    <w:rsid w:val="003D4EC4"/>
    <w:rsid w:val="003F6A24"/>
    <w:rsid w:val="00405812"/>
    <w:rsid w:val="00413B69"/>
    <w:rsid w:val="004153D2"/>
    <w:rsid w:val="0042275A"/>
    <w:rsid w:val="0043243C"/>
    <w:rsid w:val="0044032E"/>
    <w:rsid w:val="00452421"/>
    <w:rsid w:val="00453524"/>
    <w:rsid w:val="00462577"/>
    <w:rsid w:val="00467091"/>
    <w:rsid w:val="00495946"/>
    <w:rsid w:val="004A69E5"/>
    <w:rsid w:val="004B1339"/>
    <w:rsid w:val="004B1C38"/>
    <w:rsid w:val="004B436C"/>
    <w:rsid w:val="004C009D"/>
    <w:rsid w:val="004D0FFE"/>
    <w:rsid w:val="004D43B6"/>
    <w:rsid w:val="004D46F4"/>
    <w:rsid w:val="004D4D55"/>
    <w:rsid w:val="004E02D1"/>
    <w:rsid w:val="004E1D76"/>
    <w:rsid w:val="004E56DD"/>
    <w:rsid w:val="004F03F5"/>
    <w:rsid w:val="004F3574"/>
    <w:rsid w:val="004F6299"/>
    <w:rsid w:val="0050062B"/>
    <w:rsid w:val="005129A8"/>
    <w:rsid w:val="00527A25"/>
    <w:rsid w:val="00535F51"/>
    <w:rsid w:val="00542586"/>
    <w:rsid w:val="00554990"/>
    <w:rsid w:val="00560F01"/>
    <w:rsid w:val="00591B5C"/>
    <w:rsid w:val="0059249A"/>
    <w:rsid w:val="005941C0"/>
    <w:rsid w:val="00595F42"/>
    <w:rsid w:val="005A34FB"/>
    <w:rsid w:val="005A61E8"/>
    <w:rsid w:val="005C34DB"/>
    <w:rsid w:val="005C5380"/>
    <w:rsid w:val="005C5928"/>
    <w:rsid w:val="005C5CDF"/>
    <w:rsid w:val="005E3526"/>
    <w:rsid w:val="005E35C6"/>
    <w:rsid w:val="005E5B99"/>
    <w:rsid w:val="005E775D"/>
    <w:rsid w:val="006045BA"/>
    <w:rsid w:val="00611CFA"/>
    <w:rsid w:val="00613FE5"/>
    <w:rsid w:val="00615DCB"/>
    <w:rsid w:val="00636797"/>
    <w:rsid w:val="00655EAA"/>
    <w:rsid w:val="0067618C"/>
    <w:rsid w:val="00680CB0"/>
    <w:rsid w:val="00682B07"/>
    <w:rsid w:val="00684590"/>
    <w:rsid w:val="00686123"/>
    <w:rsid w:val="00694A6B"/>
    <w:rsid w:val="006A0048"/>
    <w:rsid w:val="006A605B"/>
    <w:rsid w:val="006C0E8F"/>
    <w:rsid w:val="006C3060"/>
    <w:rsid w:val="006C7326"/>
    <w:rsid w:val="006C777B"/>
    <w:rsid w:val="006D307D"/>
    <w:rsid w:val="006D721E"/>
    <w:rsid w:val="006E207C"/>
    <w:rsid w:val="006E62BD"/>
    <w:rsid w:val="006F3681"/>
    <w:rsid w:val="00703B66"/>
    <w:rsid w:val="00704C20"/>
    <w:rsid w:val="0072143D"/>
    <w:rsid w:val="00725AA3"/>
    <w:rsid w:val="007343C5"/>
    <w:rsid w:val="00734E58"/>
    <w:rsid w:val="00735739"/>
    <w:rsid w:val="00742929"/>
    <w:rsid w:val="0076474C"/>
    <w:rsid w:val="00777A4C"/>
    <w:rsid w:val="00784899"/>
    <w:rsid w:val="007A3672"/>
    <w:rsid w:val="007A5A45"/>
    <w:rsid w:val="007B6873"/>
    <w:rsid w:val="007C2537"/>
    <w:rsid w:val="007C5EF6"/>
    <w:rsid w:val="007D5BA4"/>
    <w:rsid w:val="007D6EF2"/>
    <w:rsid w:val="007E2A15"/>
    <w:rsid w:val="007E5574"/>
    <w:rsid w:val="007E6B83"/>
    <w:rsid w:val="007F1776"/>
    <w:rsid w:val="00814794"/>
    <w:rsid w:val="00824747"/>
    <w:rsid w:val="00830247"/>
    <w:rsid w:val="00830A44"/>
    <w:rsid w:val="00831C9B"/>
    <w:rsid w:val="0083520B"/>
    <w:rsid w:val="0084447D"/>
    <w:rsid w:val="00844493"/>
    <w:rsid w:val="00847465"/>
    <w:rsid w:val="00854A9D"/>
    <w:rsid w:val="00860C57"/>
    <w:rsid w:val="00864A1A"/>
    <w:rsid w:val="0087332B"/>
    <w:rsid w:val="008B75BA"/>
    <w:rsid w:val="008C03D9"/>
    <w:rsid w:val="008D194B"/>
    <w:rsid w:val="008D3A90"/>
    <w:rsid w:val="008D46F1"/>
    <w:rsid w:val="008E08E4"/>
    <w:rsid w:val="008F251F"/>
    <w:rsid w:val="008F54B0"/>
    <w:rsid w:val="00911576"/>
    <w:rsid w:val="0092177F"/>
    <w:rsid w:val="00922C9C"/>
    <w:rsid w:val="00930215"/>
    <w:rsid w:val="00934058"/>
    <w:rsid w:val="0093746E"/>
    <w:rsid w:val="009379D8"/>
    <w:rsid w:val="00937F38"/>
    <w:rsid w:val="00943206"/>
    <w:rsid w:val="009536F2"/>
    <w:rsid w:val="00955179"/>
    <w:rsid w:val="00955E7E"/>
    <w:rsid w:val="00991376"/>
    <w:rsid w:val="00994FBF"/>
    <w:rsid w:val="009A3BFD"/>
    <w:rsid w:val="009C02D1"/>
    <w:rsid w:val="009C1484"/>
    <w:rsid w:val="009D4AA1"/>
    <w:rsid w:val="009E7FA6"/>
    <w:rsid w:val="009F194E"/>
    <w:rsid w:val="009F26E7"/>
    <w:rsid w:val="009F6F93"/>
    <w:rsid w:val="00A02C92"/>
    <w:rsid w:val="00A059E3"/>
    <w:rsid w:val="00A159A3"/>
    <w:rsid w:val="00A34278"/>
    <w:rsid w:val="00A37FA2"/>
    <w:rsid w:val="00A53B6D"/>
    <w:rsid w:val="00A70C21"/>
    <w:rsid w:val="00A73F7E"/>
    <w:rsid w:val="00A969CA"/>
    <w:rsid w:val="00AA2222"/>
    <w:rsid w:val="00AA48B9"/>
    <w:rsid w:val="00AB0A4A"/>
    <w:rsid w:val="00AB5013"/>
    <w:rsid w:val="00AC5AB8"/>
    <w:rsid w:val="00AC7DDB"/>
    <w:rsid w:val="00AD0DEB"/>
    <w:rsid w:val="00AD3E0A"/>
    <w:rsid w:val="00B16084"/>
    <w:rsid w:val="00B1672E"/>
    <w:rsid w:val="00B258B9"/>
    <w:rsid w:val="00B265C4"/>
    <w:rsid w:val="00B329DC"/>
    <w:rsid w:val="00B4454F"/>
    <w:rsid w:val="00B747D5"/>
    <w:rsid w:val="00B92F83"/>
    <w:rsid w:val="00B977CB"/>
    <w:rsid w:val="00BA1367"/>
    <w:rsid w:val="00BA6AED"/>
    <w:rsid w:val="00BB69C0"/>
    <w:rsid w:val="00BB6EE1"/>
    <w:rsid w:val="00BB733E"/>
    <w:rsid w:val="00BC3031"/>
    <w:rsid w:val="00BD21B8"/>
    <w:rsid w:val="00BD2B1F"/>
    <w:rsid w:val="00BD2F12"/>
    <w:rsid w:val="00BD5C48"/>
    <w:rsid w:val="00BE7AAF"/>
    <w:rsid w:val="00BF25BB"/>
    <w:rsid w:val="00BF3604"/>
    <w:rsid w:val="00C05D56"/>
    <w:rsid w:val="00C06779"/>
    <w:rsid w:val="00C121FE"/>
    <w:rsid w:val="00C21069"/>
    <w:rsid w:val="00C233DD"/>
    <w:rsid w:val="00C33374"/>
    <w:rsid w:val="00C45199"/>
    <w:rsid w:val="00C55923"/>
    <w:rsid w:val="00C61885"/>
    <w:rsid w:val="00C72778"/>
    <w:rsid w:val="00C7501D"/>
    <w:rsid w:val="00C7740B"/>
    <w:rsid w:val="00C8701D"/>
    <w:rsid w:val="00C92BEE"/>
    <w:rsid w:val="00C95CFE"/>
    <w:rsid w:val="00CA31B9"/>
    <w:rsid w:val="00CA4FED"/>
    <w:rsid w:val="00CB717A"/>
    <w:rsid w:val="00CD74CF"/>
    <w:rsid w:val="00CF3DCC"/>
    <w:rsid w:val="00D1293D"/>
    <w:rsid w:val="00D134F9"/>
    <w:rsid w:val="00D1496F"/>
    <w:rsid w:val="00D250C7"/>
    <w:rsid w:val="00D31579"/>
    <w:rsid w:val="00D370B5"/>
    <w:rsid w:val="00D47890"/>
    <w:rsid w:val="00D47CB3"/>
    <w:rsid w:val="00D7597C"/>
    <w:rsid w:val="00D75A7D"/>
    <w:rsid w:val="00D8140F"/>
    <w:rsid w:val="00D819E0"/>
    <w:rsid w:val="00D844E7"/>
    <w:rsid w:val="00DA60C8"/>
    <w:rsid w:val="00DC2A0C"/>
    <w:rsid w:val="00DC5138"/>
    <w:rsid w:val="00DC7857"/>
    <w:rsid w:val="00DE7098"/>
    <w:rsid w:val="00E02F09"/>
    <w:rsid w:val="00E11E9E"/>
    <w:rsid w:val="00E11FD2"/>
    <w:rsid w:val="00E14530"/>
    <w:rsid w:val="00E20051"/>
    <w:rsid w:val="00E245E6"/>
    <w:rsid w:val="00E27EE9"/>
    <w:rsid w:val="00E30B8E"/>
    <w:rsid w:val="00E477AF"/>
    <w:rsid w:val="00E7358E"/>
    <w:rsid w:val="00E77354"/>
    <w:rsid w:val="00E847C2"/>
    <w:rsid w:val="00E866A9"/>
    <w:rsid w:val="00EA2A4B"/>
    <w:rsid w:val="00EA6069"/>
    <w:rsid w:val="00EC302C"/>
    <w:rsid w:val="00EE2244"/>
    <w:rsid w:val="00EE24E3"/>
    <w:rsid w:val="00EE5A11"/>
    <w:rsid w:val="00EE7680"/>
    <w:rsid w:val="00EE7B6E"/>
    <w:rsid w:val="00EF10F8"/>
    <w:rsid w:val="00EF1BEF"/>
    <w:rsid w:val="00F13ECF"/>
    <w:rsid w:val="00F2477A"/>
    <w:rsid w:val="00F30E89"/>
    <w:rsid w:val="00F412C4"/>
    <w:rsid w:val="00F42D97"/>
    <w:rsid w:val="00F4306C"/>
    <w:rsid w:val="00F50C92"/>
    <w:rsid w:val="00F551D9"/>
    <w:rsid w:val="00F70840"/>
    <w:rsid w:val="00F72028"/>
    <w:rsid w:val="00F73FBA"/>
    <w:rsid w:val="00F74453"/>
    <w:rsid w:val="00F8063F"/>
    <w:rsid w:val="00F824F5"/>
    <w:rsid w:val="00F92744"/>
    <w:rsid w:val="00F95173"/>
    <w:rsid w:val="00F96508"/>
    <w:rsid w:val="00FA11D6"/>
    <w:rsid w:val="00FA4E3D"/>
    <w:rsid w:val="00FA4EF3"/>
    <w:rsid w:val="00FB10AA"/>
    <w:rsid w:val="00FB5B5A"/>
    <w:rsid w:val="00FC4DED"/>
    <w:rsid w:val="00FD26F8"/>
    <w:rsid w:val="00FD55E9"/>
    <w:rsid w:val="00FD606D"/>
    <w:rsid w:val="00FE4F09"/>
    <w:rsid w:val="00FE5FF4"/>
    <w:rsid w:val="00FE67D6"/>
    <w:rsid w:val="00FF0B4A"/>
    <w:rsid w:val="00FF4103"/>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394A"/>
  <w15:chartTrackingRefBased/>
  <w15:docId w15:val="{D2B5E621-3AAF-4228-B428-B690C8CE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paragraph" w:styleId="Heading2">
    <w:name w:val="heading 2"/>
    <w:basedOn w:val="Normal"/>
    <w:next w:val="Normal"/>
    <w:qFormat/>
    <w:rsid w:val="008D46F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95E7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1,Footnote Text Char Char,Footnote Text Char2 Char Char,Footnote Text Char1 Char Char Char,Footnote Text Char Char2 Char Char Char,Footnote Text Char4 Char Char Char Char Char,Footnote Text Char,Footnote Text Char1 Char"/>
    <w:link w:val="FootnoteTextChar2"/>
    <w:semiHidden/>
    <w:rsid w:val="00831C9B"/>
    <w:pPr>
      <w:tabs>
        <w:tab w:val="left" w:pos="720"/>
        <w:tab w:val="left" w:pos="1440"/>
      </w:tabs>
      <w:spacing w:after="20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character" w:customStyle="1" w:styleId="FootnoteTextChar2">
    <w:name w:val="Footnote Text Char2"/>
    <w:aliases w:val="Footnote Text Char1 Char1,Footnote Text Char Char Char,Footnote Text Char2 Char Char Char,Footnote Text Char1 Char Char Char Char,Footnote Text Char Char2 Char Char Char Char,Footnote Text Char4 Char Char Char Char Char Char"/>
    <w:link w:val="FootnoteText"/>
    <w:rsid w:val="00467091"/>
    <w:rPr>
      <w:lang w:val="en-US" w:eastAsia="en-US" w:bidi="ar-SA"/>
    </w:rPr>
  </w:style>
  <w:style w:type="character" w:customStyle="1" w:styleId="FootnoteTextCharChar1">
    <w:name w:val="Footnote Text Char Char1"/>
    <w:aliases w:val="Footnote Text Char1 Char Char1,Footnote Text Char Char Char Char1,Footnote Text Char1 Char Char Char Char1,Footnote Text Char Char Char Char Char1 Char1,Footnote Text Char1 Char Char Char Char Char1 Char"/>
    <w:rsid w:val="00467091"/>
    <w:rPr>
      <w:lang w:val="en-US" w:eastAsia="en-US" w:bidi="ar-SA"/>
    </w:rPr>
  </w:style>
  <w:style w:type="paragraph" w:customStyle="1" w:styleId="ParaNumCharCharCharChar">
    <w:name w:val="ParaNum Char Char Char Char"/>
    <w:basedOn w:val="Normal"/>
    <w:link w:val="ParaNumCharCharCharCharChar"/>
    <w:rsid w:val="00BF3604"/>
    <w:pPr>
      <w:tabs>
        <w:tab w:val="num" w:pos="1080"/>
      </w:tabs>
      <w:spacing w:after="220"/>
      <w:ind w:firstLine="720"/>
    </w:pPr>
  </w:style>
  <w:style w:type="character" w:customStyle="1" w:styleId="ParaNumCharCharCharCharChar">
    <w:name w:val="ParaNum Char Char Char Char Char"/>
    <w:link w:val="ParaNumCharCharCharChar"/>
    <w:rsid w:val="00BF3604"/>
    <w:rPr>
      <w:sz w:val="24"/>
      <w:lang w:val="en-US" w:eastAsia="en-US" w:bidi="ar-SA"/>
    </w:rPr>
  </w:style>
  <w:style w:type="paragraph" w:customStyle="1" w:styleId="ParaNumCharChar">
    <w:name w:val="ParaNum Char Char"/>
    <w:basedOn w:val="Normal"/>
    <w:link w:val="ParaNumCharCharChar1"/>
    <w:rsid w:val="00CF3DCC"/>
    <w:pPr>
      <w:tabs>
        <w:tab w:val="num" w:pos="1080"/>
      </w:tabs>
      <w:spacing w:after="220"/>
      <w:ind w:firstLine="720"/>
    </w:pPr>
  </w:style>
  <w:style w:type="character" w:customStyle="1" w:styleId="ParaNumCharCharChar1">
    <w:name w:val="ParaNum Char Char Char1"/>
    <w:link w:val="ParaNumCharChar"/>
    <w:rsid w:val="00CF3DCC"/>
    <w:rPr>
      <w:sz w:val="24"/>
      <w:lang w:val="en-US" w:eastAsia="en-US" w:bidi="ar-SA"/>
    </w:rPr>
  </w:style>
  <w:style w:type="character" w:customStyle="1" w:styleId="documentbody1">
    <w:name w:val="documentbody1"/>
    <w:rsid w:val="008D46F1"/>
    <w:rPr>
      <w:rFonts w:ascii="Verdana" w:hAnsi="Verdana" w:hint="default"/>
      <w:sz w:val="19"/>
      <w:szCs w:val="19"/>
      <w:shd w:val="clear" w:color="auto" w:fill="FFFFFF"/>
    </w:rPr>
  </w:style>
  <w:style w:type="paragraph" w:styleId="Footer">
    <w:name w:val="footer"/>
    <w:basedOn w:val="Normal"/>
    <w:rsid w:val="00704C20"/>
    <w:pPr>
      <w:tabs>
        <w:tab w:val="center" w:pos="4320"/>
        <w:tab w:val="right" w:pos="8640"/>
      </w:tabs>
    </w:pPr>
  </w:style>
  <w:style w:type="character" w:styleId="PageNumber">
    <w:name w:val="page number"/>
    <w:basedOn w:val="DefaultParagraphFont"/>
    <w:rsid w:val="00704C20"/>
  </w:style>
  <w:style w:type="character" w:styleId="Strong">
    <w:name w:val="Strong"/>
    <w:qFormat/>
    <w:rsid w:val="00F412C4"/>
    <w:rPr>
      <w:b/>
      <w:bCs/>
    </w:rPr>
  </w:style>
  <w:style w:type="paragraph" w:styleId="EndnoteText">
    <w:name w:val="endnote text"/>
    <w:basedOn w:val="Normal"/>
    <w:link w:val="EndnoteTextChar"/>
    <w:rsid w:val="00E02F09"/>
    <w:rPr>
      <w:sz w:val="20"/>
    </w:rPr>
  </w:style>
  <w:style w:type="character" w:customStyle="1" w:styleId="EndnoteTextChar">
    <w:name w:val="Endnote Text Char"/>
    <w:basedOn w:val="DefaultParagraphFont"/>
    <w:link w:val="EndnoteText"/>
    <w:rsid w:val="00E02F09"/>
  </w:style>
  <w:style w:type="character" w:styleId="EndnoteReference">
    <w:name w:val="endnote reference"/>
    <w:rsid w:val="00E02F09"/>
    <w:rPr>
      <w:vertAlign w:val="superscript"/>
    </w:rPr>
  </w:style>
  <w:style w:type="character" w:styleId="CommentReference">
    <w:name w:val="annotation reference"/>
    <w:basedOn w:val="DefaultParagraphFont"/>
    <w:rsid w:val="004B1339"/>
    <w:rPr>
      <w:sz w:val="16"/>
      <w:szCs w:val="16"/>
    </w:rPr>
  </w:style>
  <w:style w:type="paragraph" w:styleId="CommentText">
    <w:name w:val="annotation text"/>
    <w:basedOn w:val="Normal"/>
    <w:link w:val="CommentTextChar"/>
    <w:rsid w:val="004B1339"/>
    <w:rPr>
      <w:sz w:val="20"/>
    </w:rPr>
  </w:style>
  <w:style w:type="character" w:customStyle="1" w:styleId="CommentTextChar">
    <w:name w:val="Comment Text Char"/>
    <w:basedOn w:val="DefaultParagraphFont"/>
    <w:link w:val="CommentText"/>
    <w:rsid w:val="004B1339"/>
  </w:style>
  <w:style w:type="paragraph" w:styleId="CommentSubject">
    <w:name w:val="annotation subject"/>
    <w:basedOn w:val="CommentText"/>
    <w:next w:val="CommentText"/>
    <w:link w:val="CommentSubjectChar"/>
    <w:rsid w:val="004B1339"/>
    <w:rPr>
      <w:b/>
      <w:bCs/>
    </w:rPr>
  </w:style>
  <w:style w:type="character" w:customStyle="1" w:styleId="CommentSubjectChar">
    <w:name w:val="Comment Subject Char"/>
    <w:basedOn w:val="CommentTextChar"/>
    <w:link w:val="CommentSubject"/>
    <w:rsid w:val="004B1339"/>
    <w:rPr>
      <w:b/>
      <w:bCs/>
    </w:rPr>
  </w:style>
  <w:style w:type="paragraph" w:styleId="ListParagraph">
    <w:name w:val="List Paragraph"/>
    <w:basedOn w:val="Normal"/>
    <w:uiPriority w:val="34"/>
    <w:qFormat/>
    <w:rsid w:val="00C87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6EF2-DAB2-46F6-A2DC-2413171C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FCC</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subject/>
  <dc:creator>mhall</dc:creator>
  <cp:keywords/>
  <cp:lastModifiedBy>Nicole Ongele</cp:lastModifiedBy>
  <cp:revision>5</cp:revision>
  <cp:lastPrinted>2010-01-27T15:16:00Z</cp:lastPrinted>
  <dcterms:created xsi:type="dcterms:W3CDTF">2016-03-07T21:08:00Z</dcterms:created>
  <dcterms:modified xsi:type="dcterms:W3CDTF">2016-03-07T21:57:00Z</dcterms:modified>
</cp:coreProperties>
</file>