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DE3E82"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Pr="002E261D" w:rsidRDefault="00CA4CD6">
      <w:pPr>
        <w:tabs>
          <w:tab w:val="center" w:pos="4680"/>
        </w:tabs>
        <w:rPr>
          <w:color w:val="000000" w:themeColor="text1"/>
        </w:rPr>
      </w:pPr>
      <w:r w:rsidRPr="002E261D">
        <w:rPr>
          <w:color w:val="000000" w:themeColor="text1"/>
        </w:rPr>
        <w:tab/>
      </w:r>
    </w:p>
    <w:p w:rsidR="00CA4CD6" w:rsidRDefault="002E261D" w:rsidP="002E261D">
      <w:pPr>
        <w:rPr>
          <w:color w:val="000000"/>
        </w:rPr>
      </w:pPr>
      <w:r w:rsidRPr="002E261D">
        <w:rPr>
          <w:b/>
          <w:color w:val="000000" w:themeColor="text1"/>
        </w:rPr>
        <w:t>NESHAP for Miscellaneous Organic Chemical Manufacturing (40 CFR Part 63, Subpart FFFF) (Renewal)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CC2793" w:rsidP="002B29A5">
      <w:pPr>
        <w:rPr>
          <w:bCs/>
          <w:color w:val="000000"/>
        </w:rPr>
      </w:pPr>
      <w:proofErr w:type="gramStart"/>
      <w:r w:rsidRPr="00CC2793">
        <w:rPr>
          <w:color w:val="000000" w:themeColor="text1"/>
        </w:rPr>
        <w:t xml:space="preserve">NESHAP for Miscellaneous Organic </w:t>
      </w:r>
      <w:r w:rsidR="00D36A11">
        <w:rPr>
          <w:color w:val="000000" w:themeColor="text1"/>
        </w:rPr>
        <w:t xml:space="preserve">Chemical Manufacturing (40 CFR </w:t>
      </w:r>
      <w:r w:rsidR="00A63F2A">
        <w:rPr>
          <w:color w:val="000000" w:themeColor="text1"/>
        </w:rPr>
        <w:t>P</w:t>
      </w:r>
      <w:r w:rsidR="00D36A11">
        <w:rPr>
          <w:color w:val="000000" w:themeColor="text1"/>
        </w:rPr>
        <w:t xml:space="preserve">art 63, </w:t>
      </w:r>
      <w:r w:rsidR="00A63F2A">
        <w:rPr>
          <w:color w:val="000000" w:themeColor="text1"/>
        </w:rPr>
        <w:t>S</w:t>
      </w:r>
      <w:r w:rsidRPr="00CC2793">
        <w:rPr>
          <w:color w:val="000000" w:themeColor="text1"/>
        </w:rPr>
        <w:t>ubpart FFFF) (Renewal)</w:t>
      </w:r>
      <w:r w:rsidRPr="00CC2793">
        <w:rPr>
          <w:bCs/>
          <w:color w:val="000000" w:themeColor="text1"/>
        </w:rPr>
        <w:t>,</w:t>
      </w:r>
      <w:r w:rsidR="002B29A5" w:rsidRPr="004C5E95">
        <w:rPr>
          <w:bCs/>
        </w:rPr>
        <w:t xml:space="preserve"> EPA ICR Number</w:t>
      </w:r>
      <w:r w:rsidR="001C1281">
        <w:rPr>
          <w:bCs/>
        </w:rPr>
        <w:t>1969.05</w:t>
      </w:r>
      <w:r w:rsidRPr="00CC2793">
        <w:rPr>
          <w:bCs/>
          <w:color w:val="000000" w:themeColor="text1"/>
        </w:rPr>
        <w:t>,</w:t>
      </w:r>
      <w:r w:rsidR="002B29A5">
        <w:rPr>
          <w:bCs/>
          <w:color w:val="FF0000"/>
        </w:rPr>
        <w:t xml:space="preserve"> </w:t>
      </w:r>
      <w:r w:rsidR="002B29A5" w:rsidRPr="004C5E95">
        <w:rPr>
          <w:bCs/>
        </w:rPr>
        <w:t>OMB Control Number 2060-</w:t>
      </w:r>
      <w:r w:rsidR="001C1281">
        <w:rPr>
          <w:bCs/>
        </w:rPr>
        <w:t>0533</w:t>
      </w:r>
      <w:r w:rsidRPr="00CC2793">
        <w:rPr>
          <w:bCs/>
          <w:color w:val="000000" w:themeColor="text1"/>
        </w:rPr>
        <w:t>.</w:t>
      </w:r>
      <w:proofErr w:type="gramEnd"/>
      <w:r w:rsidR="002B29A5">
        <w:rPr>
          <w:bCs/>
          <w:color w:val="FF0000"/>
        </w:rPr>
        <w:t xml:space="preserve"> </w:t>
      </w:r>
    </w:p>
    <w:p w:rsidR="00CA4CD6" w:rsidRPr="009B06B9" w:rsidRDefault="00CA4CD6">
      <w:pPr>
        <w:rPr>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CC2793" w:rsidRPr="00CC2793">
        <w:rPr>
          <w:color w:val="000000" w:themeColor="text1"/>
        </w:rPr>
        <w:t>National Emission Standards for Hazardous Air Pollutants (NESHAP)</w:t>
      </w:r>
      <w:r>
        <w:rPr>
          <w:color w:val="FF0000"/>
        </w:rPr>
        <w:t xml:space="preserve"> </w:t>
      </w:r>
      <w:r>
        <w:rPr>
          <w:color w:val="000000"/>
        </w:rPr>
        <w:t>for</w:t>
      </w:r>
      <w:r w:rsidR="009B06B9" w:rsidRPr="009B06B9">
        <w:rPr>
          <w:b/>
          <w:color w:val="000000" w:themeColor="text1"/>
        </w:rPr>
        <w:t xml:space="preserve"> </w:t>
      </w:r>
      <w:r w:rsidR="009B06B9" w:rsidRPr="009B06B9">
        <w:rPr>
          <w:color w:val="000000" w:themeColor="text1"/>
        </w:rPr>
        <w:t>Miscellaneous Organic Chemical Manufacturing</w:t>
      </w:r>
      <w:r>
        <w:rPr>
          <w:color w:val="000000"/>
        </w:rPr>
        <w:t xml:space="preserve"> </w:t>
      </w:r>
      <w:r w:rsidR="009B06B9">
        <w:rPr>
          <w:color w:val="000000"/>
        </w:rPr>
        <w:t>(</w:t>
      </w:r>
      <w:r w:rsidR="00AF5B7E">
        <w:rPr>
          <w:color w:val="000000"/>
        </w:rPr>
        <w:t>40 CFR</w:t>
      </w:r>
      <w:r w:rsidR="004F2A37">
        <w:rPr>
          <w:color w:val="000000"/>
        </w:rPr>
        <w:t xml:space="preserve"> </w:t>
      </w:r>
      <w:proofErr w:type="gramStart"/>
      <w:r w:rsidR="00AF5B7E">
        <w:rPr>
          <w:color w:val="000000"/>
        </w:rPr>
        <w:t>part</w:t>
      </w:r>
      <w:proofErr w:type="gramEnd"/>
      <w:r w:rsidR="00AF5B7E">
        <w:rPr>
          <w:color w:val="000000"/>
        </w:rPr>
        <w:t xml:space="preserve"> 63, subpart FFFF</w:t>
      </w:r>
      <w:r w:rsidR="009B06B9">
        <w:rPr>
          <w:color w:val="000000"/>
        </w:rPr>
        <w:t>)</w:t>
      </w:r>
      <w:r>
        <w:rPr>
          <w:color w:val="000000"/>
        </w:rPr>
        <w:t xml:space="preserve"> were proposed on </w:t>
      </w:r>
      <w:r w:rsidR="00AF5B7E">
        <w:rPr>
          <w:color w:val="000000"/>
        </w:rPr>
        <w:t>April 4, 2002</w:t>
      </w:r>
      <w:r>
        <w:rPr>
          <w:color w:val="000000"/>
        </w:rPr>
        <w:t xml:space="preserve"> and promulgated on </w:t>
      </w:r>
      <w:r w:rsidR="00AF5B7E">
        <w:rPr>
          <w:color w:val="000000"/>
        </w:rPr>
        <w:t>November 10, 2003</w:t>
      </w:r>
      <w:r>
        <w:rPr>
          <w:color w:val="000000"/>
        </w:rPr>
        <w:t xml:space="preserve">.  These regulations apply to </w:t>
      </w:r>
      <w:r w:rsidR="00AF5B7E">
        <w:rPr>
          <w:color w:val="000000"/>
        </w:rPr>
        <w:t xml:space="preserve">new and </w:t>
      </w:r>
      <w:r>
        <w:rPr>
          <w:color w:val="000000"/>
        </w:rPr>
        <w:t>existing</w:t>
      </w:r>
      <w:r w:rsidR="00AF5B7E">
        <w:rPr>
          <w:color w:val="000000"/>
        </w:rPr>
        <w:t xml:space="preserve"> </w:t>
      </w:r>
      <w:r>
        <w:rPr>
          <w:color w:val="000000"/>
        </w:rPr>
        <w:t xml:space="preserve">facilities </w:t>
      </w:r>
      <w:r w:rsidR="00AF5B7E">
        <w:rPr>
          <w:color w:val="000000"/>
        </w:rPr>
        <w:t xml:space="preserve">that manufacture a miscellaneous </w:t>
      </w:r>
      <w:r w:rsidR="00511AF2">
        <w:rPr>
          <w:color w:val="000000"/>
        </w:rPr>
        <w:t>organic</w:t>
      </w:r>
      <w:r w:rsidR="00AF5B7E">
        <w:rPr>
          <w:color w:val="000000"/>
        </w:rPr>
        <w:t xml:space="preserve"> </w:t>
      </w:r>
      <w:r w:rsidR="00511AF2">
        <w:rPr>
          <w:color w:val="000000"/>
        </w:rPr>
        <w:t>chemical</w:t>
      </w:r>
      <w:r w:rsidR="00AF5B7E">
        <w:rPr>
          <w:color w:val="000000"/>
        </w:rPr>
        <w:t xml:space="preserve"> and </w:t>
      </w:r>
      <w:r w:rsidR="00835B21">
        <w:rPr>
          <w:color w:val="000000"/>
        </w:rPr>
        <w:t xml:space="preserve">that </w:t>
      </w:r>
      <w:r w:rsidR="00AF5B7E">
        <w:rPr>
          <w:color w:val="000000"/>
        </w:rPr>
        <w:t>are located at, or are part of, major sources of hazardous air pollutant (HAP) emissions.</w:t>
      </w:r>
      <w:r>
        <w:rPr>
          <w:color w:val="000000"/>
        </w:rPr>
        <w:t xml:space="preserve">  New facilities include those that commenced construction 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AF5B7E">
        <w:rPr>
          <w:color w:val="000000"/>
        </w:rPr>
        <w:t>FFFF</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11AF2">
        <w:rPr>
          <w:color w:val="000000"/>
        </w:rPr>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905FCC">
        <w:rPr>
          <w:color w:val="000000"/>
        </w:rPr>
        <w:t xml:space="preserve">    </w:t>
      </w:r>
      <w:r>
        <w:rPr>
          <w:color w:val="000000"/>
        </w:rPr>
        <w:t>the operation of an affected facility, or any period during which the monitoring system is inoperative.</w:t>
      </w:r>
      <w:r w:rsidR="00511AF2">
        <w:rPr>
          <w:color w:val="000000"/>
        </w:rPr>
        <w:t xml:space="preserve">  </w:t>
      </w:r>
      <w:r>
        <w:rPr>
          <w:color w:val="000000"/>
        </w:rPr>
        <w:t xml:space="preserve">These notifications, reports, and records are essential in determining compliance, and are required of all affected facilities subject to </w:t>
      </w:r>
      <w:r w:rsidR="00511AF2">
        <w:rPr>
          <w:color w:val="000000"/>
        </w:rPr>
        <w:t>NESHAP</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511AF2">
        <w:rPr>
          <w:color w:val="000000"/>
        </w:rPr>
        <w:t>five</w:t>
      </w:r>
      <w:r>
        <w:rPr>
          <w:color w:val="000000"/>
        </w:rPr>
        <w:t xml:space="preserve"> years following the date of such measurements, maintenance reports, and records.  All reports are sent to the delegated state or local authority.  </w:t>
      </w:r>
      <w:r w:rsidR="00905FCC">
        <w:rPr>
          <w:color w:val="000000"/>
        </w:rPr>
        <w:t xml:space="preserve"> </w:t>
      </w:r>
      <w:r>
        <w:rPr>
          <w:color w:val="000000"/>
        </w:rPr>
        <w:t>In the event that there is no such delegated authority, the reports are sent directly to the U</w:t>
      </w:r>
      <w:r w:rsidR="00905FCC">
        <w:rPr>
          <w:color w:val="000000"/>
        </w:rPr>
        <w:t>.</w:t>
      </w:r>
      <w:r>
        <w:rPr>
          <w:color w:val="000000"/>
        </w:rPr>
        <w:t xml:space="preserve"> S</w:t>
      </w:r>
      <w:r w:rsidR="00905FCC">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D5DEA">
        <w:rPr>
          <w:color w:val="000000"/>
        </w:rPr>
        <w:t>is an average</w:t>
      </w:r>
      <w:r>
        <w:rPr>
          <w:color w:val="000000"/>
        </w:rPr>
        <w:t xml:space="preserve"> of </w:t>
      </w:r>
      <w:r w:rsidR="00511AF2">
        <w:rPr>
          <w:color w:val="000000"/>
        </w:rPr>
        <w:t xml:space="preserve">one </w:t>
      </w:r>
      <w:r>
        <w:rPr>
          <w:color w:val="000000"/>
        </w:rPr>
        <w:t>affected facilit</w:t>
      </w:r>
      <w:r w:rsidR="002D5DEA">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936439">
        <w:rPr>
          <w:color w:val="000000"/>
        </w:rPr>
        <w:t>2</w:t>
      </w:r>
      <w:r w:rsidR="00FE64B9">
        <w:rPr>
          <w:color w:val="000000"/>
        </w:rPr>
        <w:t>6</w:t>
      </w:r>
      <w:r w:rsidR="00A60BCF">
        <w:rPr>
          <w:color w:val="000000"/>
        </w:rPr>
        <w:t>3</w:t>
      </w:r>
      <w:r w:rsidR="00CA4CD6">
        <w:rPr>
          <w:color w:val="000000"/>
        </w:rPr>
        <w:t xml:space="preserve"> respondents </w:t>
      </w:r>
      <w:r>
        <w:rPr>
          <w:color w:val="000000"/>
        </w:rPr>
        <w:t xml:space="preserve">per year will be subject to </w:t>
      </w:r>
      <w:r w:rsidR="00905FCC">
        <w:rPr>
          <w:color w:val="000000"/>
        </w:rPr>
        <w:t xml:space="preserve">     </w:t>
      </w:r>
      <w:r>
        <w:rPr>
          <w:color w:val="000000"/>
        </w:rPr>
        <w:t>the standard</w:t>
      </w:r>
      <w:r w:rsidR="00CA4CD6">
        <w:rPr>
          <w:color w:val="000000"/>
        </w:rPr>
        <w:t xml:space="preserve">, and </w:t>
      </w:r>
      <w:r w:rsidR="00A60BCF">
        <w:rPr>
          <w:color w:val="000000"/>
        </w:rPr>
        <w:t>two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05BA1" w:rsidRPr="00305BA1" w:rsidRDefault="00CC2793">
      <w:pPr>
        <w:pBdr>
          <w:top w:val="single" w:sz="6" w:space="0" w:color="FFFFFF"/>
          <w:left w:val="single" w:sz="6" w:space="0" w:color="FFFFFF"/>
          <w:bottom w:val="single" w:sz="6" w:space="0" w:color="FFFFFF"/>
          <w:right w:val="single" w:sz="6" w:space="0" w:color="FFFFFF"/>
        </w:pBdr>
        <w:ind w:firstLine="720"/>
        <w:rPr>
          <w:color w:val="000000" w:themeColor="text1"/>
        </w:rPr>
      </w:pPr>
      <w:r w:rsidRPr="00CC2793">
        <w:rPr>
          <w:color w:val="000000" w:themeColor="text1"/>
        </w:rPr>
        <w:t>The active (previous) ICR had the following Terms of Clearance (TOC):</w:t>
      </w:r>
    </w:p>
    <w:p w:rsidR="00305BA1" w:rsidRPr="00305BA1" w:rsidRDefault="00305BA1">
      <w:pPr>
        <w:pBdr>
          <w:top w:val="single" w:sz="6" w:space="0" w:color="FFFFFF"/>
          <w:left w:val="single" w:sz="6" w:space="0" w:color="FFFFFF"/>
          <w:bottom w:val="single" w:sz="6" w:space="0" w:color="FFFFFF"/>
          <w:right w:val="single" w:sz="6" w:space="0" w:color="FFFFFF"/>
        </w:pBdr>
        <w:ind w:firstLine="720"/>
        <w:rPr>
          <w:color w:val="000000" w:themeColor="text1"/>
        </w:rPr>
      </w:pPr>
    </w:p>
    <w:p w:rsidR="00ED01AA" w:rsidRDefault="00CC2793" w:rsidP="00A60BCF">
      <w:pPr>
        <w:pBdr>
          <w:top w:val="single" w:sz="6" w:space="0" w:color="FFFFFF"/>
          <w:left w:val="single" w:sz="6" w:space="0" w:color="FFFFFF"/>
          <w:bottom w:val="single" w:sz="6" w:space="0" w:color="FFFFFF"/>
          <w:right w:val="single" w:sz="6" w:space="0" w:color="FFFFFF"/>
        </w:pBdr>
        <w:ind w:left="1440"/>
        <w:rPr>
          <w:color w:val="000000" w:themeColor="text1"/>
        </w:rPr>
      </w:pPr>
      <w:r w:rsidRPr="00CC2793">
        <w:rPr>
          <w:color w:val="000000" w:themeColor="text1"/>
        </w:rPr>
        <w:t>When this ICR is renewed, EPA should review the respondent burden,</w:t>
      </w:r>
    </w:p>
    <w:p w:rsidR="00ED01AA" w:rsidRDefault="00CC2793" w:rsidP="00A60BCF">
      <w:pPr>
        <w:pBdr>
          <w:top w:val="single" w:sz="6" w:space="0" w:color="FFFFFF"/>
          <w:left w:val="single" w:sz="6" w:space="0" w:color="FFFFFF"/>
          <w:bottom w:val="single" w:sz="6" w:space="0" w:color="FFFFFF"/>
          <w:right w:val="single" w:sz="6" w:space="0" w:color="FFFFFF"/>
        </w:pBdr>
        <w:ind w:left="1440"/>
        <w:rPr>
          <w:color w:val="000000" w:themeColor="text1"/>
        </w:rPr>
      </w:pPr>
      <w:r w:rsidRPr="00CC2793">
        <w:rPr>
          <w:color w:val="000000" w:themeColor="text1"/>
        </w:rPr>
        <w:t xml:space="preserve"> </w:t>
      </w:r>
      <w:proofErr w:type="gramStart"/>
      <w:r w:rsidRPr="00CC2793">
        <w:rPr>
          <w:color w:val="000000" w:themeColor="text1"/>
        </w:rPr>
        <w:t>universe</w:t>
      </w:r>
      <w:proofErr w:type="gramEnd"/>
      <w:r w:rsidRPr="00CC2793">
        <w:rPr>
          <w:color w:val="000000" w:themeColor="text1"/>
        </w:rPr>
        <w:t>, labor rates, and capital costs and ensure these estimates have</w:t>
      </w:r>
    </w:p>
    <w:p w:rsidR="00305BA1" w:rsidRPr="00305BA1" w:rsidRDefault="00CC2793" w:rsidP="00A60BCF">
      <w:pPr>
        <w:pBdr>
          <w:top w:val="single" w:sz="6" w:space="0" w:color="FFFFFF"/>
          <w:left w:val="single" w:sz="6" w:space="0" w:color="FFFFFF"/>
          <w:bottom w:val="single" w:sz="6" w:space="0" w:color="FFFFFF"/>
          <w:right w:val="single" w:sz="6" w:space="0" w:color="FFFFFF"/>
        </w:pBdr>
        <w:ind w:left="1440"/>
        <w:rPr>
          <w:color w:val="000000" w:themeColor="text1"/>
        </w:rPr>
      </w:pPr>
      <w:r w:rsidRPr="00CC2793">
        <w:rPr>
          <w:color w:val="000000" w:themeColor="text1"/>
        </w:rPr>
        <w:lastRenderedPageBreak/>
        <w:t xml:space="preserve"> </w:t>
      </w:r>
      <w:proofErr w:type="gramStart"/>
      <w:r w:rsidRPr="00CC2793">
        <w:rPr>
          <w:color w:val="000000" w:themeColor="text1"/>
        </w:rPr>
        <w:t>been</w:t>
      </w:r>
      <w:proofErr w:type="gramEnd"/>
      <w:r w:rsidRPr="00CC2793">
        <w:rPr>
          <w:color w:val="000000" w:themeColor="text1"/>
        </w:rPr>
        <w:t xml:space="preserve"> updated.</w:t>
      </w:r>
    </w:p>
    <w:p w:rsidR="00305BA1" w:rsidRDefault="00305BA1" w:rsidP="00305BA1">
      <w:pPr>
        <w:pBdr>
          <w:top w:val="single" w:sz="6" w:space="0" w:color="FFFFFF"/>
          <w:left w:val="single" w:sz="6" w:space="0" w:color="FFFFFF"/>
          <w:bottom w:val="single" w:sz="6" w:space="0" w:color="FFFFFF"/>
          <w:right w:val="single" w:sz="6" w:space="0" w:color="FFFFFF"/>
        </w:pBdr>
        <w:ind w:firstLine="720"/>
        <w:rPr>
          <w:color w:val="FF0000"/>
        </w:rPr>
      </w:pPr>
    </w:p>
    <w:p w:rsidR="00975BF1" w:rsidRDefault="00CC2793">
      <w:pPr>
        <w:pBdr>
          <w:top w:val="single" w:sz="6" w:space="0" w:color="FFFFFF"/>
          <w:left w:val="single" w:sz="6" w:space="0" w:color="FFFFFF"/>
          <w:bottom w:val="single" w:sz="6" w:space="0" w:color="FFFFFF"/>
          <w:right w:val="single" w:sz="6" w:space="0" w:color="FFFFFF"/>
        </w:pBdr>
        <w:ind w:firstLine="720"/>
        <w:rPr>
          <w:color w:val="000000" w:themeColor="text1"/>
        </w:rPr>
      </w:pPr>
      <w:r w:rsidRPr="00CC2793">
        <w:rPr>
          <w:color w:val="000000" w:themeColor="text1"/>
        </w:rPr>
        <w:t xml:space="preserve">EPA has addressed each item of concern in the TOC by consulting with industry.  </w:t>
      </w:r>
      <w:r w:rsidR="00A60BCF">
        <w:rPr>
          <w:color w:val="000000" w:themeColor="text1"/>
        </w:rPr>
        <w:t xml:space="preserve"> </w:t>
      </w:r>
      <w:r w:rsidR="00905FCC">
        <w:rPr>
          <w:color w:val="000000" w:themeColor="text1"/>
        </w:rPr>
        <w:t xml:space="preserve">      </w:t>
      </w:r>
      <w:r w:rsidR="00A60BCF">
        <w:rPr>
          <w:color w:val="000000" w:themeColor="text1"/>
        </w:rPr>
        <w:t xml:space="preserve">All estimates have been thoroughly checked and updated where information is available. </w:t>
      </w:r>
    </w:p>
    <w:p w:rsidR="00975BF1" w:rsidRDefault="00975BF1">
      <w:pPr>
        <w:pBdr>
          <w:top w:val="single" w:sz="6" w:space="0" w:color="FFFFFF"/>
          <w:left w:val="single" w:sz="6" w:space="0" w:color="FFFFFF"/>
          <w:bottom w:val="single" w:sz="6" w:space="0" w:color="FFFFFF"/>
          <w:right w:val="single" w:sz="6" w:space="0" w:color="FFFFFF"/>
        </w:pBdr>
        <w:ind w:firstLine="720"/>
        <w:rPr>
          <w:color w:val="FF0000"/>
        </w:rPr>
      </w:pPr>
    </w:p>
    <w:p w:rsidR="00C618E8" w:rsidRDefault="00C618E8" w:rsidP="00C618E8">
      <w:pPr>
        <w:ind w:firstLine="720"/>
      </w:pPr>
      <w:r>
        <w:t>All of the miscellaneous organic chemical manufacturing facilities in the United States are owned and operated by the organic chemical industry (the “Affected Public”).  None of the facilities in the United States are owned by state, local, tribal</w:t>
      </w:r>
      <w:r w:rsidR="00905FCC">
        <w:t>,</w:t>
      </w:r>
      <w:r>
        <w:t xml:space="preserve"> or the Federal government.  </w:t>
      </w:r>
      <w:r w:rsidR="00905FCC">
        <w:t xml:space="preserve">    </w:t>
      </w:r>
      <w:r>
        <w:t>They are all privately</w:t>
      </w:r>
      <w:r w:rsidR="00905FCC">
        <w:t>-</w:t>
      </w:r>
      <w:r>
        <w:t>owned</w:t>
      </w:r>
      <w:r w:rsidR="00905FCC">
        <w:t>,</w:t>
      </w:r>
      <w:r>
        <w:t xml:space="preserve"> for-profit businesses.  </w:t>
      </w:r>
      <w:r w:rsidR="00CC2793" w:rsidRPr="00CC2793">
        <w:rPr>
          <w:color w:val="000000" w:themeColor="text1"/>
        </w:rPr>
        <w:t xml:space="preserve">The burden to the “Affected Public” may </w:t>
      </w:r>
      <w:r w:rsidR="00905FCC">
        <w:rPr>
          <w:color w:val="000000" w:themeColor="text1"/>
        </w:rPr>
        <w:t xml:space="preserve">  </w:t>
      </w:r>
      <w:r w:rsidR="00CC2793" w:rsidRPr="00CC2793">
        <w:rPr>
          <w:color w:val="000000" w:themeColor="text1"/>
        </w:rPr>
        <w:t xml:space="preserve">be found </w:t>
      </w:r>
      <w:r w:rsidR="00ED01AA">
        <w:rPr>
          <w:color w:val="000000" w:themeColor="text1"/>
        </w:rPr>
        <w:t xml:space="preserve">below </w:t>
      </w:r>
      <w:r w:rsidR="00CC2793" w:rsidRPr="00CC2793">
        <w:rPr>
          <w:color w:val="000000" w:themeColor="text1"/>
        </w:rPr>
        <w:t xml:space="preserve">in </w:t>
      </w:r>
      <w:r w:rsidR="00CC2793" w:rsidRPr="00CC2793">
        <w:rPr>
          <w:bCs/>
        </w:rPr>
        <w:t>Table 1: Annual Respondent Burden and Cost</w:t>
      </w:r>
      <w:r w:rsidRPr="00C618E8">
        <w:rPr>
          <w:b/>
          <w:bCs/>
        </w:rPr>
        <w:t xml:space="preserve"> – </w:t>
      </w:r>
      <w:r>
        <w:t>NESHAP for Miscellaneous Organic Chemical Manufacturing</w:t>
      </w:r>
      <w:r>
        <w:rPr>
          <w:bCs/>
        </w:rPr>
        <w:t xml:space="preserve"> (40 CFR Part 63, Subpart FFFF</w:t>
      </w:r>
      <w:r>
        <w:t xml:space="preserve">) (Renewal).  </w:t>
      </w:r>
      <w:r w:rsidR="00CC2793" w:rsidRPr="00CC2793">
        <w:rPr>
          <w:color w:val="000000" w:themeColor="text1"/>
        </w:rPr>
        <w:t xml:space="preserve">The “Federal Government” burden is attributed entirely to work performed by </w:t>
      </w:r>
      <w:r w:rsidR="00ED01AA">
        <w:rPr>
          <w:color w:val="000000" w:themeColor="text1"/>
        </w:rPr>
        <w:t xml:space="preserve">other </w:t>
      </w:r>
      <w:r w:rsidR="00CC2793" w:rsidRPr="00CC2793">
        <w:rPr>
          <w:color w:val="000000" w:themeColor="text1"/>
        </w:rPr>
        <w:t xml:space="preserve">federal employees or government contractors </w:t>
      </w:r>
      <w:r>
        <w:t xml:space="preserve">and </w:t>
      </w:r>
      <w:r w:rsidRPr="00C618E8">
        <w:rPr>
          <w:color w:val="000000" w:themeColor="text1"/>
        </w:rPr>
        <w:t>may be found</w:t>
      </w:r>
      <w:r w:rsidR="00ED01AA">
        <w:rPr>
          <w:color w:val="000000" w:themeColor="text1"/>
        </w:rPr>
        <w:t xml:space="preserve"> below</w:t>
      </w:r>
      <w:r w:rsidRPr="00C618E8">
        <w:rPr>
          <w:color w:val="000000" w:themeColor="text1"/>
        </w:rPr>
        <w:t xml:space="preserve"> in </w:t>
      </w:r>
      <w:r w:rsidR="00CC2793" w:rsidRPr="00CC2793">
        <w:rPr>
          <w:bCs/>
        </w:rPr>
        <w:t>Table 2: Average Annual EPA Burden and Cost –</w:t>
      </w:r>
      <w:r w:rsidRPr="00C618E8">
        <w:rPr>
          <w:b/>
          <w:bCs/>
        </w:rPr>
        <w:t xml:space="preserve"> </w:t>
      </w:r>
      <w:r>
        <w:t>NESHAP for Miscellaneous Organic Chemical Manufacturing</w:t>
      </w:r>
      <w:r>
        <w:rPr>
          <w:bCs/>
        </w:rPr>
        <w:t xml:space="preserve"> (40 CFR Part 63, Subpart FFFF</w:t>
      </w:r>
      <w:r>
        <w:t>) (Renewal).</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C8687D" w:rsidRDefault="00CC2793">
      <w:pPr>
        <w:pBdr>
          <w:top w:val="single" w:sz="6" w:space="0" w:color="FFFFFF"/>
          <w:left w:val="single" w:sz="6" w:space="0" w:color="FFFFFF"/>
          <w:bottom w:val="single" w:sz="6" w:space="0" w:color="FFFFFF"/>
          <w:right w:val="single" w:sz="6" w:space="0" w:color="FFFFFF"/>
        </w:pBdr>
        <w:ind w:firstLine="720"/>
        <w:rPr>
          <w:color w:val="000000" w:themeColor="text1"/>
        </w:rPr>
      </w:pPr>
      <w:r w:rsidRPr="00CC2793">
        <w:rPr>
          <w:color w:val="000000" w:themeColor="text1"/>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8687D" w:rsidRDefault="00CA4CD6">
      <w:pPr>
        <w:pBdr>
          <w:top w:val="single" w:sz="6" w:space="0" w:color="FFFFFF"/>
          <w:left w:val="single" w:sz="6" w:space="0" w:color="FFFFFF"/>
          <w:bottom w:val="single" w:sz="6" w:space="0" w:color="FFFFFF"/>
          <w:right w:val="single" w:sz="6" w:space="0" w:color="FFFFFF"/>
        </w:pBdr>
        <w:rPr>
          <w:color w:val="000000" w:themeColor="text1"/>
        </w:rPr>
      </w:pPr>
    </w:p>
    <w:p w:rsidR="00CA4CD6" w:rsidRPr="00C8687D" w:rsidRDefault="00CC2793">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CC2793">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C8687D">
        <w:rPr>
          <w:color w:val="000000"/>
        </w:rPr>
        <w:t>HAP</w:t>
      </w:r>
      <w:r>
        <w:rPr>
          <w:color w:val="000000"/>
        </w:rPr>
        <w:t xml:space="preserve"> emissions from </w:t>
      </w:r>
      <w:r w:rsidR="00C8687D">
        <w:rPr>
          <w:color w:val="000000"/>
        </w:rPr>
        <w:t>miscellaneous organic chemical manufacturing</w:t>
      </w:r>
      <w:r>
        <w:rPr>
          <w:color w:val="000000"/>
        </w:rPr>
        <w:t xml:space="preserve"> cause or contribute to air pollution that may reasonably be anticipated to endanger public health or welfare.  Therefore, the </w:t>
      </w:r>
      <w:r w:rsidR="00CC2793" w:rsidRPr="00CC2793">
        <w:rPr>
          <w:color w:val="000000" w:themeColor="text1"/>
        </w:rPr>
        <w:t>NESHAP</w:t>
      </w:r>
      <w:r w:rsidR="00C8687D">
        <w:rPr>
          <w:color w:val="FF0000"/>
        </w:rPr>
        <w:t xml:space="preserve"> </w:t>
      </w:r>
      <w:r>
        <w:rPr>
          <w:color w:val="000000"/>
        </w:rPr>
        <w:t xml:space="preserve">were promulgated for this source category at 40 CFR </w:t>
      </w:r>
      <w:proofErr w:type="gramStart"/>
      <w:r>
        <w:rPr>
          <w:color w:val="000000"/>
        </w:rPr>
        <w:t>part</w:t>
      </w:r>
      <w:proofErr w:type="gramEnd"/>
      <w:r>
        <w:rPr>
          <w:color w:val="000000"/>
        </w:rPr>
        <w:t xml:space="preserve"> </w:t>
      </w:r>
      <w:r w:rsidR="00CC2793" w:rsidRPr="00CC2793">
        <w:rPr>
          <w:color w:val="000000" w:themeColor="text1"/>
        </w:rPr>
        <w:t>63</w:t>
      </w:r>
      <w:r>
        <w:rPr>
          <w:color w:val="000000"/>
        </w:rPr>
        <w:t>,</w:t>
      </w:r>
      <w:r>
        <w:rPr>
          <w:b/>
          <w:bCs/>
          <w:i/>
          <w:iCs/>
          <w:color w:val="000000"/>
        </w:rPr>
        <w:t xml:space="preserve"> </w:t>
      </w:r>
      <w:r>
        <w:rPr>
          <w:color w:val="000000"/>
        </w:rPr>
        <w:t xml:space="preserve">subpart </w:t>
      </w:r>
      <w:r w:rsidR="00C8687D">
        <w:rPr>
          <w:color w:val="000000"/>
        </w:rPr>
        <w:t>FFFF</w:t>
      </w:r>
      <w:r>
        <w:rPr>
          <w:color w:val="000000"/>
        </w:rPr>
        <w:t>.</w:t>
      </w:r>
    </w:p>
    <w:p w:rsidR="0094139A" w:rsidRDefault="0094139A">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905FCC">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635A7C">
        <w:rPr>
          <w:color w:val="000000"/>
        </w:rPr>
        <w:t>’</w:t>
      </w:r>
      <w:r>
        <w:rPr>
          <w:color w:val="000000"/>
        </w:rPr>
        <w:t xml:space="preserve">s initial capability to comply with the emission standard. </w:t>
      </w:r>
      <w:r w:rsidR="00905FCC">
        <w:rPr>
          <w:color w:val="000000"/>
        </w:rPr>
        <w:t xml:space="preserve"> </w:t>
      </w:r>
      <w:r>
        <w:rPr>
          <w:color w:val="000000"/>
        </w:rPr>
        <w:t xml:space="preserve">Continuous emission monitors are used to ensure compliance with the standard at all times. </w:t>
      </w:r>
      <w:r w:rsidR="00905FCC">
        <w:rPr>
          <w:color w:val="000000"/>
        </w:rPr>
        <w:t xml:space="preserve">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635A7C">
        <w:rPr>
          <w:color w:val="000000"/>
        </w:rPr>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BE14D2">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635A7C">
        <w:rPr>
          <w:color w:val="000000"/>
        </w:rPr>
        <w:t xml:space="preserve"> FFFF</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E14D2">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905FC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00CC2793" w:rsidRPr="00CC2793">
        <w:rPr>
          <w:color w:val="000000" w:themeColor="text1"/>
          <w:u w:val="single"/>
        </w:rPr>
        <w:t>Register</w:t>
      </w:r>
      <w:r w:rsidR="00CC2793" w:rsidRPr="00CC2793">
        <w:rPr>
          <w:color w:val="000000" w:themeColor="text1"/>
        </w:rPr>
        <w:t xml:space="preserve"> (</w:t>
      </w:r>
      <w:r w:rsidR="00404910">
        <w:rPr>
          <w:color w:val="000000" w:themeColor="text1"/>
        </w:rPr>
        <w:t>77</w:t>
      </w:r>
      <w:r w:rsidR="00CC2793" w:rsidRPr="00CC2793">
        <w:rPr>
          <w:color w:val="000000" w:themeColor="text1"/>
        </w:rPr>
        <w:t xml:space="preserve"> </w:t>
      </w:r>
      <w:r w:rsidR="00CC2793" w:rsidRPr="00CC2793">
        <w:rPr>
          <w:color w:val="000000" w:themeColor="text1"/>
          <w:u w:val="single"/>
        </w:rPr>
        <w:t>FR</w:t>
      </w:r>
      <w:r w:rsidR="00CC2793" w:rsidRPr="00CC2793">
        <w:rPr>
          <w:color w:val="000000" w:themeColor="text1"/>
        </w:rPr>
        <w:t xml:space="preserve"> </w:t>
      </w:r>
      <w:r w:rsidR="00404910">
        <w:rPr>
          <w:color w:val="000000" w:themeColor="text1"/>
        </w:rPr>
        <w:t>47631</w:t>
      </w:r>
      <w:r w:rsidR="00CC2793" w:rsidRPr="00CC2793">
        <w:rPr>
          <w:color w:val="000000" w:themeColor="text1"/>
        </w:rPr>
        <w:t xml:space="preserve">) on </w:t>
      </w:r>
      <w:r w:rsidR="00404910">
        <w:rPr>
          <w:color w:val="000000" w:themeColor="text1"/>
        </w:rPr>
        <w:t>August 9, 2012</w:t>
      </w:r>
      <w:r w:rsidR="00CC2793" w:rsidRPr="00CC2793">
        <w:rPr>
          <w:color w:val="000000" w:themeColor="text1"/>
        </w:rPr>
        <w:t xml:space="preserve">.  No comments were received on the burden published in the </w:t>
      </w:r>
      <w:r w:rsidR="00CC2793" w:rsidRPr="00CC2793">
        <w:rPr>
          <w:color w:val="000000" w:themeColor="text1"/>
          <w:u w:val="single"/>
        </w:rPr>
        <w:t>Federal Register</w:t>
      </w:r>
      <w:r w:rsidR="00CC2793" w:rsidRPr="00CC2793">
        <w:rPr>
          <w:color w:val="000000" w:themeColor="text1"/>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2F6B4A" w:rsidRDefault="002F6B4A" w:rsidP="002F6B4A">
      <w:pPr>
        <w:ind w:firstLine="720"/>
      </w:pPr>
      <w:r w:rsidRPr="00D22D35">
        <w:t>T</w:t>
      </w:r>
      <w:r w:rsidRPr="00D22D35">
        <w:rPr>
          <w:bCs/>
        </w:rPr>
        <w:t xml:space="preserve">he Agency’s industry experts have been consulted, and the Agency’s internal data </w:t>
      </w:r>
      <w:r w:rsidRPr="00D22D35">
        <w:rPr>
          <w:bCs/>
        </w:rPr>
        <w:lastRenderedPageBreak/>
        <w:t>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2F6B4A" w:rsidRDefault="002F6B4A" w:rsidP="002F6B4A">
      <w:pPr>
        <w:widowControl/>
        <w:ind w:firstLine="720"/>
      </w:pPr>
      <w:r w:rsidRPr="0073606E">
        <w:rPr>
          <w:b/>
          <w:bCs/>
        </w:rPr>
        <w:t xml:space="preserve">  </w:t>
      </w:r>
    </w:p>
    <w:p w:rsidR="002F6B4A" w:rsidRDefault="002F6B4A" w:rsidP="002F6B4A">
      <w:pPr>
        <w:widowControl/>
        <w:ind w:firstLine="720"/>
      </w:pPr>
      <w:r w:rsidRPr="0073606E">
        <w:t>Industry trade associations and other interested parties were provided an opportunity to comment on the burden associated with the standard as it was being developed.  In developing this ICR, we contacted</w:t>
      </w:r>
      <w:r w:rsidR="00BE14D2">
        <w:t>: 1) the</w:t>
      </w:r>
      <w:r>
        <w:t xml:space="preserve"> </w:t>
      </w:r>
      <w:r w:rsidR="00CC2793" w:rsidRPr="00CC2793">
        <w:t>National Association of Chemical Distributors (NACD)</w:t>
      </w:r>
      <w:r w:rsidR="00BE14D2">
        <w:t>,</w:t>
      </w:r>
      <w:r w:rsidR="0063769B" w:rsidRPr="003B2FC6">
        <w:t xml:space="preserve"> at (</w:t>
      </w:r>
      <w:r w:rsidR="00CC2793" w:rsidRPr="00CC2793">
        <w:t>703</w:t>
      </w:r>
      <w:r w:rsidR="0063769B" w:rsidRPr="003B2FC6">
        <w:t xml:space="preserve">) </w:t>
      </w:r>
      <w:r w:rsidR="00CC2793" w:rsidRPr="00CC2793">
        <w:t>527-6223</w:t>
      </w:r>
      <w:r w:rsidR="00BE14D2">
        <w:t>;</w:t>
      </w:r>
      <w:r w:rsidRPr="003B2FC6">
        <w:t xml:space="preserve"> and </w:t>
      </w:r>
      <w:r w:rsidR="00BE14D2">
        <w:t xml:space="preserve">2) </w:t>
      </w:r>
      <w:r w:rsidRPr="003B2FC6">
        <w:t xml:space="preserve">the </w:t>
      </w:r>
      <w:r w:rsidR="00CC2793" w:rsidRPr="00CC2793">
        <w:t>American Chemistry Council</w:t>
      </w:r>
      <w:r w:rsidR="00BE14D2">
        <w:t>,</w:t>
      </w:r>
      <w:r w:rsidR="0063769B" w:rsidRPr="003B2FC6">
        <w:t xml:space="preserve"> at (</w:t>
      </w:r>
      <w:r w:rsidR="00CC2793" w:rsidRPr="00CC2793">
        <w:t>703</w:t>
      </w:r>
      <w:r w:rsidR="0063769B" w:rsidRPr="003B2FC6">
        <w:t xml:space="preserve">) </w:t>
      </w:r>
      <w:r w:rsidR="00CC2793" w:rsidRPr="00CC2793">
        <w:t>741</w:t>
      </w:r>
      <w:r w:rsidR="0063769B" w:rsidRPr="003B2FC6">
        <w:t>-</w:t>
      </w:r>
      <w:r w:rsidR="00CC2793" w:rsidRPr="00CC2793">
        <w:t>5165</w:t>
      </w:r>
      <w:r w:rsidRPr="003B2FC6">
        <w:t>.</w:t>
      </w:r>
    </w:p>
    <w:p w:rsidR="002F6B4A" w:rsidRDefault="002F6B4A" w:rsidP="002F6B4A">
      <w:pPr>
        <w:widowControl/>
      </w:pPr>
    </w:p>
    <w:p w:rsidR="002F6B4A" w:rsidRDefault="002F6B4A" w:rsidP="002F6B4A">
      <w:pPr>
        <w:pBdr>
          <w:top w:val="single" w:sz="6" w:space="0" w:color="FFFFFF"/>
          <w:left w:val="single" w:sz="6" w:space="0" w:color="FFFFFF"/>
          <w:bottom w:val="single" w:sz="6" w:space="0" w:color="FFFFFF"/>
          <w:right w:val="single" w:sz="6" w:space="0" w:color="FFFFFF"/>
        </w:pBdr>
        <w:ind w:firstLine="720"/>
      </w:pPr>
      <w:r w:rsidRPr="00FD5F8C">
        <w:t xml:space="preserve">It is our policy to respond after a thorough review of comments received since the last ICR renewal as well as those submitted in response to the first </w:t>
      </w:r>
      <w:r w:rsidRPr="00905FCC">
        <w:rPr>
          <w:u w:val="single"/>
        </w:rPr>
        <w:t>Federal Register</w:t>
      </w:r>
      <w:r>
        <w:t xml:space="preserve"> notice.  In this </w:t>
      </w:r>
      <w:r w:rsidRPr="00FD5F8C">
        <w:t>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905FCC">
        <w:rPr>
          <w:color w:val="000000"/>
        </w:rPr>
        <w:t xml:space="preserve">  </w:t>
      </w:r>
      <w:r>
        <w:rPr>
          <w:color w:val="000000"/>
        </w:rPr>
        <w:t xml:space="preserve">are applied and emission limitations are met.  If the information required by these standards </w:t>
      </w:r>
      <w:r w:rsidR="00905FCC">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905FCC">
        <w:rPr>
          <w:color w:val="000000"/>
        </w:rPr>
        <w:t xml:space="preserve"> </w:t>
      </w:r>
      <w:r w:rsidR="002C1F95">
        <w:rPr>
          <w:color w:val="000000"/>
        </w:rPr>
        <w:t>the</w:t>
      </w:r>
      <w:proofErr w:type="gramEnd"/>
      <w:r w:rsidR="00905FCC">
        <w:rPr>
          <w:color w:val="000000"/>
        </w:rPr>
        <w:t xml:space="preserve"> </w:t>
      </w:r>
      <w:r w:rsidR="002C1F95">
        <w:rPr>
          <w:color w:val="000000"/>
        </w:rPr>
        <w:t>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7B6914">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7B6914" w:rsidRDefault="00CA4CD6">
      <w:pPr>
        <w:pBdr>
          <w:top w:val="single" w:sz="6" w:space="0" w:color="FFFFFF"/>
          <w:left w:val="single" w:sz="6" w:space="0" w:color="FFFFFF"/>
          <w:bottom w:val="single" w:sz="6" w:space="0" w:color="FFFFFF"/>
          <w:right w:val="single" w:sz="6" w:space="0" w:color="FFFFFF"/>
        </w:pBdr>
      </w:pPr>
    </w:p>
    <w:p w:rsidR="00A60BCF" w:rsidRDefault="00CC2793">
      <w:pPr>
        <w:pBdr>
          <w:top w:val="single" w:sz="6" w:space="0" w:color="FFFFFF"/>
          <w:left w:val="single" w:sz="6" w:space="0" w:color="FFFFFF"/>
          <w:bottom w:val="single" w:sz="6" w:space="0" w:color="FFFFFF"/>
          <w:right w:val="single" w:sz="6" w:space="0" w:color="FFFFFF"/>
        </w:pBdr>
        <w:ind w:firstLine="720"/>
      </w:pPr>
      <w:r w:rsidRPr="00CC2793">
        <w:t>These standards require the respondents to maintain all records, including reports and notifications for at least five years.  This is consistent with the General Provisions as applied to the standards.  EPA believes that the five</w:t>
      </w:r>
      <w:r w:rsidR="00905FCC">
        <w:t>-</w:t>
      </w:r>
      <w:r w:rsidRPr="00CC2793">
        <w:t>year records retention requirement is consistent the Part</w:t>
      </w:r>
      <w:r w:rsidR="00CE222D">
        <w:t xml:space="preserve"> 70 permit program and the five-</w:t>
      </w:r>
      <w:r w:rsidRPr="00CC2793">
        <w:t>year statute of limitations on which the permit program is based.  Th</w:t>
      </w:r>
      <w:r w:rsidR="00CE222D">
        <w:t>e retention of records for five</w:t>
      </w:r>
      <w:r w:rsidR="00905FCC">
        <w:t xml:space="preserve"> </w:t>
      </w:r>
      <w:r w:rsidRPr="00CC2793">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00028">
        <w:rPr>
          <w:color w:val="000000"/>
        </w:rPr>
        <w:t xml:space="preserve">(CBI) </w:t>
      </w:r>
      <w:r>
        <w:rPr>
          <w:color w:val="000000"/>
        </w:rPr>
        <w:t xml:space="preserve">(see 40 CFR 2; 41 </w:t>
      </w:r>
      <w:r>
        <w:rPr>
          <w:color w:val="000000"/>
          <w:u w:val="single"/>
        </w:rPr>
        <w:t>FR</w:t>
      </w:r>
      <w:r>
        <w:rPr>
          <w:color w:val="000000"/>
        </w:rPr>
        <w:t xml:space="preserve"> 36902, </w:t>
      </w:r>
      <w:r>
        <w:rPr>
          <w:color w:val="000000"/>
        </w:rPr>
        <w:lastRenderedPageBreak/>
        <w:t xml:space="preserve">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D2635">
        <w:rPr>
          <w:color w:val="000000"/>
        </w:rPr>
        <w:t>miscellaneous organic chemical manufacturers</w:t>
      </w:r>
      <w:r>
        <w:rPr>
          <w:color w:val="000000"/>
        </w:rPr>
        <w:t xml:space="preserve">.  The </w:t>
      </w:r>
      <w:r w:rsidR="00BD2635">
        <w:rPr>
          <w:color w:val="000000"/>
        </w:rPr>
        <w:t>United States Standard Industrial Classification</w:t>
      </w:r>
      <w:r w:rsidR="00EC1CE1">
        <w:rPr>
          <w:color w:val="000000"/>
        </w:rPr>
        <w:t xml:space="preserve"> (SIC</w:t>
      </w:r>
      <w:r w:rsidR="00BD2635">
        <w:rPr>
          <w:color w:val="000000"/>
        </w:rPr>
        <w:t xml:space="preserve">) </w:t>
      </w:r>
      <w:r>
        <w:rPr>
          <w:color w:val="000000"/>
        </w:rPr>
        <w:t>code</w:t>
      </w:r>
      <w:r w:rsidR="00EC1CE1">
        <w:rPr>
          <w:color w:val="000000"/>
        </w:rPr>
        <w:t>s</w:t>
      </w:r>
      <w:r>
        <w:rPr>
          <w:color w:val="000000"/>
        </w:rPr>
        <w:t xml:space="preserve"> for the respondents affected by the standards </w:t>
      </w:r>
      <w:r w:rsidR="00BD2635">
        <w:rPr>
          <w:color w:val="000000"/>
        </w:rPr>
        <w:t xml:space="preserve">and </w:t>
      </w:r>
      <w:r w:rsidR="00EC1CE1">
        <w:rPr>
          <w:color w:val="000000"/>
        </w:rPr>
        <w:t>the c</w:t>
      </w:r>
      <w:r>
        <w:rPr>
          <w:color w:val="000000"/>
        </w:rPr>
        <w:t>orrespond</w:t>
      </w:r>
      <w:r w:rsidR="00BD2635">
        <w:rPr>
          <w:color w:val="000000"/>
        </w:rPr>
        <w:t>ing</w:t>
      </w:r>
      <w:r>
        <w:rPr>
          <w:color w:val="000000"/>
        </w:rPr>
        <w:t xml:space="preserve"> North American Industry Classification System</w:t>
      </w:r>
      <w:r w:rsidR="00EC1CE1">
        <w:rPr>
          <w:color w:val="000000"/>
        </w:rPr>
        <w:t xml:space="preserve"> (NAICS</w:t>
      </w:r>
      <w:r>
        <w:rPr>
          <w:color w:val="000000"/>
        </w:rPr>
        <w:t>)</w:t>
      </w:r>
      <w:r w:rsidR="00BD2635">
        <w:rPr>
          <w:color w:val="000000"/>
        </w:rPr>
        <w:t xml:space="preserve"> </w:t>
      </w:r>
      <w:r w:rsidR="00EC1CE1">
        <w:rPr>
          <w:color w:val="000000"/>
        </w:rPr>
        <w:t xml:space="preserve">codes </w:t>
      </w:r>
      <w:r>
        <w:rPr>
          <w:color w:val="000000"/>
        </w:rPr>
        <w:t xml:space="preserve">for </w:t>
      </w:r>
      <w:r w:rsidR="00BD2635">
        <w:rPr>
          <w:color w:val="000000"/>
        </w:rPr>
        <w:t>miscellaneous organic chemical manufacturers are listed in the table below</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04" w:type="dxa"/>
        <w:tblInd w:w="112" w:type="dxa"/>
        <w:tblLayout w:type="fixed"/>
        <w:tblCellMar>
          <w:left w:w="112" w:type="dxa"/>
          <w:right w:w="112" w:type="dxa"/>
        </w:tblCellMar>
        <w:tblLook w:val="0000"/>
      </w:tblPr>
      <w:tblGrid>
        <w:gridCol w:w="5130"/>
        <w:gridCol w:w="2610"/>
        <w:gridCol w:w="1864"/>
      </w:tblGrid>
      <w:tr w:rsidR="00CA4CD6" w:rsidTr="00EC1CE1">
        <w:tc>
          <w:tcPr>
            <w:tcW w:w="5130" w:type="dxa"/>
            <w:tcBorders>
              <w:top w:val="single" w:sz="7" w:space="0" w:color="000000"/>
              <w:left w:val="single" w:sz="7" w:space="0" w:color="000000"/>
              <w:bottom w:val="single" w:sz="6" w:space="0" w:color="FFFFFF"/>
              <w:right w:val="single" w:sz="6" w:space="0" w:color="FFFFFF"/>
            </w:tcBorders>
          </w:tcPr>
          <w:p w:rsidR="00CA4CD6" w:rsidRDefault="00CA4CD6" w:rsidP="00EC1CE1">
            <w:pPr>
              <w:spacing w:line="120" w:lineRule="exact"/>
              <w:jc w:val="center"/>
              <w:rPr>
                <w:color w:val="000000"/>
              </w:rPr>
            </w:pPr>
          </w:p>
          <w:p w:rsidR="00975BF1" w:rsidRDefault="00EC1CE1" w:rsidP="00EC1CE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w:t>
            </w:r>
            <w:r w:rsidDel="00EB3FF4">
              <w:rPr>
                <w:b/>
                <w:bCs/>
                <w:color w:val="000000"/>
              </w:rPr>
              <w:t xml:space="preserve"> </w:t>
            </w:r>
            <w:r>
              <w:rPr>
                <w:b/>
                <w:bCs/>
                <w:color w:val="000000"/>
              </w:rPr>
              <w:t>(</w:t>
            </w:r>
            <w:r w:rsidR="00EB3FF4">
              <w:rPr>
                <w:b/>
                <w:bCs/>
                <w:color w:val="000000"/>
              </w:rPr>
              <w:t xml:space="preserve">40 CFR </w:t>
            </w:r>
            <w:r>
              <w:rPr>
                <w:b/>
                <w:bCs/>
                <w:color w:val="000000"/>
              </w:rPr>
              <w:t>P</w:t>
            </w:r>
            <w:r w:rsidR="00EB3FF4">
              <w:rPr>
                <w:b/>
                <w:bCs/>
                <w:color w:val="000000"/>
              </w:rPr>
              <w:t xml:space="preserve">art 63, </w:t>
            </w:r>
            <w:r>
              <w:rPr>
                <w:b/>
                <w:bCs/>
                <w:color w:val="000000"/>
              </w:rPr>
              <w:t>S</w:t>
            </w:r>
            <w:r w:rsidR="00EB3FF4">
              <w:rPr>
                <w:b/>
                <w:bCs/>
                <w:color w:val="000000"/>
              </w:rPr>
              <w:t>ubpart FFFF</w:t>
            </w:r>
            <w:r>
              <w:rPr>
                <w:b/>
                <w:bCs/>
                <w:color w:val="000000"/>
              </w:rPr>
              <w:t>)</w:t>
            </w:r>
          </w:p>
        </w:tc>
        <w:tc>
          <w:tcPr>
            <w:tcW w:w="2610" w:type="dxa"/>
            <w:tcBorders>
              <w:top w:val="single" w:sz="7" w:space="0" w:color="000000"/>
              <w:left w:val="single" w:sz="7" w:space="0" w:color="000000"/>
              <w:bottom w:val="single" w:sz="6" w:space="0" w:color="FFFFFF"/>
              <w:right w:val="single" w:sz="6" w:space="0" w:color="FFFFFF"/>
            </w:tcBorders>
          </w:tcPr>
          <w:p w:rsidR="00CA4CD6" w:rsidRDefault="00CA4CD6" w:rsidP="00EC1CE1">
            <w:pPr>
              <w:spacing w:line="120" w:lineRule="exact"/>
              <w:jc w:val="center"/>
              <w:rPr>
                <w:b/>
                <w:bCs/>
                <w:color w:val="000000"/>
              </w:rPr>
            </w:pPr>
          </w:p>
          <w:p w:rsidR="00CA4CD6" w:rsidRDefault="00CA4CD6" w:rsidP="00EC1CE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64" w:type="dxa"/>
            <w:tcBorders>
              <w:top w:val="single" w:sz="7" w:space="0" w:color="000000"/>
              <w:left w:val="single" w:sz="7" w:space="0" w:color="000000"/>
              <w:bottom w:val="single" w:sz="6" w:space="0" w:color="FFFFFF"/>
              <w:right w:val="single" w:sz="7" w:space="0" w:color="000000"/>
            </w:tcBorders>
          </w:tcPr>
          <w:p w:rsidR="00CA4CD6" w:rsidRDefault="00CA4CD6" w:rsidP="00EC1CE1">
            <w:pPr>
              <w:spacing w:line="120" w:lineRule="exact"/>
              <w:jc w:val="center"/>
              <w:rPr>
                <w:b/>
                <w:bCs/>
                <w:color w:val="000000"/>
              </w:rPr>
            </w:pPr>
          </w:p>
          <w:p w:rsidR="00CA4CD6" w:rsidRDefault="00CA4CD6" w:rsidP="00EC1CE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EB3FF4" w:rsidTr="00EC1CE1">
        <w:tc>
          <w:tcPr>
            <w:tcW w:w="5130" w:type="dxa"/>
            <w:tcBorders>
              <w:top w:val="single" w:sz="7" w:space="0" w:color="000000"/>
              <w:left w:val="single" w:sz="7" w:space="0" w:color="000000"/>
              <w:bottom w:val="single" w:sz="6" w:space="0" w:color="FFFFFF"/>
              <w:right w:val="single" w:sz="6" w:space="0" w:color="FFFFFF"/>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rPr>
                <w:color w:val="000000"/>
              </w:rPr>
            </w:pPr>
            <w:r>
              <w:t>Resin, Synthetic Rubber, and Artificial Synthetic Fibers and Filaments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2821, 2822, 2823, 2824</w:t>
            </w:r>
          </w:p>
        </w:tc>
        <w:tc>
          <w:tcPr>
            <w:tcW w:w="1864" w:type="dxa"/>
            <w:tcBorders>
              <w:top w:val="single" w:sz="7" w:space="0" w:color="000000"/>
              <w:left w:val="single" w:sz="7" w:space="0" w:color="000000"/>
              <w:bottom w:val="single" w:sz="6" w:space="0" w:color="FFFFFF"/>
              <w:right w:val="single" w:sz="7"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3252</w:t>
            </w:r>
          </w:p>
        </w:tc>
      </w:tr>
      <w:tr w:rsidR="00EB3FF4" w:rsidTr="00EC1CE1">
        <w:tc>
          <w:tcPr>
            <w:tcW w:w="5130" w:type="dxa"/>
            <w:tcBorders>
              <w:top w:val="single" w:sz="7" w:space="0" w:color="000000"/>
              <w:left w:val="single" w:sz="7" w:space="0" w:color="000000"/>
              <w:bottom w:val="single" w:sz="6" w:space="0" w:color="FFFFFF"/>
              <w:right w:val="single" w:sz="6" w:space="0" w:color="FFFFFF"/>
            </w:tcBorders>
            <w:vAlign w:val="center"/>
          </w:tcPr>
          <w:p w:rsidR="00EB3FF4" w:rsidDel="00EB3FF4" w:rsidRDefault="00EB3FF4" w:rsidP="00EC1CE1">
            <w:pPr>
              <w:pBdr>
                <w:top w:val="single" w:sz="6" w:space="0" w:color="FFFFFF"/>
                <w:left w:val="single" w:sz="6" w:space="0" w:color="FFFFFF"/>
                <w:bottom w:val="single" w:sz="6" w:space="0" w:color="FFFFFF"/>
                <w:right w:val="single" w:sz="6" w:space="0" w:color="FFFFFF"/>
              </w:pBdr>
              <w:spacing w:after="54"/>
              <w:rPr>
                <w:b/>
                <w:bCs/>
                <w:color w:val="000000"/>
              </w:rPr>
            </w:pPr>
            <w:r>
              <w:t>Pharmaceutical and Medicine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EB3FF4" w:rsidDel="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2833, 283, 2835, 2836</w:t>
            </w:r>
          </w:p>
        </w:tc>
        <w:tc>
          <w:tcPr>
            <w:tcW w:w="1864" w:type="dxa"/>
            <w:tcBorders>
              <w:top w:val="single" w:sz="7" w:space="0" w:color="000000"/>
              <w:left w:val="single" w:sz="7" w:space="0" w:color="000000"/>
              <w:bottom w:val="single" w:sz="6" w:space="0" w:color="FFFFFF"/>
              <w:right w:val="single" w:sz="7" w:space="0" w:color="000000"/>
            </w:tcBorders>
            <w:vAlign w:val="center"/>
          </w:tcPr>
          <w:p w:rsidR="00EB3FF4" w:rsidDel="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3254</w:t>
            </w:r>
          </w:p>
        </w:tc>
      </w:tr>
      <w:tr w:rsidR="00EB3FF4" w:rsidTr="00EC1CE1">
        <w:tc>
          <w:tcPr>
            <w:tcW w:w="5130" w:type="dxa"/>
            <w:tcBorders>
              <w:top w:val="single" w:sz="7" w:space="0" w:color="000000"/>
              <w:left w:val="single" w:sz="7" w:space="0" w:color="000000"/>
              <w:bottom w:val="single" w:sz="6" w:space="0" w:color="FFFFFF"/>
              <w:right w:val="single" w:sz="6" w:space="0" w:color="FFFFFF"/>
            </w:tcBorders>
            <w:vAlign w:val="center"/>
          </w:tcPr>
          <w:p w:rsidR="00EB3FF4" w:rsidDel="00EB3FF4" w:rsidRDefault="00EB3FF4" w:rsidP="00EC1CE1">
            <w:pPr>
              <w:pBdr>
                <w:top w:val="single" w:sz="6" w:space="0" w:color="FFFFFF"/>
                <w:left w:val="single" w:sz="6" w:space="0" w:color="FFFFFF"/>
                <w:bottom w:val="single" w:sz="6" w:space="0" w:color="FFFFFF"/>
                <w:right w:val="single" w:sz="6" w:space="0" w:color="FFFFFF"/>
              </w:pBdr>
              <w:spacing w:after="54"/>
              <w:rPr>
                <w:b/>
                <w:bCs/>
                <w:color w:val="000000"/>
              </w:rPr>
            </w:pPr>
            <w:r>
              <w:t>Soap, Cleaning Compound, and Toilet Preparation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EB3FF4" w:rsidDel="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28,41, 2842, 2843, 2844</w:t>
            </w:r>
          </w:p>
        </w:tc>
        <w:tc>
          <w:tcPr>
            <w:tcW w:w="1864" w:type="dxa"/>
            <w:tcBorders>
              <w:top w:val="single" w:sz="7" w:space="0" w:color="000000"/>
              <w:left w:val="single" w:sz="7" w:space="0" w:color="000000"/>
              <w:bottom w:val="single" w:sz="6" w:space="0" w:color="FFFFFF"/>
              <w:right w:val="single" w:sz="7" w:space="0" w:color="000000"/>
            </w:tcBorders>
            <w:vAlign w:val="center"/>
          </w:tcPr>
          <w:p w:rsidR="00EB3FF4" w:rsidDel="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3256</w:t>
            </w:r>
          </w:p>
        </w:tc>
      </w:tr>
      <w:tr w:rsidR="00EB3FF4" w:rsidTr="00EC1CE1">
        <w:tc>
          <w:tcPr>
            <w:tcW w:w="5130" w:type="dxa"/>
            <w:tcBorders>
              <w:top w:val="single" w:sz="7" w:space="0" w:color="000000"/>
              <w:left w:val="single" w:sz="7" w:space="0" w:color="000000"/>
              <w:bottom w:val="single" w:sz="6" w:space="0" w:color="FFFFFF"/>
              <w:right w:val="single" w:sz="6" w:space="0" w:color="FFFFFF"/>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rPr>
                <w:color w:val="000000"/>
              </w:rPr>
            </w:pPr>
            <w:r>
              <w:t>Paint, Coating, and Adhesive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EB3FF4" w:rsidRDefault="00EB3FF4" w:rsidP="00EC1CE1">
            <w:pPr>
              <w:spacing w:line="120" w:lineRule="exact"/>
              <w:jc w:val="center"/>
              <w:rPr>
                <w:color w:val="000000"/>
              </w:rPr>
            </w:pPr>
          </w:p>
          <w:p w:rsidR="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2851, 2891</w:t>
            </w:r>
          </w:p>
        </w:tc>
        <w:tc>
          <w:tcPr>
            <w:tcW w:w="1864" w:type="dxa"/>
            <w:tcBorders>
              <w:top w:val="single" w:sz="7" w:space="0" w:color="000000"/>
              <w:left w:val="single" w:sz="7" w:space="0" w:color="000000"/>
              <w:bottom w:val="single" w:sz="6" w:space="0" w:color="FFFFFF"/>
              <w:right w:val="single" w:sz="7"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3255</w:t>
            </w:r>
          </w:p>
        </w:tc>
      </w:tr>
      <w:tr w:rsidR="00EB3FF4" w:rsidTr="00EC1CE1">
        <w:tc>
          <w:tcPr>
            <w:tcW w:w="5130" w:type="dxa"/>
            <w:tcBorders>
              <w:top w:val="single" w:sz="7" w:space="0" w:color="000000"/>
              <w:left w:val="single" w:sz="7" w:space="0" w:color="000000"/>
              <w:bottom w:val="single" w:sz="8" w:space="0" w:color="000000"/>
              <w:right w:val="single" w:sz="6" w:space="0" w:color="FFFFFF"/>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rPr>
                <w:color w:val="000000"/>
              </w:rPr>
            </w:pPr>
            <w:r>
              <w:t>Basic Chemical Manufacturing (Does not include 325131-Inorganic Dye and Pigment Manufacturing or 325181- Alkalis and Chlorine Manufacturing)</w:t>
            </w:r>
          </w:p>
        </w:tc>
        <w:tc>
          <w:tcPr>
            <w:tcW w:w="2610" w:type="dxa"/>
            <w:tcBorders>
              <w:top w:val="single" w:sz="7" w:space="0" w:color="000000"/>
              <w:left w:val="single" w:sz="7" w:space="0" w:color="000000"/>
              <w:bottom w:val="single" w:sz="8" w:space="0" w:color="000000"/>
              <w:right w:val="single" w:sz="6" w:space="0" w:color="FFFFFF"/>
            </w:tcBorders>
            <w:vAlign w:val="center"/>
          </w:tcPr>
          <w:p w:rsidR="00EB3FF4" w:rsidRDefault="00EB3FF4" w:rsidP="00EC1CE1">
            <w:pPr>
              <w:spacing w:line="120" w:lineRule="exact"/>
              <w:jc w:val="center"/>
              <w:rPr>
                <w:color w:val="000000"/>
              </w:rPr>
            </w:pPr>
          </w:p>
          <w:p w:rsidR="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2861, 2865, 2869</w:t>
            </w:r>
          </w:p>
        </w:tc>
        <w:tc>
          <w:tcPr>
            <w:tcW w:w="1864" w:type="dxa"/>
            <w:tcBorders>
              <w:top w:val="single" w:sz="7" w:space="0" w:color="000000"/>
              <w:left w:val="single" w:sz="7" w:space="0" w:color="000000"/>
              <w:bottom w:val="single" w:sz="8" w:space="0" w:color="000000"/>
              <w:right w:val="single" w:sz="7"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3251</w:t>
            </w:r>
          </w:p>
        </w:tc>
      </w:tr>
      <w:tr w:rsidR="00EB3FF4" w:rsidTr="00EC1CE1">
        <w:tc>
          <w:tcPr>
            <w:tcW w:w="5130" w:type="dxa"/>
            <w:tcBorders>
              <w:top w:val="single" w:sz="8" w:space="0" w:color="000000"/>
              <w:left w:val="single" w:sz="8" w:space="0" w:color="000000"/>
              <w:bottom w:val="single" w:sz="8" w:space="0" w:color="000000"/>
              <w:right w:val="single" w:sz="8"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rPr>
                <w:color w:val="000000"/>
              </w:rPr>
            </w:pPr>
            <w:r>
              <w:t>Pesticide, Fertilizer, and Other Agricultural Chemical Manufacturing</w:t>
            </w:r>
          </w:p>
        </w:tc>
        <w:tc>
          <w:tcPr>
            <w:tcW w:w="2610" w:type="dxa"/>
            <w:tcBorders>
              <w:top w:val="single" w:sz="8" w:space="0" w:color="000000"/>
              <w:left w:val="single" w:sz="8" w:space="0" w:color="000000"/>
              <w:bottom w:val="single" w:sz="8" w:space="0" w:color="000000"/>
              <w:right w:val="single" w:sz="8" w:space="0" w:color="000000"/>
            </w:tcBorders>
            <w:vAlign w:val="center"/>
          </w:tcPr>
          <w:p w:rsidR="00EB3FF4" w:rsidRDefault="00EB3FF4" w:rsidP="00EC1CE1">
            <w:pPr>
              <w:spacing w:line="120" w:lineRule="exact"/>
              <w:jc w:val="center"/>
              <w:rPr>
                <w:color w:val="000000"/>
              </w:rPr>
            </w:pPr>
          </w:p>
          <w:p w:rsidR="00EB3FF4" w:rsidRDefault="000B1118" w:rsidP="00EC1CE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2873, 2874, 2875, 2879</w:t>
            </w:r>
          </w:p>
        </w:tc>
        <w:tc>
          <w:tcPr>
            <w:tcW w:w="1864" w:type="dxa"/>
            <w:tcBorders>
              <w:top w:val="single" w:sz="8" w:space="0" w:color="000000"/>
              <w:left w:val="single" w:sz="8" w:space="0" w:color="000000"/>
              <w:bottom w:val="single" w:sz="8" w:space="0" w:color="000000"/>
              <w:right w:val="single" w:sz="8"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54"/>
              <w:jc w:val="center"/>
              <w:rPr>
                <w:color w:val="000000"/>
              </w:rPr>
            </w:pPr>
            <w:r>
              <w:t>3253</w:t>
            </w:r>
          </w:p>
        </w:tc>
      </w:tr>
      <w:tr w:rsidR="00EB3FF4" w:rsidTr="00EC1CE1">
        <w:tc>
          <w:tcPr>
            <w:tcW w:w="5130" w:type="dxa"/>
            <w:tcBorders>
              <w:top w:val="single" w:sz="8" w:space="0" w:color="000000"/>
              <w:left w:val="single" w:sz="7" w:space="0" w:color="000000"/>
              <w:bottom w:val="single" w:sz="7" w:space="0" w:color="000000"/>
              <w:right w:val="single" w:sz="6" w:space="0" w:color="FFFFFF"/>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73"/>
              <w:rPr>
                <w:color w:val="000000"/>
              </w:rPr>
            </w:pPr>
            <w:r>
              <w:t>Other Chemical Product and Preparation Manufacturing</w:t>
            </w:r>
          </w:p>
        </w:tc>
        <w:tc>
          <w:tcPr>
            <w:tcW w:w="2610" w:type="dxa"/>
            <w:tcBorders>
              <w:top w:val="single" w:sz="8" w:space="0" w:color="000000"/>
              <w:left w:val="single" w:sz="7" w:space="0" w:color="000000"/>
              <w:bottom w:val="single" w:sz="7" w:space="0" w:color="000000"/>
              <w:right w:val="single" w:sz="6" w:space="0" w:color="FFFFFF"/>
            </w:tcBorders>
            <w:vAlign w:val="center"/>
          </w:tcPr>
          <w:p w:rsidR="00EB3FF4" w:rsidRDefault="00EB3FF4" w:rsidP="00EC1CE1">
            <w:pPr>
              <w:spacing w:line="120" w:lineRule="exact"/>
              <w:jc w:val="center"/>
              <w:rPr>
                <w:color w:val="000000"/>
              </w:rPr>
            </w:pPr>
          </w:p>
          <w:p w:rsidR="00EB3FF4" w:rsidRDefault="000B1118" w:rsidP="00EC1CE1">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2892, 2893</w:t>
            </w:r>
          </w:p>
        </w:tc>
        <w:tc>
          <w:tcPr>
            <w:tcW w:w="1864" w:type="dxa"/>
            <w:tcBorders>
              <w:top w:val="single" w:sz="8" w:space="0" w:color="000000"/>
              <w:left w:val="single" w:sz="7" w:space="0" w:color="000000"/>
              <w:bottom w:val="single" w:sz="7" w:space="0" w:color="000000"/>
              <w:right w:val="single" w:sz="7" w:space="0" w:color="000000"/>
            </w:tcBorders>
            <w:vAlign w:val="center"/>
          </w:tcPr>
          <w:p w:rsidR="00EB3FF4" w:rsidRDefault="00EB3FF4" w:rsidP="00EC1CE1">
            <w:pPr>
              <w:pBdr>
                <w:top w:val="single" w:sz="6" w:space="0" w:color="FFFFFF"/>
                <w:left w:val="single" w:sz="6" w:space="0" w:color="FFFFFF"/>
                <w:bottom w:val="single" w:sz="6" w:space="0" w:color="FFFFFF"/>
                <w:right w:val="single" w:sz="6" w:space="0" w:color="FFFFFF"/>
              </w:pBdr>
              <w:spacing w:after="73"/>
              <w:jc w:val="center"/>
              <w:rPr>
                <w:color w:val="000000"/>
              </w:rPr>
            </w:pPr>
            <w:r>
              <w:t>3259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35B21"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835B21">
        <w:t xml:space="preserve">by </w:t>
      </w:r>
      <w:r w:rsidR="00EC1CE1" w:rsidRPr="00835B21">
        <w:t xml:space="preserve">the </w:t>
      </w:r>
      <w:r w:rsidR="0077772C" w:rsidRPr="00835B21">
        <w:t xml:space="preserve">NESHAP for Miscellaneous Organic Chemical </w:t>
      </w:r>
      <w:r w:rsidR="00CC2793" w:rsidRPr="00835B21">
        <w:t xml:space="preserve">Manufacturing (40 CFR </w:t>
      </w:r>
      <w:r w:rsidR="00EC1CE1" w:rsidRPr="00835B21">
        <w:t>P</w:t>
      </w:r>
      <w:r w:rsidR="00CC2793" w:rsidRPr="00835B21">
        <w:t xml:space="preserve">art 63, </w:t>
      </w:r>
      <w:r w:rsidR="00EC1CE1" w:rsidRPr="00835B21">
        <w:t>S</w:t>
      </w:r>
      <w:r w:rsidR="00CC2793" w:rsidRPr="00835B21">
        <w:t>ubpart FFFF).</w:t>
      </w:r>
      <w:r w:rsidR="00CA4CD6" w:rsidRPr="00835B21">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025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 xml:space="preserve">63.5, 63.9(b), 63.2515(a)-(c) </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Initial performance test , test plan, and emission profile</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63.7(b)-(c), 63.9(e), 63.2515(a), (d)</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Notification of CMS performance evaluation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63.8(e)(2), 63.9(g)</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 (including 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63.9(h), 63.10(d)(2), 63.2515(e)</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Notification of process change</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63.2515(f)</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63.2500(c)</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Pre-compliance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63.2520(c)</w:t>
            </w:r>
          </w:p>
        </w:tc>
      </w:tr>
      <w:tr w:rsidR="0040254A" w:rsidTr="00975BF1">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63.10(e)(3), 63.2520(b), (d)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60BCF" w:rsidRDefault="002D5DEA">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025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 retention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63.10(b)(1), 62.2530</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Documentation supporting initial notification and 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63.10(b)(2)(xiv) and 63.2525(a(1)</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63.6(e)(3)</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 related to startup, shutdown, and malfunction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63.6(e)(3)(iii)-(iv), 63.2525(a)(2)</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of performance tests and CMS performance evaluations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63.10(b)(2)(viii), 63.2525(a)(3)</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for equipment leaks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63.1038(b-(c), 63.2525(a)(4)</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Daily schedule or log of each operating scenario</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63.2525(a)(5)</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for batch processes complying with process based emission limitations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63.2525(a)(6)-(7)</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Planned routine maintenance records for storage tank control devices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Del="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63.2525(a)(8)</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Maintenance wastewater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63.2525(a)(9)</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for safety device openings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63.2525(a)(10)</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lastRenderedPageBreak/>
              <w:t>Results of each CMS calibration, validation check, and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63.2475(c)(6)-(8), (d)(4)-(5), (e(4)-(7), (f)(3)-(4), 63.2525(a)(11)</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for emissions averaging</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63.2500(d)</w:t>
            </w:r>
          </w:p>
        </w:tc>
      </w:tr>
      <w:tr w:rsidR="0040254A" w:rsidTr="00E33ABD">
        <w:trPr>
          <w:jc w:val="center"/>
        </w:trPr>
        <w:tc>
          <w:tcPr>
            <w:tcW w:w="7020" w:type="dxa"/>
            <w:tcBorders>
              <w:top w:val="single" w:sz="7" w:space="0" w:color="000000"/>
              <w:left w:val="single" w:sz="7" w:space="0" w:color="000000"/>
              <w:bottom w:val="single" w:sz="7" w:space="0" w:color="000000"/>
              <w:right w:val="single" w:sz="7" w:space="0" w:color="000000"/>
            </w:tcBorders>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Records for each CMS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54A" w:rsidRDefault="0040254A">
            <w:pPr>
              <w:pBdr>
                <w:top w:val="single" w:sz="6" w:space="0" w:color="FFFFFF"/>
                <w:left w:val="single" w:sz="6" w:space="0" w:color="FFFFFF"/>
                <w:bottom w:val="single" w:sz="6" w:space="0" w:color="FFFFFF"/>
                <w:right w:val="single" w:sz="6" w:space="0" w:color="FFFFFF"/>
              </w:pBdr>
              <w:spacing w:after="58"/>
              <w:rPr>
                <w:color w:val="000000"/>
              </w:rPr>
            </w:pPr>
            <w:r>
              <w:t>63.8(d)(3), 63.8(f)(6)(</w:t>
            </w:r>
            <w:proofErr w:type="spellStart"/>
            <w:r>
              <w:t>i</w:t>
            </w:r>
            <w:proofErr w:type="spellEnd"/>
            <w:r>
              <w:t xml:space="preserve">), 63.10(b)(2)(vi)-(xi), 63.2525(b)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40254A">
        <w:rPr>
          <w:color w:val="000000"/>
        </w:rPr>
        <w:t>respondents</w:t>
      </w:r>
      <w:r>
        <w:rPr>
          <w:color w:val="000000"/>
        </w:rPr>
        <w:t xml:space="preserve"> continue to create reporting systems to transmit data electronically.  However, electronic reporting systems are still not widely used.  At this time, it is estimated that approximately </w:t>
      </w:r>
      <w:r w:rsidR="00EC1CE1">
        <w:rPr>
          <w:color w:val="000000"/>
        </w:rPr>
        <w:t>2</w:t>
      </w:r>
      <w:r>
        <w:rPr>
          <w:color w:val="000000"/>
        </w:rPr>
        <w:t>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3B2FC6">
        <w:trPr>
          <w:tblHeade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3B2FC6">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3B2FC6">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975BF1"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CC2793" w:rsidRPr="00CC2793">
              <w:t xml:space="preserve">control device.  </w:t>
            </w:r>
          </w:p>
        </w:tc>
      </w:tr>
      <w:tr w:rsidR="00CA4CD6" w:rsidTr="003B2FC6">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975BF1"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CD085B">
              <w:rPr>
                <w:color w:val="000000"/>
              </w:rPr>
              <w:t xml:space="preserve"> </w:t>
            </w:r>
            <w:r>
              <w:rPr>
                <w:color w:val="000000"/>
              </w:rPr>
              <w:t>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EC1CE1">
      <w:pPr>
        <w:pBdr>
          <w:top w:val="single" w:sz="6" w:space="0" w:color="FFFFFF"/>
          <w:left w:val="single" w:sz="6" w:space="0" w:color="FFFFFF"/>
          <w:bottom w:val="single" w:sz="6" w:space="0" w:color="FFFFFF"/>
          <w:right w:val="single" w:sz="6" w:space="0" w:color="FFFFFF"/>
        </w:pBdr>
        <w:ind w:firstLine="720"/>
      </w:pPr>
      <w:r w:rsidRPr="00FE2B0F">
        <w:t>Currently</w:t>
      </w:r>
      <w:r w:rsidR="00763B87">
        <w:t>,</w:t>
      </w:r>
      <w:r w:rsidRPr="00FE2B0F">
        <w:t xml:space="preserve">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w:t>
      </w:r>
      <w:r>
        <w:rPr>
          <w:color w:val="000000"/>
        </w:rPr>
        <w:lastRenderedPageBreak/>
        <w:t>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63B87">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B5C65">
        <w:rPr>
          <w:b/>
          <w:bCs/>
          <w:color w:val="000000"/>
        </w:rPr>
        <w:t>) Small</w:t>
      </w:r>
      <w:r>
        <w:rPr>
          <w:b/>
          <w:bCs/>
          <w:color w:val="000000"/>
        </w:rPr>
        <w:t xml:space="preserve"> Entity Flexibility</w:t>
      </w:r>
    </w:p>
    <w:p w:rsidR="003E0FF1" w:rsidRDefault="003E0FF1" w:rsidP="006E4A6E">
      <w:pPr>
        <w:pBdr>
          <w:top w:val="single" w:sz="6" w:space="0" w:color="FFFFFF"/>
          <w:left w:val="single" w:sz="6" w:space="0" w:color="FFFFFF"/>
          <w:bottom w:val="single" w:sz="6" w:space="0" w:color="FFFFFF"/>
          <w:right w:val="single" w:sz="6" w:space="0" w:color="FFFFFF"/>
        </w:pBdr>
        <w:rPr>
          <w:color w:val="000000"/>
        </w:rPr>
      </w:pPr>
      <w:r>
        <w:rPr>
          <w:color w:val="000000"/>
        </w:rPr>
        <w:tab/>
      </w:r>
    </w:p>
    <w:p w:rsidR="00A60BC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905FCC">
        <w:rPr>
          <w:color w:val="000000"/>
        </w:rPr>
        <w:t xml:space="preserve">        </w:t>
      </w:r>
      <w:r>
        <w:rPr>
          <w:color w:val="000000"/>
        </w:rPr>
        <w:t>the impact on small entities (i.e., small businesses) was taken into consideration during the development of the regulation.</w:t>
      </w:r>
      <w:r w:rsidR="003E0FF1">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B5C65">
        <w:rPr>
          <w:b/>
          <w:bCs/>
          <w:color w:val="000000"/>
        </w:rPr>
        <w:t>) Collection</w:t>
      </w:r>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AC3935" w:rsidRPr="00C618E8">
        <w:rPr>
          <w:bCs/>
        </w:rPr>
        <w:t>Table 1: Annual Respondent Burden and Cost</w:t>
      </w:r>
      <w:r w:rsidR="00AC3935" w:rsidRPr="00C618E8">
        <w:rPr>
          <w:b/>
          <w:bCs/>
        </w:rPr>
        <w:t xml:space="preserve"> – </w:t>
      </w:r>
      <w:r w:rsidR="00AC3935">
        <w:t>NESHAP for Miscellaneous Organic Chemical Manufacturing</w:t>
      </w:r>
      <w:r w:rsidR="00AC3935">
        <w:rPr>
          <w:bCs/>
        </w:rPr>
        <w:t xml:space="preserve"> (40 CFR Part 63, Subpart FFFF</w:t>
      </w:r>
      <w:r w:rsidR="00AC3935">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E33AB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B5C65">
        <w:rPr>
          <w:b/>
          <w:bCs/>
          <w:color w:val="000000"/>
        </w:rPr>
        <w:t>) Estimating</w:t>
      </w:r>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82595">
        <w:rPr>
          <w:color w:val="000000"/>
        </w:rPr>
        <w:t>426,474</w:t>
      </w:r>
      <w:r w:rsidR="00EC1CE1">
        <w:rPr>
          <w:color w:val="000000"/>
        </w:rPr>
        <w:t xml:space="preserve"> </w:t>
      </w:r>
      <w:r w:rsidR="00905FCC">
        <w:rPr>
          <w:color w:val="000000"/>
        </w:rPr>
        <w:t xml:space="preserve">hours </w:t>
      </w:r>
      <w:r w:rsidR="00CC2793" w:rsidRPr="00EC1CE1">
        <w:t>(Total Labor Hours from Table 1</w:t>
      </w:r>
      <w:r w:rsidR="004723AD">
        <w:t xml:space="preserve"> below</w:t>
      </w:r>
      <w:r w:rsidR="00CC2793" w:rsidRPr="00EC1CE1">
        <w:t>)</w:t>
      </w:r>
      <w:r w:rsidRPr="00EC1CE1">
        <w:t>.</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B17F76">
        <w:rPr>
          <w:color w:val="000000"/>
        </w:rPr>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4011A" w:rsidRDefault="0024011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4011A" w:rsidRDefault="0024011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4011A" w:rsidRDefault="0024011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r w:rsidR="009B5C65">
        <w:rPr>
          <w:b/>
          <w:bCs/>
          <w:color w:val="000000"/>
        </w:rPr>
        <w:t>) Estimating</w:t>
      </w:r>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99080F">
        <w:rPr>
          <w:color w:val="000000"/>
        </w:rPr>
        <w:t>121.44</w:t>
      </w:r>
      <w:r>
        <w:rPr>
          <w:color w:val="000000"/>
        </w:rPr>
        <w:t xml:space="preserve"> ($</w:t>
      </w:r>
      <w:r w:rsidR="0099080F">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99080F">
        <w:rPr>
          <w:color w:val="000000"/>
        </w:rPr>
        <w:t>100.23</w:t>
      </w:r>
      <w:r>
        <w:rPr>
          <w:color w:val="000000"/>
        </w:rPr>
        <w:t xml:space="preserve"> ($</w:t>
      </w:r>
      <w:r w:rsidR="0099080F">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99080F">
        <w:rPr>
          <w:color w:val="000000"/>
        </w:rPr>
        <w:t>50.51</w:t>
      </w:r>
      <w:r>
        <w:rPr>
          <w:color w:val="000000"/>
        </w:rPr>
        <w:t xml:space="preserve"> ($</w:t>
      </w:r>
      <w:r w:rsidR="0099080F">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99080F">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D1318E" w:rsidRDefault="00D1318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E35EA" w:rsidRDefault="00EE35EA" w:rsidP="00192A1D">
      <w:pPr>
        <w:ind w:firstLine="720"/>
      </w:pPr>
      <w:r>
        <w:t xml:space="preserve">This ICR assumes capital costs are incurred as one-time costs for new facilities.  </w:t>
      </w:r>
      <w:r w:rsidR="00905FCC">
        <w:t xml:space="preserve">         </w:t>
      </w:r>
      <w:r>
        <w:t xml:space="preserve">The capital costs associated with monitoring equipment include the monitoring equipment, installation, ancillary costs (planning and selection), and a data acquisition system (DAS) </w:t>
      </w:r>
      <w:r w:rsidR="00905FCC">
        <w:t xml:space="preserve">     </w:t>
      </w:r>
      <w:r>
        <w:t>(data</w:t>
      </w:r>
      <w:r w:rsidR="00905FCC">
        <w:t xml:space="preserve"> </w:t>
      </w:r>
      <w:r>
        <w:t xml:space="preserve">logger, computer, logging and reporting software, and printer).  The capital costs for the monitoring equipment were estimated based on the following assumptions: (1) the monitoring equipment cost per process vent is $12,150, which includes the cost for thermocouple, wire, and DAS; (2) the monitoring equipment cost for each facility with wastewater systems is $20,100, which includes the cost for steam flow meter, liquid flow meter, thermocouple, wire, and DAS; (3) the monitoring equipment cost for each storage tank with separate emission controls is $780, which includes the cost for thermocouple and wire to connect to the DAS for process vents; and (4) two new facilities will purchase this equipment for process vents, wastewater systems, and storage tanks in each of the three years covered by this ICR.  The monitoring equipment costs were applied to the impacted process vents, wastewater systems, and storage tanks to determine an average capital cost per facility for monitoring equipment.  In this way, the average capital cost per facility was estimated to be $17,174.  The capital costs associated with file cabinets for storing collected data and reports include the purchase of one standard four-drawer file cabinet for each facility (assume $235 per file cabinet).  </w:t>
      </w:r>
    </w:p>
    <w:p w:rsidR="00EE35EA" w:rsidRDefault="00EE35EA">
      <w:pPr>
        <w:pBdr>
          <w:top w:val="single" w:sz="6" w:space="0" w:color="FFFFFF"/>
          <w:left w:val="single" w:sz="6" w:space="0" w:color="FFFFFF"/>
          <w:bottom w:val="single" w:sz="6" w:space="0" w:color="FFFFFF"/>
          <w:right w:val="single" w:sz="6" w:space="0" w:color="FFFFFF"/>
        </w:pBdr>
        <w:rPr>
          <w:color w:val="000000"/>
        </w:rPr>
      </w:pPr>
    </w:p>
    <w:p w:rsidR="005234DE" w:rsidRPr="00192A1D" w:rsidRDefault="00EE35EA" w:rsidP="00192A1D">
      <w:pPr>
        <w:ind w:firstLine="720"/>
      </w:pPr>
      <w:r>
        <w:t xml:space="preserve">Operation and maintenance costs associated with materials and supplies were estimated </w:t>
      </w:r>
      <w:r>
        <w:lastRenderedPageBreak/>
        <w:t>at $500.  The O&amp;M cost associated with the monitoring equipment is $15,875 for process vents, $20,510 for wastewater systems, and $5,825 for storage tanks.  The O&amp;M costs were applied to the impacted process vents, wastewater systems, and storage tanks to determine an average O&amp;M</w:t>
      </w:r>
      <w:r w:rsidR="00192A1D">
        <w:t xml:space="preserve"> </w:t>
      </w:r>
      <w:r>
        <w:t xml:space="preserve">cost </w:t>
      </w:r>
      <w:r w:rsidR="00192A1D">
        <w:t xml:space="preserve">of $21,209 </w:t>
      </w:r>
      <w:r>
        <w:t>per facility for monitoring equipment.</w:t>
      </w:r>
      <w:r w:rsidR="00192A1D">
        <w:t xml:space="preserve">  O&amp;M costs </w:t>
      </w:r>
      <w:r w:rsidR="005234DE">
        <w:t xml:space="preserve">associated with the paperwork requirement </w:t>
      </w:r>
      <w:r w:rsidR="00192A1D">
        <w:t xml:space="preserve">such as </w:t>
      </w:r>
      <w:r w:rsidR="005234DE">
        <w:t xml:space="preserve">photocopying and postage are estimated to be </w:t>
      </w:r>
      <w:proofErr w:type="gramStart"/>
      <w:r w:rsidR="005234DE">
        <w:t xml:space="preserve">approximately </w:t>
      </w:r>
      <w:r w:rsidR="007A5685">
        <w:t xml:space="preserve"> </w:t>
      </w:r>
      <w:r w:rsidR="005234DE">
        <w:t>$</w:t>
      </w:r>
      <w:proofErr w:type="gramEnd"/>
      <w:r w:rsidR="005234DE">
        <w:t xml:space="preserve">46 per </w:t>
      </w:r>
      <w:r w:rsidR="00192A1D">
        <w:t>facility</w:t>
      </w:r>
      <w:r w:rsidR="005234DE">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384" w:type="dxa"/>
        <w:tblLayout w:type="fixed"/>
        <w:tblCellMar>
          <w:left w:w="111" w:type="dxa"/>
          <w:right w:w="111" w:type="dxa"/>
        </w:tblCellMar>
        <w:tblLook w:val="0000"/>
      </w:tblPr>
      <w:tblGrid>
        <w:gridCol w:w="1665"/>
        <w:gridCol w:w="1440"/>
        <w:gridCol w:w="1350"/>
        <w:gridCol w:w="1440"/>
        <w:gridCol w:w="1350"/>
        <w:gridCol w:w="1260"/>
        <w:gridCol w:w="1260"/>
      </w:tblGrid>
      <w:tr w:rsidR="00A73600" w:rsidTr="005234DE">
        <w:trPr>
          <w:tblHeader/>
          <w:jc w:val="center"/>
        </w:trPr>
        <w:tc>
          <w:tcPr>
            <w:tcW w:w="9765" w:type="dxa"/>
            <w:gridSpan w:val="7"/>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5234DE">
        <w:trPr>
          <w:jc w:val="center"/>
        </w:trPr>
        <w:tc>
          <w:tcPr>
            <w:tcW w:w="1665" w:type="dxa"/>
            <w:tcBorders>
              <w:top w:val="single" w:sz="8" w:space="0" w:color="000000"/>
              <w:left w:val="single" w:sz="8" w:space="0" w:color="000000"/>
              <w:bottom w:val="single" w:sz="8" w:space="0" w:color="000000"/>
              <w:right w:val="single" w:sz="6" w:space="0" w:color="FFFFFF"/>
            </w:tcBorders>
          </w:tcPr>
          <w:p w:rsidR="00A60BCF" w:rsidRDefault="00A60BCF">
            <w:pPr>
              <w:spacing w:line="120" w:lineRule="exact"/>
              <w:jc w:val="center"/>
              <w:rPr>
                <w:b/>
                <w:bCs/>
                <w:color w:val="00000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A60BCF" w:rsidRDefault="009B5C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r w:rsidDel="00975BF1">
              <w:rPr>
                <w:color w:val="000000"/>
                <w:sz w:val="20"/>
                <w:szCs w:val="20"/>
              </w:rPr>
              <w:t xml:space="preserve"> </w:t>
            </w:r>
          </w:p>
        </w:tc>
        <w:tc>
          <w:tcPr>
            <w:tcW w:w="1440" w:type="dxa"/>
            <w:tcBorders>
              <w:top w:val="single" w:sz="8" w:space="0" w:color="000000"/>
              <w:left w:val="single" w:sz="7" w:space="0" w:color="000000"/>
              <w:bottom w:val="single" w:sz="8" w:space="0" w:color="000000"/>
              <w:right w:val="single" w:sz="6" w:space="0" w:color="FFFFFF"/>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8" w:space="0" w:color="000000"/>
              <w:left w:val="single" w:sz="7" w:space="0" w:color="000000"/>
              <w:bottom w:val="single" w:sz="8" w:space="0" w:color="000000"/>
              <w:right w:val="single" w:sz="6" w:space="0" w:color="FFFFFF"/>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8" w:space="0" w:color="000000"/>
              <w:left w:val="single" w:sz="7" w:space="0" w:color="000000"/>
              <w:bottom w:val="single" w:sz="8" w:space="0" w:color="000000"/>
              <w:right w:val="single" w:sz="6" w:space="0" w:color="FFFFFF"/>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8" w:space="0" w:color="000000"/>
              <w:left w:val="single" w:sz="7" w:space="0" w:color="000000"/>
              <w:bottom w:val="single" w:sz="8" w:space="0" w:color="000000"/>
              <w:right w:val="single" w:sz="6" w:space="0" w:color="FFFFFF"/>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7" w:space="0" w:color="000000"/>
              <w:bottom w:val="single" w:sz="8" w:space="0" w:color="000000"/>
              <w:right w:val="single" w:sz="6" w:space="0" w:color="FFFFFF"/>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260" w:type="dxa"/>
            <w:tcBorders>
              <w:top w:val="single" w:sz="8" w:space="0" w:color="000000"/>
              <w:left w:val="single" w:sz="7" w:space="0" w:color="000000"/>
              <w:bottom w:val="single" w:sz="8" w:space="0" w:color="000000"/>
              <w:right w:val="single" w:sz="8" w:space="0" w:color="000000"/>
            </w:tcBorders>
          </w:tcPr>
          <w:p w:rsidR="00A60BCF" w:rsidRDefault="00A60BCF">
            <w:pPr>
              <w:spacing w:line="120" w:lineRule="exact"/>
              <w:jc w:val="center"/>
              <w:rPr>
                <w:color w:val="000000"/>
                <w:sz w:val="20"/>
                <w:szCs w:val="20"/>
              </w:rPr>
            </w:pPr>
          </w:p>
          <w:p w:rsidR="00CA4CD6" w:rsidRDefault="00CA4CD6" w:rsidP="00DD239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A60BCF"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A60BCF"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234DE" w:rsidTr="005234DE">
        <w:trPr>
          <w:jc w:val="center"/>
        </w:trPr>
        <w:tc>
          <w:tcPr>
            <w:tcW w:w="1665" w:type="dxa"/>
            <w:tcBorders>
              <w:top w:val="single" w:sz="8" w:space="0" w:color="000000"/>
              <w:left w:val="single" w:sz="8" w:space="0" w:color="000000"/>
              <w:bottom w:val="single" w:sz="8" w:space="0" w:color="000000"/>
              <w:right w:val="single" w:sz="8" w:space="0" w:color="000000"/>
            </w:tcBorders>
          </w:tcPr>
          <w:p w:rsidR="005234DE" w:rsidRDefault="005234DE" w:rsidP="00EE35E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w:t>
            </w:r>
          </w:p>
        </w:tc>
        <w:tc>
          <w:tcPr>
            <w:tcW w:w="144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$17,174</w:t>
            </w:r>
          </w:p>
        </w:tc>
        <w:tc>
          <w:tcPr>
            <w:tcW w:w="135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$34,348</w:t>
            </w:r>
          </w:p>
        </w:tc>
        <w:tc>
          <w:tcPr>
            <w:tcW w:w="135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r>
      <w:tr w:rsidR="005234DE" w:rsidTr="005234DE">
        <w:trPr>
          <w:jc w:val="center"/>
        </w:trPr>
        <w:tc>
          <w:tcPr>
            <w:tcW w:w="1665" w:type="dxa"/>
            <w:tcBorders>
              <w:top w:val="single" w:sz="8" w:space="0" w:color="000000"/>
              <w:left w:val="single" w:sz="8" w:space="0" w:color="000000"/>
              <w:bottom w:val="single" w:sz="8" w:space="0" w:color="000000"/>
              <w:right w:val="single" w:sz="8" w:space="0" w:color="000000"/>
            </w:tcBorders>
          </w:tcPr>
          <w:p w:rsidR="005234DE" w:rsidRDefault="005234DE" w:rsidP="00EE35E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File cabinet</w:t>
            </w:r>
          </w:p>
        </w:tc>
        <w:tc>
          <w:tcPr>
            <w:tcW w:w="1440" w:type="dxa"/>
            <w:tcBorders>
              <w:top w:val="single" w:sz="8" w:space="0" w:color="000000"/>
              <w:left w:val="single" w:sz="8" w:space="0" w:color="000000"/>
              <w:bottom w:val="single" w:sz="8" w:space="0" w:color="000000"/>
              <w:right w:val="single" w:sz="8" w:space="0" w:color="000000"/>
            </w:tcBorders>
          </w:tcPr>
          <w:p w:rsidR="005234DE" w:rsidRDefault="005234DE" w:rsidP="00EE35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$235</w:t>
            </w:r>
          </w:p>
        </w:tc>
        <w:tc>
          <w:tcPr>
            <w:tcW w:w="1350" w:type="dxa"/>
            <w:tcBorders>
              <w:top w:val="single" w:sz="8" w:space="0" w:color="000000"/>
              <w:left w:val="single" w:sz="8" w:space="0" w:color="000000"/>
              <w:bottom w:val="single" w:sz="8" w:space="0" w:color="000000"/>
              <w:right w:val="single" w:sz="8" w:space="0" w:color="000000"/>
            </w:tcBorders>
          </w:tcPr>
          <w:p w:rsidR="005234DE" w:rsidRDefault="005234DE" w:rsidP="00EE35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$470</w:t>
            </w:r>
          </w:p>
        </w:tc>
        <w:tc>
          <w:tcPr>
            <w:tcW w:w="1350" w:type="dxa"/>
            <w:tcBorders>
              <w:top w:val="single" w:sz="8" w:space="0" w:color="000000"/>
              <w:left w:val="single" w:sz="8" w:space="0" w:color="000000"/>
              <w:bottom w:val="single" w:sz="8" w:space="0" w:color="000000"/>
              <w:right w:val="single" w:sz="8" w:space="0" w:color="000000"/>
            </w:tcBorders>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tcPr>
          <w:p w:rsidR="005234DE"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5234DE"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r>
      <w:tr w:rsidR="00CA4CD6" w:rsidTr="005234DE">
        <w:trPr>
          <w:jc w:val="center"/>
        </w:trPr>
        <w:tc>
          <w:tcPr>
            <w:tcW w:w="1665" w:type="dxa"/>
            <w:tcBorders>
              <w:top w:val="single" w:sz="8" w:space="0" w:color="000000"/>
              <w:left w:val="single" w:sz="8" w:space="0" w:color="000000"/>
              <w:bottom w:val="single" w:sz="8" w:space="0" w:color="000000"/>
              <w:right w:val="single" w:sz="8" w:space="0" w:color="000000"/>
            </w:tcBorders>
          </w:tcPr>
          <w:p w:rsidR="00A60BCF" w:rsidRDefault="00EE35EA" w:rsidP="00EE35E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Material, supply, and equipment maintenance </w:t>
            </w:r>
          </w:p>
        </w:tc>
        <w:tc>
          <w:tcPr>
            <w:tcW w:w="1440" w:type="dxa"/>
            <w:tcBorders>
              <w:top w:val="single" w:sz="8" w:space="0" w:color="000000"/>
              <w:left w:val="single" w:sz="8" w:space="0" w:color="000000"/>
              <w:bottom w:val="single" w:sz="8" w:space="0" w:color="000000"/>
              <w:right w:val="single" w:sz="8" w:space="0" w:color="000000"/>
            </w:tcBorders>
            <w:vAlign w:val="center"/>
          </w:tcPr>
          <w:p w:rsidR="00A60BCF"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A60BCF"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A60BCF"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A60BCF" w:rsidRDefault="00975BF1"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$21,209</w:t>
            </w:r>
          </w:p>
        </w:tc>
        <w:tc>
          <w:tcPr>
            <w:tcW w:w="1260" w:type="dxa"/>
            <w:tcBorders>
              <w:top w:val="single" w:sz="8" w:space="0" w:color="000000"/>
              <w:left w:val="single" w:sz="8" w:space="0" w:color="000000"/>
              <w:bottom w:val="single" w:sz="8" w:space="0" w:color="000000"/>
              <w:right w:val="single" w:sz="8" w:space="0" w:color="000000"/>
            </w:tcBorders>
            <w:vAlign w:val="center"/>
          </w:tcPr>
          <w:p w:rsidR="00A60BCF" w:rsidRDefault="00975BF1"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263</w:t>
            </w:r>
          </w:p>
        </w:tc>
        <w:tc>
          <w:tcPr>
            <w:tcW w:w="1260" w:type="dxa"/>
            <w:tcBorders>
              <w:top w:val="single" w:sz="8" w:space="0" w:color="000000"/>
              <w:left w:val="single" w:sz="8" w:space="0" w:color="000000"/>
              <w:bottom w:val="single" w:sz="8" w:space="0" w:color="000000"/>
              <w:right w:val="single" w:sz="8" w:space="0" w:color="000000"/>
            </w:tcBorders>
            <w:vAlign w:val="center"/>
          </w:tcPr>
          <w:p w:rsidR="00A60BCF" w:rsidRDefault="00975BF1"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$5,577,967</w:t>
            </w:r>
          </w:p>
        </w:tc>
      </w:tr>
      <w:tr w:rsidR="00EE35EA" w:rsidTr="005234DE">
        <w:trPr>
          <w:jc w:val="center"/>
        </w:trPr>
        <w:tc>
          <w:tcPr>
            <w:tcW w:w="1665" w:type="dxa"/>
            <w:tcBorders>
              <w:top w:val="single" w:sz="8" w:space="0" w:color="000000"/>
              <w:left w:val="single" w:sz="8" w:space="0" w:color="000000"/>
              <w:bottom w:val="single" w:sz="8" w:space="0" w:color="000000"/>
              <w:right w:val="single" w:sz="8" w:space="0" w:color="000000"/>
            </w:tcBorders>
          </w:tcPr>
          <w:p w:rsidR="00EE35EA" w:rsidRDefault="005234DE" w:rsidP="005234DE">
            <w:pPr>
              <w:pBdr>
                <w:top w:val="single" w:sz="6" w:space="0" w:color="FFFFFF"/>
                <w:left w:val="single" w:sz="6" w:space="0" w:color="FFFFFF"/>
                <w:bottom w:val="single" w:sz="6" w:space="0" w:color="FFFFFF"/>
                <w:right w:val="single" w:sz="6" w:space="0" w:color="FFFFFF"/>
              </w:pBdr>
              <w:tabs>
                <w:tab w:val="left" w:pos="1215"/>
              </w:tabs>
              <w:rPr>
                <w:color w:val="000000"/>
                <w:sz w:val="20"/>
                <w:szCs w:val="20"/>
              </w:rPr>
            </w:pPr>
            <w:r>
              <w:rPr>
                <w:color w:val="000000"/>
                <w:sz w:val="20"/>
                <w:szCs w:val="20"/>
              </w:rPr>
              <w:t>Photocopying and postage</w:t>
            </w:r>
          </w:p>
        </w:tc>
        <w:tc>
          <w:tcPr>
            <w:tcW w:w="144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p>
        </w:tc>
        <w:tc>
          <w:tcPr>
            <w:tcW w:w="126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263</w:t>
            </w:r>
          </w:p>
        </w:tc>
        <w:tc>
          <w:tcPr>
            <w:tcW w:w="126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$12,098</w:t>
            </w:r>
          </w:p>
        </w:tc>
      </w:tr>
      <w:tr w:rsidR="00EE35EA" w:rsidTr="005234DE">
        <w:trPr>
          <w:jc w:val="center"/>
        </w:trPr>
        <w:tc>
          <w:tcPr>
            <w:tcW w:w="1665" w:type="dxa"/>
            <w:tcBorders>
              <w:top w:val="single" w:sz="8" w:space="0" w:color="000000"/>
              <w:left w:val="single" w:sz="8" w:space="0" w:color="000000"/>
              <w:bottom w:val="single" w:sz="8" w:space="0" w:color="000000"/>
              <w:right w:val="single" w:sz="8" w:space="0" w:color="000000"/>
            </w:tcBorders>
          </w:tcPr>
          <w:p w:rsidR="00EE35EA" w:rsidRPr="005234DE" w:rsidRDefault="00EE35EA" w:rsidP="00EE35EA">
            <w:pPr>
              <w:pBdr>
                <w:top w:val="single" w:sz="6" w:space="0" w:color="FFFFFF"/>
                <w:left w:val="single" w:sz="6" w:space="0" w:color="FFFFFF"/>
                <w:bottom w:val="single" w:sz="6" w:space="0" w:color="FFFFFF"/>
                <w:right w:val="single" w:sz="6" w:space="0" w:color="FFFFFF"/>
              </w:pBdr>
              <w:rPr>
                <w:b/>
                <w:color w:val="000000"/>
                <w:sz w:val="20"/>
                <w:szCs w:val="20"/>
              </w:rPr>
            </w:pPr>
            <w:r w:rsidRPr="005234DE">
              <w:rPr>
                <w:b/>
                <w:color w:val="000000"/>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EE35EA" w:rsidRDefault="00EE35EA"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$17,409</w:t>
            </w:r>
          </w:p>
        </w:tc>
        <w:tc>
          <w:tcPr>
            <w:tcW w:w="1350" w:type="dxa"/>
            <w:tcBorders>
              <w:top w:val="single" w:sz="8" w:space="0" w:color="000000"/>
              <w:left w:val="single" w:sz="8" w:space="0" w:color="000000"/>
              <w:bottom w:val="single" w:sz="8" w:space="0" w:color="000000"/>
              <w:right w:val="single" w:sz="8" w:space="0" w:color="000000"/>
            </w:tcBorders>
            <w:vAlign w:val="center"/>
          </w:tcPr>
          <w:p w:rsidR="00EE35EA" w:rsidRDefault="00EE35EA"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8" w:space="0" w:color="000000"/>
              <w:left w:val="single" w:sz="8" w:space="0" w:color="000000"/>
              <w:bottom w:val="single" w:sz="8" w:space="0" w:color="000000"/>
              <w:right w:val="single" w:sz="8" w:space="0" w:color="000000"/>
            </w:tcBorders>
            <w:vAlign w:val="center"/>
          </w:tcPr>
          <w:p w:rsidR="00EE35EA" w:rsidRDefault="00EE35EA"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$34,818</w:t>
            </w:r>
          </w:p>
        </w:tc>
        <w:tc>
          <w:tcPr>
            <w:tcW w:w="135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$21,255</w:t>
            </w:r>
          </w:p>
        </w:tc>
        <w:tc>
          <w:tcPr>
            <w:tcW w:w="126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263</w:t>
            </w:r>
          </w:p>
        </w:tc>
        <w:tc>
          <w:tcPr>
            <w:tcW w:w="1260" w:type="dxa"/>
            <w:tcBorders>
              <w:top w:val="single" w:sz="8" w:space="0" w:color="000000"/>
              <w:left w:val="single" w:sz="8" w:space="0" w:color="000000"/>
              <w:bottom w:val="single" w:sz="8" w:space="0" w:color="000000"/>
              <w:right w:val="single" w:sz="8" w:space="0" w:color="000000"/>
            </w:tcBorders>
            <w:vAlign w:val="center"/>
          </w:tcPr>
          <w:p w:rsidR="00EE35EA" w:rsidRDefault="005234DE" w:rsidP="005234D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$5,590,065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715FD2">
        <w:rPr>
          <w:color w:val="000000"/>
        </w:rPr>
        <w:t xml:space="preserve">$34,818.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715FD2">
        <w:rPr>
          <w:color w:val="000000"/>
        </w:rPr>
        <w:t>$5,5</w:t>
      </w:r>
      <w:r w:rsidR="005234DE">
        <w:rPr>
          <w:color w:val="000000"/>
        </w:rPr>
        <w:t>90</w:t>
      </w:r>
      <w:r w:rsidR="00715FD2">
        <w:rPr>
          <w:color w:val="000000"/>
        </w:rPr>
        <w:t>,</w:t>
      </w:r>
      <w:r w:rsidR="005234DE">
        <w:rPr>
          <w:color w:val="000000"/>
        </w:rPr>
        <w:t>065</w:t>
      </w:r>
      <w:r w:rsidR="00715FD2">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C3557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715FD2">
        <w:rPr>
          <w:color w:val="000000"/>
        </w:rPr>
        <w:t>5,6</w:t>
      </w:r>
      <w:r w:rsidR="005234DE">
        <w:rPr>
          <w:color w:val="000000"/>
        </w:rPr>
        <w:t>24</w:t>
      </w:r>
      <w:r w:rsidR="00715FD2">
        <w:rPr>
          <w:color w:val="000000"/>
        </w:rPr>
        <w:t>,</w:t>
      </w:r>
      <w:r w:rsidR="005234DE">
        <w:rPr>
          <w:color w:val="000000"/>
        </w:rPr>
        <w:t>883</w:t>
      </w:r>
      <w:r>
        <w:rPr>
          <w:color w:val="000000"/>
        </w:rPr>
        <w:t xml:space="preserve">. </w:t>
      </w:r>
      <w:r w:rsidR="005234DE">
        <w:rPr>
          <w:color w:val="000000"/>
        </w:rPr>
        <w:t xml:space="preserve"> </w:t>
      </w:r>
      <w:r w:rsidR="001C5991">
        <w:rPr>
          <w:color w:val="000000"/>
        </w:rPr>
        <w:t xml:space="preserve">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715FD2">
        <w:rPr>
          <w:b/>
          <w:bCs/>
          <w:color w:val="000000"/>
        </w:rPr>
        <w:t>) Estimating</w:t>
      </w:r>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715FD2">
        <w:rPr>
          <w:color w:val="000000"/>
        </w:rPr>
        <w:t>the examination</w:t>
      </w:r>
      <w:r>
        <w:rPr>
          <w:color w:val="000000"/>
        </w:rPr>
        <w:t xml:space="preserve"> of records maintained by the respondents</w:t>
      </w:r>
      <w:r w:rsidR="00715FD2">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2726C">
        <w:rPr>
          <w:color w:val="000000"/>
        </w:rPr>
        <w:t>381,097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234DE">
        <w:rPr>
          <w:color w:val="000000"/>
        </w:rPr>
        <w:t>2</w:t>
      </w:r>
      <w:r>
        <w:rPr>
          <w:color w:val="000000"/>
        </w:rPr>
        <w:t xml:space="preserve"> General Schedule</w:t>
      </w:r>
      <w:r w:rsidR="007A458D">
        <w:rPr>
          <w:color w:val="000000"/>
        </w:rPr>
        <w:t>,</w:t>
      </w:r>
      <w:r>
        <w:rPr>
          <w:color w:val="000000"/>
        </w:rPr>
        <w:t xml:space="preserve"> which excludes locality</w:t>
      </w:r>
      <w:r w:rsidR="00180D01">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B532C" w:rsidRPr="00D36A11">
        <w:rPr>
          <w:bCs/>
        </w:rPr>
        <w:t>Table 2: Average Annual EPA Burden and Cost –</w:t>
      </w:r>
      <w:r w:rsidR="005B532C" w:rsidRPr="00C618E8">
        <w:rPr>
          <w:b/>
          <w:bCs/>
        </w:rPr>
        <w:t xml:space="preserve"> </w:t>
      </w:r>
      <w:r w:rsidR="005B532C">
        <w:t>NESHAP for Miscellaneous Organic Chemical Manufacturing</w:t>
      </w:r>
      <w:r w:rsidR="005B532C">
        <w:rPr>
          <w:bCs/>
        </w:rPr>
        <w:t xml:space="preserve"> (40 CFR Part 63, Subpart FFFF</w:t>
      </w:r>
      <w:r w:rsidR="005B532C">
        <w:t>)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B5C65">
        <w:rPr>
          <w:color w:val="000000"/>
        </w:rPr>
        <w:t xml:space="preserve">261 </w:t>
      </w:r>
      <w:r>
        <w:rPr>
          <w:color w:val="000000"/>
        </w:rPr>
        <w:t>existing respondents will be subject to the standard</w:t>
      </w:r>
      <w:r w:rsidR="007A5685">
        <w:rPr>
          <w:color w:val="000000"/>
        </w:rPr>
        <w:t>s in the initial year of the three-year period</w:t>
      </w:r>
      <w:r>
        <w:rPr>
          <w:color w:val="000000"/>
        </w:rPr>
        <w:t xml:space="preserve">.  It is estimated that </w:t>
      </w:r>
      <w:r w:rsidR="007A5685">
        <w:rPr>
          <w:color w:val="000000"/>
        </w:rPr>
        <w:t xml:space="preserve">an </w:t>
      </w:r>
      <w:r>
        <w:rPr>
          <w:color w:val="000000"/>
        </w:rPr>
        <w:t>additio</w:t>
      </w:r>
      <w:r w:rsidRPr="00192A1D">
        <w:t xml:space="preserve">nal </w:t>
      </w:r>
      <w:r w:rsidR="005234DE" w:rsidRPr="00192A1D">
        <w:t>two</w:t>
      </w:r>
      <w:r w:rsidR="009B5C65" w:rsidRPr="00192A1D">
        <w:t xml:space="preserve"> </w:t>
      </w:r>
      <w:r w:rsidRPr="00192A1D">
        <w:t>respondents per year will become subject.  The overall average number of responden</w:t>
      </w:r>
      <w:r w:rsidR="009A6B51" w:rsidRPr="00192A1D">
        <w:t>ts, as shown in the table below</w:t>
      </w:r>
      <w:r w:rsidR="007A5685">
        <w:t>,</w:t>
      </w:r>
      <w:r w:rsidR="009A6B51" w:rsidRPr="00192A1D">
        <w:t xml:space="preserve"> </w:t>
      </w:r>
      <w:r w:rsidRPr="00192A1D">
        <w:t xml:space="preserve">is </w:t>
      </w:r>
      <w:r w:rsidR="009B5C65" w:rsidRPr="00192A1D">
        <w:t>263</w:t>
      </w:r>
      <w:r w:rsidRPr="00192A1D">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556742">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556742">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rsidP="0055674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5674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Tr="00556742">
        <w:tc>
          <w:tcPr>
            <w:tcW w:w="900" w:type="dxa"/>
            <w:tcBorders>
              <w:top w:val="single" w:sz="4" w:space="0" w:color="auto"/>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259</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265</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261</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B5C6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9B5C65" w:rsidRDefault="009B5C65">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263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146F80">
        <w:rPr>
          <w:color w:val="000000"/>
        </w:rPr>
        <w:t xml:space="preserve"> 263</w:t>
      </w:r>
      <w:r w:rsidR="00507EC5">
        <w:rPr>
          <w:color w:val="000000"/>
        </w:rPr>
        <w:t xml:space="preserve">. </w:t>
      </w:r>
    </w:p>
    <w:p w:rsidR="00A60BCF" w:rsidRDefault="00A60BC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EF5464">
        <w:trPr>
          <w:tblHeader/>
        </w:trPr>
        <w:tc>
          <w:tcPr>
            <w:tcW w:w="9180" w:type="dxa"/>
            <w:gridSpan w:val="5"/>
          </w:tcPr>
          <w:p w:rsidR="00CA4CD6" w:rsidRDefault="00CA4CD6" w:rsidP="00192A1D">
            <w:pPr>
              <w:keepNext/>
              <w:keepLines/>
              <w:spacing w:line="120" w:lineRule="exact"/>
              <w:rPr>
                <w:color w:val="000000"/>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192A1D">
            <w:pPr>
              <w:keepNext/>
              <w:keepLines/>
              <w:spacing w:line="120" w:lineRule="exact"/>
              <w:rPr>
                <w:b/>
                <w:bCs/>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192A1D">
            <w:pPr>
              <w:keepNext/>
              <w:keepLines/>
              <w:spacing w:line="120" w:lineRule="exact"/>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rsidP="00192A1D">
            <w:pPr>
              <w:keepNext/>
              <w:keepLines/>
              <w:spacing w:line="120" w:lineRule="exact"/>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192A1D">
            <w:pPr>
              <w:keepNext/>
              <w:keepLines/>
              <w:spacing w:line="120" w:lineRule="exact"/>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192A1D">
            <w:pPr>
              <w:keepNext/>
              <w:keepLines/>
              <w:spacing w:line="120" w:lineRule="exact"/>
              <w:rPr>
                <w:color w:val="000000"/>
                <w:sz w:val="18"/>
                <w:szCs w:val="18"/>
              </w:rPr>
            </w:pP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192A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Read rule and instructions</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Required activities</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Initial performance test process vents</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Initial performance test wastewater</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Initial CMS performance evaluation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Repeat performance test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Create information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See 3E</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Gather existing information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See 3E</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Write reports</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Notification of construction/reconstruction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Notification of actual startup</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Initial notification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Emission Averaging plan</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Pre-compliance report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Notification of performance test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Notification of initial CMS performance evaluation           </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Notification of compliance status</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a.  With performance test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b.  Without performance test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Notification of physical/operational change</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Semiannual summary reports</w:t>
            </w: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A60BCF" w:rsidRDefault="00A60BCF"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a.  No deviations</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w:t>
            </w:r>
            <w:r w:rsidR="00B75B28">
              <w:rPr>
                <w:color w:val="000000"/>
                <w:sz w:val="20"/>
                <w:szCs w:val="20"/>
              </w:rPr>
              <w:t>7</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B75B28"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474</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b.  Deviations</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52</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c.  SS&amp;M report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263</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526</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d.  Leak detention and repair (LDAR) report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263</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526</w:t>
            </w:r>
          </w:p>
        </w:tc>
      </w:tr>
      <w:tr w:rsidR="00EF5464" w:rsidTr="00EF5464">
        <w:tc>
          <w:tcPr>
            <w:tcW w:w="270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        e.  Emission averaging report</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w:t>
            </w:r>
          </w:p>
        </w:tc>
        <w:tc>
          <w:tcPr>
            <w:tcW w:w="126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A60BCF" w:rsidRDefault="00EF5464" w:rsidP="00192A1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52</w:t>
            </w:r>
          </w:p>
        </w:tc>
      </w:tr>
      <w:tr w:rsidR="00EF5464" w:rsidRPr="00192A1D">
        <w:tc>
          <w:tcPr>
            <w:tcW w:w="2700" w:type="dxa"/>
          </w:tcPr>
          <w:p w:rsidR="00A60BCF" w:rsidRPr="00192A1D" w:rsidRDefault="000A0D51" w:rsidP="00192A1D">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r w:rsidRPr="00192A1D">
              <w:rPr>
                <w:b/>
                <w:sz w:val="18"/>
                <w:szCs w:val="18"/>
              </w:rPr>
              <w:t>Total</w:t>
            </w:r>
          </w:p>
        </w:tc>
        <w:tc>
          <w:tcPr>
            <w:tcW w:w="1260" w:type="dxa"/>
          </w:tcPr>
          <w:p w:rsidR="00A60BCF" w:rsidRPr="00192A1D" w:rsidRDefault="00A60BCF" w:rsidP="00192A1D">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p>
        </w:tc>
        <w:tc>
          <w:tcPr>
            <w:tcW w:w="1260" w:type="dxa"/>
          </w:tcPr>
          <w:p w:rsidR="00A60BCF" w:rsidRPr="00192A1D" w:rsidRDefault="00A60BCF" w:rsidP="00192A1D">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p>
        </w:tc>
        <w:tc>
          <w:tcPr>
            <w:tcW w:w="1890" w:type="dxa"/>
          </w:tcPr>
          <w:p w:rsidR="00EF5464" w:rsidRPr="00192A1D" w:rsidRDefault="00EF5464" w:rsidP="00192A1D">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2070" w:type="dxa"/>
          </w:tcPr>
          <w:p w:rsidR="00EF5464" w:rsidRPr="00192A1D" w:rsidRDefault="00BE3A19" w:rsidP="00192A1D">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192A1D">
              <w:rPr>
                <w:b/>
                <w:sz w:val="18"/>
                <w:szCs w:val="18"/>
              </w:rPr>
              <w:t>1,675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Responses is </w:t>
      </w:r>
      <w:r w:rsidR="00F2459D">
        <w:rPr>
          <w:color w:val="000000"/>
        </w:rPr>
        <w:t>1,675.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C4375F">
        <w:rPr>
          <w:color w:val="000000"/>
        </w:rPr>
        <w:t xml:space="preserve"> $41,294,926</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5E3612" w:rsidRPr="00D36A11">
        <w:rPr>
          <w:bCs/>
        </w:rPr>
        <w:t>Table 1: Annual Respondent Burden and Cost</w:t>
      </w:r>
      <w:r w:rsidR="005E3612" w:rsidRPr="00C618E8">
        <w:rPr>
          <w:b/>
          <w:bCs/>
        </w:rPr>
        <w:t xml:space="preserve"> – </w:t>
      </w:r>
      <w:r w:rsidR="005E3612">
        <w:t>NESHAP for Miscellaneous Organic Chemical Manufacturing</w:t>
      </w:r>
      <w:r w:rsidR="005E3612">
        <w:rPr>
          <w:bCs/>
        </w:rPr>
        <w:t xml:space="preserve"> (40 CFR Part 63, Subpart FFFF</w:t>
      </w:r>
      <w:r w:rsidR="005E3612">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00C4375F">
        <w:rPr>
          <w:color w:val="000000"/>
        </w:rPr>
        <w:t>2</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4375F">
        <w:rPr>
          <w:color w:val="000000"/>
        </w:rPr>
        <w:t>426,474</w:t>
      </w:r>
      <w:r w:rsidR="005A125D">
        <w:rPr>
          <w:color w:val="000000"/>
        </w:rPr>
        <w:t xml:space="preserve"> hours</w:t>
      </w:r>
      <w:r w:rsidR="00D9780C">
        <w:rPr>
          <w:color w:val="000000"/>
        </w:rPr>
        <w:t xml:space="preserve"> at a cost of $41,294,926</w:t>
      </w:r>
      <w:r>
        <w:rPr>
          <w:color w:val="000000"/>
        </w:rPr>
        <w:t>.</w:t>
      </w:r>
      <w:r w:rsidR="00507EC5">
        <w:rPr>
          <w:color w:val="000000"/>
        </w:rPr>
        <w:t xml:space="preserve">  </w:t>
      </w:r>
      <w:r>
        <w:rPr>
          <w:color w:val="000000"/>
        </w:rPr>
        <w:t xml:space="preserve">Details regarding these estimates may be found </w:t>
      </w:r>
      <w:r w:rsidR="00D9780C">
        <w:rPr>
          <w:color w:val="000000"/>
        </w:rPr>
        <w:t xml:space="preserve">below </w:t>
      </w:r>
      <w:r>
        <w:rPr>
          <w:color w:val="000000"/>
        </w:rPr>
        <w:t xml:space="preserve">in </w:t>
      </w:r>
      <w:r w:rsidR="005E3612" w:rsidRPr="00D36A11">
        <w:rPr>
          <w:bCs/>
        </w:rPr>
        <w:t xml:space="preserve">Table 1: Annual Respondent Burden and </w:t>
      </w:r>
      <w:r w:rsidR="005A125D">
        <w:rPr>
          <w:bCs/>
        </w:rPr>
        <w:t xml:space="preserve">   </w:t>
      </w:r>
      <w:r w:rsidR="005E3612" w:rsidRPr="00D36A11">
        <w:rPr>
          <w:bCs/>
        </w:rPr>
        <w:t>Cost</w:t>
      </w:r>
      <w:r w:rsidR="005E3612" w:rsidRPr="00C618E8">
        <w:rPr>
          <w:b/>
          <w:bCs/>
        </w:rPr>
        <w:t xml:space="preserve"> – </w:t>
      </w:r>
      <w:r w:rsidR="005E3612">
        <w:t>NESHAP for Miscellaneous Organic Chemical Manufacturing</w:t>
      </w:r>
      <w:r w:rsidR="005E3612">
        <w:rPr>
          <w:bCs/>
        </w:rPr>
        <w:t xml:space="preserve"> (40 CFR Part 63, Subpart FFFF</w:t>
      </w:r>
      <w:r w:rsidR="005E3612">
        <w:t>) (Renewal)</w:t>
      </w:r>
      <w:r>
        <w:rPr>
          <w:color w:val="000000"/>
        </w:rPr>
        <w:t xml:space="preserve">.  </w:t>
      </w:r>
    </w:p>
    <w:p w:rsidR="00A60BCF" w:rsidRDefault="005E3612">
      <w:pPr>
        <w:pBdr>
          <w:top w:val="single" w:sz="6" w:space="0" w:color="FFFFFF"/>
          <w:left w:val="single" w:sz="6" w:space="0" w:color="FFFFFF"/>
          <w:bottom w:val="single" w:sz="6" w:space="0" w:color="FFFFFF"/>
          <w:right w:val="single" w:sz="6" w:space="0" w:color="FFFFFF"/>
        </w:pBdr>
        <w:tabs>
          <w:tab w:val="left" w:pos="7214"/>
        </w:tabs>
        <w:ind w:firstLine="720"/>
        <w:rPr>
          <w:color w:val="000000"/>
        </w:rPr>
      </w:pPr>
      <w:r>
        <w:rPr>
          <w:color w:val="000000"/>
        </w:rPr>
        <w:tab/>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4375F">
        <w:rPr>
          <w:color w:val="000000"/>
        </w:rPr>
        <w:t>255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B49A0">
        <w:rPr>
          <w:color w:val="000000"/>
        </w:rPr>
        <w:t>$5,6</w:t>
      </w:r>
      <w:r w:rsidR="000A0D51">
        <w:rPr>
          <w:color w:val="000000"/>
        </w:rPr>
        <w:t>24</w:t>
      </w:r>
      <w:r w:rsidR="000B49A0">
        <w:rPr>
          <w:color w:val="000000"/>
        </w:rPr>
        <w:t>,</w:t>
      </w:r>
      <w:r w:rsidR="000A0D51">
        <w:rPr>
          <w:color w:val="000000"/>
        </w:rPr>
        <w:t>883</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F313EC">
        <w:rPr>
          <w:color w:val="000000"/>
        </w:rPr>
        <w:t>8,457</w:t>
      </w:r>
      <w:r>
        <w:rPr>
          <w:color w:val="000000"/>
        </w:rPr>
        <w:t xml:space="preserve"> labor hours at a cost of</w:t>
      </w:r>
      <w:r w:rsidR="00F313EC">
        <w:rPr>
          <w:color w:val="000000"/>
        </w:rPr>
        <w:t xml:space="preserve"> $381,097</w:t>
      </w:r>
      <w:r w:rsidR="00144F35">
        <w:rPr>
          <w:color w:val="000000"/>
        </w:rPr>
        <w:t xml:space="preserve">.  See </w:t>
      </w:r>
      <w:r w:rsidR="005A125D">
        <w:rPr>
          <w:color w:val="000000"/>
        </w:rPr>
        <w:t xml:space="preserve">below </w:t>
      </w:r>
      <w:r w:rsidR="005B532C" w:rsidRPr="00D36A11">
        <w:rPr>
          <w:bCs/>
        </w:rPr>
        <w:t>Table 2: Average Annual EPA Burden and Cost –</w:t>
      </w:r>
      <w:r w:rsidR="005B532C" w:rsidRPr="00C618E8">
        <w:rPr>
          <w:b/>
          <w:bCs/>
        </w:rPr>
        <w:t xml:space="preserve"> </w:t>
      </w:r>
      <w:r w:rsidR="005B532C">
        <w:t>NESHAP for Miscellaneous Organic Chemical Manufacturing</w:t>
      </w:r>
      <w:r w:rsidR="005B532C">
        <w:rPr>
          <w:bCs/>
        </w:rPr>
        <w:t xml:space="preserve"> (40 CFR </w:t>
      </w:r>
      <w:proofErr w:type="gramStart"/>
      <w:r w:rsidR="005B532C">
        <w:rPr>
          <w:bCs/>
        </w:rPr>
        <w:t>Part</w:t>
      </w:r>
      <w:proofErr w:type="gramEnd"/>
      <w:r w:rsidR="005B532C">
        <w:rPr>
          <w:bCs/>
        </w:rPr>
        <w:t xml:space="preserve"> 63, Subpart FFFF</w:t>
      </w:r>
      <w:r w:rsidR="005B532C">
        <w:t>) (Renewal)</w:t>
      </w:r>
      <w:r w:rsidR="00CC2793" w:rsidRPr="00CC2793">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25048" w:rsidRDefault="00C70C6D">
      <w:pPr>
        <w:pBdr>
          <w:top w:val="single" w:sz="6" w:space="0" w:color="FFFFFF"/>
          <w:left w:val="single" w:sz="6" w:space="0" w:color="FFFFFF"/>
          <w:bottom w:val="single" w:sz="6" w:space="0" w:color="FFFFFF"/>
          <w:right w:val="single" w:sz="6" w:space="0" w:color="FFFFFF"/>
        </w:pBdr>
        <w:ind w:firstLine="720"/>
      </w:pPr>
      <w:r>
        <w:t xml:space="preserve">There is an increase in burden hours and costs for both the respondents and the Agency.  </w:t>
      </w:r>
      <w:r w:rsidR="00525048" w:rsidRPr="008758CD">
        <w:t>Th</w:t>
      </w:r>
      <w:r>
        <w:t>is</w:t>
      </w:r>
      <w:r w:rsidR="00525048" w:rsidRPr="008758CD">
        <w:t xml:space="preserve"> increase</w:t>
      </w:r>
      <w:r w:rsidR="00525048">
        <w:rPr>
          <w:color w:val="000000"/>
        </w:rPr>
        <w:t xml:space="preserve"> in burden from the most</w:t>
      </w:r>
      <w:r w:rsidR="005A125D">
        <w:rPr>
          <w:color w:val="000000"/>
        </w:rPr>
        <w:t>-</w:t>
      </w:r>
      <w:r w:rsidR="00525048">
        <w:rPr>
          <w:color w:val="000000"/>
        </w:rPr>
        <w:t xml:space="preserve">recently approved ICR is due to adjustments in labor rates and </w:t>
      </w:r>
      <w:r w:rsidR="000A0D51">
        <w:rPr>
          <w:color w:val="000000"/>
        </w:rPr>
        <w:t xml:space="preserve">an increase in the </w:t>
      </w:r>
      <w:r w:rsidR="00192A1D">
        <w:rPr>
          <w:color w:val="000000"/>
        </w:rPr>
        <w:t xml:space="preserve">estimated </w:t>
      </w:r>
      <w:r w:rsidR="000A0D51">
        <w:rPr>
          <w:color w:val="000000"/>
        </w:rPr>
        <w:t>number of respondents subject to the regulations</w:t>
      </w:r>
      <w:r w:rsidR="00525048">
        <w:rPr>
          <w:color w:val="000000"/>
        </w:rPr>
        <w:t xml:space="preserve">.  </w:t>
      </w:r>
      <w:r w:rsidR="00525048" w:rsidRPr="00933B74">
        <w:t xml:space="preserve">This ICR uses updated labor rates from the Bureau of Labor Statistics to calculate </w:t>
      </w:r>
      <w:r>
        <w:t xml:space="preserve">all </w:t>
      </w:r>
      <w:r w:rsidR="00525048" w:rsidRPr="00933B74">
        <w:t>burden costs.</w:t>
      </w:r>
      <w:r>
        <w:t xml:space="preserve">  Additionally, this ICR assumes the respondent universe has increased by six sources (growth rate of two sources per year) since the last renewal. The growth in the number of respondents also results in</w:t>
      </w:r>
      <w:r w:rsidR="005A125D">
        <w:t xml:space="preserve"> a corresponding </w:t>
      </w:r>
      <w:r>
        <w:t xml:space="preserve">increase in the total O&amp;M costs. </w:t>
      </w:r>
    </w:p>
    <w:p w:rsidR="00525048" w:rsidRDefault="00525048">
      <w:pPr>
        <w:pBdr>
          <w:top w:val="single" w:sz="6" w:space="0" w:color="FFFFFF"/>
          <w:left w:val="single" w:sz="6" w:space="0" w:color="FFFFFF"/>
          <w:bottom w:val="single" w:sz="6" w:space="0" w:color="FFFFFF"/>
          <w:right w:val="single" w:sz="6" w:space="0" w:color="FFFFFF"/>
        </w:pBdr>
        <w:ind w:firstLine="720"/>
        <w:rPr>
          <w:color w:val="FF0000"/>
        </w:rPr>
      </w:pPr>
    </w:p>
    <w:p w:rsidR="00A60BCF" w:rsidRDefault="00525048" w:rsidP="004D171B">
      <w:pPr>
        <w:pBdr>
          <w:top w:val="single" w:sz="6" w:space="0" w:color="FFFFFF"/>
          <w:left w:val="single" w:sz="6" w:space="0" w:color="FFFFFF"/>
          <w:bottom w:val="single" w:sz="6" w:space="0" w:color="FFFFFF"/>
          <w:right w:val="single" w:sz="6" w:space="0" w:color="FFFFFF"/>
        </w:pBdr>
        <w:rPr>
          <w:color w:val="FF0000"/>
        </w:rPr>
      </w:pPr>
      <w:r w:rsidRPr="00192A1D">
        <w:tab/>
      </w:r>
      <w:r w:rsidR="00C70C6D" w:rsidRPr="00192A1D">
        <w:t xml:space="preserve">However, there is a decrease in the total </w:t>
      </w:r>
      <w:r w:rsidR="00CC2793" w:rsidRPr="00192A1D">
        <w:t>capital/star</w:t>
      </w:r>
      <w:r w:rsidR="00CC2793" w:rsidRPr="00CC2793">
        <w:t xml:space="preserve">tup </w:t>
      </w:r>
      <w:r w:rsidR="00C70C6D">
        <w:t xml:space="preserve">costs </w:t>
      </w:r>
      <w:r w:rsidR="009F7B20">
        <w:t xml:space="preserve">from the most recently approved ICR.  The previous ICR calculated annualized </w:t>
      </w:r>
      <w:r w:rsidR="00192A1D">
        <w:t xml:space="preserve">capital </w:t>
      </w:r>
      <w:r w:rsidR="009F7B20">
        <w:t xml:space="preserve">costs over 15 years, using an interest rate of 7 percent, and assumed the costs were incurred by both new and existing sources.  </w:t>
      </w:r>
      <w:r w:rsidR="009F7B20">
        <w:lastRenderedPageBreak/>
        <w:t xml:space="preserve">This ICR assumes capital costs are one-time costs for new respondents only.  This </w:t>
      </w:r>
      <w:r w:rsidR="005A125D">
        <w:t xml:space="preserve">assumption </w:t>
      </w:r>
      <w:r w:rsidR="009F7B20">
        <w:t xml:space="preserve">results in a decrease in the total capital </w:t>
      </w:r>
      <w:r w:rsidR="00192A1D">
        <w:t>costs because only new sources</w:t>
      </w:r>
      <w:r w:rsidR="004D171B">
        <w:t xml:space="preserve"> are subject to these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D30852">
        <w:rPr>
          <w:color w:val="000000"/>
        </w:rPr>
        <w:t xml:space="preserve"> 255</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9761E">
        <w:t>EPA-HQ-OECA-2012-0519</w:t>
      </w:r>
      <w:r w:rsidR="00CC2793" w:rsidRPr="00CC2793">
        <w:t>.</w:t>
      </w:r>
      <w:r w:rsidR="00354C15">
        <w:rPr>
          <w:color w:val="FF0000"/>
        </w:rPr>
        <w:t xml:space="preserve">  </w:t>
      </w:r>
      <w:r w:rsidR="00354C15" w:rsidRPr="00354C15">
        <w:t xml:space="preserve">An electronic version of the public docket is available at </w:t>
      </w:r>
      <w:r w:rsidR="00354C15" w:rsidRPr="00B21E46">
        <w:rPr>
          <w:u w:val="single"/>
        </w:rPr>
        <w:t>http://www.regulations.gov</w:t>
      </w:r>
      <w:r w:rsidR="00354C15" w:rsidRPr="00354C15">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A125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9761E">
        <w:t>EPA-HQ-OECA-2012-0519</w:t>
      </w:r>
      <w:r w:rsidR="00CA4CD6">
        <w:t xml:space="preserve"> and OMB Control Number </w:t>
      </w:r>
      <w:r w:rsidR="0019761E">
        <w:t>2060-0533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RDefault="005E3612" w:rsidP="002768B7">
      <w:pPr>
        <w:jc w:val="center"/>
        <w:rPr>
          <w:b/>
          <w:bCs/>
          <w:color w:val="000000"/>
        </w:rPr>
      </w:pPr>
      <w:r w:rsidRPr="005E3612">
        <w:rPr>
          <w:b/>
          <w:bCs/>
          <w:color w:val="000000"/>
        </w:rPr>
        <w:lastRenderedPageBreak/>
        <w:t>Table 1: Annual Respondent Burden and Cost – NESHAP for Miscellaneous Organic Chemical Manufacturing (40 CFR Part 63, Subpart FFFF) (Renewal)</w:t>
      </w:r>
    </w:p>
    <w:p w:rsidR="00144F35" w:rsidRDefault="00144F35" w:rsidP="00F340DF">
      <w:pPr>
        <w:rPr>
          <w:b/>
          <w:bCs/>
          <w:color w:val="000000"/>
        </w:rPr>
      </w:pPr>
    </w:p>
    <w:tbl>
      <w:tblPr>
        <w:tblW w:w="13041" w:type="dxa"/>
        <w:jc w:val="center"/>
        <w:tblInd w:w="-683" w:type="dxa"/>
        <w:tblLook w:val="04A0"/>
      </w:tblPr>
      <w:tblGrid>
        <w:gridCol w:w="3840"/>
        <w:gridCol w:w="1066"/>
        <w:gridCol w:w="1136"/>
        <w:gridCol w:w="1252"/>
        <w:gridCol w:w="1232"/>
        <w:gridCol w:w="966"/>
        <w:gridCol w:w="1226"/>
        <w:gridCol w:w="903"/>
        <w:gridCol w:w="1420"/>
      </w:tblGrid>
      <w:tr w:rsidR="00196DE1" w:rsidRPr="002768B7" w:rsidTr="00196DE1">
        <w:trPr>
          <w:trHeight w:val="1545"/>
          <w:tblHeader/>
          <w:jc w:val="center"/>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8B7" w:rsidRPr="002768B7" w:rsidRDefault="00292372">
            <w:pPr>
              <w:widowControl/>
              <w:autoSpaceDE/>
              <w:autoSpaceDN/>
              <w:adjustRightInd/>
              <w:jc w:val="center"/>
              <w:rPr>
                <w:b/>
                <w:color w:val="000000"/>
                <w:sz w:val="18"/>
                <w:szCs w:val="18"/>
              </w:rPr>
            </w:pPr>
            <w:r w:rsidRPr="002768B7">
              <w:rPr>
                <w:b/>
                <w:color w:val="000000"/>
                <w:sz w:val="18"/>
                <w:szCs w:val="18"/>
              </w:rPr>
              <w:t>Burden Item</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6F22AE" w:rsidRPr="002768B7" w:rsidRDefault="00292372" w:rsidP="006F22AE">
            <w:pPr>
              <w:widowControl/>
              <w:autoSpaceDE/>
              <w:autoSpaceDN/>
              <w:adjustRightInd/>
              <w:jc w:val="center"/>
              <w:rPr>
                <w:b/>
                <w:color w:val="000000"/>
                <w:sz w:val="18"/>
                <w:szCs w:val="18"/>
              </w:rPr>
            </w:pPr>
            <w:r w:rsidRPr="002768B7">
              <w:rPr>
                <w:b/>
                <w:color w:val="000000"/>
                <w:sz w:val="18"/>
                <w:szCs w:val="18"/>
              </w:rPr>
              <w:t xml:space="preserve">(A) </w:t>
            </w:r>
          </w:p>
          <w:p w:rsidR="006F22AE" w:rsidRPr="002768B7" w:rsidRDefault="00292372" w:rsidP="006F22AE">
            <w:pPr>
              <w:widowControl/>
              <w:autoSpaceDE/>
              <w:autoSpaceDN/>
              <w:adjustRightInd/>
              <w:jc w:val="center"/>
              <w:rPr>
                <w:b/>
                <w:color w:val="000000"/>
                <w:sz w:val="18"/>
                <w:szCs w:val="18"/>
              </w:rPr>
            </w:pPr>
            <w:r w:rsidRPr="002768B7">
              <w:rPr>
                <w:b/>
                <w:color w:val="000000"/>
                <w:sz w:val="18"/>
                <w:szCs w:val="18"/>
              </w:rPr>
              <w:t>Person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 xml:space="preserve">(B) </w:t>
            </w:r>
          </w:p>
          <w:p w:rsidR="00525048" w:rsidRPr="002768B7" w:rsidRDefault="00292372">
            <w:pPr>
              <w:widowControl/>
              <w:autoSpaceDE/>
              <w:autoSpaceDN/>
              <w:adjustRightInd/>
              <w:jc w:val="center"/>
              <w:rPr>
                <w:b/>
                <w:color w:val="000000"/>
                <w:sz w:val="18"/>
                <w:szCs w:val="18"/>
              </w:rPr>
            </w:pPr>
            <w:r w:rsidRPr="002768B7">
              <w:rPr>
                <w:b/>
                <w:color w:val="000000"/>
                <w:sz w:val="18"/>
                <w:szCs w:val="18"/>
              </w:rPr>
              <w:t>No. of occurrences per respondent per year</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 xml:space="preserve">(C) </w:t>
            </w:r>
          </w:p>
          <w:p w:rsidR="00525048" w:rsidRPr="002768B7" w:rsidRDefault="00292372">
            <w:pPr>
              <w:widowControl/>
              <w:autoSpaceDE/>
              <w:autoSpaceDN/>
              <w:adjustRightInd/>
              <w:jc w:val="center"/>
              <w:rPr>
                <w:b/>
                <w:color w:val="000000"/>
                <w:sz w:val="18"/>
                <w:szCs w:val="18"/>
              </w:rPr>
            </w:pPr>
            <w:r w:rsidRPr="002768B7">
              <w:rPr>
                <w:b/>
                <w:color w:val="000000"/>
                <w:sz w:val="18"/>
                <w:szCs w:val="18"/>
              </w:rPr>
              <w:t>Person hours per respondent per year (C=</w:t>
            </w:r>
            <w:proofErr w:type="spellStart"/>
            <w:r w:rsidRPr="002768B7">
              <w:rPr>
                <w:b/>
                <w:color w:val="000000"/>
                <w:sz w:val="18"/>
                <w:szCs w:val="18"/>
              </w:rPr>
              <w:t>AxB</w:t>
            </w:r>
            <w:proofErr w:type="spellEnd"/>
            <w:r w:rsidRPr="002768B7">
              <w:rPr>
                <w:b/>
                <w:color w:val="000000"/>
                <w:sz w:val="18"/>
                <w:szCs w:val="18"/>
              </w:rPr>
              <w:t>)</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(D) Respondents per year</w:t>
            </w:r>
            <w:r w:rsidR="004D171B">
              <w:rPr>
                <w:b/>
                <w:color w:val="000000"/>
                <w:sz w:val="18"/>
                <w:szCs w:val="18"/>
              </w:rPr>
              <w:t xml:space="preserve"> </w:t>
            </w:r>
            <w:r w:rsidRPr="002768B7">
              <w:rPr>
                <w:b/>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(E) Technical person-hours per year (E=</w:t>
            </w:r>
            <w:proofErr w:type="spellStart"/>
            <w:r w:rsidRPr="002768B7">
              <w:rPr>
                <w:b/>
                <w:color w:val="000000"/>
                <w:sz w:val="18"/>
                <w:szCs w:val="18"/>
              </w:rPr>
              <w:t>CxD</w:t>
            </w:r>
            <w:proofErr w:type="spellEnd"/>
            <w:r w:rsidRPr="002768B7">
              <w:rPr>
                <w:b/>
                <w:color w:val="000000"/>
                <w:sz w:val="18"/>
                <w:szCs w:val="18"/>
              </w:rPr>
              <w:t>)</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(F) Management person hours per year (Ex0.05)</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1A3938" w:rsidRDefault="00292372">
            <w:pPr>
              <w:widowControl/>
              <w:autoSpaceDE/>
              <w:autoSpaceDN/>
              <w:adjustRightInd/>
              <w:jc w:val="center"/>
              <w:rPr>
                <w:b/>
                <w:color w:val="000000"/>
                <w:sz w:val="18"/>
                <w:szCs w:val="18"/>
              </w:rPr>
            </w:pPr>
            <w:r w:rsidRPr="002768B7">
              <w:rPr>
                <w:b/>
                <w:color w:val="000000"/>
                <w:sz w:val="18"/>
                <w:szCs w:val="18"/>
              </w:rPr>
              <w:t xml:space="preserve">(G) </w:t>
            </w:r>
          </w:p>
          <w:p w:rsidR="00525048" w:rsidRPr="002768B7" w:rsidRDefault="00292372">
            <w:pPr>
              <w:widowControl/>
              <w:autoSpaceDE/>
              <w:autoSpaceDN/>
              <w:adjustRightInd/>
              <w:jc w:val="center"/>
              <w:rPr>
                <w:b/>
                <w:color w:val="000000"/>
                <w:sz w:val="18"/>
                <w:szCs w:val="18"/>
              </w:rPr>
            </w:pPr>
            <w:r w:rsidRPr="002768B7">
              <w:rPr>
                <w:b/>
                <w:color w:val="000000"/>
                <w:sz w:val="18"/>
                <w:szCs w:val="18"/>
              </w:rPr>
              <w:t>Clerical person hours per year (Ex0.1)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525048" w:rsidRPr="002768B7" w:rsidRDefault="00292372">
            <w:pPr>
              <w:widowControl/>
              <w:autoSpaceDE/>
              <w:autoSpaceDN/>
              <w:adjustRightInd/>
              <w:jc w:val="center"/>
              <w:rPr>
                <w:b/>
                <w:color w:val="000000"/>
                <w:sz w:val="18"/>
                <w:szCs w:val="18"/>
              </w:rPr>
            </w:pPr>
            <w:r w:rsidRPr="002768B7">
              <w:rPr>
                <w:b/>
                <w:color w:val="000000"/>
                <w:sz w:val="18"/>
                <w:szCs w:val="18"/>
              </w:rPr>
              <w:t xml:space="preserve">(H) </w:t>
            </w:r>
          </w:p>
          <w:p w:rsidR="00525048" w:rsidRPr="002768B7" w:rsidRDefault="00292372">
            <w:pPr>
              <w:widowControl/>
              <w:autoSpaceDE/>
              <w:autoSpaceDN/>
              <w:adjustRightInd/>
              <w:jc w:val="center"/>
              <w:rPr>
                <w:b/>
                <w:color w:val="000000"/>
                <w:sz w:val="18"/>
                <w:szCs w:val="18"/>
              </w:rPr>
            </w:pPr>
            <w:r w:rsidRPr="002768B7">
              <w:rPr>
                <w:b/>
                <w:color w:val="000000"/>
                <w:sz w:val="18"/>
                <w:szCs w:val="18"/>
              </w:rPr>
              <w:t>Total Cost per year, $</w:t>
            </w:r>
            <w:r w:rsidR="004D171B">
              <w:rPr>
                <w:b/>
                <w:color w:val="000000"/>
                <w:sz w:val="18"/>
                <w:szCs w:val="18"/>
              </w:rPr>
              <w:t xml:space="preserve"> </w:t>
            </w:r>
            <w:r w:rsidRPr="002768B7">
              <w:rPr>
                <w:b/>
                <w:color w:val="000000"/>
                <w:sz w:val="18"/>
                <w:szCs w:val="18"/>
                <w:vertAlign w:val="superscript"/>
              </w:rPr>
              <w:t>b</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1.  Applications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2.  Surveys and studies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3.  Reporting requirements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r>
      <w:tr w:rsidR="00196DE1" w:rsidRPr="002768B7" w:rsidTr="00196DE1">
        <w:trPr>
          <w:trHeight w:val="278"/>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a.  Read rule and instructions </w:t>
            </w:r>
            <w:r w:rsidRPr="002768B7">
              <w:rPr>
                <w:color w:val="000000"/>
                <w:sz w:val="18"/>
                <w:szCs w:val="18"/>
                <w:vertAlign w:val="superscript"/>
              </w:rPr>
              <w:t>c</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192A1D">
            <w:pPr>
              <w:widowControl/>
              <w:autoSpaceDE/>
              <w:autoSpaceDN/>
              <w:adjustRightInd/>
              <w:jc w:val="center"/>
              <w:rPr>
                <w:color w:val="000000"/>
                <w:sz w:val="18"/>
                <w:szCs w:val="18"/>
              </w:rPr>
            </w:pPr>
            <w:r>
              <w:rPr>
                <w:color w:val="000000"/>
                <w:sz w:val="18"/>
                <w:szCs w:val="18"/>
              </w:rPr>
              <w:t>0.1</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192A1D">
            <w:pPr>
              <w:widowControl/>
              <w:autoSpaceDE/>
              <w:autoSpaceDN/>
              <w:adjustRightInd/>
              <w:jc w:val="center"/>
              <w:rPr>
                <w:color w:val="000000"/>
                <w:sz w:val="18"/>
                <w:szCs w:val="18"/>
              </w:rPr>
            </w:pPr>
            <w:r>
              <w:rPr>
                <w:color w:val="000000"/>
                <w:sz w:val="18"/>
                <w:szCs w:val="18"/>
              </w:rPr>
              <w:t>0.2</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xml:space="preserve">$222.71 </w:t>
            </w:r>
          </w:p>
        </w:tc>
      </w:tr>
      <w:tr w:rsidR="00196DE1" w:rsidRPr="002768B7" w:rsidTr="00196DE1">
        <w:trPr>
          <w:trHeight w:val="287"/>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b.  Required activities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32"/>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1A3938">
            <w:pPr>
              <w:widowControl/>
              <w:autoSpaceDE/>
              <w:autoSpaceDN/>
              <w:adjustRightInd/>
              <w:rPr>
                <w:color w:val="000000"/>
                <w:sz w:val="18"/>
                <w:szCs w:val="18"/>
              </w:rPr>
            </w:pPr>
            <w:r w:rsidRPr="002768B7">
              <w:rPr>
                <w:color w:val="000000"/>
                <w:sz w:val="18"/>
                <w:szCs w:val="18"/>
              </w:rPr>
              <w:t xml:space="preserve">       </w:t>
            </w:r>
            <w:proofErr w:type="spellStart"/>
            <w:r w:rsidRPr="002768B7">
              <w:rPr>
                <w:color w:val="000000"/>
                <w:sz w:val="18"/>
                <w:szCs w:val="18"/>
              </w:rPr>
              <w:t>i</w:t>
            </w:r>
            <w:proofErr w:type="spellEnd"/>
            <w:r w:rsidRPr="002768B7">
              <w:rPr>
                <w:color w:val="000000"/>
                <w:sz w:val="18"/>
                <w:szCs w:val="18"/>
              </w:rPr>
              <w:t xml:space="preserve">.  Initial performance test – </w:t>
            </w:r>
            <w:r w:rsidR="001A3938">
              <w:rPr>
                <w:color w:val="000000"/>
                <w:sz w:val="18"/>
                <w:szCs w:val="18"/>
              </w:rPr>
              <w:t>process vents</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480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480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960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48</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96</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$106,898.88</w:t>
            </w:r>
          </w:p>
        </w:tc>
      </w:tr>
      <w:tr w:rsidR="00196DE1" w:rsidRPr="002768B7" w:rsidTr="00196DE1">
        <w:trPr>
          <w:trHeight w:val="278"/>
          <w:jc w:val="center"/>
        </w:trPr>
        <w:tc>
          <w:tcPr>
            <w:tcW w:w="3866" w:type="dxa"/>
            <w:tcBorders>
              <w:top w:val="nil"/>
              <w:left w:val="single" w:sz="4" w:space="0" w:color="auto"/>
              <w:bottom w:val="single" w:sz="4" w:space="0" w:color="auto"/>
              <w:right w:val="single" w:sz="4" w:space="0" w:color="auto"/>
            </w:tcBorders>
            <w:shd w:val="clear" w:color="auto" w:fill="auto"/>
            <w:hideMark/>
          </w:tcPr>
          <w:p w:rsidR="001A3938" w:rsidRPr="002768B7" w:rsidRDefault="001A3938" w:rsidP="001A3938">
            <w:pPr>
              <w:widowControl/>
              <w:autoSpaceDE/>
              <w:autoSpaceDN/>
              <w:adjustRightInd/>
              <w:rPr>
                <w:color w:val="000000"/>
                <w:sz w:val="18"/>
                <w:szCs w:val="18"/>
              </w:rPr>
            </w:pPr>
            <w:r>
              <w:rPr>
                <w:color w:val="000000"/>
                <w:sz w:val="18"/>
                <w:szCs w:val="18"/>
              </w:rPr>
              <w:t xml:space="preserve">      ii.  Initial performance test – wastewater</w:t>
            </w:r>
          </w:p>
        </w:tc>
        <w:tc>
          <w:tcPr>
            <w:tcW w:w="1034"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160</w:t>
            </w:r>
          </w:p>
        </w:tc>
        <w:tc>
          <w:tcPr>
            <w:tcW w:w="1136"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160</w:t>
            </w:r>
          </w:p>
        </w:tc>
        <w:tc>
          <w:tcPr>
            <w:tcW w:w="1233"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320</w:t>
            </w:r>
          </w:p>
        </w:tc>
        <w:tc>
          <w:tcPr>
            <w:tcW w:w="1226"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16</w:t>
            </w:r>
          </w:p>
        </w:tc>
        <w:tc>
          <w:tcPr>
            <w:tcW w:w="904"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2768B7">
            <w:pPr>
              <w:widowControl/>
              <w:autoSpaceDE/>
              <w:autoSpaceDN/>
              <w:adjustRightInd/>
              <w:jc w:val="center"/>
              <w:rPr>
                <w:color w:val="000000"/>
                <w:sz w:val="18"/>
                <w:szCs w:val="18"/>
              </w:rPr>
            </w:pPr>
            <w:r>
              <w:rPr>
                <w:color w:val="000000"/>
                <w:sz w:val="18"/>
                <w:szCs w:val="18"/>
              </w:rPr>
              <w:t>32</w:t>
            </w:r>
          </w:p>
        </w:tc>
        <w:tc>
          <w:tcPr>
            <w:tcW w:w="1421" w:type="dxa"/>
            <w:tcBorders>
              <w:top w:val="nil"/>
              <w:left w:val="nil"/>
              <w:bottom w:val="single" w:sz="4" w:space="0" w:color="auto"/>
              <w:right w:val="single" w:sz="4" w:space="0" w:color="auto"/>
            </w:tcBorders>
            <w:shd w:val="clear" w:color="auto" w:fill="auto"/>
            <w:vAlign w:val="center"/>
            <w:hideMark/>
          </w:tcPr>
          <w:p w:rsidR="001A3938" w:rsidRPr="002768B7" w:rsidRDefault="001A3938" w:rsidP="00171F19">
            <w:pPr>
              <w:widowControl/>
              <w:autoSpaceDE/>
              <w:autoSpaceDN/>
              <w:adjustRightInd/>
              <w:jc w:val="right"/>
              <w:rPr>
                <w:color w:val="000000"/>
                <w:sz w:val="18"/>
                <w:szCs w:val="18"/>
              </w:rPr>
            </w:pPr>
            <w:r>
              <w:rPr>
                <w:color w:val="000000"/>
                <w:sz w:val="18"/>
                <w:szCs w:val="18"/>
              </w:rPr>
              <w:t>$35,632.96</w:t>
            </w:r>
          </w:p>
        </w:tc>
      </w:tr>
      <w:tr w:rsidR="00196DE1" w:rsidRPr="002768B7" w:rsidTr="00196DE1">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iii.  Initial CMS performance evaluation </w:t>
            </w:r>
            <w:r w:rsidRPr="002768B7">
              <w:rPr>
                <w:color w:val="000000"/>
                <w:sz w:val="18"/>
                <w:szCs w:val="18"/>
                <w:vertAlign w:val="superscript"/>
              </w:rPr>
              <w:t>d</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xml:space="preserve">$0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iv.  Repeat performance test</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$4,454.12</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c.  Create information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See 3E</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269"/>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d.  Gather existing information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See 3E</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e.  Write report</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0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1A3938">
            <w:pPr>
              <w:widowControl/>
              <w:autoSpaceDE/>
              <w:autoSpaceDN/>
              <w:adjustRightInd/>
              <w:rPr>
                <w:color w:val="000000"/>
                <w:sz w:val="18"/>
                <w:szCs w:val="18"/>
              </w:rPr>
            </w:pPr>
            <w:r w:rsidRPr="002768B7">
              <w:rPr>
                <w:color w:val="000000"/>
                <w:sz w:val="18"/>
                <w:szCs w:val="18"/>
              </w:rPr>
              <w:t xml:space="preserve">      </w:t>
            </w:r>
            <w:proofErr w:type="spellStart"/>
            <w:r w:rsidRPr="002768B7">
              <w:rPr>
                <w:color w:val="000000"/>
                <w:sz w:val="18"/>
                <w:szCs w:val="18"/>
              </w:rPr>
              <w:t>i</w:t>
            </w:r>
            <w:proofErr w:type="spellEnd"/>
            <w:r w:rsidRPr="002768B7">
              <w:rPr>
                <w:color w:val="000000"/>
                <w:sz w:val="18"/>
                <w:szCs w:val="18"/>
              </w:rPr>
              <w:t xml:space="preserve">.  Notification of </w:t>
            </w:r>
            <w:proofErr w:type="spellStart"/>
            <w:r w:rsidRPr="002768B7">
              <w:rPr>
                <w:color w:val="000000"/>
                <w:sz w:val="18"/>
                <w:szCs w:val="18"/>
              </w:rPr>
              <w:t>constructio</w:t>
            </w:r>
            <w:proofErr w:type="spellEnd"/>
            <w:r w:rsidRPr="002768B7">
              <w:rPr>
                <w:color w:val="000000"/>
                <w:sz w:val="18"/>
                <w:szCs w:val="18"/>
              </w:rPr>
              <w:t>/reconstruction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w:t>
            </w:r>
          </w:p>
        </w:tc>
      </w:tr>
      <w:tr w:rsidR="00196DE1" w:rsidRPr="002768B7" w:rsidTr="00196DE1">
        <w:trPr>
          <w:trHeight w:val="332"/>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ii.  Notification of actual startup</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iii.   Initial notification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w:t>
            </w:r>
          </w:p>
        </w:tc>
      </w:tr>
      <w:tr w:rsidR="00196DE1" w:rsidRPr="002768B7" w:rsidTr="00196DE1">
        <w:trPr>
          <w:trHeight w:val="314"/>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iv.   Emissions averaging plan </w:t>
            </w:r>
            <w:r w:rsidRPr="002768B7">
              <w:rPr>
                <w:color w:val="000000"/>
                <w:sz w:val="18"/>
                <w:szCs w:val="18"/>
                <w:vertAlign w:val="superscript"/>
              </w:rPr>
              <w:t>e</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 xml:space="preserve">$0 </w:t>
            </w:r>
          </w:p>
        </w:tc>
      </w:tr>
      <w:tr w:rsidR="00196DE1" w:rsidRPr="002768B7" w:rsidTr="00196DE1">
        <w:trPr>
          <w:trHeight w:val="278"/>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v.   Pre-compliance report </w:t>
            </w:r>
            <w:r w:rsidRPr="002768B7">
              <w:rPr>
                <w:color w:val="000000"/>
                <w:sz w:val="18"/>
                <w:szCs w:val="18"/>
                <w:vertAlign w:val="superscript"/>
              </w:rPr>
              <w:t>f</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$4,454.12</w:t>
            </w:r>
          </w:p>
        </w:tc>
      </w:tr>
      <w:tr w:rsidR="00196DE1" w:rsidRPr="002768B7" w:rsidTr="00196DE1">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vi.   Performance test notification </w:t>
            </w:r>
            <w:r w:rsidRPr="002768B7">
              <w:rPr>
                <w:color w:val="000000"/>
                <w:sz w:val="18"/>
                <w:szCs w:val="18"/>
                <w:vertAlign w:val="superscript"/>
              </w:rPr>
              <w:t>g</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0.2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71F19">
            <w:pPr>
              <w:widowControl/>
              <w:autoSpaceDE/>
              <w:autoSpaceDN/>
              <w:adjustRightInd/>
              <w:jc w:val="right"/>
              <w:rPr>
                <w:color w:val="000000"/>
                <w:sz w:val="18"/>
                <w:szCs w:val="18"/>
              </w:rPr>
            </w:pPr>
            <w:r w:rsidRPr="002768B7">
              <w:rPr>
                <w:color w:val="000000"/>
                <w:sz w:val="18"/>
                <w:szCs w:val="18"/>
              </w:rPr>
              <w:t>$445.41</w:t>
            </w:r>
          </w:p>
        </w:tc>
      </w:tr>
      <w:tr w:rsidR="00196DE1" w:rsidRPr="002768B7" w:rsidTr="0073006C">
        <w:trPr>
          <w:trHeight w:val="440"/>
          <w:jc w:val="center"/>
        </w:trPr>
        <w:tc>
          <w:tcPr>
            <w:tcW w:w="3866" w:type="dxa"/>
            <w:tcBorders>
              <w:top w:val="nil"/>
              <w:left w:val="single" w:sz="4" w:space="0" w:color="auto"/>
              <w:bottom w:val="single" w:sz="4" w:space="0" w:color="auto"/>
              <w:right w:val="single" w:sz="4" w:space="0" w:color="auto"/>
            </w:tcBorders>
            <w:shd w:val="clear" w:color="auto" w:fill="auto"/>
            <w:hideMark/>
          </w:tcPr>
          <w:p w:rsidR="007718FC" w:rsidRDefault="006F22AE" w:rsidP="006F22AE">
            <w:pPr>
              <w:widowControl/>
              <w:autoSpaceDE/>
              <w:autoSpaceDN/>
              <w:adjustRightInd/>
              <w:rPr>
                <w:color w:val="000000"/>
                <w:sz w:val="18"/>
                <w:szCs w:val="18"/>
              </w:rPr>
            </w:pPr>
            <w:r w:rsidRPr="002768B7">
              <w:rPr>
                <w:color w:val="000000"/>
                <w:sz w:val="18"/>
                <w:szCs w:val="18"/>
              </w:rPr>
              <w:t xml:space="preserve">  vii.   Notification of initial CMS </w:t>
            </w:r>
          </w:p>
          <w:p w:rsidR="006F22AE" w:rsidRPr="002768B7" w:rsidRDefault="007718FC" w:rsidP="006F22AE">
            <w:pPr>
              <w:widowControl/>
              <w:autoSpaceDE/>
              <w:autoSpaceDN/>
              <w:adjustRightInd/>
              <w:rPr>
                <w:color w:val="000000"/>
                <w:sz w:val="18"/>
                <w:szCs w:val="18"/>
              </w:rPr>
            </w:pPr>
            <w:r>
              <w:rPr>
                <w:color w:val="000000"/>
                <w:sz w:val="18"/>
                <w:szCs w:val="18"/>
              </w:rPr>
              <w:t xml:space="preserve">          </w:t>
            </w:r>
            <w:r w:rsidR="006F22AE" w:rsidRPr="002768B7">
              <w:rPr>
                <w:color w:val="000000"/>
                <w:sz w:val="18"/>
                <w:szCs w:val="18"/>
              </w:rPr>
              <w:t>performance evaluation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xml:space="preserve">$0 </w:t>
            </w:r>
          </w:p>
        </w:tc>
      </w:tr>
      <w:tr w:rsidR="00196DE1" w:rsidRPr="002768B7" w:rsidTr="00196DE1">
        <w:trPr>
          <w:trHeight w:val="278"/>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viii.  Notification of compliance status</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a.  With performance test </w:t>
            </w:r>
            <w:r w:rsidRPr="002768B7">
              <w:rPr>
                <w:color w:val="000000"/>
                <w:sz w:val="18"/>
                <w:szCs w:val="18"/>
                <w:vertAlign w:val="superscript"/>
              </w:rPr>
              <w:t>g</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160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16</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$17,816.48</w:t>
            </w:r>
          </w:p>
        </w:tc>
      </w:tr>
      <w:tr w:rsidR="00196DE1" w:rsidRPr="002768B7" w:rsidTr="00196DE1">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lastRenderedPageBreak/>
              <w:t xml:space="preserve">          b.  Without performance test </w:t>
            </w:r>
            <w:r w:rsidRPr="002768B7">
              <w:rPr>
                <w:color w:val="000000"/>
                <w:sz w:val="18"/>
                <w:szCs w:val="18"/>
                <w:vertAlign w:val="superscript"/>
              </w:rPr>
              <w:t>h</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120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120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xml:space="preserve">$0 </w:t>
            </w:r>
          </w:p>
        </w:tc>
      </w:tr>
      <w:tr w:rsidR="00196DE1" w:rsidRPr="002768B7" w:rsidTr="00196DE1">
        <w:trPr>
          <w:trHeight w:val="35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ix.  Notification of physical/</w:t>
            </w:r>
            <w:r w:rsidR="00196DE1">
              <w:rPr>
                <w:color w:val="000000"/>
                <w:sz w:val="18"/>
                <w:szCs w:val="18"/>
              </w:rPr>
              <w:t xml:space="preserve">operational </w:t>
            </w:r>
            <w:r w:rsidRPr="002768B7">
              <w:rPr>
                <w:color w:val="000000"/>
                <w:sz w:val="18"/>
                <w:szCs w:val="18"/>
              </w:rPr>
              <w:t xml:space="preserve">change </w:t>
            </w:r>
            <w:proofErr w:type="spellStart"/>
            <w:r w:rsidRPr="002768B7">
              <w:rPr>
                <w:color w:val="000000"/>
                <w:sz w:val="18"/>
                <w:szCs w:val="18"/>
                <w:vertAlign w:val="superscript"/>
              </w:rPr>
              <w:t>i</w:t>
            </w:r>
            <w:proofErr w:type="spellEnd"/>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26</w:t>
            </w:r>
            <w:r w:rsidR="00171F19">
              <w:rPr>
                <w:color w:val="000000"/>
                <w:sz w:val="18"/>
                <w:szCs w:val="18"/>
              </w:rPr>
              <w:t>.3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210</w:t>
            </w:r>
            <w:r w:rsidR="00171F19">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10.52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21</w:t>
            </w:r>
            <w:r w:rsidR="00171F19">
              <w:rPr>
                <w:color w:val="000000"/>
                <w:sz w:val="18"/>
                <w:szCs w:val="18"/>
              </w:rPr>
              <w:t>.04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$23,428.67</w:t>
            </w:r>
          </w:p>
        </w:tc>
      </w:tr>
      <w:tr w:rsidR="00196DE1" w:rsidRPr="002768B7" w:rsidTr="00196DE1">
        <w:trPr>
          <w:trHeight w:val="30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x.  Semiannual summary report</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a.  No deviations </w:t>
            </w:r>
            <w:r w:rsidRPr="002768B7">
              <w:rPr>
                <w:color w:val="000000"/>
                <w:sz w:val="18"/>
                <w:szCs w:val="18"/>
                <w:vertAlign w:val="superscript"/>
              </w:rPr>
              <w:t>j</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16</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236.7</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3,787</w:t>
            </w:r>
            <w:r w:rsidR="00171F19">
              <w:rPr>
                <w:color w:val="000000"/>
                <w:sz w:val="18"/>
                <w:szCs w:val="18"/>
              </w:rPr>
              <w:t>.2</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189.36</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378.72</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$421,716.08</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b.  Deviations </w:t>
            </w:r>
            <w:r w:rsidRPr="002768B7">
              <w:rPr>
                <w:color w:val="000000"/>
                <w:sz w:val="18"/>
                <w:szCs w:val="18"/>
                <w:vertAlign w:val="superscript"/>
              </w:rPr>
              <w:t>j</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24</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48</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26</w:t>
            </w:r>
            <w:r w:rsidR="00171F19">
              <w:rPr>
                <w:color w:val="000000"/>
                <w:sz w:val="18"/>
                <w:szCs w:val="18"/>
              </w:rPr>
              <w:t>.3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1,262</w:t>
            </w:r>
            <w:r w:rsidR="00171F19">
              <w:rPr>
                <w:color w:val="000000"/>
                <w:sz w:val="18"/>
                <w:szCs w:val="18"/>
              </w:rPr>
              <w:t>.4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63.12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126.24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$140,572.03</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c.  SS&amp;M report </w:t>
            </w:r>
            <w:r w:rsidRPr="002768B7">
              <w:rPr>
                <w:color w:val="000000"/>
                <w:sz w:val="18"/>
                <w:szCs w:val="18"/>
                <w:vertAlign w:val="superscript"/>
              </w:rPr>
              <w:t>k</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16</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4,208</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210.4</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420.8</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$468,573.42</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d.  LDAR report </w:t>
            </w:r>
            <w:r w:rsidRPr="002768B7">
              <w:rPr>
                <w:color w:val="000000"/>
                <w:sz w:val="18"/>
                <w:szCs w:val="18"/>
                <w:vertAlign w:val="superscript"/>
              </w:rPr>
              <w:t>l</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404</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808</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212,504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10,625.2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21,250.4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$23,662,957.91</w:t>
            </w:r>
          </w:p>
        </w:tc>
      </w:tr>
      <w:tr w:rsidR="00196DE1" w:rsidRPr="002768B7" w:rsidTr="001E5883">
        <w:trPr>
          <w:trHeight w:val="35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e.  Emission averaging report </w:t>
            </w:r>
            <w:r w:rsidRPr="002768B7">
              <w:rPr>
                <w:color w:val="000000"/>
                <w:sz w:val="18"/>
                <w:szCs w:val="18"/>
                <w:vertAlign w:val="superscript"/>
              </w:rPr>
              <w:t>m</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26</w:t>
            </w:r>
            <w:r w:rsidR="00171F19">
              <w:rPr>
                <w:color w:val="000000"/>
                <w:sz w:val="18"/>
                <w:szCs w:val="18"/>
              </w:rPr>
              <w:t>.1</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r w:rsidRPr="002768B7">
              <w:rPr>
                <w:color w:val="000000"/>
                <w:sz w:val="18"/>
                <w:szCs w:val="18"/>
              </w:rPr>
              <w:t>1,044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52.2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171F19" w:rsidP="002768B7">
            <w:pPr>
              <w:widowControl/>
              <w:autoSpaceDE/>
              <w:autoSpaceDN/>
              <w:adjustRightInd/>
              <w:jc w:val="center"/>
              <w:rPr>
                <w:color w:val="000000"/>
                <w:sz w:val="18"/>
                <w:szCs w:val="18"/>
              </w:rPr>
            </w:pPr>
            <w:r>
              <w:rPr>
                <w:color w:val="000000"/>
                <w:sz w:val="18"/>
                <w:szCs w:val="18"/>
              </w:rPr>
              <w:t>104.4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$116,252.53</w:t>
            </w:r>
          </w:p>
        </w:tc>
      </w:tr>
      <w:tr w:rsidR="00196DE1" w:rsidRPr="002768B7" w:rsidTr="001E5883">
        <w:trPr>
          <w:trHeight w:val="35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b/>
                <w:bCs/>
                <w:color w:val="000000"/>
                <w:sz w:val="18"/>
                <w:szCs w:val="18"/>
              </w:rPr>
            </w:pPr>
            <w:r w:rsidRPr="002768B7">
              <w:rPr>
                <w:b/>
                <w:bCs/>
                <w:color w:val="000000"/>
                <w:sz w:val="18"/>
                <w:szCs w:val="18"/>
              </w:rPr>
              <w:t>Subtotal  for Reporting  Requirements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2768B7">
            <w:pPr>
              <w:widowControl/>
              <w:autoSpaceDE/>
              <w:autoSpaceDN/>
              <w:adjustRightInd/>
              <w:jc w:val="center"/>
              <w:rPr>
                <w:color w:val="000000"/>
                <w:sz w:val="18"/>
                <w:szCs w:val="18"/>
              </w:rPr>
            </w:pPr>
          </w:p>
        </w:tc>
        <w:tc>
          <w:tcPr>
            <w:tcW w:w="3096" w:type="dxa"/>
            <w:gridSpan w:val="3"/>
            <w:tcBorders>
              <w:top w:val="single" w:sz="4" w:space="0" w:color="auto"/>
              <w:left w:val="nil"/>
              <w:bottom w:val="single" w:sz="4" w:space="0" w:color="auto"/>
              <w:right w:val="single" w:sz="4" w:space="0" w:color="000000"/>
            </w:tcBorders>
            <w:shd w:val="clear" w:color="auto" w:fill="auto"/>
            <w:vAlign w:val="center"/>
            <w:hideMark/>
          </w:tcPr>
          <w:p w:rsidR="006F22AE" w:rsidRPr="001E5883" w:rsidRDefault="006F22AE" w:rsidP="002768B7">
            <w:pPr>
              <w:widowControl/>
              <w:autoSpaceDE/>
              <w:autoSpaceDN/>
              <w:adjustRightInd/>
              <w:jc w:val="center"/>
              <w:rPr>
                <w:b/>
                <w:color w:val="000000"/>
                <w:sz w:val="18"/>
                <w:szCs w:val="18"/>
              </w:rPr>
            </w:pPr>
            <w:r w:rsidRPr="001E5883">
              <w:rPr>
                <w:b/>
                <w:color w:val="000000"/>
                <w:sz w:val="18"/>
                <w:szCs w:val="18"/>
              </w:rPr>
              <w:t>258,237</w:t>
            </w:r>
          </w:p>
        </w:tc>
        <w:tc>
          <w:tcPr>
            <w:tcW w:w="1421" w:type="dxa"/>
            <w:tcBorders>
              <w:top w:val="nil"/>
              <w:left w:val="nil"/>
              <w:bottom w:val="single" w:sz="4" w:space="0" w:color="auto"/>
              <w:right w:val="single" w:sz="4" w:space="0" w:color="auto"/>
            </w:tcBorders>
            <w:shd w:val="clear" w:color="auto" w:fill="auto"/>
            <w:vAlign w:val="center"/>
            <w:hideMark/>
          </w:tcPr>
          <w:p w:rsidR="006F22AE" w:rsidRPr="001E5883" w:rsidRDefault="006F22AE" w:rsidP="00E365A4">
            <w:pPr>
              <w:widowControl/>
              <w:autoSpaceDE/>
              <w:autoSpaceDN/>
              <w:adjustRightInd/>
              <w:jc w:val="right"/>
              <w:rPr>
                <w:b/>
                <w:color w:val="000000"/>
                <w:sz w:val="18"/>
                <w:szCs w:val="18"/>
              </w:rPr>
            </w:pPr>
            <w:r w:rsidRPr="001E5883">
              <w:rPr>
                <w:b/>
                <w:color w:val="000000"/>
                <w:sz w:val="18"/>
                <w:szCs w:val="18"/>
              </w:rPr>
              <w:t>$25,004,761.56</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4  Recordkeeping requirements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E5883">
        <w:trPr>
          <w:trHeight w:val="233"/>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a.  Read rules and instructions </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See 3E</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b.  Plan activities </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c.  Implement activities</w:t>
            </w:r>
          </w:p>
        </w:tc>
        <w:tc>
          <w:tcPr>
            <w:tcW w:w="103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55"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33"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904" w:type="dxa"/>
            <w:tcBorders>
              <w:top w:val="nil"/>
              <w:left w:val="nil"/>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jc w:val="center"/>
              <w:rPr>
                <w:color w:val="000000"/>
                <w:sz w:val="18"/>
                <w:szCs w:val="18"/>
              </w:rPr>
            </w:pPr>
            <w:r w:rsidRPr="002768B7">
              <w:rPr>
                <w:color w:val="000000"/>
                <w:sz w:val="18"/>
                <w:szCs w:val="18"/>
              </w:rPr>
              <w:t> </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d.  Develop record system </w:t>
            </w:r>
            <w:r w:rsidRPr="002768B7">
              <w:rPr>
                <w:color w:val="000000"/>
                <w:sz w:val="18"/>
                <w:szCs w:val="18"/>
                <w:vertAlign w:val="superscript"/>
              </w:rPr>
              <w:t>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80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8</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$8,908.24</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e.  Develop SS&amp;M plan </w:t>
            </w:r>
            <w:r w:rsidRPr="002768B7">
              <w:rPr>
                <w:color w:val="000000"/>
                <w:sz w:val="18"/>
                <w:szCs w:val="18"/>
                <w:vertAlign w:val="superscript"/>
              </w:rPr>
              <w:t>o</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100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100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200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$22,270.60</w:t>
            </w:r>
          </w:p>
        </w:tc>
      </w:tr>
      <w:tr w:rsidR="00196DE1" w:rsidRPr="002768B7" w:rsidTr="00196DE1">
        <w:trPr>
          <w:trHeight w:val="332"/>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f.  Develop QA/QC plan for CMS </w:t>
            </w:r>
            <w:r w:rsidRPr="002768B7">
              <w:rPr>
                <w:color w:val="000000"/>
                <w:sz w:val="18"/>
                <w:szCs w:val="18"/>
                <w:vertAlign w:val="superscript"/>
              </w:rPr>
              <w:t>p</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0</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0</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xml:space="preserve">$0 </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g.  Time to train personnel </w:t>
            </w:r>
            <w:r w:rsidRPr="002768B7">
              <w:rPr>
                <w:color w:val="000000"/>
                <w:sz w:val="18"/>
                <w:szCs w:val="18"/>
                <w:vertAlign w:val="superscript"/>
              </w:rPr>
              <w:t>q</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40</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2</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80</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4</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192A1D">
            <w:pPr>
              <w:widowControl/>
              <w:autoSpaceDE/>
              <w:autoSpaceDN/>
              <w:adjustRightInd/>
              <w:jc w:val="center"/>
              <w:rPr>
                <w:color w:val="000000"/>
                <w:sz w:val="18"/>
                <w:szCs w:val="18"/>
              </w:rPr>
            </w:pPr>
            <w:r w:rsidRPr="002768B7">
              <w:rPr>
                <w:color w:val="000000"/>
                <w:sz w:val="18"/>
                <w:szCs w:val="18"/>
              </w:rPr>
              <w:t>8</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$8,908.24</w:t>
            </w:r>
          </w:p>
        </w:tc>
      </w:tr>
      <w:tr w:rsidR="00196DE1" w:rsidRPr="002768B7" w:rsidTr="00196DE1">
        <w:trPr>
          <w:trHeight w:val="35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h.  Time to retrain/refresh personnel </w:t>
            </w:r>
            <w:r w:rsidRPr="002768B7">
              <w:rPr>
                <w:color w:val="000000"/>
                <w:sz w:val="18"/>
                <w:szCs w:val="18"/>
                <w:vertAlign w:val="superscript"/>
              </w:rPr>
              <w:t>r</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16</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16</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261</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4,176</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208.8</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417.6</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$465,010.13</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w:t>
            </w:r>
            <w:proofErr w:type="spellStart"/>
            <w:r w:rsidRPr="002768B7">
              <w:rPr>
                <w:color w:val="000000"/>
                <w:sz w:val="18"/>
                <w:szCs w:val="18"/>
              </w:rPr>
              <w:t>i</w:t>
            </w:r>
            <w:proofErr w:type="spellEnd"/>
            <w:r w:rsidRPr="002768B7">
              <w:rPr>
                <w:color w:val="000000"/>
                <w:sz w:val="18"/>
                <w:szCs w:val="18"/>
              </w:rPr>
              <w:t>.  Time to enter information</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0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w:t>
            </w:r>
            <w:proofErr w:type="spellStart"/>
            <w:r w:rsidRPr="002768B7">
              <w:rPr>
                <w:color w:val="000000"/>
                <w:sz w:val="18"/>
                <w:szCs w:val="18"/>
              </w:rPr>
              <w:t>i</w:t>
            </w:r>
            <w:proofErr w:type="spellEnd"/>
            <w:r w:rsidRPr="002768B7">
              <w:rPr>
                <w:color w:val="000000"/>
                <w:sz w:val="18"/>
                <w:szCs w:val="18"/>
              </w:rPr>
              <w:t>.  Records of SS&amp;M</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1.5</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52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78</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20,514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1,025.7</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2,051.4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$2,284,295.44</w:t>
            </w:r>
          </w:p>
        </w:tc>
      </w:tr>
      <w:tr w:rsidR="00196DE1" w:rsidRPr="002768B7" w:rsidTr="00196DE1">
        <w:trPr>
          <w:trHeight w:val="315"/>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ii.  Records of CMS data </w:t>
            </w:r>
            <w:r w:rsidRPr="002768B7">
              <w:rPr>
                <w:color w:val="000000"/>
                <w:sz w:val="18"/>
                <w:szCs w:val="18"/>
                <w:vertAlign w:val="superscript"/>
              </w:rPr>
              <w:t>s</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 </w:t>
            </w:r>
          </w:p>
        </w:tc>
      </w:tr>
      <w:tr w:rsidR="00196DE1" w:rsidRPr="002768B7" w:rsidTr="00196DE1">
        <w:trPr>
          <w:trHeight w:val="395"/>
          <w:jc w:val="center"/>
        </w:trPr>
        <w:tc>
          <w:tcPr>
            <w:tcW w:w="3866" w:type="dxa"/>
            <w:tcBorders>
              <w:top w:val="nil"/>
              <w:left w:val="single" w:sz="4" w:space="0" w:color="auto"/>
              <w:bottom w:val="single" w:sz="4" w:space="0" w:color="auto"/>
              <w:right w:val="single" w:sz="4" w:space="0" w:color="auto"/>
            </w:tcBorders>
            <w:shd w:val="clear" w:color="auto" w:fill="auto"/>
            <w:hideMark/>
          </w:tcPr>
          <w:p w:rsidR="00533CE6" w:rsidRPr="00533CE6" w:rsidRDefault="006F22AE" w:rsidP="00533CE6">
            <w:pPr>
              <w:pStyle w:val="ListParagraph"/>
              <w:widowControl/>
              <w:numPr>
                <w:ilvl w:val="0"/>
                <w:numId w:val="3"/>
              </w:numPr>
              <w:autoSpaceDE/>
              <w:autoSpaceDN/>
              <w:adjustRightInd/>
              <w:rPr>
                <w:color w:val="000000"/>
                <w:sz w:val="18"/>
                <w:szCs w:val="18"/>
              </w:rPr>
            </w:pPr>
            <w:r w:rsidRPr="00533CE6">
              <w:rPr>
                <w:color w:val="000000"/>
                <w:sz w:val="18"/>
                <w:szCs w:val="18"/>
              </w:rPr>
              <w:t>Record of continuously</w:t>
            </w:r>
            <w:r w:rsidR="00533CE6" w:rsidRPr="00533CE6">
              <w:rPr>
                <w:color w:val="000000"/>
                <w:sz w:val="18"/>
                <w:szCs w:val="18"/>
              </w:rPr>
              <w:t xml:space="preserve"> </w:t>
            </w:r>
            <w:r w:rsidRPr="00533CE6">
              <w:rPr>
                <w:color w:val="000000"/>
                <w:sz w:val="18"/>
                <w:szCs w:val="18"/>
              </w:rPr>
              <w:t>monitored</w:t>
            </w:r>
          </w:p>
          <w:p w:rsidR="006F22AE" w:rsidRPr="00533CE6" w:rsidRDefault="00533CE6" w:rsidP="00533CE6">
            <w:pPr>
              <w:pStyle w:val="ListParagraph"/>
              <w:widowControl/>
              <w:autoSpaceDE/>
              <w:autoSpaceDN/>
              <w:adjustRightInd/>
              <w:ind w:left="975"/>
              <w:rPr>
                <w:color w:val="000000"/>
                <w:sz w:val="18"/>
                <w:szCs w:val="18"/>
              </w:rPr>
            </w:pPr>
            <w:r>
              <w:rPr>
                <w:color w:val="000000"/>
                <w:sz w:val="18"/>
                <w:szCs w:val="18"/>
              </w:rPr>
              <w:t>parameters</w:t>
            </w:r>
            <w:r w:rsidR="006F22AE" w:rsidRPr="00533CE6">
              <w:rPr>
                <w:color w:val="000000"/>
                <w:sz w:val="18"/>
                <w:szCs w:val="18"/>
              </w:rPr>
              <w:t xml:space="preserve"> </w:t>
            </w:r>
            <w:r w:rsidRPr="00533CE6">
              <w:rPr>
                <w:color w:val="000000"/>
                <w:sz w:val="18"/>
                <w:szCs w:val="18"/>
              </w:rPr>
              <w:t xml:space="preserve">                                                                               </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365</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365</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95,995</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4,799.75</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9,599.5</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$10,689,331.24</w:t>
            </w:r>
          </w:p>
        </w:tc>
      </w:tr>
      <w:tr w:rsidR="00196DE1" w:rsidRPr="002768B7" w:rsidTr="00533CE6">
        <w:trPr>
          <w:trHeight w:val="287"/>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lastRenderedPageBreak/>
              <w:t xml:space="preserve">              b.  Compile data </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24</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48</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12,624</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631.2</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1,262.4</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$1,405,720.27</w:t>
            </w:r>
          </w:p>
        </w:tc>
      </w:tr>
      <w:tr w:rsidR="00196DE1" w:rsidRPr="002768B7" w:rsidTr="00991D8D">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c.  Enter/verify information for semiannual report</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16</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32</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8,416</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420.8</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841.6</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$937,146.85</w:t>
            </w:r>
          </w:p>
        </w:tc>
      </w:tr>
      <w:tr w:rsidR="00196DE1" w:rsidRPr="002768B7" w:rsidTr="00991D8D">
        <w:trPr>
          <w:trHeight w:val="260"/>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color w:val="000000"/>
                <w:sz w:val="18"/>
                <w:szCs w:val="18"/>
              </w:rPr>
            </w:pPr>
            <w:r w:rsidRPr="002768B7">
              <w:rPr>
                <w:color w:val="000000"/>
                <w:sz w:val="18"/>
                <w:szCs w:val="18"/>
              </w:rPr>
              <w:t xml:space="preserve">     j.  Calibration of CMS </w:t>
            </w:r>
            <w:r w:rsidRPr="002768B7">
              <w:rPr>
                <w:color w:val="000000"/>
                <w:sz w:val="18"/>
                <w:szCs w:val="18"/>
                <w:vertAlign w:val="superscript"/>
              </w:rPr>
              <w:t>t</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16</w:t>
            </w: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w:t>
            </w: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16</w:t>
            </w: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263</w:t>
            </w:r>
          </w:p>
        </w:tc>
        <w:tc>
          <w:tcPr>
            <w:tcW w:w="96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r w:rsidRPr="002768B7">
              <w:rPr>
                <w:color w:val="000000"/>
                <w:sz w:val="18"/>
                <w:szCs w:val="18"/>
              </w:rPr>
              <w:t>4,208</w:t>
            </w:r>
          </w:p>
        </w:tc>
        <w:tc>
          <w:tcPr>
            <w:tcW w:w="1226"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210.4</w:t>
            </w:r>
          </w:p>
        </w:tc>
        <w:tc>
          <w:tcPr>
            <w:tcW w:w="904" w:type="dxa"/>
            <w:tcBorders>
              <w:top w:val="nil"/>
              <w:left w:val="nil"/>
              <w:bottom w:val="single" w:sz="4" w:space="0" w:color="auto"/>
              <w:right w:val="single" w:sz="4" w:space="0" w:color="auto"/>
            </w:tcBorders>
            <w:shd w:val="clear" w:color="auto" w:fill="auto"/>
            <w:vAlign w:val="center"/>
            <w:hideMark/>
          </w:tcPr>
          <w:p w:rsidR="006F22AE" w:rsidRPr="002768B7" w:rsidRDefault="00E365A4" w:rsidP="007718FC">
            <w:pPr>
              <w:widowControl/>
              <w:autoSpaceDE/>
              <w:autoSpaceDN/>
              <w:adjustRightInd/>
              <w:jc w:val="center"/>
              <w:rPr>
                <w:color w:val="000000"/>
                <w:sz w:val="18"/>
                <w:szCs w:val="18"/>
              </w:rPr>
            </w:pPr>
            <w:r>
              <w:rPr>
                <w:color w:val="000000"/>
                <w:sz w:val="18"/>
                <w:szCs w:val="18"/>
              </w:rPr>
              <w:t>420.8</w:t>
            </w:r>
          </w:p>
        </w:tc>
        <w:tc>
          <w:tcPr>
            <w:tcW w:w="1421"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E365A4">
            <w:pPr>
              <w:widowControl/>
              <w:autoSpaceDE/>
              <w:autoSpaceDN/>
              <w:adjustRightInd/>
              <w:jc w:val="right"/>
              <w:rPr>
                <w:color w:val="000000"/>
                <w:sz w:val="18"/>
                <w:szCs w:val="18"/>
              </w:rPr>
            </w:pPr>
            <w:r w:rsidRPr="002768B7">
              <w:rPr>
                <w:color w:val="000000"/>
                <w:sz w:val="18"/>
                <w:szCs w:val="18"/>
              </w:rPr>
              <w:t>$468,573.42</w:t>
            </w:r>
          </w:p>
        </w:tc>
      </w:tr>
      <w:tr w:rsidR="00196DE1" w:rsidRPr="002768B7" w:rsidTr="00533CE6">
        <w:trPr>
          <w:trHeight w:val="287"/>
          <w:jc w:val="center"/>
        </w:trPr>
        <w:tc>
          <w:tcPr>
            <w:tcW w:w="3866" w:type="dxa"/>
            <w:tcBorders>
              <w:top w:val="nil"/>
              <w:left w:val="single" w:sz="4" w:space="0" w:color="auto"/>
              <w:bottom w:val="single" w:sz="4" w:space="0" w:color="auto"/>
              <w:right w:val="single" w:sz="4" w:space="0" w:color="auto"/>
            </w:tcBorders>
            <w:shd w:val="clear" w:color="auto" w:fill="auto"/>
            <w:hideMark/>
          </w:tcPr>
          <w:p w:rsidR="006F22AE" w:rsidRPr="002768B7" w:rsidRDefault="006F22AE" w:rsidP="006F22AE">
            <w:pPr>
              <w:widowControl/>
              <w:autoSpaceDE/>
              <w:autoSpaceDN/>
              <w:adjustRightInd/>
              <w:rPr>
                <w:b/>
                <w:bCs/>
                <w:color w:val="000000"/>
                <w:sz w:val="18"/>
                <w:szCs w:val="18"/>
              </w:rPr>
            </w:pPr>
            <w:r w:rsidRPr="002768B7">
              <w:rPr>
                <w:b/>
                <w:bCs/>
                <w:color w:val="000000"/>
                <w:sz w:val="18"/>
                <w:szCs w:val="18"/>
              </w:rPr>
              <w:t xml:space="preserve">Subtotal  for Recordkeeping Requirements  </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3096" w:type="dxa"/>
            <w:gridSpan w:val="3"/>
            <w:tcBorders>
              <w:top w:val="single" w:sz="4" w:space="0" w:color="auto"/>
              <w:left w:val="nil"/>
              <w:bottom w:val="single" w:sz="4" w:space="0" w:color="auto"/>
              <w:right w:val="single" w:sz="4" w:space="0" w:color="000000"/>
            </w:tcBorders>
            <w:shd w:val="clear" w:color="auto" w:fill="auto"/>
            <w:vAlign w:val="center"/>
            <w:hideMark/>
          </w:tcPr>
          <w:p w:rsidR="006F22AE" w:rsidRPr="00533CE6" w:rsidRDefault="00E365A4" w:rsidP="007718FC">
            <w:pPr>
              <w:widowControl/>
              <w:autoSpaceDE/>
              <w:autoSpaceDN/>
              <w:adjustRightInd/>
              <w:jc w:val="center"/>
              <w:rPr>
                <w:b/>
                <w:color w:val="000000"/>
                <w:sz w:val="18"/>
                <w:szCs w:val="18"/>
              </w:rPr>
            </w:pPr>
            <w:r w:rsidRPr="00533CE6">
              <w:rPr>
                <w:b/>
                <w:color w:val="000000"/>
                <w:sz w:val="18"/>
                <w:szCs w:val="18"/>
              </w:rPr>
              <w:t>168,237</w:t>
            </w:r>
          </w:p>
        </w:tc>
        <w:tc>
          <w:tcPr>
            <w:tcW w:w="1421" w:type="dxa"/>
            <w:tcBorders>
              <w:top w:val="nil"/>
              <w:left w:val="nil"/>
              <w:bottom w:val="single" w:sz="4" w:space="0" w:color="auto"/>
              <w:right w:val="single" w:sz="4" w:space="0" w:color="auto"/>
            </w:tcBorders>
            <w:shd w:val="clear" w:color="auto" w:fill="auto"/>
            <w:vAlign w:val="center"/>
            <w:hideMark/>
          </w:tcPr>
          <w:p w:rsidR="006F22AE" w:rsidRPr="00533CE6" w:rsidRDefault="006F22AE" w:rsidP="00E365A4">
            <w:pPr>
              <w:widowControl/>
              <w:autoSpaceDE/>
              <w:autoSpaceDN/>
              <w:adjustRightInd/>
              <w:jc w:val="right"/>
              <w:rPr>
                <w:b/>
                <w:color w:val="000000"/>
                <w:sz w:val="18"/>
                <w:szCs w:val="18"/>
              </w:rPr>
            </w:pPr>
            <w:r w:rsidRPr="00533CE6">
              <w:rPr>
                <w:b/>
                <w:color w:val="000000"/>
                <w:sz w:val="18"/>
                <w:szCs w:val="18"/>
              </w:rPr>
              <w:t>$16,290,164.43</w:t>
            </w:r>
          </w:p>
        </w:tc>
      </w:tr>
      <w:tr w:rsidR="00196DE1" w:rsidRPr="002768B7" w:rsidTr="00533CE6">
        <w:trPr>
          <w:trHeight w:val="350"/>
          <w:jc w:val="center"/>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6F22AE" w:rsidRPr="002768B7" w:rsidRDefault="006F22AE" w:rsidP="006F22AE">
            <w:pPr>
              <w:widowControl/>
              <w:autoSpaceDE/>
              <w:autoSpaceDN/>
              <w:adjustRightInd/>
              <w:rPr>
                <w:b/>
                <w:bCs/>
                <w:color w:val="000000"/>
                <w:sz w:val="18"/>
                <w:szCs w:val="18"/>
              </w:rPr>
            </w:pPr>
            <w:r w:rsidRPr="002768B7">
              <w:rPr>
                <w:b/>
                <w:bCs/>
                <w:color w:val="000000"/>
                <w:sz w:val="18"/>
                <w:szCs w:val="18"/>
              </w:rPr>
              <w:t xml:space="preserve">TOTAL LABOR BURDEN AND COST </w:t>
            </w:r>
            <w:r w:rsidR="00533CE6">
              <w:rPr>
                <w:b/>
                <w:bCs/>
                <w:color w:val="000000"/>
                <w:sz w:val="18"/>
                <w:szCs w:val="18"/>
              </w:rPr>
              <w:t xml:space="preserve"> (rounded)</w:t>
            </w:r>
          </w:p>
        </w:tc>
        <w:tc>
          <w:tcPr>
            <w:tcW w:w="1034"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55"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rsidR="006F22AE" w:rsidRPr="002768B7" w:rsidRDefault="006F22AE" w:rsidP="007718FC">
            <w:pPr>
              <w:widowControl/>
              <w:autoSpaceDE/>
              <w:autoSpaceDN/>
              <w:adjustRightInd/>
              <w:jc w:val="center"/>
              <w:rPr>
                <w:color w:val="000000"/>
                <w:sz w:val="18"/>
                <w:szCs w:val="18"/>
              </w:rPr>
            </w:pPr>
          </w:p>
        </w:tc>
        <w:tc>
          <w:tcPr>
            <w:tcW w:w="3096" w:type="dxa"/>
            <w:gridSpan w:val="3"/>
            <w:tcBorders>
              <w:top w:val="single" w:sz="4" w:space="0" w:color="auto"/>
              <w:left w:val="nil"/>
              <w:bottom w:val="single" w:sz="4" w:space="0" w:color="auto"/>
              <w:right w:val="single" w:sz="4" w:space="0" w:color="000000"/>
            </w:tcBorders>
            <w:shd w:val="clear" w:color="auto" w:fill="auto"/>
            <w:vAlign w:val="center"/>
            <w:hideMark/>
          </w:tcPr>
          <w:p w:rsidR="006F22AE" w:rsidRPr="00991D8D" w:rsidRDefault="00E365A4" w:rsidP="007718FC">
            <w:pPr>
              <w:widowControl/>
              <w:autoSpaceDE/>
              <w:autoSpaceDN/>
              <w:adjustRightInd/>
              <w:jc w:val="center"/>
              <w:rPr>
                <w:b/>
                <w:color w:val="000000"/>
                <w:sz w:val="18"/>
                <w:szCs w:val="18"/>
              </w:rPr>
            </w:pPr>
            <w:r w:rsidRPr="00991D8D">
              <w:rPr>
                <w:b/>
                <w:color w:val="000000"/>
                <w:sz w:val="18"/>
                <w:szCs w:val="18"/>
              </w:rPr>
              <w:t>426,474</w:t>
            </w:r>
          </w:p>
        </w:tc>
        <w:tc>
          <w:tcPr>
            <w:tcW w:w="1421" w:type="dxa"/>
            <w:tcBorders>
              <w:top w:val="nil"/>
              <w:left w:val="nil"/>
              <w:bottom w:val="single" w:sz="4" w:space="0" w:color="auto"/>
              <w:right w:val="single" w:sz="4" w:space="0" w:color="auto"/>
            </w:tcBorders>
            <w:shd w:val="clear" w:color="auto" w:fill="auto"/>
            <w:vAlign w:val="center"/>
            <w:hideMark/>
          </w:tcPr>
          <w:p w:rsidR="006F22AE" w:rsidRPr="00991D8D" w:rsidRDefault="006F22AE" w:rsidP="00E365A4">
            <w:pPr>
              <w:widowControl/>
              <w:autoSpaceDE/>
              <w:autoSpaceDN/>
              <w:adjustRightInd/>
              <w:jc w:val="right"/>
              <w:rPr>
                <w:b/>
                <w:color w:val="000000"/>
                <w:sz w:val="18"/>
                <w:szCs w:val="18"/>
              </w:rPr>
            </w:pPr>
            <w:r w:rsidRPr="00991D8D">
              <w:rPr>
                <w:b/>
                <w:color w:val="000000"/>
                <w:sz w:val="18"/>
                <w:szCs w:val="18"/>
              </w:rPr>
              <w:t>$41,294,92</w:t>
            </w:r>
            <w:r w:rsidR="00F7586F">
              <w:rPr>
                <w:b/>
                <w:color w:val="000000"/>
                <w:sz w:val="18"/>
                <w:szCs w:val="18"/>
              </w:rPr>
              <w:t>6</w:t>
            </w:r>
          </w:p>
        </w:tc>
      </w:tr>
    </w:tbl>
    <w:p w:rsidR="00B75B28" w:rsidRDefault="00B75B28" w:rsidP="00144F35">
      <w:pPr>
        <w:rPr>
          <w:b/>
          <w:bCs/>
          <w:color w:val="000000"/>
        </w:rPr>
      </w:pPr>
    </w:p>
    <w:p w:rsidR="00B75B28" w:rsidRDefault="00B75B28" w:rsidP="00B75B28">
      <w:pPr>
        <w:ind w:left="-180" w:right="-270"/>
        <w:rPr>
          <w:sz w:val="20"/>
          <w:szCs w:val="20"/>
        </w:rPr>
      </w:pPr>
      <w:r>
        <w:rPr>
          <w:b/>
          <w:bCs/>
          <w:sz w:val="20"/>
          <w:szCs w:val="20"/>
        </w:rPr>
        <w:t>Assumptions:</w:t>
      </w:r>
    </w:p>
    <w:p w:rsidR="00B75B28" w:rsidRDefault="00B75B28" w:rsidP="00B75B28">
      <w:pPr>
        <w:ind w:left="-180" w:right="-270"/>
        <w:rPr>
          <w:sz w:val="20"/>
          <w:szCs w:val="20"/>
        </w:rPr>
      </w:pPr>
      <w:proofErr w:type="spellStart"/>
      <w:proofErr w:type="gramStart"/>
      <w:r>
        <w:rPr>
          <w:vertAlign w:val="superscript"/>
        </w:rPr>
        <w:t>a</w:t>
      </w:r>
      <w:proofErr w:type="spellEnd"/>
      <w:r>
        <w:rPr>
          <w:sz w:val="20"/>
          <w:szCs w:val="20"/>
        </w:rPr>
        <w:t xml:space="preserve">  </w:t>
      </w:r>
      <w:r w:rsidR="00143858">
        <w:rPr>
          <w:sz w:val="20"/>
          <w:szCs w:val="20"/>
        </w:rPr>
        <w:t>We</w:t>
      </w:r>
      <w:proofErr w:type="gramEnd"/>
      <w:r w:rsidR="00143858">
        <w:rPr>
          <w:sz w:val="20"/>
          <w:szCs w:val="20"/>
        </w:rPr>
        <w:t xml:space="preserve"> have assumed that there are 261 existing facilities subject to the rule, and that two new major sources per year will become subject.  Therefore, the average number of respondents that are subject to this rule is 263.</w:t>
      </w:r>
    </w:p>
    <w:p w:rsidR="00B75B28" w:rsidRDefault="00B75B28" w:rsidP="00B75B28">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$121.44 per hour for Executive, Administrative, and Managerial labor; $100.23 per hour for Technical labor, and $50.51</w:t>
      </w:r>
    </w:p>
    <w:p w:rsidR="00B75B28" w:rsidRDefault="00B75B28" w:rsidP="00B75B28">
      <w:pPr>
        <w:ind w:left="-180" w:right="-270"/>
        <w:rPr>
          <w:sz w:val="20"/>
          <w:szCs w:val="20"/>
        </w:rPr>
      </w:pPr>
      <w:proofErr w:type="gramStart"/>
      <w:r>
        <w:rPr>
          <w:sz w:val="20"/>
          <w:szCs w:val="20"/>
        </w:rPr>
        <w:t>per</w:t>
      </w:r>
      <w:proofErr w:type="gramEnd"/>
      <w:r>
        <w:rPr>
          <w:sz w:val="20"/>
          <w:szCs w:val="20"/>
        </w:rPr>
        <w:t xml:space="preserve"> hour for Clerical labor.  These rates are from the United States Department of Labor, Bureau of Labor Statistics, March 2012,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B75B28" w:rsidRDefault="00B75B28" w:rsidP="00B75B28">
      <w:pPr>
        <w:ind w:left="-180" w:right="-270"/>
        <w:rPr>
          <w:sz w:val="20"/>
          <w:szCs w:val="20"/>
        </w:rPr>
      </w:pPr>
      <w:proofErr w:type="gramStart"/>
      <w:r>
        <w:rPr>
          <w:sz w:val="20"/>
          <w:szCs w:val="20"/>
          <w:vertAlign w:val="superscript"/>
        </w:rPr>
        <w:t>c</w:t>
      </w:r>
      <w:r>
        <w:rPr>
          <w:sz w:val="20"/>
          <w:szCs w:val="20"/>
        </w:rPr>
        <w:t xml:space="preserve">  This</w:t>
      </w:r>
      <w:proofErr w:type="gramEnd"/>
      <w:r>
        <w:rPr>
          <w:sz w:val="20"/>
          <w:szCs w:val="20"/>
        </w:rPr>
        <w:t xml:space="preserve"> will occur only in the first year after a facility becomes subject to the rule.  </w:t>
      </w:r>
    </w:p>
    <w:p w:rsidR="00B75B28" w:rsidRDefault="00B75B28" w:rsidP="00B75B28">
      <w:pPr>
        <w:ind w:left="-180" w:right="-270"/>
        <w:rPr>
          <w:sz w:val="20"/>
          <w:szCs w:val="20"/>
        </w:rPr>
      </w:pPr>
      <w:proofErr w:type="gramStart"/>
      <w:r>
        <w:rPr>
          <w:vertAlign w:val="superscript"/>
        </w:rPr>
        <w:t>d</w:t>
      </w:r>
      <w:r>
        <w:rPr>
          <w:sz w:val="20"/>
          <w:szCs w:val="20"/>
        </w:rPr>
        <w:t xml:space="preserve">  Person</w:t>
      </w:r>
      <w:proofErr w:type="gramEnd"/>
      <w:r>
        <w:rPr>
          <w:sz w:val="20"/>
          <w:szCs w:val="20"/>
        </w:rPr>
        <w:t>-hours per occurrence are based on the performance specification costs to certify CMS ($500) divided by the composite hourly labor rate.  No performance evaluations are required for the parameter monitoring systems included in the rule.  Assumes no facilities will use the alternative standard, which required CEMS and performance evaluations.</w:t>
      </w:r>
    </w:p>
    <w:p w:rsidR="00B75B28" w:rsidRDefault="00B75B28" w:rsidP="00B75B28">
      <w:pPr>
        <w:ind w:left="-18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10 percent of existing facilities will comply with emissions averaging requirements; new facilities are not allowed to use emissions averaging.</w:t>
      </w:r>
    </w:p>
    <w:p w:rsidR="00B75B28" w:rsidRDefault="00B75B28" w:rsidP="00B75B28">
      <w:pPr>
        <w:ind w:left="-180" w:right="-270"/>
        <w:rPr>
          <w:sz w:val="20"/>
          <w:szCs w:val="20"/>
        </w:rPr>
      </w:pPr>
      <w:proofErr w:type="gramStart"/>
      <w:r>
        <w:rPr>
          <w:vertAlign w:val="superscript"/>
        </w:rPr>
        <w:t>f</w:t>
      </w:r>
      <w:r>
        <w:rPr>
          <w:sz w:val="20"/>
          <w:szCs w:val="20"/>
        </w:rPr>
        <w:t xml:space="preserve">  Assumed</w:t>
      </w:r>
      <w:proofErr w:type="gramEnd"/>
      <w:r>
        <w:rPr>
          <w:sz w:val="20"/>
          <w:szCs w:val="20"/>
        </w:rPr>
        <w:t xml:space="preserve"> 50 percent of new facilities will submit a pre-compliance report (2 x 50% = 1 Facility).</w:t>
      </w:r>
    </w:p>
    <w:p w:rsidR="00B75B28" w:rsidRDefault="00B75B28" w:rsidP="00B75B28">
      <w:pPr>
        <w:ind w:left="-180" w:right="-270"/>
        <w:rPr>
          <w:sz w:val="20"/>
          <w:szCs w:val="20"/>
        </w:rPr>
      </w:pPr>
      <w:proofErr w:type="gramStart"/>
      <w:r>
        <w:rPr>
          <w:vertAlign w:val="superscript"/>
        </w:rPr>
        <w:t>g</w:t>
      </w:r>
      <w:r>
        <w:rPr>
          <w:sz w:val="20"/>
          <w:szCs w:val="20"/>
        </w:rPr>
        <w:t xml:space="preserve">  We</w:t>
      </w:r>
      <w:proofErr w:type="gramEnd"/>
      <w:r>
        <w:rPr>
          <w:sz w:val="20"/>
          <w:szCs w:val="20"/>
        </w:rPr>
        <w:t xml:space="preserve"> have assumed that 90 percent of facilities will comply by conducting a performance test(s).  The notification of compliance status includes the report of the performance test(s)</w:t>
      </w:r>
      <w:r w:rsidR="00ED1808">
        <w:rPr>
          <w:sz w:val="20"/>
          <w:szCs w:val="20"/>
        </w:rPr>
        <w:t xml:space="preserve"> (2 x 90% = 2 Facilities)</w:t>
      </w:r>
      <w:r>
        <w:rPr>
          <w:sz w:val="20"/>
          <w:szCs w:val="20"/>
        </w:rPr>
        <w:t>.</w:t>
      </w:r>
    </w:p>
    <w:p w:rsidR="00B75B28" w:rsidRDefault="00B75B28" w:rsidP="00B75B28">
      <w:pPr>
        <w:ind w:left="-180" w:right="-270"/>
        <w:rPr>
          <w:sz w:val="20"/>
          <w:szCs w:val="20"/>
        </w:rPr>
      </w:pPr>
      <w:proofErr w:type="gramStart"/>
      <w:r>
        <w:rPr>
          <w:vertAlign w:val="superscript"/>
        </w:rPr>
        <w:t>h</w:t>
      </w:r>
      <w:r>
        <w:rPr>
          <w:sz w:val="20"/>
          <w:szCs w:val="20"/>
        </w:rPr>
        <w:t xml:space="preserve">  We</w:t>
      </w:r>
      <w:proofErr w:type="gramEnd"/>
      <w:r>
        <w:rPr>
          <w:sz w:val="20"/>
          <w:szCs w:val="20"/>
        </w:rPr>
        <w:t xml:space="preserve"> have assumed that 10 percent of facilities will comply by submitting engineering calculations, design calculations, etc. with no performance tests.  The notification of compliance status includes those calculations. </w:t>
      </w:r>
    </w:p>
    <w:p w:rsidR="00B75B28" w:rsidRDefault="00B75B28" w:rsidP="00B75B28">
      <w:pPr>
        <w:ind w:left="-180" w:right="-270"/>
        <w:rPr>
          <w:sz w:val="20"/>
          <w:szCs w:val="20"/>
        </w:rPr>
      </w:pPr>
      <w:proofErr w:type="spellStart"/>
      <w:proofErr w:type="gramStart"/>
      <w:r>
        <w:rPr>
          <w:sz w:val="20"/>
          <w:szCs w:val="20"/>
          <w:vertAlign w:val="superscript"/>
        </w:rPr>
        <w:t>i</w:t>
      </w:r>
      <w:proofErr w:type="spellEnd"/>
      <w:r>
        <w:rPr>
          <w:sz w:val="20"/>
          <w:szCs w:val="20"/>
        </w:rPr>
        <w:t xml:space="preserve">  We</w:t>
      </w:r>
      <w:proofErr w:type="gramEnd"/>
      <w:r>
        <w:rPr>
          <w:sz w:val="20"/>
          <w:szCs w:val="20"/>
        </w:rPr>
        <w:t xml:space="preserve"> have assumed that 10 percent of facilities will implement process changes (263 x 10% = 26</w:t>
      </w:r>
      <w:r w:rsidR="00143858">
        <w:rPr>
          <w:sz w:val="20"/>
          <w:szCs w:val="20"/>
        </w:rPr>
        <w:t>.3</w:t>
      </w:r>
      <w:r>
        <w:rPr>
          <w:sz w:val="20"/>
          <w:szCs w:val="20"/>
        </w:rPr>
        <w:t xml:space="preserve"> Facilities).</w:t>
      </w:r>
    </w:p>
    <w:p w:rsidR="00B75B28" w:rsidRDefault="00B75B28" w:rsidP="00B75B28">
      <w:pPr>
        <w:ind w:left="-180" w:right="-270"/>
        <w:rPr>
          <w:sz w:val="20"/>
          <w:szCs w:val="20"/>
        </w:rPr>
      </w:pPr>
      <w:proofErr w:type="gramStart"/>
      <w:r>
        <w:rPr>
          <w:sz w:val="20"/>
          <w:szCs w:val="20"/>
          <w:vertAlign w:val="superscript"/>
        </w:rPr>
        <w:t>j</w:t>
      </w:r>
      <w:r>
        <w:rPr>
          <w:sz w:val="20"/>
          <w:szCs w:val="20"/>
        </w:rPr>
        <w:t xml:space="preserve">  We</w:t>
      </w:r>
      <w:proofErr w:type="gramEnd"/>
      <w:r>
        <w:rPr>
          <w:sz w:val="20"/>
          <w:szCs w:val="20"/>
        </w:rPr>
        <w:t xml:space="preserve"> have assumed that 90 percent of facilities will have no deviations (263 x 90% = 23</w:t>
      </w:r>
      <w:r w:rsidR="00143858">
        <w:rPr>
          <w:sz w:val="20"/>
          <w:szCs w:val="20"/>
        </w:rPr>
        <w:t>6.7</w:t>
      </w:r>
      <w:r>
        <w:rPr>
          <w:sz w:val="20"/>
          <w:szCs w:val="20"/>
        </w:rPr>
        <w:t xml:space="preserve"> Facilities), only 10 percent will have deviations (263 x 10% = 26</w:t>
      </w:r>
      <w:r w:rsidR="00143858">
        <w:rPr>
          <w:sz w:val="20"/>
          <w:szCs w:val="20"/>
        </w:rPr>
        <w:t>.3</w:t>
      </w:r>
      <w:r>
        <w:rPr>
          <w:sz w:val="20"/>
          <w:szCs w:val="20"/>
        </w:rPr>
        <w:t xml:space="preserve"> Facilities).</w:t>
      </w:r>
    </w:p>
    <w:p w:rsidR="00B75B28" w:rsidRDefault="00B75B28" w:rsidP="00B75B28">
      <w:pPr>
        <w:ind w:left="-180" w:right="-270"/>
        <w:rPr>
          <w:sz w:val="20"/>
          <w:szCs w:val="20"/>
        </w:rPr>
      </w:pPr>
      <w:proofErr w:type="gramStart"/>
      <w:r>
        <w:rPr>
          <w:sz w:val="20"/>
          <w:szCs w:val="20"/>
          <w:vertAlign w:val="superscript"/>
        </w:rPr>
        <w:t xml:space="preserve">k </w:t>
      </w:r>
      <w:r>
        <w:rPr>
          <w:sz w:val="20"/>
          <w:szCs w:val="20"/>
        </w:rPr>
        <w:t xml:space="preserve"> We</w:t>
      </w:r>
      <w:proofErr w:type="gramEnd"/>
      <w:r>
        <w:rPr>
          <w:sz w:val="20"/>
          <w:szCs w:val="20"/>
        </w:rPr>
        <w:t xml:space="preserve"> assume that all facilities will report actions taken during startup, shutdown, or malfunction that are consistent with the SS&amp;M plan.</w:t>
      </w:r>
    </w:p>
    <w:p w:rsidR="00B75B28" w:rsidRDefault="00B75B28" w:rsidP="00B75B28">
      <w:pPr>
        <w:ind w:left="-180" w:right="-270"/>
        <w:rPr>
          <w:sz w:val="20"/>
          <w:szCs w:val="20"/>
        </w:rPr>
      </w:pPr>
      <w:proofErr w:type="gramStart"/>
      <w:r>
        <w:rPr>
          <w:sz w:val="20"/>
          <w:szCs w:val="20"/>
          <w:vertAlign w:val="superscript"/>
        </w:rPr>
        <w:t xml:space="preserve">l  </w:t>
      </w:r>
      <w:r>
        <w:rPr>
          <w:sz w:val="20"/>
          <w:szCs w:val="20"/>
        </w:rPr>
        <w:t>According</w:t>
      </w:r>
      <w:proofErr w:type="gramEnd"/>
      <w:r>
        <w:rPr>
          <w:sz w:val="20"/>
          <w:szCs w:val="20"/>
        </w:rPr>
        <w:t xml:space="preserve"> to EPA guidance, annual recordkeeping and reporting costs for LDAR programs are estimated to be 40 percent of monitoring and repair labor, which </w:t>
      </w:r>
      <w:r>
        <w:rPr>
          <w:sz w:val="20"/>
          <w:szCs w:val="20"/>
        </w:rPr>
        <w:lastRenderedPageBreak/>
        <w:t xml:space="preserve">averages $51,681 per facility, or $20,672 per facility (40*51,681=20,672) person hours per occurrence are based on this cost divided by the composite hourly labor rate. </w:t>
      </w:r>
    </w:p>
    <w:p w:rsidR="00B75B28" w:rsidRDefault="00B75B28" w:rsidP="00B75B28">
      <w:pPr>
        <w:ind w:left="-180" w:right="-270"/>
        <w:rPr>
          <w:sz w:val="20"/>
          <w:szCs w:val="20"/>
        </w:rPr>
      </w:pPr>
      <w:proofErr w:type="gramStart"/>
      <w:r>
        <w:rPr>
          <w:sz w:val="20"/>
          <w:szCs w:val="20"/>
          <w:vertAlign w:val="superscript"/>
        </w:rPr>
        <w:t>m</w:t>
      </w:r>
      <w:r>
        <w:rPr>
          <w:sz w:val="20"/>
          <w:szCs w:val="20"/>
        </w:rPr>
        <w:t xml:space="preserve">  We</w:t>
      </w:r>
      <w:proofErr w:type="gramEnd"/>
      <w:r>
        <w:rPr>
          <w:sz w:val="20"/>
          <w:szCs w:val="20"/>
        </w:rPr>
        <w:t xml:space="preserve"> have assumed that 10 percent of existing facilities </w:t>
      </w:r>
      <w:r w:rsidR="001A735B">
        <w:rPr>
          <w:sz w:val="20"/>
          <w:szCs w:val="20"/>
        </w:rPr>
        <w:t>(261 x 10% = 26</w:t>
      </w:r>
      <w:r w:rsidR="00143858">
        <w:rPr>
          <w:sz w:val="20"/>
          <w:szCs w:val="20"/>
        </w:rPr>
        <w:t>.1</w:t>
      </w:r>
      <w:r w:rsidR="001A735B">
        <w:rPr>
          <w:sz w:val="20"/>
          <w:szCs w:val="20"/>
        </w:rPr>
        <w:t xml:space="preserve"> Facilities) </w:t>
      </w:r>
      <w:r>
        <w:rPr>
          <w:sz w:val="20"/>
          <w:szCs w:val="20"/>
        </w:rPr>
        <w:t>will comply with emissions averaging requirements; new facilities are not allowed to use emissions averaging.</w:t>
      </w:r>
    </w:p>
    <w:p w:rsidR="00B75B28" w:rsidRDefault="00B75B28" w:rsidP="00B75B28">
      <w:pPr>
        <w:ind w:left="-180" w:right="-270"/>
        <w:rPr>
          <w:sz w:val="20"/>
          <w:szCs w:val="20"/>
        </w:rPr>
      </w:pPr>
      <w:proofErr w:type="gramStart"/>
      <w:r>
        <w:rPr>
          <w:sz w:val="20"/>
          <w:szCs w:val="20"/>
          <w:vertAlign w:val="superscript"/>
        </w:rPr>
        <w:t>n</w:t>
      </w:r>
      <w:r>
        <w:rPr>
          <w:sz w:val="20"/>
          <w:szCs w:val="20"/>
        </w:rPr>
        <w:t xml:space="preserve">  We</w:t>
      </w:r>
      <w:proofErr w:type="gramEnd"/>
      <w:r>
        <w:rPr>
          <w:sz w:val="20"/>
          <w:szCs w:val="20"/>
        </w:rPr>
        <w:t xml:space="preserve"> have assumed that it will take 40 hours for each respondent to develop a record system for recording parameter monitoring information. </w:t>
      </w:r>
    </w:p>
    <w:p w:rsidR="00B75B28" w:rsidRDefault="00B75B28" w:rsidP="00B75B28">
      <w:pPr>
        <w:ind w:left="-180" w:right="-270"/>
        <w:rPr>
          <w:sz w:val="20"/>
          <w:szCs w:val="20"/>
        </w:rPr>
      </w:pPr>
      <w:proofErr w:type="gramStart"/>
      <w:r>
        <w:rPr>
          <w:sz w:val="20"/>
          <w:szCs w:val="20"/>
          <w:vertAlign w:val="superscript"/>
        </w:rPr>
        <w:t>o</w:t>
      </w:r>
      <w:r>
        <w:rPr>
          <w:sz w:val="20"/>
          <w:szCs w:val="20"/>
        </w:rPr>
        <w:t xml:space="preserve">  We</w:t>
      </w:r>
      <w:proofErr w:type="gramEnd"/>
      <w:r>
        <w:rPr>
          <w:sz w:val="20"/>
          <w:szCs w:val="20"/>
        </w:rPr>
        <w:t xml:space="preserve"> have assumed that it will take 80 hours for each respondent to draft the startup, shutdown, and malfunction plan and another 20 hours of review/revisions, for a total of 100 hours.</w:t>
      </w:r>
    </w:p>
    <w:p w:rsidR="00B75B28" w:rsidRDefault="00B75B28" w:rsidP="00B75B28">
      <w:pPr>
        <w:ind w:left="-180" w:right="-270"/>
        <w:rPr>
          <w:sz w:val="20"/>
          <w:szCs w:val="20"/>
        </w:rPr>
      </w:pPr>
      <w:proofErr w:type="gramStart"/>
      <w:r>
        <w:rPr>
          <w:sz w:val="20"/>
          <w:szCs w:val="20"/>
          <w:vertAlign w:val="superscript"/>
        </w:rPr>
        <w:t>p</w:t>
      </w:r>
      <w:r>
        <w:rPr>
          <w:sz w:val="20"/>
          <w:szCs w:val="20"/>
        </w:rPr>
        <w:t xml:space="preserve">  We</w:t>
      </w:r>
      <w:proofErr w:type="gramEnd"/>
      <w:r>
        <w:rPr>
          <w:sz w:val="20"/>
          <w:szCs w:val="20"/>
        </w:rPr>
        <w:t xml:space="preserve"> have assumed that it will take 40 hours to develop and review the QA/QC plan for the CMS.  No QA/QC plan is required for the parameter monitoring systems included in the rule.  We have assumed that no facility will use the alternative standard, which requires CEMS and QA/QC plans.</w:t>
      </w:r>
    </w:p>
    <w:p w:rsidR="00B75B28" w:rsidRDefault="00B75B28" w:rsidP="00B75B28">
      <w:pPr>
        <w:ind w:left="-180" w:right="-270"/>
        <w:rPr>
          <w:sz w:val="20"/>
          <w:szCs w:val="20"/>
        </w:rPr>
      </w:pPr>
      <w:proofErr w:type="gramStart"/>
      <w:r>
        <w:rPr>
          <w:sz w:val="20"/>
          <w:szCs w:val="20"/>
          <w:vertAlign w:val="superscript"/>
        </w:rPr>
        <w:t>q</w:t>
      </w:r>
      <w:r>
        <w:rPr>
          <w:sz w:val="20"/>
          <w:szCs w:val="20"/>
        </w:rPr>
        <w:t xml:space="preserve">  We</w:t>
      </w:r>
      <w:proofErr w:type="gramEnd"/>
      <w:r>
        <w:rPr>
          <w:sz w:val="20"/>
          <w:szCs w:val="20"/>
        </w:rPr>
        <w:t xml:space="preserve"> have assumed that it will take 40 hours to train personnel.</w:t>
      </w:r>
    </w:p>
    <w:p w:rsidR="00B75B28" w:rsidRDefault="00B75B28" w:rsidP="00B75B28">
      <w:pPr>
        <w:ind w:left="-180" w:right="-270"/>
        <w:rPr>
          <w:sz w:val="20"/>
          <w:szCs w:val="20"/>
        </w:rPr>
      </w:pPr>
      <w:proofErr w:type="gramStart"/>
      <w:r>
        <w:rPr>
          <w:sz w:val="20"/>
          <w:szCs w:val="20"/>
          <w:vertAlign w:val="superscript"/>
        </w:rPr>
        <w:t>r</w:t>
      </w:r>
      <w:r>
        <w:rPr>
          <w:sz w:val="20"/>
          <w:szCs w:val="20"/>
        </w:rPr>
        <w:t xml:space="preserve">  We</w:t>
      </w:r>
      <w:proofErr w:type="gramEnd"/>
      <w:r>
        <w:rPr>
          <w:sz w:val="20"/>
          <w:szCs w:val="20"/>
        </w:rPr>
        <w:t xml:space="preserve"> have assumed it will take 20 days (16 hours) to provide refresher training for personnel.</w:t>
      </w:r>
    </w:p>
    <w:p w:rsidR="00B75B28" w:rsidRDefault="00B75B28" w:rsidP="00B75B28">
      <w:pPr>
        <w:ind w:left="-180" w:right="-270"/>
        <w:rPr>
          <w:sz w:val="20"/>
          <w:szCs w:val="20"/>
        </w:rPr>
      </w:pPr>
      <w:proofErr w:type="gramStart"/>
      <w:r>
        <w:rPr>
          <w:sz w:val="20"/>
          <w:szCs w:val="20"/>
          <w:vertAlign w:val="superscript"/>
        </w:rPr>
        <w:t>s</w:t>
      </w:r>
      <w:r>
        <w:rPr>
          <w:sz w:val="20"/>
          <w:szCs w:val="20"/>
        </w:rPr>
        <w:t xml:space="preserve">  The</w:t>
      </w:r>
      <w:proofErr w:type="gramEnd"/>
      <w:r>
        <w:rPr>
          <w:sz w:val="20"/>
          <w:szCs w:val="20"/>
        </w:rPr>
        <w:t xml:space="preserve"> record of continuously monitored parameters includes: process vent, storage tank, and wastewater monitoring and inspections.</w:t>
      </w:r>
    </w:p>
    <w:p w:rsidR="00B75B28" w:rsidRDefault="00B75B28" w:rsidP="00B75B28">
      <w:pPr>
        <w:ind w:left="-180" w:right="-270"/>
        <w:rPr>
          <w:sz w:val="20"/>
          <w:szCs w:val="20"/>
        </w:rPr>
      </w:pPr>
      <w:proofErr w:type="gramStart"/>
      <w:r>
        <w:rPr>
          <w:sz w:val="20"/>
          <w:szCs w:val="20"/>
          <w:vertAlign w:val="superscript"/>
        </w:rPr>
        <w:t>t</w:t>
      </w:r>
      <w:r>
        <w:rPr>
          <w:sz w:val="20"/>
          <w:szCs w:val="20"/>
        </w:rPr>
        <w:t xml:space="preserve">  We</w:t>
      </w:r>
      <w:proofErr w:type="gramEnd"/>
      <w:r>
        <w:rPr>
          <w:sz w:val="20"/>
          <w:szCs w:val="20"/>
        </w:rPr>
        <w:t xml:space="preserve"> have assumed that calibration of CMS will require 8 hours per year for each monitor.  We are assuming a total of 2 CMS for each facility, for a total requirement of 16 hours per year per facility.</w:t>
      </w:r>
    </w:p>
    <w:p w:rsidR="00991D8D" w:rsidRDefault="00144F35" w:rsidP="004D171B">
      <w:pPr>
        <w:jc w:val="center"/>
        <w:rPr>
          <w:b/>
          <w:bCs/>
          <w:color w:val="000000"/>
        </w:rPr>
      </w:pPr>
      <w:r>
        <w:rPr>
          <w:b/>
          <w:bCs/>
          <w:color w:val="000000"/>
        </w:rPr>
        <w:br w:type="page"/>
      </w:r>
      <w:r w:rsidR="005B532C" w:rsidRPr="005B532C">
        <w:rPr>
          <w:b/>
          <w:bCs/>
          <w:color w:val="000000"/>
        </w:rPr>
        <w:lastRenderedPageBreak/>
        <w:t>Table 2: Average Annual EPA Burden and Cost – NESHAP for Miscellaneous Organic Chemical Manufacturing (40 CFR Part</w:t>
      </w:r>
    </w:p>
    <w:p w:rsidR="00144F35" w:rsidRDefault="005B532C" w:rsidP="00991D8D">
      <w:pPr>
        <w:rPr>
          <w:b/>
          <w:bCs/>
          <w:color w:val="000000"/>
        </w:rPr>
      </w:pPr>
      <w:r w:rsidRPr="005B532C">
        <w:rPr>
          <w:b/>
          <w:bCs/>
          <w:color w:val="000000"/>
        </w:rPr>
        <w:t xml:space="preserve"> 63, Subpart FFFF) (Renewal)</w:t>
      </w:r>
    </w:p>
    <w:p w:rsidR="00144F35" w:rsidRDefault="00144F35" w:rsidP="00F340DF">
      <w:pPr>
        <w:rPr>
          <w:b/>
          <w:bCs/>
          <w:color w:val="000000"/>
        </w:rPr>
      </w:pPr>
    </w:p>
    <w:tbl>
      <w:tblPr>
        <w:tblW w:w="12502"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9"/>
        <w:gridCol w:w="972"/>
        <w:gridCol w:w="1050"/>
        <w:gridCol w:w="984"/>
        <w:gridCol w:w="890"/>
        <w:gridCol w:w="940"/>
        <w:gridCol w:w="1150"/>
        <w:gridCol w:w="915"/>
        <w:gridCol w:w="1242"/>
      </w:tblGrid>
      <w:tr w:rsidR="00AE0EE0" w:rsidTr="00A75BF9">
        <w:trPr>
          <w:trHeight w:val="1545"/>
          <w:tblHeader/>
          <w:jc w:val="center"/>
        </w:trPr>
        <w:tc>
          <w:tcPr>
            <w:tcW w:w="4359" w:type="dxa"/>
            <w:shd w:val="clear" w:color="auto" w:fill="auto"/>
            <w:tcMar>
              <w:top w:w="14" w:type="dxa"/>
              <w:left w:w="14" w:type="dxa"/>
              <w:bottom w:w="0" w:type="dxa"/>
              <w:right w:w="14" w:type="dxa"/>
            </w:tcMar>
            <w:vAlign w:val="center"/>
            <w:hideMark/>
          </w:tcPr>
          <w:p w:rsidR="002768B7" w:rsidRDefault="00292372">
            <w:pPr>
              <w:jc w:val="center"/>
              <w:rPr>
                <w:b/>
                <w:color w:val="000000"/>
                <w:sz w:val="20"/>
                <w:szCs w:val="20"/>
              </w:rPr>
            </w:pPr>
            <w:r w:rsidRPr="00292372">
              <w:rPr>
                <w:b/>
                <w:color w:val="000000"/>
                <w:sz w:val="20"/>
                <w:szCs w:val="20"/>
              </w:rPr>
              <w:t>Activity</w:t>
            </w:r>
          </w:p>
        </w:tc>
        <w:tc>
          <w:tcPr>
            <w:tcW w:w="972" w:type="dxa"/>
            <w:shd w:val="clear" w:color="auto" w:fill="auto"/>
            <w:tcMar>
              <w:top w:w="14" w:type="dxa"/>
              <w:left w:w="14" w:type="dxa"/>
              <w:bottom w:w="0" w:type="dxa"/>
              <w:right w:w="14" w:type="dxa"/>
            </w:tcMar>
            <w:vAlign w:val="center"/>
            <w:hideMark/>
          </w:tcPr>
          <w:p w:rsidR="00AE0EE0" w:rsidRPr="00042F31" w:rsidRDefault="00292372" w:rsidP="00AE0EE0">
            <w:pPr>
              <w:jc w:val="center"/>
              <w:rPr>
                <w:b/>
                <w:color w:val="000000"/>
                <w:sz w:val="20"/>
                <w:szCs w:val="20"/>
              </w:rPr>
            </w:pPr>
            <w:r w:rsidRPr="00292372">
              <w:rPr>
                <w:b/>
                <w:color w:val="000000"/>
                <w:sz w:val="20"/>
                <w:szCs w:val="20"/>
              </w:rPr>
              <w:t xml:space="preserve">(A) </w:t>
            </w:r>
          </w:p>
          <w:p w:rsidR="00AE0EE0" w:rsidRPr="00042F31" w:rsidRDefault="00292372" w:rsidP="00AE0EE0">
            <w:pPr>
              <w:jc w:val="center"/>
              <w:rPr>
                <w:b/>
                <w:color w:val="000000"/>
                <w:sz w:val="20"/>
                <w:szCs w:val="20"/>
              </w:rPr>
            </w:pPr>
            <w:r w:rsidRPr="00292372">
              <w:rPr>
                <w:b/>
                <w:color w:val="000000"/>
                <w:sz w:val="20"/>
                <w:szCs w:val="20"/>
              </w:rPr>
              <w:t>EPA person hours per occurrence</w:t>
            </w:r>
          </w:p>
        </w:tc>
        <w:tc>
          <w:tcPr>
            <w:tcW w:w="1050"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 xml:space="preserve">(B) </w:t>
            </w:r>
          </w:p>
          <w:p w:rsidR="00525048" w:rsidRDefault="00292372">
            <w:pPr>
              <w:jc w:val="center"/>
              <w:rPr>
                <w:b/>
                <w:color w:val="000000"/>
                <w:sz w:val="20"/>
                <w:szCs w:val="20"/>
              </w:rPr>
            </w:pPr>
            <w:r w:rsidRPr="00292372">
              <w:rPr>
                <w:b/>
                <w:color w:val="000000"/>
                <w:sz w:val="20"/>
                <w:szCs w:val="20"/>
              </w:rPr>
              <w:t>No. of occurrences per plant per year</w:t>
            </w:r>
          </w:p>
        </w:tc>
        <w:tc>
          <w:tcPr>
            <w:tcW w:w="984"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 xml:space="preserve">(C) </w:t>
            </w:r>
          </w:p>
          <w:p w:rsidR="00525048" w:rsidRDefault="00292372">
            <w:pPr>
              <w:jc w:val="center"/>
              <w:rPr>
                <w:b/>
                <w:color w:val="000000"/>
                <w:sz w:val="20"/>
                <w:szCs w:val="20"/>
              </w:rPr>
            </w:pPr>
            <w:r w:rsidRPr="00292372">
              <w:rPr>
                <w:b/>
                <w:color w:val="000000"/>
                <w:sz w:val="20"/>
                <w:szCs w:val="20"/>
              </w:rPr>
              <w:t>EPA person hours per respondent per year (C=</w:t>
            </w:r>
            <w:proofErr w:type="spellStart"/>
            <w:r w:rsidRPr="00292372">
              <w:rPr>
                <w:b/>
                <w:color w:val="000000"/>
                <w:sz w:val="20"/>
                <w:szCs w:val="20"/>
              </w:rPr>
              <w:t>AxB</w:t>
            </w:r>
            <w:proofErr w:type="spellEnd"/>
            <w:r w:rsidRPr="00292372">
              <w:rPr>
                <w:b/>
                <w:color w:val="000000"/>
                <w:sz w:val="20"/>
                <w:szCs w:val="20"/>
              </w:rPr>
              <w:t>)</w:t>
            </w:r>
          </w:p>
        </w:tc>
        <w:tc>
          <w:tcPr>
            <w:tcW w:w="890"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 xml:space="preserve">(D) </w:t>
            </w:r>
          </w:p>
          <w:p w:rsidR="00525048" w:rsidRDefault="00292372">
            <w:pPr>
              <w:jc w:val="center"/>
              <w:rPr>
                <w:b/>
                <w:color w:val="000000"/>
                <w:sz w:val="20"/>
                <w:szCs w:val="20"/>
              </w:rPr>
            </w:pPr>
            <w:r w:rsidRPr="00292372">
              <w:rPr>
                <w:b/>
                <w:color w:val="000000"/>
                <w:sz w:val="20"/>
                <w:szCs w:val="20"/>
              </w:rPr>
              <w:t xml:space="preserve">Plants per </w:t>
            </w:r>
            <w:proofErr w:type="spellStart"/>
            <w:r w:rsidRPr="00292372">
              <w:rPr>
                <w:b/>
                <w:color w:val="000000"/>
                <w:sz w:val="20"/>
                <w:szCs w:val="20"/>
              </w:rPr>
              <w:t>year</w:t>
            </w:r>
            <w:r w:rsidRPr="00292372">
              <w:rPr>
                <w:b/>
                <w:color w:val="000000"/>
                <w:sz w:val="20"/>
                <w:szCs w:val="20"/>
                <w:vertAlign w:val="superscript"/>
              </w:rPr>
              <w:t>a</w:t>
            </w:r>
            <w:proofErr w:type="spellEnd"/>
          </w:p>
        </w:tc>
        <w:tc>
          <w:tcPr>
            <w:tcW w:w="940"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(E) Technical person-hours per year (E=</w:t>
            </w:r>
            <w:proofErr w:type="spellStart"/>
            <w:r w:rsidRPr="00292372">
              <w:rPr>
                <w:b/>
                <w:color w:val="000000"/>
                <w:sz w:val="20"/>
                <w:szCs w:val="20"/>
              </w:rPr>
              <w:t>CxD</w:t>
            </w:r>
            <w:proofErr w:type="spellEnd"/>
            <w:r w:rsidRPr="00292372">
              <w:rPr>
                <w:b/>
                <w:color w:val="000000"/>
                <w:sz w:val="20"/>
                <w:szCs w:val="20"/>
              </w:rPr>
              <w:t>)</w:t>
            </w:r>
          </w:p>
        </w:tc>
        <w:tc>
          <w:tcPr>
            <w:tcW w:w="1150"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(F) Management person hours per year (Ex0.05)</w:t>
            </w:r>
          </w:p>
        </w:tc>
        <w:tc>
          <w:tcPr>
            <w:tcW w:w="915"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(G) Clerical person hours per year (Ex0.1)</w:t>
            </w:r>
          </w:p>
        </w:tc>
        <w:tc>
          <w:tcPr>
            <w:tcW w:w="1242" w:type="dxa"/>
            <w:shd w:val="clear" w:color="auto" w:fill="auto"/>
            <w:tcMar>
              <w:top w:w="14" w:type="dxa"/>
              <w:left w:w="14" w:type="dxa"/>
              <w:bottom w:w="0" w:type="dxa"/>
              <w:right w:w="14" w:type="dxa"/>
            </w:tcMar>
            <w:vAlign w:val="center"/>
            <w:hideMark/>
          </w:tcPr>
          <w:p w:rsidR="00525048" w:rsidRDefault="00292372">
            <w:pPr>
              <w:jc w:val="center"/>
              <w:rPr>
                <w:b/>
                <w:color w:val="000000"/>
                <w:sz w:val="20"/>
                <w:szCs w:val="20"/>
              </w:rPr>
            </w:pPr>
            <w:r w:rsidRPr="00292372">
              <w:rPr>
                <w:b/>
                <w:color w:val="000000"/>
                <w:sz w:val="20"/>
                <w:szCs w:val="20"/>
              </w:rPr>
              <w:t xml:space="preserve">(H) </w:t>
            </w:r>
          </w:p>
          <w:p w:rsidR="00525048" w:rsidRDefault="00292372">
            <w:pPr>
              <w:jc w:val="center"/>
              <w:rPr>
                <w:b/>
                <w:color w:val="000000"/>
                <w:sz w:val="20"/>
                <w:szCs w:val="20"/>
              </w:rPr>
            </w:pPr>
            <w:r w:rsidRPr="00292372">
              <w:rPr>
                <w:b/>
                <w:color w:val="000000"/>
                <w:sz w:val="20"/>
                <w:szCs w:val="20"/>
              </w:rPr>
              <w:t>Total Cost per year, $</w:t>
            </w:r>
            <w:r w:rsidRPr="00292372">
              <w:rPr>
                <w:b/>
                <w:color w:val="000000"/>
                <w:sz w:val="20"/>
                <w:szCs w:val="20"/>
                <w:vertAlign w:val="superscript"/>
              </w:rPr>
              <w:t>b</w:t>
            </w:r>
          </w:p>
        </w:tc>
      </w:tr>
      <w:tr w:rsidR="00AE0EE0" w:rsidTr="006D74CD">
        <w:trPr>
          <w:trHeight w:val="318"/>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1.  Review notification of construction/reconstruction</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0.4</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$207.30</w:t>
            </w:r>
          </w:p>
        </w:tc>
      </w:tr>
      <w:tr w:rsidR="00AE0EE0" w:rsidTr="006D74CD">
        <w:trPr>
          <w:trHeight w:val="264"/>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2.  Review notification of actual startup</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0.2</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$103.65</w:t>
            </w:r>
          </w:p>
        </w:tc>
      </w:tr>
      <w:tr w:rsidR="00AE0EE0" w:rsidTr="00935331">
        <w:trPr>
          <w:trHeight w:val="300"/>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3. Review initial notification </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0.4</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$207.30</w:t>
            </w:r>
          </w:p>
        </w:tc>
      </w:tr>
      <w:tr w:rsidR="00AE0EE0" w:rsidTr="006D74CD">
        <w:trPr>
          <w:trHeight w:val="273"/>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4.  Review emissions averaging plan </w:t>
            </w:r>
            <w:r>
              <w:rPr>
                <w:color w:val="000000"/>
                <w:sz w:val="20"/>
                <w:szCs w:val="20"/>
                <w:vertAlign w:val="superscript"/>
              </w:rPr>
              <w:t>c</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20</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5.  Review pre-compliance report </w:t>
            </w:r>
            <w:r>
              <w:rPr>
                <w:color w:val="000000"/>
                <w:sz w:val="20"/>
                <w:szCs w:val="20"/>
                <w:vertAlign w:val="superscript"/>
              </w:rPr>
              <w:t>d</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0.4</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$207.30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6.  Review notification of initial performance test</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0.4</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$207.30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7.  Review notification of initial CMS demonstration</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8.  Review notification of compliance status report</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1242" w:type="dxa"/>
            <w:shd w:val="clear" w:color="auto" w:fill="auto"/>
            <w:noWrap/>
            <w:tcMar>
              <w:top w:w="14" w:type="dxa"/>
              <w:left w:w="14" w:type="dxa"/>
              <w:bottom w:w="0" w:type="dxa"/>
              <w:right w:w="14" w:type="dxa"/>
            </w:tcMar>
            <w:vAlign w:val="center"/>
            <w:hideMark/>
          </w:tcPr>
          <w:p w:rsidR="00525048" w:rsidRDefault="00525048" w:rsidP="00A75BF9">
            <w:pPr>
              <w:jc w:val="right"/>
              <w:rPr>
                <w:color w:val="000000"/>
                <w:sz w:val="20"/>
                <w:szCs w:val="20"/>
              </w:rPr>
            </w:pP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With performance test </w:t>
            </w:r>
            <w:r>
              <w:rPr>
                <w:color w:val="000000"/>
                <w:sz w:val="20"/>
                <w:szCs w:val="20"/>
                <w:vertAlign w:val="superscript"/>
              </w:rPr>
              <w:t>e</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40</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80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8</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$4,145.96</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ii.  Without performance test </w:t>
            </w:r>
            <w:r>
              <w:rPr>
                <w:color w:val="000000"/>
                <w:sz w:val="20"/>
                <w:szCs w:val="20"/>
                <w:vertAlign w:val="superscript"/>
              </w:rPr>
              <w:t>f</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40</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0</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9.  Review notification physical/operational change</w:t>
            </w:r>
            <w:r w:rsidR="00935331">
              <w:rPr>
                <w:color w:val="000000"/>
                <w:sz w:val="20"/>
                <w:szCs w:val="20"/>
              </w:rPr>
              <w:t xml:space="preserve"> </w:t>
            </w:r>
            <w:r>
              <w:rPr>
                <w:color w:val="000000"/>
                <w:sz w:val="20"/>
                <w:szCs w:val="20"/>
                <w:vertAlign w:val="superscript"/>
              </w:rPr>
              <w:t>g</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8</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8</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26</w:t>
            </w:r>
            <w:r w:rsidR="00A75BF9">
              <w:rPr>
                <w:color w:val="000000"/>
                <w:sz w:val="20"/>
                <w:szCs w:val="20"/>
              </w:rPr>
              <w:t>.3</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210</w:t>
            </w:r>
            <w:r w:rsidR="00A75BF9">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10.52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21.04</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$10,903.87</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10.  Review semiannual summary report</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1242" w:type="dxa"/>
            <w:shd w:val="clear" w:color="auto" w:fill="auto"/>
            <w:noWrap/>
            <w:tcMar>
              <w:top w:w="14" w:type="dxa"/>
              <w:left w:w="14" w:type="dxa"/>
              <w:bottom w:w="0" w:type="dxa"/>
              <w:right w:w="14" w:type="dxa"/>
            </w:tcMar>
            <w:vAlign w:val="center"/>
            <w:hideMark/>
          </w:tcPr>
          <w:p w:rsidR="00525048" w:rsidRDefault="00525048" w:rsidP="00A75BF9">
            <w:pPr>
              <w:jc w:val="right"/>
              <w:rPr>
                <w:color w:val="000000"/>
                <w:sz w:val="20"/>
                <w:szCs w:val="20"/>
              </w:rPr>
            </w:pP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No deviations </w:t>
            </w:r>
            <w:r>
              <w:rPr>
                <w:color w:val="000000"/>
                <w:sz w:val="20"/>
                <w:szCs w:val="20"/>
                <w:vertAlign w:val="superscript"/>
              </w:rPr>
              <w:t>h</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23</w:t>
            </w:r>
            <w:r w:rsidR="00A75BF9">
              <w:rPr>
                <w:color w:val="000000"/>
                <w:sz w:val="20"/>
                <w:szCs w:val="20"/>
              </w:rPr>
              <w:t>6.7</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94</w:t>
            </w:r>
            <w:r w:rsidR="00A75BF9">
              <w:rPr>
                <w:color w:val="000000"/>
                <w:sz w:val="20"/>
                <w:szCs w:val="20"/>
              </w:rPr>
              <w:t>6.8</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47.34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94.68</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$49,067.44</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ii.  Deviations </w:t>
            </w:r>
            <w:r>
              <w:rPr>
                <w:color w:val="000000"/>
                <w:sz w:val="20"/>
                <w:szCs w:val="20"/>
                <w:vertAlign w:val="superscript"/>
              </w:rPr>
              <w:t>h</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8</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16</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26</w:t>
            </w:r>
            <w:r w:rsidR="00A75BF9">
              <w:rPr>
                <w:color w:val="000000"/>
                <w:sz w:val="20"/>
                <w:szCs w:val="20"/>
              </w:rPr>
              <w:t>.3</w:t>
            </w:r>
          </w:p>
        </w:tc>
        <w:tc>
          <w:tcPr>
            <w:tcW w:w="0" w:type="auto"/>
            <w:shd w:val="clear" w:color="auto" w:fill="auto"/>
            <w:noWrap/>
            <w:tcMar>
              <w:top w:w="14" w:type="dxa"/>
              <w:left w:w="14" w:type="dxa"/>
              <w:bottom w:w="0" w:type="dxa"/>
              <w:right w:w="14" w:type="dxa"/>
            </w:tcMar>
            <w:vAlign w:val="center"/>
            <w:hideMark/>
          </w:tcPr>
          <w:p w:rsidR="00525048" w:rsidRDefault="00A75BF9">
            <w:pPr>
              <w:jc w:val="center"/>
              <w:rPr>
                <w:color w:val="000000"/>
                <w:sz w:val="20"/>
                <w:szCs w:val="20"/>
              </w:rPr>
            </w:pPr>
            <w:r>
              <w:rPr>
                <w:color w:val="000000"/>
                <w:sz w:val="20"/>
                <w:szCs w:val="20"/>
              </w:rPr>
              <w:t>420.8</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21.04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42.08</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$21,807.75</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iii.  SS&amp;M report </w:t>
            </w:r>
            <w:proofErr w:type="spellStart"/>
            <w:r>
              <w:rPr>
                <w:color w:val="000000"/>
                <w:sz w:val="20"/>
                <w:szCs w:val="20"/>
                <w:vertAlign w:val="superscript"/>
              </w:rPr>
              <w:t>i</w:t>
            </w:r>
            <w:proofErr w:type="spellEnd"/>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263</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1,052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52.60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105.20</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$54,519.37</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iv.  LDAR report </w:t>
            </w:r>
            <w:r>
              <w:rPr>
                <w:color w:val="000000"/>
                <w:sz w:val="20"/>
                <w:szCs w:val="20"/>
                <w:vertAlign w:val="superscript"/>
              </w:rPr>
              <w:t>j</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8</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16</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263</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4,208</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210.40</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420.80</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$218,077.50</w:t>
            </w:r>
          </w:p>
        </w:tc>
      </w:tr>
      <w:tr w:rsidR="00AE0EE0" w:rsidTr="006D74CD">
        <w:trPr>
          <w:trHeight w:val="246"/>
          <w:jc w:val="center"/>
        </w:trPr>
        <w:tc>
          <w:tcPr>
            <w:tcW w:w="4359" w:type="dxa"/>
            <w:shd w:val="clear" w:color="auto" w:fill="auto"/>
            <w:tcMar>
              <w:top w:w="14" w:type="dxa"/>
              <w:left w:w="14" w:type="dxa"/>
              <w:bottom w:w="0" w:type="dxa"/>
              <w:right w:w="14" w:type="dxa"/>
            </w:tcMar>
            <w:vAlign w:val="center"/>
            <w:hideMark/>
          </w:tcPr>
          <w:p w:rsidR="00AE0EE0" w:rsidRDefault="00AE0EE0" w:rsidP="00935331">
            <w:pPr>
              <w:rPr>
                <w:color w:val="000000"/>
                <w:sz w:val="20"/>
                <w:szCs w:val="20"/>
              </w:rPr>
            </w:pPr>
            <w:r>
              <w:rPr>
                <w:color w:val="000000"/>
                <w:sz w:val="20"/>
                <w:szCs w:val="20"/>
              </w:rPr>
              <w:t xml:space="preserve">     v.  Emission averaging report </w:t>
            </w:r>
            <w:r>
              <w:rPr>
                <w:color w:val="000000"/>
                <w:sz w:val="20"/>
                <w:szCs w:val="20"/>
                <w:vertAlign w:val="superscript"/>
              </w:rPr>
              <w:t>c</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8</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r>
              <w:rPr>
                <w:color w:val="000000"/>
                <w:sz w:val="20"/>
                <w:szCs w:val="20"/>
              </w:rPr>
              <w:t>2</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16</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26</w:t>
            </w:r>
            <w:r w:rsidR="00A75BF9">
              <w:rPr>
                <w:color w:val="000000"/>
                <w:sz w:val="20"/>
                <w:szCs w:val="20"/>
              </w:rPr>
              <w:t>.1</w:t>
            </w:r>
          </w:p>
        </w:tc>
        <w:tc>
          <w:tcPr>
            <w:tcW w:w="0" w:type="auto"/>
            <w:shd w:val="clear" w:color="auto" w:fill="auto"/>
            <w:noWrap/>
            <w:tcMar>
              <w:top w:w="14" w:type="dxa"/>
              <w:left w:w="14" w:type="dxa"/>
              <w:bottom w:w="0" w:type="dxa"/>
              <w:right w:w="14" w:type="dxa"/>
            </w:tcMar>
            <w:vAlign w:val="center"/>
            <w:hideMark/>
          </w:tcPr>
          <w:p w:rsidR="00525048" w:rsidRDefault="00A75BF9">
            <w:pPr>
              <w:jc w:val="center"/>
              <w:rPr>
                <w:color w:val="000000"/>
                <w:sz w:val="20"/>
                <w:szCs w:val="20"/>
              </w:rPr>
            </w:pPr>
            <w:r>
              <w:rPr>
                <w:color w:val="000000"/>
                <w:sz w:val="20"/>
                <w:szCs w:val="20"/>
              </w:rPr>
              <w:t>417.6</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20.88</w:t>
            </w:r>
          </w:p>
        </w:tc>
        <w:tc>
          <w:tcPr>
            <w:tcW w:w="0" w:type="auto"/>
            <w:shd w:val="clear" w:color="auto" w:fill="auto"/>
            <w:noWrap/>
            <w:tcMar>
              <w:top w:w="14" w:type="dxa"/>
              <w:left w:w="14" w:type="dxa"/>
              <w:bottom w:w="0" w:type="dxa"/>
              <w:right w:w="14" w:type="dxa"/>
            </w:tcMar>
            <w:vAlign w:val="center"/>
            <w:hideMark/>
          </w:tcPr>
          <w:p w:rsidR="00525048" w:rsidRDefault="00AE0EE0">
            <w:pPr>
              <w:jc w:val="center"/>
              <w:rPr>
                <w:color w:val="000000"/>
                <w:sz w:val="20"/>
                <w:szCs w:val="20"/>
              </w:rPr>
            </w:pPr>
            <w:r>
              <w:rPr>
                <w:color w:val="000000"/>
                <w:sz w:val="20"/>
                <w:szCs w:val="20"/>
              </w:rPr>
              <w:t>41.76</w:t>
            </w:r>
          </w:p>
        </w:tc>
        <w:tc>
          <w:tcPr>
            <w:tcW w:w="1242" w:type="dxa"/>
            <w:shd w:val="clear" w:color="auto" w:fill="auto"/>
            <w:noWrap/>
            <w:tcMar>
              <w:top w:w="14" w:type="dxa"/>
              <w:left w:w="14" w:type="dxa"/>
              <w:bottom w:w="0" w:type="dxa"/>
              <w:right w:w="14" w:type="dxa"/>
            </w:tcMar>
            <w:vAlign w:val="center"/>
            <w:hideMark/>
          </w:tcPr>
          <w:p w:rsidR="00525048" w:rsidRDefault="00AE0EE0" w:rsidP="00A75BF9">
            <w:pPr>
              <w:jc w:val="right"/>
              <w:rPr>
                <w:color w:val="000000"/>
                <w:sz w:val="20"/>
                <w:szCs w:val="20"/>
              </w:rPr>
            </w:pPr>
            <w:r>
              <w:rPr>
                <w:color w:val="000000"/>
                <w:sz w:val="20"/>
                <w:szCs w:val="20"/>
              </w:rPr>
              <w:t>$21,641.91</w:t>
            </w:r>
          </w:p>
        </w:tc>
      </w:tr>
      <w:tr w:rsidR="00AE0EE0" w:rsidTr="00A75BF9">
        <w:trPr>
          <w:trHeight w:val="525"/>
          <w:jc w:val="center"/>
        </w:trPr>
        <w:tc>
          <w:tcPr>
            <w:tcW w:w="4359" w:type="dxa"/>
            <w:shd w:val="clear" w:color="auto" w:fill="auto"/>
            <w:tcMar>
              <w:top w:w="14" w:type="dxa"/>
              <w:left w:w="14" w:type="dxa"/>
              <w:bottom w:w="0" w:type="dxa"/>
              <w:right w:w="14" w:type="dxa"/>
            </w:tcMar>
            <w:vAlign w:val="bottom"/>
            <w:hideMark/>
          </w:tcPr>
          <w:p w:rsidR="00AE0EE0" w:rsidRDefault="00AE0EE0">
            <w:pPr>
              <w:rPr>
                <w:b/>
                <w:bCs/>
                <w:color w:val="000000"/>
                <w:sz w:val="20"/>
                <w:szCs w:val="20"/>
              </w:rPr>
            </w:pPr>
            <w:r>
              <w:rPr>
                <w:b/>
                <w:bCs/>
                <w:color w:val="000000"/>
                <w:sz w:val="20"/>
                <w:szCs w:val="20"/>
              </w:rPr>
              <w:t>TOTAL ANNUAL BURDEN AND COST (rounded)</w:t>
            </w: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AE0EE0" w:rsidRDefault="00AE0EE0" w:rsidP="00AE0EE0">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shd w:val="clear" w:color="auto" w:fill="auto"/>
            <w:noWrap/>
            <w:tcMar>
              <w:top w:w="14" w:type="dxa"/>
              <w:left w:w="14" w:type="dxa"/>
              <w:bottom w:w="0" w:type="dxa"/>
              <w:right w:w="14" w:type="dxa"/>
            </w:tcMar>
            <w:vAlign w:val="center"/>
            <w:hideMark/>
          </w:tcPr>
          <w:p w:rsidR="00525048" w:rsidRDefault="00525048">
            <w:pPr>
              <w:jc w:val="center"/>
              <w:rPr>
                <w:color w:val="000000"/>
                <w:sz w:val="20"/>
                <w:szCs w:val="20"/>
              </w:rPr>
            </w:pPr>
          </w:p>
        </w:tc>
        <w:tc>
          <w:tcPr>
            <w:tcW w:w="0" w:type="auto"/>
            <w:gridSpan w:val="3"/>
            <w:shd w:val="clear" w:color="auto" w:fill="auto"/>
            <w:noWrap/>
            <w:tcMar>
              <w:top w:w="14" w:type="dxa"/>
              <w:left w:w="14" w:type="dxa"/>
              <w:bottom w:w="0" w:type="dxa"/>
              <w:right w:w="14" w:type="dxa"/>
            </w:tcMar>
            <w:vAlign w:val="center"/>
            <w:hideMark/>
          </w:tcPr>
          <w:p w:rsidR="00525048" w:rsidRPr="006D74CD" w:rsidRDefault="00AE0EE0">
            <w:pPr>
              <w:jc w:val="center"/>
              <w:rPr>
                <w:b/>
                <w:color w:val="000000"/>
                <w:sz w:val="20"/>
                <w:szCs w:val="20"/>
              </w:rPr>
            </w:pPr>
            <w:r w:rsidRPr="006D74CD">
              <w:rPr>
                <w:b/>
                <w:color w:val="000000"/>
                <w:sz w:val="20"/>
                <w:szCs w:val="20"/>
              </w:rPr>
              <w:t>8,45</w:t>
            </w:r>
            <w:r w:rsidR="00A75BF9" w:rsidRPr="006D74CD">
              <w:rPr>
                <w:b/>
                <w:color w:val="000000"/>
                <w:sz w:val="20"/>
                <w:szCs w:val="20"/>
              </w:rPr>
              <w:t>7</w:t>
            </w:r>
          </w:p>
        </w:tc>
        <w:tc>
          <w:tcPr>
            <w:tcW w:w="1242" w:type="dxa"/>
            <w:shd w:val="clear" w:color="auto" w:fill="auto"/>
            <w:noWrap/>
            <w:tcMar>
              <w:top w:w="14" w:type="dxa"/>
              <w:left w:w="14" w:type="dxa"/>
              <w:bottom w:w="0" w:type="dxa"/>
              <w:right w:w="14" w:type="dxa"/>
            </w:tcMar>
            <w:vAlign w:val="center"/>
            <w:hideMark/>
          </w:tcPr>
          <w:p w:rsidR="00525048" w:rsidRPr="006D74CD" w:rsidRDefault="00AE0EE0" w:rsidP="006348E5">
            <w:pPr>
              <w:jc w:val="right"/>
              <w:rPr>
                <w:b/>
                <w:color w:val="000000"/>
                <w:sz w:val="20"/>
                <w:szCs w:val="20"/>
              </w:rPr>
            </w:pPr>
            <w:r w:rsidRPr="006D74CD">
              <w:rPr>
                <w:b/>
                <w:color w:val="000000"/>
                <w:sz w:val="20"/>
                <w:szCs w:val="20"/>
              </w:rPr>
              <w:t>$381,09</w:t>
            </w:r>
            <w:r w:rsidR="006348E5">
              <w:rPr>
                <w:b/>
                <w:color w:val="000000"/>
                <w:sz w:val="20"/>
                <w:szCs w:val="20"/>
              </w:rPr>
              <w:t>7</w:t>
            </w:r>
          </w:p>
        </w:tc>
      </w:tr>
    </w:tbl>
    <w:p w:rsidR="00144F35" w:rsidRDefault="00AE0EE0" w:rsidP="00F340DF">
      <w:pPr>
        <w:rPr>
          <w:color w:val="000000"/>
        </w:rPr>
      </w:pPr>
      <w:r w:rsidRPr="00144F35" w:rsidDel="005B532C">
        <w:rPr>
          <w:bCs/>
          <w:color w:val="FF0000"/>
        </w:rPr>
        <w:t xml:space="preserve"> </w:t>
      </w:r>
    </w:p>
    <w:p w:rsidR="006F22AE" w:rsidRDefault="006F22AE" w:rsidP="006F22AE">
      <w:pPr>
        <w:ind w:left="-180" w:right="-270"/>
        <w:rPr>
          <w:sz w:val="20"/>
          <w:szCs w:val="20"/>
        </w:rPr>
      </w:pPr>
      <w:r>
        <w:rPr>
          <w:b/>
          <w:bCs/>
          <w:sz w:val="20"/>
          <w:szCs w:val="20"/>
        </w:rPr>
        <w:t>Assumptions:</w:t>
      </w:r>
    </w:p>
    <w:p w:rsidR="006F22AE" w:rsidRDefault="006F22AE" w:rsidP="006F22AE">
      <w:pPr>
        <w:ind w:left="-180" w:right="-27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w:t>
      </w:r>
      <w:r w:rsidR="00227FE9">
        <w:rPr>
          <w:sz w:val="20"/>
          <w:szCs w:val="20"/>
        </w:rPr>
        <w:t>re are 261 existing facilities subject to the rule, and that two new major sources per year will become subject.  Therefore, the</w:t>
      </w:r>
      <w:r>
        <w:rPr>
          <w:sz w:val="20"/>
          <w:szCs w:val="20"/>
        </w:rPr>
        <w:t xml:space="preserve"> average number of respondents that </w:t>
      </w:r>
      <w:r w:rsidR="00227FE9">
        <w:rPr>
          <w:sz w:val="20"/>
          <w:szCs w:val="20"/>
        </w:rPr>
        <w:t>are</w:t>
      </w:r>
      <w:r>
        <w:rPr>
          <w:sz w:val="20"/>
          <w:szCs w:val="20"/>
        </w:rPr>
        <w:t xml:space="preserve"> subject to this rule </w:t>
      </w:r>
      <w:r w:rsidR="00227FE9">
        <w:rPr>
          <w:sz w:val="20"/>
          <w:szCs w:val="20"/>
        </w:rPr>
        <w:t>is</w:t>
      </w:r>
      <w:r>
        <w:rPr>
          <w:sz w:val="20"/>
          <w:szCs w:val="20"/>
        </w:rPr>
        <w:t xml:space="preserve"> </w:t>
      </w:r>
      <w:r w:rsidR="00EF73BD">
        <w:rPr>
          <w:sz w:val="20"/>
          <w:szCs w:val="20"/>
        </w:rPr>
        <w:t>26</w:t>
      </w:r>
      <w:r w:rsidR="00227FE9">
        <w:rPr>
          <w:sz w:val="20"/>
          <w:szCs w:val="20"/>
        </w:rPr>
        <w:t>3</w:t>
      </w:r>
      <w:r>
        <w:rPr>
          <w:sz w:val="20"/>
          <w:szCs w:val="20"/>
        </w:rPr>
        <w:t xml:space="preserve">.  </w:t>
      </w:r>
    </w:p>
    <w:p w:rsidR="006F22AE" w:rsidRDefault="006F22AE" w:rsidP="006F22AE">
      <w:pPr>
        <w:ind w:left="-180" w:right="-270"/>
        <w:rPr>
          <w:sz w:val="20"/>
          <w:szCs w:val="20"/>
        </w:rPr>
      </w:pPr>
      <w:proofErr w:type="gramStart"/>
      <w:r>
        <w:rPr>
          <w:vertAlign w:val="superscript"/>
        </w:rPr>
        <w:lastRenderedPageBreak/>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w:t>
      </w:r>
      <w:r w:rsidR="00481190">
        <w:rPr>
          <w:sz w:val="20"/>
          <w:szCs w:val="20"/>
        </w:rPr>
        <w:t>62.27</w:t>
      </w:r>
      <w:r>
        <w:rPr>
          <w:sz w:val="20"/>
          <w:szCs w:val="20"/>
        </w:rPr>
        <w:t xml:space="preserve"> Managerial rate (GS-13, Step 5, $</w:t>
      </w:r>
      <w:r w:rsidR="00481190">
        <w:rPr>
          <w:sz w:val="20"/>
          <w:szCs w:val="20"/>
        </w:rPr>
        <w:t>38.92</w:t>
      </w:r>
      <w:r>
        <w:rPr>
          <w:sz w:val="20"/>
          <w:szCs w:val="20"/>
        </w:rPr>
        <w:t xml:space="preserve"> x 1.6), $</w:t>
      </w:r>
      <w:r w:rsidR="00481190">
        <w:rPr>
          <w:sz w:val="20"/>
          <w:szCs w:val="20"/>
        </w:rPr>
        <w:t>46.21</w:t>
      </w:r>
      <w:r>
        <w:rPr>
          <w:sz w:val="20"/>
          <w:szCs w:val="20"/>
        </w:rPr>
        <w:t xml:space="preserve"> Technical rate (GS-12, Step 1, $</w:t>
      </w:r>
      <w:r w:rsidR="00481190">
        <w:rPr>
          <w:sz w:val="20"/>
          <w:szCs w:val="20"/>
        </w:rPr>
        <w:t>28.88</w:t>
      </w:r>
      <w:r>
        <w:rPr>
          <w:sz w:val="20"/>
          <w:szCs w:val="20"/>
        </w:rPr>
        <w:t xml:space="preserve"> x 1.6), and $</w:t>
      </w:r>
      <w:r w:rsidR="00481190">
        <w:rPr>
          <w:sz w:val="20"/>
          <w:szCs w:val="20"/>
        </w:rPr>
        <w:t>25.01</w:t>
      </w:r>
      <w:r>
        <w:rPr>
          <w:sz w:val="20"/>
          <w:szCs w:val="20"/>
        </w:rPr>
        <w:t xml:space="preserve"> Clerical rate (GS-6, Step 3, $</w:t>
      </w:r>
      <w:r w:rsidR="00481190">
        <w:rPr>
          <w:sz w:val="20"/>
          <w:szCs w:val="20"/>
        </w:rPr>
        <w:t>15.63</w:t>
      </w:r>
      <w:r>
        <w:rPr>
          <w:sz w:val="20"/>
          <w:szCs w:val="20"/>
        </w:rPr>
        <w:t xml:space="preserve"> x 1.6).  These rates are from the Office of Personnel Management (OPM) “20</w:t>
      </w:r>
      <w:r w:rsidR="00481190">
        <w:rPr>
          <w:sz w:val="20"/>
          <w:szCs w:val="20"/>
        </w:rPr>
        <w:t>1</w:t>
      </w:r>
      <w:r w:rsidR="00227FE9">
        <w:rPr>
          <w:sz w:val="20"/>
          <w:szCs w:val="20"/>
        </w:rPr>
        <w:t>2</w:t>
      </w:r>
      <w:r>
        <w:rPr>
          <w:sz w:val="20"/>
          <w:szCs w:val="20"/>
        </w:rPr>
        <w:t xml:space="preserve"> General Schedule” which excludes locality rates of pay.</w:t>
      </w:r>
    </w:p>
    <w:p w:rsidR="006F22AE" w:rsidRDefault="006F22AE" w:rsidP="006F22AE">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10 percent of existing facilities will comply with emissions averaging requirements</w:t>
      </w:r>
      <w:r w:rsidR="00EF73BD">
        <w:rPr>
          <w:sz w:val="20"/>
          <w:szCs w:val="20"/>
        </w:rPr>
        <w:t xml:space="preserve"> (261 x 10% = 26 Facilities)</w:t>
      </w:r>
      <w:r>
        <w:rPr>
          <w:sz w:val="20"/>
          <w:szCs w:val="20"/>
        </w:rPr>
        <w:t>.</w:t>
      </w:r>
    </w:p>
    <w:p w:rsidR="006F22AE" w:rsidRDefault="006F22AE" w:rsidP="006F22AE">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50 percent of new facilities will submit a pre-compliance report</w:t>
      </w:r>
      <w:r w:rsidR="00EF73BD">
        <w:rPr>
          <w:sz w:val="20"/>
          <w:szCs w:val="20"/>
        </w:rPr>
        <w:t xml:space="preserve"> (2 x 50% = 1 Facility)</w:t>
      </w:r>
      <w:r>
        <w:rPr>
          <w:sz w:val="20"/>
          <w:szCs w:val="20"/>
        </w:rPr>
        <w:t>.</w:t>
      </w:r>
    </w:p>
    <w:p w:rsidR="006F22AE" w:rsidRDefault="006F22AE" w:rsidP="006F22AE">
      <w:pPr>
        <w:ind w:left="-180" w:right="-270"/>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90 percent of facilities will comply by conducting a performance test(s).  The notification of compliance status includes the report of the performance test(s)</w:t>
      </w:r>
      <w:r w:rsidR="00EF73BD">
        <w:rPr>
          <w:sz w:val="20"/>
          <w:szCs w:val="20"/>
        </w:rPr>
        <w:t xml:space="preserve"> (2 x 90% = 2 Facilities)</w:t>
      </w:r>
      <w:r>
        <w:rPr>
          <w:sz w:val="20"/>
          <w:szCs w:val="20"/>
        </w:rPr>
        <w:t>.</w:t>
      </w:r>
    </w:p>
    <w:p w:rsidR="006F22AE" w:rsidRDefault="006F22AE" w:rsidP="006F22AE">
      <w:pPr>
        <w:ind w:left="-180" w:right="-270"/>
        <w:rPr>
          <w:sz w:val="20"/>
          <w:szCs w:val="20"/>
        </w:rPr>
      </w:pPr>
      <w:proofErr w:type="gramStart"/>
      <w:r>
        <w:rPr>
          <w:sz w:val="20"/>
          <w:szCs w:val="20"/>
          <w:vertAlign w:val="superscript"/>
        </w:rPr>
        <w:t>f</w:t>
      </w:r>
      <w:r>
        <w:rPr>
          <w:sz w:val="20"/>
          <w:szCs w:val="20"/>
        </w:rPr>
        <w:t xml:space="preserve">  We</w:t>
      </w:r>
      <w:proofErr w:type="gramEnd"/>
      <w:r>
        <w:rPr>
          <w:sz w:val="20"/>
          <w:szCs w:val="20"/>
        </w:rPr>
        <w:t xml:space="preserve"> have assumed that 10 percent of facilities will comply by submitting engineering calculations, design calculation, etc., with no performance tests.  The notification of compliance status includes those calculations.</w:t>
      </w:r>
    </w:p>
    <w:p w:rsidR="006F22AE" w:rsidRDefault="006F22AE" w:rsidP="006F22AE">
      <w:pPr>
        <w:ind w:left="-180" w:right="-270"/>
        <w:rPr>
          <w:sz w:val="20"/>
          <w:szCs w:val="20"/>
        </w:rPr>
      </w:pPr>
      <w:proofErr w:type="gramStart"/>
      <w:r>
        <w:rPr>
          <w:sz w:val="20"/>
          <w:szCs w:val="20"/>
          <w:vertAlign w:val="superscript"/>
        </w:rPr>
        <w:t>g</w:t>
      </w:r>
      <w:r>
        <w:rPr>
          <w:sz w:val="20"/>
          <w:szCs w:val="20"/>
        </w:rPr>
        <w:t xml:space="preserve">  We</w:t>
      </w:r>
      <w:proofErr w:type="gramEnd"/>
      <w:r>
        <w:rPr>
          <w:sz w:val="20"/>
          <w:szCs w:val="20"/>
        </w:rPr>
        <w:t xml:space="preserve"> have assumed that 10 percent of facilities will implement process changes</w:t>
      </w:r>
      <w:r w:rsidR="00EF73BD">
        <w:rPr>
          <w:sz w:val="20"/>
          <w:szCs w:val="20"/>
        </w:rPr>
        <w:t xml:space="preserve"> (</w:t>
      </w:r>
      <w:r w:rsidR="00B8422C">
        <w:rPr>
          <w:sz w:val="20"/>
          <w:szCs w:val="20"/>
        </w:rPr>
        <w:t xml:space="preserve">263 x 10% = </w:t>
      </w:r>
      <w:r w:rsidR="00EF73BD">
        <w:rPr>
          <w:sz w:val="20"/>
          <w:szCs w:val="20"/>
        </w:rPr>
        <w:t>26</w:t>
      </w:r>
      <w:r w:rsidR="00143858">
        <w:rPr>
          <w:sz w:val="20"/>
          <w:szCs w:val="20"/>
        </w:rPr>
        <w:t>.3</w:t>
      </w:r>
      <w:r w:rsidR="00EF73BD">
        <w:rPr>
          <w:sz w:val="20"/>
          <w:szCs w:val="20"/>
        </w:rPr>
        <w:t xml:space="preserve"> Facilities)</w:t>
      </w:r>
      <w:r>
        <w:rPr>
          <w:sz w:val="20"/>
          <w:szCs w:val="20"/>
        </w:rPr>
        <w:t>.</w:t>
      </w:r>
    </w:p>
    <w:p w:rsidR="006F22AE" w:rsidRDefault="006F22AE" w:rsidP="006F22AE">
      <w:pPr>
        <w:ind w:left="-180" w:right="-270"/>
        <w:rPr>
          <w:sz w:val="20"/>
          <w:szCs w:val="20"/>
        </w:rPr>
      </w:pPr>
      <w:proofErr w:type="gramStart"/>
      <w:r>
        <w:rPr>
          <w:sz w:val="20"/>
          <w:szCs w:val="20"/>
          <w:vertAlign w:val="superscript"/>
        </w:rPr>
        <w:t>h</w:t>
      </w:r>
      <w:r>
        <w:rPr>
          <w:sz w:val="20"/>
          <w:szCs w:val="20"/>
        </w:rPr>
        <w:t xml:space="preserve">  We</w:t>
      </w:r>
      <w:proofErr w:type="gramEnd"/>
      <w:r>
        <w:rPr>
          <w:sz w:val="20"/>
          <w:szCs w:val="20"/>
        </w:rPr>
        <w:t xml:space="preserve"> have assumed that 90 percent of facilities will have no deviations</w:t>
      </w:r>
      <w:r w:rsidR="00EF73BD">
        <w:rPr>
          <w:sz w:val="20"/>
          <w:szCs w:val="20"/>
        </w:rPr>
        <w:t xml:space="preserve"> (263 x 90% = 23</w:t>
      </w:r>
      <w:r w:rsidR="00143858">
        <w:rPr>
          <w:sz w:val="20"/>
          <w:szCs w:val="20"/>
        </w:rPr>
        <w:t>6.7</w:t>
      </w:r>
      <w:r w:rsidR="00EF73BD">
        <w:rPr>
          <w:sz w:val="20"/>
          <w:szCs w:val="20"/>
        </w:rPr>
        <w:t xml:space="preserve"> Facilities)</w:t>
      </w:r>
      <w:r>
        <w:rPr>
          <w:sz w:val="20"/>
          <w:szCs w:val="20"/>
        </w:rPr>
        <w:t>, 10 percent will have deviations</w:t>
      </w:r>
      <w:r w:rsidR="00EF73BD">
        <w:rPr>
          <w:sz w:val="20"/>
          <w:szCs w:val="20"/>
        </w:rPr>
        <w:t xml:space="preserve"> (263 x 10% = 26 Facilities)</w:t>
      </w:r>
      <w:r>
        <w:rPr>
          <w:sz w:val="20"/>
          <w:szCs w:val="20"/>
        </w:rPr>
        <w:t>.</w:t>
      </w:r>
    </w:p>
    <w:p w:rsidR="006F22AE" w:rsidRDefault="006F22AE" w:rsidP="006F22AE">
      <w:pPr>
        <w:ind w:left="-180" w:right="-270"/>
        <w:rPr>
          <w:sz w:val="20"/>
          <w:szCs w:val="20"/>
        </w:rPr>
      </w:pPr>
      <w:proofErr w:type="spellStart"/>
      <w:proofErr w:type="gramStart"/>
      <w:r>
        <w:rPr>
          <w:sz w:val="20"/>
          <w:szCs w:val="20"/>
          <w:vertAlign w:val="superscript"/>
        </w:rPr>
        <w:t>i</w:t>
      </w:r>
      <w:proofErr w:type="spellEnd"/>
      <w:r>
        <w:rPr>
          <w:sz w:val="20"/>
          <w:szCs w:val="20"/>
        </w:rPr>
        <w:t xml:space="preserve">  We</w:t>
      </w:r>
      <w:proofErr w:type="gramEnd"/>
      <w:r>
        <w:rPr>
          <w:sz w:val="20"/>
          <w:szCs w:val="20"/>
        </w:rPr>
        <w:t xml:space="preserve"> have assumed that all facilities will report actions taken during startup, shutdown, or malfunction that are consistent with the SS&amp;M plan.</w:t>
      </w:r>
    </w:p>
    <w:p w:rsidR="006F22AE" w:rsidRDefault="006F22AE" w:rsidP="006F22AE">
      <w:pPr>
        <w:ind w:left="-180" w:right="-270"/>
        <w:rPr>
          <w:sz w:val="20"/>
          <w:szCs w:val="20"/>
        </w:rPr>
      </w:pPr>
      <w:proofErr w:type="gramStart"/>
      <w:r>
        <w:rPr>
          <w:sz w:val="20"/>
          <w:szCs w:val="20"/>
          <w:vertAlign w:val="superscript"/>
        </w:rPr>
        <w:t>j</w:t>
      </w:r>
      <w:r>
        <w:rPr>
          <w:sz w:val="20"/>
          <w:szCs w:val="20"/>
        </w:rPr>
        <w:t xml:space="preserve">  We</w:t>
      </w:r>
      <w:proofErr w:type="gramEnd"/>
      <w:r>
        <w:rPr>
          <w:sz w:val="20"/>
          <w:szCs w:val="20"/>
        </w:rPr>
        <w:t xml:space="preserve"> have assumed that all facilities will report the specified information for processes subject to the equipment leak standards.</w:t>
      </w:r>
    </w:p>
    <w:p w:rsidR="006F22AE" w:rsidRDefault="006F22AE" w:rsidP="00F340DF">
      <w:pPr>
        <w:rPr>
          <w:color w:val="000000"/>
        </w:rPr>
      </w:pPr>
    </w:p>
    <w:sectPr w:rsidR="006F22A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97" w:rsidRDefault="00145A97">
      <w:r>
        <w:separator/>
      </w:r>
    </w:p>
  </w:endnote>
  <w:endnote w:type="continuationSeparator" w:id="0">
    <w:p w:rsidR="00145A97" w:rsidRDefault="00145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97" w:rsidRDefault="00145A97">
      <w:r>
        <w:separator/>
      </w:r>
    </w:p>
  </w:footnote>
  <w:footnote w:type="continuationSeparator" w:id="0">
    <w:p w:rsidR="00145A97" w:rsidRDefault="0014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97" w:rsidRDefault="00145A97">
    <w:pPr>
      <w:framePr w:w="9361" w:wrap="notBeside" w:vAnchor="text" w:hAnchor="text" w:x="1" w:y="1"/>
      <w:jc w:val="center"/>
    </w:pPr>
    <w:fldSimple w:instr="PAGE ">
      <w:r w:rsidR="004C3D0F">
        <w:rPr>
          <w:noProof/>
        </w:rPr>
        <w:t>21</w:t>
      </w:r>
    </w:fldSimple>
  </w:p>
  <w:p w:rsidR="00145A97" w:rsidRDefault="00145A97"/>
  <w:p w:rsidR="00145A97" w:rsidRDefault="00145A9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D2B6F55"/>
    <w:multiLevelType w:val="hybridMultilevel"/>
    <w:tmpl w:val="C6428CBC"/>
    <w:lvl w:ilvl="0" w:tplc="51C0B712">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2F31"/>
    <w:rsid w:val="00055BDF"/>
    <w:rsid w:val="00055DC5"/>
    <w:rsid w:val="000A0D51"/>
    <w:rsid w:val="000A1FBB"/>
    <w:rsid w:val="000A687C"/>
    <w:rsid w:val="000B1118"/>
    <w:rsid w:val="000B49A0"/>
    <w:rsid w:val="000D2272"/>
    <w:rsid w:val="000E3EA3"/>
    <w:rsid w:val="000F772C"/>
    <w:rsid w:val="00101B40"/>
    <w:rsid w:val="0010697C"/>
    <w:rsid w:val="00123889"/>
    <w:rsid w:val="00126A7C"/>
    <w:rsid w:val="0014079D"/>
    <w:rsid w:val="00143858"/>
    <w:rsid w:val="00144978"/>
    <w:rsid w:val="00144A82"/>
    <w:rsid w:val="00144F35"/>
    <w:rsid w:val="00145A97"/>
    <w:rsid w:val="00146F80"/>
    <w:rsid w:val="0015433E"/>
    <w:rsid w:val="001652C8"/>
    <w:rsid w:val="00167A29"/>
    <w:rsid w:val="00171F19"/>
    <w:rsid w:val="00180D01"/>
    <w:rsid w:val="00182595"/>
    <w:rsid w:val="00186DA3"/>
    <w:rsid w:val="00192A1D"/>
    <w:rsid w:val="00195753"/>
    <w:rsid w:val="00196DE1"/>
    <w:rsid w:val="0019761E"/>
    <w:rsid w:val="001A0B41"/>
    <w:rsid w:val="001A3938"/>
    <w:rsid w:val="001A735B"/>
    <w:rsid w:val="001B0B9A"/>
    <w:rsid w:val="001B35F2"/>
    <w:rsid w:val="001B7ACA"/>
    <w:rsid w:val="001C0F18"/>
    <w:rsid w:val="001C1281"/>
    <w:rsid w:val="001C5991"/>
    <w:rsid w:val="001D762C"/>
    <w:rsid w:val="001E5883"/>
    <w:rsid w:val="001F19FF"/>
    <w:rsid w:val="002041C5"/>
    <w:rsid w:val="002063FE"/>
    <w:rsid w:val="00206932"/>
    <w:rsid w:val="0021722B"/>
    <w:rsid w:val="0022738C"/>
    <w:rsid w:val="00227FE9"/>
    <w:rsid w:val="00234A28"/>
    <w:rsid w:val="00236DB3"/>
    <w:rsid w:val="0024011A"/>
    <w:rsid w:val="00241D63"/>
    <w:rsid w:val="002431D9"/>
    <w:rsid w:val="002555DC"/>
    <w:rsid w:val="002638A0"/>
    <w:rsid w:val="002712EB"/>
    <w:rsid w:val="0027222A"/>
    <w:rsid w:val="002743D2"/>
    <w:rsid w:val="002768B7"/>
    <w:rsid w:val="00277F42"/>
    <w:rsid w:val="00281CAE"/>
    <w:rsid w:val="0029006A"/>
    <w:rsid w:val="002904E7"/>
    <w:rsid w:val="00292372"/>
    <w:rsid w:val="002976E9"/>
    <w:rsid w:val="002B29A5"/>
    <w:rsid w:val="002B29A7"/>
    <w:rsid w:val="002B3E18"/>
    <w:rsid w:val="002B517F"/>
    <w:rsid w:val="002B6993"/>
    <w:rsid w:val="002C1F95"/>
    <w:rsid w:val="002C416A"/>
    <w:rsid w:val="002C77DF"/>
    <w:rsid w:val="002D5DEA"/>
    <w:rsid w:val="002D7683"/>
    <w:rsid w:val="002E261D"/>
    <w:rsid w:val="002F674B"/>
    <w:rsid w:val="002F6B4A"/>
    <w:rsid w:val="002F6DB3"/>
    <w:rsid w:val="00305BA1"/>
    <w:rsid w:val="003139FC"/>
    <w:rsid w:val="0032711C"/>
    <w:rsid w:val="00335E39"/>
    <w:rsid w:val="003410EA"/>
    <w:rsid w:val="00341540"/>
    <w:rsid w:val="00343439"/>
    <w:rsid w:val="003511C6"/>
    <w:rsid w:val="00354C15"/>
    <w:rsid w:val="003B2FC6"/>
    <w:rsid w:val="003C2D01"/>
    <w:rsid w:val="003C4B46"/>
    <w:rsid w:val="003C5023"/>
    <w:rsid w:val="003D7FB3"/>
    <w:rsid w:val="003E0FF1"/>
    <w:rsid w:val="003E30B5"/>
    <w:rsid w:val="003E4C18"/>
    <w:rsid w:val="003E730E"/>
    <w:rsid w:val="0040254A"/>
    <w:rsid w:val="0040391F"/>
    <w:rsid w:val="00404910"/>
    <w:rsid w:val="004151A6"/>
    <w:rsid w:val="00440EA4"/>
    <w:rsid w:val="0044133C"/>
    <w:rsid w:val="00455557"/>
    <w:rsid w:val="004723AD"/>
    <w:rsid w:val="00481190"/>
    <w:rsid w:val="00484A45"/>
    <w:rsid w:val="004A4B25"/>
    <w:rsid w:val="004C3D0F"/>
    <w:rsid w:val="004C5E95"/>
    <w:rsid w:val="004C701D"/>
    <w:rsid w:val="004D171B"/>
    <w:rsid w:val="004E3ADD"/>
    <w:rsid w:val="004F0337"/>
    <w:rsid w:val="004F1469"/>
    <w:rsid w:val="004F2A37"/>
    <w:rsid w:val="004F6FCD"/>
    <w:rsid w:val="00507EC5"/>
    <w:rsid w:val="00511AF2"/>
    <w:rsid w:val="00516952"/>
    <w:rsid w:val="005234DE"/>
    <w:rsid w:val="00525048"/>
    <w:rsid w:val="005253D4"/>
    <w:rsid w:val="00533CE6"/>
    <w:rsid w:val="00550E98"/>
    <w:rsid w:val="00551815"/>
    <w:rsid w:val="005551D1"/>
    <w:rsid w:val="00556742"/>
    <w:rsid w:val="00560AD2"/>
    <w:rsid w:val="00565A51"/>
    <w:rsid w:val="00566AFD"/>
    <w:rsid w:val="00571260"/>
    <w:rsid w:val="00583626"/>
    <w:rsid w:val="005A125D"/>
    <w:rsid w:val="005A1986"/>
    <w:rsid w:val="005B532C"/>
    <w:rsid w:val="005B5DE8"/>
    <w:rsid w:val="005C3665"/>
    <w:rsid w:val="005D385C"/>
    <w:rsid w:val="005E194B"/>
    <w:rsid w:val="005E3612"/>
    <w:rsid w:val="005F42F8"/>
    <w:rsid w:val="005F5F62"/>
    <w:rsid w:val="00601205"/>
    <w:rsid w:val="00606DEF"/>
    <w:rsid w:val="00631517"/>
    <w:rsid w:val="006348E5"/>
    <w:rsid w:val="00635A7C"/>
    <w:rsid w:val="00635DBD"/>
    <w:rsid w:val="0063769B"/>
    <w:rsid w:val="006741F7"/>
    <w:rsid w:val="00680E10"/>
    <w:rsid w:val="00694B55"/>
    <w:rsid w:val="006B6327"/>
    <w:rsid w:val="006D74CD"/>
    <w:rsid w:val="006E4A6E"/>
    <w:rsid w:val="006E642B"/>
    <w:rsid w:val="006F22AE"/>
    <w:rsid w:val="00715FD2"/>
    <w:rsid w:val="0073006C"/>
    <w:rsid w:val="00763160"/>
    <w:rsid w:val="00763B87"/>
    <w:rsid w:val="007718FC"/>
    <w:rsid w:val="0077772C"/>
    <w:rsid w:val="00780612"/>
    <w:rsid w:val="00786A20"/>
    <w:rsid w:val="007A0634"/>
    <w:rsid w:val="007A16F4"/>
    <w:rsid w:val="007A458D"/>
    <w:rsid w:val="007A5685"/>
    <w:rsid w:val="007B6914"/>
    <w:rsid w:val="007C0FAA"/>
    <w:rsid w:val="007F07FB"/>
    <w:rsid w:val="00810507"/>
    <w:rsid w:val="00813E69"/>
    <w:rsid w:val="00817E8B"/>
    <w:rsid w:val="0082545D"/>
    <w:rsid w:val="008338D4"/>
    <w:rsid w:val="0083521C"/>
    <w:rsid w:val="00835B21"/>
    <w:rsid w:val="0084255D"/>
    <w:rsid w:val="00850ACF"/>
    <w:rsid w:val="00852038"/>
    <w:rsid w:val="00871E35"/>
    <w:rsid w:val="0088639E"/>
    <w:rsid w:val="008B407C"/>
    <w:rsid w:val="008E65E6"/>
    <w:rsid w:val="008E6D15"/>
    <w:rsid w:val="008F285B"/>
    <w:rsid w:val="008F4564"/>
    <w:rsid w:val="00901107"/>
    <w:rsid w:val="009018EC"/>
    <w:rsid w:val="00905FCC"/>
    <w:rsid w:val="00906EDB"/>
    <w:rsid w:val="00912E00"/>
    <w:rsid w:val="00923C46"/>
    <w:rsid w:val="00927491"/>
    <w:rsid w:val="00935331"/>
    <w:rsid w:val="00936439"/>
    <w:rsid w:val="0094139A"/>
    <w:rsid w:val="009711DB"/>
    <w:rsid w:val="00975BF1"/>
    <w:rsid w:val="0099080F"/>
    <w:rsid w:val="00991D8D"/>
    <w:rsid w:val="009A0F50"/>
    <w:rsid w:val="009A16CD"/>
    <w:rsid w:val="009A6B51"/>
    <w:rsid w:val="009B06B9"/>
    <w:rsid w:val="009B5C65"/>
    <w:rsid w:val="009C06F5"/>
    <w:rsid w:val="009D6567"/>
    <w:rsid w:val="009E0F31"/>
    <w:rsid w:val="009F3F59"/>
    <w:rsid w:val="009F7B20"/>
    <w:rsid w:val="00A007F5"/>
    <w:rsid w:val="00A038EC"/>
    <w:rsid w:val="00A145B0"/>
    <w:rsid w:val="00A15172"/>
    <w:rsid w:val="00A26EF7"/>
    <w:rsid w:val="00A277D6"/>
    <w:rsid w:val="00A379F8"/>
    <w:rsid w:val="00A54EEA"/>
    <w:rsid w:val="00A56BFF"/>
    <w:rsid w:val="00A60BCF"/>
    <w:rsid w:val="00A63F2A"/>
    <w:rsid w:val="00A73600"/>
    <w:rsid w:val="00A74C1E"/>
    <w:rsid w:val="00A75BF9"/>
    <w:rsid w:val="00A7661C"/>
    <w:rsid w:val="00A80A16"/>
    <w:rsid w:val="00A95BC7"/>
    <w:rsid w:val="00A962DF"/>
    <w:rsid w:val="00AC04ED"/>
    <w:rsid w:val="00AC3935"/>
    <w:rsid w:val="00AE0EE0"/>
    <w:rsid w:val="00AF5B7E"/>
    <w:rsid w:val="00B07F79"/>
    <w:rsid w:val="00B16C07"/>
    <w:rsid w:val="00B17F76"/>
    <w:rsid w:val="00B21E46"/>
    <w:rsid w:val="00B31345"/>
    <w:rsid w:val="00B46A57"/>
    <w:rsid w:val="00B65754"/>
    <w:rsid w:val="00B66231"/>
    <w:rsid w:val="00B75B28"/>
    <w:rsid w:val="00B769F1"/>
    <w:rsid w:val="00B82025"/>
    <w:rsid w:val="00B8422C"/>
    <w:rsid w:val="00BA0A91"/>
    <w:rsid w:val="00BA4887"/>
    <w:rsid w:val="00BB3390"/>
    <w:rsid w:val="00BB3C1A"/>
    <w:rsid w:val="00BC00A7"/>
    <w:rsid w:val="00BC6DEF"/>
    <w:rsid w:val="00BD2635"/>
    <w:rsid w:val="00BE14D2"/>
    <w:rsid w:val="00BE2989"/>
    <w:rsid w:val="00BE3A19"/>
    <w:rsid w:val="00BE7A11"/>
    <w:rsid w:val="00BF4623"/>
    <w:rsid w:val="00BF722F"/>
    <w:rsid w:val="00C13FE8"/>
    <w:rsid w:val="00C30A60"/>
    <w:rsid w:val="00C33ABA"/>
    <w:rsid w:val="00C3557F"/>
    <w:rsid w:val="00C37BB6"/>
    <w:rsid w:val="00C4375F"/>
    <w:rsid w:val="00C45615"/>
    <w:rsid w:val="00C52EFD"/>
    <w:rsid w:val="00C618E8"/>
    <w:rsid w:val="00C64378"/>
    <w:rsid w:val="00C70C6D"/>
    <w:rsid w:val="00C75CF0"/>
    <w:rsid w:val="00C808B5"/>
    <w:rsid w:val="00C82DB6"/>
    <w:rsid w:val="00C8687D"/>
    <w:rsid w:val="00CA4CD6"/>
    <w:rsid w:val="00CC2793"/>
    <w:rsid w:val="00CC48AB"/>
    <w:rsid w:val="00CC58F6"/>
    <w:rsid w:val="00CD085B"/>
    <w:rsid w:val="00CD12C2"/>
    <w:rsid w:val="00CD2069"/>
    <w:rsid w:val="00CD280D"/>
    <w:rsid w:val="00CE222D"/>
    <w:rsid w:val="00CF50B3"/>
    <w:rsid w:val="00D1231B"/>
    <w:rsid w:val="00D1318E"/>
    <w:rsid w:val="00D13D9A"/>
    <w:rsid w:val="00D14A8D"/>
    <w:rsid w:val="00D21198"/>
    <w:rsid w:val="00D2273E"/>
    <w:rsid w:val="00D30852"/>
    <w:rsid w:val="00D36A11"/>
    <w:rsid w:val="00D42D52"/>
    <w:rsid w:val="00D46FA2"/>
    <w:rsid w:val="00D47E72"/>
    <w:rsid w:val="00D5080D"/>
    <w:rsid w:val="00D56F5F"/>
    <w:rsid w:val="00D61B37"/>
    <w:rsid w:val="00D63B96"/>
    <w:rsid w:val="00D728D0"/>
    <w:rsid w:val="00D818BC"/>
    <w:rsid w:val="00D84DE1"/>
    <w:rsid w:val="00D92F66"/>
    <w:rsid w:val="00D95819"/>
    <w:rsid w:val="00D9780C"/>
    <w:rsid w:val="00DA7285"/>
    <w:rsid w:val="00DB59E1"/>
    <w:rsid w:val="00DC1F5D"/>
    <w:rsid w:val="00DD1AC1"/>
    <w:rsid w:val="00DD2392"/>
    <w:rsid w:val="00DD7D49"/>
    <w:rsid w:val="00DE3E82"/>
    <w:rsid w:val="00DF2633"/>
    <w:rsid w:val="00DF5C4E"/>
    <w:rsid w:val="00E10DA7"/>
    <w:rsid w:val="00E13669"/>
    <w:rsid w:val="00E1538C"/>
    <w:rsid w:val="00E25DB6"/>
    <w:rsid w:val="00E276CD"/>
    <w:rsid w:val="00E32EDA"/>
    <w:rsid w:val="00E33ABD"/>
    <w:rsid w:val="00E365A4"/>
    <w:rsid w:val="00E53137"/>
    <w:rsid w:val="00E702F6"/>
    <w:rsid w:val="00E77D5E"/>
    <w:rsid w:val="00E868BB"/>
    <w:rsid w:val="00EA37A9"/>
    <w:rsid w:val="00EA7026"/>
    <w:rsid w:val="00EB3FF4"/>
    <w:rsid w:val="00EC1CE1"/>
    <w:rsid w:val="00EC4074"/>
    <w:rsid w:val="00ED01AA"/>
    <w:rsid w:val="00ED1808"/>
    <w:rsid w:val="00EE35EA"/>
    <w:rsid w:val="00EE7079"/>
    <w:rsid w:val="00EF113F"/>
    <w:rsid w:val="00EF5464"/>
    <w:rsid w:val="00EF73BD"/>
    <w:rsid w:val="00F00028"/>
    <w:rsid w:val="00F03803"/>
    <w:rsid w:val="00F066C9"/>
    <w:rsid w:val="00F20822"/>
    <w:rsid w:val="00F2459D"/>
    <w:rsid w:val="00F2726C"/>
    <w:rsid w:val="00F313EC"/>
    <w:rsid w:val="00F340DF"/>
    <w:rsid w:val="00F378A3"/>
    <w:rsid w:val="00F538BC"/>
    <w:rsid w:val="00F574F1"/>
    <w:rsid w:val="00F605AD"/>
    <w:rsid w:val="00F648AD"/>
    <w:rsid w:val="00F7586F"/>
    <w:rsid w:val="00F9092B"/>
    <w:rsid w:val="00F92D22"/>
    <w:rsid w:val="00F939E4"/>
    <w:rsid w:val="00FB0650"/>
    <w:rsid w:val="00FB4D98"/>
    <w:rsid w:val="00FB7BCE"/>
    <w:rsid w:val="00FC4E09"/>
    <w:rsid w:val="00FE2099"/>
    <w:rsid w:val="00FE6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680E10"/>
    <w:rPr>
      <w:sz w:val="24"/>
      <w:szCs w:val="24"/>
    </w:rPr>
  </w:style>
  <w:style w:type="paragraph" w:styleId="ListParagraph">
    <w:name w:val="List Paragraph"/>
    <w:basedOn w:val="Normal"/>
    <w:uiPriority w:val="34"/>
    <w:qFormat/>
    <w:rsid w:val="00533CE6"/>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24618414">
      <w:bodyDiv w:val="1"/>
      <w:marLeft w:val="0"/>
      <w:marRight w:val="0"/>
      <w:marTop w:val="0"/>
      <w:marBottom w:val="0"/>
      <w:divBdr>
        <w:top w:val="none" w:sz="0" w:space="0" w:color="auto"/>
        <w:left w:val="none" w:sz="0" w:space="0" w:color="auto"/>
        <w:bottom w:val="none" w:sz="0" w:space="0" w:color="auto"/>
        <w:right w:val="none" w:sz="0" w:space="0" w:color="auto"/>
      </w:divBdr>
    </w:div>
    <w:div w:id="20477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6644</Words>
  <Characters>37874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EPA</cp:lastModifiedBy>
  <cp:revision>3</cp:revision>
  <cp:lastPrinted>2012-12-06T20:47:00Z</cp:lastPrinted>
  <dcterms:created xsi:type="dcterms:W3CDTF">2013-01-16T13:38:00Z</dcterms:created>
  <dcterms:modified xsi:type="dcterms:W3CDTF">2013-01-16T13:38:00Z</dcterms:modified>
</cp:coreProperties>
</file>