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959B3" w:rsidRPr="00354AE0" w14:paraId="50E8327B" w14:textId="77777777" w:rsidTr="004959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959B3" w:rsidRPr="00354AE0" w14:paraId="3A977481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3F4F19E9" w14:textId="42A6E17E" w:rsidR="00F20FBD" w:rsidRDefault="00F20FBD" w:rsidP="00695D1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Welcome Letter to New Respondents on the Electric and Solar (PV) Data Collection Program</w:t>
                  </w:r>
                </w:p>
                <w:p w14:paraId="34C31207" w14:textId="236A27FE" w:rsidR="004959B3" w:rsidRPr="00354AE0" w:rsidRDefault="00F20FBD" w:rsidP="00695D1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(geared toward the plants in Puerto Rico that may be required to file Forms EIA-860 and EIA-861)</w:t>
                  </w:r>
                </w:p>
              </w:tc>
            </w:tr>
            <w:tr w:rsidR="00192C37" w:rsidRPr="00354AE0" w14:paraId="43D3DAE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11DF6FE2" w14:textId="77777777" w:rsidR="00192C37" w:rsidRPr="00616BC3" w:rsidRDefault="00192C37">
                  <w:pPr>
                    <w:rPr>
                      <w:color w:val="000000"/>
                    </w:rPr>
                  </w:pPr>
                </w:p>
              </w:tc>
            </w:tr>
            <w:tr w:rsidR="004959B3" w:rsidRPr="00354AE0" w14:paraId="18F2E3CF" w14:textId="77777777" w:rsidTr="00192C3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F5D4A29" w14:textId="77777777" w:rsidR="004959B3" w:rsidRPr="00354AE0" w:rsidRDefault="004959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59B3" w:rsidRPr="00354AE0" w14:paraId="3DFCC200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14:paraId="391A38AB" w14:textId="77777777" w:rsidR="004959B3" w:rsidRPr="00354AE0" w:rsidRDefault="004959B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959B3" w:rsidRPr="00354AE0" w14:paraId="6D279F8D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959B3" w:rsidRPr="0086194C" w14:paraId="66FDD84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68CA37" w14:textId="456ADB87" w:rsidR="004A2E94" w:rsidRPr="0086194C" w:rsidRDefault="004A2E94" w:rsidP="00F27B65">
                        <w:pPr>
                          <w:spacing w:before="90" w:after="9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Dear </w:t>
                        </w:r>
                        <w:r w:rsidR="0010634E" w:rsidRPr="0086194C">
                          <w:rPr>
                            <w:rFonts w:asciiTheme="majorHAnsi" w:hAnsiTheme="majorHAnsi"/>
                            <w:b/>
                            <w:color w:val="FF0000"/>
                            <w:sz w:val="18"/>
                            <w:szCs w:val="18"/>
                          </w:rPr>
                          <w:t>(enter name of potential primary contact)</w:t>
                        </w:r>
                        <w:r w:rsidR="0010634E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14:paraId="3A2280F0" w14:textId="77777777" w:rsidR="004A2E94" w:rsidRPr="0086194C" w:rsidRDefault="004A2E94" w:rsidP="00F27B65">
                        <w:pPr>
                          <w:spacing w:before="90" w:after="9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8B952AC" w14:textId="17B2C9A9" w:rsidR="004959B3" w:rsidRPr="0086194C" w:rsidRDefault="00411C51" w:rsidP="00F27B65">
                        <w:pPr>
                          <w:spacing w:before="90" w:after="9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The U.S. Energy Information Administration (EIA) within the U.S. Department of Energy collects a wide variety of </w:t>
                        </w:r>
                        <w:r w:rsidR="00622889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information</w:t>
                        </w: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from entities involved in the energy industry</w:t>
                        </w:r>
                        <w:r w:rsidR="00622889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, including electric </w:t>
                        </w:r>
                        <w:r w:rsidR="00846062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generators</w:t>
                        </w: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r w:rsidR="00622889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 By</w:t>
                        </w:r>
                        <w:r w:rsidR="00846062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notice of </w:t>
                        </w:r>
                        <w:r w:rsidR="002F5DA7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the </w:t>
                        </w:r>
                        <w:r w:rsidR="00846062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proposed data collection announced in the U.S. Federal Register published on May 19, 2016, EIA proposed changes to the information collected on </w:t>
                        </w:r>
                        <w:r w:rsidR="002F5DA7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EIA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surveys </w:t>
                        </w:r>
                        <w:r w:rsidR="00846062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that </w:t>
                        </w:r>
                        <w:r w:rsidR="00616BC3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cover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the electric and solar </w:t>
                        </w:r>
                        <w:r w:rsidR="00F83828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photovoltaic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(PV) data collection</w:t>
                        </w:r>
                        <w:r w:rsidR="002F5DA7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. 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2F5DA7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This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program includes </w:t>
                        </w:r>
                        <w:hyperlink r:id="rId4" w:anchor="electricity" w:history="1">
                          <w:r w:rsidR="003B44ED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Forms EIA-63B, EIA-411, EIA-826, </w:t>
                          </w:r>
                          <w:r w:rsidR="00CB676A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EIA-860, </w:t>
                          </w:r>
                          <w:r w:rsidR="003B44ED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EIA-861, </w:t>
                          </w:r>
                          <w:r w:rsidR="00CB676A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EIA 923</w:t>
                          </w:r>
                          <w:r w:rsidR="00F20FBD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,</w:t>
                          </w:r>
                          <w:r w:rsidR="00CB676A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3B44ED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and EIA-9</w:t>
                          </w:r>
                          <w:r w:rsidR="002E4B75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30</w:t>
                          </w:r>
                        </w:hyperlink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.  </w:t>
                        </w:r>
                        <w:r w:rsidR="00A9647F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These</w:t>
                        </w:r>
                        <w:r w:rsidR="004959B3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F53D0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forms</w:t>
                        </w:r>
                        <w:r w:rsidR="004959B3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F27B65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are</w:t>
                        </w:r>
                        <w:r w:rsidR="004959B3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collected pursuant to the Federal Energy Administration (FEA) Act of 1974, Public Law 93-275, and response </w:t>
                        </w:r>
                        <w:r w:rsidR="003B44ED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i</w:t>
                        </w:r>
                        <w:r w:rsidR="004959B3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s </w:t>
                        </w:r>
                        <w:r w:rsidR="004959B3" w:rsidRPr="0086194C">
                          <w:rPr>
                            <w:rFonts w:asciiTheme="majorHAnsi" w:hAnsiTheme="majorHAnsi"/>
                            <w:b/>
                            <w:color w:val="000000"/>
                            <w:sz w:val="18"/>
                            <w:szCs w:val="18"/>
                          </w:rPr>
                          <w:t>mandatory</w:t>
                        </w:r>
                        <w:r w:rsidR="004959B3"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 under the Act. </w:t>
                        </w:r>
                      </w:p>
                      <w:p w14:paraId="58A5885E" w14:textId="77777777" w:rsidR="0002325B" w:rsidRPr="0086194C" w:rsidRDefault="0002325B" w:rsidP="00F27B6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  <w:p w14:paraId="616D6FF6" w14:textId="3327ADF8" w:rsidR="00124CD3" w:rsidRPr="0086194C" w:rsidRDefault="00846062" w:rsidP="00F27B6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In response to the May 19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, 2016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Federal Register 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otice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(FRN)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,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EIA received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a comment from the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Instituto de Estadísticas de Puerto Rico. 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The comment requested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“On behalf of the Government of the Commonwealth of Puerto Rico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…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that EIA begin gathering 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electric power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data from 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companies operating in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Puerto Rico through the EIA’s Annual Electric Generator Report (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Form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EIA-860) and the Power Plant Operations Report (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Form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EIA-923).</w:t>
                        </w:r>
                        <w:r w:rsidR="00DD650D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” 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After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reviewing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this 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comment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, EIA </w:t>
                        </w:r>
                        <w:r w:rsidR="00622B04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agreed </w:t>
                        </w:r>
                        <w:r w:rsidR="00FA5CF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that 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collecting </w:t>
                        </w:r>
                        <w:r w:rsidR="002F5DA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these</w:t>
                        </w:r>
                        <w:r w:rsidR="002F5DA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data would aid in </w:t>
                        </w:r>
                        <w:r w:rsidR="00192C3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“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providing the public and private sector</w:t>
                        </w:r>
                        <w:r w:rsidR="00616BC3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s of Puerto Rico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with the information needed to monitor and understand the current status, needs, and trends in Puerto Rico’s electric power industry</w:t>
                        </w:r>
                        <w:r w:rsidR="00192C37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.”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Subsequently, as detailed in the attached 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FRN dated XX-XX-16, EIA is proposing to require your 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plant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to file Forms EIA-860 and EIA-923.</w:t>
                        </w:r>
                      </w:p>
                      <w:p w14:paraId="3E6D2D33" w14:textId="77777777" w:rsidR="00124CD3" w:rsidRPr="0086194C" w:rsidRDefault="00124CD3" w:rsidP="00F27B6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  <w:p w14:paraId="7D6BC887" w14:textId="4DE348BC" w:rsidR="00DD650D" w:rsidRPr="0086194C" w:rsidRDefault="00616BC3" w:rsidP="00FB6EB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T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his email and the attached F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RN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="00C04A8F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are 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provide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d to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noti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fy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="00C04A8F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you of </w:t>
                        </w: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EIA’s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proposal </w:t>
                        </w:r>
                        <w:r w:rsidR="000C18B0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to require your company to report electric power generation information to EIA </w:t>
                        </w:r>
                        <w:r w:rsidR="00C04A8F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and provide you 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with an opportunity to </w:t>
                        </w:r>
                        <w:r w:rsidR="000C18B0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submit 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comment</w:t>
                        </w:r>
                        <w:r w:rsidR="000C18B0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s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.  If you wish to provide comments, please </w:t>
                        </w:r>
                        <w:r w:rsidR="000C18B0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follow</w:t>
                        </w:r>
                        <w:r w:rsidR="002F5DA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the instructions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in the </w:t>
                        </w:r>
                        <w:r w:rsidR="009748B5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attached 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F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RN</w:t>
                        </w:r>
                        <w:r w:rsidR="00524ED7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.</w:t>
                        </w:r>
                        <w:r w:rsidR="00124CD3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2AF8DC6E" w14:textId="77777777" w:rsidR="00DD650D" w:rsidRPr="0086194C" w:rsidRDefault="00DD650D" w:rsidP="00FB6EB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</w:p>
                      <w:p w14:paraId="282D2554" w14:textId="68A2501E" w:rsidR="00732398" w:rsidRPr="0086194C" w:rsidRDefault="00DD650D" w:rsidP="00A54F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For further information, please refer to </w:t>
                        </w:r>
                        <w:hyperlink r:id="rId5" w:history="1">
                          <w:r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EIA’s 2017 Reclearance Webpag</w:t>
                          </w:r>
                          <w:r w:rsidR="00622B04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e</w:t>
                          </w:r>
                        </w:hyperlink>
                        <w:r w:rsidR="002E4B75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where you will find 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additional details</w:t>
                        </w:r>
                        <w:r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.  </w:t>
                        </w:r>
                        <w:r w:rsidR="00956B61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Please do not hesitate to </w:t>
                        </w:r>
                        <w:hyperlink r:id="rId6" w:history="1">
                          <w:r w:rsidR="00732398" w:rsidRPr="0086194C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contact us</w:t>
                          </w:r>
                        </w:hyperlink>
                        <w:r w:rsidR="00732398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if you have </w:t>
                        </w:r>
                        <w:r w:rsidR="00A54F94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q</w:t>
                        </w:r>
                        <w:r w:rsidR="00732398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uest</w:t>
                        </w:r>
                        <w:r w:rsidR="00956B61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ion</w:t>
                        </w:r>
                        <w:r w:rsidR="00732398" w:rsidRPr="0086194C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s regarding this matter.</w:t>
                        </w:r>
                      </w:p>
                    </w:tc>
                  </w:tr>
                </w:tbl>
                <w:p w14:paraId="335F6161" w14:textId="77777777" w:rsidR="004959B3" w:rsidRPr="0086194C" w:rsidRDefault="004959B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959B3" w:rsidRPr="00354AE0" w14:paraId="65BE8E9E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959B3" w:rsidRPr="0086194C" w14:paraId="15AF46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88A871" w14:textId="77777777" w:rsidR="00164A5B" w:rsidRPr="0086194C" w:rsidRDefault="00164A5B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 xml:space="preserve">Sincerely, </w:t>
                        </w:r>
                      </w:p>
                      <w:p w14:paraId="23B2DDEE" w14:textId="77777777" w:rsidR="00164A5B" w:rsidRPr="0086194C" w:rsidRDefault="00164A5B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1FF8C177" w14:textId="77777777" w:rsidR="00164A5B" w:rsidRPr="0086194C" w:rsidRDefault="002E4B75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Stan Kaplan</w:t>
                        </w:r>
                      </w:p>
                      <w:p w14:paraId="2522A914" w14:textId="77777777" w:rsidR="002E4B75" w:rsidRPr="0086194C" w:rsidRDefault="002E4B75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Director</w:t>
                        </w:r>
                      </w:p>
                      <w:p w14:paraId="3DBD3C9B" w14:textId="247AC4A7" w:rsidR="002E4B75" w:rsidRPr="0086194C" w:rsidRDefault="002E4B75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Office of Electricity, Renewables, and Uranium Statistics</w:t>
                        </w:r>
                      </w:p>
                      <w:p w14:paraId="1FCAE612" w14:textId="77777777" w:rsidR="00DE062E" w:rsidRPr="0086194C" w:rsidRDefault="00164A5B" w:rsidP="00164A5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86194C"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U.S. Energy Information Administration</w:t>
                        </w:r>
                      </w:p>
                      <w:p w14:paraId="45E8F942" w14:textId="15136296" w:rsidR="004959B3" w:rsidRPr="0086194C" w:rsidRDefault="00616BC3" w:rsidP="00376C91">
                        <w:pPr>
                          <w:pStyle w:val="NormalWeb"/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14:paraId="00200C5D" w14:textId="77777777" w:rsidR="004959B3" w:rsidRPr="0086194C" w:rsidRDefault="004959B3">
                  <w:pPr>
                    <w:rPr>
                      <w:rFonts w:asciiTheme="majorHAnsi" w:hAnsiTheme="majorHAnsi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959B3" w:rsidRPr="0086194C" w14:paraId="202C05CC" w14:textId="77777777" w:rsidTr="00FF3C43">
                    <w:trPr>
                      <w:trHeight w:val="1638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68870DDF" w14:textId="61A9AEC4" w:rsidR="004959B3" w:rsidRPr="0086194C" w:rsidRDefault="004959B3" w:rsidP="00A54F94">
                        <w:pPr>
                          <w:rPr>
                            <w:rFonts w:asciiTheme="majorHAnsi" w:hAnsiTheme="majorHAnsi" w:cs="Arial"/>
                            <w:color w:val="0A74D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3E7268B" w14:textId="77777777" w:rsidR="004959B3" w:rsidRPr="0086194C" w:rsidRDefault="004959B3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4959B3" w:rsidRPr="00354AE0" w14:paraId="6BEBB0F1" w14:textId="77777777">
              <w:trPr>
                <w:trHeight w:val="150"/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959B3" w:rsidRPr="00354AE0" w14:paraId="677697B8" w14:textId="77777777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A72215B" w14:textId="77777777" w:rsidR="004959B3" w:rsidRPr="00354AE0" w:rsidRDefault="004959B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A74AC1" w14:textId="77777777" w:rsidR="004959B3" w:rsidRPr="00354AE0" w:rsidRDefault="004959B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BEFFDCB" w14:textId="77777777" w:rsidR="004959B3" w:rsidRPr="00354AE0" w:rsidRDefault="004959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E57B70" w14:textId="77777777" w:rsidR="004959B3" w:rsidRPr="00354AE0" w:rsidRDefault="004959B3" w:rsidP="004959B3">
      <w:pPr>
        <w:shd w:val="clear" w:color="auto" w:fill="FFFFFF"/>
        <w:jc w:val="center"/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959B3" w14:paraId="683D9F25" w14:textId="77777777" w:rsidTr="00FF3C4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CBD60F6" w14:textId="77777777" w:rsidR="004959B3" w:rsidRDefault="004959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0F5038" w14:textId="77777777" w:rsidR="0020382D" w:rsidRDefault="0020382D">
      <w:bookmarkStart w:id="0" w:name="_GoBack"/>
      <w:bookmarkEnd w:id="0"/>
    </w:p>
    <w:sectPr w:rsidR="0020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B3"/>
    <w:rsid w:val="00013277"/>
    <w:rsid w:val="00017078"/>
    <w:rsid w:val="0002325B"/>
    <w:rsid w:val="000276A5"/>
    <w:rsid w:val="000C18B0"/>
    <w:rsid w:val="000D2CF8"/>
    <w:rsid w:val="0010634E"/>
    <w:rsid w:val="00124CD3"/>
    <w:rsid w:val="00164A5B"/>
    <w:rsid w:val="00192C37"/>
    <w:rsid w:val="0020382D"/>
    <w:rsid w:val="002E4760"/>
    <w:rsid w:val="002E4B75"/>
    <w:rsid w:val="002F1845"/>
    <w:rsid w:val="002F5DA7"/>
    <w:rsid w:val="00307D42"/>
    <w:rsid w:val="00354AE0"/>
    <w:rsid w:val="00376C91"/>
    <w:rsid w:val="003B44ED"/>
    <w:rsid w:val="00411C51"/>
    <w:rsid w:val="00437A26"/>
    <w:rsid w:val="00447B7F"/>
    <w:rsid w:val="004959B3"/>
    <w:rsid w:val="004A2E94"/>
    <w:rsid w:val="00524ED7"/>
    <w:rsid w:val="0059213D"/>
    <w:rsid w:val="00616BC3"/>
    <w:rsid w:val="00622889"/>
    <w:rsid w:val="00622B04"/>
    <w:rsid w:val="00695D1F"/>
    <w:rsid w:val="00732398"/>
    <w:rsid w:val="007B5044"/>
    <w:rsid w:val="00846062"/>
    <w:rsid w:val="00850AB4"/>
    <w:rsid w:val="00856352"/>
    <w:rsid w:val="0086194C"/>
    <w:rsid w:val="009101B5"/>
    <w:rsid w:val="00956B61"/>
    <w:rsid w:val="009748B5"/>
    <w:rsid w:val="009E0DC6"/>
    <w:rsid w:val="009F2FF0"/>
    <w:rsid w:val="00A4114B"/>
    <w:rsid w:val="00A54F94"/>
    <w:rsid w:val="00A67FAF"/>
    <w:rsid w:val="00A9647F"/>
    <w:rsid w:val="00B107B9"/>
    <w:rsid w:val="00BB5EFF"/>
    <w:rsid w:val="00C04A8F"/>
    <w:rsid w:val="00C10652"/>
    <w:rsid w:val="00CB676A"/>
    <w:rsid w:val="00D9782E"/>
    <w:rsid w:val="00DC7C0F"/>
    <w:rsid w:val="00DD650D"/>
    <w:rsid w:val="00DE062E"/>
    <w:rsid w:val="00E90DBE"/>
    <w:rsid w:val="00F20FBD"/>
    <w:rsid w:val="00F27B65"/>
    <w:rsid w:val="00F53D0C"/>
    <w:rsid w:val="00F83828"/>
    <w:rsid w:val="00FA5CF7"/>
    <w:rsid w:val="00FB6EB9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0A5F"/>
  <w15:docId w15:val="{57ECDC49-E668-4A9D-8682-3B2B9D7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9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59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959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6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E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B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ricity2017@eia.gov" TargetMode="External"/><Relationship Id="rId5" Type="http://schemas.openxmlformats.org/officeDocument/2006/relationships/hyperlink" Target="http://www.eia.gov/survey/changes/electricity/solar/" TargetMode="External"/><Relationship Id="rId4" Type="http://schemas.openxmlformats.org/officeDocument/2006/relationships/hyperlink" Target="http://www.eia.gov/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Jennings, Alethea</dc:creator>
  <cp:lastModifiedBy>Peterson, Rebecca</cp:lastModifiedBy>
  <cp:revision>2</cp:revision>
  <cp:lastPrinted>2016-10-05T16:20:00Z</cp:lastPrinted>
  <dcterms:created xsi:type="dcterms:W3CDTF">2016-10-12T14:23:00Z</dcterms:created>
  <dcterms:modified xsi:type="dcterms:W3CDTF">2016-10-12T14:23:00Z</dcterms:modified>
</cp:coreProperties>
</file>