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9F454" w14:textId="77777777" w:rsidR="004B23D6" w:rsidRDefault="00E96022">
      <w:pPr>
        <w:tabs>
          <w:tab w:val="clear" w:pos="360"/>
        </w:tabs>
        <w:spacing w:before="0"/>
        <w:jc w:val="left"/>
        <w:rPr>
          <w:b/>
          <w:sz w:val="24"/>
          <w:szCs w:val="24"/>
        </w:rPr>
      </w:pPr>
      <w:r>
        <w:rPr>
          <w:noProof/>
        </w:rPr>
        <w:drawing>
          <wp:anchor distT="0" distB="0" distL="114300" distR="114300" simplePos="0" relativeHeight="251663360" behindDoc="0" locked="0" layoutInCell="1" allowOverlap="1" wp14:anchorId="4E93B3A9" wp14:editId="13604A91">
            <wp:simplePos x="0" y="0"/>
            <wp:positionH relativeFrom="column">
              <wp:posOffset>6350</wp:posOffset>
            </wp:positionH>
            <wp:positionV relativeFrom="paragraph">
              <wp:posOffset>289560</wp:posOffset>
            </wp:positionV>
            <wp:extent cx="3175000" cy="609600"/>
            <wp:effectExtent l="19050" t="0" r="6350" b="0"/>
            <wp:wrapThrough wrapText="bothSides">
              <wp:wrapPolygon edited="0">
                <wp:start x="-130" y="0"/>
                <wp:lineTo x="-130" y="20925"/>
                <wp:lineTo x="21643" y="20925"/>
                <wp:lineTo x="21643" y="0"/>
                <wp:lineTo x="-130" y="0"/>
              </wp:wrapPolygon>
            </wp:wrapThrough>
            <wp:docPr id="1"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8" cstate="print"/>
                    <a:stretch>
                      <a:fillRect/>
                    </a:stretch>
                  </pic:blipFill>
                  <pic:spPr>
                    <a:xfrm>
                      <a:off x="0" y="0"/>
                      <a:ext cx="3175000" cy="609600"/>
                    </a:xfrm>
                    <a:prstGeom prst="rect">
                      <a:avLst/>
                    </a:prstGeom>
                  </pic:spPr>
                </pic:pic>
              </a:graphicData>
            </a:graphic>
          </wp:anchor>
        </w:drawing>
      </w:r>
      <w:r w:rsidR="000E7553">
        <w:rPr>
          <w:b/>
          <w:sz w:val="24"/>
          <w:szCs w:val="24"/>
        </w:rPr>
        <w:t xml:space="preserve"> </w:t>
      </w:r>
    </w:p>
    <w:sdt>
      <w:sdtPr>
        <w:rPr>
          <w:noProof/>
        </w:rPr>
        <w:id w:val="37707067"/>
        <w:docPartObj>
          <w:docPartGallery w:val="Cover Pages"/>
        </w:docPartObj>
      </w:sdtPr>
      <w:sdtEndPr>
        <w:rPr>
          <w:noProof w:val="0"/>
        </w:rPr>
      </w:sdtEndPr>
      <w:sdtContent>
        <w:p w14:paraId="6D9F2DE7" w14:textId="77777777" w:rsidR="004B23D6" w:rsidRDefault="00326908" w:rsidP="004B23D6">
          <w:pPr>
            <w:rPr>
              <w:noProof/>
            </w:rPr>
          </w:pPr>
          <w:r>
            <w:rPr>
              <w:noProof/>
            </w:rPr>
            <mc:AlternateContent>
              <mc:Choice Requires="wps">
                <w:drawing>
                  <wp:anchor distT="0" distB="0" distL="114300" distR="114300" simplePos="0" relativeHeight="251664384" behindDoc="1" locked="0" layoutInCell="1" allowOverlap="1" wp14:anchorId="70194CED" wp14:editId="15A91F67">
                    <wp:simplePos x="0" y="0"/>
                    <wp:positionH relativeFrom="column">
                      <wp:posOffset>-450850</wp:posOffset>
                    </wp:positionH>
                    <wp:positionV relativeFrom="paragraph">
                      <wp:posOffset>-285750</wp:posOffset>
                    </wp:positionV>
                    <wp:extent cx="6858000" cy="45720"/>
                    <wp:effectExtent l="0" t="0" r="0" b="0"/>
                    <wp:wrapThrough wrapText="bothSides">
                      <wp:wrapPolygon edited="0">
                        <wp:start x="0" y="0"/>
                        <wp:lineTo x="0" y="9000"/>
                        <wp:lineTo x="21540" y="9000"/>
                        <wp:lineTo x="21540" y="0"/>
                        <wp:lineTo x="0" y="0"/>
                      </wp:wrapPolygon>
                    </wp:wrapThrough>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1A968" id="Rectangle 2" o:spid="_x0000_s1026" style="position:absolute;margin-left:-35.5pt;margin-top:-22.5pt;width:540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" fillcolor="#0c95d3" stroked="f" strokecolor="#f2f2f2 [3041]" strokeweight="3pt">
                    <v:shadow color="#205867 [1608]" opacity=".5" offset="1pt"/>
                    <w10:wrap type="through"/>
                  </v:rect>
                </w:pict>
              </mc:Fallback>
            </mc:AlternateContent>
          </w:r>
        </w:p>
        <w:p w14:paraId="0EB0ECA2" w14:textId="77777777" w:rsidR="004B23D6" w:rsidRDefault="004B23D6" w:rsidP="004B23D6">
          <w:pPr>
            <w:tabs>
              <w:tab w:val="clear" w:pos="360"/>
              <w:tab w:val="left" w:pos="2020"/>
            </w:tabs>
            <w:ind w:left="1080"/>
            <w:rPr>
              <w:noProof/>
            </w:rPr>
          </w:pPr>
          <w:r>
            <w:rPr>
              <w:noProof/>
            </w:rPr>
            <w:softHyphen/>
          </w:r>
          <w:r>
            <w:rPr>
              <w:noProof/>
            </w:rPr>
            <w:softHyphen/>
          </w:r>
          <w:r>
            <w:rPr>
              <w:noProof/>
            </w:rPr>
            <w:softHyphen/>
          </w:r>
        </w:p>
        <w:p w14:paraId="3472C41D" w14:textId="77777777" w:rsidR="004B23D6" w:rsidRDefault="003F25DE" w:rsidP="004B23D6">
          <w:pPr>
            <w:tabs>
              <w:tab w:val="clear" w:pos="360"/>
              <w:tab w:val="left" w:pos="2020"/>
            </w:tabs>
            <w:ind w:left="1080"/>
          </w:pPr>
          <w:r>
            <w:rPr>
              <w:noProof/>
            </w:rPr>
            <mc:AlternateContent>
              <mc:Choice Requires="wps">
                <w:drawing>
                  <wp:anchor distT="0" distB="0" distL="114300" distR="114300" simplePos="0" relativeHeight="251667456" behindDoc="0" locked="0" layoutInCell="1" allowOverlap="1" wp14:anchorId="14267D46" wp14:editId="23A0AB84">
                    <wp:simplePos x="0" y="0"/>
                    <wp:positionH relativeFrom="margin">
                      <wp:align>right</wp:align>
                    </wp:positionH>
                    <wp:positionV relativeFrom="paragraph">
                      <wp:posOffset>217170</wp:posOffset>
                    </wp:positionV>
                    <wp:extent cx="5975985" cy="412115"/>
                    <wp:effectExtent l="0" t="0" r="0" b="698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D8231" w14:textId="77777777" w:rsidR="00DD4E76" w:rsidRPr="00FA0928" w:rsidRDefault="00DD4E76" w:rsidP="004B23D6">
                                <w:pPr>
                                  <w:jc w:val="left"/>
                                  <w:rPr>
                                    <w:i/>
                                    <w:szCs w:val="28"/>
                                  </w:rPr>
                                </w:pPr>
                                <w:r w:rsidRPr="00FA0928">
                                  <w:rPr>
                                    <w:i/>
                                    <w:szCs w:val="28"/>
                                  </w:rPr>
                                  <w:t>Assistant Administrator for Energy Statistics | Office of Electricity, Renewables &amp; Uranium Statistics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7C9618" id="_x0000_t202" coordsize="21600,21600" o:spt="202" path="m,l,21600r21600,l21600,xe">
                    <v:stroke joinstyle="miter"/>
                    <v:path gradientshapeok="t" o:connecttype="rect"/>
                  </v:shapetype>
                  <v:shape id="Text Box 3" o:spid="_x0000_s1026" type="#_x0000_t202" style="position:absolute;left:0;text-align:left;margin-left:419.35pt;margin-top:17.1pt;width:470.55pt;height:32.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LutgIAALY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" filled="f" stroked="f">
                    <v:textbox inset="0">
                      <w:txbxContent>
                        <w:p w:rsidR="00DD4E76" w:rsidRPr="00FA0928" w:rsidRDefault="00DD4E76" w:rsidP="004B23D6">
                          <w:pPr>
                            <w:jc w:val="left"/>
                            <w:rPr>
                              <w:i/>
                              <w:szCs w:val="28"/>
                            </w:rPr>
                          </w:pPr>
                          <w:r w:rsidRPr="00FA0928">
                            <w:rPr>
                              <w:i/>
                              <w:szCs w:val="28"/>
                            </w:rPr>
                            <w:t>Assistant Administrator for Energy Statistics | Office of Electricity, Renewables &amp; Uranium Statistics</w:t>
                          </w:r>
                        </w:p>
                      </w:txbxContent>
                    </v:textbox>
                    <w10:wrap anchorx="margin"/>
                  </v:shape>
                </w:pict>
              </mc:Fallback>
            </mc:AlternateContent>
          </w:r>
          <w:r w:rsidR="00326908">
            <w:rPr>
              <w:noProof/>
            </w:rPr>
            <mc:AlternateContent>
              <mc:Choice Requires="wps">
                <w:drawing>
                  <wp:anchor distT="4294967295" distB="4294967295" distL="114300" distR="114300" simplePos="0" relativeHeight="251665408" behindDoc="0" locked="0" layoutInCell="1" allowOverlap="1" wp14:anchorId="65E0AC8F" wp14:editId="7748E055">
                    <wp:simplePos x="0" y="0"/>
                    <wp:positionH relativeFrom="margin">
                      <wp:posOffset>-450850</wp:posOffset>
                    </wp:positionH>
                    <wp:positionV relativeFrom="margin">
                      <wp:posOffset>985519</wp:posOffset>
                    </wp:positionV>
                    <wp:extent cx="6858000" cy="0"/>
                    <wp:effectExtent l="0" t="0" r="19050" b="19050"/>
                    <wp:wrapSquare wrapText="bothSides"/>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EE3E1C" id="_x0000_t32" coordsize="21600,21600" o:spt="32" o:oned="t" path="m,l21600,21600e" filled="f">
                    <v:path arrowok="t" fillok="f" o:connecttype="none"/>
                    <o:lock v:ext="edit" shapetype="t"/>
                  </v:shapetype>
                  <v:shape id="AutoShape 3" o:spid="_x0000_s1026" type="#_x0000_t32" style="position:absolute;margin-left:-35.5pt;margin-top:77.6pt;width:540pt;height:0;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" strokecolor="#7e8e9a">
                    <w10:wrap type="square" anchorx="margin" anchory="margin"/>
                  </v:shape>
                </w:pict>
              </mc:Fallback>
            </mc:AlternateContent>
          </w:r>
        </w:p>
      </w:sdtContent>
    </w:sdt>
    <w:p w14:paraId="31DA6E65" w14:textId="77777777" w:rsidR="004B23D6" w:rsidRDefault="004B23D6" w:rsidP="004B23D6">
      <w:pPr>
        <w:tabs>
          <w:tab w:val="clear" w:pos="360"/>
          <w:tab w:val="left" w:pos="2020"/>
        </w:tabs>
        <w:ind w:left="1080"/>
      </w:pPr>
      <w:r>
        <w:tab/>
      </w:r>
    </w:p>
    <w:p w14:paraId="23C9D4B6" w14:textId="77777777" w:rsidR="004B23D6" w:rsidRDefault="003F25DE" w:rsidP="004B23D6">
      <w:r>
        <w:rPr>
          <w:noProof/>
        </w:rPr>
        <mc:AlternateContent>
          <mc:Choice Requires="wps">
            <w:drawing>
              <wp:anchor distT="0" distB="0" distL="114300" distR="114300" simplePos="0" relativeHeight="251666432" behindDoc="0" locked="0" layoutInCell="1" allowOverlap="1" wp14:anchorId="41D31CC8" wp14:editId="5B0400E4">
                <wp:simplePos x="0" y="0"/>
                <wp:positionH relativeFrom="margin">
                  <wp:align>right</wp:align>
                </wp:positionH>
                <wp:positionV relativeFrom="paragraph">
                  <wp:posOffset>86995</wp:posOffset>
                </wp:positionV>
                <wp:extent cx="6052185" cy="1801495"/>
                <wp:effectExtent l="0" t="0" r="0"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80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D53C5" w14:textId="77777777" w:rsidR="00DD4E76" w:rsidRPr="00E158A7" w:rsidRDefault="00DD4E76" w:rsidP="004B23D6">
                            <w:pPr>
                              <w:spacing w:before="0"/>
                              <w:ind w:left="86"/>
                              <w:jc w:val="left"/>
                              <w:rPr>
                                <w:rFonts w:ascii="Times New Roman" w:hAnsi="Times New Roman"/>
                                <w:color w:val="4F81BD" w:themeColor="accent1"/>
                                <w:sz w:val="52"/>
                                <w:szCs w:val="56"/>
                              </w:rPr>
                            </w:pPr>
                            <w:r w:rsidRPr="00E158A7">
                              <w:rPr>
                                <w:rFonts w:ascii="Times New Roman" w:hAnsi="Times New Roman"/>
                                <w:color w:val="4F81BD" w:themeColor="accent1"/>
                                <w:sz w:val="52"/>
                                <w:szCs w:val="56"/>
                              </w:rPr>
                              <w:t>Supporting Statement for Survey Clearance: Electric Power and Renewable Surveys</w:t>
                            </w:r>
                          </w:p>
                          <w:p w14:paraId="56B381C2" w14:textId="77777777" w:rsidR="00DD4E76" w:rsidRPr="00E158A7" w:rsidRDefault="00DD4E76" w:rsidP="004B23D6">
                            <w:pPr>
                              <w:pBdr>
                                <w:bottom w:val="single" w:sz="8" w:space="1" w:color="BFBFBF" w:themeColor="background1" w:themeShade="BF"/>
                              </w:pBdr>
                              <w:tabs>
                                <w:tab w:val="clear" w:pos="360"/>
                                <w:tab w:val="left" w:pos="270"/>
                              </w:tabs>
                              <w:spacing w:before="180"/>
                              <w:ind w:left="86"/>
                              <w:jc w:val="left"/>
                              <w:rPr>
                                <w:i/>
                                <w:sz w:val="44"/>
                                <w:szCs w:val="52"/>
                              </w:rPr>
                            </w:pPr>
                            <w:r w:rsidRPr="00E158A7">
                              <w:rPr>
                                <w:i/>
                                <w:sz w:val="44"/>
                                <w:szCs w:val="52"/>
                              </w:rPr>
                              <w:t>Part B: Collection of Information Employing Statistical Methods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7E880E" id="Text Box 4" o:spid="_x0000_s1027" type="#_x0000_t202" style="position:absolute;left:0;text-align:left;margin-left:425.35pt;margin-top:6.85pt;width:476.55pt;height:141.8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" filled="f" stroked="f">
                <v:textbox inset="0">
                  <w:txbxContent>
                    <w:p w:rsidR="00DD4E76" w:rsidRPr="00E158A7" w:rsidRDefault="00DD4E76" w:rsidP="004B23D6">
                      <w:pPr>
                        <w:spacing w:before="0"/>
                        <w:ind w:left="86"/>
                        <w:jc w:val="left"/>
                        <w:rPr>
                          <w:rFonts w:ascii="Times New Roman" w:hAnsi="Times New Roman"/>
                          <w:color w:val="4F81BD" w:themeColor="accent1"/>
                          <w:sz w:val="52"/>
                          <w:szCs w:val="56"/>
                        </w:rPr>
                      </w:pPr>
                      <w:r w:rsidRPr="00E158A7">
                        <w:rPr>
                          <w:rFonts w:ascii="Times New Roman" w:hAnsi="Times New Roman"/>
                          <w:color w:val="4F81BD" w:themeColor="accent1"/>
                          <w:sz w:val="52"/>
                          <w:szCs w:val="56"/>
                        </w:rPr>
                        <w:t>Supporting Statement for Survey Clearance: Electric Power and Renewable Surveys</w:t>
                      </w:r>
                    </w:p>
                    <w:p w:rsidR="00DD4E76" w:rsidRPr="00E158A7" w:rsidRDefault="00DD4E76" w:rsidP="004B23D6">
                      <w:pPr>
                        <w:pBdr>
                          <w:bottom w:val="single" w:sz="8" w:space="1" w:color="BFBFBF" w:themeColor="background1" w:themeShade="BF"/>
                        </w:pBdr>
                        <w:tabs>
                          <w:tab w:val="clear" w:pos="360"/>
                          <w:tab w:val="left" w:pos="270"/>
                        </w:tabs>
                        <w:spacing w:before="180"/>
                        <w:ind w:left="86"/>
                        <w:jc w:val="left"/>
                        <w:rPr>
                          <w:i/>
                          <w:sz w:val="44"/>
                          <w:szCs w:val="52"/>
                        </w:rPr>
                      </w:pPr>
                      <w:r w:rsidRPr="00E158A7">
                        <w:rPr>
                          <w:i/>
                          <w:sz w:val="44"/>
                          <w:szCs w:val="52"/>
                        </w:rPr>
                        <w:t>Part B: Collection of Information Employing Statistical Methods</w:t>
                      </w:r>
                    </w:p>
                  </w:txbxContent>
                </v:textbox>
                <w10:wrap anchorx="margin"/>
              </v:shape>
            </w:pict>
          </mc:Fallback>
        </mc:AlternateContent>
      </w:r>
    </w:p>
    <w:p w14:paraId="10F2108E" w14:textId="77777777" w:rsidR="004B23D6" w:rsidRDefault="004B23D6" w:rsidP="004B23D6"/>
    <w:p w14:paraId="3171C12C" w14:textId="77777777" w:rsidR="004B23D6" w:rsidRDefault="004B23D6" w:rsidP="004B23D6"/>
    <w:p w14:paraId="740C878D" w14:textId="77777777" w:rsidR="004B23D6" w:rsidRDefault="003F25DE" w:rsidP="004B23D6">
      <w:pPr>
        <w:tabs>
          <w:tab w:val="clear" w:pos="360"/>
        </w:tabs>
        <w:spacing w:before="0" w:after="200" w:line="276" w:lineRule="auto"/>
        <w:jc w:val="left"/>
      </w:pPr>
      <w:r>
        <w:rPr>
          <w:noProof/>
        </w:rPr>
        <mc:AlternateContent>
          <mc:Choice Requires="wps">
            <w:drawing>
              <wp:anchor distT="0" distB="0" distL="114300" distR="114300" simplePos="0" relativeHeight="251671552" behindDoc="0" locked="0" layoutInCell="1" allowOverlap="1" wp14:anchorId="43A31BAC" wp14:editId="63695E17">
                <wp:simplePos x="0" y="0"/>
                <wp:positionH relativeFrom="margin">
                  <wp:posOffset>3273425</wp:posOffset>
                </wp:positionH>
                <wp:positionV relativeFrom="margin">
                  <wp:posOffset>8137525</wp:posOffset>
                </wp:positionV>
                <wp:extent cx="2717800" cy="609600"/>
                <wp:effectExtent l="0" t="0" r="0" b="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E3750" w14:textId="77777777" w:rsidR="00DD4E76" w:rsidRPr="008F4CBD" w:rsidRDefault="00DD4E76" w:rsidP="004B23D6">
                            <w:pPr>
                              <w:jc w:val="right"/>
                              <w:rPr>
                                <w:color w:val="808080" w:themeColor="background1" w:themeShade="80"/>
                                <w:kern w:val="24"/>
                                <w:sz w:val="20"/>
                              </w:rPr>
                            </w:pPr>
                            <w:r w:rsidRPr="008F4CBD">
                              <w:rPr>
                                <w:color w:val="808080" w:themeColor="background1" w:themeShade="80"/>
                                <w:kern w:val="24"/>
                                <w:sz w:val="20"/>
                              </w:rPr>
                              <w:t>U.S. Department of Energy</w:t>
                            </w:r>
                          </w:p>
                          <w:p w14:paraId="23ECAF10" w14:textId="77777777" w:rsidR="00DD4E76" w:rsidRPr="008F4CBD" w:rsidRDefault="00DD4E76" w:rsidP="004B23D6">
                            <w:pPr>
                              <w:spacing w:before="4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285DCF" id="Text Box 9" o:spid="_x0000_s1028" type="#_x0000_t202" style="position:absolute;margin-left:257.75pt;margin-top:640.75pt;width:214pt;height:4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" filled="f" stroked="f">
                <v:textbox inset="0">
                  <w:txbxContent>
                    <w:p w:rsidR="00DD4E76" w:rsidRPr="008F4CBD" w:rsidRDefault="00DD4E76" w:rsidP="004B23D6">
                      <w:pPr>
                        <w:jc w:val="right"/>
                        <w:rPr>
                          <w:color w:val="808080" w:themeColor="background1" w:themeShade="80"/>
                          <w:kern w:val="24"/>
                          <w:sz w:val="20"/>
                        </w:rPr>
                      </w:pPr>
                      <w:r w:rsidRPr="008F4CBD">
                        <w:rPr>
                          <w:color w:val="808080" w:themeColor="background1" w:themeShade="80"/>
                          <w:kern w:val="24"/>
                          <w:sz w:val="20"/>
                        </w:rPr>
                        <w:t>U.S. Department of Energy</w:t>
                      </w:r>
                    </w:p>
                    <w:p w:rsidR="00DD4E76" w:rsidRPr="008F4CBD" w:rsidRDefault="00DD4E76" w:rsidP="004B23D6">
                      <w:pPr>
                        <w:spacing w:before="4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5C4B7291" wp14:editId="55771930">
                <wp:simplePos x="0" y="0"/>
                <wp:positionH relativeFrom="margin">
                  <wp:align>left</wp:align>
                </wp:positionH>
                <wp:positionV relativeFrom="margin">
                  <wp:posOffset>6921500</wp:posOffset>
                </wp:positionV>
                <wp:extent cx="6053455" cy="480695"/>
                <wp:effectExtent l="0" t="0" r="0" b="0"/>
                <wp:wrapSquare wrapText="bothSides"/>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F8F16" w14:textId="77777777" w:rsidR="00DD4E76" w:rsidRPr="00E158A7" w:rsidRDefault="00DD4E76" w:rsidP="004B23D6">
                            <w:pPr>
                              <w:pBdr>
                                <w:top w:val="single" w:sz="8" w:space="12" w:color="BFBFBF" w:themeColor="background1" w:themeShade="BF"/>
                              </w:pBdr>
                              <w:spacing w:before="0"/>
                              <w:rPr>
                                <w:b/>
                                <w:color w:val="000000" w:themeColor="text1"/>
                                <w:sz w:val="28"/>
                              </w:rPr>
                            </w:pPr>
                            <w:r>
                              <w:rPr>
                                <w:b/>
                                <w:color w:val="000000" w:themeColor="text1"/>
                                <w:sz w:val="28"/>
                              </w:rPr>
                              <w:t>April 15, 2016</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9429B6" id="Text Box 12" o:spid="_x0000_s1029" type="#_x0000_t202" style="position:absolute;margin-left:0;margin-top:545pt;width:476.65pt;height:37.8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" filled="f" stroked="f">
                <v:textbox inset="0">
                  <w:txbxContent>
                    <w:p w:rsidR="00DD4E76" w:rsidRPr="00E158A7" w:rsidRDefault="00DD4E76" w:rsidP="004B23D6">
                      <w:pPr>
                        <w:pBdr>
                          <w:top w:val="single" w:sz="8" w:space="12" w:color="BFBFBF" w:themeColor="background1" w:themeShade="BF"/>
                        </w:pBdr>
                        <w:spacing w:before="0"/>
                        <w:rPr>
                          <w:b/>
                          <w:color w:val="000000" w:themeColor="text1"/>
                          <w:sz w:val="28"/>
                        </w:rPr>
                      </w:pPr>
                      <w:r>
                        <w:rPr>
                          <w:b/>
                          <w:color w:val="000000" w:themeColor="text1"/>
                          <w:sz w:val="28"/>
                        </w:rPr>
                        <w:t>April 15, 2016</w:t>
                      </w:r>
                    </w:p>
                  </w:txbxContent>
                </v:textbox>
                <w10:wrap type="square" anchorx="margin" anchory="margin"/>
              </v:shape>
            </w:pict>
          </mc:Fallback>
        </mc:AlternateContent>
      </w:r>
      <w:r>
        <w:rPr>
          <w:noProof/>
        </w:rPr>
        <w:drawing>
          <wp:anchor distT="0" distB="0" distL="114300" distR="114300" simplePos="0" relativeHeight="251675648" behindDoc="0" locked="0" layoutInCell="1" allowOverlap="1" wp14:anchorId="550E3196" wp14:editId="1C911798">
            <wp:simplePos x="0" y="0"/>
            <wp:positionH relativeFrom="page">
              <wp:posOffset>736600</wp:posOffset>
            </wp:positionH>
            <wp:positionV relativeFrom="page">
              <wp:posOffset>8302625</wp:posOffset>
            </wp:positionV>
            <wp:extent cx="6343650" cy="647700"/>
            <wp:effectExtent l="0" t="0" r="0" b="0"/>
            <wp:wrapThrough wrapText="bothSides">
              <wp:wrapPolygon edited="0">
                <wp:start x="0" y="0"/>
                <wp:lineTo x="0" y="20965"/>
                <wp:lineTo x="21535" y="20965"/>
                <wp:lineTo x="21535" y="0"/>
                <wp:lineTo x="0" y="0"/>
              </wp:wrapPolygon>
            </wp:wrapThrough>
            <wp:docPr id="3"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9" cstate="print"/>
                    <a:srcRect/>
                    <a:stretch>
                      <a:fillRect/>
                    </a:stretch>
                  </pic:blipFill>
                  <pic:spPr>
                    <a:xfrm>
                      <a:off x="0" y="0"/>
                      <a:ext cx="6343650" cy="647700"/>
                    </a:xfrm>
                    <a:prstGeom prst="rect">
                      <a:avLst/>
                    </a:prstGeom>
                  </pic:spPr>
                </pic:pic>
              </a:graphicData>
            </a:graphic>
          </wp:anchor>
        </w:drawing>
      </w:r>
      <w:r w:rsidR="00E96022">
        <w:rPr>
          <w:noProof/>
        </w:rPr>
        <mc:AlternateContent>
          <mc:Choice Requires="wps">
            <w:drawing>
              <wp:anchor distT="0" distB="0" distL="114300" distR="114300" simplePos="0" relativeHeight="251670528" behindDoc="0" locked="0" layoutInCell="1" allowOverlap="1" wp14:anchorId="0542DC5E" wp14:editId="710CB3D3">
                <wp:simplePos x="0" y="0"/>
                <wp:positionH relativeFrom="margin">
                  <wp:align>left</wp:align>
                </wp:positionH>
                <wp:positionV relativeFrom="margin">
                  <wp:posOffset>8137525</wp:posOffset>
                </wp:positionV>
                <wp:extent cx="2717800" cy="609600"/>
                <wp:effectExtent l="0" t="0" r="6350" b="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86AB5" w14:textId="77777777" w:rsidR="00DD4E76" w:rsidRPr="008F4CBD" w:rsidRDefault="00DD4E76" w:rsidP="004B23D6">
                            <w:pPr>
                              <w:kinsoku w:val="0"/>
                              <w:overflowPunct w:val="0"/>
                              <w:rPr>
                                <w:rFonts w:ascii="Times New Roman" w:eastAsia="+mn-ea" w:hAnsi="Times New Roman"/>
                                <w:i/>
                                <w:iCs/>
                                <w:color w:val="808080" w:themeColor="background1" w:themeShade="80"/>
                                <w:kern w:val="24"/>
                                <w:sz w:val="20"/>
                                <w:szCs w:val="24"/>
                              </w:rPr>
                            </w:pPr>
                            <w:r w:rsidRPr="002556F3">
                              <w:rPr>
                                <w:rFonts w:ascii="Times New Roman" w:eastAsia="+mn-ea" w:hAnsi="Times New Roman"/>
                                <w:i/>
                                <w:iCs/>
                                <w:color w:val="808080" w:themeColor="background1" w:themeShade="80"/>
                                <w:kern w:val="24"/>
                                <w:sz w:val="20"/>
                                <w:szCs w:val="24"/>
                              </w:rPr>
                              <w:t>In</w:t>
                            </w:r>
                            <w:r w:rsidRPr="008F4CBD">
                              <w:rPr>
                                <w:rFonts w:ascii="Times New Roman" w:eastAsia="+mn-ea" w:hAnsi="Times New Roman"/>
                                <w:i/>
                                <w:iCs/>
                                <w:color w:val="808080" w:themeColor="background1" w:themeShade="80"/>
                                <w:kern w:val="24"/>
                                <w:sz w:val="20"/>
                                <w:szCs w:val="24"/>
                              </w:rPr>
                              <w:t>dependent Statistics &amp; Analysis</w:t>
                            </w:r>
                          </w:p>
                          <w:p w14:paraId="5A02645D" w14:textId="77777777" w:rsidR="00DD4E76" w:rsidRPr="008F4CBD" w:rsidRDefault="00DD4E76" w:rsidP="004B23D6">
                            <w:pPr>
                              <w:spacing w:before="4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AAC3D" id="Text Box 8" o:spid="_x0000_s1030" type="#_x0000_t202" style="position:absolute;margin-left:0;margin-top:640.75pt;width:214pt;height:4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" filled="f" stroked="f">
                <v:textbox inset="0,,0">
                  <w:txbxContent>
                    <w:p w:rsidR="00DD4E76" w:rsidRPr="008F4CBD" w:rsidRDefault="00DD4E76" w:rsidP="004B23D6">
                      <w:pPr>
                        <w:kinsoku w:val="0"/>
                        <w:overflowPunct w:val="0"/>
                        <w:rPr>
                          <w:rFonts w:ascii="Times New Roman" w:eastAsia="+mn-ea" w:hAnsi="Times New Roman"/>
                          <w:i/>
                          <w:iCs/>
                          <w:color w:val="808080" w:themeColor="background1" w:themeShade="80"/>
                          <w:kern w:val="24"/>
                          <w:sz w:val="20"/>
                          <w:szCs w:val="24"/>
                        </w:rPr>
                      </w:pPr>
                      <w:r w:rsidRPr="002556F3">
                        <w:rPr>
                          <w:rFonts w:ascii="Times New Roman" w:eastAsia="+mn-ea" w:hAnsi="Times New Roman"/>
                          <w:i/>
                          <w:iCs/>
                          <w:color w:val="808080" w:themeColor="background1" w:themeShade="80"/>
                          <w:kern w:val="24"/>
                          <w:sz w:val="20"/>
                          <w:szCs w:val="24"/>
                        </w:rPr>
                        <w:t>In</w:t>
                      </w:r>
                      <w:r w:rsidRPr="008F4CBD">
                        <w:rPr>
                          <w:rFonts w:ascii="Times New Roman" w:eastAsia="+mn-ea" w:hAnsi="Times New Roman"/>
                          <w:i/>
                          <w:iCs/>
                          <w:color w:val="808080" w:themeColor="background1" w:themeShade="80"/>
                          <w:kern w:val="24"/>
                          <w:sz w:val="20"/>
                          <w:szCs w:val="24"/>
                        </w:rPr>
                        <w:t>dependent Statistics &amp; Analysis</w:t>
                      </w:r>
                    </w:p>
                    <w:p w:rsidR="00DD4E76" w:rsidRPr="008F4CBD" w:rsidRDefault="00DD4E76" w:rsidP="004B23D6">
                      <w:pPr>
                        <w:spacing w:before="4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040B32">
        <w:rPr>
          <w:noProof/>
        </w:rPr>
        <mc:AlternateContent>
          <mc:Choice Requires="wps">
            <w:drawing>
              <wp:anchor distT="0" distB="0" distL="114300" distR="114300" simplePos="0" relativeHeight="251672576" behindDoc="0" locked="0" layoutInCell="1" allowOverlap="1" wp14:anchorId="0F5B8FE7" wp14:editId="46AC5A46">
                <wp:simplePos x="0" y="0"/>
                <wp:positionH relativeFrom="margin">
                  <wp:align>left</wp:align>
                </wp:positionH>
                <wp:positionV relativeFrom="margin">
                  <wp:posOffset>3810000</wp:posOffset>
                </wp:positionV>
                <wp:extent cx="2933700" cy="2971800"/>
                <wp:effectExtent l="0" t="0" r="0" b="0"/>
                <wp:wrapSquare wrapText="bothSides"/>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A951C" w14:textId="77777777" w:rsidR="00DD4E76" w:rsidRPr="00EE03D4" w:rsidRDefault="00DD4E76" w:rsidP="004B23D6">
                            <w:pPr>
                              <w:spacing w:before="0"/>
                              <w:jc w:val="left"/>
                              <w:rPr>
                                <w:color w:val="000000" w:themeColor="text1"/>
                                <w:sz w:val="28"/>
                              </w:rPr>
                            </w:pPr>
                            <w:r w:rsidRPr="00EE03D4">
                              <w:rPr>
                                <w:i/>
                                <w:color w:val="000000" w:themeColor="text1"/>
                                <w:sz w:val="28"/>
                              </w:rPr>
                              <w:t>FORM EIA-63B</w:t>
                            </w:r>
                            <w:r w:rsidRPr="00EE03D4">
                              <w:rPr>
                                <w:color w:val="000000" w:themeColor="text1"/>
                                <w:sz w:val="28"/>
                              </w:rPr>
                              <w:t>, Photovoltaic Module Shipments Report</w:t>
                            </w:r>
                          </w:p>
                          <w:p w14:paraId="08A746B7" w14:textId="77777777" w:rsidR="00DD4E76" w:rsidRPr="00EE03D4" w:rsidRDefault="00DD4E76" w:rsidP="004B23D6">
                            <w:pPr>
                              <w:jc w:val="left"/>
                              <w:rPr>
                                <w:color w:val="000000" w:themeColor="text1"/>
                                <w:sz w:val="28"/>
                              </w:rPr>
                            </w:pPr>
                            <w:r w:rsidRPr="00EE03D4">
                              <w:rPr>
                                <w:i/>
                                <w:color w:val="000000" w:themeColor="text1"/>
                                <w:sz w:val="28"/>
                              </w:rPr>
                              <w:t>FORM EIA-411</w:t>
                            </w:r>
                            <w:r w:rsidRPr="00EE03D4">
                              <w:rPr>
                                <w:color w:val="000000" w:themeColor="text1"/>
                                <w:sz w:val="28"/>
                              </w:rPr>
                              <w:t>, Coordinated Bulk Power Supply Program Report</w:t>
                            </w:r>
                          </w:p>
                          <w:p w14:paraId="1450918E" w14:textId="77777777" w:rsidR="00DD4E76" w:rsidRPr="00EE03D4" w:rsidRDefault="00DD4E76" w:rsidP="004B23D6">
                            <w:pPr>
                              <w:jc w:val="left"/>
                              <w:rPr>
                                <w:color w:val="000000" w:themeColor="text1"/>
                                <w:sz w:val="28"/>
                              </w:rPr>
                            </w:pPr>
                            <w:r w:rsidRPr="00EE03D4">
                              <w:rPr>
                                <w:i/>
                                <w:color w:val="000000" w:themeColor="text1"/>
                                <w:sz w:val="28"/>
                              </w:rPr>
                              <w:t>FORM EIA-826</w:t>
                            </w:r>
                            <w:r w:rsidRPr="00EE03D4">
                              <w:rPr>
                                <w:color w:val="000000" w:themeColor="text1"/>
                                <w:sz w:val="28"/>
                              </w:rPr>
                              <w:t xml:space="preserve">, </w:t>
                            </w:r>
                            <w:r>
                              <w:rPr>
                                <w:color w:val="000000" w:themeColor="text1"/>
                                <w:sz w:val="28"/>
                              </w:rPr>
                              <w:t>Monthly Electric Utility Sales a</w:t>
                            </w:r>
                            <w:r w:rsidRPr="00EE03D4">
                              <w:rPr>
                                <w:color w:val="000000" w:themeColor="text1"/>
                                <w:sz w:val="28"/>
                              </w:rPr>
                              <w:t xml:space="preserve">nd Revenue Report </w:t>
                            </w:r>
                            <w:r>
                              <w:rPr>
                                <w:color w:val="000000" w:themeColor="text1"/>
                                <w:sz w:val="28"/>
                              </w:rPr>
                              <w:t>w</w:t>
                            </w:r>
                            <w:r w:rsidRPr="00EE03D4">
                              <w:rPr>
                                <w:color w:val="000000" w:themeColor="text1"/>
                                <w:sz w:val="28"/>
                              </w:rPr>
                              <w:t>ith State Distributions</w:t>
                            </w:r>
                            <w:r>
                              <w:rPr>
                                <w:color w:val="000000" w:themeColor="text1"/>
                                <w:sz w:val="28"/>
                              </w:rPr>
                              <w:t xml:space="preserve"> (discontinued form to </w:t>
                            </w:r>
                            <w:r w:rsidR="00000ABF">
                              <w:rPr>
                                <w:color w:val="000000" w:themeColor="text1"/>
                                <w:sz w:val="28"/>
                              </w:rPr>
                              <w:t>be replaced</w:t>
                            </w:r>
                            <w:r>
                              <w:rPr>
                                <w:color w:val="000000" w:themeColor="text1"/>
                                <w:sz w:val="28"/>
                              </w:rPr>
                              <w:t xml:space="preserve"> by Form EIA-861M)</w:t>
                            </w:r>
                          </w:p>
                          <w:p w14:paraId="71ECBB77" w14:textId="77777777" w:rsidR="00DD4E76" w:rsidRPr="00EE03D4" w:rsidRDefault="00DD4E76" w:rsidP="004B23D6">
                            <w:pPr>
                              <w:jc w:val="left"/>
                              <w:rPr>
                                <w:color w:val="000000" w:themeColor="text1"/>
                                <w:sz w:val="28"/>
                              </w:rPr>
                            </w:pPr>
                            <w:r w:rsidRPr="00EE03D4">
                              <w:rPr>
                                <w:i/>
                                <w:color w:val="000000" w:themeColor="text1"/>
                                <w:sz w:val="28"/>
                              </w:rPr>
                              <w:t>FORM EIA-860</w:t>
                            </w:r>
                            <w:r w:rsidRPr="00EE03D4">
                              <w:rPr>
                                <w:color w:val="000000" w:themeColor="text1"/>
                                <w:sz w:val="28"/>
                              </w:rPr>
                              <w:t>, Annual Electric Generator Report</w:t>
                            </w:r>
                          </w:p>
                          <w:p w14:paraId="21E0BDFE" w14:textId="77777777" w:rsidR="00DD4E76" w:rsidRPr="00EE03D4" w:rsidRDefault="00DD4E76" w:rsidP="004B23D6">
                            <w:pPr>
                              <w:jc w:val="left"/>
                              <w:rPr>
                                <w:color w:val="000000" w:themeColor="text1"/>
                                <w:sz w:val="28"/>
                              </w:rPr>
                            </w:pPr>
                            <w:r w:rsidRPr="00EE03D4">
                              <w:rPr>
                                <w:i/>
                                <w:color w:val="000000" w:themeColor="text1"/>
                                <w:sz w:val="28"/>
                              </w:rPr>
                              <w:t>FORM EIA-860M</w:t>
                            </w:r>
                            <w:r w:rsidRPr="00EE03D4">
                              <w:rPr>
                                <w:color w:val="000000" w:themeColor="text1"/>
                                <w:sz w:val="28"/>
                              </w:rPr>
                              <w:t xml:space="preserve">, </w:t>
                            </w:r>
                            <w:r>
                              <w:rPr>
                                <w:color w:val="000000" w:themeColor="text1"/>
                                <w:sz w:val="28"/>
                              </w:rPr>
                              <w:t>Monthly Update to t</w:t>
                            </w:r>
                            <w:r w:rsidRPr="00EE03D4">
                              <w:rPr>
                                <w:color w:val="000000" w:themeColor="text1"/>
                                <w:sz w:val="28"/>
                              </w:rPr>
                              <w:t>he Annual Electric Generator Report</w:t>
                            </w:r>
                          </w:p>
                          <w:p w14:paraId="45E57331" w14:textId="77777777" w:rsidR="00DD4E76" w:rsidRPr="00EE03D4" w:rsidRDefault="00DD4E76" w:rsidP="004B23D6">
                            <w:pPr>
                              <w:jc w:val="left"/>
                              <w:rPr>
                                <w:color w:val="000000" w:themeColor="text1"/>
                                <w:sz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8D25BE" id="Text Box 10" o:spid="_x0000_s1031" type="#_x0000_t202" style="position:absolute;margin-left:0;margin-top:300pt;width:231pt;height:234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" filled="f" stroked="f">
                <v:textbox inset="0">
                  <w:txbxContent>
                    <w:p w:rsidR="00DD4E76" w:rsidRPr="00EE03D4" w:rsidRDefault="00DD4E76" w:rsidP="004B23D6">
                      <w:pPr>
                        <w:spacing w:before="0"/>
                        <w:jc w:val="left"/>
                        <w:rPr>
                          <w:color w:val="000000" w:themeColor="text1"/>
                          <w:sz w:val="28"/>
                        </w:rPr>
                      </w:pPr>
                      <w:r w:rsidRPr="00EE03D4">
                        <w:rPr>
                          <w:i/>
                          <w:color w:val="000000" w:themeColor="text1"/>
                          <w:sz w:val="28"/>
                        </w:rPr>
                        <w:t>FORM EIA-63B</w:t>
                      </w:r>
                      <w:r w:rsidRPr="00EE03D4">
                        <w:rPr>
                          <w:color w:val="000000" w:themeColor="text1"/>
                          <w:sz w:val="28"/>
                        </w:rPr>
                        <w:t>, Photovoltaic Module Shipments Report</w:t>
                      </w:r>
                    </w:p>
                    <w:p w:rsidR="00DD4E76" w:rsidRPr="00EE03D4" w:rsidRDefault="00DD4E76" w:rsidP="004B23D6">
                      <w:pPr>
                        <w:jc w:val="left"/>
                        <w:rPr>
                          <w:color w:val="000000" w:themeColor="text1"/>
                          <w:sz w:val="28"/>
                        </w:rPr>
                      </w:pPr>
                      <w:r w:rsidRPr="00EE03D4">
                        <w:rPr>
                          <w:i/>
                          <w:color w:val="000000" w:themeColor="text1"/>
                          <w:sz w:val="28"/>
                        </w:rPr>
                        <w:t>FORM EIA-411</w:t>
                      </w:r>
                      <w:r w:rsidRPr="00EE03D4">
                        <w:rPr>
                          <w:color w:val="000000" w:themeColor="text1"/>
                          <w:sz w:val="28"/>
                        </w:rPr>
                        <w:t>, Coordinated Bulk Power Supply Program Report</w:t>
                      </w:r>
                    </w:p>
                    <w:p w:rsidR="00DD4E76" w:rsidRPr="00EE03D4" w:rsidRDefault="00DD4E76" w:rsidP="004B23D6">
                      <w:pPr>
                        <w:jc w:val="left"/>
                        <w:rPr>
                          <w:color w:val="000000" w:themeColor="text1"/>
                          <w:sz w:val="28"/>
                        </w:rPr>
                      </w:pPr>
                      <w:r w:rsidRPr="00EE03D4">
                        <w:rPr>
                          <w:i/>
                          <w:color w:val="000000" w:themeColor="text1"/>
                          <w:sz w:val="28"/>
                        </w:rPr>
                        <w:t>FORM EIA-826</w:t>
                      </w:r>
                      <w:r w:rsidRPr="00EE03D4">
                        <w:rPr>
                          <w:color w:val="000000" w:themeColor="text1"/>
                          <w:sz w:val="28"/>
                        </w:rPr>
                        <w:t xml:space="preserve">, </w:t>
                      </w:r>
                      <w:r>
                        <w:rPr>
                          <w:color w:val="000000" w:themeColor="text1"/>
                          <w:sz w:val="28"/>
                        </w:rPr>
                        <w:t>Monthly Electric Utility Sales a</w:t>
                      </w:r>
                      <w:r w:rsidRPr="00EE03D4">
                        <w:rPr>
                          <w:color w:val="000000" w:themeColor="text1"/>
                          <w:sz w:val="28"/>
                        </w:rPr>
                        <w:t xml:space="preserve">nd Revenue Report </w:t>
                      </w:r>
                      <w:r>
                        <w:rPr>
                          <w:color w:val="000000" w:themeColor="text1"/>
                          <w:sz w:val="28"/>
                        </w:rPr>
                        <w:t>w</w:t>
                      </w:r>
                      <w:r w:rsidRPr="00EE03D4">
                        <w:rPr>
                          <w:color w:val="000000" w:themeColor="text1"/>
                          <w:sz w:val="28"/>
                        </w:rPr>
                        <w:t>ith State Distributions</w:t>
                      </w:r>
                      <w:r>
                        <w:rPr>
                          <w:color w:val="000000" w:themeColor="text1"/>
                          <w:sz w:val="28"/>
                        </w:rPr>
                        <w:t xml:space="preserve"> (discontinued form to </w:t>
                      </w:r>
                      <w:r w:rsidR="00000ABF">
                        <w:rPr>
                          <w:color w:val="000000" w:themeColor="text1"/>
                          <w:sz w:val="28"/>
                        </w:rPr>
                        <w:t>be replaced</w:t>
                      </w:r>
                      <w:r>
                        <w:rPr>
                          <w:color w:val="000000" w:themeColor="text1"/>
                          <w:sz w:val="28"/>
                        </w:rPr>
                        <w:t xml:space="preserve"> by Form EIA-861M)</w:t>
                      </w:r>
                    </w:p>
                    <w:p w:rsidR="00DD4E76" w:rsidRPr="00EE03D4" w:rsidRDefault="00DD4E76" w:rsidP="004B23D6">
                      <w:pPr>
                        <w:jc w:val="left"/>
                        <w:rPr>
                          <w:color w:val="000000" w:themeColor="text1"/>
                          <w:sz w:val="28"/>
                        </w:rPr>
                      </w:pPr>
                      <w:r w:rsidRPr="00EE03D4">
                        <w:rPr>
                          <w:i/>
                          <w:color w:val="000000" w:themeColor="text1"/>
                          <w:sz w:val="28"/>
                        </w:rPr>
                        <w:t>FORM EIA-860</w:t>
                      </w:r>
                      <w:r w:rsidRPr="00EE03D4">
                        <w:rPr>
                          <w:color w:val="000000" w:themeColor="text1"/>
                          <w:sz w:val="28"/>
                        </w:rPr>
                        <w:t>, Annual Electric Generator Report</w:t>
                      </w:r>
                    </w:p>
                    <w:p w:rsidR="00DD4E76" w:rsidRPr="00EE03D4" w:rsidRDefault="00DD4E76" w:rsidP="004B23D6">
                      <w:pPr>
                        <w:jc w:val="left"/>
                        <w:rPr>
                          <w:color w:val="000000" w:themeColor="text1"/>
                          <w:sz w:val="28"/>
                        </w:rPr>
                      </w:pPr>
                      <w:r w:rsidRPr="00EE03D4">
                        <w:rPr>
                          <w:i/>
                          <w:color w:val="000000" w:themeColor="text1"/>
                          <w:sz w:val="28"/>
                        </w:rPr>
                        <w:t>FORM EIA-860M</w:t>
                      </w:r>
                      <w:r w:rsidRPr="00EE03D4">
                        <w:rPr>
                          <w:color w:val="000000" w:themeColor="text1"/>
                          <w:sz w:val="28"/>
                        </w:rPr>
                        <w:t xml:space="preserve">, </w:t>
                      </w:r>
                      <w:r>
                        <w:rPr>
                          <w:color w:val="000000" w:themeColor="text1"/>
                          <w:sz w:val="28"/>
                        </w:rPr>
                        <w:t>Monthly Update to t</w:t>
                      </w:r>
                      <w:r w:rsidRPr="00EE03D4">
                        <w:rPr>
                          <w:color w:val="000000" w:themeColor="text1"/>
                          <w:sz w:val="28"/>
                        </w:rPr>
                        <w:t>he Annual Electric Generator Report</w:t>
                      </w:r>
                    </w:p>
                    <w:p w:rsidR="00DD4E76" w:rsidRPr="00EE03D4" w:rsidRDefault="00DD4E76" w:rsidP="004B23D6">
                      <w:pPr>
                        <w:jc w:val="left"/>
                        <w:rPr>
                          <w:color w:val="000000" w:themeColor="text1"/>
                          <w:sz w:val="28"/>
                        </w:rPr>
                      </w:pPr>
                    </w:p>
                  </w:txbxContent>
                </v:textbox>
                <w10:wrap type="square" anchorx="margin" anchory="margin"/>
              </v:shape>
            </w:pict>
          </mc:Fallback>
        </mc:AlternateContent>
      </w:r>
      <w:r w:rsidR="00040B32">
        <w:rPr>
          <w:noProof/>
        </w:rPr>
        <mc:AlternateContent>
          <mc:Choice Requires="wps">
            <w:drawing>
              <wp:anchor distT="0" distB="0" distL="114300" distR="114300" simplePos="0" relativeHeight="251673600" behindDoc="0" locked="0" layoutInCell="1" allowOverlap="1" wp14:anchorId="5D100299" wp14:editId="4A40993F">
                <wp:simplePos x="0" y="0"/>
                <wp:positionH relativeFrom="margin">
                  <wp:posOffset>3200400</wp:posOffset>
                </wp:positionH>
                <wp:positionV relativeFrom="margin">
                  <wp:posOffset>3810000</wp:posOffset>
                </wp:positionV>
                <wp:extent cx="2800350" cy="3124200"/>
                <wp:effectExtent l="0" t="0" r="0" b="0"/>
                <wp:wrapSquare wrapText="bothSides"/>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12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8423A" w14:textId="77777777" w:rsidR="00DD4E76" w:rsidRPr="00EE03D4" w:rsidRDefault="00DD4E76" w:rsidP="004B23D6">
                            <w:pPr>
                              <w:jc w:val="left"/>
                              <w:rPr>
                                <w:color w:val="000000" w:themeColor="text1"/>
                                <w:sz w:val="28"/>
                              </w:rPr>
                            </w:pPr>
                            <w:r w:rsidRPr="00EE03D4">
                              <w:rPr>
                                <w:i/>
                                <w:color w:val="000000" w:themeColor="text1"/>
                                <w:sz w:val="28"/>
                              </w:rPr>
                              <w:t>FORM EIA-861</w:t>
                            </w:r>
                            <w:r w:rsidRPr="00EE03D4">
                              <w:rPr>
                                <w:color w:val="000000" w:themeColor="text1"/>
                                <w:sz w:val="28"/>
                              </w:rPr>
                              <w:t xml:space="preserve">, Annual </w:t>
                            </w:r>
                            <w:r>
                              <w:rPr>
                                <w:color w:val="000000" w:themeColor="text1"/>
                                <w:sz w:val="28"/>
                              </w:rPr>
                              <w:t>Electric Power Industry Report</w:t>
                            </w:r>
                          </w:p>
                          <w:p w14:paraId="2E814CCA" w14:textId="77777777" w:rsidR="00DD4E76" w:rsidRDefault="00DD4E76" w:rsidP="004B23D6">
                            <w:pPr>
                              <w:jc w:val="left"/>
                              <w:rPr>
                                <w:color w:val="000000" w:themeColor="text1"/>
                                <w:sz w:val="28"/>
                              </w:rPr>
                            </w:pPr>
                            <w:r w:rsidRPr="00EE03D4">
                              <w:rPr>
                                <w:i/>
                                <w:color w:val="000000" w:themeColor="text1"/>
                                <w:sz w:val="28"/>
                              </w:rPr>
                              <w:t>FORM EIA-861S</w:t>
                            </w:r>
                            <w:r w:rsidRPr="00EE03D4">
                              <w:rPr>
                                <w:color w:val="000000" w:themeColor="text1"/>
                                <w:sz w:val="28"/>
                              </w:rPr>
                              <w:t>, Annual Electric Pow</w:t>
                            </w:r>
                            <w:r>
                              <w:rPr>
                                <w:color w:val="000000" w:themeColor="text1"/>
                                <w:sz w:val="28"/>
                              </w:rPr>
                              <w:t>er Industry Report (Short Form)</w:t>
                            </w:r>
                          </w:p>
                          <w:p w14:paraId="316BB12F" w14:textId="77777777" w:rsidR="00DD4E76" w:rsidRPr="00065FB8" w:rsidRDefault="00DD4E76" w:rsidP="004B23D6">
                            <w:pPr>
                              <w:jc w:val="left"/>
                              <w:rPr>
                                <w:color w:val="000000" w:themeColor="text1"/>
                                <w:sz w:val="28"/>
                              </w:rPr>
                            </w:pPr>
                            <w:r>
                              <w:rPr>
                                <w:i/>
                                <w:color w:val="000000" w:themeColor="text1"/>
                                <w:sz w:val="28"/>
                              </w:rPr>
                              <w:t xml:space="preserve">FORM EIA-861M, </w:t>
                            </w:r>
                            <w:r w:rsidRPr="00065FB8">
                              <w:rPr>
                                <w:color w:val="000000" w:themeColor="text1"/>
                                <w:sz w:val="28"/>
                              </w:rPr>
                              <w:t>Monthly Electric Power Industry Report (replaces EIA-826)</w:t>
                            </w:r>
                          </w:p>
                          <w:p w14:paraId="0B791CB6" w14:textId="77777777" w:rsidR="00DD4E76" w:rsidRPr="00EE03D4" w:rsidRDefault="00DD4E76" w:rsidP="004B23D6">
                            <w:pPr>
                              <w:jc w:val="left"/>
                              <w:rPr>
                                <w:color w:val="000000" w:themeColor="text1"/>
                                <w:sz w:val="28"/>
                              </w:rPr>
                            </w:pPr>
                            <w:r w:rsidRPr="00EE03D4">
                              <w:rPr>
                                <w:i/>
                                <w:color w:val="000000" w:themeColor="text1"/>
                                <w:sz w:val="28"/>
                              </w:rPr>
                              <w:t>FORM EIA-923</w:t>
                            </w:r>
                            <w:r>
                              <w:rPr>
                                <w:color w:val="000000" w:themeColor="text1"/>
                                <w:sz w:val="28"/>
                              </w:rPr>
                              <w:t>, Power Plant Operations Report</w:t>
                            </w:r>
                          </w:p>
                          <w:p w14:paraId="404F3447" w14:textId="77777777" w:rsidR="00DD4E76" w:rsidRPr="00EE03D4" w:rsidRDefault="00DD4E76" w:rsidP="004B23D6">
                            <w:pPr>
                              <w:jc w:val="left"/>
                              <w:rPr>
                                <w:color w:val="000000" w:themeColor="text1"/>
                                <w:sz w:val="28"/>
                              </w:rPr>
                            </w:pPr>
                            <w:r w:rsidRPr="00EE03D4">
                              <w:rPr>
                                <w:i/>
                                <w:color w:val="000000" w:themeColor="text1"/>
                                <w:sz w:val="28"/>
                              </w:rPr>
                              <w:t>FORM EIA-930</w:t>
                            </w:r>
                            <w:r w:rsidRPr="00EE03D4">
                              <w:rPr>
                                <w:color w:val="000000" w:themeColor="text1"/>
                                <w:sz w:val="28"/>
                              </w:rPr>
                              <w:t xml:space="preserve">, </w:t>
                            </w:r>
                            <w:r>
                              <w:rPr>
                                <w:color w:val="000000" w:themeColor="text1"/>
                                <w:sz w:val="28"/>
                              </w:rPr>
                              <w:t>Hourly a</w:t>
                            </w:r>
                            <w:r w:rsidRPr="00EE03D4">
                              <w:rPr>
                                <w:color w:val="000000" w:themeColor="text1"/>
                                <w:sz w:val="28"/>
                              </w:rPr>
                              <w:t>nd Daily Balancing Authority Operations Report</w:t>
                            </w:r>
                          </w:p>
                          <w:p w14:paraId="3995708B" w14:textId="77777777" w:rsidR="00DD4E76" w:rsidRPr="00EE03D4" w:rsidRDefault="00DD4E76" w:rsidP="004B23D6">
                            <w:pPr>
                              <w:jc w:val="left"/>
                              <w:rPr>
                                <w:color w:val="000000" w:themeColor="text1"/>
                                <w:sz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D65A19" id="Text Box 11" o:spid="_x0000_s1032" type="#_x0000_t202" style="position:absolute;margin-left:252pt;margin-top:300pt;width:220.5pt;height:24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" filled="f" stroked="f">
                <v:textbox inset="0">
                  <w:txbxContent>
                    <w:p w:rsidR="00DD4E76" w:rsidRPr="00EE03D4" w:rsidRDefault="00DD4E76" w:rsidP="004B23D6">
                      <w:pPr>
                        <w:jc w:val="left"/>
                        <w:rPr>
                          <w:color w:val="000000" w:themeColor="text1"/>
                          <w:sz w:val="28"/>
                        </w:rPr>
                      </w:pPr>
                      <w:r w:rsidRPr="00EE03D4">
                        <w:rPr>
                          <w:i/>
                          <w:color w:val="000000" w:themeColor="text1"/>
                          <w:sz w:val="28"/>
                        </w:rPr>
                        <w:t>FORM EIA-861</w:t>
                      </w:r>
                      <w:r w:rsidRPr="00EE03D4">
                        <w:rPr>
                          <w:color w:val="000000" w:themeColor="text1"/>
                          <w:sz w:val="28"/>
                        </w:rPr>
                        <w:t xml:space="preserve">, Annual </w:t>
                      </w:r>
                      <w:r>
                        <w:rPr>
                          <w:color w:val="000000" w:themeColor="text1"/>
                          <w:sz w:val="28"/>
                        </w:rPr>
                        <w:t>Electric Power Industry Report</w:t>
                      </w:r>
                    </w:p>
                    <w:p w:rsidR="00DD4E76" w:rsidRDefault="00DD4E76" w:rsidP="004B23D6">
                      <w:pPr>
                        <w:jc w:val="left"/>
                        <w:rPr>
                          <w:color w:val="000000" w:themeColor="text1"/>
                          <w:sz w:val="28"/>
                        </w:rPr>
                      </w:pPr>
                      <w:r w:rsidRPr="00EE03D4">
                        <w:rPr>
                          <w:i/>
                          <w:color w:val="000000" w:themeColor="text1"/>
                          <w:sz w:val="28"/>
                        </w:rPr>
                        <w:t>FORM EIA-861S</w:t>
                      </w:r>
                      <w:r w:rsidRPr="00EE03D4">
                        <w:rPr>
                          <w:color w:val="000000" w:themeColor="text1"/>
                          <w:sz w:val="28"/>
                        </w:rPr>
                        <w:t>, Annual Electric Pow</w:t>
                      </w:r>
                      <w:r>
                        <w:rPr>
                          <w:color w:val="000000" w:themeColor="text1"/>
                          <w:sz w:val="28"/>
                        </w:rPr>
                        <w:t>er Industry Report (Short Form)</w:t>
                      </w:r>
                    </w:p>
                    <w:p w:rsidR="00DD4E76" w:rsidRPr="00065FB8" w:rsidRDefault="00DD4E76" w:rsidP="004B23D6">
                      <w:pPr>
                        <w:jc w:val="left"/>
                        <w:rPr>
                          <w:color w:val="000000" w:themeColor="text1"/>
                          <w:sz w:val="28"/>
                        </w:rPr>
                      </w:pPr>
                      <w:r>
                        <w:rPr>
                          <w:i/>
                          <w:color w:val="000000" w:themeColor="text1"/>
                          <w:sz w:val="28"/>
                        </w:rPr>
                        <w:t xml:space="preserve">FORM EIA-861M, </w:t>
                      </w:r>
                      <w:r w:rsidRPr="00065FB8">
                        <w:rPr>
                          <w:color w:val="000000" w:themeColor="text1"/>
                          <w:sz w:val="28"/>
                        </w:rPr>
                        <w:t>Monthly Electric Power Industry Report (replaces EIA-826)</w:t>
                      </w:r>
                    </w:p>
                    <w:p w:rsidR="00DD4E76" w:rsidRPr="00EE03D4" w:rsidRDefault="00DD4E76" w:rsidP="004B23D6">
                      <w:pPr>
                        <w:jc w:val="left"/>
                        <w:rPr>
                          <w:color w:val="000000" w:themeColor="text1"/>
                          <w:sz w:val="28"/>
                        </w:rPr>
                      </w:pPr>
                      <w:r w:rsidRPr="00EE03D4">
                        <w:rPr>
                          <w:i/>
                          <w:color w:val="000000" w:themeColor="text1"/>
                          <w:sz w:val="28"/>
                        </w:rPr>
                        <w:t>FORM EIA-923</w:t>
                      </w:r>
                      <w:r>
                        <w:rPr>
                          <w:color w:val="000000" w:themeColor="text1"/>
                          <w:sz w:val="28"/>
                        </w:rPr>
                        <w:t>, Power Plant Operations Report</w:t>
                      </w:r>
                    </w:p>
                    <w:p w:rsidR="00DD4E76" w:rsidRPr="00EE03D4" w:rsidRDefault="00DD4E76" w:rsidP="004B23D6">
                      <w:pPr>
                        <w:jc w:val="left"/>
                        <w:rPr>
                          <w:color w:val="000000" w:themeColor="text1"/>
                          <w:sz w:val="28"/>
                        </w:rPr>
                      </w:pPr>
                      <w:r w:rsidRPr="00EE03D4">
                        <w:rPr>
                          <w:i/>
                          <w:color w:val="000000" w:themeColor="text1"/>
                          <w:sz w:val="28"/>
                        </w:rPr>
                        <w:t>FORM EIA-930</w:t>
                      </w:r>
                      <w:r w:rsidRPr="00EE03D4">
                        <w:rPr>
                          <w:color w:val="000000" w:themeColor="text1"/>
                          <w:sz w:val="28"/>
                        </w:rPr>
                        <w:t xml:space="preserve">, </w:t>
                      </w:r>
                      <w:r>
                        <w:rPr>
                          <w:color w:val="000000" w:themeColor="text1"/>
                          <w:sz w:val="28"/>
                        </w:rPr>
                        <w:t>Hourly a</w:t>
                      </w:r>
                      <w:r w:rsidRPr="00EE03D4">
                        <w:rPr>
                          <w:color w:val="000000" w:themeColor="text1"/>
                          <w:sz w:val="28"/>
                        </w:rPr>
                        <w:t>nd Daily Balancing Authority Operations Report</w:t>
                      </w:r>
                    </w:p>
                    <w:p w:rsidR="00DD4E76" w:rsidRPr="00EE03D4" w:rsidRDefault="00DD4E76" w:rsidP="004B23D6">
                      <w:pPr>
                        <w:jc w:val="left"/>
                        <w:rPr>
                          <w:color w:val="000000" w:themeColor="text1"/>
                          <w:sz w:val="28"/>
                        </w:rPr>
                      </w:pPr>
                    </w:p>
                  </w:txbxContent>
                </v:textbox>
                <w10:wrap type="square" anchorx="margin" anchory="margin"/>
              </v:shape>
            </w:pict>
          </mc:Fallback>
        </mc:AlternateContent>
      </w:r>
      <w:r w:rsidR="00326908">
        <w:rPr>
          <w:noProof/>
        </w:rPr>
        <mc:AlternateContent>
          <mc:Choice Requires="wps">
            <w:drawing>
              <wp:anchor distT="0" distB="0" distL="114300" distR="114300" simplePos="0" relativeHeight="251668480" behindDoc="0" locked="0" layoutInCell="1" allowOverlap="1" wp14:anchorId="2B43F4C8" wp14:editId="69126FE6">
                <wp:simplePos x="0" y="0"/>
                <wp:positionH relativeFrom="margin">
                  <wp:posOffset>0</wp:posOffset>
                </wp:positionH>
                <wp:positionV relativeFrom="margin">
                  <wp:posOffset>3270250</wp:posOffset>
                </wp:positionV>
                <wp:extent cx="3270250" cy="540385"/>
                <wp:effectExtent l="0" t="0" r="0" b="0"/>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D1F50" w14:textId="77777777" w:rsidR="00DD4E76" w:rsidRPr="00E158A7" w:rsidRDefault="00DD4E76" w:rsidP="004B23D6">
                            <w:pPr>
                              <w:rPr>
                                <w:b/>
                                <w:color w:val="000000" w:themeColor="text1"/>
                                <w:sz w:val="36"/>
                              </w:rPr>
                            </w:pPr>
                            <w:r w:rsidRPr="00E158A7">
                              <w:rPr>
                                <w:b/>
                                <w:color w:val="000000" w:themeColor="text1"/>
                                <w:sz w:val="36"/>
                              </w:rPr>
                              <w:t>OMB Number 1905-0129</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F58E8" id="Text Box 6" o:spid="_x0000_s1033" type="#_x0000_t202" style="position:absolute;margin-left:0;margin-top:257.5pt;width:257.5pt;height:4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wuQ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" filled="f" stroked="f">
                <v:textbox inset="0">
                  <w:txbxContent>
                    <w:p w:rsidR="00DD4E76" w:rsidRPr="00E158A7" w:rsidRDefault="00DD4E76" w:rsidP="004B23D6">
                      <w:pPr>
                        <w:rPr>
                          <w:b/>
                          <w:color w:val="000000" w:themeColor="text1"/>
                          <w:sz w:val="36"/>
                        </w:rPr>
                      </w:pPr>
                      <w:r w:rsidRPr="00E158A7">
                        <w:rPr>
                          <w:b/>
                          <w:color w:val="000000" w:themeColor="text1"/>
                          <w:sz w:val="36"/>
                        </w:rPr>
                        <w:t>OMB Number 1905-0129</w:t>
                      </w:r>
                    </w:p>
                  </w:txbxContent>
                </v:textbox>
                <w10:wrap type="square" anchorx="margin" anchory="margin"/>
              </v:shape>
            </w:pict>
          </mc:Fallback>
        </mc:AlternateContent>
      </w:r>
      <w:r w:rsidR="00326908">
        <w:rPr>
          <w:noProof/>
        </w:rPr>
        <mc:AlternateContent>
          <mc:Choice Requires="wps">
            <w:drawing>
              <wp:anchor distT="0" distB="0" distL="114300" distR="114300" simplePos="0" relativeHeight="251669504" behindDoc="1" locked="0" layoutInCell="1" allowOverlap="1" wp14:anchorId="035BC331" wp14:editId="725BF335">
                <wp:simplePos x="0" y="0"/>
                <wp:positionH relativeFrom="column">
                  <wp:posOffset>-450850</wp:posOffset>
                </wp:positionH>
                <wp:positionV relativeFrom="paragraph">
                  <wp:posOffset>6024880</wp:posOffset>
                </wp:positionV>
                <wp:extent cx="6858000" cy="62865"/>
                <wp:effectExtent l="0" t="0" r="0" b="0"/>
                <wp:wrapThrough wrapText="bothSides">
                  <wp:wrapPolygon edited="0">
                    <wp:start x="0" y="0"/>
                    <wp:lineTo x="0" y="13091"/>
                    <wp:lineTo x="21540" y="13091"/>
                    <wp:lineTo x="21540" y="0"/>
                    <wp:lineTo x="0" y="0"/>
                  </wp:wrapPolygon>
                </wp:wrapThrough>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09378" id="Rectangle 7" o:spid="_x0000_s1026" style="position:absolute;margin-left:-35.5pt;margin-top:474.4pt;width:540pt;height: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" fillcolor="#0c95d3" stroked="f" strokecolor="#f2f2f2 [3041]" strokeweight="3pt">
                <v:shadow color="#205867 [1608]" opacity=".5" offset="1pt"/>
                <w10:wrap type="through"/>
              </v:rect>
            </w:pict>
          </mc:Fallback>
        </mc:AlternateContent>
      </w:r>
      <w:r w:rsidR="004B23D6">
        <w:br w:type="page"/>
      </w:r>
    </w:p>
    <w:sdt>
      <w:sdtPr>
        <w:rPr>
          <w:rFonts w:ascii="Calibri" w:eastAsia="Calibri" w:hAnsi="Calibri" w:cs="Times New Roman"/>
          <w:b w:val="0"/>
          <w:bCs w:val="0"/>
          <w:sz w:val="22"/>
          <w:szCs w:val="22"/>
        </w:rPr>
        <w:id w:val="-2010060923"/>
        <w:docPartObj>
          <w:docPartGallery w:val="Table of Contents"/>
          <w:docPartUnique/>
        </w:docPartObj>
      </w:sdtPr>
      <w:sdtEndPr>
        <w:rPr>
          <w:noProof/>
        </w:rPr>
      </w:sdtEndPr>
      <w:sdtContent>
        <w:p w14:paraId="1FB932DF" w14:textId="77777777" w:rsidR="00AA37F2" w:rsidRDefault="00AA37F2" w:rsidP="000F6D01">
          <w:pPr>
            <w:pStyle w:val="TOCHeading"/>
            <w:numPr>
              <w:ilvl w:val="0"/>
              <w:numId w:val="0"/>
            </w:numPr>
          </w:pPr>
          <w:r>
            <w:t>TABLE OF CONTENTS</w:t>
          </w:r>
        </w:p>
        <w:p w14:paraId="1EE1583A" w14:textId="77777777" w:rsidR="00864A3A" w:rsidRDefault="00D8192C">
          <w:pPr>
            <w:pStyle w:val="TOC1"/>
            <w:rPr>
              <w:b w:val="0"/>
              <w:sz w:val="22"/>
              <w:szCs w:val="22"/>
            </w:rPr>
          </w:pPr>
          <w:r>
            <w:fldChar w:fldCharType="begin"/>
          </w:r>
          <w:r w:rsidR="00AA37F2">
            <w:instrText xml:space="preserve"> TOC \o "1-3" \h \z \u </w:instrText>
          </w:r>
          <w:r>
            <w:fldChar w:fldCharType="separate"/>
          </w:r>
          <w:hyperlink w:anchor="_Toc448501695" w:history="1">
            <w:r w:rsidR="00864A3A" w:rsidRPr="009874BE">
              <w:rPr>
                <w:rStyle w:val="Hyperlink"/>
              </w:rPr>
              <w:t>B</w:t>
            </w:r>
            <w:r w:rsidR="00864A3A">
              <w:rPr>
                <w:b w:val="0"/>
                <w:sz w:val="22"/>
                <w:szCs w:val="22"/>
              </w:rPr>
              <w:tab/>
            </w:r>
            <w:r w:rsidR="00864A3A" w:rsidRPr="009874BE">
              <w:rPr>
                <w:rStyle w:val="Hyperlink"/>
              </w:rPr>
              <w:t>STATISTICAL METHODS</w:t>
            </w:r>
            <w:r w:rsidR="00864A3A">
              <w:rPr>
                <w:webHidden/>
              </w:rPr>
              <w:tab/>
            </w:r>
            <w:r w:rsidR="00864A3A" w:rsidRPr="00F628DC">
              <w:rPr>
                <w:b w:val="0"/>
                <w:webHidden/>
                <w:sz w:val="22"/>
                <w:szCs w:val="22"/>
              </w:rPr>
              <w:fldChar w:fldCharType="begin"/>
            </w:r>
            <w:r w:rsidR="00864A3A" w:rsidRPr="00F628DC">
              <w:rPr>
                <w:b w:val="0"/>
                <w:webHidden/>
                <w:sz w:val="22"/>
                <w:szCs w:val="22"/>
              </w:rPr>
              <w:instrText xml:space="preserve"> PAGEREF _Toc448501695 \h </w:instrText>
            </w:r>
            <w:r w:rsidR="00864A3A" w:rsidRPr="00F628DC">
              <w:rPr>
                <w:b w:val="0"/>
                <w:webHidden/>
                <w:sz w:val="22"/>
                <w:szCs w:val="22"/>
              </w:rPr>
            </w:r>
            <w:r w:rsidR="00864A3A" w:rsidRPr="00F628DC">
              <w:rPr>
                <w:b w:val="0"/>
                <w:webHidden/>
                <w:sz w:val="22"/>
                <w:szCs w:val="22"/>
              </w:rPr>
              <w:fldChar w:fldCharType="separate"/>
            </w:r>
            <w:r w:rsidR="006E452D" w:rsidRPr="00F628DC">
              <w:rPr>
                <w:b w:val="0"/>
                <w:webHidden/>
                <w:sz w:val="22"/>
                <w:szCs w:val="22"/>
              </w:rPr>
              <w:t>1</w:t>
            </w:r>
            <w:r w:rsidR="00864A3A" w:rsidRPr="00F628DC">
              <w:rPr>
                <w:b w:val="0"/>
                <w:webHidden/>
                <w:sz w:val="22"/>
                <w:szCs w:val="22"/>
              </w:rPr>
              <w:fldChar w:fldCharType="end"/>
            </w:r>
          </w:hyperlink>
        </w:p>
        <w:p w14:paraId="460259EC" w14:textId="77777777" w:rsidR="00864A3A" w:rsidRDefault="00677413">
          <w:pPr>
            <w:pStyle w:val="TOC2"/>
            <w:tabs>
              <w:tab w:val="left" w:pos="880"/>
            </w:tabs>
            <w:rPr>
              <w:noProof/>
            </w:rPr>
          </w:pPr>
          <w:hyperlink w:anchor="_Toc448501696" w:history="1">
            <w:r w:rsidR="00864A3A" w:rsidRPr="009874BE">
              <w:rPr>
                <w:rStyle w:val="Hyperlink"/>
                <w:noProof/>
              </w:rPr>
              <w:t>B.1</w:t>
            </w:r>
            <w:r w:rsidR="00864A3A">
              <w:rPr>
                <w:noProof/>
              </w:rPr>
              <w:tab/>
            </w:r>
            <w:r w:rsidR="00864A3A" w:rsidRPr="009874BE">
              <w:rPr>
                <w:rStyle w:val="Hyperlink"/>
                <w:noProof/>
              </w:rPr>
              <w:t>Respondent Universe</w:t>
            </w:r>
            <w:r w:rsidR="00864A3A">
              <w:rPr>
                <w:noProof/>
                <w:webHidden/>
              </w:rPr>
              <w:tab/>
            </w:r>
            <w:r w:rsidR="00864A3A">
              <w:rPr>
                <w:noProof/>
                <w:webHidden/>
              </w:rPr>
              <w:fldChar w:fldCharType="begin"/>
            </w:r>
            <w:r w:rsidR="00864A3A">
              <w:rPr>
                <w:noProof/>
                <w:webHidden/>
              </w:rPr>
              <w:instrText xml:space="preserve"> PAGEREF _Toc448501696 \h </w:instrText>
            </w:r>
            <w:r w:rsidR="00864A3A">
              <w:rPr>
                <w:noProof/>
                <w:webHidden/>
              </w:rPr>
            </w:r>
            <w:r w:rsidR="00864A3A">
              <w:rPr>
                <w:noProof/>
                <w:webHidden/>
              </w:rPr>
              <w:fldChar w:fldCharType="separate"/>
            </w:r>
            <w:r w:rsidR="006E452D">
              <w:rPr>
                <w:noProof/>
                <w:webHidden/>
              </w:rPr>
              <w:t>1</w:t>
            </w:r>
            <w:r w:rsidR="00864A3A">
              <w:rPr>
                <w:noProof/>
                <w:webHidden/>
              </w:rPr>
              <w:fldChar w:fldCharType="end"/>
            </w:r>
          </w:hyperlink>
        </w:p>
        <w:p w14:paraId="63409D0E" w14:textId="77777777" w:rsidR="00864A3A" w:rsidRDefault="00677413">
          <w:pPr>
            <w:pStyle w:val="TOC2"/>
            <w:tabs>
              <w:tab w:val="left" w:pos="880"/>
            </w:tabs>
            <w:rPr>
              <w:noProof/>
            </w:rPr>
          </w:pPr>
          <w:hyperlink w:anchor="_Toc448501697" w:history="1">
            <w:r w:rsidR="00864A3A" w:rsidRPr="009874BE">
              <w:rPr>
                <w:rStyle w:val="Hyperlink"/>
                <w:noProof/>
              </w:rPr>
              <w:t>B.2</w:t>
            </w:r>
            <w:r w:rsidR="00864A3A">
              <w:rPr>
                <w:noProof/>
              </w:rPr>
              <w:tab/>
            </w:r>
            <w:r w:rsidR="00864A3A" w:rsidRPr="009874BE">
              <w:rPr>
                <w:rStyle w:val="Hyperlink"/>
                <w:noProof/>
              </w:rPr>
              <w:t>Statistical Methods</w:t>
            </w:r>
            <w:r w:rsidR="00864A3A">
              <w:rPr>
                <w:noProof/>
                <w:webHidden/>
              </w:rPr>
              <w:tab/>
            </w:r>
            <w:r w:rsidR="00864A3A">
              <w:rPr>
                <w:noProof/>
                <w:webHidden/>
              </w:rPr>
              <w:fldChar w:fldCharType="begin"/>
            </w:r>
            <w:r w:rsidR="00864A3A">
              <w:rPr>
                <w:noProof/>
                <w:webHidden/>
              </w:rPr>
              <w:instrText xml:space="preserve"> PAGEREF _Toc448501697 \h </w:instrText>
            </w:r>
            <w:r w:rsidR="00864A3A">
              <w:rPr>
                <w:noProof/>
                <w:webHidden/>
              </w:rPr>
            </w:r>
            <w:r w:rsidR="00864A3A">
              <w:rPr>
                <w:noProof/>
                <w:webHidden/>
              </w:rPr>
              <w:fldChar w:fldCharType="separate"/>
            </w:r>
            <w:r w:rsidR="006E452D">
              <w:rPr>
                <w:noProof/>
                <w:webHidden/>
              </w:rPr>
              <w:t>4</w:t>
            </w:r>
            <w:r w:rsidR="00864A3A">
              <w:rPr>
                <w:noProof/>
                <w:webHidden/>
              </w:rPr>
              <w:fldChar w:fldCharType="end"/>
            </w:r>
          </w:hyperlink>
        </w:p>
        <w:p w14:paraId="40D6189F" w14:textId="77777777" w:rsidR="00864A3A" w:rsidRDefault="00677413">
          <w:pPr>
            <w:pStyle w:val="TOC3"/>
          </w:pPr>
          <w:hyperlink w:anchor="_Toc448501698" w:history="1">
            <w:r w:rsidR="00864A3A" w:rsidRPr="009874BE">
              <w:rPr>
                <w:rStyle w:val="Hyperlink"/>
              </w:rPr>
              <w:t>B.2.1</w:t>
            </w:r>
            <w:r w:rsidR="00864A3A">
              <w:tab/>
            </w:r>
            <w:r w:rsidR="00864A3A" w:rsidRPr="009874BE">
              <w:rPr>
                <w:rStyle w:val="Hyperlink"/>
              </w:rPr>
              <w:t>Cutoff Sampling Methods</w:t>
            </w:r>
            <w:r w:rsidR="00864A3A">
              <w:rPr>
                <w:webHidden/>
              </w:rPr>
              <w:tab/>
            </w:r>
            <w:r w:rsidR="00864A3A">
              <w:rPr>
                <w:webHidden/>
              </w:rPr>
              <w:fldChar w:fldCharType="begin"/>
            </w:r>
            <w:r w:rsidR="00864A3A">
              <w:rPr>
                <w:webHidden/>
              </w:rPr>
              <w:instrText xml:space="preserve"> PAGEREF _Toc448501698 \h </w:instrText>
            </w:r>
            <w:r w:rsidR="00864A3A">
              <w:rPr>
                <w:webHidden/>
              </w:rPr>
            </w:r>
            <w:r w:rsidR="00864A3A">
              <w:rPr>
                <w:webHidden/>
              </w:rPr>
              <w:fldChar w:fldCharType="separate"/>
            </w:r>
            <w:r w:rsidR="006E452D">
              <w:rPr>
                <w:webHidden/>
              </w:rPr>
              <w:t>5</w:t>
            </w:r>
            <w:r w:rsidR="00864A3A">
              <w:rPr>
                <w:webHidden/>
              </w:rPr>
              <w:fldChar w:fldCharType="end"/>
            </w:r>
          </w:hyperlink>
        </w:p>
        <w:p w14:paraId="707B733C" w14:textId="77777777" w:rsidR="00864A3A" w:rsidRDefault="00677413">
          <w:pPr>
            <w:pStyle w:val="TOC3"/>
          </w:pPr>
          <w:hyperlink w:anchor="_Toc448501699" w:history="1">
            <w:r w:rsidR="00864A3A" w:rsidRPr="009874BE">
              <w:rPr>
                <w:rStyle w:val="Hyperlink"/>
              </w:rPr>
              <w:t>B.2.2</w:t>
            </w:r>
            <w:r w:rsidR="00864A3A">
              <w:tab/>
            </w:r>
            <w:r w:rsidR="00864A3A" w:rsidRPr="009874BE">
              <w:rPr>
                <w:rStyle w:val="Hyperlink"/>
              </w:rPr>
              <w:t>Relative Standard Error as a Measure of Sample Accuracy</w:t>
            </w:r>
            <w:r w:rsidR="00864A3A">
              <w:rPr>
                <w:webHidden/>
              </w:rPr>
              <w:tab/>
            </w:r>
            <w:r w:rsidR="00864A3A">
              <w:rPr>
                <w:webHidden/>
              </w:rPr>
              <w:fldChar w:fldCharType="begin"/>
            </w:r>
            <w:r w:rsidR="00864A3A">
              <w:rPr>
                <w:webHidden/>
              </w:rPr>
              <w:instrText xml:space="preserve"> PAGEREF _Toc448501699 \h </w:instrText>
            </w:r>
            <w:r w:rsidR="00864A3A">
              <w:rPr>
                <w:webHidden/>
              </w:rPr>
            </w:r>
            <w:r w:rsidR="00864A3A">
              <w:rPr>
                <w:webHidden/>
              </w:rPr>
              <w:fldChar w:fldCharType="separate"/>
            </w:r>
            <w:r w:rsidR="006E452D">
              <w:rPr>
                <w:webHidden/>
              </w:rPr>
              <w:t>6</w:t>
            </w:r>
            <w:r w:rsidR="00864A3A">
              <w:rPr>
                <w:webHidden/>
              </w:rPr>
              <w:fldChar w:fldCharType="end"/>
            </w:r>
          </w:hyperlink>
        </w:p>
        <w:p w14:paraId="4B00BF14" w14:textId="77777777" w:rsidR="00864A3A" w:rsidRDefault="00677413">
          <w:pPr>
            <w:pStyle w:val="TOC3"/>
          </w:pPr>
          <w:hyperlink w:anchor="_Toc448501700" w:history="1">
            <w:r w:rsidR="00864A3A" w:rsidRPr="009874BE">
              <w:rPr>
                <w:rStyle w:val="Hyperlink"/>
              </w:rPr>
              <w:t>B.2.3</w:t>
            </w:r>
            <w:r w:rsidR="00864A3A">
              <w:tab/>
            </w:r>
            <w:r w:rsidR="00864A3A" w:rsidRPr="009874BE">
              <w:rPr>
                <w:rStyle w:val="Hyperlink"/>
              </w:rPr>
              <w:t>Electric Power Surveys Sampling and Estimation</w:t>
            </w:r>
            <w:r w:rsidR="00864A3A">
              <w:rPr>
                <w:webHidden/>
              </w:rPr>
              <w:tab/>
            </w:r>
            <w:r w:rsidR="00864A3A">
              <w:rPr>
                <w:webHidden/>
              </w:rPr>
              <w:fldChar w:fldCharType="begin"/>
            </w:r>
            <w:r w:rsidR="00864A3A">
              <w:rPr>
                <w:webHidden/>
              </w:rPr>
              <w:instrText xml:space="preserve"> PAGEREF _Toc448501700 \h </w:instrText>
            </w:r>
            <w:r w:rsidR="00864A3A">
              <w:rPr>
                <w:webHidden/>
              </w:rPr>
            </w:r>
            <w:r w:rsidR="00864A3A">
              <w:rPr>
                <w:webHidden/>
              </w:rPr>
              <w:fldChar w:fldCharType="separate"/>
            </w:r>
            <w:r w:rsidR="006E452D">
              <w:rPr>
                <w:webHidden/>
              </w:rPr>
              <w:t>6</w:t>
            </w:r>
            <w:r w:rsidR="00864A3A">
              <w:rPr>
                <w:webHidden/>
              </w:rPr>
              <w:fldChar w:fldCharType="end"/>
            </w:r>
          </w:hyperlink>
        </w:p>
        <w:p w14:paraId="76AF4CE3" w14:textId="77777777" w:rsidR="00864A3A" w:rsidRDefault="00677413">
          <w:pPr>
            <w:pStyle w:val="TOC2"/>
            <w:tabs>
              <w:tab w:val="left" w:pos="880"/>
            </w:tabs>
            <w:rPr>
              <w:noProof/>
            </w:rPr>
          </w:pPr>
          <w:hyperlink w:anchor="_Toc448501701" w:history="1">
            <w:r w:rsidR="00864A3A" w:rsidRPr="009874BE">
              <w:rPr>
                <w:rStyle w:val="Hyperlink"/>
                <w:noProof/>
              </w:rPr>
              <w:t>B.3</w:t>
            </w:r>
            <w:r w:rsidR="00864A3A">
              <w:rPr>
                <w:noProof/>
              </w:rPr>
              <w:tab/>
            </w:r>
            <w:r w:rsidR="00864A3A" w:rsidRPr="009874BE">
              <w:rPr>
                <w:rStyle w:val="Hyperlink"/>
                <w:noProof/>
              </w:rPr>
              <w:t>Maximizing Response Rates</w:t>
            </w:r>
            <w:r w:rsidR="00864A3A">
              <w:rPr>
                <w:noProof/>
                <w:webHidden/>
              </w:rPr>
              <w:tab/>
            </w:r>
            <w:r w:rsidR="00864A3A">
              <w:rPr>
                <w:noProof/>
                <w:webHidden/>
              </w:rPr>
              <w:fldChar w:fldCharType="begin"/>
            </w:r>
            <w:r w:rsidR="00864A3A">
              <w:rPr>
                <w:noProof/>
                <w:webHidden/>
              </w:rPr>
              <w:instrText xml:space="preserve"> PAGEREF _Toc448501701 \h </w:instrText>
            </w:r>
            <w:r w:rsidR="00864A3A">
              <w:rPr>
                <w:noProof/>
                <w:webHidden/>
              </w:rPr>
            </w:r>
            <w:r w:rsidR="00864A3A">
              <w:rPr>
                <w:noProof/>
                <w:webHidden/>
              </w:rPr>
              <w:fldChar w:fldCharType="separate"/>
            </w:r>
            <w:r w:rsidR="006E452D">
              <w:rPr>
                <w:noProof/>
                <w:webHidden/>
              </w:rPr>
              <w:t>11</w:t>
            </w:r>
            <w:r w:rsidR="00864A3A">
              <w:rPr>
                <w:noProof/>
                <w:webHidden/>
              </w:rPr>
              <w:fldChar w:fldCharType="end"/>
            </w:r>
          </w:hyperlink>
        </w:p>
        <w:p w14:paraId="3E258C83" w14:textId="77777777" w:rsidR="00864A3A" w:rsidRDefault="00677413">
          <w:pPr>
            <w:pStyle w:val="TOC2"/>
            <w:tabs>
              <w:tab w:val="left" w:pos="880"/>
            </w:tabs>
            <w:rPr>
              <w:noProof/>
            </w:rPr>
          </w:pPr>
          <w:hyperlink w:anchor="_Toc448501702" w:history="1">
            <w:r w:rsidR="00864A3A" w:rsidRPr="009874BE">
              <w:rPr>
                <w:rStyle w:val="Hyperlink"/>
                <w:noProof/>
              </w:rPr>
              <w:t>B.4</w:t>
            </w:r>
            <w:r w:rsidR="00864A3A">
              <w:rPr>
                <w:noProof/>
              </w:rPr>
              <w:tab/>
            </w:r>
            <w:r w:rsidR="00864A3A" w:rsidRPr="009874BE">
              <w:rPr>
                <w:rStyle w:val="Hyperlink"/>
                <w:noProof/>
              </w:rPr>
              <w:t>Test Procedures and Forms Consultations</w:t>
            </w:r>
            <w:r w:rsidR="00864A3A">
              <w:rPr>
                <w:noProof/>
                <w:webHidden/>
              </w:rPr>
              <w:tab/>
            </w:r>
            <w:r w:rsidR="00864A3A">
              <w:rPr>
                <w:noProof/>
                <w:webHidden/>
              </w:rPr>
              <w:fldChar w:fldCharType="begin"/>
            </w:r>
            <w:r w:rsidR="00864A3A">
              <w:rPr>
                <w:noProof/>
                <w:webHidden/>
              </w:rPr>
              <w:instrText xml:space="preserve"> PAGEREF _Toc448501702 \h </w:instrText>
            </w:r>
            <w:r w:rsidR="00864A3A">
              <w:rPr>
                <w:noProof/>
                <w:webHidden/>
              </w:rPr>
            </w:r>
            <w:r w:rsidR="00864A3A">
              <w:rPr>
                <w:noProof/>
                <w:webHidden/>
              </w:rPr>
              <w:fldChar w:fldCharType="separate"/>
            </w:r>
            <w:r w:rsidR="006E452D">
              <w:rPr>
                <w:noProof/>
                <w:webHidden/>
              </w:rPr>
              <w:t>13</w:t>
            </w:r>
            <w:r w:rsidR="00864A3A">
              <w:rPr>
                <w:noProof/>
                <w:webHidden/>
              </w:rPr>
              <w:fldChar w:fldCharType="end"/>
            </w:r>
          </w:hyperlink>
        </w:p>
        <w:p w14:paraId="418C54BB" w14:textId="77777777" w:rsidR="00864A3A" w:rsidRDefault="00677413">
          <w:pPr>
            <w:pStyle w:val="TOC2"/>
            <w:tabs>
              <w:tab w:val="left" w:pos="880"/>
            </w:tabs>
            <w:rPr>
              <w:noProof/>
            </w:rPr>
          </w:pPr>
          <w:hyperlink w:anchor="_Toc448501703" w:history="1">
            <w:r w:rsidR="00864A3A" w:rsidRPr="009874BE">
              <w:rPr>
                <w:rStyle w:val="Hyperlink"/>
                <w:noProof/>
              </w:rPr>
              <w:t>B.5</w:t>
            </w:r>
            <w:r w:rsidR="00864A3A">
              <w:rPr>
                <w:noProof/>
              </w:rPr>
              <w:tab/>
            </w:r>
            <w:r w:rsidR="00864A3A" w:rsidRPr="009874BE">
              <w:rPr>
                <w:rStyle w:val="Hyperlink"/>
                <w:noProof/>
              </w:rPr>
              <w:t>Statistical Consultations</w:t>
            </w:r>
            <w:r w:rsidR="00864A3A">
              <w:rPr>
                <w:noProof/>
                <w:webHidden/>
              </w:rPr>
              <w:tab/>
            </w:r>
            <w:r w:rsidR="00864A3A">
              <w:rPr>
                <w:noProof/>
                <w:webHidden/>
              </w:rPr>
              <w:fldChar w:fldCharType="begin"/>
            </w:r>
            <w:r w:rsidR="00864A3A">
              <w:rPr>
                <w:noProof/>
                <w:webHidden/>
              </w:rPr>
              <w:instrText xml:space="preserve"> PAGEREF _Toc448501703 \h </w:instrText>
            </w:r>
            <w:r w:rsidR="00864A3A">
              <w:rPr>
                <w:noProof/>
                <w:webHidden/>
              </w:rPr>
            </w:r>
            <w:r w:rsidR="00864A3A">
              <w:rPr>
                <w:noProof/>
                <w:webHidden/>
              </w:rPr>
              <w:fldChar w:fldCharType="separate"/>
            </w:r>
            <w:r w:rsidR="006E452D">
              <w:rPr>
                <w:noProof/>
                <w:webHidden/>
              </w:rPr>
              <w:t>13</w:t>
            </w:r>
            <w:r w:rsidR="00864A3A">
              <w:rPr>
                <w:noProof/>
                <w:webHidden/>
              </w:rPr>
              <w:fldChar w:fldCharType="end"/>
            </w:r>
          </w:hyperlink>
        </w:p>
        <w:p w14:paraId="3F9B6D4A" w14:textId="77777777" w:rsidR="00AA37F2" w:rsidRDefault="00D8192C">
          <w:r>
            <w:rPr>
              <w:b/>
              <w:bCs/>
              <w:noProof/>
            </w:rPr>
            <w:fldChar w:fldCharType="end"/>
          </w:r>
        </w:p>
      </w:sdtContent>
    </w:sdt>
    <w:p w14:paraId="48BC842D" w14:textId="77777777" w:rsidR="00AF2008" w:rsidRDefault="00AF2008" w:rsidP="008B78BA">
      <w:pPr>
        <w:jc w:val="left"/>
      </w:pPr>
    </w:p>
    <w:p w14:paraId="03279974" w14:textId="77777777" w:rsidR="00AF2008" w:rsidRDefault="00AF2008" w:rsidP="008B78BA">
      <w:pPr>
        <w:jc w:val="left"/>
        <w:sectPr w:rsidR="00AF2008" w:rsidSect="00C252FD">
          <w:headerReference w:type="default"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p>
    <w:p w14:paraId="2136A839" w14:textId="77777777" w:rsidR="00A37AC7" w:rsidRDefault="00A37AC7" w:rsidP="00A37AC7">
      <w:pPr>
        <w:pStyle w:val="Heading1"/>
      </w:pPr>
      <w:bookmarkStart w:id="0" w:name="_Toc448501695"/>
      <w:r>
        <w:lastRenderedPageBreak/>
        <w:t>STATISTICAL METHODS</w:t>
      </w:r>
      <w:bookmarkEnd w:id="0"/>
    </w:p>
    <w:p w14:paraId="48E04536" w14:textId="77777777" w:rsidR="00071AAF" w:rsidRPr="000E6095" w:rsidRDefault="000E6095" w:rsidP="00624A08">
      <w:pPr>
        <w:pStyle w:val="Heading2"/>
      </w:pPr>
      <w:bookmarkStart w:id="1" w:name="_Toc448501696"/>
      <w:r w:rsidRPr="000E6095">
        <w:t>Respondent Universe</w:t>
      </w:r>
      <w:bookmarkEnd w:id="1"/>
    </w:p>
    <w:p w14:paraId="5ECC036E" w14:textId="77777777" w:rsidR="002A7326" w:rsidRPr="00FF3053" w:rsidRDefault="00FF3053" w:rsidP="002A7326">
      <w:pPr>
        <w:rPr>
          <w:u w:val="single"/>
        </w:rPr>
      </w:pPr>
      <w:r w:rsidRPr="00FF3053">
        <w:rPr>
          <w:u w:val="single"/>
        </w:rPr>
        <w:t>Form EIA-63B, “</w:t>
      </w:r>
      <w:r w:rsidR="002A7326">
        <w:rPr>
          <w:u w:val="single"/>
        </w:rPr>
        <w:t>Photovoltaic Module Shipments Report”</w:t>
      </w:r>
    </w:p>
    <w:p w14:paraId="53AC727E" w14:textId="7BA0CAB9" w:rsidR="00EA5EBD" w:rsidRDefault="00F12F28" w:rsidP="00C527D7">
      <w:r>
        <w:t xml:space="preserve">Form </w:t>
      </w:r>
      <w:r w:rsidR="00A45581">
        <w:t xml:space="preserve">EIA-63B </w:t>
      </w:r>
      <w:r w:rsidR="00B7048A">
        <w:t>is</w:t>
      </w:r>
      <w:r w:rsidR="00EB7C4D">
        <w:t xml:space="preserve"> a mandatory monthly survey in addition to being </w:t>
      </w:r>
      <w:r w:rsidR="00A45581">
        <w:t>a mandatory annual survey of companies engaged in</w:t>
      </w:r>
      <w:r w:rsidR="00E4532F">
        <w:t xml:space="preserve"> photovoltaic module manufacturing, shipping, importing, or exporting </w:t>
      </w:r>
      <w:r w:rsidR="00A45581">
        <w:t xml:space="preserve">within the United States, its territories, and possessions.  The </w:t>
      </w:r>
      <w:r w:rsidR="00182CDB">
        <w:t xml:space="preserve">new monthly survey, like the existing annual version, will collect </w:t>
      </w:r>
      <w:r w:rsidR="008367E3">
        <w:t>information</w:t>
      </w:r>
      <w:r w:rsidR="00A45581">
        <w:t xml:space="preserve"> </w:t>
      </w:r>
      <w:r w:rsidR="00182CDB">
        <w:t>on</w:t>
      </w:r>
      <w:r w:rsidR="00A45581">
        <w:t xml:space="preserve"> </w:t>
      </w:r>
      <w:r w:rsidR="008367E3">
        <w:t xml:space="preserve">volume </w:t>
      </w:r>
      <w:r w:rsidR="00182CDB">
        <w:t>and</w:t>
      </w:r>
      <w:r w:rsidR="008367E3">
        <w:t xml:space="preserve"> value of shipments, technical characteristics of the modules shipped, and employment data.</w:t>
      </w:r>
      <w:r w:rsidR="00E4532F">
        <w:t xml:space="preserve">  </w:t>
      </w:r>
      <w:r w:rsidR="00AD382E">
        <w:t>Th</w:t>
      </w:r>
      <w:r w:rsidR="005F0839">
        <w:t>e</w:t>
      </w:r>
      <w:r w:rsidR="00AD382E">
        <w:t xml:space="preserve"> </w:t>
      </w:r>
      <w:r w:rsidR="00CC735B">
        <w:t>survey</w:t>
      </w:r>
      <w:r w:rsidR="00AD382E">
        <w:t xml:space="preserve"> </w:t>
      </w:r>
      <w:r w:rsidR="005F0839">
        <w:t xml:space="preserve">frame </w:t>
      </w:r>
      <w:r w:rsidR="00CC735B">
        <w:t xml:space="preserve">for the Form EIA-63B </w:t>
      </w:r>
      <w:r w:rsidR="00EB7C4D">
        <w:t xml:space="preserve">will </w:t>
      </w:r>
      <w:r w:rsidR="00CC735B">
        <w:t>contain</w:t>
      </w:r>
      <w:r w:rsidR="00C87AFB">
        <w:t xml:space="preserve"> </w:t>
      </w:r>
      <w:r w:rsidR="00AD382E">
        <w:t xml:space="preserve">approximately </w:t>
      </w:r>
      <w:r w:rsidR="00EB7C4D">
        <w:t xml:space="preserve">76 </w:t>
      </w:r>
      <w:r w:rsidR="00AD382E">
        <w:t>respondents</w:t>
      </w:r>
      <w:r w:rsidR="005910DD">
        <w:t>; 16 will report monthly and 60 will report annually.</w:t>
      </w:r>
      <w:r w:rsidR="00AD382E">
        <w:t xml:space="preserve">  </w:t>
      </w:r>
      <w:r w:rsidR="00A20F0A">
        <w:t>T</w:t>
      </w:r>
      <w:r w:rsidR="00A20F0A" w:rsidRPr="00A20F0A">
        <w:t xml:space="preserve">he monthly frame </w:t>
      </w:r>
      <w:r w:rsidR="00A20F0A">
        <w:t xml:space="preserve">will </w:t>
      </w:r>
      <w:r w:rsidR="00A20F0A" w:rsidRPr="00A20F0A">
        <w:t xml:space="preserve">include only ‘large’ producers with the intent of capturing at least 90% of peak kilowatts </w:t>
      </w:r>
      <w:r w:rsidR="00182CDB">
        <w:t xml:space="preserve">(kWp) </w:t>
      </w:r>
      <w:r w:rsidR="00A20F0A" w:rsidRPr="00A20F0A">
        <w:t xml:space="preserve">shipped.  Respondents reporting total shipments of at least 100,000 </w:t>
      </w:r>
      <w:r w:rsidR="00182CDB">
        <w:t>kWp</w:t>
      </w:r>
      <w:r w:rsidR="00A20F0A" w:rsidRPr="00A20F0A">
        <w:t xml:space="preserve"> during the previous year will be surveyed monthly</w:t>
      </w:r>
      <w:r w:rsidR="00EF4FC7" w:rsidRPr="00EF4FC7">
        <w:t>, and the published monthly data will reflect only the sampled unit</w:t>
      </w:r>
      <w:r w:rsidR="00EF4FC7">
        <w:t>s</w:t>
      </w:r>
      <w:r w:rsidR="00A20F0A">
        <w:t>.  The annual s</w:t>
      </w:r>
      <w:r w:rsidR="00A20F0A" w:rsidRPr="00A20F0A">
        <w:t xml:space="preserve">urvey </w:t>
      </w:r>
      <w:r w:rsidR="00A20F0A">
        <w:t xml:space="preserve">will collect data from </w:t>
      </w:r>
      <w:r w:rsidR="00A20F0A" w:rsidRPr="00A20F0A">
        <w:t xml:space="preserve">all known U.S. producers </w:t>
      </w:r>
      <w:r w:rsidR="00182CDB">
        <w:t>using</w:t>
      </w:r>
      <w:r w:rsidR="00A20F0A" w:rsidRPr="00A20F0A">
        <w:t xml:space="preserve"> a short</w:t>
      </w:r>
      <w:r w:rsidR="00A20F0A">
        <w:t>er</w:t>
      </w:r>
      <w:r w:rsidR="00A20F0A" w:rsidRPr="00A20F0A">
        <w:t xml:space="preserve"> version of the </w:t>
      </w:r>
      <w:r w:rsidR="00182CDB">
        <w:t xml:space="preserve">monthly </w:t>
      </w:r>
      <w:r w:rsidR="00A20F0A" w:rsidRPr="00A20F0A">
        <w:t>form</w:t>
      </w:r>
      <w:r w:rsidR="00A20F0A">
        <w:t xml:space="preserve">.  </w:t>
      </w:r>
      <w:r w:rsidR="00EA5EBD" w:rsidRPr="00EA5EBD">
        <w:t xml:space="preserve">Potential respondents </w:t>
      </w:r>
      <w:r w:rsidR="00182CDB">
        <w:t>will be</w:t>
      </w:r>
      <w:r w:rsidR="00182CDB" w:rsidRPr="00EA5EBD">
        <w:t xml:space="preserve"> </w:t>
      </w:r>
      <w:r w:rsidR="00EA5EBD" w:rsidRPr="00EA5EBD">
        <w:t xml:space="preserve">identified from </w:t>
      </w:r>
      <w:r w:rsidR="005910DD">
        <w:t xml:space="preserve">U.S. </w:t>
      </w:r>
      <w:r w:rsidR="00EA5EBD" w:rsidRPr="00EA5EBD">
        <w:t>D</w:t>
      </w:r>
      <w:r w:rsidR="00AD382E">
        <w:t xml:space="preserve">epartment of </w:t>
      </w:r>
      <w:r w:rsidR="0069105C">
        <w:t>E</w:t>
      </w:r>
      <w:r w:rsidR="00AD382E">
        <w:t>nergy (DOE)</w:t>
      </w:r>
      <w:r w:rsidR="00EA5EBD" w:rsidRPr="00EA5EBD">
        <w:t xml:space="preserve"> and </w:t>
      </w:r>
      <w:r w:rsidR="00AD382E">
        <w:t xml:space="preserve">U.S. </w:t>
      </w:r>
      <w:r w:rsidR="00EA5EBD" w:rsidRPr="00EA5EBD">
        <w:t>E</w:t>
      </w:r>
      <w:r w:rsidR="00AD382E">
        <w:t>nergy Information Administration (EIA) d</w:t>
      </w:r>
      <w:r w:rsidR="00EA5EBD" w:rsidRPr="00EA5EBD">
        <w:t>a</w:t>
      </w:r>
      <w:r w:rsidR="00AD382E">
        <w:t>ta</w:t>
      </w:r>
      <w:r w:rsidR="00EA5EBD" w:rsidRPr="00EA5EBD">
        <w:t>bases</w:t>
      </w:r>
      <w:r w:rsidR="005910DD">
        <w:t>,</w:t>
      </w:r>
      <w:r w:rsidR="00EA5EBD" w:rsidRPr="00EA5EBD">
        <w:t xml:space="preserve"> industry/manufacturer directories</w:t>
      </w:r>
      <w:r w:rsidR="005910DD">
        <w:t>,</w:t>
      </w:r>
      <w:r w:rsidR="00EA5EBD" w:rsidRPr="00EA5EBD">
        <w:t xml:space="preserve"> </w:t>
      </w:r>
      <w:r w:rsidR="00E4532F">
        <w:t xml:space="preserve">and </w:t>
      </w:r>
      <w:r w:rsidR="00EA5EBD" w:rsidRPr="00EA5EBD">
        <w:t>trade publications.</w:t>
      </w:r>
    </w:p>
    <w:p w14:paraId="19B13C52" w14:textId="77777777" w:rsidR="00C87AFB" w:rsidRPr="0069105C" w:rsidRDefault="00C87AFB" w:rsidP="00185474">
      <w:pPr>
        <w:spacing w:before="240"/>
        <w:rPr>
          <w:u w:val="single"/>
        </w:rPr>
      </w:pPr>
      <w:r w:rsidRPr="0069105C">
        <w:rPr>
          <w:u w:val="single"/>
        </w:rPr>
        <w:t>Form EIA-411, “</w:t>
      </w:r>
      <w:r w:rsidR="002A7326" w:rsidRPr="0069105C">
        <w:rPr>
          <w:u w:val="single"/>
        </w:rPr>
        <w:t>Coordinated Bulk Power Supply Program Report”</w:t>
      </w:r>
    </w:p>
    <w:p w14:paraId="3F63C286" w14:textId="77777777" w:rsidR="002E2273" w:rsidRDefault="002E2273" w:rsidP="002E2273">
      <w:r>
        <w:t xml:space="preserve">The </w:t>
      </w:r>
      <w:r w:rsidR="00F12F28">
        <w:t xml:space="preserve">Form </w:t>
      </w:r>
      <w:r w:rsidR="008367E3">
        <w:t xml:space="preserve">EIA-411 survey collects a subset of the electric power system reliability information </w:t>
      </w:r>
      <w:r>
        <w:t xml:space="preserve">collected by the North American Electric Reliability Corporation (NERC) in </w:t>
      </w:r>
      <w:r w:rsidR="008367E3">
        <w:t xml:space="preserve">the execution of its responsibilities </w:t>
      </w:r>
      <w:r>
        <w:t>as the Electric Reliability Organization for the United States.</w:t>
      </w:r>
      <w:r w:rsidR="001554DF">
        <w:rPr>
          <w:rStyle w:val="FootnoteReference"/>
        </w:rPr>
        <w:footnoteReference w:id="1"/>
      </w:r>
      <w:r>
        <w:t xml:space="preserve">  The data collected by the Form EIA-411 include</w:t>
      </w:r>
      <w:r w:rsidR="00901DD5">
        <w:t xml:space="preserve"> </w:t>
      </w:r>
      <w:r>
        <w:t xml:space="preserve">information about regional electricity supply and demand projections for a ten-year advance period and information </w:t>
      </w:r>
      <w:r w:rsidR="008367E3">
        <w:t xml:space="preserve">on the characteristics and reliability of </w:t>
      </w:r>
      <w:r>
        <w:t xml:space="preserve">the transmission system and supporting facilities. </w:t>
      </w:r>
    </w:p>
    <w:p w14:paraId="712A5303" w14:textId="77777777" w:rsidR="002E2273" w:rsidRDefault="002E2273" w:rsidP="002E2273">
      <w:r>
        <w:t>The Form EIA-411 is mandatory for those entities required to report. With the exception of Schedule</w:t>
      </w:r>
      <w:r w:rsidR="001554DF">
        <w:t>s</w:t>
      </w:r>
      <w:r>
        <w:t xml:space="preserve"> 7</w:t>
      </w:r>
      <w:r w:rsidR="001554DF">
        <w:t xml:space="preserve"> and 8</w:t>
      </w:r>
      <w:r>
        <w:t xml:space="preserve">, the form is completed by each of the </w:t>
      </w:r>
      <w:r w:rsidR="00A57E9C">
        <w:t xml:space="preserve">eight </w:t>
      </w:r>
      <w:r>
        <w:t xml:space="preserve">Regional Entities of NERC. </w:t>
      </w:r>
      <w:r w:rsidR="008367E3">
        <w:t xml:space="preserve"> </w:t>
      </w:r>
      <w:r>
        <w:t xml:space="preserve">Each Regional Entity compiles the responses from data furnished by utilities and other members within their Region and </w:t>
      </w:r>
      <w:r w:rsidR="008478AF">
        <w:t xml:space="preserve">then </w:t>
      </w:r>
      <w:r>
        <w:t>provide</w:t>
      </w:r>
      <w:r w:rsidR="008478AF">
        <w:t>s it</w:t>
      </w:r>
      <w:r>
        <w:t xml:space="preserve"> to NERC headquarters. </w:t>
      </w:r>
      <w:r w:rsidR="00F12F28">
        <w:t xml:space="preserve"> </w:t>
      </w:r>
      <w:r>
        <w:t xml:space="preserve">NERC then compiles and </w:t>
      </w:r>
      <w:r w:rsidR="00315724">
        <w:t>edits</w:t>
      </w:r>
      <w:r>
        <w:t xml:space="preserve"> these data and provides </w:t>
      </w:r>
      <w:r w:rsidR="00A57E9C">
        <w:t xml:space="preserve">an extract </w:t>
      </w:r>
      <w:r>
        <w:t xml:space="preserve">to </w:t>
      </w:r>
      <w:r w:rsidR="00315724">
        <w:t>EIA</w:t>
      </w:r>
      <w:r>
        <w:t xml:space="preserve">. </w:t>
      </w:r>
      <w:r w:rsidR="00F12F28">
        <w:t xml:space="preserve"> </w:t>
      </w:r>
      <w:r>
        <w:t>Schedule</w:t>
      </w:r>
      <w:r w:rsidR="005910DD">
        <w:t>s</w:t>
      </w:r>
      <w:r>
        <w:t xml:space="preserve"> 7 </w:t>
      </w:r>
      <w:r w:rsidR="001554DF">
        <w:t xml:space="preserve">and 8 </w:t>
      </w:r>
      <w:r>
        <w:t xml:space="preserve">data for each Regional Entity </w:t>
      </w:r>
      <w:r w:rsidR="00F12F28">
        <w:t>are</w:t>
      </w:r>
      <w:r>
        <w:t xml:space="preserve"> provided by NERC from</w:t>
      </w:r>
      <w:r w:rsidR="001554DF">
        <w:t>, respectively,</w:t>
      </w:r>
      <w:r>
        <w:t xml:space="preserve"> its Transmission Availability Data System </w:t>
      </w:r>
      <w:r w:rsidR="00315724">
        <w:t>and Generati</w:t>
      </w:r>
      <w:r w:rsidR="001554DF">
        <w:t>n</w:t>
      </w:r>
      <w:r w:rsidR="00315724">
        <w:t>g</w:t>
      </w:r>
      <w:r w:rsidR="001554DF">
        <w:t xml:space="preserve"> Availability Data System </w:t>
      </w:r>
      <w:r>
        <w:t>database</w:t>
      </w:r>
      <w:r w:rsidR="001554DF">
        <w:t>s</w:t>
      </w:r>
      <w:r>
        <w:t>.</w:t>
      </w:r>
    </w:p>
    <w:p w14:paraId="7FBF8D1A" w14:textId="77777777" w:rsidR="001554DF" w:rsidRDefault="001554DF" w:rsidP="002E2273">
      <w:r>
        <w:t>There are nine respondents to this survey, the eight NERC Regional Entities and NERC headquarters.</w:t>
      </w:r>
    </w:p>
    <w:p w14:paraId="729517C0" w14:textId="77777777" w:rsidR="00EB7C4D" w:rsidRPr="0099799B" w:rsidRDefault="00EB7C4D" w:rsidP="001554DF">
      <w:pPr>
        <w:spacing w:before="240"/>
        <w:rPr>
          <w:u w:val="single"/>
        </w:rPr>
      </w:pPr>
      <w:r w:rsidRPr="008A4EDE">
        <w:rPr>
          <w:u w:val="single"/>
        </w:rPr>
        <w:t>Form EIA-826, “</w:t>
      </w:r>
      <w:r w:rsidRPr="0099799B">
        <w:rPr>
          <w:u w:val="single"/>
        </w:rPr>
        <w:t>Monthly Electric Utility Sales and Revenue Report with State Distributions</w:t>
      </w:r>
      <w:r w:rsidR="008A4EDE" w:rsidRPr="0099799B">
        <w:rPr>
          <w:u w:val="single"/>
        </w:rPr>
        <w:t>”</w:t>
      </w:r>
    </w:p>
    <w:p w14:paraId="5CBD23F3" w14:textId="55119553" w:rsidR="008A4EDE" w:rsidRPr="006C3B7D" w:rsidRDefault="008A4EDE" w:rsidP="001554DF">
      <w:pPr>
        <w:spacing w:before="240"/>
      </w:pPr>
      <w:r w:rsidRPr="006C3B7D">
        <w:t xml:space="preserve">EIA </w:t>
      </w:r>
      <w:r w:rsidR="00B7048A">
        <w:t>will</w:t>
      </w:r>
      <w:r w:rsidRPr="006C3B7D">
        <w:t xml:space="preserve"> discontinue this survey and replace it with the new </w:t>
      </w:r>
      <w:r w:rsidR="00AE1D65">
        <w:t xml:space="preserve">Form </w:t>
      </w:r>
      <w:r w:rsidRPr="006C3B7D">
        <w:t>EIA-861M, “Monthly Electric Power Industry Report.</w:t>
      </w:r>
      <w:r w:rsidRPr="002C59A6">
        <w:t xml:space="preserve">”  </w:t>
      </w:r>
      <w:r w:rsidR="00FA34EF" w:rsidRPr="006C3B7D">
        <w:t xml:space="preserve">See the discussion below under </w:t>
      </w:r>
      <w:r w:rsidR="00AE1D65">
        <w:t xml:space="preserve">Form </w:t>
      </w:r>
      <w:r w:rsidR="00FA34EF" w:rsidRPr="006C3B7D">
        <w:t>EIA-861M</w:t>
      </w:r>
      <w:r w:rsidRPr="0099799B">
        <w:t>.</w:t>
      </w:r>
    </w:p>
    <w:p w14:paraId="5F18FD36" w14:textId="77777777" w:rsidR="002D2E48" w:rsidRPr="00706BEC" w:rsidRDefault="002D2E48" w:rsidP="002D2E48">
      <w:pPr>
        <w:spacing w:before="240"/>
        <w:rPr>
          <w:u w:val="single"/>
        </w:rPr>
      </w:pPr>
      <w:r w:rsidRPr="00577734">
        <w:rPr>
          <w:u w:val="single"/>
        </w:rPr>
        <w:t>Form EIA-860, “Annual Electric Generator Report”</w:t>
      </w:r>
      <w:r>
        <w:rPr>
          <w:u w:val="single"/>
        </w:rPr>
        <w:t xml:space="preserve"> and Form </w:t>
      </w:r>
      <w:r w:rsidRPr="00706BEC">
        <w:rPr>
          <w:u w:val="single"/>
        </w:rPr>
        <w:t>EIA-860M, “Monthly Update to the Annual Electric Generator Report”</w:t>
      </w:r>
    </w:p>
    <w:p w14:paraId="5CB6FBF3" w14:textId="77777777" w:rsidR="002D2E48" w:rsidRDefault="002D2E48" w:rsidP="002D2E48">
      <w:r>
        <w:lastRenderedPageBreak/>
        <w:t xml:space="preserve">The mandatory Form EIA-860 annual survey collects data on the </w:t>
      </w:r>
      <w:r w:rsidRPr="00EF28E6">
        <w:t>status of electric generating plants and associated equipment</w:t>
      </w:r>
      <w:r>
        <w:t xml:space="preserve"> (such as environmental control systems) that are connected to the U.S. power transmission grids.  </w:t>
      </w:r>
      <w:r w:rsidRPr="00460AFA">
        <w:t xml:space="preserve">The target population comprises existing and proposed </w:t>
      </w:r>
      <w:r>
        <w:t>electric power plants, including the following:</w:t>
      </w:r>
    </w:p>
    <w:p w14:paraId="72EC725D" w14:textId="77777777" w:rsidR="002D2E48" w:rsidRDefault="002D2E48" w:rsidP="002D2E48">
      <w:pPr>
        <w:ind w:left="720" w:hanging="360"/>
      </w:pPr>
      <w:r>
        <w:t>A.</w:t>
      </w:r>
      <w:r>
        <w:tab/>
        <w:t xml:space="preserve">All existing plants that have a total generator nameplate capacity (sum for generators at a single site) of 1 </w:t>
      </w:r>
      <w:r w:rsidR="000A35CD">
        <w:t xml:space="preserve">megawatt </w:t>
      </w:r>
      <w:r>
        <w:t>(MW) or greater; and where the generator(s), or the facility in which the generator(s) resides, is connected to the local or regional electric power grid and has the ability to draw power from the grid or deliver power to the grid; and</w:t>
      </w:r>
    </w:p>
    <w:p w14:paraId="73EC58DC" w14:textId="77777777" w:rsidR="002D2E48" w:rsidRDefault="002D2E48" w:rsidP="002D2E48">
      <w:pPr>
        <w:ind w:left="720" w:hanging="360"/>
      </w:pPr>
      <w:r>
        <w:t>B.</w:t>
      </w:r>
      <w:r>
        <w:tab/>
        <w:t>All proposed plants that: 1) have an expected total generator(s) nameplate capacity of 1 MW or greater; 2) expect the generator(s), or the facility in which the generator(s) resides, to be connected to the local or regional electric power grid and expected to be able to draw power from the grid or deliver power to the grid; and 3) expect to commence commercial operation within 10 years in the case of coal, petroleum coke, nuclear, and hydroelectric (both conventional and pumped storage) units, or within 5 years for all other units.</w:t>
      </w:r>
    </w:p>
    <w:p w14:paraId="4D19F285" w14:textId="6B5BB927" w:rsidR="002D2E48" w:rsidRDefault="002D2E48" w:rsidP="002D2E48">
      <w:r w:rsidRPr="00460AFA">
        <w:t xml:space="preserve">Companies complete the form for all the plants they operate.  </w:t>
      </w:r>
      <w:r w:rsidR="00104AB7">
        <w:t>Over 4,700</w:t>
      </w:r>
      <w:r w:rsidRPr="00460AFA">
        <w:t xml:space="preserve"> entities </w:t>
      </w:r>
      <w:r>
        <w:t xml:space="preserve">are required to file the Form EIA-860.  They currently </w:t>
      </w:r>
      <w:r w:rsidRPr="00460AFA">
        <w:t xml:space="preserve">operate and/or propose to operate about </w:t>
      </w:r>
      <w:r>
        <w:t>8,700</w:t>
      </w:r>
      <w:r w:rsidRPr="00460AFA">
        <w:t xml:space="preserve"> facilities, containing over </w:t>
      </w:r>
      <w:r>
        <w:t>24,700</w:t>
      </w:r>
      <w:r w:rsidRPr="00460AFA">
        <w:t xml:space="preserve"> generators.  The respondents to this survey form the basis of the EIA electric power entity frame, from which samples for other surveys are drawn.</w:t>
      </w:r>
      <w:r>
        <w:t xml:space="preserve">  Respondents are either self-identified or identified through industry publications and data services to which EIA subscribes.</w:t>
      </w:r>
    </w:p>
    <w:p w14:paraId="7779C93B" w14:textId="77777777" w:rsidR="002D2E48" w:rsidRDefault="002D2E48" w:rsidP="002D2E48">
      <w:r w:rsidRPr="001A6D0A">
        <w:t>The</w:t>
      </w:r>
      <w:r>
        <w:t xml:space="preserve"> Form EIA-860M monthly survey collects data from the Form EIA-860 population when a respondent has any of the following:</w:t>
      </w:r>
    </w:p>
    <w:p w14:paraId="1629D260" w14:textId="77777777" w:rsidR="002D2E48" w:rsidRDefault="002D2E48" w:rsidP="002D2E48">
      <w:pPr>
        <w:pStyle w:val="ListParagraph"/>
        <w:numPr>
          <w:ilvl w:val="0"/>
          <w:numId w:val="7"/>
        </w:numPr>
        <w:spacing w:after="120"/>
        <w:contextualSpacing w:val="0"/>
      </w:pPr>
      <w:r>
        <w:t>A</w:t>
      </w:r>
      <w:r w:rsidRPr="001A6D0A">
        <w:t xml:space="preserve"> new generator scheduled to begin commercial operations within the next 12 months</w:t>
      </w:r>
    </w:p>
    <w:p w14:paraId="5D785CC1" w14:textId="77777777" w:rsidR="002D2E48" w:rsidRDefault="002D2E48" w:rsidP="002D2E48">
      <w:pPr>
        <w:pStyle w:val="ListParagraph"/>
        <w:numPr>
          <w:ilvl w:val="0"/>
          <w:numId w:val="7"/>
        </w:numPr>
        <w:spacing w:after="120"/>
        <w:contextualSpacing w:val="0"/>
      </w:pPr>
      <w:r>
        <w:t>A</w:t>
      </w:r>
      <w:r w:rsidRPr="001A6D0A">
        <w:t>n existing generator scheduled for retirement within the next 12 months</w:t>
      </w:r>
    </w:p>
    <w:p w14:paraId="6D8B3493" w14:textId="77777777" w:rsidR="002D2E48" w:rsidRDefault="002D2E48" w:rsidP="002D2E48">
      <w:pPr>
        <w:pStyle w:val="ListParagraph"/>
        <w:numPr>
          <w:ilvl w:val="0"/>
          <w:numId w:val="7"/>
        </w:numPr>
        <w:spacing w:after="120"/>
        <w:contextualSpacing w:val="0"/>
      </w:pPr>
      <w:r>
        <w:t>A</w:t>
      </w:r>
      <w:r w:rsidRPr="001A6D0A">
        <w:t>n existing generator undergoing modifications resulting in changes in capacity or other major modifications that are scheduled to be completed within 1 month</w:t>
      </w:r>
    </w:p>
    <w:p w14:paraId="106CCACA" w14:textId="77777777" w:rsidR="002D2E48" w:rsidRDefault="002D2E48" w:rsidP="002D2E48">
      <w:r>
        <w:t>The survey respondents are generally identified th</w:t>
      </w:r>
      <w:r w:rsidR="008478AF">
        <w:t>r</w:t>
      </w:r>
      <w:r>
        <w:t xml:space="preserve">ough information submitted on the </w:t>
      </w:r>
      <w:r w:rsidR="00AE1D65">
        <w:t xml:space="preserve">Form </w:t>
      </w:r>
      <w:r>
        <w:t>EIA-860 survey.  In some cases information from other sources, such as industry publications, is also used.</w:t>
      </w:r>
    </w:p>
    <w:p w14:paraId="38AC63B3" w14:textId="3A628219" w:rsidR="002D2E48" w:rsidRDefault="002D2E48" w:rsidP="002D2E48">
      <w:pPr>
        <w:spacing w:before="240"/>
        <w:rPr>
          <w:u w:val="single"/>
        </w:rPr>
      </w:pPr>
      <w:r w:rsidRPr="001A6D0A">
        <w:t xml:space="preserve">Respondents are the operators of the power plants where these new generators and existing generators are located.  Based on </w:t>
      </w:r>
      <w:r>
        <w:t>recent experience,</w:t>
      </w:r>
      <w:r w:rsidRPr="00C97E9C">
        <w:rPr>
          <w:color w:val="006600"/>
        </w:rPr>
        <w:t xml:space="preserve"> </w:t>
      </w:r>
      <w:r w:rsidRPr="001A6D0A">
        <w:t xml:space="preserve">EIA estimates that Form EIA-860M will collect data from approximately </w:t>
      </w:r>
      <w:r>
        <w:t>200</w:t>
      </w:r>
      <w:r w:rsidRPr="00C97E9C">
        <w:rPr>
          <w:b/>
          <w:color w:val="006600"/>
        </w:rPr>
        <w:t xml:space="preserve"> </w:t>
      </w:r>
      <w:r w:rsidRPr="001A6D0A">
        <w:t>respondent entities</w:t>
      </w:r>
      <w:r>
        <w:t xml:space="preserve"> </w:t>
      </w:r>
      <w:r w:rsidR="00104AB7">
        <w:t xml:space="preserve">on average </w:t>
      </w:r>
      <w:r>
        <w:t>each month</w:t>
      </w:r>
      <w:r w:rsidRPr="001A6D0A">
        <w:t>.</w:t>
      </w:r>
    </w:p>
    <w:p w14:paraId="4879AC55" w14:textId="77777777" w:rsidR="001554DF" w:rsidRDefault="001554DF" w:rsidP="001554DF">
      <w:pPr>
        <w:spacing w:before="240"/>
      </w:pPr>
      <w:r w:rsidRPr="00995F7F">
        <w:rPr>
          <w:u w:val="single"/>
        </w:rPr>
        <w:t>Form EIA-861, "Annual Electric Power Industry Report</w:t>
      </w:r>
      <w:r w:rsidR="005910DD">
        <w:rPr>
          <w:u w:val="single"/>
        </w:rPr>
        <w:t xml:space="preserve">;” </w:t>
      </w:r>
      <w:r w:rsidR="00315724">
        <w:rPr>
          <w:u w:val="single"/>
        </w:rPr>
        <w:t xml:space="preserve">Form </w:t>
      </w:r>
      <w:r w:rsidR="006613B7" w:rsidRPr="00995F7F">
        <w:rPr>
          <w:u w:val="single"/>
        </w:rPr>
        <w:t>EIA-861</w:t>
      </w:r>
      <w:r w:rsidR="006613B7">
        <w:rPr>
          <w:u w:val="single"/>
        </w:rPr>
        <w:t>S</w:t>
      </w:r>
      <w:r w:rsidR="006613B7" w:rsidRPr="00995F7F">
        <w:rPr>
          <w:u w:val="single"/>
        </w:rPr>
        <w:t>, "Annual Electric Power Industry Report</w:t>
      </w:r>
      <w:r w:rsidR="006613B7">
        <w:rPr>
          <w:u w:val="single"/>
        </w:rPr>
        <w:t xml:space="preserve"> (Short Form)</w:t>
      </w:r>
      <w:r w:rsidR="005910DD">
        <w:rPr>
          <w:u w:val="single"/>
        </w:rPr>
        <w:t>;</w:t>
      </w:r>
      <w:r w:rsidR="006613B7" w:rsidRPr="00995F7F">
        <w:rPr>
          <w:u w:val="single"/>
        </w:rPr>
        <w:t>"</w:t>
      </w:r>
      <w:r w:rsidR="005910DD">
        <w:rPr>
          <w:u w:val="single"/>
        </w:rPr>
        <w:t xml:space="preserve"> and </w:t>
      </w:r>
      <w:r w:rsidR="00315724">
        <w:rPr>
          <w:u w:val="single"/>
        </w:rPr>
        <w:t xml:space="preserve">Form </w:t>
      </w:r>
      <w:r w:rsidRPr="008F167B">
        <w:rPr>
          <w:u w:val="single"/>
        </w:rPr>
        <w:t>EIA-8</w:t>
      </w:r>
      <w:r w:rsidR="008A4EDE">
        <w:rPr>
          <w:u w:val="single"/>
        </w:rPr>
        <w:t>61M</w:t>
      </w:r>
      <w:r w:rsidRPr="008F167B">
        <w:rPr>
          <w:u w:val="single"/>
        </w:rPr>
        <w:t xml:space="preserve">, “Monthly Electric </w:t>
      </w:r>
      <w:r w:rsidR="008A4EDE">
        <w:rPr>
          <w:u w:val="single"/>
        </w:rPr>
        <w:t>Power Industry</w:t>
      </w:r>
      <w:r w:rsidRPr="008F167B">
        <w:rPr>
          <w:u w:val="single"/>
        </w:rPr>
        <w:t xml:space="preserve"> Report</w:t>
      </w:r>
      <w:r w:rsidR="008A4EDE">
        <w:rPr>
          <w:u w:val="single"/>
        </w:rPr>
        <w:t>”</w:t>
      </w:r>
      <w:r w:rsidR="0099799B">
        <w:rPr>
          <w:u w:val="single"/>
        </w:rPr>
        <w:t xml:space="preserve"> </w:t>
      </w:r>
    </w:p>
    <w:p w14:paraId="7ED51EB4" w14:textId="38DB0714" w:rsidR="006613B7" w:rsidRDefault="002C59A6" w:rsidP="006C3B7D">
      <w:pPr>
        <w:spacing w:before="240"/>
      </w:pPr>
      <w:r>
        <w:t xml:space="preserve">The approximately </w:t>
      </w:r>
      <w:r w:rsidR="00104AB7">
        <w:t>4,000</w:t>
      </w:r>
      <w:r>
        <w:t xml:space="preserve"> entities that constitute the universe for these three mandatory surveys are all </w:t>
      </w:r>
      <w:r w:rsidRPr="00821DF3">
        <w:t xml:space="preserve">participants in the electric power industry </w:t>
      </w:r>
      <w:r>
        <w:t xml:space="preserve">who are </w:t>
      </w:r>
      <w:r w:rsidRPr="00821DF3">
        <w:t>involved in the generation, transmission, or distribution of electricity in the United States and its territories.</w:t>
      </w:r>
      <w:r w:rsidR="0099799B">
        <w:t xml:space="preserve">  </w:t>
      </w:r>
      <w:r w:rsidR="006613B7" w:rsidRPr="00821DF3">
        <w:t>Target population members include electric utilities, wholesale power marketers (registered with the Federal Energy Regulatory Commission</w:t>
      </w:r>
      <w:r w:rsidR="0099799B">
        <w:t xml:space="preserve"> [FERC]</w:t>
      </w:r>
      <w:r w:rsidR="006613B7" w:rsidRPr="00821DF3">
        <w:t xml:space="preserve">), energy service providers (registered with the </w:t>
      </w:r>
      <w:r w:rsidR="006613B7">
        <w:t>s</w:t>
      </w:r>
      <w:r w:rsidR="006613B7" w:rsidRPr="00821DF3">
        <w:t>tates), and electric power producers</w:t>
      </w:r>
      <w:r w:rsidR="006613B7">
        <w:t>.</w:t>
      </w:r>
    </w:p>
    <w:p w14:paraId="3897C8BA" w14:textId="77777777" w:rsidR="00FD21B8" w:rsidRDefault="00FD21B8" w:rsidP="00FD21B8">
      <w:pPr>
        <w:pStyle w:val="NoSpacing"/>
        <w:spacing w:after="240"/>
        <w:rPr>
          <w:rFonts w:cs="Arial"/>
        </w:rPr>
      </w:pPr>
    </w:p>
    <w:p w14:paraId="0338053A" w14:textId="7103452B" w:rsidR="00FD21B8" w:rsidRPr="0072035F" w:rsidRDefault="00FD21B8" w:rsidP="00FD21B8">
      <w:pPr>
        <w:pStyle w:val="NoSpacing"/>
        <w:spacing w:after="240"/>
        <w:rPr>
          <w:rFonts w:cs="Arial"/>
        </w:rPr>
      </w:pPr>
    </w:p>
    <w:p w14:paraId="5107D9D3" w14:textId="589DFD2E" w:rsidR="00945EB0" w:rsidRDefault="006613B7" w:rsidP="006C3B7D">
      <w:pPr>
        <w:spacing w:before="240"/>
      </w:pPr>
      <w:r>
        <w:t xml:space="preserve">The </w:t>
      </w:r>
      <w:r w:rsidR="009A5D76">
        <w:t xml:space="preserve">Form </w:t>
      </w:r>
      <w:r w:rsidR="001554DF">
        <w:t xml:space="preserve">EIA-861 annual survey collects a range of </w:t>
      </w:r>
      <w:r w:rsidR="001554DF" w:rsidRPr="004157D6">
        <w:t>information related to electricity sales, customers, and demand response and energy efficiency activities</w:t>
      </w:r>
      <w:r w:rsidR="001554DF">
        <w:t xml:space="preserve">. </w:t>
      </w:r>
      <w:r>
        <w:t xml:space="preserve"> The Form EIA-861 is administered </w:t>
      </w:r>
      <w:r w:rsidR="00945EB0">
        <w:t xml:space="preserve">to a threshold </w:t>
      </w:r>
      <w:r>
        <w:t xml:space="preserve">sample, where the largest </w:t>
      </w:r>
      <w:r w:rsidR="00A57E9C">
        <w:t xml:space="preserve">of the </w:t>
      </w:r>
      <w:r w:rsidR="0049628B">
        <w:t>3,405 e</w:t>
      </w:r>
      <w:r>
        <w:t xml:space="preserve">ntities </w:t>
      </w:r>
      <w:r w:rsidR="00A57E9C">
        <w:t xml:space="preserve">in the survey universe </w:t>
      </w:r>
      <w:r w:rsidR="0081155F">
        <w:t>(</w:t>
      </w:r>
      <w:r w:rsidR="0081155F" w:rsidRPr="0081155F">
        <w:t>approximately 2,295</w:t>
      </w:r>
      <w:r w:rsidR="0081155F">
        <w:t xml:space="preserve"> entities) </w:t>
      </w:r>
      <w:r>
        <w:t xml:space="preserve">are sampled, based on a threshold of annual retail sales and other factors explained </w:t>
      </w:r>
      <w:r w:rsidR="00315724">
        <w:t>below</w:t>
      </w:r>
      <w:r>
        <w:t>.  The remaining smaller entities, about 1,1</w:t>
      </w:r>
      <w:r w:rsidR="00003399">
        <w:t>1</w:t>
      </w:r>
      <w:r>
        <w:t xml:space="preserve">0 of the potential respondents, account for </w:t>
      </w:r>
      <w:r w:rsidRPr="004C4A49">
        <w:t>only about 1 percent of total U.S. electricity sales and rarely</w:t>
      </w:r>
      <w:r w:rsidR="008D0151">
        <w:t xml:space="preserve"> engage in</w:t>
      </w:r>
      <w:r w:rsidRPr="004C4A49">
        <w:t xml:space="preserve"> any</w:t>
      </w:r>
      <w:r>
        <w:t xml:space="preserve"> </w:t>
      </w:r>
      <w:r w:rsidR="00D51F44">
        <w:t xml:space="preserve">other </w:t>
      </w:r>
      <w:r>
        <w:t>activities</w:t>
      </w:r>
      <w:r w:rsidRPr="004C4A49">
        <w:t xml:space="preserve"> outside of basic electricity sales and distribution</w:t>
      </w:r>
      <w:r>
        <w:t>.</w:t>
      </w:r>
    </w:p>
    <w:p w14:paraId="35FB4C2F" w14:textId="2D753504" w:rsidR="00012E4F" w:rsidRDefault="00972457" w:rsidP="00B7048A">
      <w:r>
        <w:rPr>
          <w:rFonts w:asciiTheme="minorHAnsi" w:hAnsiTheme="minorHAnsi" w:cs="Arial"/>
        </w:rPr>
        <w:t>I</w:t>
      </w:r>
      <w:r w:rsidR="00FD21B8" w:rsidRPr="0072035F">
        <w:rPr>
          <w:rFonts w:asciiTheme="minorHAnsi" w:hAnsiTheme="minorHAnsi" w:cs="Arial"/>
        </w:rPr>
        <w:t>n 201</w:t>
      </w:r>
      <w:r w:rsidR="00FD21B8">
        <w:rPr>
          <w:rFonts w:cs="Arial"/>
        </w:rPr>
        <w:t>3</w:t>
      </w:r>
      <w:r w:rsidR="00FD21B8" w:rsidRPr="0072035F">
        <w:rPr>
          <w:rFonts w:asciiTheme="minorHAnsi" w:hAnsiTheme="minorHAnsi" w:cs="Arial"/>
        </w:rPr>
        <w:t>, E</w:t>
      </w:r>
      <w:r w:rsidR="00B672F0">
        <w:rPr>
          <w:rFonts w:asciiTheme="minorHAnsi" w:hAnsiTheme="minorHAnsi" w:cs="Arial"/>
        </w:rPr>
        <w:t>IA</w:t>
      </w:r>
      <w:r w:rsidR="00FD21B8" w:rsidRPr="0072035F">
        <w:rPr>
          <w:rFonts w:asciiTheme="minorHAnsi" w:hAnsiTheme="minorHAnsi" w:cs="Arial"/>
        </w:rPr>
        <w:t xml:space="preserve"> implemented a burden reduction plan by creating a short form for the smallest 1143 utilities representing approximately </w:t>
      </w:r>
      <w:r w:rsidR="007016DF">
        <w:rPr>
          <w:rFonts w:asciiTheme="minorHAnsi" w:hAnsiTheme="minorHAnsi" w:cs="Arial"/>
        </w:rPr>
        <w:t xml:space="preserve">between 1% - </w:t>
      </w:r>
      <w:r w:rsidR="00FD21B8" w:rsidRPr="0072035F">
        <w:rPr>
          <w:rFonts w:asciiTheme="minorHAnsi" w:hAnsiTheme="minorHAnsi" w:cs="Arial"/>
        </w:rPr>
        <w:t>2% of the annual national retail sales. These smaller size utilities currently report on Form EIA</w:t>
      </w:r>
      <w:r w:rsidR="00FD21B8" w:rsidRPr="0072035F">
        <w:rPr>
          <w:rFonts w:asciiTheme="minorHAnsi" w:hAnsiTheme="minorHAnsi" w:cs="Arial"/>
        </w:rPr>
        <w:noBreakHyphen/>
        <w:t xml:space="preserve">861S.  </w:t>
      </w:r>
      <w:r w:rsidR="00FD21B8">
        <w:rPr>
          <w:rFonts w:cs="Arial"/>
        </w:rPr>
        <w:t>Re</w:t>
      </w:r>
      <w:r w:rsidR="00FD21B8" w:rsidRPr="0072035F">
        <w:rPr>
          <w:rFonts w:asciiTheme="minorHAnsi" w:hAnsiTheme="minorHAnsi" w:cs="Arial"/>
        </w:rPr>
        <w:t xml:space="preserve">spondents </w:t>
      </w:r>
      <w:r w:rsidR="00FD21B8">
        <w:rPr>
          <w:rFonts w:cs="Arial"/>
        </w:rPr>
        <w:t xml:space="preserve">to Form EIA-861S </w:t>
      </w:r>
      <w:r w:rsidR="00FD21B8" w:rsidRPr="0072035F">
        <w:rPr>
          <w:rFonts w:asciiTheme="minorHAnsi" w:hAnsiTheme="minorHAnsi" w:cs="Arial"/>
        </w:rPr>
        <w:t xml:space="preserve">report only a selected subset of data elements that are collected each year on Form EIA-861.  All </w:t>
      </w:r>
      <w:r w:rsidR="00FD21B8">
        <w:rPr>
          <w:rFonts w:cs="Arial"/>
        </w:rPr>
        <w:t>Form EIA-861S</w:t>
      </w:r>
      <w:r w:rsidR="00FD21B8" w:rsidRPr="0072035F">
        <w:rPr>
          <w:rFonts w:asciiTheme="minorHAnsi" w:hAnsiTheme="minorHAnsi" w:cs="Arial"/>
        </w:rPr>
        <w:t xml:space="preserve"> respondents are currently required to complete the long form in lieu of the short form once every five years</w:t>
      </w:r>
      <w:r w:rsidR="00012E4F">
        <w:rPr>
          <w:rFonts w:asciiTheme="minorHAnsi" w:hAnsiTheme="minorHAnsi" w:cs="Arial"/>
        </w:rPr>
        <w:t xml:space="preserve"> to account for changes in </w:t>
      </w:r>
      <w:r w:rsidR="00012E4F" w:rsidRPr="00B7048A">
        <w:rPr>
          <w:rFonts w:asciiTheme="minorHAnsi" w:hAnsiTheme="minorHAnsi" w:cs="Arial"/>
        </w:rPr>
        <w:t xml:space="preserve">total revenues and sales </w:t>
      </w:r>
      <w:r w:rsidR="009479BB">
        <w:rPr>
          <w:rFonts w:asciiTheme="minorHAnsi" w:hAnsiTheme="minorHAnsi" w:cs="Arial"/>
        </w:rPr>
        <w:t>ov</w:t>
      </w:r>
      <w:r w:rsidR="00012E4F" w:rsidRPr="00B7048A">
        <w:rPr>
          <w:rFonts w:asciiTheme="minorHAnsi" w:hAnsiTheme="minorHAnsi" w:cs="Arial"/>
        </w:rPr>
        <w:t>er time</w:t>
      </w:r>
      <w:r w:rsidR="00FD21B8" w:rsidRPr="00012E4F">
        <w:rPr>
          <w:rFonts w:asciiTheme="minorHAnsi" w:hAnsiTheme="minorHAnsi" w:cs="Arial"/>
        </w:rPr>
        <w:t>.</w:t>
      </w:r>
      <w:r w:rsidR="00B7048A">
        <w:rPr>
          <w:rFonts w:asciiTheme="minorHAnsi" w:hAnsiTheme="minorHAnsi" w:cs="Arial"/>
        </w:rPr>
        <w:t xml:space="preserve">  </w:t>
      </w:r>
      <w:r w:rsidR="00945EB0">
        <w:t xml:space="preserve">Consequently, these smaller entities are required to provide </w:t>
      </w:r>
      <w:r w:rsidR="00FD21B8">
        <w:t xml:space="preserve">only </w:t>
      </w:r>
      <w:r w:rsidR="00FD21B8" w:rsidRPr="00A34216">
        <w:t>a limited amount of sales, revenue, and customer count data</w:t>
      </w:r>
      <w:r w:rsidR="00FD21B8">
        <w:t xml:space="preserve"> </w:t>
      </w:r>
      <w:r w:rsidR="00945EB0">
        <w:t xml:space="preserve">on Form EIA-861S </w:t>
      </w:r>
      <w:r w:rsidR="00945EB0" w:rsidRPr="00A34216">
        <w:t xml:space="preserve">and, for certain respondents, </w:t>
      </w:r>
      <w:r w:rsidR="00FD21B8">
        <w:t xml:space="preserve">they also report </w:t>
      </w:r>
      <w:r w:rsidR="00945EB0" w:rsidRPr="00A34216">
        <w:t>data on time-based rate customers and advanced meter reading.</w:t>
      </w:r>
      <w:r w:rsidR="00945EB0">
        <w:t xml:space="preserve">  </w:t>
      </w:r>
      <w:r w:rsidR="00945EB0" w:rsidRPr="00A34216">
        <w:t>Once every five years and in lieu of the short form, all entities that normally complete Form</w:t>
      </w:r>
      <w:r w:rsidR="00C20441">
        <w:t xml:space="preserve"> </w:t>
      </w:r>
      <w:r w:rsidR="00945EB0" w:rsidRPr="00A34216">
        <w:t xml:space="preserve">EIA-861S </w:t>
      </w:r>
      <w:r w:rsidR="008D0151">
        <w:t>are currently</w:t>
      </w:r>
      <w:r w:rsidR="00945EB0" w:rsidRPr="00A34216">
        <w:t xml:space="preserve"> required to complete Form EIA-861. </w:t>
      </w:r>
    </w:p>
    <w:p w14:paraId="36A13D36" w14:textId="77777777" w:rsidR="00B7048A" w:rsidRDefault="00B7048A" w:rsidP="00B7048A">
      <w:pPr>
        <w:pStyle w:val="NoSpacing"/>
        <w:rPr>
          <w:rFonts w:cs="Arial"/>
        </w:rPr>
      </w:pPr>
    </w:p>
    <w:p w14:paraId="6BC26D0F" w14:textId="04EA96A0" w:rsidR="00012E4F" w:rsidRPr="00B7048A" w:rsidRDefault="00012E4F" w:rsidP="00B7048A">
      <w:pPr>
        <w:pStyle w:val="NoSpacing"/>
        <w:rPr>
          <w:rFonts w:cs="Arial"/>
        </w:rPr>
      </w:pPr>
      <w:r w:rsidRPr="00B7048A">
        <w:rPr>
          <w:rFonts w:cs="Arial"/>
        </w:rPr>
        <w:t xml:space="preserve">EIA disseminates monthly totals of both reported and estimated electricity sales and revenues data in its monthly publication, the </w:t>
      </w:r>
      <w:r w:rsidRPr="00B7048A">
        <w:rPr>
          <w:rFonts w:cs="Arial"/>
          <w:i/>
        </w:rPr>
        <w:t>Electric Power Monthly</w:t>
      </w:r>
      <w:r w:rsidRPr="00B7048A">
        <w:rPr>
          <w:rFonts w:cs="Arial"/>
        </w:rPr>
        <w:t xml:space="preserve"> (EPM).  The survey form EIA-826 </w:t>
      </w:r>
      <w:r>
        <w:rPr>
          <w:rFonts w:cs="Arial"/>
        </w:rPr>
        <w:t xml:space="preserve">(note: </w:t>
      </w:r>
      <w:r w:rsidRPr="00B7048A">
        <w:rPr>
          <w:rFonts w:cs="Arial"/>
          <w:i/>
        </w:rPr>
        <w:t>Form EIA-861M replaces Form EIA-826 in the proposals of this ICR</w:t>
      </w:r>
      <w:r>
        <w:rPr>
          <w:rFonts w:cs="Arial"/>
        </w:rPr>
        <w:t xml:space="preserve">) </w:t>
      </w:r>
      <w:r w:rsidRPr="00B7048A">
        <w:rPr>
          <w:rFonts w:cs="Arial"/>
        </w:rPr>
        <w:t xml:space="preserve">is the data collection instrument for monthly </w:t>
      </w:r>
      <w:r w:rsidR="007016DF">
        <w:rPr>
          <w:rFonts w:cs="Arial"/>
        </w:rPr>
        <w:t>data on electricity sales and related end</w:t>
      </w:r>
      <w:r w:rsidR="00B7048A">
        <w:rPr>
          <w:rFonts w:cs="Arial"/>
        </w:rPr>
        <w:t>-</w:t>
      </w:r>
      <w:r w:rsidR="007016DF">
        <w:rPr>
          <w:rFonts w:cs="Arial"/>
        </w:rPr>
        <w:t>u</w:t>
      </w:r>
      <w:r w:rsidR="00B672F0">
        <w:rPr>
          <w:rFonts w:cs="Arial"/>
        </w:rPr>
        <w:t>s</w:t>
      </w:r>
      <w:r w:rsidR="007016DF">
        <w:rPr>
          <w:rFonts w:cs="Arial"/>
        </w:rPr>
        <w:t xml:space="preserve">e </w:t>
      </w:r>
      <w:r w:rsidR="00B7048A">
        <w:rPr>
          <w:rFonts w:cs="Arial"/>
        </w:rPr>
        <w:t>categories</w:t>
      </w:r>
      <w:r w:rsidRPr="00046F06">
        <w:rPr>
          <w:rFonts w:cs="Arial"/>
        </w:rPr>
        <w:t xml:space="preserve">.  Since monthly survey reports are not required by all utilities, a model-based imputation process is used to estimate for non-sampled entities and for nonresponses. </w:t>
      </w:r>
      <w:r w:rsidRPr="0072035F">
        <w:rPr>
          <w:rFonts w:cs="Arial"/>
        </w:rPr>
        <w:t xml:space="preserve">Only larger utilities report </w:t>
      </w:r>
      <w:r w:rsidR="009479BB">
        <w:rPr>
          <w:rFonts w:cs="Arial"/>
        </w:rPr>
        <w:t xml:space="preserve">monthly </w:t>
      </w:r>
      <w:r w:rsidRPr="0072035F">
        <w:rPr>
          <w:rFonts w:cs="Arial"/>
        </w:rPr>
        <w:t>sales and revenues data on Form EIA-826, as well as annually on Form EIA-861.  Data reported by these utilities form the bases for E</w:t>
      </w:r>
      <w:r>
        <w:rPr>
          <w:rFonts w:cs="Arial"/>
        </w:rPr>
        <w:t>IA</w:t>
      </w:r>
      <w:r w:rsidRPr="0072035F">
        <w:rPr>
          <w:rFonts w:cs="Arial"/>
        </w:rPr>
        <w:t>’s model-based imputations.</w:t>
      </w:r>
      <w:r>
        <w:rPr>
          <w:rFonts w:cs="Arial"/>
        </w:rPr>
        <w:t xml:space="preserve"> </w:t>
      </w:r>
      <w:r w:rsidRPr="00B7048A">
        <w:rPr>
          <w:rFonts w:cs="Arial"/>
        </w:rPr>
        <w:t>This enables E</w:t>
      </w:r>
      <w:r>
        <w:rPr>
          <w:rFonts w:cs="Arial"/>
        </w:rPr>
        <w:t xml:space="preserve">IA </w:t>
      </w:r>
      <w:r w:rsidR="009479BB">
        <w:rPr>
          <w:rFonts w:cs="Arial"/>
        </w:rPr>
        <w:t>t</w:t>
      </w:r>
      <w:r w:rsidRPr="00046F06">
        <w:rPr>
          <w:rFonts w:cs="Arial"/>
        </w:rPr>
        <w:t>o publish</w:t>
      </w:r>
      <w:r w:rsidR="009479BB">
        <w:rPr>
          <w:rFonts w:cs="Arial"/>
        </w:rPr>
        <w:t xml:space="preserve"> monthly estimates of</w:t>
      </w:r>
      <w:r w:rsidRPr="00B7048A">
        <w:rPr>
          <w:rFonts w:cs="Arial"/>
        </w:rPr>
        <w:t xml:space="preserve"> </w:t>
      </w:r>
      <w:r w:rsidRPr="00B7048A">
        <w:rPr>
          <w:rFonts w:cs="Arial"/>
          <w:i/>
        </w:rPr>
        <w:t>total</w:t>
      </w:r>
      <w:r w:rsidRPr="00B7048A">
        <w:rPr>
          <w:rFonts w:cs="Arial"/>
        </w:rPr>
        <w:t xml:space="preserve"> electricity sales and revenues by state, region and nation.</w:t>
      </w:r>
    </w:p>
    <w:p w14:paraId="64563960" w14:textId="4AB8F078" w:rsidR="00945EB0" w:rsidRPr="00945EB0" w:rsidRDefault="008D0151" w:rsidP="00945EB0">
      <w:r>
        <w:t xml:space="preserve">Smaller entities need to </w:t>
      </w:r>
      <w:r w:rsidR="00D51F44">
        <w:t>complete all parts of</w:t>
      </w:r>
      <w:r>
        <w:t xml:space="preserve"> the annual Form EIA-861 on a periodic basis</w:t>
      </w:r>
      <w:r w:rsidR="00945EB0" w:rsidRPr="00A34216">
        <w:t xml:space="preserve"> to maintain the accuracy of the statistical imputation procedure used to </w:t>
      </w:r>
      <w:r w:rsidR="00945EB0">
        <w:t xml:space="preserve">generate key </w:t>
      </w:r>
      <w:r w:rsidR="00945EB0" w:rsidRPr="00A34216">
        <w:t>estimate</w:t>
      </w:r>
      <w:r w:rsidR="00945EB0">
        <w:t>s</w:t>
      </w:r>
      <w:r w:rsidR="00945EB0" w:rsidRPr="00A34216">
        <w:t xml:space="preserve"> </w:t>
      </w:r>
      <w:r w:rsidR="00945EB0">
        <w:t xml:space="preserve">from </w:t>
      </w:r>
      <w:r w:rsidR="00945EB0" w:rsidRPr="00A34216">
        <w:t>data not</w:t>
      </w:r>
      <w:r w:rsidR="00945EB0">
        <w:t xml:space="preserve"> collected on </w:t>
      </w:r>
      <w:r w:rsidR="00945EB0" w:rsidRPr="00A34216">
        <w:t>Form EIA-861S.</w:t>
      </w:r>
      <w:r w:rsidR="00E25904">
        <w:t xml:space="preserve">  </w:t>
      </w:r>
      <w:r>
        <w:t>The results from r</w:t>
      </w:r>
      <w:r w:rsidR="00945EB0" w:rsidRPr="00945EB0">
        <w:t>esearch by EIA</w:t>
      </w:r>
      <w:r w:rsidR="00144B15">
        <w:t>,</w:t>
      </w:r>
      <w:r w:rsidR="00945EB0" w:rsidRPr="00945EB0">
        <w:t xml:space="preserve"> </w:t>
      </w:r>
      <w:r>
        <w:t>using historical data</w:t>
      </w:r>
      <w:r w:rsidR="00144B15">
        <w:t>,</w:t>
      </w:r>
      <w:r>
        <w:t xml:space="preserve"> </w:t>
      </w:r>
      <w:r w:rsidR="00945EB0" w:rsidRPr="00945EB0">
        <w:t>s</w:t>
      </w:r>
      <w:r>
        <w:t>howed</w:t>
      </w:r>
      <w:r w:rsidR="00945EB0" w:rsidRPr="00945EB0">
        <w:t xml:space="preserve"> that requiring Form EIA-861S respondents to complete Form EIA-861 less frequently, once every eight years, will result in</w:t>
      </w:r>
      <w:r w:rsidR="00702295">
        <w:t xml:space="preserve"> a</w:t>
      </w:r>
      <w:r w:rsidR="00945EB0" w:rsidRPr="00945EB0">
        <w:t xml:space="preserve"> significant reduction in respondent burden without compromising the </w:t>
      </w:r>
      <w:r>
        <w:t xml:space="preserve">accuracy and </w:t>
      </w:r>
      <w:r w:rsidR="00945EB0" w:rsidRPr="00945EB0">
        <w:t xml:space="preserve">quality of </w:t>
      </w:r>
      <w:r>
        <w:t>the model based</w:t>
      </w:r>
      <w:r w:rsidR="00D51F44">
        <w:t xml:space="preserve"> estimates.</w:t>
      </w:r>
      <w:r w:rsidR="00945EB0" w:rsidRPr="00945EB0">
        <w:t xml:space="preserve"> </w:t>
      </w:r>
      <w:r>
        <w:t xml:space="preserve">Based on this research, EIA </w:t>
      </w:r>
      <w:r w:rsidR="00B7048A">
        <w:t>will</w:t>
      </w:r>
      <w:r w:rsidR="00E25904">
        <w:t xml:space="preserve"> extend the time frame for EIA-861S respondents to complete </w:t>
      </w:r>
      <w:r>
        <w:t>Form</w:t>
      </w:r>
      <w:r w:rsidR="00E25904">
        <w:t xml:space="preserve"> EIA-861 in lieu of </w:t>
      </w:r>
      <w:r w:rsidR="00D51F44">
        <w:t>Form</w:t>
      </w:r>
      <w:r w:rsidR="00E25904">
        <w:t xml:space="preserve"> EIA-861S from once every 5 years to once every 8 years.  </w:t>
      </w:r>
    </w:p>
    <w:p w14:paraId="5AE40DBC" w14:textId="77777777" w:rsidR="00417F86" w:rsidRDefault="00417F86" w:rsidP="00417F86">
      <w:r w:rsidRPr="003E41D3">
        <w:t xml:space="preserve">The Form EIA-861S </w:t>
      </w:r>
      <w:r>
        <w:t xml:space="preserve">is </w:t>
      </w:r>
      <w:r w:rsidRPr="003E41D3">
        <w:t>completed by all electric utilities with annual retail sales in the prior year of 100,000 megawatt hours (MWh) or less, except</w:t>
      </w:r>
      <w:r w:rsidR="00A57E9C">
        <w:t xml:space="preserve"> when</w:t>
      </w:r>
      <w:r>
        <w:t xml:space="preserve"> of any one of the following</w:t>
      </w:r>
      <w:r w:rsidR="00A57E9C">
        <w:t xml:space="preserve"> conditions hold</w:t>
      </w:r>
      <w:r w:rsidRPr="003E41D3">
        <w:t>:</w:t>
      </w:r>
    </w:p>
    <w:p w14:paraId="79EFDAC8" w14:textId="77777777" w:rsidR="00417F86" w:rsidRDefault="00417F86" w:rsidP="00417F86">
      <w:pPr>
        <w:pStyle w:val="ListParagraph"/>
        <w:numPr>
          <w:ilvl w:val="0"/>
          <w:numId w:val="4"/>
        </w:numPr>
        <w:spacing w:before="60"/>
        <w:contextualSpacing w:val="0"/>
      </w:pPr>
      <w:r>
        <w:t>T</w:t>
      </w:r>
      <w:r w:rsidRPr="003E41D3">
        <w:t>he respondent has re</w:t>
      </w:r>
      <w:r>
        <w:t>tail sales of unbundled service</w:t>
      </w:r>
    </w:p>
    <w:p w14:paraId="01A923AB" w14:textId="77777777" w:rsidR="00417F86" w:rsidRDefault="00417F86" w:rsidP="00417F86">
      <w:pPr>
        <w:pStyle w:val="ListParagraph"/>
        <w:numPr>
          <w:ilvl w:val="0"/>
          <w:numId w:val="4"/>
        </w:numPr>
        <w:spacing w:before="60"/>
        <w:contextualSpacing w:val="0"/>
      </w:pPr>
      <w:r>
        <w:t>T</w:t>
      </w:r>
      <w:r w:rsidRPr="003E41D3">
        <w:t xml:space="preserve">he full set of data is required from the respondent to ensure that statistical estimates for a </w:t>
      </w:r>
      <w:r>
        <w:t>s</w:t>
      </w:r>
      <w:r w:rsidRPr="003E41D3">
        <w:t>tate or business sector are of acceptable quality</w:t>
      </w:r>
    </w:p>
    <w:p w14:paraId="50CA1815" w14:textId="77777777" w:rsidR="00417F86" w:rsidRDefault="00417F86" w:rsidP="00417F86">
      <w:pPr>
        <w:pStyle w:val="ListParagraph"/>
        <w:numPr>
          <w:ilvl w:val="0"/>
          <w:numId w:val="4"/>
        </w:numPr>
        <w:spacing w:before="60"/>
        <w:contextualSpacing w:val="0"/>
      </w:pPr>
      <w:r>
        <w:t>T</w:t>
      </w:r>
      <w:r w:rsidRPr="003E41D3">
        <w:t>he respondent instead reports in aggregate under the Tennessee Valley Authority (TVA) or WPPI Energy</w:t>
      </w:r>
      <w:r>
        <w:rPr>
          <w:rStyle w:val="FootnoteReference"/>
        </w:rPr>
        <w:footnoteReference w:id="2"/>
      </w:r>
    </w:p>
    <w:p w14:paraId="740AC9F9" w14:textId="77777777" w:rsidR="00417F86" w:rsidRDefault="00417F86" w:rsidP="00417F86">
      <w:pPr>
        <w:pStyle w:val="ListParagraph"/>
        <w:numPr>
          <w:ilvl w:val="0"/>
          <w:numId w:val="4"/>
        </w:numPr>
        <w:spacing w:before="60"/>
        <w:contextualSpacing w:val="0"/>
      </w:pPr>
      <w:r>
        <w:t>T</w:t>
      </w:r>
      <w:r w:rsidRPr="003E41D3">
        <w:t xml:space="preserve">he company is part of the sample for the </w:t>
      </w:r>
      <w:r w:rsidR="00F6477A">
        <w:t>monthly f</w:t>
      </w:r>
      <w:r w:rsidRPr="003E41D3">
        <w:t>orm</w:t>
      </w:r>
      <w:r w:rsidR="00F6477A">
        <w:t>.</w:t>
      </w:r>
    </w:p>
    <w:p w14:paraId="5CF353C9" w14:textId="77777777" w:rsidR="006613B7" w:rsidRDefault="003C380A" w:rsidP="001554DF">
      <w:r>
        <w:t>Utilities for which any of these exceptions apply must complete the Form EIA–861 survey. Note that in any given reporting period respondents can only complete either the Form EIA-861 or the Form EIA-861S, but not both.</w:t>
      </w:r>
    </w:p>
    <w:p w14:paraId="7DE22972" w14:textId="77777777" w:rsidR="00484765" w:rsidRDefault="00484765" w:rsidP="0040761E">
      <w:r w:rsidRPr="00484765">
        <w:t xml:space="preserve">The monthly </w:t>
      </w:r>
      <w:r w:rsidR="00AE1D65">
        <w:t xml:space="preserve">Form </w:t>
      </w:r>
      <w:r w:rsidR="00F91EAE">
        <w:t>EIA-861M</w:t>
      </w:r>
      <w:r w:rsidR="006613B7">
        <w:t xml:space="preserve"> survey </w:t>
      </w:r>
      <w:r w:rsidR="00F91EAE">
        <w:t xml:space="preserve">will </w:t>
      </w:r>
      <w:r w:rsidR="006613B7">
        <w:t xml:space="preserve">collect data from a sample of the universe of entities that report on the </w:t>
      </w:r>
      <w:r w:rsidR="009A5D76">
        <w:t xml:space="preserve">Form </w:t>
      </w:r>
      <w:r w:rsidR="006613B7">
        <w:t>EIA-861</w:t>
      </w:r>
      <w:r w:rsidR="009A5D76">
        <w:t xml:space="preserve"> and Form EIA-</w:t>
      </w:r>
      <w:r w:rsidR="006613B7">
        <w:t xml:space="preserve">861S surveys.  </w:t>
      </w:r>
      <w:r w:rsidR="00315724" w:rsidRPr="00484765">
        <w:t xml:space="preserve">Cutoff sampling </w:t>
      </w:r>
      <w:r w:rsidR="00F91EAE">
        <w:t>will be</w:t>
      </w:r>
      <w:r w:rsidR="00315724" w:rsidRPr="00484765">
        <w:t xml:space="preserve"> used to select the </w:t>
      </w:r>
      <w:r w:rsidR="00315724">
        <w:t>survey frame</w:t>
      </w:r>
      <w:r w:rsidR="00315724" w:rsidRPr="00484765">
        <w:t xml:space="preserve"> for the Form EIA-86</w:t>
      </w:r>
      <w:r w:rsidR="00F91EAE">
        <w:t>1M</w:t>
      </w:r>
      <w:r w:rsidR="0081155F">
        <w:t xml:space="preserve">.  Based on the number of entities that are currently reporting on the Form EIA-826, the </w:t>
      </w:r>
      <w:r w:rsidR="00AE1D65">
        <w:t xml:space="preserve">Form </w:t>
      </w:r>
      <w:r w:rsidR="0081155F">
        <w:t>EIA-861M frame will include</w:t>
      </w:r>
      <w:r w:rsidR="00315724">
        <w:t xml:space="preserve"> approximately </w:t>
      </w:r>
      <w:r w:rsidR="00F91EAE">
        <w:t>620</w:t>
      </w:r>
      <w:r w:rsidR="002B71D0">
        <w:t xml:space="preserve"> </w:t>
      </w:r>
      <w:r w:rsidR="00315724">
        <w:t>entities</w:t>
      </w:r>
      <w:r w:rsidR="00315724" w:rsidRPr="00484765">
        <w:t>.</w:t>
      </w:r>
      <w:r w:rsidR="00315724">
        <w:t xml:space="preserve">  The survey respondents </w:t>
      </w:r>
      <w:r w:rsidR="00F91EAE">
        <w:t>will be</w:t>
      </w:r>
      <w:r w:rsidR="00315724">
        <w:t xml:space="preserve"> generally identified th</w:t>
      </w:r>
      <w:r w:rsidR="00F91EAE">
        <w:t>r</w:t>
      </w:r>
      <w:r w:rsidR="00315724">
        <w:t xml:space="preserve">ough information submitted on the </w:t>
      </w:r>
      <w:r w:rsidR="0081155F">
        <w:t xml:space="preserve">annual </w:t>
      </w:r>
      <w:r w:rsidR="009A5D76">
        <w:t xml:space="preserve">Form </w:t>
      </w:r>
      <w:r w:rsidR="00315724">
        <w:t xml:space="preserve">EIA-861.  New </w:t>
      </w:r>
      <w:r w:rsidR="002B1C47">
        <w:t>respondents to the Form EIA-8</w:t>
      </w:r>
      <w:r w:rsidR="00F91EAE">
        <w:t>61M</w:t>
      </w:r>
      <w:r w:rsidR="002B1C47">
        <w:t xml:space="preserve"> survey frame update the annual Form EIA-861 census survey</w:t>
      </w:r>
      <w:r w:rsidR="00F52CCF">
        <w:t>.  A</w:t>
      </w:r>
      <w:r w:rsidR="002B1C47">
        <w:t>ll respondents to the monthly Form EIA-8</w:t>
      </w:r>
      <w:r w:rsidR="00F91EAE">
        <w:t>61M</w:t>
      </w:r>
      <w:r w:rsidR="002B1C47">
        <w:t xml:space="preserve"> also report on the annual Form EIA-861</w:t>
      </w:r>
      <w:r w:rsidR="00315724">
        <w:t>/861S)</w:t>
      </w:r>
      <w:r w:rsidR="002B1C47">
        <w:t>.</w:t>
      </w:r>
    </w:p>
    <w:p w14:paraId="685CFC0A" w14:textId="77777777" w:rsidR="00D66EB4" w:rsidRPr="00D66EB4" w:rsidRDefault="00D66EB4" w:rsidP="006C3B7D">
      <w:pPr>
        <w:rPr>
          <w:u w:val="single"/>
        </w:rPr>
      </w:pPr>
      <w:r w:rsidRPr="00D66EB4">
        <w:rPr>
          <w:u w:val="single"/>
        </w:rPr>
        <w:t>Form EIA-923, “Power Plant Operations Report”</w:t>
      </w:r>
    </w:p>
    <w:p w14:paraId="523DEEC3" w14:textId="77777777" w:rsidR="00034093" w:rsidRDefault="00D66EB4" w:rsidP="003D7131">
      <w:r>
        <w:t>The target population for this mandatory annual</w:t>
      </w:r>
      <w:r w:rsidR="00CB28C6">
        <w:t xml:space="preserve"> and </w:t>
      </w:r>
      <w:r w:rsidR="003B7C52">
        <w:t>monthly</w:t>
      </w:r>
      <w:r>
        <w:t xml:space="preserve"> survey comprises all electric plants in the United States that are connected to the electric power grid </w:t>
      </w:r>
      <w:r w:rsidR="00F6477A">
        <w:t>and have</w:t>
      </w:r>
      <w:r>
        <w:t xml:space="preserve"> a generating capacity of 1 </w:t>
      </w:r>
      <w:r w:rsidR="000A35CD">
        <w:t xml:space="preserve">MW </w:t>
      </w:r>
      <w:r>
        <w:t xml:space="preserve">or greater. </w:t>
      </w:r>
      <w:r w:rsidR="00417F86">
        <w:t xml:space="preserve"> The survey frame is established by the </w:t>
      </w:r>
      <w:r w:rsidR="00034093">
        <w:t xml:space="preserve">Form </w:t>
      </w:r>
      <w:r w:rsidR="00417F86">
        <w:t xml:space="preserve">EIA-860 survey and is identical to the set of operational </w:t>
      </w:r>
      <w:r w:rsidR="003D7131">
        <w:t xml:space="preserve">and standby </w:t>
      </w:r>
      <w:r w:rsidR="00417F86">
        <w:t>power plants in the frame of that survey.</w:t>
      </w:r>
    </w:p>
    <w:p w14:paraId="2CFD9498" w14:textId="77777777" w:rsidR="003D7131" w:rsidRDefault="00417F86" w:rsidP="003D7131">
      <w:r>
        <w:t xml:space="preserve">There are </w:t>
      </w:r>
      <w:r w:rsidR="007529DD">
        <w:t>over</w:t>
      </w:r>
      <w:r w:rsidR="00357EAF">
        <w:t xml:space="preserve"> </w:t>
      </w:r>
      <w:r w:rsidR="0017012D">
        <w:t>7,3</w:t>
      </w:r>
      <w:r w:rsidR="00357EAF">
        <w:t>00</w:t>
      </w:r>
      <w:r w:rsidR="00394044">
        <w:t xml:space="preserve"> power plants </w:t>
      </w:r>
      <w:r>
        <w:t xml:space="preserve">for which data are collected through Form EIA-923.  </w:t>
      </w:r>
      <w:r w:rsidR="003D7131">
        <w:t xml:space="preserve">The data collected includes </w:t>
      </w:r>
      <w:r w:rsidR="003D7131" w:rsidRPr="00D66EB4">
        <w:t>electric power generation, fuel consumption, fossil fuel stocks, delivered fossil fuel cost, combustion byproducts, operational cooling water data, and operational data for NO</w:t>
      </w:r>
      <w:r w:rsidR="003D7131" w:rsidRPr="006C3B7D">
        <w:rPr>
          <w:vertAlign w:val="subscript"/>
        </w:rPr>
        <w:t>x</w:t>
      </w:r>
      <w:r w:rsidR="003D7131" w:rsidRPr="00D66EB4">
        <w:t>, SO</w:t>
      </w:r>
      <w:r w:rsidR="003D7131" w:rsidRPr="006C3B7D">
        <w:rPr>
          <w:vertAlign w:val="subscript"/>
        </w:rPr>
        <w:t>2</w:t>
      </w:r>
      <w:r w:rsidR="003D7131" w:rsidRPr="00D66EB4">
        <w:t>, particulate matter</w:t>
      </w:r>
      <w:r w:rsidR="0017012D">
        <w:t>,</w:t>
      </w:r>
      <w:r w:rsidR="003D7131" w:rsidRPr="00D66EB4">
        <w:t xml:space="preserve"> mercury</w:t>
      </w:r>
      <w:r w:rsidR="0017012D">
        <w:t>,</w:t>
      </w:r>
      <w:r w:rsidR="003D7131" w:rsidRPr="00D66EB4">
        <w:t xml:space="preserve"> and acid gas control equipment.</w:t>
      </w:r>
      <w:r w:rsidR="003D7131" w:rsidRPr="003D7131">
        <w:t xml:space="preserve"> </w:t>
      </w:r>
      <w:r w:rsidR="00034093">
        <w:t xml:space="preserve"> </w:t>
      </w:r>
      <w:r w:rsidR="003D7131">
        <w:t>Not all respondents answer all questions on the survey instrument; for example, questions on fuel consumption are inapplicable to hydroelectric, wind, and certain other types of power plants.</w:t>
      </w:r>
    </w:p>
    <w:p w14:paraId="173A5853" w14:textId="77777777" w:rsidR="003D7131" w:rsidRDefault="003D7131" w:rsidP="00D66EB4">
      <w:r>
        <w:t>A survey form is completed for each power plant in the survey.</w:t>
      </w:r>
      <w:r w:rsidR="00034093">
        <w:t xml:space="preserve"> </w:t>
      </w:r>
      <w:r>
        <w:t xml:space="preserve"> If a single entity operates several power plants</w:t>
      </w:r>
      <w:r w:rsidR="00A27576">
        <w:t>,</w:t>
      </w:r>
      <w:r>
        <w:t xml:space="preserve"> it will complete a separate form for each plant and each form is treated as a unique response for estimation and burden calculation purposes.</w:t>
      </w:r>
    </w:p>
    <w:p w14:paraId="345B181C" w14:textId="643C1BB4" w:rsidR="00CB28C6" w:rsidRDefault="00930FE2" w:rsidP="00D66EB4">
      <w:r>
        <w:t>EIA is proposing to reduce the current monthly sample using a more efficient model-based cutoff design.  It will reduce the number of monthly respondents (from approximately 2,108 to 1,3</w:t>
      </w:r>
      <w:r w:rsidR="00D4460F">
        <w:t>3</w:t>
      </w:r>
      <w:r>
        <w:t xml:space="preserve">3 plants).  These </w:t>
      </w:r>
      <w:r w:rsidR="00CB28C6">
        <w:t xml:space="preserve">plants </w:t>
      </w:r>
      <w:r>
        <w:t xml:space="preserve">will </w:t>
      </w:r>
      <w:r w:rsidR="00CB28C6">
        <w:t xml:space="preserve">report monthly </w:t>
      </w:r>
      <w:r w:rsidR="00417F86">
        <w:t>data on electricity generation, fuel consumption, and, in some cases</w:t>
      </w:r>
      <w:r w:rsidR="00394044">
        <w:t>, the</w:t>
      </w:r>
      <w:r w:rsidR="00417F86">
        <w:t xml:space="preserve"> cost and quality of certain fossil fuel deliveries</w:t>
      </w:r>
      <w:r w:rsidR="00CB28C6" w:rsidRPr="00CB28C6">
        <w:t>.</w:t>
      </w:r>
      <w:r w:rsidR="00E9034B">
        <w:rPr>
          <w:rStyle w:val="FootnoteReference"/>
        </w:rPr>
        <w:footnoteReference w:id="3"/>
      </w:r>
      <w:r w:rsidR="00CB28C6" w:rsidRPr="00CB28C6">
        <w:t xml:space="preserve">  At the end of the year, </w:t>
      </w:r>
      <w:r w:rsidR="007529DD">
        <w:t xml:space="preserve">most </w:t>
      </w:r>
      <w:r w:rsidR="00603F95">
        <w:t xml:space="preserve">of </w:t>
      </w:r>
      <w:r w:rsidR="00CB28C6" w:rsidRPr="00CB28C6">
        <w:t xml:space="preserve">the monthly respondents </w:t>
      </w:r>
      <w:r w:rsidR="00C23A83">
        <w:t>(</w:t>
      </w:r>
      <w:r>
        <w:t>approximately 1,0</w:t>
      </w:r>
      <w:r w:rsidR="00D4460F">
        <w:t>64</w:t>
      </w:r>
      <w:r w:rsidR="00C23A83">
        <w:t xml:space="preserve"> </w:t>
      </w:r>
      <w:r w:rsidR="00681F71">
        <w:t>of the 1,3</w:t>
      </w:r>
      <w:r w:rsidR="00D4460F">
        <w:t>3</w:t>
      </w:r>
      <w:r w:rsidR="00681F71">
        <w:t xml:space="preserve">3 monthly </w:t>
      </w:r>
      <w:r w:rsidR="00C23A83">
        <w:t xml:space="preserve">plants) </w:t>
      </w:r>
      <w:r w:rsidR="00A505EA">
        <w:t xml:space="preserve">will </w:t>
      </w:r>
      <w:r w:rsidR="00E9034B">
        <w:t xml:space="preserve">also </w:t>
      </w:r>
      <w:r w:rsidR="00603F95">
        <w:t>file a supplemental form that provides</w:t>
      </w:r>
      <w:r w:rsidR="00E9034B">
        <w:t xml:space="preserve"> annual information on nonutility power sales and the operation of environmental control equipment</w:t>
      </w:r>
      <w:r w:rsidR="00CB28C6" w:rsidRPr="00CB28C6">
        <w:t>.</w:t>
      </w:r>
      <w:r w:rsidR="00E9034B">
        <w:rPr>
          <w:rStyle w:val="FootnoteReference"/>
        </w:rPr>
        <w:footnoteReference w:id="4"/>
      </w:r>
    </w:p>
    <w:p w14:paraId="25B8A73E" w14:textId="77777777" w:rsidR="00CB28C6" w:rsidRDefault="00CB28C6" w:rsidP="00D66EB4">
      <w:r w:rsidRPr="00CB28C6">
        <w:t xml:space="preserve">The </w:t>
      </w:r>
      <w:r w:rsidR="00A505EA">
        <w:t>approximately 6,000</w:t>
      </w:r>
      <w:r w:rsidR="003D7131">
        <w:t xml:space="preserve"> </w:t>
      </w:r>
      <w:r w:rsidR="007D79BB">
        <w:t xml:space="preserve">plants </w:t>
      </w:r>
      <w:r w:rsidRPr="00CB28C6">
        <w:t xml:space="preserve">not in the monthly </w:t>
      </w:r>
      <w:r w:rsidR="00315724">
        <w:t>sample</w:t>
      </w:r>
      <w:r w:rsidRPr="00CB28C6">
        <w:t xml:space="preserve"> file </w:t>
      </w:r>
      <w:r w:rsidR="00E9034B">
        <w:t xml:space="preserve">data </w:t>
      </w:r>
      <w:r w:rsidRPr="00CB28C6">
        <w:t>annual</w:t>
      </w:r>
      <w:r w:rsidR="00E9034B">
        <w:t>ly only</w:t>
      </w:r>
      <w:r w:rsidRPr="00CB28C6">
        <w:t>.</w:t>
      </w:r>
      <w:r w:rsidR="00E9034B">
        <w:t xml:space="preserve">  This includes data on generation and fuel consumption and, where applicable, data on fuel cost and quality and environm</w:t>
      </w:r>
      <w:r w:rsidR="0073336F">
        <w:t>ental equipment performance.</w:t>
      </w:r>
    </w:p>
    <w:p w14:paraId="37F4AA6C" w14:textId="77777777" w:rsidR="0073336F" w:rsidRPr="00D66EB4" w:rsidRDefault="0073336F" w:rsidP="0073336F">
      <w:pPr>
        <w:spacing w:before="240"/>
        <w:rPr>
          <w:u w:val="single"/>
        </w:rPr>
      </w:pPr>
      <w:r w:rsidRPr="00D66EB4">
        <w:rPr>
          <w:u w:val="single"/>
        </w:rPr>
        <w:t>Form EIA-</w:t>
      </w:r>
      <w:r>
        <w:rPr>
          <w:u w:val="single"/>
        </w:rPr>
        <w:t>930</w:t>
      </w:r>
      <w:r w:rsidRPr="00D66EB4">
        <w:rPr>
          <w:u w:val="single"/>
        </w:rPr>
        <w:t>, “</w:t>
      </w:r>
      <w:r>
        <w:rPr>
          <w:u w:val="single"/>
        </w:rPr>
        <w:t>Hourly and Daily Balancing Authority Operati</w:t>
      </w:r>
      <w:r w:rsidR="00624549">
        <w:rPr>
          <w:u w:val="single"/>
        </w:rPr>
        <w:t>ons</w:t>
      </w:r>
      <w:r>
        <w:rPr>
          <w:u w:val="single"/>
        </w:rPr>
        <w:t xml:space="preserve"> </w:t>
      </w:r>
      <w:r w:rsidRPr="00D66EB4">
        <w:rPr>
          <w:u w:val="single"/>
        </w:rPr>
        <w:t>Report”</w:t>
      </w:r>
    </w:p>
    <w:p w14:paraId="403AD437" w14:textId="77777777" w:rsidR="0073336F" w:rsidRDefault="0073336F" w:rsidP="0073336F">
      <w:r>
        <w:t>Th</w:t>
      </w:r>
      <w:r w:rsidR="005636B4">
        <w:t>e</w:t>
      </w:r>
      <w:r>
        <w:t xml:space="preserve"> mandatory Form EIA</w:t>
      </w:r>
      <w:r w:rsidR="00624549">
        <w:t>-</w:t>
      </w:r>
      <w:r>
        <w:t xml:space="preserve">930 is a </w:t>
      </w:r>
      <w:r w:rsidR="00A57E9C">
        <w:t xml:space="preserve">census </w:t>
      </w:r>
      <w:r>
        <w:t>survey of hourly electric power operating data from Balancing Authorities in the contiguous United States.  The data collected include:</w:t>
      </w:r>
    </w:p>
    <w:p w14:paraId="2BEC19CC" w14:textId="77777777" w:rsidR="0073336F" w:rsidRDefault="0073336F" w:rsidP="0073336F">
      <w:pPr>
        <w:pStyle w:val="ListParagraph"/>
        <w:numPr>
          <w:ilvl w:val="0"/>
          <w:numId w:val="8"/>
        </w:numPr>
      </w:pPr>
      <w:r>
        <w:t>Hourly demand,</w:t>
      </w:r>
    </w:p>
    <w:p w14:paraId="1BA67C75" w14:textId="77777777" w:rsidR="0073336F" w:rsidRDefault="0073336F" w:rsidP="0073336F">
      <w:pPr>
        <w:pStyle w:val="ListParagraph"/>
        <w:numPr>
          <w:ilvl w:val="0"/>
          <w:numId w:val="8"/>
        </w:numPr>
      </w:pPr>
      <w:r>
        <w:t>Hourly next-day demand forecast,</w:t>
      </w:r>
    </w:p>
    <w:p w14:paraId="5D0143B5" w14:textId="77777777" w:rsidR="0073336F" w:rsidRDefault="0073336F" w:rsidP="0073336F">
      <w:pPr>
        <w:pStyle w:val="ListParagraph"/>
        <w:numPr>
          <w:ilvl w:val="0"/>
          <w:numId w:val="8"/>
        </w:numPr>
      </w:pPr>
      <w:r>
        <w:t>Hourly net generation,</w:t>
      </w:r>
    </w:p>
    <w:p w14:paraId="148F613B" w14:textId="77777777" w:rsidR="0073336F" w:rsidRDefault="0073336F" w:rsidP="0073336F">
      <w:pPr>
        <w:pStyle w:val="ListParagraph"/>
        <w:numPr>
          <w:ilvl w:val="0"/>
          <w:numId w:val="8"/>
        </w:numPr>
      </w:pPr>
      <w:r>
        <w:t>Hourly actual interchange with each interconnected Balancing Authority.</w:t>
      </w:r>
    </w:p>
    <w:p w14:paraId="5B91CC2E" w14:textId="77777777" w:rsidR="0073336F" w:rsidRDefault="0073336F" w:rsidP="0073336F">
      <w:r>
        <w:t>Balancing Authorities are generally either Regional Transmission Organizations or electric utilities that have transmission grid management responsibilities.  The</w:t>
      </w:r>
      <w:r w:rsidR="00A505EA">
        <w:t>re are currently 66</w:t>
      </w:r>
      <w:r>
        <w:t xml:space="preserve"> Balancing Authorities in the contiguous United States </w:t>
      </w:r>
      <w:r w:rsidR="00A505EA">
        <w:t xml:space="preserve">and they </w:t>
      </w:r>
      <w:r>
        <w:t>constitute the census frame for this survey.</w:t>
      </w:r>
      <w:r w:rsidR="00A505EA">
        <w:t xml:space="preserve">  </w:t>
      </w:r>
    </w:p>
    <w:p w14:paraId="0352DFF3" w14:textId="77777777" w:rsidR="009E003B" w:rsidRDefault="007962F6" w:rsidP="00CC03AF">
      <w:pPr>
        <w:pStyle w:val="Heading2"/>
      </w:pPr>
      <w:r>
        <w:t>Sampling Methodology and Estimation Procedures</w:t>
      </w:r>
    </w:p>
    <w:p w14:paraId="1D661B96" w14:textId="77777777" w:rsidR="00995564" w:rsidRDefault="00670A14" w:rsidP="005636B4">
      <w:r>
        <w:t xml:space="preserve">Four </w:t>
      </w:r>
      <w:r w:rsidR="00995564">
        <w:t xml:space="preserve">of </w:t>
      </w:r>
      <w:r w:rsidR="0070553B">
        <w:t xml:space="preserve">the </w:t>
      </w:r>
      <w:r w:rsidR="00995564">
        <w:t xml:space="preserve">surveys in this </w:t>
      </w:r>
      <w:r w:rsidR="00CB5699">
        <w:t xml:space="preserve">Information Collection Request </w:t>
      </w:r>
      <w:r w:rsidR="00995564">
        <w:t>use sampling</w:t>
      </w:r>
      <w:r w:rsidR="00CB5699">
        <w:t xml:space="preserve"> methodology</w:t>
      </w:r>
      <w:r w:rsidR="00995564">
        <w:t>:</w:t>
      </w:r>
    </w:p>
    <w:p w14:paraId="713D06B5" w14:textId="77777777" w:rsidR="00995564" w:rsidRDefault="00995564" w:rsidP="005636B4">
      <w:pPr>
        <w:pStyle w:val="ListParagraph"/>
        <w:numPr>
          <w:ilvl w:val="0"/>
          <w:numId w:val="9"/>
        </w:numPr>
        <w:contextualSpacing w:val="0"/>
      </w:pPr>
      <w:r>
        <w:t xml:space="preserve">The three surveys of electric power sales and related data: the annual </w:t>
      </w:r>
      <w:r w:rsidR="00670A14">
        <w:t xml:space="preserve">Form </w:t>
      </w:r>
      <w:r>
        <w:t>EIA-861</w:t>
      </w:r>
      <w:r w:rsidR="00670A14">
        <w:t xml:space="preserve">, </w:t>
      </w:r>
      <w:r w:rsidR="00935BA7">
        <w:t xml:space="preserve">the annual </w:t>
      </w:r>
      <w:r w:rsidR="00670A14">
        <w:t xml:space="preserve">Form </w:t>
      </w:r>
      <w:r>
        <w:t xml:space="preserve">EIA-861S (Short Form), and the monthly </w:t>
      </w:r>
      <w:r w:rsidR="00670A14">
        <w:t xml:space="preserve">Form </w:t>
      </w:r>
      <w:r>
        <w:t>EIA-826 survey</w:t>
      </w:r>
      <w:r w:rsidR="00935BA7">
        <w:t>,</w:t>
      </w:r>
      <w:r w:rsidR="00A505EA">
        <w:t xml:space="preserve"> which will be </w:t>
      </w:r>
      <w:r w:rsidR="00935BA7">
        <w:t xml:space="preserve">discontinued </w:t>
      </w:r>
      <w:r w:rsidR="00A505EA">
        <w:t>and replaced by the Form EIA-861M survey</w:t>
      </w:r>
      <w:r>
        <w:t>.</w:t>
      </w:r>
    </w:p>
    <w:p w14:paraId="4D374DF5" w14:textId="77777777" w:rsidR="00995564" w:rsidRDefault="00995564" w:rsidP="005636B4">
      <w:pPr>
        <w:pStyle w:val="ListParagraph"/>
        <w:numPr>
          <w:ilvl w:val="0"/>
          <w:numId w:val="9"/>
        </w:numPr>
        <w:contextualSpacing w:val="0"/>
      </w:pPr>
      <w:r>
        <w:t xml:space="preserve">The </w:t>
      </w:r>
      <w:r w:rsidR="00670A14">
        <w:t xml:space="preserve">Form </w:t>
      </w:r>
      <w:r>
        <w:t>EIA-923 monthly and annual survey</w:t>
      </w:r>
      <w:r w:rsidR="00A505EA">
        <w:t>s</w:t>
      </w:r>
      <w:r>
        <w:t xml:space="preserve"> of power plant operations.</w:t>
      </w:r>
    </w:p>
    <w:p w14:paraId="5DB681C0" w14:textId="77777777" w:rsidR="00995564" w:rsidRDefault="00995564" w:rsidP="005636B4">
      <w:r>
        <w:t>These surveys are discussed below.</w:t>
      </w:r>
    </w:p>
    <w:p w14:paraId="3D9C831C" w14:textId="77777777" w:rsidR="00CB28C6" w:rsidRDefault="00CB28C6" w:rsidP="005636B4">
      <w:pPr>
        <w:pStyle w:val="Heading3"/>
      </w:pPr>
      <w:bookmarkStart w:id="2" w:name="_Toc448501698"/>
      <w:r>
        <w:t>Cutoff Sampling Methods</w:t>
      </w:r>
      <w:bookmarkEnd w:id="2"/>
    </w:p>
    <w:p w14:paraId="385E9347" w14:textId="77777777" w:rsidR="005C6B38" w:rsidRDefault="00CB28C6" w:rsidP="005C6B38">
      <w:r>
        <w:t>To reduce reporting burden for respondents</w:t>
      </w:r>
      <w:r w:rsidR="00A57E9C">
        <w:t xml:space="preserve"> and the agency’s own workload</w:t>
      </w:r>
      <w:r>
        <w:t xml:space="preserve">, EIA utilizes cutoff samples for the survey frames of </w:t>
      </w:r>
      <w:r w:rsidR="008C0C57">
        <w:t>four</w:t>
      </w:r>
      <w:r>
        <w:t xml:space="preserve"> of its </w:t>
      </w:r>
      <w:r w:rsidR="005C6B38">
        <w:t xml:space="preserve">electric power </w:t>
      </w:r>
      <w:r>
        <w:t>surveys: the monthly Form</w:t>
      </w:r>
      <w:r w:rsidR="005C6B38">
        <w:t>s</w:t>
      </w:r>
      <w:r>
        <w:t xml:space="preserve"> EIA-</w:t>
      </w:r>
      <w:r w:rsidR="00081EE3">
        <w:t xml:space="preserve">861M (formerly the </w:t>
      </w:r>
      <w:r w:rsidR="00A56B79">
        <w:t xml:space="preserve">Form </w:t>
      </w:r>
      <w:r w:rsidR="00081EE3">
        <w:t>EIA-826)</w:t>
      </w:r>
      <w:r>
        <w:t xml:space="preserve"> and EIA-923</w:t>
      </w:r>
      <w:r w:rsidR="00081EE3">
        <w:t>;</w:t>
      </w:r>
      <w:r>
        <w:t xml:space="preserve"> and the </w:t>
      </w:r>
      <w:r w:rsidR="005C6B38">
        <w:t>annual Form</w:t>
      </w:r>
      <w:r w:rsidR="008C0C57">
        <w:t>s</w:t>
      </w:r>
      <w:r w:rsidR="005C6B38">
        <w:t xml:space="preserve"> EIA-861</w:t>
      </w:r>
      <w:r w:rsidR="00A505EA">
        <w:t>,</w:t>
      </w:r>
      <w:r w:rsidR="008C0C57">
        <w:t xml:space="preserve"> EIA-</w:t>
      </w:r>
      <w:r w:rsidR="00A57E9C">
        <w:t>861S</w:t>
      </w:r>
      <w:r w:rsidR="00A505EA">
        <w:t>, and EIA-923</w:t>
      </w:r>
      <w:r w:rsidR="005C6B38">
        <w:t xml:space="preserve">.  These cutoff samples are </w:t>
      </w:r>
      <w:r w:rsidRPr="00CB28C6">
        <w:t xml:space="preserve">comprised of all units with measures of size </w:t>
      </w:r>
      <w:r w:rsidR="005C6B38">
        <w:t xml:space="preserve">capacity and/or production variables </w:t>
      </w:r>
      <w:r w:rsidRPr="00CB28C6">
        <w:t>larger than predefined threshold</w:t>
      </w:r>
      <w:r w:rsidR="005C6B38">
        <w:t xml:space="preserve">s, taking into account </w:t>
      </w:r>
      <w:r w:rsidRPr="00CB28C6">
        <w:t>the need for data on multiple variables of interest</w:t>
      </w:r>
      <w:r w:rsidR="005C6B38">
        <w:t xml:space="preserve"> within survey instruments</w:t>
      </w:r>
      <w:r w:rsidR="00512E74">
        <w:t>.</w:t>
      </w:r>
    </w:p>
    <w:p w14:paraId="1F44D6EC" w14:textId="77777777" w:rsidR="00DD4E76" w:rsidRDefault="00DD4E76" w:rsidP="00F6477A">
      <w:pPr>
        <w:pStyle w:val="NoSpacing"/>
        <w:spacing w:before="240"/>
        <w:jc w:val="both"/>
      </w:pPr>
      <w:r>
        <w:t xml:space="preserve">For the </w:t>
      </w:r>
      <w:r w:rsidR="00624549">
        <w:t xml:space="preserve">Form </w:t>
      </w:r>
      <w:r>
        <w:t xml:space="preserve">EIA-861 series of surveys, EIA uses a monthly version of the annual survey Form EIA-861 to collect the same data from a smaller set of industry participants.  This is done to better track the change over time of electric utility sales and revenues while reducing burden both for respondents and the agency. The monthly version is the Form EIA-826 </w:t>
      </w:r>
      <w:r w:rsidR="00624549">
        <w:t xml:space="preserve">(which will be discontinued and replaced by the Form EIA-861M survey) </w:t>
      </w:r>
      <w:r>
        <w:t xml:space="preserve">and its respondents are drawn from the </w:t>
      </w:r>
      <w:r w:rsidR="00A56B79">
        <w:t xml:space="preserve">Form </w:t>
      </w:r>
      <w:r>
        <w:t xml:space="preserve">EIA-861 </w:t>
      </w:r>
      <w:r w:rsidR="00624549">
        <w:t xml:space="preserve">annual </w:t>
      </w:r>
      <w:r>
        <w:t>frame using cutoff sampling.</w:t>
      </w:r>
    </w:p>
    <w:p w14:paraId="2EF5E431" w14:textId="77777777" w:rsidR="00DD4E76" w:rsidRDefault="00DD4E76" w:rsidP="00F6477A">
      <w:pPr>
        <w:pStyle w:val="NoSpacing"/>
        <w:spacing w:before="240"/>
        <w:jc w:val="both"/>
      </w:pPr>
      <w:r>
        <w:t>The cutoff sample for Form EIA-861M consists of all units with sales and revenues of electricity larger than predefined thresholds which are specific to key estimates for various publication cells but are generally upwards of 80 percent of total sales or revenues.</w:t>
      </w:r>
    </w:p>
    <w:p w14:paraId="2A3FF814" w14:textId="77777777" w:rsidR="00DD4E76" w:rsidRDefault="00DD4E76" w:rsidP="006C3B7D">
      <w:pPr>
        <w:spacing w:before="240"/>
      </w:pPr>
      <w:r>
        <w:t>Cutoff sampling eliminates the monthly reporting burden for smaller industry participants. Because smaller units have been responsible for a high percentage of reporting errors  historically observed for Form EIA-861, cutoff sampling may also reduce the levels of non-sampling error affecting the published estimates. Section B.2.3 below provides details about the sampling and estimation methods used for Form EIA-861M</w:t>
      </w:r>
      <w:r w:rsidR="00624549">
        <w:t>.</w:t>
      </w:r>
    </w:p>
    <w:p w14:paraId="731CEDA8" w14:textId="77777777" w:rsidR="00DD4E76" w:rsidRPr="008368FD" w:rsidRDefault="00DD4E76" w:rsidP="00F6477A">
      <w:pPr>
        <w:pStyle w:val="NoSpacing"/>
        <w:spacing w:before="240"/>
        <w:jc w:val="both"/>
      </w:pPr>
      <w:r>
        <w:t>On the</w:t>
      </w:r>
      <w:r w:rsidR="00A56B79">
        <w:t xml:space="preserve"> Form</w:t>
      </w:r>
      <w:r>
        <w:t xml:space="preserve"> EIA-923 series of surveys, </w:t>
      </w:r>
      <w:r w:rsidRPr="008368FD">
        <w:t>EIA uses a monthly version of the annual survey Form EIA-923 to collect the same data from a smaller set of industry participants</w:t>
      </w:r>
      <w:r>
        <w:t xml:space="preserve">.  This approach allows EIA to </w:t>
      </w:r>
      <w:r w:rsidRPr="008368FD">
        <w:t>better track the change over time of power plant operations data while reducing burden both for respondents and the agency. Th</w:t>
      </w:r>
      <w:r w:rsidR="00614FF5">
        <w:t>e</w:t>
      </w:r>
      <w:r w:rsidRPr="008368FD">
        <w:t xml:space="preserve"> monthly version is the Form EIA-923M and its respondents are drawn from the </w:t>
      </w:r>
      <w:r w:rsidR="00A56B79">
        <w:t xml:space="preserve">Form </w:t>
      </w:r>
      <w:r w:rsidRPr="008368FD">
        <w:t>EIA-860, “Annual Electric Generator Report” frame using model-based cutoff sampling.</w:t>
      </w:r>
    </w:p>
    <w:p w14:paraId="37D6306E" w14:textId="77777777" w:rsidR="00DD4E76" w:rsidRPr="008368FD" w:rsidRDefault="00DD4E76" w:rsidP="00F6477A">
      <w:pPr>
        <w:pStyle w:val="NoSpacing"/>
        <w:jc w:val="both"/>
      </w:pPr>
    </w:p>
    <w:p w14:paraId="2F0CC31B" w14:textId="70FFBFD3" w:rsidR="00DD4E76" w:rsidRPr="008368FD" w:rsidRDefault="00DD4E76" w:rsidP="00F6477A">
      <w:pPr>
        <w:pStyle w:val="NoSpacing"/>
        <w:jc w:val="both"/>
      </w:pPr>
      <w:r w:rsidRPr="008368FD">
        <w:t xml:space="preserve">The current </w:t>
      </w:r>
      <w:r w:rsidR="00614FF5">
        <w:t xml:space="preserve">monthly </w:t>
      </w:r>
      <w:r w:rsidRPr="008368FD">
        <w:t>sample design starts with a convenient core sample of power plants, calculates relative standard errors (“RSEs”--a measure of reliability of estimates), and then adds more sample units as needed in publication cells where the RSE is larger than desired. In order to reduce the number of power plants in the monthly sample from approximately 2,200 to 1,3</w:t>
      </w:r>
      <w:r w:rsidR="00D4460F">
        <w:t>33</w:t>
      </w:r>
      <w:r w:rsidRPr="008368FD">
        <w:t>, a new sample methodology will be implemented by first determining the minimum sample size needed to achieve a target RSE reliability constraint for each publication cell. The new cutoff sample for Form EIA-923 will consist of all units with a capacity size that is larger than predefined thresholds which are specific to key estimates for various publication cells but are generally upwards of 80 percent of total electricity generation.</w:t>
      </w:r>
    </w:p>
    <w:p w14:paraId="17A59FCE" w14:textId="77777777" w:rsidR="00EB0457" w:rsidRPr="00EB0457" w:rsidRDefault="00DD4E76" w:rsidP="006C3B7D">
      <w:pPr>
        <w:spacing w:before="240"/>
      </w:pPr>
      <w:r w:rsidRPr="008368FD">
        <w:t>Cutoff sampling eliminates the monthly reporting burden for smaller industry participants. Because smaller units have been responsible for a high percentage of reporting errors historically observed for Form EIA-923, cutoff sampling may also reduce the levels of non-sampling error affecting the published estimates. Section B.2.3 below provides details about the sampling and estimation methods used for Form EIA-923.</w:t>
      </w:r>
    </w:p>
    <w:p w14:paraId="47F04FC4" w14:textId="77777777" w:rsidR="00C412E0" w:rsidRDefault="008639B2" w:rsidP="00377A53">
      <w:pPr>
        <w:pStyle w:val="Heading3"/>
      </w:pPr>
      <w:bookmarkStart w:id="3" w:name="_Toc448501699"/>
      <w:r>
        <w:t>Relative Standard Error as a Measure of Sample Accuracy</w:t>
      </w:r>
      <w:bookmarkEnd w:id="3"/>
    </w:p>
    <w:p w14:paraId="6930F94D" w14:textId="77777777" w:rsidR="0006774E" w:rsidRDefault="0006774E" w:rsidP="0006774E">
      <w:r>
        <w:t xml:space="preserve">EIA uses the relative standard error (RSE) measure to evaluate </w:t>
      </w:r>
      <w:r w:rsidR="00A60604">
        <w:t xml:space="preserve">the reliability of an estimated statistic.  </w:t>
      </w:r>
      <w:r>
        <w:t>Relative</w:t>
      </w:r>
      <w:r w:rsidR="0007052A">
        <w:t xml:space="preserve"> standard error is based on the standard d</w:t>
      </w:r>
      <w:r w:rsidR="00A650EC">
        <w:t>e</w:t>
      </w:r>
      <w:r w:rsidR="0007052A">
        <w:t>viati</w:t>
      </w:r>
      <w:r w:rsidR="00A60604">
        <w:t>on about the mean of a statistic in a sample</w:t>
      </w:r>
      <w:r w:rsidR="0007052A">
        <w:t xml:space="preserve">.  </w:t>
      </w:r>
      <w:r>
        <w:t xml:space="preserve">Standard deviation is a measure of </w:t>
      </w:r>
      <w:r w:rsidR="0046588C">
        <w:t xml:space="preserve">the </w:t>
      </w:r>
      <w:r w:rsidR="00F150D6">
        <w:t xml:space="preserve">spread of </w:t>
      </w:r>
      <w:r w:rsidR="0046588C">
        <w:t>data values in relation to the mean value.</w:t>
      </w:r>
      <w:r w:rsidR="0007052A">
        <w:t xml:space="preserve"> </w:t>
      </w:r>
      <w:r>
        <w:t xml:space="preserve"> Standard error normalizes thi</w:t>
      </w:r>
      <w:r w:rsidR="00F150D6">
        <w:t>s measure in terms of sample size or the number of samples</w:t>
      </w:r>
      <w:r>
        <w:t>, and relative standard error expresses this result as a percentage of the mean</w:t>
      </w:r>
      <w:r w:rsidR="003C3D45">
        <w:t>.</w:t>
      </w:r>
    </w:p>
    <w:p w14:paraId="16D8FCC8" w14:textId="77777777" w:rsidR="008639B2" w:rsidRDefault="008639B2" w:rsidP="008639B2">
      <w:pPr>
        <w:pStyle w:val="Heading3"/>
      </w:pPr>
      <w:bookmarkStart w:id="4" w:name="_Toc448501700"/>
      <w:r>
        <w:t>Elect</w:t>
      </w:r>
      <w:r w:rsidR="00E836C4">
        <w:t>ric Power Surveys Sampling and Estimation</w:t>
      </w:r>
      <w:bookmarkEnd w:id="4"/>
      <w:r w:rsidR="00464871">
        <w:t>/Imputation</w:t>
      </w:r>
    </w:p>
    <w:p w14:paraId="1D663729" w14:textId="77777777" w:rsidR="0059709E" w:rsidRPr="0059709E" w:rsidRDefault="0059709E" w:rsidP="0059709E">
      <w:pPr>
        <w:spacing w:before="240"/>
        <w:rPr>
          <w:b/>
          <w:u w:val="single"/>
        </w:rPr>
      </w:pPr>
      <w:r w:rsidRPr="0059709E">
        <w:rPr>
          <w:b/>
          <w:u w:val="single"/>
        </w:rPr>
        <w:t>Form EIA-</w:t>
      </w:r>
      <w:r w:rsidR="00C77A3A">
        <w:rPr>
          <w:b/>
          <w:u w:val="single"/>
        </w:rPr>
        <w:t>861M</w:t>
      </w:r>
    </w:p>
    <w:p w14:paraId="755EE3B4" w14:textId="77777777" w:rsidR="0059709E" w:rsidRPr="00A57E9C" w:rsidRDefault="0059709E" w:rsidP="00CC6A4B">
      <w:pPr>
        <w:rPr>
          <w:i/>
        </w:rPr>
      </w:pPr>
      <w:r w:rsidRPr="00A57E9C">
        <w:rPr>
          <w:i/>
        </w:rPr>
        <w:t xml:space="preserve">Note: This clearance </w:t>
      </w:r>
      <w:r w:rsidR="00A505EA">
        <w:rPr>
          <w:i/>
        </w:rPr>
        <w:t xml:space="preserve">is proposing to </w:t>
      </w:r>
      <w:r w:rsidR="00330F57">
        <w:rPr>
          <w:i/>
        </w:rPr>
        <w:t xml:space="preserve">discontinue </w:t>
      </w:r>
      <w:r w:rsidR="00A505EA">
        <w:rPr>
          <w:i/>
        </w:rPr>
        <w:t xml:space="preserve">the </w:t>
      </w:r>
      <w:r w:rsidR="00A56B79">
        <w:rPr>
          <w:i/>
        </w:rPr>
        <w:t xml:space="preserve">Form </w:t>
      </w:r>
      <w:r w:rsidR="00A505EA">
        <w:rPr>
          <w:i/>
        </w:rPr>
        <w:t xml:space="preserve">EIA-826 survey </w:t>
      </w:r>
      <w:r w:rsidR="00330F57">
        <w:rPr>
          <w:i/>
        </w:rPr>
        <w:t xml:space="preserve">and replace it </w:t>
      </w:r>
      <w:r w:rsidR="00A505EA">
        <w:rPr>
          <w:i/>
        </w:rPr>
        <w:t xml:space="preserve">with the </w:t>
      </w:r>
      <w:r w:rsidR="00A56B79">
        <w:rPr>
          <w:i/>
        </w:rPr>
        <w:t xml:space="preserve">Form </w:t>
      </w:r>
      <w:r w:rsidR="00A505EA">
        <w:rPr>
          <w:i/>
        </w:rPr>
        <w:t xml:space="preserve">EIA-861M survey.  </w:t>
      </w:r>
      <w:r w:rsidR="00330F57">
        <w:rPr>
          <w:i/>
        </w:rPr>
        <w:t xml:space="preserve">The </w:t>
      </w:r>
      <w:r w:rsidR="00A56B79">
        <w:rPr>
          <w:i/>
        </w:rPr>
        <w:t xml:space="preserve">Form </w:t>
      </w:r>
      <w:r w:rsidR="00330F57">
        <w:rPr>
          <w:i/>
        </w:rPr>
        <w:t>EIA-861M</w:t>
      </w:r>
      <w:r w:rsidR="00A505EA">
        <w:rPr>
          <w:i/>
        </w:rPr>
        <w:t xml:space="preserve"> will employ </w:t>
      </w:r>
      <w:r w:rsidRPr="00A57E9C">
        <w:rPr>
          <w:i/>
        </w:rPr>
        <w:t xml:space="preserve">the </w:t>
      </w:r>
      <w:r w:rsidR="00A505EA">
        <w:rPr>
          <w:i/>
        </w:rPr>
        <w:t xml:space="preserve">same </w:t>
      </w:r>
      <w:r w:rsidRPr="00A57E9C">
        <w:rPr>
          <w:i/>
        </w:rPr>
        <w:t xml:space="preserve">sampling </w:t>
      </w:r>
      <w:r w:rsidR="002946EE">
        <w:rPr>
          <w:i/>
        </w:rPr>
        <w:t>and</w:t>
      </w:r>
      <w:r w:rsidR="002946EE" w:rsidRPr="00A57E9C">
        <w:rPr>
          <w:i/>
        </w:rPr>
        <w:t xml:space="preserve"> </w:t>
      </w:r>
      <w:r w:rsidRPr="00A57E9C">
        <w:rPr>
          <w:i/>
        </w:rPr>
        <w:t xml:space="preserve">estimation methodology </w:t>
      </w:r>
      <w:r w:rsidR="00330F57">
        <w:rPr>
          <w:i/>
        </w:rPr>
        <w:t xml:space="preserve">as </w:t>
      </w:r>
      <w:r w:rsidRPr="00A57E9C">
        <w:rPr>
          <w:i/>
        </w:rPr>
        <w:t xml:space="preserve">the </w:t>
      </w:r>
      <w:r w:rsidR="00717829">
        <w:rPr>
          <w:i/>
        </w:rPr>
        <w:t xml:space="preserve">Form </w:t>
      </w:r>
      <w:r w:rsidRPr="00A57E9C">
        <w:rPr>
          <w:i/>
        </w:rPr>
        <w:t>EIA-826.</w:t>
      </w:r>
    </w:p>
    <w:p w14:paraId="545258FD" w14:textId="77777777" w:rsidR="0059709E" w:rsidRPr="0059709E" w:rsidRDefault="00F40543" w:rsidP="0059709E">
      <w:pPr>
        <w:spacing w:before="240"/>
      </w:pPr>
      <w:r w:rsidRPr="00F40543">
        <w:t xml:space="preserve">The </w:t>
      </w:r>
      <w:r w:rsidR="00A56B79">
        <w:t xml:space="preserve">Form </w:t>
      </w:r>
      <w:r w:rsidRPr="00F40543">
        <w:t>EIA-8</w:t>
      </w:r>
      <w:r w:rsidR="00C77A3A">
        <w:t>61M will be</w:t>
      </w:r>
      <w:r w:rsidRPr="00F40543">
        <w:t xml:space="preserve"> a monthly survey of a sample of electric power </w:t>
      </w:r>
      <w:r w:rsidR="009B35E7">
        <w:t>utilities and marketers</w:t>
      </w:r>
      <w:r w:rsidRPr="00F40543">
        <w:t xml:space="preserve"> that sell or deliver electric power to end users.  </w:t>
      </w:r>
      <w:r w:rsidR="002946EE">
        <w:t>The sample will include</w:t>
      </w:r>
      <w:r w:rsidRPr="00F40543">
        <w:t xml:space="preserve"> electric power entities pro</w:t>
      </w:r>
      <w:r w:rsidR="009B35E7">
        <w:t>viding bundled electric service</w:t>
      </w:r>
      <w:r w:rsidRPr="00F40543">
        <w:t xml:space="preserve"> and </w:t>
      </w:r>
      <w:r w:rsidR="00BE0BF8">
        <w:t>will include all</w:t>
      </w:r>
      <w:r w:rsidRPr="00F40543">
        <w:t xml:space="preserve"> power marketers.</w:t>
      </w:r>
      <w:r w:rsidR="009B35E7">
        <w:rPr>
          <w:rStyle w:val="FootnoteReference"/>
        </w:rPr>
        <w:footnoteReference w:id="5"/>
      </w:r>
      <w:r w:rsidRPr="00F40543">
        <w:t xml:space="preserve">  The survey </w:t>
      </w:r>
      <w:r w:rsidR="00BE0BF8">
        <w:t xml:space="preserve">will </w:t>
      </w:r>
      <w:r w:rsidRPr="00F40543">
        <w:t xml:space="preserve">collect information </w:t>
      </w:r>
      <w:r w:rsidR="00BE0BF8">
        <w:t>on</w:t>
      </w:r>
      <w:r w:rsidRPr="00F40543">
        <w:t xml:space="preserve"> retail electric sales and revenue by operating company, end-use sector (residential, commercial, industrial, transportation, total), and state.  These data </w:t>
      </w:r>
      <w:r w:rsidR="00C77A3A">
        <w:t>will be</w:t>
      </w:r>
      <w:r w:rsidRPr="00F40543">
        <w:t xml:space="preserve"> the monthly equivalent to the corresponding annual data reported on the </w:t>
      </w:r>
      <w:r w:rsidR="00A56B79">
        <w:t xml:space="preserve">Form </w:t>
      </w:r>
      <w:r w:rsidRPr="00F40543">
        <w:t>EIA-861.</w:t>
      </w:r>
    </w:p>
    <w:p w14:paraId="762CD1A0" w14:textId="77777777" w:rsidR="0059709E" w:rsidRPr="0059709E" w:rsidRDefault="00F40543" w:rsidP="0059709E">
      <w:pPr>
        <w:spacing w:before="240"/>
      </w:pPr>
      <w:r w:rsidRPr="00F40543">
        <w:t xml:space="preserve">The </w:t>
      </w:r>
      <w:r w:rsidR="00A56B79">
        <w:t xml:space="preserve">Form </w:t>
      </w:r>
      <w:r w:rsidRPr="00F40543">
        <w:t>EIA-8</w:t>
      </w:r>
      <w:r w:rsidR="00C77A3A">
        <w:t xml:space="preserve">61M will </w:t>
      </w:r>
      <w:r w:rsidRPr="00F40543">
        <w:t xml:space="preserve">use the annual </w:t>
      </w:r>
      <w:r w:rsidR="00A56B79">
        <w:t xml:space="preserve">Form </w:t>
      </w:r>
      <w:r w:rsidRPr="00F40543">
        <w:t>EIA-861 as its sampling frame and estimates for the nonsampled members of the universe</w:t>
      </w:r>
      <w:r w:rsidR="00464871">
        <w:t>, or for any monthly data that is missing or fails edits</w:t>
      </w:r>
      <w:r w:rsidRPr="00F40543">
        <w:t xml:space="preserve">.  The sample </w:t>
      </w:r>
      <w:r w:rsidR="00C77A3A">
        <w:t xml:space="preserve">will </w:t>
      </w:r>
      <w:r w:rsidRPr="00F40543">
        <w:t xml:space="preserve">basically </w:t>
      </w:r>
      <w:r w:rsidR="00C77A3A">
        <w:t xml:space="preserve">be </w:t>
      </w:r>
      <w:r w:rsidRPr="00F40543">
        <w:t>a cutoff sample composed of those companies that typically sell most of the electricity in each customer class in each state.  Respondents include:</w:t>
      </w:r>
    </w:p>
    <w:p w14:paraId="3072E0A9" w14:textId="77777777" w:rsidR="0059709E" w:rsidRPr="0059709E" w:rsidRDefault="00F40543" w:rsidP="0059709E">
      <w:pPr>
        <w:spacing w:before="240"/>
      </w:pPr>
      <w:r w:rsidRPr="00F40543">
        <w:t>•</w:t>
      </w:r>
      <w:r w:rsidRPr="00F40543">
        <w:tab/>
        <w:t>All investor-owned utilities (IOUs), except for a few small IOUs in Alaska</w:t>
      </w:r>
    </w:p>
    <w:p w14:paraId="42217ED9" w14:textId="77777777" w:rsidR="0059709E" w:rsidRPr="0059709E" w:rsidRDefault="00F40543" w:rsidP="0059709E">
      <w:pPr>
        <w:spacing w:before="240"/>
      </w:pPr>
      <w:r w:rsidRPr="00F40543">
        <w:t>•</w:t>
      </w:r>
      <w:r w:rsidRPr="00F40543">
        <w:tab/>
        <w:t>All retail power marketers</w:t>
      </w:r>
    </w:p>
    <w:p w14:paraId="1A0C214D" w14:textId="77777777" w:rsidR="0059709E" w:rsidRPr="0059709E" w:rsidRDefault="00F40543" w:rsidP="0059709E">
      <w:pPr>
        <w:spacing w:before="240"/>
      </w:pPr>
      <w:r w:rsidRPr="00F40543">
        <w:t>•</w:t>
      </w:r>
      <w:r w:rsidRPr="00F40543">
        <w:tab/>
        <w:t xml:space="preserve">All </w:t>
      </w:r>
      <w:r w:rsidR="00C77A3A">
        <w:t>f</w:t>
      </w:r>
      <w:r w:rsidRPr="00F40543">
        <w:t xml:space="preserve">ederal </w:t>
      </w:r>
      <w:r w:rsidR="00C77A3A">
        <w:t>u</w:t>
      </w:r>
      <w:r w:rsidRPr="00F40543">
        <w:t>tilities</w:t>
      </w:r>
    </w:p>
    <w:p w14:paraId="5E6651F9" w14:textId="77777777" w:rsidR="0059709E" w:rsidRPr="0059709E" w:rsidRDefault="00F40543" w:rsidP="0059709E">
      <w:pPr>
        <w:spacing w:before="240"/>
      </w:pPr>
      <w:r w:rsidRPr="00F40543">
        <w:t>•</w:t>
      </w:r>
      <w:r w:rsidRPr="00F40543">
        <w:tab/>
        <w:t xml:space="preserve">All entities selling </w:t>
      </w:r>
      <w:r w:rsidR="00C77A3A">
        <w:t xml:space="preserve">electricity </w:t>
      </w:r>
      <w:r w:rsidR="00081EE3">
        <w:t>to</w:t>
      </w:r>
      <w:r w:rsidRPr="00F40543">
        <w:t xml:space="preserve"> the public transportation sector</w:t>
      </w:r>
    </w:p>
    <w:p w14:paraId="1663B6D8" w14:textId="77777777" w:rsidR="0059709E" w:rsidRPr="0059709E" w:rsidRDefault="00F40543" w:rsidP="0059709E">
      <w:pPr>
        <w:spacing w:before="240"/>
      </w:pPr>
      <w:r w:rsidRPr="00F40543">
        <w:t>•</w:t>
      </w:r>
      <w:r w:rsidRPr="00F40543">
        <w:tab/>
        <w:t>A sample of the municipal and cooperative utilities</w:t>
      </w:r>
    </w:p>
    <w:p w14:paraId="0A6A39D7" w14:textId="77777777" w:rsidR="0059709E" w:rsidRPr="0059709E" w:rsidRDefault="00F40543" w:rsidP="0059709E">
      <w:pPr>
        <w:spacing w:before="240"/>
      </w:pPr>
      <w:r w:rsidRPr="00F40543">
        <w:t xml:space="preserve">The </w:t>
      </w:r>
      <w:r w:rsidR="00A56B79">
        <w:t xml:space="preserve">Form </w:t>
      </w:r>
      <w:r w:rsidRPr="00F40543">
        <w:t>EIA-8</w:t>
      </w:r>
      <w:r w:rsidR="00C77A3A">
        <w:t>61M</w:t>
      </w:r>
      <w:r w:rsidRPr="00F40543">
        <w:t xml:space="preserve"> sample design and estimation procedures </w:t>
      </w:r>
      <w:r w:rsidR="00C77A3A">
        <w:t xml:space="preserve">will </w:t>
      </w:r>
      <w:r w:rsidRPr="00F40543">
        <w:t xml:space="preserve">employ a weighted linear regression model to represent the relationship between a respondent’s past annual data and current monthly data.   For example, the model used for estimating </w:t>
      </w:r>
      <w:r w:rsidR="00464871">
        <w:t>monthly data</w:t>
      </w:r>
      <w:r w:rsidRPr="00F40543">
        <w:t xml:space="preserve"> of </w:t>
      </w:r>
      <w:r w:rsidR="001201B7">
        <w:t xml:space="preserve">a </w:t>
      </w:r>
      <w:r w:rsidRPr="00F40543">
        <w:t>company in January 201</w:t>
      </w:r>
      <w:r w:rsidR="00330F57">
        <w:t>7</w:t>
      </w:r>
      <w:r w:rsidRPr="00F40543">
        <w:t xml:space="preserve"> would be:</w:t>
      </w:r>
    </w:p>
    <w:p w14:paraId="28399784" w14:textId="77777777" w:rsidR="00CA402A" w:rsidRDefault="004A54F9" w:rsidP="00CA402A">
      <w:pPr>
        <w:spacing w:before="240"/>
        <w:ind w:left="360"/>
        <w:jc w:val="center"/>
      </w:pPr>
      <w:r>
        <w:t xml:space="preserve">                       </w:t>
      </w:r>
      <w:r w:rsidR="00330F57" w:rsidRPr="00330F57">
        <w:rPr>
          <w:position w:val="-12"/>
        </w:rPr>
        <w:object w:dxaOrig="2160" w:dyaOrig="400" w14:anchorId="4C8E3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24pt" o:ole="">
            <v:imagedata r:id="rId14" o:title=""/>
          </v:shape>
          <o:OLEObject Type="Embed" ProgID="Equation.3" ShapeID="_x0000_i1025" DrawAspect="Content" ObjectID="_1549796149" r:id="rId15"/>
        </w:object>
      </w:r>
      <w:r>
        <w:t xml:space="preserve">                                                  (1)</w:t>
      </w:r>
    </w:p>
    <w:p w14:paraId="44767573" w14:textId="77777777" w:rsidR="0059709E" w:rsidRPr="0059709E" w:rsidRDefault="00F40543" w:rsidP="00C20441">
      <w:pPr>
        <w:spacing w:before="240"/>
        <w:ind w:left="360"/>
        <w:jc w:val="left"/>
      </w:pPr>
      <w:r w:rsidRPr="00F40543">
        <w:t>where 1 represents January</w:t>
      </w:r>
      <w:r w:rsidR="00CA402A">
        <w:t>,</w:t>
      </w:r>
      <w:r w:rsidRPr="00F40543">
        <w:t xml:space="preserve"> and x represents 201</w:t>
      </w:r>
      <w:r w:rsidR="00330F57">
        <w:t>5</w:t>
      </w:r>
      <w:r w:rsidRPr="00F40543">
        <w:t xml:space="preserve"> </w:t>
      </w:r>
      <w:r w:rsidR="00464871">
        <w:t>annual data</w:t>
      </w:r>
      <w:r w:rsidRPr="00F40543">
        <w:t xml:space="preserve">. </w:t>
      </w:r>
      <w:r w:rsidR="00CA402A">
        <w:t xml:space="preserve"> </w:t>
      </w:r>
    </w:p>
    <w:p w14:paraId="0F849618" w14:textId="77777777" w:rsidR="00350D87" w:rsidRDefault="00F40543" w:rsidP="0059709E">
      <w:pPr>
        <w:spacing w:before="240"/>
      </w:pPr>
      <w:r w:rsidRPr="00F40543">
        <w:t>Th</w:t>
      </w:r>
      <w:r w:rsidR="001201B7">
        <w:t>ese</w:t>
      </w:r>
      <w:r w:rsidRPr="00F40543">
        <w:t xml:space="preserve"> model </w:t>
      </w:r>
      <w:r w:rsidR="00464871">
        <w:t>parameters are estimated</w:t>
      </w:r>
      <w:r w:rsidRPr="00F40543">
        <w:t xml:space="preserve"> for all respondents having valid data for both the current month on the </w:t>
      </w:r>
      <w:r w:rsidR="00CA402A">
        <w:t xml:space="preserve">Form </w:t>
      </w:r>
      <w:r w:rsidRPr="00F40543">
        <w:t>EIA-8</w:t>
      </w:r>
      <w:r w:rsidR="00C77A3A">
        <w:t>61M</w:t>
      </w:r>
      <w:r w:rsidRPr="00F40543">
        <w:t xml:space="preserve"> and the mos</w:t>
      </w:r>
      <w:r w:rsidR="00350D87">
        <w:t xml:space="preserve">t recent annual </w:t>
      </w:r>
      <w:r w:rsidR="00CA402A">
        <w:t xml:space="preserve">Form </w:t>
      </w:r>
      <w:r w:rsidR="00350D87">
        <w:t xml:space="preserve">EIA-861 data.  </w:t>
      </w:r>
      <w:r w:rsidRPr="00F40543">
        <w:t xml:space="preserve">The model is not used when prior annual data are </w:t>
      </w:r>
      <w:r w:rsidR="009B35E7">
        <w:t>un</w:t>
      </w:r>
      <w:r w:rsidRPr="00F40543">
        <w:t xml:space="preserve">available, as is the case for respondents that are new to the target population </w:t>
      </w:r>
      <w:r w:rsidR="00CA402A">
        <w:t>(</w:t>
      </w:r>
      <w:r w:rsidRPr="00F40543">
        <w:t xml:space="preserve">although this is </w:t>
      </w:r>
      <w:r w:rsidR="009B35E7">
        <w:t>un</w:t>
      </w:r>
      <w:r w:rsidRPr="00F40543">
        <w:t>common</w:t>
      </w:r>
      <w:r w:rsidR="00CA402A">
        <w:t>)</w:t>
      </w:r>
      <w:r w:rsidR="009B35E7">
        <w:t xml:space="preserve">.  </w:t>
      </w:r>
      <w:r w:rsidR="00CA402A">
        <w:t xml:space="preserve">For a new respondent, </w:t>
      </w:r>
      <w:r w:rsidR="009B35E7">
        <w:t>t</w:t>
      </w:r>
      <w:r w:rsidRPr="00F40543">
        <w:t>he respondent</w:t>
      </w:r>
      <w:r w:rsidR="00350D87">
        <w:t>’</w:t>
      </w:r>
      <w:r w:rsidR="009B35E7">
        <w:t>s</w:t>
      </w:r>
      <w:r w:rsidRPr="00F40543">
        <w:t xml:space="preserve"> monthly data are used in estimating totals.</w:t>
      </w:r>
    </w:p>
    <w:p w14:paraId="6C7EDDF9" w14:textId="77777777" w:rsidR="0059709E" w:rsidRDefault="00F40543" w:rsidP="0059709E">
      <w:pPr>
        <w:spacing w:before="240"/>
      </w:pPr>
      <w:r w:rsidRPr="00F40543">
        <w:t>The model</w:t>
      </w:r>
      <w:r w:rsidR="00464871">
        <w:t xml:space="preserve"> parameter</w:t>
      </w:r>
      <w:r w:rsidRPr="00F40543">
        <w:t xml:space="preserve">s are </w:t>
      </w:r>
      <w:r w:rsidR="00464871">
        <w:t>estimated</w:t>
      </w:r>
      <w:r w:rsidRPr="00F40543">
        <w:t xml:space="preserve"> separately each month </w:t>
      </w:r>
      <w:r w:rsidR="00580B1E">
        <w:t xml:space="preserve">using </w:t>
      </w:r>
      <w:r w:rsidR="00350D87">
        <w:t>three</w:t>
      </w:r>
      <w:r w:rsidR="00580B1E">
        <w:t xml:space="preserve"> independent</w:t>
      </w:r>
      <w:r w:rsidR="00350D87">
        <w:t xml:space="preserve"> variables (sales volume</w:t>
      </w:r>
      <w:r w:rsidRPr="00F40543">
        <w:t>, revenues, and number of customers) by end-use sector and geographic region.  The models are then applied to estimate data for entities no</w:t>
      </w:r>
      <w:r w:rsidR="00350D87">
        <w:t xml:space="preserve">t in the </w:t>
      </w:r>
      <w:r w:rsidR="00CA402A">
        <w:t xml:space="preserve">Form </w:t>
      </w:r>
      <w:r w:rsidR="00350D87">
        <w:t>EIA-8</w:t>
      </w:r>
      <w:r w:rsidR="00C77A3A">
        <w:t>61M</w:t>
      </w:r>
      <w:r w:rsidR="00350D87">
        <w:t xml:space="preserve"> monthly sample</w:t>
      </w:r>
      <w:r w:rsidRPr="00F40543">
        <w:t xml:space="preserve"> but with valid annual </w:t>
      </w:r>
      <w:r w:rsidR="00CA402A">
        <w:t xml:space="preserve">Form </w:t>
      </w:r>
      <w:r w:rsidRPr="00F40543">
        <w:t xml:space="preserve">EIA-861 data.  The same model is used to </w:t>
      </w:r>
      <w:r w:rsidR="00350D87">
        <w:t xml:space="preserve">impute for non-respondents and cases </w:t>
      </w:r>
      <w:r w:rsidRPr="00F40543">
        <w:t>where submitted data fails EIA</w:t>
      </w:r>
      <w:r w:rsidR="00350D87">
        <w:t xml:space="preserve">’s </w:t>
      </w:r>
      <w:r w:rsidRPr="00F40543">
        <w:t xml:space="preserve">data </w:t>
      </w:r>
      <w:r w:rsidR="00350D87">
        <w:t>review</w:t>
      </w:r>
      <w:r w:rsidRPr="00F40543">
        <w:t xml:space="preserve">.  </w:t>
      </w:r>
      <w:r w:rsidR="00350D87">
        <w:t>Data for which EIA has a complete census each month –</w:t>
      </w:r>
      <w:r w:rsidRPr="00F40543">
        <w:t xml:space="preserve"> </w:t>
      </w:r>
      <w:r w:rsidR="00350D87">
        <w:t xml:space="preserve">that is, </w:t>
      </w:r>
      <w:r w:rsidRPr="00F40543">
        <w:t xml:space="preserve">retail </w:t>
      </w:r>
      <w:r w:rsidR="00350D87">
        <w:t>power marketers</w:t>
      </w:r>
      <w:r w:rsidRPr="00F40543">
        <w:t xml:space="preserve"> and </w:t>
      </w:r>
      <w:r w:rsidR="00350D87">
        <w:t xml:space="preserve">the </w:t>
      </w:r>
      <w:r w:rsidRPr="00F40543">
        <w:t xml:space="preserve">electric </w:t>
      </w:r>
      <w:r w:rsidR="00350D87">
        <w:t xml:space="preserve">utilities that provide </w:t>
      </w:r>
      <w:r w:rsidRPr="00F40543">
        <w:t xml:space="preserve">distribution services for </w:t>
      </w:r>
      <w:r w:rsidR="00350D87">
        <w:t>the marketers</w:t>
      </w:r>
      <w:r w:rsidR="00180B40">
        <w:rPr>
          <w:rStyle w:val="FootnoteReference"/>
        </w:rPr>
        <w:footnoteReference w:id="6"/>
      </w:r>
      <w:r w:rsidR="00350D87">
        <w:t xml:space="preserve"> --</w:t>
      </w:r>
      <w:r w:rsidRPr="00F40543">
        <w:t xml:space="preserve"> </w:t>
      </w:r>
      <w:r w:rsidR="00350D87">
        <w:t>is</w:t>
      </w:r>
      <w:r w:rsidRPr="00F40543">
        <w:t xml:space="preserve"> added to the </w:t>
      </w:r>
      <w:r w:rsidR="00350D87">
        <w:t xml:space="preserve">sampled and estimated </w:t>
      </w:r>
      <w:r w:rsidRPr="00F40543">
        <w:t>values to obtain monthly esti</w:t>
      </w:r>
      <w:r w:rsidR="00180B40">
        <w:t>mates for the entire universe.</w:t>
      </w:r>
    </w:p>
    <w:p w14:paraId="5A168FB1" w14:textId="77777777" w:rsidR="007215CB" w:rsidRPr="0059709E" w:rsidRDefault="007215CB" w:rsidP="0059709E">
      <w:pPr>
        <w:spacing w:before="240"/>
      </w:pPr>
      <w:r w:rsidRPr="00F40543">
        <w:t xml:space="preserve">The monthly cutoff sample thresholds for the </w:t>
      </w:r>
      <w:r>
        <w:t xml:space="preserve">Form </w:t>
      </w:r>
      <w:r w:rsidRPr="00F40543">
        <w:t>EIA-8</w:t>
      </w:r>
      <w:r>
        <w:t>61M will be</w:t>
      </w:r>
      <w:r w:rsidRPr="00F40543">
        <w:t xml:space="preserve"> selected based on the criterion of having estimated relative standard error (RSE) values less than 1 percent for all data published at the state </w:t>
      </w:r>
      <w:r>
        <w:t xml:space="preserve">level </w:t>
      </w:r>
      <w:r w:rsidRPr="00F40543">
        <w:t>by end-use sector.  The RSE is a percentage measure of the precision of a survey statistic and is used in part as one way to measure error introduced by using model-based predicted monthly values in place of missing and non-sampled data for the quantities of interest (revenues, sales, and number of customers).  Threshold values for the cutoff sampling have been adjusted over time to maintain low RSEs for the published estimates.</w:t>
      </w:r>
    </w:p>
    <w:p w14:paraId="2E936B6B" w14:textId="77777777" w:rsidR="0059709E" w:rsidRPr="0059709E" w:rsidRDefault="00F40543" w:rsidP="0059709E">
      <w:pPr>
        <w:spacing w:before="240"/>
      </w:pPr>
      <w:r w:rsidRPr="00F40543">
        <w:t xml:space="preserve">In past years, EIA had </w:t>
      </w:r>
      <w:r w:rsidR="00717829">
        <w:t xml:space="preserve">Form </w:t>
      </w:r>
      <w:r w:rsidRPr="00F40543">
        <w:t xml:space="preserve">EIA-861 data for the universe of respondents that were one or two years old.  However, with the </w:t>
      </w:r>
      <w:r w:rsidR="00717829">
        <w:t xml:space="preserve">2013 </w:t>
      </w:r>
      <w:r w:rsidRPr="00F40543">
        <w:t xml:space="preserve">change in the </w:t>
      </w:r>
      <w:r w:rsidR="00717829">
        <w:t xml:space="preserve">Form </w:t>
      </w:r>
      <w:r w:rsidRPr="00F40543">
        <w:t xml:space="preserve">EIA-861 from a survey of the respondent universe to a sample, EIA </w:t>
      </w:r>
      <w:r w:rsidR="007215CB">
        <w:t>had</w:t>
      </w:r>
      <w:r w:rsidRPr="00F40543">
        <w:t xml:space="preserve"> data for the respondent universe that </w:t>
      </w:r>
      <w:r w:rsidR="007215CB">
        <w:t>was</w:t>
      </w:r>
      <w:r w:rsidRPr="00F40543">
        <w:t xml:space="preserve"> one</w:t>
      </w:r>
      <w:r w:rsidR="00717829">
        <w:t>-</w:t>
      </w:r>
      <w:r w:rsidRPr="00F40543">
        <w:t>to</w:t>
      </w:r>
      <w:r w:rsidR="00717829">
        <w:t>-</w:t>
      </w:r>
      <w:r w:rsidRPr="00F40543">
        <w:t>six years old.  As noted in section B.2.1 of the EIA clearance package submitted in October 2012, EIA research indicate</w:t>
      </w:r>
      <w:r w:rsidR="007215CB">
        <w:t>d</w:t>
      </w:r>
      <w:r w:rsidRPr="00F40543">
        <w:t xml:space="preserve"> that this w</w:t>
      </w:r>
      <w:r w:rsidR="007215CB">
        <w:t>ould</w:t>
      </w:r>
      <w:r w:rsidRPr="00F40543">
        <w:t xml:space="preserve"> not adversely impact the accuracy of the estimates.</w:t>
      </w:r>
    </w:p>
    <w:p w14:paraId="688CB3D9" w14:textId="77777777" w:rsidR="007215CB" w:rsidRDefault="007215CB" w:rsidP="006C3B7D">
      <w:r>
        <w:t xml:space="preserve">As already described above, the entities excluded from reporting </w:t>
      </w:r>
      <w:r w:rsidR="001201B7">
        <w:t>on</w:t>
      </w:r>
      <w:r>
        <w:t xml:space="preserve"> the Form EIA-861 </w:t>
      </w:r>
      <w:r w:rsidR="00AB3E2B">
        <w:t>that</w:t>
      </w:r>
      <w:r>
        <w:t xml:space="preserve"> subsequently became the respondents to the Form EIA-861S accounted for approximately 1 percent of total retail sales, and it was determined that the model-based estimation methodologies then (and </w:t>
      </w:r>
      <w:r w:rsidR="00A07F73">
        <w:t>presently</w:t>
      </w:r>
      <w:r>
        <w:t>) employed for Form EIA-861’s monthly version, Form EIA-861M, provide sufficiently accurate imputed/predicted values for these entities. The Form EIA-861M is a smaller cutoff sample of the Form EIA-861, and its model-based estimation methodologies are generally weighted least-squares regressions. The retail sales, revenue</w:t>
      </w:r>
      <w:r w:rsidR="00A07F73">
        <w:t>,</w:t>
      </w:r>
      <w:r>
        <w:t xml:space="preserve"> and customer counts reported on the most recently completed Form EIA-861 census cycle are utilized as regressor data.</w:t>
      </w:r>
    </w:p>
    <w:p w14:paraId="78DC6CB6" w14:textId="77777777" w:rsidR="007215CB" w:rsidRDefault="007215CB" w:rsidP="007215CB">
      <w:pPr>
        <w:pStyle w:val="NoSpacing"/>
      </w:pPr>
    </w:p>
    <w:p w14:paraId="271F3EA5" w14:textId="34ADABA4" w:rsidR="007215CB" w:rsidRPr="0059709E" w:rsidRDefault="007215CB" w:rsidP="007215CB">
      <w:pPr>
        <w:spacing w:before="240"/>
      </w:pPr>
      <w:r w:rsidRPr="002F38DF">
        <w:t xml:space="preserve">The present proposal to further decrease the frequency of </w:t>
      </w:r>
      <w:r w:rsidR="00AA30A1">
        <w:t xml:space="preserve">the need for Form </w:t>
      </w:r>
      <w:r w:rsidR="00AA30A1" w:rsidRPr="002F38DF">
        <w:t>EIA-861S respondents</w:t>
      </w:r>
      <w:r w:rsidR="00AA30A1">
        <w:t xml:space="preserve"> to </w:t>
      </w:r>
      <w:r w:rsidRPr="002F38DF">
        <w:t>report</w:t>
      </w:r>
      <w:r w:rsidR="00AA30A1">
        <w:t xml:space="preserve"> on</w:t>
      </w:r>
      <w:r w:rsidRPr="002F38DF">
        <w:t xml:space="preserve"> </w:t>
      </w:r>
      <w:r w:rsidR="00A56B79">
        <w:t xml:space="preserve">Form </w:t>
      </w:r>
      <w:r w:rsidRPr="002F38DF">
        <w:t xml:space="preserve">EIA-861 </w:t>
      </w:r>
      <w:r>
        <w:t xml:space="preserve">from every five years to every eight years </w:t>
      </w:r>
      <w:r w:rsidRPr="002F38DF">
        <w:t xml:space="preserve">is a result of EIA’s extensive simulations using historical EIA-861 data. </w:t>
      </w:r>
      <w:r w:rsidR="00831707" w:rsidRPr="00FE4FE6">
        <w:rPr>
          <w:rFonts w:asciiTheme="minorHAnsi" w:hAnsiTheme="minorHAnsi" w:cs="Arial"/>
        </w:rPr>
        <w:t xml:space="preserve">A sequence of estimates were made for </w:t>
      </w:r>
      <w:r w:rsidR="00046F06">
        <w:rPr>
          <w:rFonts w:asciiTheme="minorHAnsi" w:hAnsiTheme="minorHAnsi" w:cs="Arial"/>
        </w:rPr>
        <w:t>2014 data</w:t>
      </w:r>
      <w:r w:rsidR="00831707" w:rsidRPr="00FE4FE6">
        <w:rPr>
          <w:rFonts w:asciiTheme="minorHAnsi" w:hAnsiTheme="minorHAnsi" w:cs="Arial"/>
        </w:rPr>
        <w:t xml:space="preserve"> (</w:t>
      </w:r>
      <w:r w:rsidR="00046F06">
        <w:rPr>
          <w:rFonts w:asciiTheme="minorHAnsi" w:hAnsiTheme="minorHAnsi" w:cs="Arial"/>
        </w:rPr>
        <w:t>dependent variable</w:t>
      </w:r>
      <w:r w:rsidR="00831707" w:rsidRPr="00FE4FE6">
        <w:rPr>
          <w:rFonts w:asciiTheme="minorHAnsi" w:hAnsiTheme="minorHAnsi" w:cs="Arial"/>
        </w:rPr>
        <w:t xml:space="preserve">) using </w:t>
      </w:r>
      <w:r w:rsidR="00046F06">
        <w:rPr>
          <w:rFonts w:asciiTheme="minorHAnsi" w:hAnsiTheme="minorHAnsi" w:cs="Arial"/>
        </w:rPr>
        <w:t xml:space="preserve">each historical year (2004-2013) </w:t>
      </w:r>
      <w:r w:rsidR="00831707" w:rsidRPr="00FE4FE6">
        <w:rPr>
          <w:rFonts w:asciiTheme="minorHAnsi" w:hAnsiTheme="minorHAnsi" w:cs="Arial"/>
        </w:rPr>
        <w:t>as the independent variable</w:t>
      </w:r>
      <w:r w:rsidR="00831707">
        <w:rPr>
          <w:rFonts w:asciiTheme="minorHAnsi" w:hAnsiTheme="minorHAnsi" w:cs="Arial"/>
        </w:rPr>
        <w:t>.</w:t>
      </w:r>
      <w:r w:rsidR="00831707" w:rsidRPr="002F38DF">
        <w:t xml:space="preserve"> </w:t>
      </w:r>
      <w:r w:rsidRPr="002F38DF">
        <w:t xml:space="preserve">EIA tested and confirmed the validity of the described sampling and estimation strategy by using less </w:t>
      </w:r>
      <w:r>
        <w:t>recent but</w:t>
      </w:r>
      <w:r w:rsidRPr="002F38DF">
        <w:t xml:space="preserve"> relevant regressor data. These simulations </w:t>
      </w:r>
      <w:r w:rsidR="00D51F44">
        <w:t>assume</w:t>
      </w:r>
      <w:r w:rsidR="00AA30A1">
        <w:t>d</w:t>
      </w:r>
      <w:r w:rsidRPr="002F38DF">
        <w:t xml:space="preserve"> that the total census frame is maintained every year on Form EIA-861S to prevent over/under respondent imputation.  </w:t>
      </w:r>
      <w:r w:rsidR="00D51F44">
        <w:rPr>
          <w:rStyle w:val="CommentReference"/>
        </w:rPr>
        <w:commentReference w:id="5"/>
      </w:r>
    </w:p>
    <w:p w14:paraId="74B30B04" w14:textId="77777777" w:rsidR="007E4A34" w:rsidRDefault="00F40543" w:rsidP="00D437EA">
      <w:pPr>
        <w:spacing w:before="240"/>
        <w:jc w:val="left"/>
      </w:pPr>
      <w:r w:rsidRPr="00F40543">
        <w:t>For a general description of cutoff sampling as applied at EIA, see “Model-Based Sampling, Inference and Imputation” at</w:t>
      </w:r>
      <w:r w:rsidR="007E4A34">
        <w:t xml:space="preserve"> </w:t>
      </w:r>
      <w:hyperlink r:id="rId18" w:history="1">
        <w:r w:rsidR="004A54F9" w:rsidRPr="004A54F9">
          <w:rPr>
            <w:rStyle w:val="Hyperlink"/>
          </w:rPr>
          <w:t>https://www.eia.gov/electricity/data/methodology/eiawebme.pdf</w:t>
        </w:r>
      </w:hyperlink>
      <w:r w:rsidR="00717829">
        <w:t>.</w:t>
      </w:r>
    </w:p>
    <w:p w14:paraId="13BA98CF" w14:textId="77777777" w:rsidR="0059709E" w:rsidRPr="0059709E" w:rsidRDefault="00F40543" w:rsidP="0059709E">
      <w:pPr>
        <w:spacing w:before="240"/>
        <w:rPr>
          <w:b/>
        </w:rPr>
      </w:pPr>
      <w:r w:rsidRPr="00F40543">
        <w:rPr>
          <w:b/>
        </w:rPr>
        <w:t>Form EIA-923</w:t>
      </w:r>
    </w:p>
    <w:p w14:paraId="7884F684" w14:textId="77777777" w:rsidR="0059709E" w:rsidRPr="0059709E" w:rsidRDefault="00F40543" w:rsidP="00CC6A4B">
      <w:pPr>
        <w:rPr>
          <w:i/>
        </w:rPr>
      </w:pPr>
      <w:r w:rsidRPr="00F40543">
        <w:rPr>
          <w:i/>
        </w:rPr>
        <w:t xml:space="preserve">Note: This clearance </w:t>
      </w:r>
      <w:r w:rsidR="00081EE3">
        <w:rPr>
          <w:i/>
        </w:rPr>
        <w:t xml:space="preserve">contains a proposal to revise the </w:t>
      </w:r>
      <w:r w:rsidR="00A56B79">
        <w:rPr>
          <w:i/>
        </w:rPr>
        <w:t xml:space="preserve">Form </w:t>
      </w:r>
      <w:r w:rsidR="00081EE3">
        <w:rPr>
          <w:i/>
        </w:rPr>
        <w:t>EIA-923 cutoff sampling methodology.</w:t>
      </w:r>
    </w:p>
    <w:p w14:paraId="1FF2246F" w14:textId="77777777" w:rsidR="0059709E" w:rsidRPr="0059709E" w:rsidRDefault="00F40543" w:rsidP="0059709E">
      <w:pPr>
        <w:spacing w:before="240"/>
      </w:pPr>
      <w:r w:rsidRPr="00F40543">
        <w:t xml:space="preserve">The </w:t>
      </w:r>
      <w:r w:rsidR="00717829">
        <w:t xml:space="preserve">Form </w:t>
      </w:r>
      <w:r w:rsidRPr="00F40543">
        <w:t xml:space="preserve">EIA-923 is a monthly and annual survey of electric power plants.  The survey collects information that includes </w:t>
      </w:r>
      <w:r w:rsidRPr="00F40543">
        <w:rPr>
          <w:bCs/>
        </w:rPr>
        <w:t>electric power generation, energy source consumption, end of reporting period fossil fuel stocks, as well as the quality and cost of fossil fuel receipts.</w:t>
      </w:r>
    </w:p>
    <w:p w14:paraId="276C812E" w14:textId="77777777" w:rsidR="0059709E" w:rsidRPr="0059709E" w:rsidRDefault="00F40543" w:rsidP="0059709E">
      <w:pPr>
        <w:spacing w:before="240"/>
      </w:pPr>
      <w:r w:rsidRPr="00F40543">
        <w:t xml:space="preserve">A </w:t>
      </w:r>
      <w:r w:rsidR="00945DB3">
        <w:t xml:space="preserve">revised and more efficient model-based </w:t>
      </w:r>
      <w:r w:rsidRPr="00F40543">
        <w:t xml:space="preserve">cutoff sampling methodology is </w:t>
      </w:r>
      <w:r w:rsidR="00945DB3">
        <w:t xml:space="preserve">being proposed </w:t>
      </w:r>
      <w:r w:rsidRPr="00F40543">
        <w:t xml:space="preserve">for the Form EIA-923.  EIA utilizes cutoff sampling to reduce the burden on smaller capacity plants and EIA’s own workload.  EIA collects monthly data on the </w:t>
      </w:r>
      <w:r w:rsidR="00717829">
        <w:t xml:space="preserve">Form </w:t>
      </w:r>
      <w:r w:rsidRPr="00F40543">
        <w:t>EIA-923 from respondents</w:t>
      </w:r>
      <w:r w:rsidR="003D7131">
        <w:t xml:space="preserve"> (i.e., plants)</w:t>
      </w:r>
      <w:r w:rsidRPr="00F40543">
        <w:t xml:space="preserve"> with a large energy capacity and collects annual totals at the end of the reporting year on the </w:t>
      </w:r>
      <w:r w:rsidR="00717829">
        <w:t xml:space="preserve">Form </w:t>
      </w:r>
      <w:r w:rsidRPr="00F40543">
        <w:t>EIA-923 from plants with a</w:t>
      </w:r>
      <w:r w:rsidR="00717829">
        <w:t xml:space="preserve"> </w:t>
      </w:r>
      <w:r w:rsidRPr="00F40543">
        <w:t xml:space="preserve">small energy capacity.   The monthly sample is selected from the </w:t>
      </w:r>
      <w:r w:rsidR="00717829">
        <w:t xml:space="preserve">Form </w:t>
      </w:r>
      <w:r w:rsidRPr="00F40543">
        <w:t>EIA-860 sampling frame of electric power plants.  With the combination of monthly and annual respondents</w:t>
      </w:r>
      <w:r w:rsidR="00717829">
        <w:t>,</w:t>
      </w:r>
      <w:r w:rsidRPr="00F40543">
        <w:t xml:space="preserve"> </w:t>
      </w:r>
      <w:r w:rsidR="005F07CB">
        <w:t xml:space="preserve">the </w:t>
      </w:r>
      <w:r w:rsidR="00717829">
        <w:t xml:space="preserve">Form </w:t>
      </w:r>
      <w:r w:rsidRPr="00F40543">
        <w:t>EIA</w:t>
      </w:r>
      <w:r w:rsidR="005F07CB">
        <w:t>-923</w:t>
      </w:r>
      <w:r w:rsidRPr="00F40543">
        <w:t xml:space="preserve"> achieves a full census of </w:t>
      </w:r>
      <w:r w:rsidR="005F07CB">
        <w:t xml:space="preserve">operational </w:t>
      </w:r>
      <w:r w:rsidR="003D7131">
        <w:t xml:space="preserve">and standby </w:t>
      </w:r>
      <w:r w:rsidRPr="00F40543">
        <w:t>power plants with generation capacity of at least 1MW.</w:t>
      </w:r>
    </w:p>
    <w:p w14:paraId="08A486CC" w14:textId="77777777" w:rsidR="0059709E" w:rsidRPr="0059709E" w:rsidRDefault="00F40543" w:rsidP="004A54F9">
      <w:pPr>
        <w:spacing w:before="240"/>
      </w:pPr>
      <w:r w:rsidRPr="00F40543">
        <w:t xml:space="preserve">Since a cutoff sample is used, EIA predicts values for the smaller plants using weighted </w:t>
      </w:r>
      <w:r w:rsidRPr="00DF4DE4">
        <w:t>linear regression models</w:t>
      </w:r>
      <w:r w:rsidR="005F07CB" w:rsidRPr="00DF4DE4">
        <w:t xml:space="preserve"> </w:t>
      </w:r>
      <w:r w:rsidR="000862FD" w:rsidRPr="00DF4DE4">
        <w:t>depending on the module estimated</w:t>
      </w:r>
      <w:r w:rsidRPr="00DF4DE4">
        <w:t>.</w:t>
      </w:r>
      <w:r w:rsidRPr="00F40543">
        <w:t xml:space="preserve">  EIA can </w:t>
      </w:r>
      <w:r w:rsidR="008017DD">
        <w:t>estimate</w:t>
      </w:r>
      <w:r w:rsidRPr="00F40543">
        <w:t xml:space="preserve"> values for out-of-sample plants in current time, because there is a census of the previous year’s data; i.e., regressor data.  </w:t>
      </w:r>
      <w:r w:rsidR="004A54F9">
        <w:t>See Equation (1) above for details.</w:t>
      </w:r>
    </w:p>
    <w:p w14:paraId="2AD405B8" w14:textId="77777777" w:rsidR="005F07CB" w:rsidRPr="0059709E" w:rsidRDefault="005F07CB" w:rsidP="005F07CB">
      <w:pPr>
        <w:spacing w:before="240"/>
      </w:pPr>
      <w:r w:rsidRPr="00F40543">
        <w:t xml:space="preserve">Nameplate capacity was used as the measure of size in the original sample selection process and its high correlation with other data elements on the Form EIA-923 ensured good coverage results for other reported values. </w:t>
      </w:r>
      <w:r w:rsidR="00DF4DE4">
        <w:t xml:space="preserve"> </w:t>
      </w:r>
      <w:r w:rsidRPr="00F40543">
        <w:t>Since then, sample validation studies were conducted on fuel consumption, receipts, costs</w:t>
      </w:r>
      <w:r w:rsidR="00A07F73">
        <w:t>,</w:t>
      </w:r>
      <w:r w:rsidRPr="00F40543">
        <w:t xml:space="preserve"> and stocks</w:t>
      </w:r>
      <w:r w:rsidR="00DF4DE4">
        <w:t>,</w:t>
      </w:r>
      <w:r w:rsidRPr="00F40543">
        <w:t xml:space="preserve"> and the sampling methodology was adjusted accordingly.</w:t>
      </w:r>
    </w:p>
    <w:p w14:paraId="22EC33DF" w14:textId="77777777" w:rsidR="005F07CB" w:rsidRPr="0059709E" w:rsidRDefault="005F07CB" w:rsidP="005F07CB">
      <w:pPr>
        <w:spacing w:before="240"/>
      </w:pPr>
      <w:r w:rsidRPr="00F40543">
        <w:t xml:space="preserve">The sampling strata are defined by facility type, energy source, and geographic region.  For instance, one stratum is identified as electric utilities burning coal in the South Atlantic Census Division. </w:t>
      </w:r>
      <w:r w:rsidR="00DF4DE4">
        <w:t xml:space="preserve"> </w:t>
      </w:r>
      <w:r w:rsidRPr="00F40543">
        <w:t xml:space="preserve">There are four facility types: electric utilities, independent power producers, commercial facilities, and industrial facilities; 14 energy source categories, which correspond to the energy source classifications used in the </w:t>
      </w:r>
      <w:r w:rsidRPr="00F40543">
        <w:rPr>
          <w:i/>
          <w:iCs/>
        </w:rPr>
        <w:t xml:space="preserve">Electric Power Monthly </w:t>
      </w:r>
      <w:r w:rsidRPr="00F40543">
        <w:t>(EPM); and 10 geographic groups, which correspond to the 10 modified Census divisions published in the EPM.</w:t>
      </w:r>
    </w:p>
    <w:p w14:paraId="5A8EA530" w14:textId="77777777" w:rsidR="0059709E" w:rsidRPr="0059709E" w:rsidRDefault="004B1C1B" w:rsidP="0059709E">
      <w:pPr>
        <w:spacing w:before="240"/>
      </w:pPr>
      <w:r w:rsidRPr="00915D1B">
        <w:t>T</w:t>
      </w:r>
      <w:r w:rsidR="00F40543" w:rsidRPr="00915D1B">
        <w:t xml:space="preserve">he original Form EIA-923 </w:t>
      </w:r>
      <w:r w:rsidRPr="00915D1B">
        <w:t xml:space="preserve">monthly </w:t>
      </w:r>
      <w:r w:rsidR="00F40543" w:rsidRPr="00915D1B">
        <w:t>sample was selected with the 2008 data collection cycle</w:t>
      </w:r>
      <w:r w:rsidRPr="00915D1B">
        <w:t>.  By the inception of the 201</w:t>
      </w:r>
      <w:r w:rsidR="006F2329">
        <w:t>5</w:t>
      </w:r>
      <w:r w:rsidRPr="00915D1B">
        <w:t xml:space="preserve"> collection cycle</w:t>
      </w:r>
      <w:r w:rsidR="00CC6A4B" w:rsidRPr="00915D1B">
        <w:t>,</w:t>
      </w:r>
      <w:r w:rsidR="00E434D5" w:rsidRPr="00915D1B">
        <w:t xml:space="preserve"> </w:t>
      </w:r>
      <w:r w:rsidR="00C7588D">
        <w:t xml:space="preserve">nearly 1,750 </w:t>
      </w:r>
      <w:r w:rsidR="00F40543" w:rsidRPr="00915D1B">
        <w:t xml:space="preserve">plants have been added to the monthly sample to maintain the targeted sample coverage ratios. </w:t>
      </w:r>
      <w:r w:rsidR="00CC6A4B" w:rsidRPr="00915D1B">
        <w:t xml:space="preserve"> </w:t>
      </w:r>
      <w:r w:rsidR="00F40543" w:rsidRPr="00915D1B">
        <w:t>These sample additio</w:t>
      </w:r>
      <w:r w:rsidRPr="00915D1B">
        <w:t xml:space="preserve">ns are necessary as new </w:t>
      </w:r>
      <w:r w:rsidR="00F40543" w:rsidRPr="00915D1B">
        <w:t xml:space="preserve">large plants become operational. </w:t>
      </w:r>
      <w:r w:rsidR="00CC6A4B" w:rsidRPr="00915D1B">
        <w:t xml:space="preserve"> </w:t>
      </w:r>
      <w:r w:rsidRPr="00915D1B">
        <w:t>EIA intends to conduct f</w:t>
      </w:r>
      <w:r w:rsidR="00F40543" w:rsidRPr="00915D1B">
        <w:t>uture sample validation studies</w:t>
      </w:r>
      <w:r w:rsidRPr="00915D1B">
        <w:t xml:space="preserve"> as the universe of power plants changes to </w:t>
      </w:r>
      <w:r w:rsidR="00CC6A4B" w:rsidRPr="00915D1B">
        <w:t>reassess sample size.</w:t>
      </w:r>
    </w:p>
    <w:p w14:paraId="2D63FE9A" w14:textId="77777777" w:rsidR="0059709E" w:rsidRPr="00994072" w:rsidRDefault="00F40543" w:rsidP="0059709E">
      <w:pPr>
        <w:spacing w:before="240"/>
        <w:rPr>
          <w:b/>
          <w:bCs/>
        </w:rPr>
      </w:pPr>
      <w:r w:rsidRPr="00994072">
        <w:rPr>
          <w:b/>
          <w:bCs/>
        </w:rPr>
        <w:t>Form EIA-923 Sample Selection Criteria</w:t>
      </w:r>
    </w:p>
    <w:p w14:paraId="702B1D74" w14:textId="77777777" w:rsidR="0059709E" w:rsidRPr="00994072" w:rsidRDefault="00F40543" w:rsidP="00CC6A4B">
      <w:r w:rsidRPr="00994072">
        <w:t xml:space="preserve">The Form EIA-923 sampling methodology provides accurate results while minimizing the burden on the industry and the </w:t>
      </w:r>
      <w:r w:rsidR="00A07F73">
        <w:t>f</w:t>
      </w:r>
      <w:r w:rsidRPr="00994072">
        <w:t xml:space="preserve">ederal </w:t>
      </w:r>
      <w:r w:rsidR="00A07F73">
        <w:t>g</w:t>
      </w:r>
      <w:r w:rsidRPr="00994072">
        <w:t>overnment.  The following five steps are used in selecting plants for the monthly sample:</w:t>
      </w:r>
    </w:p>
    <w:p w14:paraId="4115DE3B" w14:textId="77777777" w:rsidR="0059709E" w:rsidRPr="00994072" w:rsidRDefault="00F40543" w:rsidP="00CC6A4B">
      <w:pPr>
        <w:spacing w:before="240"/>
        <w:ind w:left="720" w:hanging="360"/>
      </w:pPr>
      <w:r w:rsidRPr="00994072">
        <w:t>1.</w:t>
      </w:r>
      <w:r w:rsidRPr="00994072">
        <w:tab/>
        <w:t>Select preliminary cutoff samples based on nameplate capacity values</w:t>
      </w:r>
    </w:p>
    <w:p w14:paraId="7EFB5745" w14:textId="77777777" w:rsidR="0059709E" w:rsidRPr="00994072" w:rsidRDefault="00F40543" w:rsidP="00CC6A4B">
      <w:pPr>
        <w:spacing w:before="240"/>
        <w:ind w:left="720" w:hanging="360"/>
      </w:pPr>
      <w:r w:rsidRPr="00994072">
        <w:t>2.</w:t>
      </w:r>
      <w:r w:rsidRPr="00994072">
        <w:tab/>
        <w:t>Add sample units, where necessary, based on generation, consumption</w:t>
      </w:r>
      <w:r w:rsidR="00A07F73">
        <w:t>,</w:t>
      </w:r>
      <w:r w:rsidRPr="00994072">
        <w:t xml:space="preserve"> and stocks</w:t>
      </w:r>
    </w:p>
    <w:p w14:paraId="0B4FEA1B" w14:textId="77777777" w:rsidR="0059709E" w:rsidRPr="00994072" w:rsidRDefault="00F40543" w:rsidP="00CC6A4B">
      <w:pPr>
        <w:spacing w:before="240"/>
        <w:ind w:left="720" w:hanging="360"/>
      </w:pPr>
      <w:r w:rsidRPr="00994072">
        <w:t>3.</w:t>
      </w:r>
      <w:r w:rsidRPr="00994072">
        <w:tab/>
        <w:t>Add sample units, where necessary, to provide adequate sample counts for estimation groups</w:t>
      </w:r>
    </w:p>
    <w:p w14:paraId="13D4C0FD" w14:textId="77777777" w:rsidR="0059709E" w:rsidRPr="00994072" w:rsidRDefault="00F40543" w:rsidP="00CC6A4B">
      <w:pPr>
        <w:spacing w:before="240"/>
        <w:ind w:left="720" w:hanging="360"/>
      </w:pPr>
      <w:r w:rsidRPr="00994072">
        <w:t>4.</w:t>
      </w:r>
      <w:r w:rsidRPr="00994072">
        <w:tab/>
        <w:t>Add sample units, where necessary, to reduce relative standard errors (RSEs) of key estimates to acceptable levels</w:t>
      </w:r>
    </w:p>
    <w:p w14:paraId="63FC5FB5" w14:textId="77777777" w:rsidR="0059709E" w:rsidRPr="00994072" w:rsidRDefault="00F40543" w:rsidP="00CC6A4B">
      <w:pPr>
        <w:spacing w:before="240"/>
        <w:ind w:left="720" w:hanging="360"/>
      </w:pPr>
      <w:r w:rsidRPr="00994072">
        <w:t>5.</w:t>
      </w:r>
      <w:r w:rsidRPr="00994072">
        <w:tab/>
        <w:t>Add other facilities, based on special-case criteria</w:t>
      </w:r>
    </w:p>
    <w:p w14:paraId="63F08CA0" w14:textId="77777777" w:rsidR="0059709E" w:rsidRPr="00994072" w:rsidRDefault="00F40543" w:rsidP="0059709E">
      <w:pPr>
        <w:spacing w:before="240"/>
      </w:pPr>
      <w:r w:rsidRPr="00994072">
        <w:t>The first three steps were designed to ensure adequate coverage of the target population by including all of the largest contributors to key data elements.  The fourth step helps ensure that the published estimates meet reasonable reliability standards, which is the key goal, given acceptable resource expenditure.  The final criterion covers special cases, as described below.</w:t>
      </w:r>
    </w:p>
    <w:p w14:paraId="1E4FC938" w14:textId="77777777" w:rsidR="00CC6A4B" w:rsidRPr="00994072" w:rsidRDefault="00F40543" w:rsidP="0059709E">
      <w:pPr>
        <w:spacing w:before="240"/>
      </w:pPr>
      <w:r w:rsidRPr="00994072">
        <w:t>Facilities in the target population that meet any one of the sample selection criteria applied at any of the five steps are included in the final sample.  Further, any additional prime movers and energy sources used by a sample facility are also included in the sample</w:t>
      </w:r>
      <w:r w:rsidR="00CC6A4B" w:rsidRPr="00994072">
        <w:t>,</w:t>
      </w:r>
      <w:r w:rsidRPr="00994072">
        <w:t xml:space="preserve"> even if they individually did not meet any of the sample selection criteria.</w:t>
      </w:r>
    </w:p>
    <w:p w14:paraId="75E71CD1" w14:textId="77777777" w:rsidR="0059709E" w:rsidRPr="00994072" w:rsidRDefault="00F40543" w:rsidP="0059709E">
      <w:pPr>
        <w:spacing w:before="240"/>
      </w:pPr>
      <w:r w:rsidRPr="00994072">
        <w:t xml:space="preserve">Each sample facility reports data </w:t>
      </w:r>
      <w:r w:rsidR="00CC6A4B" w:rsidRPr="00994072">
        <w:t xml:space="preserve">each month </w:t>
      </w:r>
      <w:r w:rsidRPr="00994072">
        <w:t>for all combinations of prime mover and fuel source.  All nuclear and pumped storage facilities are included in the monthly sample.  The remainder of this section provides further detail on the sampling steps.</w:t>
      </w:r>
    </w:p>
    <w:p w14:paraId="3E4975F6" w14:textId="77777777" w:rsidR="0059709E" w:rsidRPr="00994072" w:rsidRDefault="00F40543" w:rsidP="0059709E">
      <w:pPr>
        <w:spacing w:before="240"/>
        <w:rPr>
          <w:b/>
        </w:rPr>
      </w:pPr>
      <w:r w:rsidRPr="00994072">
        <w:rPr>
          <w:b/>
        </w:rPr>
        <w:t>Step 1: Select Cutoff Samples Based on Nameplate Capacity.</w:t>
      </w:r>
    </w:p>
    <w:p w14:paraId="233F37E9" w14:textId="77777777" w:rsidR="0059709E" w:rsidRPr="00994072" w:rsidRDefault="00F40543" w:rsidP="00CC6A4B">
      <w:r w:rsidRPr="00994072">
        <w:t xml:space="preserve">Pre-determined capacity coverage percentages are tested to ensure a certain proportion of operational Form EIA-860 capacity is covered within each stratum.  Stand-by generators are not included in the operational capacity totals when data are aggregated to the level of prime mover, and only the largest consumed fuel source for each generator </w:t>
      </w:r>
      <w:r w:rsidR="00D041DA" w:rsidRPr="00994072">
        <w:t xml:space="preserve">is </w:t>
      </w:r>
      <w:r w:rsidRPr="00994072">
        <w:t>used in identifying the stratum.</w:t>
      </w:r>
    </w:p>
    <w:p w14:paraId="4B509B71" w14:textId="77777777" w:rsidR="0059709E" w:rsidRPr="00994072" w:rsidRDefault="00F40543" w:rsidP="0059709E">
      <w:pPr>
        <w:spacing w:before="240"/>
      </w:pPr>
      <w:r w:rsidRPr="00994072">
        <w:t>Different target coverage percentages are selected for each facility classification</w:t>
      </w:r>
      <w:r w:rsidR="007A72F5" w:rsidRPr="00994072">
        <w:t xml:space="preserve"> using plants with nameplate cap</w:t>
      </w:r>
      <w:r w:rsidR="00490653" w:rsidRPr="00994072">
        <w:t>a</w:t>
      </w:r>
      <w:r w:rsidR="007A72F5" w:rsidRPr="00994072">
        <w:t xml:space="preserve">city over 25 </w:t>
      </w:r>
      <w:r w:rsidR="000A35CD">
        <w:t>MW</w:t>
      </w:r>
      <w:r w:rsidR="000A35CD" w:rsidRPr="00994072">
        <w:t xml:space="preserve"> </w:t>
      </w:r>
      <w:r w:rsidRPr="00994072">
        <w:t xml:space="preserve">and are applied to all regions and energy sources within each </w:t>
      </w:r>
      <w:r w:rsidR="00AB6A7A" w:rsidRPr="00994072">
        <w:t>facility</w:t>
      </w:r>
      <w:r w:rsidR="00D041DA" w:rsidRPr="00994072">
        <w:t xml:space="preserve"> </w:t>
      </w:r>
      <w:r w:rsidRPr="00994072">
        <w:t>classification.</w:t>
      </w:r>
      <w:r w:rsidR="00180B40" w:rsidRPr="00994072">
        <w:t xml:space="preserve">  </w:t>
      </w:r>
      <w:r w:rsidRPr="00994072">
        <w:t>Otherwise, the percentages of capacity included in the sample are, as follows:</w:t>
      </w:r>
    </w:p>
    <w:p w14:paraId="6E6827EC" w14:textId="77777777" w:rsidR="0059709E" w:rsidRPr="00994072" w:rsidRDefault="00F40543" w:rsidP="00D041DA">
      <w:pPr>
        <w:spacing w:before="240"/>
        <w:ind w:left="720" w:hanging="360"/>
      </w:pPr>
      <w:r w:rsidRPr="00994072">
        <w:t>1.</w:t>
      </w:r>
      <w:r w:rsidRPr="00994072">
        <w:tab/>
        <w:t>Electric utilities – 70 percent</w:t>
      </w:r>
    </w:p>
    <w:p w14:paraId="2CD07BD3" w14:textId="77777777" w:rsidR="0059709E" w:rsidRPr="00994072" w:rsidRDefault="00F40543" w:rsidP="00D041DA">
      <w:pPr>
        <w:spacing w:before="240"/>
        <w:ind w:left="720" w:hanging="360"/>
      </w:pPr>
      <w:r w:rsidRPr="00994072">
        <w:t>2.</w:t>
      </w:r>
      <w:r w:rsidRPr="00994072">
        <w:tab/>
        <w:t>Independent power producers – 70 percent</w:t>
      </w:r>
    </w:p>
    <w:p w14:paraId="552B277E" w14:textId="77777777" w:rsidR="0059709E" w:rsidRPr="00994072" w:rsidRDefault="00F40543" w:rsidP="00D041DA">
      <w:pPr>
        <w:spacing w:before="240"/>
        <w:ind w:left="720" w:hanging="360"/>
      </w:pPr>
      <w:r w:rsidRPr="00994072">
        <w:t>3.</w:t>
      </w:r>
      <w:r w:rsidRPr="00994072">
        <w:tab/>
        <w:t>Commercial facilities – 50 percent</w:t>
      </w:r>
    </w:p>
    <w:p w14:paraId="7396DE71" w14:textId="77777777" w:rsidR="0059709E" w:rsidRPr="00994072" w:rsidRDefault="00F40543" w:rsidP="00D041DA">
      <w:pPr>
        <w:spacing w:before="240"/>
        <w:ind w:left="720" w:hanging="360"/>
      </w:pPr>
      <w:r w:rsidRPr="00994072">
        <w:t>4.</w:t>
      </w:r>
      <w:r w:rsidRPr="00994072">
        <w:tab/>
        <w:t>Industrial facilities – 50 percent</w:t>
      </w:r>
    </w:p>
    <w:p w14:paraId="7DE094CD" w14:textId="77777777" w:rsidR="0059709E" w:rsidRPr="00994072" w:rsidRDefault="00F40543" w:rsidP="0059709E">
      <w:pPr>
        <w:spacing w:before="240"/>
        <w:rPr>
          <w:b/>
        </w:rPr>
      </w:pPr>
      <w:r w:rsidRPr="00994072">
        <w:rPr>
          <w:b/>
        </w:rPr>
        <w:t>Step 2: Add Units Based on Generation, Consumption, and Stocks.</w:t>
      </w:r>
    </w:p>
    <w:p w14:paraId="2BB97123" w14:textId="77777777" w:rsidR="0059709E" w:rsidRPr="00994072" w:rsidRDefault="00F40543" w:rsidP="00D041DA">
      <w:r w:rsidRPr="00994072">
        <w:t>Facilities accounting for large percentages of actual past reported gross generation, fuel consumption, or fuel stocks, are added to the sample, even if their nameplate capacities fall below the percentage cutoff for capacity coverage.</w:t>
      </w:r>
    </w:p>
    <w:p w14:paraId="04361E84" w14:textId="77777777" w:rsidR="0059709E" w:rsidRPr="00994072" w:rsidRDefault="00F40543" w:rsidP="0059709E">
      <w:pPr>
        <w:spacing w:before="240"/>
        <w:rPr>
          <w:b/>
        </w:rPr>
      </w:pPr>
      <w:r w:rsidRPr="00994072">
        <w:rPr>
          <w:b/>
        </w:rPr>
        <w:t>Step 3: Add Units to Ensure Adequate Sample in Estimation Groups.</w:t>
      </w:r>
    </w:p>
    <w:p w14:paraId="2B3D566A" w14:textId="77777777" w:rsidR="0059709E" w:rsidRPr="00994072" w:rsidRDefault="00F40543" w:rsidP="002B656F">
      <w:r w:rsidRPr="00994072">
        <w:t>Instead of fitting models separately for each sampling stratum, the cases are collapsed to form “estimation groups” that have data as homogenous as possible while also having the largest number of observations.  This will provide better fitting models than if the models were fit separately on each sampling stratum.  These groups are re-formed over time as changes in the data occur.  Units below the threshold value were added to any estimation group with fewer than 10 usable observations, until the usable count was brought up to 10.</w:t>
      </w:r>
    </w:p>
    <w:p w14:paraId="6B28FDA4" w14:textId="77777777" w:rsidR="0059709E" w:rsidRPr="00994072" w:rsidRDefault="00F40543" w:rsidP="0059709E">
      <w:pPr>
        <w:spacing w:before="240"/>
        <w:rPr>
          <w:b/>
        </w:rPr>
      </w:pPr>
      <w:r w:rsidRPr="00994072">
        <w:rPr>
          <w:b/>
        </w:rPr>
        <w:t>Step 4:  Add Sample to Meet Reliability Standards.</w:t>
      </w:r>
    </w:p>
    <w:p w14:paraId="1E977451" w14:textId="77777777" w:rsidR="0059709E" w:rsidRPr="00994072" w:rsidRDefault="00F40543" w:rsidP="0059709E">
      <w:pPr>
        <w:spacing w:before="240"/>
      </w:pPr>
      <w:r w:rsidRPr="00994072">
        <w:t xml:space="preserve">Weighted </w:t>
      </w:r>
      <w:r w:rsidR="0007159F" w:rsidRPr="00994072">
        <w:t>linea</w:t>
      </w:r>
      <w:r w:rsidR="007A72F5" w:rsidRPr="00994072">
        <w:t xml:space="preserve">r </w:t>
      </w:r>
      <w:r w:rsidRPr="00994072">
        <w:t>regression</w:t>
      </w:r>
      <w:r w:rsidR="002B656F" w:rsidRPr="00994072">
        <w:t xml:space="preserve"> equation</w:t>
      </w:r>
      <w:r w:rsidRPr="00994072">
        <w:t>s,</w:t>
      </w:r>
      <w:r w:rsidR="00DB2594" w:rsidRPr="00994072">
        <w:t xml:space="preserve"> </w:t>
      </w:r>
      <w:r w:rsidRPr="00994072">
        <w:t>identical to those currently employed in the Form EIA-923 imputation system, are run, and relative standard error (RSE or Coefficient of Variation) estimates are calculated for each publication group by month.  An additional diagnostic measure, the relative standard error for a super population (RSESP), is calculated to indicate the adequacy of the regression model fit.  Limits for both measures (RSE and RSESP) are set individually for each facility classification and applied to all energy sources for the U.S. total for each classification.</w:t>
      </w:r>
    </w:p>
    <w:p w14:paraId="33560518" w14:textId="77777777" w:rsidR="0059709E" w:rsidRPr="00994072" w:rsidRDefault="00F40543" w:rsidP="0059709E">
      <w:pPr>
        <w:spacing w:before="240"/>
      </w:pPr>
      <w:r w:rsidRPr="00994072">
        <w:t xml:space="preserve">If one or both of the error measures fall outside of the limits, the next largest facilities, ranked by gross generation, are included until the </w:t>
      </w:r>
      <w:r w:rsidR="002B656F" w:rsidRPr="00994072">
        <w:t>estima</w:t>
      </w:r>
      <w:r w:rsidR="00490653" w:rsidRPr="00994072">
        <w:t>t</w:t>
      </w:r>
      <w:r w:rsidR="002B656F" w:rsidRPr="00994072">
        <w:t xml:space="preserve">ed </w:t>
      </w:r>
      <w:r w:rsidRPr="00994072">
        <w:t>RSE/RSESP</w:t>
      </w:r>
      <w:r w:rsidR="002B656F" w:rsidRPr="00994072">
        <w:t xml:space="preserve"> value</w:t>
      </w:r>
      <w:r w:rsidRPr="00994072">
        <w:t>s are brought into the desired range.  If only the RSESP estimate (and not the RSE estimate) is out of range, then it is difficult to lower the estimate of RSESP based on sampling, alone.  In these cases, a change in modeling may be necessary.  The RSE/RSESP data quality limits are outlined, as follows:</w:t>
      </w:r>
    </w:p>
    <w:p w14:paraId="060E3001" w14:textId="77777777" w:rsidR="0059709E" w:rsidRPr="00994072" w:rsidRDefault="00F40543" w:rsidP="0059709E">
      <w:pPr>
        <w:numPr>
          <w:ilvl w:val="0"/>
          <w:numId w:val="5"/>
        </w:numPr>
        <w:spacing w:before="240"/>
      </w:pPr>
      <w:r w:rsidRPr="00994072">
        <w:t>Electric utilities – RSE less than 5 percent and RSESP less than 20 percent</w:t>
      </w:r>
    </w:p>
    <w:p w14:paraId="6954585F" w14:textId="77777777" w:rsidR="0059709E" w:rsidRPr="00994072" w:rsidRDefault="00F40543" w:rsidP="0059709E">
      <w:pPr>
        <w:numPr>
          <w:ilvl w:val="0"/>
          <w:numId w:val="5"/>
        </w:numPr>
        <w:spacing w:before="240"/>
      </w:pPr>
      <w:r w:rsidRPr="00994072">
        <w:t>Independent power producers – RSE less than 5 percent and RSESP less than 20 percent</w:t>
      </w:r>
    </w:p>
    <w:p w14:paraId="63CF35B0" w14:textId="77777777" w:rsidR="0059709E" w:rsidRPr="00994072" w:rsidRDefault="00F40543" w:rsidP="0059709E">
      <w:pPr>
        <w:numPr>
          <w:ilvl w:val="0"/>
          <w:numId w:val="5"/>
        </w:numPr>
        <w:spacing w:before="240"/>
      </w:pPr>
      <w:r w:rsidRPr="00994072">
        <w:t>Commercial facilities – RSE less than 10 percent and RSESP less than 30 percent</w:t>
      </w:r>
    </w:p>
    <w:p w14:paraId="1F4B8079" w14:textId="77777777" w:rsidR="0059709E" w:rsidRPr="00994072" w:rsidRDefault="00F40543" w:rsidP="0059709E">
      <w:pPr>
        <w:numPr>
          <w:ilvl w:val="0"/>
          <w:numId w:val="5"/>
        </w:numPr>
        <w:spacing w:before="240"/>
      </w:pPr>
      <w:r w:rsidRPr="00994072">
        <w:t>Industrial facilities – RSE less than 10 percent and RSESP less than 30 percent</w:t>
      </w:r>
    </w:p>
    <w:p w14:paraId="2E8C6C23" w14:textId="77777777" w:rsidR="0059709E" w:rsidRPr="00994072" w:rsidRDefault="00F40543" w:rsidP="0059709E">
      <w:pPr>
        <w:spacing w:before="240"/>
        <w:rPr>
          <w:b/>
        </w:rPr>
      </w:pPr>
      <w:r w:rsidRPr="00994072">
        <w:rPr>
          <w:b/>
        </w:rPr>
        <w:t>Step 5: Add Special Cases.</w:t>
      </w:r>
    </w:p>
    <w:p w14:paraId="5C1D4DCF" w14:textId="77777777" w:rsidR="009D468C" w:rsidRDefault="00F40543" w:rsidP="00A32172">
      <w:r w:rsidRPr="00994072">
        <w:t xml:space="preserve">Lastly, additional facilities are added to the sample, as necessary.  These include storage-only facilities (used in estimating stocks); new facilities for which the EIA has no prior-year’s annual data for use in regression imputation; and any </w:t>
      </w:r>
      <w:r w:rsidR="004B1C1B" w:rsidRPr="00994072">
        <w:t xml:space="preserve">new </w:t>
      </w:r>
      <w:r w:rsidRPr="00994072">
        <w:t>large facilities that the survey staff identifies for inclusion in the sample.</w:t>
      </w:r>
    </w:p>
    <w:p w14:paraId="6B3EE8E5" w14:textId="77777777" w:rsidR="009041DC" w:rsidRPr="008368FD" w:rsidRDefault="009041DC" w:rsidP="00F6477A">
      <w:pPr>
        <w:pStyle w:val="NoSpacing"/>
        <w:spacing w:before="240"/>
        <w:jc w:val="both"/>
      </w:pPr>
      <w:r w:rsidRPr="008368FD">
        <w:t xml:space="preserve">As already described above, the electric power plants currently reporting on a monthly basis </w:t>
      </w:r>
      <w:r w:rsidR="00A32172">
        <w:t>on</w:t>
      </w:r>
      <w:r w:rsidRPr="008368FD">
        <w:t xml:space="preserve"> the Form EIA-923M account for 94 percent of total electricity generation</w:t>
      </w:r>
      <w:r w:rsidR="00A32172">
        <w:t>.  I</w:t>
      </w:r>
      <w:r w:rsidRPr="008368FD">
        <w:t xml:space="preserve">t was determined that the current model-based estimation methodologies employed for the remaining population of power plants that submit data annually </w:t>
      </w:r>
      <w:r w:rsidR="00A32172">
        <w:t>on</w:t>
      </w:r>
      <w:r w:rsidRPr="008368FD">
        <w:t xml:space="preserve"> the Form EIA-923 provide sufficiently accurate imputed/predicted values. However, it was determined that in order to reduce burden for respondents and the agency, decreasing the number of power plants in the monthly sample should be employed. The reduction to the monthly sample and new sample methodology was developed so that an accurate imputation of data could still be performed for power plants submitting data annually, despite the reduction of power plants submitting data via the monthly sample.</w:t>
      </w:r>
    </w:p>
    <w:p w14:paraId="67798C34" w14:textId="77777777" w:rsidR="009041DC" w:rsidRPr="008368FD" w:rsidRDefault="009041DC" w:rsidP="00F6477A">
      <w:pPr>
        <w:pStyle w:val="NoSpacing"/>
        <w:jc w:val="both"/>
      </w:pPr>
    </w:p>
    <w:p w14:paraId="3D04A033" w14:textId="77777777" w:rsidR="009041DC" w:rsidRPr="008368FD" w:rsidRDefault="009041DC" w:rsidP="00F6477A">
      <w:pPr>
        <w:pStyle w:val="NoSpacing"/>
        <w:jc w:val="both"/>
      </w:pPr>
      <w:r w:rsidRPr="008368FD">
        <w:t>The electricity generation and energy source consumption reported on the most recently completed Form EIA-923 census cycle are utilized as regressor data (independent variables used in the estimation methodology for imputing for out</w:t>
      </w:r>
      <w:r w:rsidR="00A32172">
        <w:t>-</w:t>
      </w:r>
      <w:r w:rsidRPr="008368FD">
        <w:t>of</w:t>
      </w:r>
      <w:r w:rsidR="00A32172">
        <w:t>-</w:t>
      </w:r>
      <w:r w:rsidRPr="008368FD">
        <w:t>sample and non-respondent power plants). As stated previously, the new model-based cutoff sample methodology then determines the minimum sample size needed to achieve a target RSE reliability constraint for each publication cell.</w:t>
      </w:r>
    </w:p>
    <w:p w14:paraId="7582A149" w14:textId="77777777" w:rsidR="009041DC" w:rsidRPr="008368FD" w:rsidRDefault="009041DC" w:rsidP="009041DC">
      <w:pPr>
        <w:pStyle w:val="NoSpacing"/>
      </w:pPr>
    </w:p>
    <w:p w14:paraId="2F7268C7" w14:textId="77777777" w:rsidR="009041DC" w:rsidRDefault="009041DC" w:rsidP="00F6477A">
      <w:pPr>
        <w:pStyle w:val="NoSpacing"/>
        <w:jc w:val="both"/>
      </w:pPr>
      <w:r w:rsidRPr="008368FD">
        <w:t>The present proposal of implementing this new sample methodology in order to decrease the population of power plants reporting monthly is a result of EIA’s extensive research into how a lower monthly sample size will affect the ability to imput</w:t>
      </w:r>
      <w:r>
        <w:t>e</w:t>
      </w:r>
      <w:r w:rsidRPr="008368FD">
        <w:t>/predict values for power plants reporting on an annual basis. EIA tested and confirmed the validity of the described sampling and estimation strategy by using less recent but relevant regressor data. These simulations</w:t>
      </w:r>
      <w:r w:rsidR="000632B3">
        <w:t>,</w:t>
      </w:r>
      <w:r w:rsidRPr="008368FD">
        <w:t xml:space="preserve"> however</w:t>
      </w:r>
      <w:r w:rsidR="000632B3">
        <w:t>,</w:t>
      </w:r>
      <w:r w:rsidRPr="008368FD">
        <w:t xml:space="preserve"> presuppose that the total census frame is maintained every year on the Form EIA-923 to prevent over/under respondent imputation.</w:t>
      </w:r>
    </w:p>
    <w:p w14:paraId="532A6C7D" w14:textId="77777777" w:rsidR="00E535CD" w:rsidRDefault="00E535CD" w:rsidP="00F6477A">
      <w:pPr>
        <w:pStyle w:val="NoSpacing"/>
        <w:jc w:val="both"/>
      </w:pPr>
    </w:p>
    <w:p w14:paraId="1D90DB38" w14:textId="77777777" w:rsidR="00E535CD" w:rsidRDefault="00E535CD" w:rsidP="00E535CD">
      <w:pPr>
        <w:spacing w:before="240"/>
        <w:rPr>
          <w:b/>
        </w:rPr>
      </w:pPr>
      <w:r>
        <w:rPr>
          <w:b/>
        </w:rPr>
        <w:t>Form EIA-930</w:t>
      </w:r>
    </w:p>
    <w:p w14:paraId="5936A4B8" w14:textId="487D9B96" w:rsidR="001E5A8A" w:rsidRDefault="001E5A8A" w:rsidP="001E5A8A">
      <w:r>
        <w:t>The purpose of the EIA-930 imputation procedure is to account for missing data or anomalous data reported by respondents that would prevent the calculation of complete or reasonably approximate regional and national totals, which are published by EIA.  The imputed values are only used in the calculation of regional and national aggregate values; the values for each</w:t>
      </w:r>
      <w:r w:rsidR="008C4D72">
        <w:t xml:space="preserve"> respondent Balancing Authority </w:t>
      </w:r>
      <w:r>
        <w:t xml:space="preserve"> </w:t>
      </w:r>
      <w:r w:rsidR="008C4D72">
        <w:t>(</w:t>
      </w:r>
      <w:r>
        <w:t>BA</w:t>
      </w:r>
      <w:r w:rsidR="008C4D72">
        <w:t>)</w:t>
      </w:r>
      <w:r>
        <w:t xml:space="preserve"> are published as reported.</w:t>
      </w:r>
    </w:p>
    <w:p w14:paraId="205A1B96" w14:textId="77777777" w:rsidR="001E5A8A" w:rsidRDefault="001E5A8A" w:rsidP="001E5A8A"/>
    <w:p w14:paraId="3BE0FCD2" w14:textId="2C6686AE" w:rsidR="001E5A8A" w:rsidRDefault="001E5A8A" w:rsidP="001E5A8A">
      <w:r>
        <w:t xml:space="preserve">The data processing system currently performs imputations for demand and net generation values only.  Imputed values are flagged in the database as either missing or anomalous.  Once corrected data </w:t>
      </w:r>
      <w:r w:rsidR="00CA136E">
        <w:t>are</w:t>
      </w:r>
      <w:r>
        <w:t xml:space="preserve"> received, the corrected actual reported values are used to re-calculate regional and national totals, which are then updated.</w:t>
      </w:r>
    </w:p>
    <w:p w14:paraId="414FC806" w14:textId="77777777" w:rsidR="001E5A8A" w:rsidRDefault="001E5A8A" w:rsidP="001E5A8A"/>
    <w:p w14:paraId="2CB96FD0" w14:textId="77777777" w:rsidR="001E5A8A" w:rsidRDefault="001E5A8A" w:rsidP="001E5A8A">
      <w:r>
        <w:t>Demand values that will be imputed are identified as follows:</w:t>
      </w:r>
    </w:p>
    <w:p w14:paraId="61034C09" w14:textId="77777777" w:rsidR="001E5A8A" w:rsidRDefault="001E5A8A" w:rsidP="001E5A8A"/>
    <w:p w14:paraId="5688EE6D" w14:textId="77777777" w:rsidR="001E5A8A" w:rsidRDefault="001E5A8A" w:rsidP="001E5A8A">
      <w:pPr>
        <w:pStyle w:val="ListParagraph"/>
        <w:numPr>
          <w:ilvl w:val="0"/>
          <w:numId w:val="12"/>
        </w:numPr>
        <w:tabs>
          <w:tab w:val="clear" w:pos="360"/>
        </w:tabs>
        <w:spacing w:before="0" w:after="120"/>
        <w:contextualSpacing w:val="0"/>
        <w:jc w:val="left"/>
      </w:pPr>
      <w:r>
        <w:t>Blank/missing values</w:t>
      </w:r>
    </w:p>
    <w:p w14:paraId="5E2FC0C9" w14:textId="77777777" w:rsidR="001E5A8A" w:rsidRDefault="001E5A8A" w:rsidP="001E5A8A">
      <w:pPr>
        <w:pStyle w:val="ListParagraph"/>
        <w:numPr>
          <w:ilvl w:val="0"/>
          <w:numId w:val="12"/>
        </w:numPr>
        <w:tabs>
          <w:tab w:val="clear" w:pos="360"/>
        </w:tabs>
        <w:spacing w:before="0" w:after="120"/>
        <w:contextualSpacing w:val="0"/>
        <w:jc w:val="left"/>
      </w:pPr>
      <w:r>
        <w:t>Zero values</w:t>
      </w:r>
    </w:p>
    <w:p w14:paraId="6903BC27" w14:textId="77777777" w:rsidR="001E5A8A" w:rsidRDefault="001E5A8A" w:rsidP="001E5A8A">
      <w:pPr>
        <w:pStyle w:val="ListParagraph"/>
        <w:numPr>
          <w:ilvl w:val="0"/>
          <w:numId w:val="12"/>
        </w:numPr>
        <w:tabs>
          <w:tab w:val="clear" w:pos="360"/>
        </w:tabs>
        <w:spacing w:before="0" w:after="120"/>
        <w:contextualSpacing w:val="0"/>
        <w:jc w:val="left"/>
      </w:pPr>
      <w:r>
        <w:t>Negative values</w:t>
      </w:r>
    </w:p>
    <w:p w14:paraId="4F561BE7" w14:textId="77777777" w:rsidR="001E5A8A" w:rsidRDefault="001E5A8A" w:rsidP="001E5A8A">
      <w:pPr>
        <w:pStyle w:val="ListParagraph"/>
        <w:numPr>
          <w:ilvl w:val="0"/>
          <w:numId w:val="12"/>
        </w:numPr>
        <w:tabs>
          <w:tab w:val="clear" w:pos="360"/>
        </w:tabs>
        <w:spacing w:before="0" w:after="120"/>
        <w:contextualSpacing w:val="0"/>
        <w:jc w:val="left"/>
      </w:pPr>
      <w:r>
        <w:t>Values that are equal to or greater than 1.5 times a maximum value specified for each BA</w:t>
      </w:r>
    </w:p>
    <w:p w14:paraId="357950CC" w14:textId="77777777" w:rsidR="001E5A8A" w:rsidRDefault="001E5A8A" w:rsidP="001E5A8A"/>
    <w:p w14:paraId="0A1D80D3" w14:textId="77777777" w:rsidR="001E5A8A" w:rsidRDefault="001E5A8A" w:rsidP="001E5A8A">
      <w:r>
        <w:t>Net generation values that will be imputed are identified as follows:</w:t>
      </w:r>
    </w:p>
    <w:p w14:paraId="28E3C28B" w14:textId="77777777" w:rsidR="001E5A8A" w:rsidRDefault="001E5A8A" w:rsidP="001E5A8A"/>
    <w:p w14:paraId="44AB288F" w14:textId="77777777" w:rsidR="001E5A8A" w:rsidRDefault="001E5A8A" w:rsidP="001E5A8A">
      <w:pPr>
        <w:pStyle w:val="ListParagraph"/>
        <w:numPr>
          <w:ilvl w:val="0"/>
          <w:numId w:val="12"/>
        </w:numPr>
        <w:tabs>
          <w:tab w:val="clear" w:pos="360"/>
        </w:tabs>
        <w:spacing w:before="0" w:after="120"/>
        <w:contextualSpacing w:val="0"/>
        <w:jc w:val="left"/>
      </w:pPr>
      <w:r>
        <w:t>Blank/missing values</w:t>
      </w:r>
    </w:p>
    <w:p w14:paraId="753FDC86" w14:textId="77777777" w:rsidR="001E5A8A" w:rsidRDefault="001E5A8A" w:rsidP="001E5A8A">
      <w:pPr>
        <w:pStyle w:val="ListParagraph"/>
        <w:numPr>
          <w:ilvl w:val="0"/>
          <w:numId w:val="12"/>
        </w:numPr>
        <w:tabs>
          <w:tab w:val="clear" w:pos="360"/>
        </w:tabs>
        <w:spacing w:before="0" w:after="120"/>
        <w:contextualSpacing w:val="0"/>
        <w:jc w:val="left"/>
      </w:pPr>
      <w:r>
        <w:t>Zero values, except for a small number of BAs for whom zero net generation is a valid value</w:t>
      </w:r>
    </w:p>
    <w:p w14:paraId="2DFBF412" w14:textId="77777777" w:rsidR="001E5A8A" w:rsidRDefault="001E5A8A" w:rsidP="001E5A8A">
      <w:pPr>
        <w:pStyle w:val="ListParagraph"/>
        <w:numPr>
          <w:ilvl w:val="0"/>
          <w:numId w:val="12"/>
        </w:numPr>
        <w:tabs>
          <w:tab w:val="clear" w:pos="360"/>
        </w:tabs>
        <w:spacing w:before="0" w:after="120"/>
        <w:contextualSpacing w:val="0"/>
        <w:jc w:val="left"/>
      </w:pPr>
      <w:r>
        <w:t>Negative values, except for a small number of “generation-only” BAs for whom a negative value between -11 and 0 is valid</w:t>
      </w:r>
    </w:p>
    <w:p w14:paraId="35CF25E4" w14:textId="77777777" w:rsidR="001E5A8A" w:rsidRDefault="001E5A8A" w:rsidP="001E5A8A">
      <w:pPr>
        <w:pStyle w:val="ListParagraph"/>
        <w:numPr>
          <w:ilvl w:val="0"/>
          <w:numId w:val="12"/>
        </w:numPr>
        <w:tabs>
          <w:tab w:val="clear" w:pos="360"/>
        </w:tabs>
        <w:spacing w:before="0" w:after="120"/>
        <w:contextualSpacing w:val="0"/>
        <w:jc w:val="left"/>
      </w:pPr>
      <w:r>
        <w:t>Values that are equal to or greater than 1.5 times a maximum value specified for each BA</w:t>
      </w:r>
    </w:p>
    <w:p w14:paraId="66ED5D04" w14:textId="77777777" w:rsidR="001E5A8A" w:rsidRDefault="001E5A8A" w:rsidP="001E5A8A"/>
    <w:p w14:paraId="3B163D57" w14:textId="77777777" w:rsidR="001E5A8A" w:rsidRDefault="001E5A8A" w:rsidP="001E5A8A">
      <w:r>
        <w:t>The maximum values specified for each BA are based on their maximum reported historical demand and net generation values excluding likely anomalous values and, for demand, a comparison to FERC-714 monthly peak demand values if comparable.</w:t>
      </w:r>
    </w:p>
    <w:p w14:paraId="5F3C191B" w14:textId="77777777" w:rsidR="001E5A8A" w:rsidRDefault="001E5A8A" w:rsidP="001E5A8A"/>
    <w:p w14:paraId="1F9C0D3B" w14:textId="77777777" w:rsidR="001E5A8A" w:rsidRDefault="001E5A8A" w:rsidP="001E5A8A">
      <w:r>
        <w:t>Imputation for demand values is performed as follows:</w:t>
      </w:r>
    </w:p>
    <w:p w14:paraId="40B463E7" w14:textId="77777777" w:rsidR="001E5A8A" w:rsidRDefault="001E5A8A" w:rsidP="001E5A8A"/>
    <w:p w14:paraId="63697C18" w14:textId="77777777" w:rsidR="001E5A8A" w:rsidRDefault="001E5A8A" w:rsidP="001E5A8A">
      <w:pPr>
        <w:pStyle w:val="ListParagraph"/>
        <w:numPr>
          <w:ilvl w:val="0"/>
          <w:numId w:val="10"/>
        </w:numPr>
        <w:tabs>
          <w:tab w:val="clear" w:pos="360"/>
        </w:tabs>
        <w:spacing w:before="0" w:after="120"/>
        <w:contextualSpacing w:val="0"/>
        <w:jc w:val="left"/>
      </w:pPr>
      <w:r>
        <w:t>Use the BA’s reported demand forecast value for the hour in question. (This step is skipped for a small number of BAs due to the non-comparability of their demand and demand forecast values.)</w:t>
      </w:r>
    </w:p>
    <w:p w14:paraId="60CA8320" w14:textId="77777777" w:rsidR="001E5A8A" w:rsidRDefault="001E5A8A" w:rsidP="001E5A8A">
      <w:pPr>
        <w:pStyle w:val="ListParagraph"/>
        <w:numPr>
          <w:ilvl w:val="0"/>
          <w:numId w:val="10"/>
        </w:numPr>
        <w:tabs>
          <w:tab w:val="clear" w:pos="360"/>
        </w:tabs>
        <w:spacing w:before="0" w:after="120"/>
        <w:contextualSpacing w:val="0"/>
        <w:jc w:val="left"/>
      </w:pPr>
      <w:r>
        <w:t>If the previous step’s value is missing, use the previous hour’s demand value.</w:t>
      </w:r>
    </w:p>
    <w:p w14:paraId="54155DBB" w14:textId="77777777" w:rsidR="001E5A8A" w:rsidRDefault="001E5A8A" w:rsidP="001E5A8A">
      <w:pPr>
        <w:pStyle w:val="ListParagraph"/>
        <w:numPr>
          <w:ilvl w:val="0"/>
          <w:numId w:val="10"/>
        </w:numPr>
        <w:tabs>
          <w:tab w:val="clear" w:pos="360"/>
        </w:tabs>
        <w:spacing w:before="0" w:after="120"/>
        <w:contextualSpacing w:val="0"/>
        <w:jc w:val="left"/>
      </w:pPr>
      <w:r>
        <w:t>If the previous step’s value is missing or imputed, use the demand value for the same hour of the prior day.</w:t>
      </w:r>
    </w:p>
    <w:p w14:paraId="52B9B97B" w14:textId="77777777" w:rsidR="001E5A8A" w:rsidRDefault="001E5A8A" w:rsidP="001E5A8A">
      <w:pPr>
        <w:pStyle w:val="ListParagraph"/>
        <w:numPr>
          <w:ilvl w:val="0"/>
          <w:numId w:val="10"/>
        </w:numPr>
        <w:tabs>
          <w:tab w:val="clear" w:pos="360"/>
        </w:tabs>
        <w:spacing w:before="0" w:after="120"/>
        <w:contextualSpacing w:val="0"/>
        <w:jc w:val="left"/>
      </w:pPr>
      <w:r>
        <w:t>If the previous step’s value is missing or imputed, use the last available daily average demand for that BA.</w:t>
      </w:r>
    </w:p>
    <w:p w14:paraId="3A0D88C3" w14:textId="77777777" w:rsidR="001E5A8A" w:rsidRDefault="001E5A8A" w:rsidP="001E5A8A"/>
    <w:p w14:paraId="34447BF4" w14:textId="77777777" w:rsidR="001E5A8A" w:rsidRDefault="001E5A8A" w:rsidP="001E5A8A">
      <w:r>
        <w:t>Imputation for net generation values is performed as follows:</w:t>
      </w:r>
    </w:p>
    <w:p w14:paraId="425414AF" w14:textId="77777777" w:rsidR="001E5A8A" w:rsidRDefault="001E5A8A" w:rsidP="001E5A8A"/>
    <w:p w14:paraId="2EAA5DA2" w14:textId="77777777" w:rsidR="001E5A8A" w:rsidRDefault="001E5A8A" w:rsidP="001E5A8A">
      <w:pPr>
        <w:pStyle w:val="ListParagraph"/>
        <w:numPr>
          <w:ilvl w:val="0"/>
          <w:numId w:val="11"/>
        </w:numPr>
        <w:tabs>
          <w:tab w:val="clear" w:pos="360"/>
        </w:tabs>
        <w:spacing w:before="0" w:after="120"/>
        <w:contextualSpacing w:val="0"/>
        <w:jc w:val="left"/>
      </w:pPr>
      <w:r>
        <w:t>Use the previous hour’s net generation value.</w:t>
      </w:r>
    </w:p>
    <w:p w14:paraId="58D6E472" w14:textId="77777777" w:rsidR="001E5A8A" w:rsidRDefault="001E5A8A" w:rsidP="001E5A8A">
      <w:pPr>
        <w:pStyle w:val="ListParagraph"/>
        <w:numPr>
          <w:ilvl w:val="0"/>
          <w:numId w:val="11"/>
        </w:numPr>
        <w:tabs>
          <w:tab w:val="clear" w:pos="360"/>
        </w:tabs>
        <w:spacing w:before="0" w:after="120"/>
        <w:contextualSpacing w:val="0"/>
        <w:jc w:val="left"/>
      </w:pPr>
      <w:r>
        <w:t>If the previous step’s value is missing or imputed, use the net generation value for the same hour of the prior day.</w:t>
      </w:r>
    </w:p>
    <w:p w14:paraId="4706C606" w14:textId="77777777" w:rsidR="001E5A8A" w:rsidRDefault="001E5A8A" w:rsidP="001E5A8A">
      <w:pPr>
        <w:pStyle w:val="ListParagraph"/>
        <w:numPr>
          <w:ilvl w:val="0"/>
          <w:numId w:val="11"/>
        </w:numPr>
        <w:tabs>
          <w:tab w:val="clear" w:pos="360"/>
        </w:tabs>
        <w:spacing w:before="0" w:after="120"/>
        <w:contextualSpacing w:val="0"/>
        <w:jc w:val="left"/>
      </w:pPr>
      <w:r>
        <w:t>If the previous step’s value is missing or imputed, use the last available daily average net generation for that BA.</w:t>
      </w:r>
    </w:p>
    <w:p w14:paraId="6B47FE7D" w14:textId="77777777" w:rsidR="000875AD" w:rsidRDefault="00B2660F" w:rsidP="001D1D1E">
      <w:pPr>
        <w:pStyle w:val="Heading2"/>
        <w:rPr>
          <w:rStyle w:val="Heading5Char"/>
          <w:rFonts w:eastAsiaTheme="majorEastAsia"/>
          <w:color w:val="auto"/>
          <w:sz w:val="24"/>
          <w:szCs w:val="24"/>
        </w:rPr>
      </w:pPr>
      <w:bookmarkStart w:id="6" w:name="_Toc448501701"/>
      <w:r>
        <w:rPr>
          <w:rStyle w:val="Heading5Char"/>
          <w:rFonts w:eastAsiaTheme="majorEastAsia"/>
          <w:color w:val="auto"/>
          <w:sz w:val="24"/>
          <w:szCs w:val="24"/>
        </w:rPr>
        <w:t>Maximizing Response Rates</w:t>
      </w:r>
      <w:bookmarkEnd w:id="6"/>
    </w:p>
    <w:p w14:paraId="43FAFFAA" w14:textId="77777777" w:rsidR="00AD3BF5" w:rsidRDefault="00AD45F2" w:rsidP="00BC7F58">
      <w:r>
        <w:t>The response rates f</w:t>
      </w:r>
      <w:r w:rsidR="00BC7F58">
        <w:t xml:space="preserve">or the EIA electric power </w:t>
      </w:r>
      <w:r>
        <w:t xml:space="preserve">and renewable </w:t>
      </w:r>
      <w:r w:rsidR="00BC7F58">
        <w:t>surveys</w:t>
      </w:r>
      <w:r>
        <w:t xml:space="preserve"> have historically been at or near </w:t>
      </w:r>
      <w:r w:rsidR="00BC7F58">
        <w:t>100 percent</w:t>
      </w:r>
      <w:r w:rsidR="00995564">
        <w:t xml:space="preserve">.  Recent response rates are shown </w:t>
      </w:r>
      <w:r w:rsidR="00AD3BF5">
        <w:t xml:space="preserve">below in Table </w:t>
      </w:r>
      <w:r w:rsidR="004D49F6">
        <w:t>1</w:t>
      </w:r>
      <w:r w:rsidR="004B1C1B">
        <w:t>.</w:t>
      </w:r>
    </w:p>
    <w:p w14:paraId="0F2EF926" w14:textId="3C341A02" w:rsidR="00E85BDB" w:rsidRDefault="00E85BDB">
      <w:pPr>
        <w:tabs>
          <w:tab w:val="clear" w:pos="360"/>
        </w:tabs>
        <w:spacing w:before="0"/>
        <w:jc w:val="left"/>
      </w:pPr>
    </w:p>
    <w:p w14:paraId="1818D8DC" w14:textId="7B1B4360" w:rsidR="00AD3BF5" w:rsidRDefault="00AD45F2" w:rsidP="00F822CD">
      <w:pPr>
        <w:tabs>
          <w:tab w:val="clear" w:pos="360"/>
        </w:tabs>
        <w:spacing w:before="0"/>
        <w:jc w:val="left"/>
      </w:pPr>
      <w:r w:rsidRPr="00D54D08">
        <w:rPr>
          <w:b/>
          <w:sz w:val="24"/>
          <w:szCs w:val="24"/>
        </w:rPr>
        <w:t xml:space="preserve">Table </w:t>
      </w:r>
      <w:r w:rsidR="004D49F6">
        <w:rPr>
          <w:b/>
          <w:sz w:val="24"/>
          <w:szCs w:val="24"/>
        </w:rPr>
        <w:t>1</w:t>
      </w:r>
      <w:r w:rsidRPr="00D54D08">
        <w:rPr>
          <w:b/>
          <w:sz w:val="24"/>
          <w:szCs w:val="24"/>
        </w:rPr>
        <w:t xml:space="preserve">.  </w:t>
      </w:r>
      <w:r>
        <w:rPr>
          <w:b/>
          <w:sz w:val="24"/>
          <w:szCs w:val="24"/>
        </w:rPr>
        <w:t>Recent Survey Response Rates</w:t>
      </w:r>
      <w:r>
        <w:t xml:space="preserve"> </w:t>
      </w:r>
      <w:r w:rsidR="00C40C06">
        <w:t>(2015 Data)</w:t>
      </w:r>
    </w:p>
    <w:p w14:paraId="0C44304A" w14:textId="77777777" w:rsidR="007D79BB" w:rsidRDefault="007D79BB" w:rsidP="00AD45F2">
      <w:pPr>
        <w:tabs>
          <w:tab w:val="clear" w:pos="360"/>
        </w:tabs>
        <w:spacing w:before="0"/>
      </w:pPr>
    </w:p>
    <w:tbl>
      <w:tblPr>
        <w:tblStyle w:val="TableGrid"/>
        <w:tblW w:w="0" w:type="auto"/>
        <w:tblInd w:w="144" w:type="dxa"/>
        <w:tblLook w:val="04A0" w:firstRow="1" w:lastRow="0" w:firstColumn="1" w:lastColumn="0" w:noHBand="0" w:noVBand="1"/>
      </w:tblPr>
      <w:tblGrid>
        <w:gridCol w:w="1264"/>
        <w:gridCol w:w="1224"/>
        <w:gridCol w:w="1348"/>
        <w:gridCol w:w="1327"/>
        <w:gridCol w:w="1358"/>
        <w:gridCol w:w="1327"/>
        <w:gridCol w:w="1358"/>
      </w:tblGrid>
      <w:tr w:rsidR="00982FB7" w14:paraId="2CEFCD01" w14:textId="77777777" w:rsidTr="00E85BDB">
        <w:trPr>
          <w:tblHeader/>
        </w:trPr>
        <w:tc>
          <w:tcPr>
            <w:tcW w:w="1326" w:type="dxa"/>
            <w:shd w:val="clear" w:color="auto" w:fill="DDD9C3" w:themeFill="background2" w:themeFillShade="E6"/>
          </w:tcPr>
          <w:p w14:paraId="2EFD3B7C" w14:textId="77777777" w:rsidR="00982FB7" w:rsidRPr="00AD45F2" w:rsidRDefault="00D26F28" w:rsidP="00BC7F58">
            <w:pPr>
              <w:rPr>
                <w:rFonts w:asciiTheme="minorHAnsi" w:hAnsiTheme="minorHAnsi" w:cstheme="minorHAnsi"/>
                <w:sz w:val="20"/>
                <w:szCs w:val="20"/>
              </w:rPr>
            </w:pPr>
            <w:r>
              <w:rPr>
                <w:rFonts w:asciiTheme="minorHAnsi" w:hAnsiTheme="minorHAnsi" w:cstheme="minorHAnsi"/>
                <w:sz w:val="20"/>
                <w:szCs w:val="20"/>
              </w:rPr>
              <w:t>Frequency of Survey</w:t>
            </w:r>
          </w:p>
        </w:tc>
        <w:tc>
          <w:tcPr>
            <w:tcW w:w="1374" w:type="dxa"/>
            <w:shd w:val="clear" w:color="auto" w:fill="DDD9C3" w:themeFill="background2" w:themeFillShade="E6"/>
          </w:tcPr>
          <w:p w14:paraId="43DFCB27" w14:textId="77777777" w:rsidR="00982FB7" w:rsidRPr="00AD45F2" w:rsidRDefault="00D26F28" w:rsidP="00BC7F58">
            <w:pPr>
              <w:rPr>
                <w:rFonts w:asciiTheme="minorHAnsi" w:hAnsiTheme="minorHAnsi" w:cstheme="minorHAnsi"/>
                <w:sz w:val="20"/>
                <w:szCs w:val="20"/>
              </w:rPr>
            </w:pPr>
            <w:r>
              <w:rPr>
                <w:rFonts w:asciiTheme="minorHAnsi" w:hAnsiTheme="minorHAnsi" w:cstheme="minorHAnsi"/>
                <w:sz w:val="20"/>
                <w:szCs w:val="20"/>
              </w:rPr>
              <w:t>Survey</w:t>
            </w:r>
          </w:p>
        </w:tc>
        <w:tc>
          <w:tcPr>
            <w:tcW w:w="1538" w:type="dxa"/>
            <w:shd w:val="clear" w:color="auto" w:fill="DDD9C3" w:themeFill="background2" w:themeFillShade="E6"/>
          </w:tcPr>
          <w:p w14:paraId="7B817F77"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Survey Frame</w:t>
            </w:r>
          </w:p>
        </w:tc>
        <w:tc>
          <w:tcPr>
            <w:tcW w:w="1409" w:type="dxa"/>
            <w:shd w:val="clear" w:color="auto" w:fill="DDD9C3" w:themeFill="background2" w:themeFillShade="E6"/>
          </w:tcPr>
          <w:p w14:paraId="3203F271"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Number of Responses</w:t>
            </w:r>
          </w:p>
        </w:tc>
        <w:tc>
          <w:tcPr>
            <w:tcW w:w="1431" w:type="dxa"/>
            <w:shd w:val="clear" w:color="auto" w:fill="DDD9C3" w:themeFill="background2" w:themeFillShade="E6"/>
          </w:tcPr>
          <w:p w14:paraId="5C78966A"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Response Percentage</w:t>
            </w:r>
          </w:p>
        </w:tc>
        <w:tc>
          <w:tcPr>
            <w:tcW w:w="1409" w:type="dxa"/>
            <w:shd w:val="clear" w:color="auto" w:fill="DDD9C3" w:themeFill="background2" w:themeFillShade="E6"/>
          </w:tcPr>
          <w:p w14:paraId="192F57A6"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Non-Responses</w:t>
            </w:r>
          </w:p>
        </w:tc>
        <w:tc>
          <w:tcPr>
            <w:tcW w:w="1431" w:type="dxa"/>
            <w:shd w:val="clear" w:color="auto" w:fill="DDD9C3" w:themeFill="background2" w:themeFillShade="E6"/>
          </w:tcPr>
          <w:p w14:paraId="48422770"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Non-Response Percentage</w:t>
            </w:r>
          </w:p>
        </w:tc>
      </w:tr>
      <w:tr w:rsidR="00982FB7" w14:paraId="0F484045" w14:textId="77777777" w:rsidTr="00E85BDB">
        <w:tc>
          <w:tcPr>
            <w:tcW w:w="1326" w:type="dxa"/>
            <w:vMerge w:val="restart"/>
            <w:vAlign w:val="center"/>
          </w:tcPr>
          <w:p w14:paraId="069866A0" w14:textId="77777777" w:rsidR="00982FB7" w:rsidRPr="00AD45F2" w:rsidRDefault="00982FB7" w:rsidP="00982FB7">
            <w:pPr>
              <w:jc w:val="center"/>
              <w:rPr>
                <w:rFonts w:asciiTheme="minorHAnsi" w:hAnsiTheme="minorHAnsi" w:cstheme="minorHAnsi"/>
                <w:sz w:val="20"/>
                <w:szCs w:val="20"/>
              </w:rPr>
            </w:pPr>
            <w:r w:rsidRPr="00AD45F2">
              <w:rPr>
                <w:rFonts w:asciiTheme="minorHAnsi" w:hAnsiTheme="minorHAnsi" w:cstheme="minorHAnsi"/>
                <w:sz w:val="20"/>
                <w:szCs w:val="20"/>
              </w:rPr>
              <w:t>Annual Surveys</w:t>
            </w:r>
          </w:p>
          <w:p w14:paraId="1FA5B1A3" w14:textId="77777777" w:rsidR="00982FB7" w:rsidRPr="00AD45F2" w:rsidRDefault="00982FB7" w:rsidP="00057FFB">
            <w:pPr>
              <w:jc w:val="center"/>
              <w:rPr>
                <w:rFonts w:asciiTheme="minorHAnsi" w:hAnsiTheme="minorHAnsi" w:cstheme="minorHAnsi"/>
                <w:sz w:val="20"/>
                <w:szCs w:val="20"/>
              </w:rPr>
            </w:pPr>
            <w:r w:rsidRPr="00AD45F2">
              <w:rPr>
                <w:rFonts w:asciiTheme="minorHAnsi" w:hAnsiTheme="minorHAnsi" w:cstheme="minorHAnsi"/>
                <w:sz w:val="20"/>
                <w:szCs w:val="20"/>
              </w:rPr>
              <w:t>Collection of 201</w:t>
            </w:r>
            <w:r w:rsidR="00756EDB">
              <w:rPr>
                <w:rFonts w:asciiTheme="minorHAnsi" w:hAnsiTheme="minorHAnsi" w:cstheme="minorHAnsi"/>
                <w:sz w:val="20"/>
                <w:szCs w:val="20"/>
              </w:rPr>
              <w:t>4</w:t>
            </w:r>
            <w:r w:rsidRPr="00AD45F2">
              <w:rPr>
                <w:rFonts w:asciiTheme="minorHAnsi" w:hAnsiTheme="minorHAnsi" w:cstheme="minorHAnsi"/>
                <w:sz w:val="20"/>
                <w:szCs w:val="20"/>
              </w:rPr>
              <w:t xml:space="preserve"> Data</w:t>
            </w:r>
            <w:r w:rsidR="00057FFB">
              <w:rPr>
                <w:rFonts w:asciiTheme="minorHAnsi" w:hAnsiTheme="minorHAnsi" w:cstheme="minorHAnsi"/>
                <w:sz w:val="20"/>
                <w:szCs w:val="20"/>
              </w:rPr>
              <w:t>*</w:t>
            </w:r>
          </w:p>
        </w:tc>
        <w:tc>
          <w:tcPr>
            <w:tcW w:w="1374" w:type="dxa"/>
          </w:tcPr>
          <w:p w14:paraId="329C85D2" w14:textId="77777777"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EIA-63B</w:t>
            </w:r>
          </w:p>
        </w:tc>
        <w:tc>
          <w:tcPr>
            <w:tcW w:w="1538" w:type="dxa"/>
          </w:tcPr>
          <w:p w14:paraId="39C68755"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171</w:t>
            </w:r>
          </w:p>
        </w:tc>
        <w:tc>
          <w:tcPr>
            <w:tcW w:w="1409" w:type="dxa"/>
          </w:tcPr>
          <w:p w14:paraId="10428AA5"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171</w:t>
            </w:r>
          </w:p>
        </w:tc>
        <w:tc>
          <w:tcPr>
            <w:tcW w:w="1431" w:type="dxa"/>
          </w:tcPr>
          <w:p w14:paraId="63CD8959"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100%</w:t>
            </w:r>
          </w:p>
        </w:tc>
        <w:tc>
          <w:tcPr>
            <w:tcW w:w="1409" w:type="dxa"/>
          </w:tcPr>
          <w:p w14:paraId="5F1AF804"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c>
          <w:tcPr>
            <w:tcW w:w="1431" w:type="dxa"/>
          </w:tcPr>
          <w:p w14:paraId="28A9A5BE"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r>
      <w:tr w:rsidR="00982FB7" w14:paraId="4D29D41E" w14:textId="77777777" w:rsidTr="00E85BDB">
        <w:tc>
          <w:tcPr>
            <w:tcW w:w="1326" w:type="dxa"/>
            <w:vMerge/>
          </w:tcPr>
          <w:p w14:paraId="61D64D2A" w14:textId="77777777" w:rsidR="00982FB7" w:rsidRPr="00AD45F2" w:rsidRDefault="00982FB7" w:rsidP="00BC7F58">
            <w:pPr>
              <w:rPr>
                <w:rFonts w:asciiTheme="minorHAnsi" w:hAnsiTheme="minorHAnsi" w:cstheme="minorHAnsi"/>
                <w:sz w:val="20"/>
                <w:szCs w:val="20"/>
              </w:rPr>
            </w:pPr>
          </w:p>
        </w:tc>
        <w:tc>
          <w:tcPr>
            <w:tcW w:w="1374" w:type="dxa"/>
          </w:tcPr>
          <w:p w14:paraId="755B23A3" w14:textId="77777777"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EIA-411</w:t>
            </w:r>
          </w:p>
        </w:tc>
        <w:tc>
          <w:tcPr>
            <w:tcW w:w="1538" w:type="dxa"/>
          </w:tcPr>
          <w:p w14:paraId="44732D2F"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9</w:t>
            </w:r>
          </w:p>
        </w:tc>
        <w:tc>
          <w:tcPr>
            <w:tcW w:w="1409" w:type="dxa"/>
          </w:tcPr>
          <w:p w14:paraId="11993F6A"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9</w:t>
            </w:r>
          </w:p>
        </w:tc>
        <w:tc>
          <w:tcPr>
            <w:tcW w:w="1431" w:type="dxa"/>
          </w:tcPr>
          <w:p w14:paraId="3F228918"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100%</w:t>
            </w:r>
          </w:p>
        </w:tc>
        <w:tc>
          <w:tcPr>
            <w:tcW w:w="1409" w:type="dxa"/>
          </w:tcPr>
          <w:p w14:paraId="2AF2316A"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c>
          <w:tcPr>
            <w:tcW w:w="1431" w:type="dxa"/>
          </w:tcPr>
          <w:p w14:paraId="285E853A"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r>
      <w:tr w:rsidR="00982FB7" w14:paraId="0C2E4EFD" w14:textId="77777777" w:rsidTr="00E85BDB">
        <w:tc>
          <w:tcPr>
            <w:tcW w:w="1326" w:type="dxa"/>
            <w:vMerge/>
          </w:tcPr>
          <w:p w14:paraId="58BB58C4" w14:textId="77777777" w:rsidR="00982FB7" w:rsidRPr="00AD45F2" w:rsidRDefault="00982FB7" w:rsidP="00BC7F58">
            <w:pPr>
              <w:rPr>
                <w:rFonts w:asciiTheme="minorHAnsi" w:hAnsiTheme="minorHAnsi" w:cstheme="minorHAnsi"/>
                <w:sz w:val="20"/>
                <w:szCs w:val="20"/>
              </w:rPr>
            </w:pPr>
          </w:p>
        </w:tc>
        <w:tc>
          <w:tcPr>
            <w:tcW w:w="1374" w:type="dxa"/>
          </w:tcPr>
          <w:p w14:paraId="26493730" w14:textId="77777777"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EIA-860</w:t>
            </w:r>
          </w:p>
        </w:tc>
        <w:tc>
          <w:tcPr>
            <w:tcW w:w="1538" w:type="dxa"/>
          </w:tcPr>
          <w:p w14:paraId="61D6FA10"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3160</w:t>
            </w:r>
          </w:p>
        </w:tc>
        <w:tc>
          <w:tcPr>
            <w:tcW w:w="1409" w:type="dxa"/>
          </w:tcPr>
          <w:p w14:paraId="0F44188C"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3154</w:t>
            </w:r>
          </w:p>
        </w:tc>
        <w:tc>
          <w:tcPr>
            <w:tcW w:w="1431" w:type="dxa"/>
          </w:tcPr>
          <w:p w14:paraId="426E7971"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99.8%</w:t>
            </w:r>
          </w:p>
        </w:tc>
        <w:tc>
          <w:tcPr>
            <w:tcW w:w="1409" w:type="dxa"/>
          </w:tcPr>
          <w:p w14:paraId="2335C1F0"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6</w:t>
            </w:r>
          </w:p>
        </w:tc>
        <w:tc>
          <w:tcPr>
            <w:tcW w:w="1431" w:type="dxa"/>
          </w:tcPr>
          <w:p w14:paraId="605DDE84"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0.2%</w:t>
            </w:r>
          </w:p>
        </w:tc>
      </w:tr>
      <w:tr w:rsidR="00982FB7" w14:paraId="51225FAF" w14:textId="77777777" w:rsidTr="00E85BDB">
        <w:tc>
          <w:tcPr>
            <w:tcW w:w="1326" w:type="dxa"/>
            <w:vMerge/>
          </w:tcPr>
          <w:p w14:paraId="6798FC00" w14:textId="77777777" w:rsidR="00982FB7" w:rsidRPr="00AD45F2" w:rsidRDefault="00982FB7" w:rsidP="00BC7F58">
            <w:pPr>
              <w:rPr>
                <w:rFonts w:asciiTheme="minorHAnsi" w:hAnsiTheme="minorHAnsi" w:cstheme="minorHAnsi"/>
                <w:sz w:val="20"/>
                <w:szCs w:val="20"/>
              </w:rPr>
            </w:pPr>
          </w:p>
        </w:tc>
        <w:tc>
          <w:tcPr>
            <w:tcW w:w="1374" w:type="dxa"/>
          </w:tcPr>
          <w:p w14:paraId="73087FC3" w14:textId="77777777"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EIA-861</w:t>
            </w:r>
          </w:p>
        </w:tc>
        <w:tc>
          <w:tcPr>
            <w:tcW w:w="1538" w:type="dxa"/>
          </w:tcPr>
          <w:p w14:paraId="281A4E08" w14:textId="77777777" w:rsidR="00982FB7" w:rsidRPr="00AD45F2" w:rsidRDefault="006D3BB3" w:rsidP="00AD45F2">
            <w:pPr>
              <w:jc w:val="center"/>
              <w:rPr>
                <w:rFonts w:asciiTheme="minorHAnsi" w:hAnsiTheme="minorHAnsi" w:cstheme="minorHAnsi"/>
                <w:sz w:val="20"/>
                <w:szCs w:val="20"/>
              </w:rPr>
            </w:pPr>
            <w:r>
              <w:rPr>
                <w:rFonts w:asciiTheme="minorHAnsi" w:hAnsiTheme="minorHAnsi" w:cstheme="minorHAnsi"/>
                <w:sz w:val="20"/>
                <w:szCs w:val="20"/>
              </w:rPr>
              <w:t>2264</w:t>
            </w:r>
          </w:p>
        </w:tc>
        <w:tc>
          <w:tcPr>
            <w:tcW w:w="1409" w:type="dxa"/>
          </w:tcPr>
          <w:p w14:paraId="14305BDB" w14:textId="77777777" w:rsidR="00982FB7" w:rsidRPr="00AD45F2" w:rsidRDefault="006D3BB3" w:rsidP="006D3BB3">
            <w:pPr>
              <w:jc w:val="center"/>
              <w:rPr>
                <w:rFonts w:asciiTheme="minorHAnsi" w:hAnsiTheme="minorHAnsi" w:cstheme="minorHAnsi"/>
                <w:sz w:val="20"/>
                <w:szCs w:val="20"/>
              </w:rPr>
            </w:pPr>
            <w:r>
              <w:rPr>
                <w:rFonts w:asciiTheme="minorHAnsi" w:hAnsiTheme="minorHAnsi" w:cstheme="minorHAnsi"/>
                <w:sz w:val="20"/>
                <w:szCs w:val="20"/>
              </w:rPr>
              <w:t>2264</w:t>
            </w:r>
          </w:p>
        </w:tc>
        <w:tc>
          <w:tcPr>
            <w:tcW w:w="1431" w:type="dxa"/>
          </w:tcPr>
          <w:p w14:paraId="1E4096F5"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100%</w:t>
            </w:r>
          </w:p>
        </w:tc>
        <w:tc>
          <w:tcPr>
            <w:tcW w:w="1409" w:type="dxa"/>
          </w:tcPr>
          <w:p w14:paraId="2EEC09E6"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c>
          <w:tcPr>
            <w:tcW w:w="1431" w:type="dxa"/>
          </w:tcPr>
          <w:p w14:paraId="30448EAD"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r>
      <w:tr w:rsidR="00982FB7" w14:paraId="4DDBC73A" w14:textId="77777777" w:rsidTr="00E85BDB">
        <w:tc>
          <w:tcPr>
            <w:tcW w:w="1326" w:type="dxa"/>
            <w:vMerge/>
          </w:tcPr>
          <w:p w14:paraId="2EBD9870" w14:textId="77777777" w:rsidR="00982FB7" w:rsidRPr="00AD45F2" w:rsidRDefault="00982FB7" w:rsidP="00BC7F58">
            <w:pPr>
              <w:rPr>
                <w:rFonts w:asciiTheme="minorHAnsi" w:hAnsiTheme="minorHAnsi" w:cstheme="minorHAnsi"/>
                <w:sz w:val="20"/>
                <w:szCs w:val="20"/>
              </w:rPr>
            </w:pPr>
          </w:p>
        </w:tc>
        <w:tc>
          <w:tcPr>
            <w:tcW w:w="1374" w:type="dxa"/>
          </w:tcPr>
          <w:p w14:paraId="3A8DCEB0" w14:textId="77777777"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EIA-861S</w:t>
            </w:r>
          </w:p>
        </w:tc>
        <w:tc>
          <w:tcPr>
            <w:tcW w:w="1538" w:type="dxa"/>
          </w:tcPr>
          <w:p w14:paraId="6D3F1325" w14:textId="77777777" w:rsidR="00982FB7" w:rsidRPr="00AD45F2" w:rsidRDefault="006D3BB3" w:rsidP="00AD45F2">
            <w:pPr>
              <w:jc w:val="center"/>
              <w:rPr>
                <w:rFonts w:asciiTheme="minorHAnsi" w:hAnsiTheme="minorHAnsi" w:cstheme="minorHAnsi"/>
                <w:sz w:val="20"/>
                <w:szCs w:val="20"/>
              </w:rPr>
            </w:pPr>
            <w:r>
              <w:rPr>
                <w:rFonts w:asciiTheme="minorHAnsi" w:hAnsiTheme="minorHAnsi" w:cstheme="minorHAnsi"/>
                <w:sz w:val="20"/>
                <w:szCs w:val="20"/>
              </w:rPr>
              <w:t>1111</w:t>
            </w:r>
          </w:p>
        </w:tc>
        <w:tc>
          <w:tcPr>
            <w:tcW w:w="1409" w:type="dxa"/>
          </w:tcPr>
          <w:p w14:paraId="27CE7126" w14:textId="77777777" w:rsidR="00982FB7" w:rsidRPr="00AD45F2" w:rsidRDefault="006D3BB3" w:rsidP="00AD45F2">
            <w:pPr>
              <w:jc w:val="center"/>
              <w:rPr>
                <w:rFonts w:asciiTheme="minorHAnsi" w:hAnsiTheme="minorHAnsi" w:cstheme="minorHAnsi"/>
                <w:sz w:val="20"/>
                <w:szCs w:val="20"/>
              </w:rPr>
            </w:pPr>
            <w:r>
              <w:rPr>
                <w:rFonts w:asciiTheme="minorHAnsi" w:hAnsiTheme="minorHAnsi" w:cstheme="minorHAnsi"/>
                <w:sz w:val="20"/>
                <w:szCs w:val="20"/>
              </w:rPr>
              <w:t>1110</w:t>
            </w:r>
          </w:p>
        </w:tc>
        <w:tc>
          <w:tcPr>
            <w:tcW w:w="1431" w:type="dxa"/>
          </w:tcPr>
          <w:p w14:paraId="35D77847" w14:textId="77777777" w:rsidR="00982FB7" w:rsidRPr="00AD45F2" w:rsidRDefault="006D3BB3" w:rsidP="00AD45F2">
            <w:pPr>
              <w:jc w:val="center"/>
              <w:rPr>
                <w:rFonts w:asciiTheme="minorHAnsi" w:hAnsiTheme="minorHAnsi" w:cstheme="minorHAnsi"/>
                <w:sz w:val="20"/>
                <w:szCs w:val="20"/>
              </w:rPr>
            </w:pPr>
            <w:r>
              <w:rPr>
                <w:rFonts w:asciiTheme="minorHAnsi" w:hAnsiTheme="minorHAnsi" w:cstheme="minorHAnsi"/>
                <w:sz w:val="20"/>
                <w:szCs w:val="20"/>
              </w:rPr>
              <w:t>99.9%</w:t>
            </w:r>
          </w:p>
        </w:tc>
        <w:tc>
          <w:tcPr>
            <w:tcW w:w="1409" w:type="dxa"/>
          </w:tcPr>
          <w:p w14:paraId="262DFB7C" w14:textId="77777777" w:rsidR="00982FB7" w:rsidRPr="00AD45F2" w:rsidRDefault="006D3BB3" w:rsidP="00AD45F2">
            <w:pPr>
              <w:jc w:val="center"/>
              <w:rPr>
                <w:rFonts w:asciiTheme="minorHAnsi" w:hAnsiTheme="minorHAnsi" w:cstheme="minorHAnsi"/>
                <w:sz w:val="20"/>
                <w:szCs w:val="20"/>
              </w:rPr>
            </w:pPr>
            <w:r>
              <w:rPr>
                <w:rFonts w:asciiTheme="minorHAnsi" w:hAnsiTheme="minorHAnsi" w:cstheme="minorHAnsi"/>
                <w:sz w:val="20"/>
                <w:szCs w:val="20"/>
              </w:rPr>
              <w:t>1</w:t>
            </w:r>
          </w:p>
        </w:tc>
        <w:tc>
          <w:tcPr>
            <w:tcW w:w="1431" w:type="dxa"/>
          </w:tcPr>
          <w:p w14:paraId="4D1586A8" w14:textId="77777777" w:rsidR="00982FB7" w:rsidRPr="00AD45F2" w:rsidRDefault="006D3BB3" w:rsidP="00AD45F2">
            <w:pPr>
              <w:jc w:val="center"/>
              <w:rPr>
                <w:rFonts w:asciiTheme="minorHAnsi" w:hAnsiTheme="minorHAnsi" w:cstheme="minorHAnsi"/>
                <w:sz w:val="20"/>
                <w:szCs w:val="20"/>
              </w:rPr>
            </w:pPr>
            <w:r>
              <w:rPr>
                <w:rFonts w:asciiTheme="minorHAnsi" w:hAnsiTheme="minorHAnsi" w:cstheme="minorHAnsi"/>
                <w:sz w:val="20"/>
                <w:szCs w:val="20"/>
              </w:rPr>
              <w:t>0.1%</w:t>
            </w:r>
          </w:p>
        </w:tc>
      </w:tr>
      <w:tr w:rsidR="00982FB7" w14:paraId="6DC6C763" w14:textId="77777777" w:rsidTr="00E85BDB">
        <w:tc>
          <w:tcPr>
            <w:tcW w:w="1326" w:type="dxa"/>
            <w:vMerge/>
          </w:tcPr>
          <w:p w14:paraId="0376E101" w14:textId="77777777" w:rsidR="00982FB7" w:rsidRPr="00AD45F2" w:rsidRDefault="00982FB7" w:rsidP="00BC7F58">
            <w:pPr>
              <w:rPr>
                <w:rFonts w:asciiTheme="minorHAnsi" w:hAnsiTheme="minorHAnsi" w:cstheme="minorHAnsi"/>
                <w:sz w:val="20"/>
                <w:szCs w:val="20"/>
              </w:rPr>
            </w:pPr>
          </w:p>
        </w:tc>
        <w:tc>
          <w:tcPr>
            <w:tcW w:w="1374" w:type="dxa"/>
          </w:tcPr>
          <w:p w14:paraId="02A28A2E" w14:textId="77777777"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EIA-923</w:t>
            </w:r>
          </w:p>
        </w:tc>
        <w:tc>
          <w:tcPr>
            <w:tcW w:w="1538" w:type="dxa"/>
          </w:tcPr>
          <w:p w14:paraId="309BBDA2"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5600</w:t>
            </w:r>
          </w:p>
        </w:tc>
        <w:tc>
          <w:tcPr>
            <w:tcW w:w="1409" w:type="dxa"/>
          </w:tcPr>
          <w:p w14:paraId="61C6CF29"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5593</w:t>
            </w:r>
          </w:p>
        </w:tc>
        <w:tc>
          <w:tcPr>
            <w:tcW w:w="1431" w:type="dxa"/>
          </w:tcPr>
          <w:p w14:paraId="23064A89"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99.9%</w:t>
            </w:r>
          </w:p>
        </w:tc>
        <w:tc>
          <w:tcPr>
            <w:tcW w:w="1409" w:type="dxa"/>
          </w:tcPr>
          <w:p w14:paraId="43664029"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7</w:t>
            </w:r>
          </w:p>
        </w:tc>
        <w:tc>
          <w:tcPr>
            <w:tcW w:w="1431" w:type="dxa"/>
          </w:tcPr>
          <w:p w14:paraId="44B84F4B" w14:textId="77777777"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0.1%</w:t>
            </w:r>
          </w:p>
        </w:tc>
      </w:tr>
      <w:tr w:rsidR="00982FB7" w14:paraId="444FAD36" w14:textId="77777777" w:rsidTr="00E85BDB">
        <w:tc>
          <w:tcPr>
            <w:tcW w:w="1326" w:type="dxa"/>
            <w:vMerge w:val="restart"/>
          </w:tcPr>
          <w:p w14:paraId="7DDC0451" w14:textId="77777777" w:rsidR="00982FB7" w:rsidRPr="00AD45F2" w:rsidRDefault="00982FB7" w:rsidP="00982FB7">
            <w:pPr>
              <w:jc w:val="center"/>
              <w:rPr>
                <w:rFonts w:asciiTheme="minorHAnsi" w:hAnsiTheme="minorHAnsi" w:cstheme="minorHAnsi"/>
                <w:sz w:val="20"/>
                <w:szCs w:val="20"/>
              </w:rPr>
            </w:pPr>
            <w:r w:rsidRPr="00AD45F2">
              <w:rPr>
                <w:rFonts w:asciiTheme="minorHAnsi" w:hAnsiTheme="minorHAnsi" w:cstheme="minorHAnsi"/>
                <w:sz w:val="20"/>
                <w:szCs w:val="20"/>
              </w:rPr>
              <w:t>Monthly Surveys</w:t>
            </w:r>
          </w:p>
          <w:p w14:paraId="7C9E923B" w14:textId="77777777" w:rsidR="00982FB7" w:rsidRPr="00AD45F2" w:rsidRDefault="004150FC" w:rsidP="00057FFB">
            <w:pPr>
              <w:jc w:val="center"/>
              <w:rPr>
                <w:rFonts w:asciiTheme="minorHAnsi" w:hAnsiTheme="minorHAnsi" w:cstheme="minorHAnsi"/>
                <w:sz w:val="20"/>
                <w:szCs w:val="20"/>
              </w:rPr>
            </w:pPr>
            <w:r>
              <w:rPr>
                <w:rFonts w:asciiTheme="minorHAnsi" w:hAnsiTheme="minorHAnsi" w:cstheme="minorHAnsi"/>
                <w:sz w:val="20"/>
                <w:szCs w:val="20"/>
              </w:rPr>
              <w:t xml:space="preserve">Collection </w:t>
            </w:r>
            <w:r w:rsidR="00057FFB">
              <w:rPr>
                <w:rFonts w:asciiTheme="minorHAnsi" w:hAnsiTheme="minorHAnsi" w:cstheme="minorHAnsi"/>
                <w:sz w:val="20"/>
                <w:szCs w:val="20"/>
              </w:rPr>
              <w:t>of January</w:t>
            </w:r>
            <w:r w:rsidR="00982FB7" w:rsidRPr="00AD45F2">
              <w:rPr>
                <w:rFonts w:asciiTheme="minorHAnsi" w:hAnsiTheme="minorHAnsi" w:cstheme="minorHAnsi"/>
                <w:sz w:val="20"/>
                <w:szCs w:val="20"/>
              </w:rPr>
              <w:t xml:space="preserve"> 201</w:t>
            </w:r>
            <w:r w:rsidR="00057FFB">
              <w:rPr>
                <w:rFonts w:asciiTheme="minorHAnsi" w:hAnsiTheme="minorHAnsi" w:cstheme="minorHAnsi"/>
                <w:sz w:val="20"/>
                <w:szCs w:val="20"/>
              </w:rPr>
              <w:t>6 Data in March 2016**</w:t>
            </w:r>
          </w:p>
        </w:tc>
        <w:tc>
          <w:tcPr>
            <w:tcW w:w="1374" w:type="dxa"/>
          </w:tcPr>
          <w:p w14:paraId="6A5CD68B" w14:textId="77777777"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EIA-826</w:t>
            </w:r>
          </w:p>
        </w:tc>
        <w:tc>
          <w:tcPr>
            <w:tcW w:w="1538" w:type="dxa"/>
          </w:tcPr>
          <w:p w14:paraId="069F8F1B" w14:textId="77777777" w:rsidR="00982FB7" w:rsidRPr="00AD45F2" w:rsidRDefault="002B71D0" w:rsidP="00AD45F2">
            <w:pPr>
              <w:jc w:val="center"/>
              <w:rPr>
                <w:rFonts w:asciiTheme="minorHAnsi" w:hAnsiTheme="minorHAnsi" w:cstheme="minorHAnsi"/>
                <w:sz w:val="20"/>
                <w:szCs w:val="20"/>
              </w:rPr>
            </w:pPr>
            <w:r>
              <w:rPr>
                <w:rFonts w:asciiTheme="minorHAnsi" w:hAnsiTheme="minorHAnsi" w:cstheme="minorHAnsi"/>
                <w:sz w:val="20"/>
                <w:szCs w:val="20"/>
              </w:rPr>
              <w:t>533</w:t>
            </w:r>
          </w:p>
        </w:tc>
        <w:tc>
          <w:tcPr>
            <w:tcW w:w="1409" w:type="dxa"/>
          </w:tcPr>
          <w:p w14:paraId="3241B4E8" w14:textId="77777777" w:rsidR="00982FB7" w:rsidRPr="00AD45F2" w:rsidRDefault="00982FB7" w:rsidP="004D49F6">
            <w:pPr>
              <w:jc w:val="center"/>
              <w:rPr>
                <w:rFonts w:asciiTheme="minorHAnsi" w:hAnsiTheme="minorHAnsi" w:cstheme="minorHAnsi"/>
                <w:sz w:val="20"/>
                <w:szCs w:val="20"/>
              </w:rPr>
            </w:pPr>
            <w:r w:rsidRPr="00AD45F2">
              <w:rPr>
                <w:rFonts w:asciiTheme="minorHAnsi" w:hAnsiTheme="minorHAnsi" w:cstheme="minorHAnsi"/>
                <w:sz w:val="20"/>
                <w:szCs w:val="20"/>
              </w:rPr>
              <w:t>5</w:t>
            </w:r>
            <w:r w:rsidR="004D49F6">
              <w:rPr>
                <w:rFonts w:asciiTheme="minorHAnsi" w:hAnsiTheme="minorHAnsi" w:cstheme="minorHAnsi"/>
                <w:sz w:val="20"/>
                <w:szCs w:val="20"/>
              </w:rPr>
              <w:t>3</w:t>
            </w:r>
            <w:r w:rsidR="002B71D0">
              <w:rPr>
                <w:rFonts w:asciiTheme="minorHAnsi" w:hAnsiTheme="minorHAnsi" w:cstheme="minorHAnsi"/>
                <w:sz w:val="20"/>
                <w:szCs w:val="20"/>
              </w:rPr>
              <w:t>3</w:t>
            </w:r>
          </w:p>
        </w:tc>
        <w:tc>
          <w:tcPr>
            <w:tcW w:w="1431" w:type="dxa"/>
          </w:tcPr>
          <w:p w14:paraId="1DC607AB" w14:textId="77777777" w:rsidR="00982FB7" w:rsidRPr="00AD45F2" w:rsidRDefault="004D49F6" w:rsidP="004D49F6">
            <w:pPr>
              <w:jc w:val="center"/>
              <w:rPr>
                <w:rFonts w:asciiTheme="minorHAnsi" w:hAnsiTheme="minorHAnsi" w:cstheme="minorHAnsi"/>
                <w:sz w:val="20"/>
                <w:szCs w:val="20"/>
              </w:rPr>
            </w:pPr>
            <w:r>
              <w:rPr>
                <w:rFonts w:asciiTheme="minorHAnsi" w:hAnsiTheme="minorHAnsi" w:cstheme="minorHAnsi"/>
                <w:sz w:val="20"/>
                <w:szCs w:val="20"/>
              </w:rPr>
              <w:t>100%</w:t>
            </w:r>
          </w:p>
        </w:tc>
        <w:tc>
          <w:tcPr>
            <w:tcW w:w="1409" w:type="dxa"/>
          </w:tcPr>
          <w:p w14:paraId="5120E75D" w14:textId="77777777" w:rsidR="00982FB7" w:rsidRPr="00AD45F2" w:rsidRDefault="000F1C08" w:rsidP="000F1C08">
            <w:pPr>
              <w:jc w:val="center"/>
              <w:rPr>
                <w:rFonts w:asciiTheme="minorHAnsi" w:hAnsiTheme="minorHAnsi" w:cstheme="minorHAnsi"/>
                <w:sz w:val="20"/>
                <w:szCs w:val="20"/>
              </w:rPr>
            </w:pPr>
            <w:r>
              <w:rPr>
                <w:rFonts w:asciiTheme="minorHAnsi" w:hAnsiTheme="minorHAnsi" w:cstheme="minorHAnsi"/>
                <w:sz w:val="20"/>
                <w:szCs w:val="20"/>
              </w:rPr>
              <w:t>0</w:t>
            </w:r>
          </w:p>
        </w:tc>
        <w:tc>
          <w:tcPr>
            <w:tcW w:w="1431" w:type="dxa"/>
          </w:tcPr>
          <w:p w14:paraId="7658B61F" w14:textId="77777777" w:rsidR="00982FB7" w:rsidRPr="00AD45F2" w:rsidRDefault="000F1C08" w:rsidP="000F1C08">
            <w:pPr>
              <w:jc w:val="center"/>
              <w:rPr>
                <w:rFonts w:asciiTheme="minorHAnsi" w:hAnsiTheme="minorHAnsi" w:cstheme="minorHAnsi"/>
                <w:sz w:val="20"/>
                <w:szCs w:val="20"/>
              </w:rPr>
            </w:pPr>
            <w:r>
              <w:rPr>
                <w:rFonts w:asciiTheme="minorHAnsi" w:hAnsiTheme="minorHAnsi" w:cstheme="minorHAnsi"/>
                <w:sz w:val="20"/>
                <w:szCs w:val="20"/>
              </w:rPr>
              <w:t>0</w:t>
            </w:r>
            <w:r w:rsidR="00982FB7" w:rsidRPr="00AD45F2">
              <w:rPr>
                <w:rFonts w:asciiTheme="minorHAnsi" w:hAnsiTheme="minorHAnsi" w:cstheme="minorHAnsi"/>
                <w:sz w:val="20"/>
                <w:szCs w:val="20"/>
              </w:rPr>
              <w:t>%</w:t>
            </w:r>
          </w:p>
        </w:tc>
      </w:tr>
      <w:tr w:rsidR="00982FB7" w14:paraId="60D8DA27" w14:textId="77777777" w:rsidTr="00E85BDB">
        <w:tc>
          <w:tcPr>
            <w:tcW w:w="1326" w:type="dxa"/>
            <w:vMerge/>
          </w:tcPr>
          <w:p w14:paraId="3FB4C476" w14:textId="77777777" w:rsidR="00982FB7" w:rsidRPr="00AD45F2" w:rsidRDefault="00982FB7" w:rsidP="00BC7F58">
            <w:pPr>
              <w:rPr>
                <w:rFonts w:asciiTheme="minorHAnsi" w:hAnsiTheme="minorHAnsi" w:cstheme="minorHAnsi"/>
                <w:sz w:val="20"/>
                <w:szCs w:val="20"/>
              </w:rPr>
            </w:pPr>
          </w:p>
        </w:tc>
        <w:tc>
          <w:tcPr>
            <w:tcW w:w="1374" w:type="dxa"/>
          </w:tcPr>
          <w:p w14:paraId="14E1C686" w14:textId="77777777"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EIA-860M</w:t>
            </w:r>
          </w:p>
        </w:tc>
        <w:tc>
          <w:tcPr>
            <w:tcW w:w="1538" w:type="dxa"/>
          </w:tcPr>
          <w:p w14:paraId="3489CC7C" w14:textId="77777777"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188</w:t>
            </w:r>
          </w:p>
        </w:tc>
        <w:tc>
          <w:tcPr>
            <w:tcW w:w="1409" w:type="dxa"/>
          </w:tcPr>
          <w:p w14:paraId="257687AA" w14:textId="77777777"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187</w:t>
            </w:r>
          </w:p>
        </w:tc>
        <w:tc>
          <w:tcPr>
            <w:tcW w:w="1431" w:type="dxa"/>
          </w:tcPr>
          <w:p w14:paraId="4F3F5DB2" w14:textId="77777777"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99.5</w:t>
            </w:r>
            <w:r w:rsidR="00982FB7" w:rsidRPr="00AD45F2">
              <w:rPr>
                <w:rFonts w:asciiTheme="minorHAnsi" w:hAnsiTheme="minorHAnsi" w:cstheme="minorHAnsi"/>
                <w:sz w:val="20"/>
                <w:szCs w:val="20"/>
              </w:rPr>
              <w:t>%</w:t>
            </w:r>
          </w:p>
        </w:tc>
        <w:tc>
          <w:tcPr>
            <w:tcW w:w="1409" w:type="dxa"/>
          </w:tcPr>
          <w:p w14:paraId="4CFA66CE" w14:textId="77777777"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1</w:t>
            </w:r>
          </w:p>
        </w:tc>
        <w:tc>
          <w:tcPr>
            <w:tcW w:w="1431" w:type="dxa"/>
          </w:tcPr>
          <w:p w14:paraId="3D46D151" w14:textId="77777777"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0.5%</w:t>
            </w:r>
          </w:p>
        </w:tc>
      </w:tr>
      <w:tr w:rsidR="00982FB7" w14:paraId="248B008C" w14:textId="77777777" w:rsidTr="00E85BDB">
        <w:tc>
          <w:tcPr>
            <w:tcW w:w="1326" w:type="dxa"/>
            <w:vMerge/>
          </w:tcPr>
          <w:p w14:paraId="7A36002D" w14:textId="77777777" w:rsidR="00982FB7" w:rsidRPr="00AD45F2" w:rsidRDefault="00982FB7" w:rsidP="00BC7F58">
            <w:pPr>
              <w:rPr>
                <w:rFonts w:asciiTheme="minorHAnsi" w:hAnsiTheme="minorHAnsi" w:cstheme="minorHAnsi"/>
                <w:sz w:val="20"/>
                <w:szCs w:val="20"/>
              </w:rPr>
            </w:pPr>
          </w:p>
        </w:tc>
        <w:tc>
          <w:tcPr>
            <w:tcW w:w="1374" w:type="dxa"/>
          </w:tcPr>
          <w:p w14:paraId="04B1C1C7" w14:textId="77777777"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EIA-923</w:t>
            </w:r>
          </w:p>
        </w:tc>
        <w:tc>
          <w:tcPr>
            <w:tcW w:w="1538" w:type="dxa"/>
          </w:tcPr>
          <w:p w14:paraId="3263937C" w14:textId="77777777"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2108</w:t>
            </w:r>
          </w:p>
        </w:tc>
        <w:tc>
          <w:tcPr>
            <w:tcW w:w="1409" w:type="dxa"/>
          </w:tcPr>
          <w:p w14:paraId="311DCB9F" w14:textId="77777777"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2108</w:t>
            </w:r>
          </w:p>
        </w:tc>
        <w:tc>
          <w:tcPr>
            <w:tcW w:w="1431" w:type="dxa"/>
          </w:tcPr>
          <w:p w14:paraId="5F1968DA" w14:textId="77777777"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100</w:t>
            </w:r>
            <w:r w:rsidR="00982FB7" w:rsidRPr="00AD45F2">
              <w:rPr>
                <w:rFonts w:asciiTheme="minorHAnsi" w:hAnsiTheme="minorHAnsi" w:cstheme="minorHAnsi"/>
                <w:sz w:val="20"/>
                <w:szCs w:val="20"/>
              </w:rPr>
              <w:t>%</w:t>
            </w:r>
          </w:p>
        </w:tc>
        <w:tc>
          <w:tcPr>
            <w:tcW w:w="1409" w:type="dxa"/>
          </w:tcPr>
          <w:p w14:paraId="6CD86815" w14:textId="77777777"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0</w:t>
            </w:r>
          </w:p>
        </w:tc>
        <w:tc>
          <w:tcPr>
            <w:tcW w:w="1431" w:type="dxa"/>
          </w:tcPr>
          <w:p w14:paraId="451DD541" w14:textId="77777777"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0</w:t>
            </w:r>
            <w:r w:rsidR="00982FB7" w:rsidRPr="00AD45F2">
              <w:rPr>
                <w:rFonts w:asciiTheme="minorHAnsi" w:hAnsiTheme="minorHAnsi" w:cstheme="minorHAnsi"/>
                <w:sz w:val="20"/>
                <w:szCs w:val="20"/>
              </w:rPr>
              <w:t>%</w:t>
            </w:r>
          </w:p>
        </w:tc>
      </w:tr>
      <w:tr w:rsidR="00157498" w14:paraId="5E97D78B" w14:textId="77777777" w:rsidTr="00E85BDB">
        <w:tc>
          <w:tcPr>
            <w:tcW w:w="1326" w:type="dxa"/>
          </w:tcPr>
          <w:p w14:paraId="03A0BDD9" w14:textId="77777777" w:rsidR="00157498" w:rsidRPr="00AD45F2" w:rsidRDefault="00157498" w:rsidP="00F6477A">
            <w:pPr>
              <w:jc w:val="center"/>
              <w:rPr>
                <w:rFonts w:asciiTheme="minorHAnsi" w:hAnsiTheme="minorHAnsi" w:cstheme="minorHAnsi"/>
                <w:sz w:val="20"/>
                <w:szCs w:val="20"/>
              </w:rPr>
            </w:pPr>
            <w:r>
              <w:rPr>
                <w:rFonts w:asciiTheme="minorHAnsi" w:hAnsiTheme="minorHAnsi" w:cstheme="minorHAnsi"/>
                <w:sz w:val="20"/>
                <w:szCs w:val="20"/>
              </w:rPr>
              <w:t>Hourly and Daily Collection of April 21, 2016***</w:t>
            </w:r>
          </w:p>
        </w:tc>
        <w:tc>
          <w:tcPr>
            <w:tcW w:w="1374" w:type="dxa"/>
          </w:tcPr>
          <w:p w14:paraId="489FF025" w14:textId="77777777" w:rsidR="00157498" w:rsidRPr="00AD45F2" w:rsidRDefault="00157498" w:rsidP="00BC7F58">
            <w:pPr>
              <w:rPr>
                <w:rFonts w:asciiTheme="minorHAnsi" w:hAnsiTheme="minorHAnsi" w:cstheme="minorHAnsi"/>
                <w:sz w:val="20"/>
                <w:szCs w:val="20"/>
              </w:rPr>
            </w:pPr>
            <w:r>
              <w:rPr>
                <w:rFonts w:asciiTheme="minorHAnsi" w:hAnsiTheme="minorHAnsi" w:cstheme="minorHAnsi"/>
                <w:sz w:val="20"/>
                <w:szCs w:val="20"/>
              </w:rPr>
              <w:t>EIA-930</w:t>
            </w:r>
          </w:p>
        </w:tc>
        <w:tc>
          <w:tcPr>
            <w:tcW w:w="1538" w:type="dxa"/>
          </w:tcPr>
          <w:p w14:paraId="3ACC8BC4" w14:textId="77777777" w:rsidR="00157498" w:rsidRDefault="00157498" w:rsidP="00AD45F2">
            <w:pPr>
              <w:jc w:val="center"/>
              <w:rPr>
                <w:rFonts w:asciiTheme="minorHAnsi" w:hAnsiTheme="minorHAnsi" w:cstheme="minorHAnsi"/>
                <w:sz w:val="20"/>
                <w:szCs w:val="20"/>
              </w:rPr>
            </w:pPr>
            <w:r>
              <w:rPr>
                <w:rFonts w:asciiTheme="minorHAnsi" w:hAnsiTheme="minorHAnsi" w:cstheme="minorHAnsi"/>
                <w:sz w:val="20"/>
                <w:szCs w:val="20"/>
              </w:rPr>
              <w:t>66</w:t>
            </w:r>
          </w:p>
        </w:tc>
        <w:tc>
          <w:tcPr>
            <w:tcW w:w="1409" w:type="dxa"/>
          </w:tcPr>
          <w:p w14:paraId="541AAD40" w14:textId="77777777" w:rsidR="00157498" w:rsidRDefault="00157498" w:rsidP="00AD45F2">
            <w:pPr>
              <w:jc w:val="center"/>
              <w:rPr>
                <w:rFonts w:asciiTheme="minorHAnsi" w:hAnsiTheme="minorHAnsi" w:cstheme="minorHAnsi"/>
                <w:sz w:val="20"/>
                <w:szCs w:val="20"/>
              </w:rPr>
            </w:pPr>
            <w:r>
              <w:rPr>
                <w:rFonts w:asciiTheme="minorHAnsi" w:hAnsiTheme="minorHAnsi" w:cstheme="minorHAnsi"/>
                <w:sz w:val="20"/>
                <w:szCs w:val="20"/>
              </w:rPr>
              <w:t>1650</w:t>
            </w:r>
          </w:p>
        </w:tc>
        <w:tc>
          <w:tcPr>
            <w:tcW w:w="1431" w:type="dxa"/>
          </w:tcPr>
          <w:p w14:paraId="1E75624B" w14:textId="77777777" w:rsidR="00157498" w:rsidRDefault="00157498" w:rsidP="00AD45F2">
            <w:pPr>
              <w:jc w:val="center"/>
              <w:rPr>
                <w:rFonts w:asciiTheme="minorHAnsi" w:hAnsiTheme="minorHAnsi" w:cstheme="minorHAnsi"/>
                <w:sz w:val="20"/>
                <w:szCs w:val="20"/>
              </w:rPr>
            </w:pPr>
            <w:r>
              <w:rPr>
                <w:rFonts w:asciiTheme="minorHAnsi" w:hAnsiTheme="minorHAnsi" w:cstheme="minorHAnsi"/>
                <w:sz w:val="20"/>
                <w:szCs w:val="20"/>
              </w:rPr>
              <w:t>97%</w:t>
            </w:r>
          </w:p>
        </w:tc>
        <w:tc>
          <w:tcPr>
            <w:tcW w:w="1409" w:type="dxa"/>
          </w:tcPr>
          <w:p w14:paraId="18489C42" w14:textId="77777777" w:rsidR="00157498" w:rsidRDefault="00157498" w:rsidP="00AD45F2">
            <w:pPr>
              <w:jc w:val="center"/>
              <w:rPr>
                <w:rFonts w:asciiTheme="minorHAnsi" w:hAnsiTheme="minorHAnsi" w:cstheme="minorHAnsi"/>
                <w:sz w:val="20"/>
                <w:szCs w:val="20"/>
              </w:rPr>
            </w:pPr>
            <w:r>
              <w:rPr>
                <w:rFonts w:asciiTheme="minorHAnsi" w:hAnsiTheme="minorHAnsi" w:cstheme="minorHAnsi"/>
                <w:sz w:val="20"/>
                <w:szCs w:val="20"/>
              </w:rPr>
              <w:t>49</w:t>
            </w:r>
          </w:p>
        </w:tc>
        <w:tc>
          <w:tcPr>
            <w:tcW w:w="1431" w:type="dxa"/>
          </w:tcPr>
          <w:p w14:paraId="349F4E9E" w14:textId="77777777" w:rsidR="00157498" w:rsidRDefault="00157498" w:rsidP="00AD45F2">
            <w:pPr>
              <w:jc w:val="center"/>
              <w:rPr>
                <w:rFonts w:asciiTheme="minorHAnsi" w:hAnsiTheme="minorHAnsi" w:cstheme="minorHAnsi"/>
                <w:sz w:val="20"/>
                <w:szCs w:val="20"/>
              </w:rPr>
            </w:pPr>
            <w:r>
              <w:rPr>
                <w:rFonts w:asciiTheme="minorHAnsi" w:hAnsiTheme="minorHAnsi" w:cstheme="minorHAnsi"/>
                <w:sz w:val="20"/>
                <w:szCs w:val="20"/>
              </w:rPr>
              <w:t>3%</w:t>
            </w:r>
          </w:p>
        </w:tc>
      </w:tr>
      <w:tr w:rsidR="00982FB7" w14:paraId="3E02DB14" w14:textId="77777777" w:rsidTr="00E85BDB">
        <w:tc>
          <w:tcPr>
            <w:tcW w:w="9918" w:type="dxa"/>
            <w:gridSpan w:val="7"/>
          </w:tcPr>
          <w:p w14:paraId="0234C8AA" w14:textId="2D2570B4" w:rsidR="00157498" w:rsidRPr="00E85BDB" w:rsidRDefault="00A56B79" w:rsidP="00A56B79">
            <w:pPr>
              <w:rPr>
                <w:rFonts w:asciiTheme="minorHAnsi" w:hAnsiTheme="minorHAnsi" w:cstheme="minorHAnsi"/>
                <w:sz w:val="18"/>
                <w:szCs w:val="18"/>
              </w:rPr>
            </w:pPr>
            <w:r>
              <w:rPr>
                <w:rFonts w:asciiTheme="minorHAnsi" w:hAnsiTheme="minorHAnsi" w:cstheme="minorHAnsi"/>
                <w:sz w:val="18"/>
                <w:szCs w:val="18"/>
              </w:rPr>
              <w:t>*</w:t>
            </w:r>
            <w:r w:rsidR="00B60233" w:rsidRPr="00E85BDB">
              <w:rPr>
                <w:rFonts w:asciiTheme="minorHAnsi" w:hAnsiTheme="minorHAnsi" w:cstheme="minorHAnsi"/>
                <w:sz w:val="18"/>
                <w:szCs w:val="18"/>
              </w:rPr>
              <w:t>The</w:t>
            </w:r>
            <w:r w:rsidR="00057FFB">
              <w:rPr>
                <w:rFonts w:asciiTheme="minorHAnsi" w:hAnsiTheme="minorHAnsi" w:cstheme="minorHAnsi"/>
                <w:sz w:val="18"/>
                <w:szCs w:val="18"/>
              </w:rPr>
              <w:t xml:space="preserve"> most current, complete annual surveys collection was for 2014</w:t>
            </w:r>
            <w:r w:rsidR="006F2329">
              <w:rPr>
                <w:rFonts w:asciiTheme="minorHAnsi" w:hAnsiTheme="minorHAnsi" w:cstheme="minorHAnsi"/>
                <w:sz w:val="18"/>
                <w:szCs w:val="18"/>
              </w:rPr>
              <w:t xml:space="preserve"> data, completed and published in January 2016.</w:t>
            </w:r>
            <w:r w:rsidR="00B60233" w:rsidRPr="00E85BDB">
              <w:rPr>
                <w:rFonts w:asciiTheme="minorHAnsi" w:hAnsiTheme="minorHAnsi" w:cstheme="minorHAnsi"/>
                <w:sz w:val="18"/>
                <w:szCs w:val="18"/>
              </w:rPr>
              <w:t xml:space="preserve"> </w:t>
            </w:r>
            <w:r w:rsidR="006D75CD" w:rsidRPr="00E85BDB">
              <w:rPr>
                <w:rFonts w:asciiTheme="minorHAnsi" w:hAnsiTheme="minorHAnsi" w:cstheme="minorHAnsi"/>
                <w:sz w:val="18"/>
                <w:szCs w:val="18"/>
              </w:rPr>
              <w:t>The annual surveys collection of 201</w:t>
            </w:r>
            <w:r w:rsidR="006F2329">
              <w:rPr>
                <w:rFonts w:asciiTheme="minorHAnsi" w:hAnsiTheme="minorHAnsi" w:cstheme="minorHAnsi"/>
                <w:sz w:val="18"/>
                <w:szCs w:val="18"/>
              </w:rPr>
              <w:t>5</w:t>
            </w:r>
            <w:r w:rsidR="006D75CD" w:rsidRPr="00E85BDB">
              <w:rPr>
                <w:rFonts w:asciiTheme="minorHAnsi" w:hAnsiTheme="minorHAnsi" w:cstheme="minorHAnsi"/>
                <w:sz w:val="18"/>
                <w:szCs w:val="18"/>
              </w:rPr>
              <w:t xml:space="preserve"> data</w:t>
            </w:r>
            <w:r w:rsidR="006F2329">
              <w:rPr>
                <w:rFonts w:asciiTheme="minorHAnsi" w:hAnsiTheme="minorHAnsi" w:cstheme="minorHAnsi"/>
                <w:sz w:val="18"/>
                <w:szCs w:val="18"/>
              </w:rPr>
              <w:t xml:space="preserve"> is currently being processed and prepared for final publication in late 2016.</w:t>
            </w:r>
            <w:r w:rsidR="006F2329" w:rsidRPr="00E85BDB" w:rsidDel="006F2329">
              <w:rPr>
                <w:rFonts w:asciiTheme="minorHAnsi" w:hAnsiTheme="minorHAnsi" w:cstheme="minorHAnsi"/>
                <w:sz w:val="18"/>
                <w:szCs w:val="18"/>
              </w:rPr>
              <w:t xml:space="preserve"> </w:t>
            </w:r>
            <w:r w:rsidR="00057FFB">
              <w:rPr>
                <w:rFonts w:asciiTheme="minorHAnsi" w:hAnsiTheme="minorHAnsi" w:cstheme="minorHAnsi"/>
                <w:sz w:val="18"/>
                <w:szCs w:val="18"/>
              </w:rPr>
              <w:br/>
              <w:t>**The latest monthly data collection was for January 2016 data</w:t>
            </w:r>
            <w:r w:rsidR="002C4DD8">
              <w:rPr>
                <w:rFonts w:asciiTheme="minorHAnsi" w:hAnsiTheme="minorHAnsi" w:cstheme="minorHAnsi"/>
                <w:sz w:val="18"/>
                <w:szCs w:val="18"/>
              </w:rPr>
              <w:t>.  The data, which are</w:t>
            </w:r>
            <w:r w:rsidR="00376D76">
              <w:rPr>
                <w:rFonts w:asciiTheme="minorHAnsi" w:hAnsiTheme="minorHAnsi" w:cstheme="minorHAnsi"/>
                <w:sz w:val="18"/>
                <w:szCs w:val="18"/>
              </w:rPr>
              <w:t xml:space="preserve"> considered preliminary, were</w:t>
            </w:r>
            <w:r w:rsidR="006F2329">
              <w:rPr>
                <w:rFonts w:asciiTheme="minorHAnsi" w:hAnsiTheme="minorHAnsi" w:cstheme="minorHAnsi"/>
                <w:sz w:val="18"/>
                <w:szCs w:val="18"/>
              </w:rPr>
              <w:t xml:space="preserve"> published in late March 2016</w:t>
            </w:r>
            <w:r w:rsidR="00057FFB">
              <w:rPr>
                <w:rFonts w:asciiTheme="minorHAnsi" w:hAnsiTheme="minorHAnsi" w:cstheme="minorHAnsi"/>
                <w:sz w:val="18"/>
                <w:szCs w:val="18"/>
              </w:rPr>
              <w:t>.</w:t>
            </w:r>
            <w:r>
              <w:rPr>
                <w:rFonts w:asciiTheme="minorHAnsi" w:hAnsiTheme="minorHAnsi" w:cstheme="minorHAnsi"/>
                <w:sz w:val="18"/>
                <w:szCs w:val="18"/>
              </w:rPr>
              <w:t xml:space="preserve"> </w:t>
            </w:r>
            <w:r w:rsidR="00157498">
              <w:rPr>
                <w:rFonts w:asciiTheme="minorHAnsi" w:hAnsiTheme="minorHAnsi" w:cstheme="minorHAnsi"/>
                <w:sz w:val="18"/>
                <w:szCs w:val="18"/>
              </w:rPr>
              <w:t>***Th</w:t>
            </w:r>
            <w:r>
              <w:rPr>
                <w:rFonts w:asciiTheme="minorHAnsi" w:hAnsiTheme="minorHAnsi" w:cstheme="minorHAnsi"/>
                <w:sz w:val="18"/>
                <w:szCs w:val="18"/>
              </w:rPr>
              <w:t>is</w:t>
            </w:r>
            <w:r w:rsidR="00157498">
              <w:rPr>
                <w:rFonts w:asciiTheme="minorHAnsi" w:hAnsiTheme="minorHAnsi" w:cstheme="minorHAnsi"/>
                <w:sz w:val="18"/>
                <w:szCs w:val="18"/>
              </w:rPr>
              <w:t xml:space="preserve"> day was chosen as a representative day.  Hourly data </w:t>
            </w:r>
            <w:r w:rsidR="008F345D">
              <w:rPr>
                <w:rFonts w:asciiTheme="minorHAnsi" w:hAnsiTheme="minorHAnsi" w:cstheme="minorHAnsi"/>
                <w:sz w:val="18"/>
                <w:szCs w:val="18"/>
              </w:rPr>
              <w:t>are</w:t>
            </w:r>
            <w:r w:rsidR="00157498">
              <w:rPr>
                <w:rFonts w:asciiTheme="minorHAnsi" w:hAnsiTheme="minorHAnsi" w:cstheme="minorHAnsi"/>
                <w:sz w:val="18"/>
                <w:szCs w:val="18"/>
              </w:rPr>
              <w:t xml:space="preserve"> posted within one hour and daily data </w:t>
            </w:r>
            <w:r w:rsidR="008F345D">
              <w:rPr>
                <w:rFonts w:asciiTheme="minorHAnsi" w:hAnsiTheme="minorHAnsi" w:cstheme="minorHAnsi"/>
                <w:sz w:val="18"/>
                <w:szCs w:val="18"/>
              </w:rPr>
              <w:t>are</w:t>
            </w:r>
            <w:r w:rsidR="00157498">
              <w:rPr>
                <w:rFonts w:asciiTheme="minorHAnsi" w:hAnsiTheme="minorHAnsi" w:cstheme="minorHAnsi"/>
                <w:sz w:val="18"/>
                <w:szCs w:val="18"/>
              </w:rPr>
              <w:t xml:space="preserve"> posted the next day.</w:t>
            </w:r>
          </w:p>
        </w:tc>
      </w:tr>
    </w:tbl>
    <w:p w14:paraId="0E9B6663" w14:textId="77777777" w:rsidR="00BC7F58" w:rsidRDefault="008528F6" w:rsidP="00A1479A">
      <w:pPr>
        <w:spacing w:before="240"/>
      </w:pPr>
      <w:r>
        <w:t xml:space="preserve">To maximize response rates, </w:t>
      </w:r>
      <w:r w:rsidR="00BC7F58">
        <w:t xml:space="preserve">EIA </w:t>
      </w:r>
      <w:r w:rsidR="0095631D">
        <w:t>survey</w:t>
      </w:r>
      <w:r w:rsidR="000632B3">
        <w:t xml:space="preserve"> form</w:t>
      </w:r>
      <w:r w:rsidR="0095631D">
        <w:t>s</w:t>
      </w:r>
      <w:r w:rsidR="00BC7F58">
        <w:t xml:space="preserve"> </w:t>
      </w:r>
      <w:r>
        <w:t xml:space="preserve">and instructions </w:t>
      </w:r>
      <w:r w:rsidR="00A1479A">
        <w:t>are</w:t>
      </w:r>
      <w:r w:rsidR="00BC7F58">
        <w:t xml:space="preserve"> designed and written </w:t>
      </w:r>
      <w:r>
        <w:t>for clarity and conciseness.</w:t>
      </w:r>
      <w:r w:rsidR="00BC7F58">
        <w:t xml:space="preserve">  Data that are not expected to change from year-to-year or month-to-month are pre-populated on the forms.  </w:t>
      </w:r>
      <w:r w:rsidR="0095631D">
        <w:t>N</w:t>
      </w:r>
      <w:r w:rsidR="00BC7F58">
        <w:t>otifications are emailed early to maximize the time that respondents have to complete the surveys.</w:t>
      </w:r>
    </w:p>
    <w:p w14:paraId="7AB39F74" w14:textId="77777777" w:rsidR="00BC7F58" w:rsidRDefault="00BC7F58" w:rsidP="00BC7F58">
      <w:r>
        <w:t>As noted in Part A, EIA’s Internet data collection system makes forms available on-line as soon as respondents obtain a secure ID and password.  Given the high Internet use rate</w:t>
      </w:r>
      <w:r w:rsidR="002E6AB1">
        <w:t xml:space="preserve"> among respondents to these surveys</w:t>
      </w:r>
      <w:r>
        <w:t xml:space="preserve"> (approximately 9</w:t>
      </w:r>
      <w:r w:rsidR="00BF5389">
        <w:t>5</w:t>
      </w:r>
      <w:r>
        <w:t xml:space="preserve"> percent), most online respondents will log on in the next data collection period and access their required forms.  Form due dates are the same each period so that respondents can schedule their completion activities.</w:t>
      </w:r>
    </w:p>
    <w:p w14:paraId="57F92DE2" w14:textId="77777777" w:rsidR="00BC7F58" w:rsidRDefault="00BC7F58" w:rsidP="00BC7F58">
      <w:r>
        <w:t>Any non-respondents are contacted by email, telephone, and letter to request data submission, until an insignificant or zero non-response rate is obtained.  Follow-up email</w:t>
      </w:r>
      <w:r w:rsidR="002E6AB1">
        <w:t xml:space="preserve"> message</w:t>
      </w:r>
      <w:r>
        <w:t xml:space="preserve">s citing </w:t>
      </w:r>
      <w:r w:rsidR="00756EDB">
        <w:t>sanctions for failing</w:t>
      </w:r>
      <w:r>
        <w:t xml:space="preserve"> to file the required form</w:t>
      </w:r>
      <w:r w:rsidR="00756EDB">
        <w:t>(s)</w:t>
      </w:r>
      <w:r>
        <w:t xml:space="preserve"> are sent to all non-respondents.  If the follow-up email</w:t>
      </w:r>
      <w:r w:rsidR="002E6AB1">
        <w:t xml:space="preserve"> message</w:t>
      </w:r>
      <w:r>
        <w:t>s do not result in a response, additional correspondence requesting immediate submission is sent to the supervisor of the primary contact and, if necessary, to higher-level management officials at the non-respond</w:t>
      </w:r>
      <w:r w:rsidR="002E6AB1">
        <w:t>ing</w:t>
      </w:r>
      <w:r>
        <w:t xml:space="preserve"> entity.  These letters are sent from the </w:t>
      </w:r>
      <w:r w:rsidR="002E6AB1">
        <w:t xml:space="preserve">EIA </w:t>
      </w:r>
      <w:r>
        <w:t>Office Director or</w:t>
      </w:r>
      <w:r w:rsidR="0095631D">
        <w:t xml:space="preserve"> (rarely) </w:t>
      </w:r>
      <w:r>
        <w:t xml:space="preserve">from the </w:t>
      </w:r>
      <w:r w:rsidR="007D79BB">
        <w:t xml:space="preserve">Assistant Administrator </w:t>
      </w:r>
      <w:r w:rsidR="00756EDB">
        <w:t>or Administrator of EIA</w:t>
      </w:r>
      <w:r>
        <w:t>.</w:t>
      </w:r>
    </w:p>
    <w:p w14:paraId="0D6223FA" w14:textId="77777777" w:rsidR="00BC7F58" w:rsidRDefault="00BC7F58" w:rsidP="00BC7F58">
      <w:r>
        <w:t>Respondents who file via the Internet system are given the opportunity to either correct or explain unusual data during their submission.  The</w:t>
      </w:r>
      <w:r w:rsidR="002E6AB1">
        <w:t>se</w:t>
      </w:r>
      <w:r>
        <w:t xml:space="preserve"> explanations are reviewed by EIA staff.  Respondents are contacted if further clarification is needed.  For those respondents that do not file via the Internet, but rather on a hard copy of the form, email </w:t>
      </w:r>
      <w:r w:rsidR="002E6AB1">
        <w:t xml:space="preserve">messages are sent </w:t>
      </w:r>
      <w:r>
        <w:t xml:space="preserve">and/or telephone calls are made to confirm corrections or clarifications of any </w:t>
      </w:r>
      <w:r w:rsidR="002E6AB1">
        <w:t>data suspected to be in error.</w:t>
      </w:r>
    </w:p>
    <w:p w14:paraId="090ADE61" w14:textId="77777777" w:rsidR="00BC7F58" w:rsidRDefault="00BC7F58" w:rsidP="00BC7F58">
      <w:r>
        <w:t>Changes in plant ownership and/or contacts have contributed in the past to non-response.  To address this issue, EIA developed an improved centralized frame system for the electric power surveys</w:t>
      </w:r>
      <w:r w:rsidR="00A1479A">
        <w:t>.  This system</w:t>
      </w:r>
      <w:r>
        <w:t xml:space="preserve"> affords all survey staff almost immediate knowledge of changes in entity ownership and/or contacts.  This frame system is integrated with the </w:t>
      </w:r>
      <w:r w:rsidR="00490653">
        <w:t xml:space="preserve">EIA’s </w:t>
      </w:r>
      <w:r>
        <w:t xml:space="preserve">Internet </w:t>
      </w:r>
      <w:r w:rsidR="00490653">
        <w:t>D</w:t>
      </w:r>
      <w:r w:rsidR="00A1479A">
        <w:t xml:space="preserve">ata </w:t>
      </w:r>
      <w:r w:rsidR="00490653">
        <w:t>C</w:t>
      </w:r>
      <w:r w:rsidR="00A1479A">
        <w:t xml:space="preserve">ollection </w:t>
      </w:r>
      <w:r>
        <w:t>system so that access can quickly be given to new owners and/or contacts.</w:t>
      </w:r>
    </w:p>
    <w:p w14:paraId="0101D754" w14:textId="77777777" w:rsidR="00E25119" w:rsidRDefault="00B761D3" w:rsidP="00824B49">
      <w:pPr>
        <w:pStyle w:val="Heading2"/>
      </w:pPr>
      <w:bookmarkStart w:id="7" w:name="_Toc448501702"/>
      <w:r>
        <w:t xml:space="preserve">Test Procedures and </w:t>
      </w:r>
      <w:r w:rsidR="006E3C8C" w:rsidRPr="00A542F0">
        <w:t>Forms Consultations</w:t>
      </w:r>
      <w:bookmarkEnd w:id="7"/>
    </w:p>
    <w:p w14:paraId="3EAE6BCF" w14:textId="72967CC6" w:rsidR="0095631D" w:rsidRPr="00394044" w:rsidRDefault="007A5E1D" w:rsidP="00586CEB">
      <w:r w:rsidRPr="00394044">
        <w:t>The s</w:t>
      </w:r>
      <w:r w:rsidR="0095631D" w:rsidRPr="00394044">
        <w:t xml:space="preserve">urvey designs </w:t>
      </w:r>
      <w:r w:rsidR="00756EDB">
        <w:t>are</w:t>
      </w:r>
      <w:r w:rsidR="0095631D" w:rsidRPr="00394044">
        <w:t xml:space="preserve"> reviewed by EIA cognitive specialists and modified as necessary to improve clarity</w:t>
      </w:r>
      <w:r w:rsidRPr="00394044">
        <w:t xml:space="preserve"> and reduce burden</w:t>
      </w:r>
      <w:r w:rsidR="0095631D" w:rsidRPr="00394044">
        <w:t xml:space="preserve">.  Draft surveys are also made available for review as part of the 60-day and 30-day Federal Register Notice </w:t>
      </w:r>
      <w:r w:rsidR="00394044">
        <w:t xml:space="preserve">(FRN) </w:t>
      </w:r>
      <w:r w:rsidR="0095631D" w:rsidRPr="00394044">
        <w:t>comment periods</w:t>
      </w:r>
      <w:r w:rsidR="004A5825" w:rsidRPr="00A67D3D">
        <w:t xml:space="preserve">.  When the FRNs </w:t>
      </w:r>
      <w:r w:rsidR="00756EDB">
        <w:t>are</w:t>
      </w:r>
      <w:r w:rsidR="004A5825" w:rsidRPr="00A67D3D">
        <w:t xml:space="preserve"> published</w:t>
      </w:r>
      <w:r w:rsidR="00A67D3D">
        <w:t>,</w:t>
      </w:r>
      <w:r w:rsidR="004A5825" w:rsidRPr="00A67D3D">
        <w:t xml:space="preserve"> emails </w:t>
      </w:r>
      <w:r w:rsidR="00756EDB">
        <w:t xml:space="preserve">are </w:t>
      </w:r>
      <w:r w:rsidR="004A5825" w:rsidRPr="00A67D3D">
        <w:t xml:space="preserve">sent to </w:t>
      </w:r>
      <w:r w:rsidR="000632B3">
        <w:t>over</w:t>
      </w:r>
      <w:r w:rsidR="00A67D3D">
        <w:t xml:space="preserve"> 5,000 monthly and annual survey contacts, </w:t>
      </w:r>
      <w:r w:rsidR="005626EB">
        <w:t>66</w:t>
      </w:r>
      <w:r w:rsidR="00A67D3D">
        <w:t xml:space="preserve"> Balancing Authorities, and </w:t>
      </w:r>
      <w:r w:rsidR="004A5825" w:rsidRPr="00A67D3D">
        <w:t>a list of about 2</w:t>
      </w:r>
      <w:r w:rsidR="005626EB">
        <w:t>50</w:t>
      </w:r>
      <w:r w:rsidR="004A5825" w:rsidRPr="00A67D3D">
        <w:t xml:space="preserve"> stakeholders concerning the survey changes with links to the proposed forms</w:t>
      </w:r>
      <w:r w:rsidRPr="00394044">
        <w:t>.</w:t>
      </w:r>
      <w:r w:rsidR="00A1479A">
        <w:t xml:space="preserve"> </w:t>
      </w:r>
      <w:r w:rsidRPr="00394044">
        <w:t xml:space="preserve"> In addition, the draft forms and instructions </w:t>
      </w:r>
      <w:r w:rsidR="00394044" w:rsidRPr="00394044">
        <w:t>are</w:t>
      </w:r>
      <w:r w:rsidRPr="00394044">
        <w:t xml:space="preserve"> posted on EIA’s website for the general public.  </w:t>
      </w:r>
      <w:r w:rsidR="0095631D" w:rsidRPr="00394044">
        <w:t>When comments are received on form design and content</w:t>
      </w:r>
      <w:r w:rsidR="00756EDB">
        <w:t>,</w:t>
      </w:r>
      <w:r w:rsidR="0095631D" w:rsidRPr="00394044">
        <w:t xml:space="preserve"> the comments are evaluated and changes made as necessary.</w:t>
      </w:r>
    </w:p>
    <w:p w14:paraId="446ACA2E" w14:textId="77777777" w:rsidR="00586CEB" w:rsidRPr="00586CEB" w:rsidRDefault="00394044" w:rsidP="00586CEB">
      <w:r w:rsidRPr="00394044">
        <w:t>For additional information on forms review, please see Part A, section A.8., “Summary of Consultations Outside of the Agency.”</w:t>
      </w:r>
      <w:r>
        <w:t xml:space="preserve">  </w:t>
      </w:r>
      <w:r w:rsidR="00586CEB">
        <w:t>For a summary of the comments received and EIA’s response</w:t>
      </w:r>
      <w:r w:rsidR="00DB29C0">
        <w:t>s,</w:t>
      </w:r>
      <w:r w:rsidR="00586CEB">
        <w:t xml:space="preserve"> see </w:t>
      </w:r>
      <w:r w:rsidR="00456A75">
        <w:t xml:space="preserve">the </w:t>
      </w:r>
      <w:r w:rsidR="00517F4C">
        <w:t>Public Comment File submitted with this OMB package.</w:t>
      </w:r>
    </w:p>
    <w:p w14:paraId="4FDB0DD1" w14:textId="77777777" w:rsidR="00AF254D" w:rsidRDefault="00AF254D" w:rsidP="00AF254D">
      <w:pPr>
        <w:pStyle w:val="Heading2"/>
      </w:pPr>
      <w:bookmarkStart w:id="8" w:name="_Toc448501703"/>
      <w:bookmarkStart w:id="9" w:name="_Toc329880856"/>
      <w:bookmarkStart w:id="10" w:name="_Toc351451842"/>
      <w:r>
        <w:t>Statistical Consultations</w:t>
      </w:r>
      <w:bookmarkEnd w:id="8"/>
    </w:p>
    <w:p w14:paraId="21ADF33A" w14:textId="2818C726" w:rsidR="006E3C8C" w:rsidRPr="00532339" w:rsidRDefault="006E3C8C" w:rsidP="006E3C8C">
      <w:r>
        <w:t>For additional information concerning this proposed informati</w:t>
      </w:r>
      <w:r w:rsidRPr="00532339">
        <w:t xml:space="preserve">on collection, please contact </w:t>
      </w:r>
      <w:r w:rsidR="00FF5D2F">
        <w:t>Stan Kaplan</w:t>
      </w:r>
      <w:r w:rsidR="00532339" w:rsidRPr="00532339">
        <w:t xml:space="preserve"> at 202-586-</w:t>
      </w:r>
      <w:r w:rsidR="00FF5D2F">
        <w:t>5114</w:t>
      </w:r>
      <w:r w:rsidR="00532339">
        <w:t>,</w:t>
      </w:r>
      <w:r w:rsidR="00532339" w:rsidRPr="00532339">
        <w:t xml:space="preserve"> or at </w:t>
      </w:r>
      <w:r w:rsidR="00FF5D2F">
        <w:t>Stan</w:t>
      </w:r>
      <w:r w:rsidR="00532339" w:rsidRPr="00532339">
        <w:t>.</w:t>
      </w:r>
      <w:r w:rsidR="00FF5D2F">
        <w:t>kaplan</w:t>
      </w:r>
      <w:r w:rsidR="00532339" w:rsidRPr="00532339">
        <w:t>@eia.gov</w:t>
      </w:r>
      <w:r w:rsidRPr="00532339">
        <w:t>.</w:t>
      </w:r>
      <w:bookmarkStart w:id="11" w:name="_GoBack"/>
      <w:bookmarkEnd w:id="11"/>
    </w:p>
    <w:bookmarkEnd w:id="9"/>
    <w:bookmarkEnd w:id="10"/>
    <w:sectPr w:rsidR="006E3C8C" w:rsidRPr="00532339" w:rsidSect="00241BD1">
      <w:footerReference w:type="default" r:id="rId19"/>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Bournazian, Jacob" w:date="2016-11-17T09:04:00Z" w:initials="BJ">
    <w:p w14:paraId="74648328" w14:textId="1EA456AA" w:rsidR="00D51F44" w:rsidRDefault="00D51F44">
      <w:pPr>
        <w:pStyle w:val="CommentText"/>
      </w:pPr>
      <w:r>
        <w:rPr>
          <w:rStyle w:val="CommentReference"/>
        </w:rPr>
        <w:annotationRef/>
      </w:r>
      <w:r>
        <w:t>See comment above</w:t>
      </w:r>
      <w:r w:rsidR="00737932">
        <w:t xml:space="preserve"> on page 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6483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B0D33" w14:textId="77777777" w:rsidR="00582529" w:rsidRDefault="00582529" w:rsidP="00B34E75">
      <w:r>
        <w:separator/>
      </w:r>
    </w:p>
  </w:endnote>
  <w:endnote w:type="continuationSeparator" w:id="0">
    <w:p w14:paraId="603AB733" w14:textId="77777777" w:rsidR="00582529" w:rsidRDefault="00582529" w:rsidP="00B3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083964"/>
      <w:docPartObj>
        <w:docPartGallery w:val="Page Numbers (Bottom of Page)"/>
        <w:docPartUnique/>
      </w:docPartObj>
    </w:sdtPr>
    <w:sdtEndPr>
      <w:rPr>
        <w:noProof/>
      </w:rPr>
    </w:sdtEndPr>
    <w:sdtContent>
      <w:p w14:paraId="3E62F5A2" w14:textId="77777777" w:rsidR="00DD4E76" w:rsidRPr="00540E1F" w:rsidRDefault="00DD4E76" w:rsidP="000444F3">
        <w:pPr>
          <w:pStyle w:val="Footer"/>
          <w:jc w:val="center"/>
        </w:pPr>
        <w:r>
          <w:fldChar w:fldCharType="begin"/>
        </w:r>
        <w:r>
          <w:instrText xml:space="preserve"> PAGE   \* MERGEFORMAT </w:instrText>
        </w:r>
        <w:r>
          <w:fldChar w:fldCharType="separate"/>
        </w:r>
        <w:r w:rsidR="00677413">
          <w:rPr>
            <w:noProof/>
          </w:rPr>
          <w:t>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794235"/>
      <w:docPartObj>
        <w:docPartGallery w:val="Page Numbers (Bottom of Page)"/>
        <w:docPartUnique/>
      </w:docPartObj>
    </w:sdtPr>
    <w:sdtEndPr>
      <w:rPr>
        <w:sz w:val="18"/>
        <w:szCs w:val="18"/>
      </w:rPr>
    </w:sdtEndPr>
    <w:sdtContent>
      <w:sdt>
        <w:sdtPr>
          <w:id w:val="-282269171"/>
          <w:docPartObj>
            <w:docPartGallery w:val="Page Numbers (Top of Page)"/>
            <w:docPartUnique/>
          </w:docPartObj>
        </w:sdtPr>
        <w:sdtEndPr>
          <w:rPr>
            <w:sz w:val="18"/>
            <w:szCs w:val="18"/>
          </w:rPr>
        </w:sdtEndPr>
        <w:sdtContent>
          <w:p w14:paraId="6ACAD26F" w14:textId="77777777" w:rsidR="00DD4E76" w:rsidRPr="00540E1F" w:rsidRDefault="00DD4E76" w:rsidP="00540E1F">
            <w:pPr>
              <w:pStyle w:val="Footer"/>
              <w:jc w:val="center"/>
              <w:rPr>
                <w:sz w:val="18"/>
                <w:szCs w:val="18"/>
              </w:rPr>
            </w:pPr>
            <w:r w:rsidRPr="00540E1F">
              <w:rPr>
                <w:b/>
                <w:sz w:val="18"/>
                <w:szCs w:val="18"/>
              </w:rPr>
              <w:fldChar w:fldCharType="begin"/>
            </w:r>
            <w:r w:rsidRPr="00540E1F">
              <w:rPr>
                <w:b/>
                <w:sz w:val="18"/>
                <w:szCs w:val="18"/>
              </w:rPr>
              <w:instrText xml:space="preserve"> PAGE </w:instrText>
            </w:r>
            <w:r w:rsidRPr="00540E1F">
              <w:rPr>
                <w:b/>
                <w:sz w:val="18"/>
                <w:szCs w:val="18"/>
              </w:rPr>
              <w:fldChar w:fldCharType="separate"/>
            </w:r>
            <w:r>
              <w:rPr>
                <w:b/>
                <w:noProof/>
                <w:sz w:val="18"/>
                <w:szCs w:val="18"/>
              </w:rPr>
              <w:t>i</w:t>
            </w:r>
            <w:r w:rsidRPr="00540E1F">
              <w:rPr>
                <w:b/>
                <w:sz w:val="18"/>
                <w:szCs w:val="18"/>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849047856"/>
      <w:docPartObj>
        <w:docPartGallery w:val="Page Numbers (Bottom of Page)"/>
        <w:docPartUnique/>
      </w:docPartObj>
    </w:sdtPr>
    <w:sdtEndPr/>
    <w:sdtContent>
      <w:sdt>
        <w:sdtPr>
          <w:rPr>
            <w:sz w:val="18"/>
            <w:szCs w:val="18"/>
          </w:rPr>
          <w:id w:val="565050477"/>
          <w:docPartObj>
            <w:docPartGallery w:val="Page Numbers (Top of Page)"/>
            <w:docPartUnique/>
          </w:docPartObj>
        </w:sdtPr>
        <w:sdtEndPr/>
        <w:sdtContent>
          <w:p w14:paraId="1B6874C3" w14:textId="77777777" w:rsidR="00DD4E76" w:rsidRPr="006E2012" w:rsidRDefault="00DD4E76" w:rsidP="002176EB">
            <w:pPr>
              <w:pStyle w:val="Footer"/>
              <w:jc w:val="right"/>
              <w:rPr>
                <w:sz w:val="18"/>
                <w:szCs w:val="18"/>
              </w:rPr>
            </w:pPr>
            <w:r w:rsidRPr="00EB0457">
              <w:rPr>
                <w:sz w:val="18"/>
                <w:szCs w:val="18"/>
              </w:rPr>
              <w:t>Electric Power Surveys</w:t>
            </w:r>
            <w:r>
              <w:rPr>
                <w:sz w:val="18"/>
              </w:rPr>
              <w:tab/>
            </w:r>
            <w:r>
              <w:rPr>
                <w:sz w:val="18"/>
              </w:rPr>
              <w:tab/>
            </w:r>
            <w:r w:rsidRPr="006E2012">
              <w:rPr>
                <w:sz w:val="18"/>
                <w:szCs w:val="18"/>
              </w:rPr>
              <w:t xml:space="preserve">Page </w:t>
            </w:r>
            <w:r w:rsidRPr="006E2012">
              <w:rPr>
                <w:sz w:val="18"/>
                <w:szCs w:val="18"/>
              </w:rPr>
              <w:fldChar w:fldCharType="begin"/>
            </w:r>
            <w:r w:rsidRPr="006E2012">
              <w:rPr>
                <w:sz w:val="18"/>
                <w:szCs w:val="18"/>
              </w:rPr>
              <w:instrText xml:space="preserve"> PAGE </w:instrText>
            </w:r>
            <w:r w:rsidRPr="006E2012">
              <w:rPr>
                <w:sz w:val="18"/>
                <w:szCs w:val="18"/>
              </w:rPr>
              <w:fldChar w:fldCharType="separate"/>
            </w:r>
            <w:r w:rsidR="00677413">
              <w:rPr>
                <w:noProof/>
                <w:sz w:val="18"/>
                <w:szCs w:val="18"/>
              </w:rPr>
              <w:t>14</w:t>
            </w:r>
            <w:r w:rsidRPr="006E2012">
              <w:rPr>
                <w:sz w:val="18"/>
                <w:szCs w:val="18"/>
              </w:rPr>
              <w:fldChar w:fldCharType="end"/>
            </w:r>
            <w:r w:rsidRPr="006E2012">
              <w:rPr>
                <w:sz w:val="18"/>
                <w:szCs w:val="18"/>
              </w:rPr>
              <w:t xml:space="preserve"> of </w:t>
            </w:r>
            <w:r>
              <w:rPr>
                <w:sz w:val="18"/>
                <w:szCs w:val="18"/>
              </w:rPr>
              <w:fldChar w:fldCharType="begin"/>
            </w:r>
            <w:r>
              <w:rPr>
                <w:sz w:val="18"/>
                <w:szCs w:val="18"/>
              </w:rPr>
              <w:instrText>=</w:instrText>
            </w:r>
            <w:r>
              <w:rPr>
                <w:sz w:val="18"/>
                <w:szCs w:val="18"/>
              </w:rPr>
              <w:fldChar w:fldCharType="begin"/>
            </w:r>
            <w:r>
              <w:rPr>
                <w:sz w:val="18"/>
                <w:szCs w:val="18"/>
              </w:rPr>
              <w:instrText>NUMPAGES</w:instrText>
            </w:r>
            <w:r>
              <w:rPr>
                <w:sz w:val="18"/>
                <w:szCs w:val="18"/>
              </w:rPr>
              <w:fldChar w:fldCharType="separate"/>
            </w:r>
            <w:r w:rsidR="00677413">
              <w:rPr>
                <w:noProof/>
                <w:sz w:val="18"/>
                <w:szCs w:val="18"/>
              </w:rPr>
              <w:instrText>16</w:instrText>
            </w:r>
            <w:r>
              <w:rPr>
                <w:sz w:val="18"/>
                <w:szCs w:val="18"/>
              </w:rPr>
              <w:fldChar w:fldCharType="end"/>
            </w:r>
            <w:r>
              <w:rPr>
                <w:sz w:val="18"/>
                <w:szCs w:val="18"/>
              </w:rPr>
              <w:instrText>-2</w:instrText>
            </w:r>
            <w:r>
              <w:rPr>
                <w:sz w:val="18"/>
                <w:szCs w:val="18"/>
              </w:rPr>
              <w:fldChar w:fldCharType="separate"/>
            </w:r>
            <w:r w:rsidR="00677413">
              <w:rPr>
                <w:noProof/>
                <w:sz w:val="18"/>
                <w:szCs w:val="18"/>
              </w:rPr>
              <w:t>14</w:t>
            </w:r>
            <w:r>
              <w:rPr>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1899D" w14:textId="77777777" w:rsidR="00582529" w:rsidRDefault="00582529" w:rsidP="00B34E75">
      <w:r>
        <w:separator/>
      </w:r>
    </w:p>
  </w:footnote>
  <w:footnote w:type="continuationSeparator" w:id="0">
    <w:p w14:paraId="7E8505C3" w14:textId="77777777" w:rsidR="00582529" w:rsidRDefault="00582529" w:rsidP="00B34E75">
      <w:r>
        <w:continuationSeparator/>
      </w:r>
    </w:p>
  </w:footnote>
  <w:footnote w:id="1">
    <w:p w14:paraId="316778F4" w14:textId="77777777" w:rsidR="00DD4E76" w:rsidRDefault="00DD4E76">
      <w:pPr>
        <w:pStyle w:val="FootnoteText"/>
      </w:pPr>
      <w:r>
        <w:rPr>
          <w:rStyle w:val="FootnoteReference"/>
        </w:rPr>
        <w:footnoteRef/>
      </w:r>
      <w:r>
        <w:t xml:space="preserve"> NERC was designated as the official Electric Reliability Organization by the Federal Energy Regulatory Commission pursuant to the power system reliability provisions of the Energy Policy Act of 2005.  </w:t>
      </w:r>
      <w:r w:rsidRPr="00FD09CF">
        <w:t>EIA has had a long-standing relationship with NERC and its predecessor for the collection of the Form EIA-411 data.</w:t>
      </w:r>
    </w:p>
  </w:footnote>
  <w:footnote w:id="2">
    <w:p w14:paraId="69980998" w14:textId="77777777" w:rsidR="00DD4E76" w:rsidRPr="00D57D77" w:rsidRDefault="00DD4E76" w:rsidP="00417F86">
      <w:pPr>
        <w:pStyle w:val="FootnoteText"/>
        <w:rPr>
          <w:rFonts w:asciiTheme="minorHAnsi" w:hAnsiTheme="minorHAnsi"/>
          <w:sz w:val="18"/>
          <w:szCs w:val="18"/>
        </w:rPr>
      </w:pPr>
      <w:r w:rsidRPr="00D57D77">
        <w:rPr>
          <w:rStyle w:val="FootnoteReference"/>
          <w:rFonts w:asciiTheme="minorHAnsi" w:hAnsiTheme="minorHAnsi"/>
          <w:sz w:val="18"/>
          <w:szCs w:val="18"/>
        </w:rPr>
        <w:footnoteRef/>
      </w:r>
      <w:r w:rsidRPr="00D57D77">
        <w:rPr>
          <w:rFonts w:asciiTheme="minorHAnsi" w:hAnsiTheme="minorHAnsi"/>
          <w:sz w:val="18"/>
          <w:szCs w:val="18"/>
        </w:rPr>
        <w:t xml:space="preserve"> TVA and WPPI Energy (the latter a consortium of public power utilities in the Midwest) consolidate responses for their wholesale customers and deliver the information to EIA.  Extracting a subset of utilities from the joint filings of TVA and WPPI would be administratively cumbersome and would defeat the purpose of the proposed change to the Form EIA-861 frame, which is to reduce the cost of managing the survey for both EIA and respondents.</w:t>
      </w:r>
    </w:p>
    <w:p w14:paraId="08B50E13" w14:textId="77777777" w:rsidR="00DD4E76" w:rsidRDefault="00DD4E76" w:rsidP="00417F86">
      <w:pPr>
        <w:pStyle w:val="FootnoteText"/>
      </w:pPr>
    </w:p>
  </w:footnote>
  <w:footnote w:id="3">
    <w:p w14:paraId="24E99A10" w14:textId="77777777" w:rsidR="00DD4E76" w:rsidRDefault="00DD4E76">
      <w:pPr>
        <w:pStyle w:val="FootnoteText"/>
      </w:pPr>
      <w:r>
        <w:rPr>
          <w:rStyle w:val="FootnoteReference"/>
        </w:rPr>
        <w:footnoteRef/>
      </w:r>
      <w:r>
        <w:t xml:space="preserve"> Plants report fuel cost and quality data only if they meet the following criteria: </w:t>
      </w:r>
      <w:r w:rsidRPr="00E9034B">
        <w:t>200 MW or greater nameplate capacity for plants fueled by natural gas, petroleum coke, distillate fuel oil, and residual fuel oil</w:t>
      </w:r>
      <w:r>
        <w:t>, and/</w:t>
      </w:r>
      <w:r w:rsidRPr="00E9034B">
        <w:t xml:space="preserve">or have coal-fueled capacity of 50 </w:t>
      </w:r>
      <w:r w:rsidR="000A35CD">
        <w:t>MW</w:t>
      </w:r>
      <w:r w:rsidR="000A35CD" w:rsidRPr="00E9034B">
        <w:t xml:space="preserve"> </w:t>
      </w:r>
      <w:r w:rsidRPr="00E9034B">
        <w:t>or greater.</w:t>
      </w:r>
    </w:p>
  </w:footnote>
  <w:footnote w:id="4">
    <w:p w14:paraId="30C82344" w14:textId="77777777" w:rsidR="00DD4E76" w:rsidRDefault="00DD4E76">
      <w:pPr>
        <w:pStyle w:val="FootnoteText"/>
      </w:pPr>
      <w:r>
        <w:rPr>
          <w:rStyle w:val="FootnoteReference"/>
        </w:rPr>
        <w:footnoteRef/>
      </w:r>
      <w:r>
        <w:t xml:space="preserve"> Plants file data on environmental control system performance only if the plant has a minimum of 10 MW of nameplate capacity using combustible fuels.</w:t>
      </w:r>
    </w:p>
  </w:footnote>
  <w:footnote w:id="5">
    <w:p w14:paraId="08FDBE2D" w14:textId="77777777" w:rsidR="00DD4E76" w:rsidRDefault="00DD4E76">
      <w:pPr>
        <w:pStyle w:val="FootnoteText"/>
      </w:pPr>
      <w:r>
        <w:rPr>
          <w:rStyle w:val="FootnoteReference"/>
        </w:rPr>
        <w:footnoteRef/>
      </w:r>
      <w:r>
        <w:t xml:space="preserve"> Bundled service, which includes the supply of energy and delivery, is typically provided by traditional electric utility companies.  In states where retail choice for electric power service is available, the energy may be supplied by a power marketer (also referred to as an energy service provider) and the utility provides delivery service only.</w:t>
      </w:r>
    </w:p>
  </w:footnote>
  <w:footnote w:id="6">
    <w:p w14:paraId="097568FE" w14:textId="77777777" w:rsidR="00DD4E76" w:rsidRDefault="00DD4E76">
      <w:pPr>
        <w:pStyle w:val="FootnoteText"/>
      </w:pPr>
      <w:r>
        <w:rPr>
          <w:rStyle w:val="FootnoteReference"/>
        </w:rPr>
        <w:footnoteRef/>
      </w:r>
      <w:r>
        <w:t xml:space="preserve"> </w:t>
      </w:r>
      <w:r w:rsidRPr="00180B40">
        <w:t>If imputation is necessary due to nonresponse of either census group, the most recent census monthly data would be used to impute for the missing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7588C" w14:textId="77777777" w:rsidR="00DD4E76" w:rsidRDefault="00DD4E76" w:rsidP="00C252FD">
    <w:pPr>
      <w:pStyle w:val="Header"/>
      <w:tabs>
        <w:tab w:val="clear" w:pos="4680"/>
      </w:tabs>
    </w:pPr>
    <w:r w:rsidRPr="00EB0457">
      <w:t>OMB N</w:t>
    </w:r>
    <w:r>
      <w:t>UMBER</w:t>
    </w:r>
    <w:r w:rsidRPr="00EB0457">
      <w:t xml:space="preserve"> 1905-0129</w:t>
    </w:r>
    <w:r>
      <w:tab/>
      <w:t>SUPPORTING STATEMENT, PART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6669E" w14:textId="77777777" w:rsidR="00DD4E76" w:rsidRDefault="00DD4E76" w:rsidP="008829F9">
    <w:pPr>
      <w:pStyle w:val="Header"/>
      <w:tabs>
        <w:tab w:val="clear" w:pos="4680"/>
      </w:tabs>
      <w:jc w:val="left"/>
    </w:pPr>
    <w:r w:rsidRPr="008829F9">
      <w:rPr>
        <w:color w:val="006600"/>
      </w:rPr>
      <w:t>&lt;&lt;Name of OMB information collection&gt;&gt;</w:t>
    </w:r>
    <w:r>
      <w:tab/>
      <w:t>SUPPORTING STATEMENT,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4062"/>
    <w:multiLevelType w:val="hybridMultilevel"/>
    <w:tmpl w:val="5A3E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0523D"/>
    <w:multiLevelType w:val="hybridMultilevel"/>
    <w:tmpl w:val="7E68F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117DBA"/>
    <w:multiLevelType w:val="hybridMultilevel"/>
    <w:tmpl w:val="432694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1233F4"/>
    <w:multiLevelType w:val="hybridMultilevel"/>
    <w:tmpl w:val="B250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4249A"/>
    <w:multiLevelType w:val="hybridMultilevel"/>
    <w:tmpl w:val="E15045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4D3B92"/>
    <w:multiLevelType w:val="hybridMultilevel"/>
    <w:tmpl w:val="3612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02744"/>
    <w:multiLevelType w:val="hybridMultilevel"/>
    <w:tmpl w:val="368C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27922"/>
    <w:multiLevelType w:val="hybridMultilevel"/>
    <w:tmpl w:val="99AA73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366DC"/>
    <w:multiLevelType w:val="hybridMultilevel"/>
    <w:tmpl w:val="A8B25EC4"/>
    <w:lvl w:ilvl="0" w:tplc="D550E3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92CE0"/>
    <w:multiLevelType w:val="hybridMultilevel"/>
    <w:tmpl w:val="99AA73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8E1AA8"/>
    <w:multiLevelType w:val="multilevel"/>
    <w:tmpl w:val="F0DCB288"/>
    <w:lvl w:ilvl="0">
      <w:start w:val="2"/>
      <w:numFmt w:val="upperLetter"/>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7D271E21"/>
    <w:multiLevelType w:val="hybridMultilevel"/>
    <w:tmpl w:val="1666C4AE"/>
    <w:lvl w:ilvl="0" w:tplc="D550E3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11"/>
  </w:num>
  <w:num w:numId="5">
    <w:abstractNumId w:val="2"/>
  </w:num>
  <w:num w:numId="6">
    <w:abstractNumId w:val="3"/>
  </w:num>
  <w:num w:numId="7">
    <w:abstractNumId w:val="1"/>
  </w:num>
  <w:num w:numId="8">
    <w:abstractNumId w:val="6"/>
  </w:num>
  <w:num w:numId="9">
    <w:abstractNumId w:val="5"/>
  </w:num>
  <w:num w:numId="10">
    <w:abstractNumId w:val="7"/>
  </w:num>
  <w:num w:numId="11">
    <w:abstractNumId w:val="9"/>
  </w:num>
  <w:num w:numId="12">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rnazian, Jacob">
    <w15:presenceInfo w15:providerId="AD" w15:userId="S-1-5-21-2005352356-2018378189-366286951-1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36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AF"/>
    <w:rsid w:val="000009DF"/>
    <w:rsid w:val="00000ABF"/>
    <w:rsid w:val="00000EFA"/>
    <w:rsid w:val="0000102E"/>
    <w:rsid w:val="00002778"/>
    <w:rsid w:val="00002D19"/>
    <w:rsid w:val="0000338F"/>
    <w:rsid w:val="00003399"/>
    <w:rsid w:val="000059AE"/>
    <w:rsid w:val="0000622C"/>
    <w:rsid w:val="000103A8"/>
    <w:rsid w:val="0001093A"/>
    <w:rsid w:val="0001299F"/>
    <w:rsid w:val="00012E4F"/>
    <w:rsid w:val="00012EA8"/>
    <w:rsid w:val="0001588F"/>
    <w:rsid w:val="00020033"/>
    <w:rsid w:val="00020A34"/>
    <w:rsid w:val="00020AAD"/>
    <w:rsid w:val="00021554"/>
    <w:rsid w:val="000224AA"/>
    <w:rsid w:val="0002449A"/>
    <w:rsid w:val="00026F52"/>
    <w:rsid w:val="000279B9"/>
    <w:rsid w:val="00032007"/>
    <w:rsid w:val="000324C3"/>
    <w:rsid w:val="00032ED1"/>
    <w:rsid w:val="00034024"/>
    <w:rsid w:val="00034093"/>
    <w:rsid w:val="0003460B"/>
    <w:rsid w:val="000348B0"/>
    <w:rsid w:val="0004025F"/>
    <w:rsid w:val="00040B32"/>
    <w:rsid w:val="00040C6F"/>
    <w:rsid w:val="00043BDA"/>
    <w:rsid w:val="000444F3"/>
    <w:rsid w:val="00046A07"/>
    <w:rsid w:val="00046F06"/>
    <w:rsid w:val="00047032"/>
    <w:rsid w:val="00047A88"/>
    <w:rsid w:val="00047D76"/>
    <w:rsid w:val="000507E9"/>
    <w:rsid w:val="0005084F"/>
    <w:rsid w:val="000513D5"/>
    <w:rsid w:val="000531D5"/>
    <w:rsid w:val="000547FD"/>
    <w:rsid w:val="00054A0B"/>
    <w:rsid w:val="00054C53"/>
    <w:rsid w:val="00054FAF"/>
    <w:rsid w:val="000554E6"/>
    <w:rsid w:val="0005734F"/>
    <w:rsid w:val="00057FFB"/>
    <w:rsid w:val="0006123B"/>
    <w:rsid w:val="000625CE"/>
    <w:rsid w:val="00063289"/>
    <w:rsid w:val="000632B3"/>
    <w:rsid w:val="00065FB8"/>
    <w:rsid w:val="00066FFA"/>
    <w:rsid w:val="000670DF"/>
    <w:rsid w:val="0006774E"/>
    <w:rsid w:val="00067904"/>
    <w:rsid w:val="0007052A"/>
    <w:rsid w:val="0007159F"/>
    <w:rsid w:val="00071AAF"/>
    <w:rsid w:val="00072366"/>
    <w:rsid w:val="0007255B"/>
    <w:rsid w:val="00074BB0"/>
    <w:rsid w:val="00074DA9"/>
    <w:rsid w:val="00075057"/>
    <w:rsid w:val="00076089"/>
    <w:rsid w:val="00076792"/>
    <w:rsid w:val="00077D3C"/>
    <w:rsid w:val="00077E68"/>
    <w:rsid w:val="000806D9"/>
    <w:rsid w:val="00080AA7"/>
    <w:rsid w:val="00081EE3"/>
    <w:rsid w:val="00083C55"/>
    <w:rsid w:val="0008424A"/>
    <w:rsid w:val="000844E8"/>
    <w:rsid w:val="000862FD"/>
    <w:rsid w:val="000875AD"/>
    <w:rsid w:val="00087991"/>
    <w:rsid w:val="000906EB"/>
    <w:rsid w:val="00091109"/>
    <w:rsid w:val="000911C0"/>
    <w:rsid w:val="000920B6"/>
    <w:rsid w:val="00092254"/>
    <w:rsid w:val="000922AC"/>
    <w:rsid w:val="000937D9"/>
    <w:rsid w:val="00093BD1"/>
    <w:rsid w:val="000950FC"/>
    <w:rsid w:val="00095C3A"/>
    <w:rsid w:val="00095FA1"/>
    <w:rsid w:val="00096588"/>
    <w:rsid w:val="00097468"/>
    <w:rsid w:val="000975AE"/>
    <w:rsid w:val="000975D4"/>
    <w:rsid w:val="0009773C"/>
    <w:rsid w:val="000A1E0F"/>
    <w:rsid w:val="000A202B"/>
    <w:rsid w:val="000A294A"/>
    <w:rsid w:val="000A2D58"/>
    <w:rsid w:val="000A35CD"/>
    <w:rsid w:val="000A361D"/>
    <w:rsid w:val="000A3F1B"/>
    <w:rsid w:val="000A47ED"/>
    <w:rsid w:val="000A656D"/>
    <w:rsid w:val="000A66C8"/>
    <w:rsid w:val="000B120C"/>
    <w:rsid w:val="000B124B"/>
    <w:rsid w:val="000B441F"/>
    <w:rsid w:val="000B4E33"/>
    <w:rsid w:val="000B5EE0"/>
    <w:rsid w:val="000C0908"/>
    <w:rsid w:val="000C1349"/>
    <w:rsid w:val="000C16E7"/>
    <w:rsid w:val="000C1B8B"/>
    <w:rsid w:val="000C1E35"/>
    <w:rsid w:val="000C26A4"/>
    <w:rsid w:val="000C473F"/>
    <w:rsid w:val="000C4A8A"/>
    <w:rsid w:val="000C4AAE"/>
    <w:rsid w:val="000C77AD"/>
    <w:rsid w:val="000C7EA4"/>
    <w:rsid w:val="000D00C6"/>
    <w:rsid w:val="000D09B4"/>
    <w:rsid w:val="000D3397"/>
    <w:rsid w:val="000D4659"/>
    <w:rsid w:val="000D5E45"/>
    <w:rsid w:val="000D5F36"/>
    <w:rsid w:val="000D63D7"/>
    <w:rsid w:val="000D67F5"/>
    <w:rsid w:val="000D6A2A"/>
    <w:rsid w:val="000D7F00"/>
    <w:rsid w:val="000E0DE8"/>
    <w:rsid w:val="000E100A"/>
    <w:rsid w:val="000E1314"/>
    <w:rsid w:val="000E439D"/>
    <w:rsid w:val="000E4567"/>
    <w:rsid w:val="000E4B8C"/>
    <w:rsid w:val="000E6095"/>
    <w:rsid w:val="000E60F9"/>
    <w:rsid w:val="000E7553"/>
    <w:rsid w:val="000E7BB0"/>
    <w:rsid w:val="000F1C08"/>
    <w:rsid w:val="000F28AF"/>
    <w:rsid w:val="000F3658"/>
    <w:rsid w:val="000F536D"/>
    <w:rsid w:val="000F5B16"/>
    <w:rsid w:val="000F6D01"/>
    <w:rsid w:val="0010095D"/>
    <w:rsid w:val="00103890"/>
    <w:rsid w:val="00104820"/>
    <w:rsid w:val="00104AB7"/>
    <w:rsid w:val="00104B3D"/>
    <w:rsid w:val="0010593C"/>
    <w:rsid w:val="00105A3A"/>
    <w:rsid w:val="0010739C"/>
    <w:rsid w:val="00111BEC"/>
    <w:rsid w:val="00112270"/>
    <w:rsid w:val="0011338E"/>
    <w:rsid w:val="001137C7"/>
    <w:rsid w:val="00115534"/>
    <w:rsid w:val="00115BF9"/>
    <w:rsid w:val="00116A80"/>
    <w:rsid w:val="001201B7"/>
    <w:rsid w:val="00122A48"/>
    <w:rsid w:val="00124D9A"/>
    <w:rsid w:val="00125A0C"/>
    <w:rsid w:val="00125DB5"/>
    <w:rsid w:val="00126268"/>
    <w:rsid w:val="00127389"/>
    <w:rsid w:val="00127637"/>
    <w:rsid w:val="00127B7D"/>
    <w:rsid w:val="00130A03"/>
    <w:rsid w:val="00130A7B"/>
    <w:rsid w:val="00131194"/>
    <w:rsid w:val="001361E9"/>
    <w:rsid w:val="00137E23"/>
    <w:rsid w:val="00140413"/>
    <w:rsid w:val="001405D8"/>
    <w:rsid w:val="00141A42"/>
    <w:rsid w:val="001431ED"/>
    <w:rsid w:val="001433A9"/>
    <w:rsid w:val="00143E35"/>
    <w:rsid w:val="001442D0"/>
    <w:rsid w:val="00144430"/>
    <w:rsid w:val="00144B15"/>
    <w:rsid w:val="001461B9"/>
    <w:rsid w:val="001507BE"/>
    <w:rsid w:val="0015139B"/>
    <w:rsid w:val="001554DF"/>
    <w:rsid w:val="0015593A"/>
    <w:rsid w:val="00157498"/>
    <w:rsid w:val="001576F8"/>
    <w:rsid w:val="0016383C"/>
    <w:rsid w:val="001641BD"/>
    <w:rsid w:val="00164EDE"/>
    <w:rsid w:val="001651A6"/>
    <w:rsid w:val="001666A1"/>
    <w:rsid w:val="0017012D"/>
    <w:rsid w:val="0017074D"/>
    <w:rsid w:val="0017196F"/>
    <w:rsid w:val="00174195"/>
    <w:rsid w:val="00174A50"/>
    <w:rsid w:val="00174AD6"/>
    <w:rsid w:val="00176B9F"/>
    <w:rsid w:val="00177132"/>
    <w:rsid w:val="001775CD"/>
    <w:rsid w:val="00180B40"/>
    <w:rsid w:val="00181F12"/>
    <w:rsid w:val="00182CDB"/>
    <w:rsid w:val="00182D89"/>
    <w:rsid w:val="001845B9"/>
    <w:rsid w:val="00185474"/>
    <w:rsid w:val="0018605F"/>
    <w:rsid w:val="00190B96"/>
    <w:rsid w:val="0019138C"/>
    <w:rsid w:val="001951D4"/>
    <w:rsid w:val="001959AC"/>
    <w:rsid w:val="0019702A"/>
    <w:rsid w:val="001A3879"/>
    <w:rsid w:val="001A3AF1"/>
    <w:rsid w:val="001A5085"/>
    <w:rsid w:val="001A5226"/>
    <w:rsid w:val="001A5794"/>
    <w:rsid w:val="001A64CC"/>
    <w:rsid w:val="001A6D0A"/>
    <w:rsid w:val="001A76A7"/>
    <w:rsid w:val="001B082B"/>
    <w:rsid w:val="001B254A"/>
    <w:rsid w:val="001B3ED1"/>
    <w:rsid w:val="001B7B5E"/>
    <w:rsid w:val="001C17AC"/>
    <w:rsid w:val="001C1DC4"/>
    <w:rsid w:val="001C302D"/>
    <w:rsid w:val="001C5146"/>
    <w:rsid w:val="001C5700"/>
    <w:rsid w:val="001C5EED"/>
    <w:rsid w:val="001C6FDE"/>
    <w:rsid w:val="001D1739"/>
    <w:rsid w:val="001D1D1E"/>
    <w:rsid w:val="001D703C"/>
    <w:rsid w:val="001D7966"/>
    <w:rsid w:val="001E286A"/>
    <w:rsid w:val="001E4399"/>
    <w:rsid w:val="001E5A8A"/>
    <w:rsid w:val="001E6862"/>
    <w:rsid w:val="001E76C7"/>
    <w:rsid w:val="001E7B37"/>
    <w:rsid w:val="001F05B7"/>
    <w:rsid w:val="001F20AC"/>
    <w:rsid w:val="001F45EF"/>
    <w:rsid w:val="001F6D66"/>
    <w:rsid w:val="001F7CA3"/>
    <w:rsid w:val="00200495"/>
    <w:rsid w:val="0020151A"/>
    <w:rsid w:val="00201FAC"/>
    <w:rsid w:val="00204414"/>
    <w:rsid w:val="00204619"/>
    <w:rsid w:val="00206513"/>
    <w:rsid w:val="0021031E"/>
    <w:rsid w:val="002107EB"/>
    <w:rsid w:val="00211680"/>
    <w:rsid w:val="0021283F"/>
    <w:rsid w:val="002132D4"/>
    <w:rsid w:val="00213433"/>
    <w:rsid w:val="0021386F"/>
    <w:rsid w:val="00213A35"/>
    <w:rsid w:val="00214A00"/>
    <w:rsid w:val="00215648"/>
    <w:rsid w:val="002157F2"/>
    <w:rsid w:val="00215A4D"/>
    <w:rsid w:val="002176EB"/>
    <w:rsid w:val="00217B99"/>
    <w:rsid w:val="0022013E"/>
    <w:rsid w:val="0022094F"/>
    <w:rsid w:val="00221581"/>
    <w:rsid w:val="00221962"/>
    <w:rsid w:val="00222A51"/>
    <w:rsid w:val="00224776"/>
    <w:rsid w:val="00225225"/>
    <w:rsid w:val="00226484"/>
    <w:rsid w:val="00226A02"/>
    <w:rsid w:val="0022790E"/>
    <w:rsid w:val="00230ABD"/>
    <w:rsid w:val="002312A8"/>
    <w:rsid w:val="00231625"/>
    <w:rsid w:val="00232DA5"/>
    <w:rsid w:val="0023619F"/>
    <w:rsid w:val="002378F5"/>
    <w:rsid w:val="00240ACE"/>
    <w:rsid w:val="002414ED"/>
    <w:rsid w:val="00241928"/>
    <w:rsid w:val="00241BD1"/>
    <w:rsid w:val="00242254"/>
    <w:rsid w:val="0024388C"/>
    <w:rsid w:val="00243EEB"/>
    <w:rsid w:val="00244E72"/>
    <w:rsid w:val="00247D56"/>
    <w:rsid w:val="002511B0"/>
    <w:rsid w:val="00252188"/>
    <w:rsid w:val="0025542F"/>
    <w:rsid w:val="00255EDB"/>
    <w:rsid w:val="00257D23"/>
    <w:rsid w:val="002607DB"/>
    <w:rsid w:val="00261000"/>
    <w:rsid w:val="00262041"/>
    <w:rsid w:val="00263ACE"/>
    <w:rsid w:val="00263D64"/>
    <w:rsid w:val="002645D2"/>
    <w:rsid w:val="00267110"/>
    <w:rsid w:val="00267D47"/>
    <w:rsid w:val="00267E5C"/>
    <w:rsid w:val="0027227E"/>
    <w:rsid w:val="00275122"/>
    <w:rsid w:val="0028088F"/>
    <w:rsid w:val="0028442D"/>
    <w:rsid w:val="00286070"/>
    <w:rsid w:val="00286DCA"/>
    <w:rsid w:val="00287520"/>
    <w:rsid w:val="002876C2"/>
    <w:rsid w:val="00290026"/>
    <w:rsid w:val="002940A9"/>
    <w:rsid w:val="002946EE"/>
    <w:rsid w:val="00296D0F"/>
    <w:rsid w:val="00296EFB"/>
    <w:rsid w:val="00296F25"/>
    <w:rsid w:val="002977A6"/>
    <w:rsid w:val="002A0FBE"/>
    <w:rsid w:val="002A55E3"/>
    <w:rsid w:val="002A635F"/>
    <w:rsid w:val="002A7326"/>
    <w:rsid w:val="002B06B3"/>
    <w:rsid w:val="002B15C6"/>
    <w:rsid w:val="002B1C47"/>
    <w:rsid w:val="002B1DA5"/>
    <w:rsid w:val="002B286F"/>
    <w:rsid w:val="002B2AD5"/>
    <w:rsid w:val="002B4DC2"/>
    <w:rsid w:val="002B5485"/>
    <w:rsid w:val="002B656F"/>
    <w:rsid w:val="002B6D65"/>
    <w:rsid w:val="002B71D0"/>
    <w:rsid w:val="002C3EFA"/>
    <w:rsid w:val="002C4DD8"/>
    <w:rsid w:val="002C56E2"/>
    <w:rsid w:val="002C59A6"/>
    <w:rsid w:val="002C5D61"/>
    <w:rsid w:val="002C665B"/>
    <w:rsid w:val="002C6FE6"/>
    <w:rsid w:val="002C72D9"/>
    <w:rsid w:val="002D074B"/>
    <w:rsid w:val="002D2E48"/>
    <w:rsid w:val="002D350B"/>
    <w:rsid w:val="002D45B4"/>
    <w:rsid w:val="002D45D9"/>
    <w:rsid w:val="002D58E5"/>
    <w:rsid w:val="002D6038"/>
    <w:rsid w:val="002D61A3"/>
    <w:rsid w:val="002D789A"/>
    <w:rsid w:val="002E2273"/>
    <w:rsid w:val="002E243B"/>
    <w:rsid w:val="002E3E6C"/>
    <w:rsid w:val="002E45C5"/>
    <w:rsid w:val="002E4D1B"/>
    <w:rsid w:val="002E5432"/>
    <w:rsid w:val="002E5FA1"/>
    <w:rsid w:val="002E60F2"/>
    <w:rsid w:val="002E6615"/>
    <w:rsid w:val="002E6AB1"/>
    <w:rsid w:val="002F09F6"/>
    <w:rsid w:val="002F1314"/>
    <w:rsid w:val="002F17D2"/>
    <w:rsid w:val="002F2196"/>
    <w:rsid w:val="002F2EE3"/>
    <w:rsid w:val="002F3D9B"/>
    <w:rsid w:val="002F48B7"/>
    <w:rsid w:val="002F5994"/>
    <w:rsid w:val="002F5BA3"/>
    <w:rsid w:val="002F5D40"/>
    <w:rsid w:val="002F5F44"/>
    <w:rsid w:val="002F76B4"/>
    <w:rsid w:val="0030069E"/>
    <w:rsid w:val="00300CB7"/>
    <w:rsid w:val="00300F6C"/>
    <w:rsid w:val="00301189"/>
    <w:rsid w:val="00301CC9"/>
    <w:rsid w:val="0030233A"/>
    <w:rsid w:val="0030451F"/>
    <w:rsid w:val="003071BC"/>
    <w:rsid w:val="003107A9"/>
    <w:rsid w:val="003118D4"/>
    <w:rsid w:val="003120EA"/>
    <w:rsid w:val="00313530"/>
    <w:rsid w:val="003145FC"/>
    <w:rsid w:val="00315724"/>
    <w:rsid w:val="0032034C"/>
    <w:rsid w:val="003218DF"/>
    <w:rsid w:val="003238CA"/>
    <w:rsid w:val="00323FC2"/>
    <w:rsid w:val="00326575"/>
    <w:rsid w:val="0032664A"/>
    <w:rsid w:val="00326908"/>
    <w:rsid w:val="00330F57"/>
    <w:rsid w:val="00331578"/>
    <w:rsid w:val="00332E0E"/>
    <w:rsid w:val="00333364"/>
    <w:rsid w:val="0033405F"/>
    <w:rsid w:val="00334DCC"/>
    <w:rsid w:val="00340459"/>
    <w:rsid w:val="003413A2"/>
    <w:rsid w:val="00343BBE"/>
    <w:rsid w:val="003450FD"/>
    <w:rsid w:val="00345794"/>
    <w:rsid w:val="00347C17"/>
    <w:rsid w:val="00347C26"/>
    <w:rsid w:val="00350D87"/>
    <w:rsid w:val="003519EC"/>
    <w:rsid w:val="00352DC9"/>
    <w:rsid w:val="0035705F"/>
    <w:rsid w:val="003579B3"/>
    <w:rsid w:val="00357EAF"/>
    <w:rsid w:val="003605A1"/>
    <w:rsid w:val="0036250D"/>
    <w:rsid w:val="003644F2"/>
    <w:rsid w:val="00366C90"/>
    <w:rsid w:val="00367808"/>
    <w:rsid w:val="00370D0A"/>
    <w:rsid w:val="003720DC"/>
    <w:rsid w:val="003750FF"/>
    <w:rsid w:val="00376D46"/>
    <w:rsid w:val="00376D76"/>
    <w:rsid w:val="00377A53"/>
    <w:rsid w:val="003806C8"/>
    <w:rsid w:val="00381ACB"/>
    <w:rsid w:val="003828D8"/>
    <w:rsid w:val="0038447D"/>
    <w:rsid w:val="00385076"/>
    <w:rsid w:val="0038771B"/>
    <w:rsid w:val="00390E23"/>
    <w:rsid w:val="00393595"/>
    <w:rsid w:val="00394044"/>
    <w:rsid w:val="00397536"/>
    <w:rsid w:val="00397CAF"/>
    <w:rsid w:val="003A0EFD"/>
    <w:rsid w:val="003A2B59"/>
    <w:rsid w:val="003A3219"/>
    <w:rsid w:val="003A467C"/>
    <w:rsid w:val="003A46A2"/>
    <w:rsid w:val="003A627C"/>
    <w:rsid w:val="003A65DA"/>
    <w:rsid w:val="003A71A5"/>
    <w:rsid w:val="003B0478"/>
    <w:rsid w:val="003B101B"/>
    <w:rsid w:val="003B2F5D"/>
    <w:rsid w:val="003B3C50"/>
    <w:rsid w:val="003B4BC6"/>
    <w:rsid w:val="003B60C7"/>
    <w:rsid w:val="003B6958"/>
    <w:rsid w:val="003B7C52"/>
    <w:rsid w:val="003B7EDC"/>
    <w:rsid w:val="003C0653"/>
    <w:rsid w:val="003C0D72"/>
    <w:rsid w:val="003C12C7"/>
    <w:rsid w:val="003C2EA4"/>
    <w:rsid w:val="003C380A"/>
    <w:rsid w:val="003C3D45"/>
    <w:rsid w:val="003C4DB6"/>
    <w:rsid w:val="003C5B85"/>
    <w:rsid w:val="003C757B"/>
    <w:rsid w:val="003D0899"/>
    <w:rsid w:val="003D0C43"/>
    <w:rsid w:val="003D0FC5"/>
    <w:rsid w:val="003D1065"/>
    <w:rsid w:val="003D260D"/>
    <w:rsid w:val="003D34CE"/>
    <w:rsid w:val="003D4637"/>
    <w:rsid w:val="003D6F7D"/>
    <w:rsid w:val="003D7131"/>
    <w:rsid w:val="003E0FF9"/>
    <w:rsid w:val="003E26D0"/>
    <w:rsid w:val="003E3137"/>
    <w:rsid w:val="003E41D3"/>
    <w:rsid w:val="003E5EC7"/>
    <w:rsid w:val="003E75BB"/>
    <w:rsid w:val="003E7917"/>
    <w:rsid w:val="003E7E76"/>
    <w:rsid w:val="003F103A"/>
    <w:rsid w:val="003F2556"/>
    <w:rsid w:val="003F25DE"/>
    <w:rsid w:val="003F34F2"/>
    <w:rsid w:val="003F35DC"/>
    <w:rsid w:val="003F41B2"/>
    <w:rsid w:val="003F4ACC"/>
    <w:rsid w:val="003F51C7"/>
    <w:rsid w:val="003F5C57"/>
    <w:rsid w:val="003F6BA9"/>
    <w:rsid w:val="003F6CEC"/>
    <w:rsid w:val="004009A5"/>
    <w:rsid w:val="004030E9"/>
    <w:rsid w:val="00403C47"/>
    <w:rsid w:val="00404A14"/>
    <w:rsid w:val="00404C26"/>
    <w:rsid w:val="0040761E"/>
    <w:rsid w:val="00411070"/>
    <w:rsid w:val="0041170F"/>
    <w:rsid w:val="00411D16"/>
    <w:rsid w:val="00411DCC"/>
    <w:rsid w:val="0041315E"/>
    <w:rsid w:val="004150FC"/>
    <w:rsid w:val="0041569E"/>
    <w:rsid w:val="004157D6"/>
    <w:rsid w:val="00416D41"/>
    <w:rsid w:val="00417422"/>
    <w:rsid w:val="0041754A"/>
    <w:rsid w:val="00417F6C"/>
    <w:rsid w:val="00417F86"/>
    <w:rsid w:val="00422797"/>
    <w:rsid w:val="004235AD"/>
    <w:rsid w:val="00423C3B"/>
    <w:rsid w:val="00423EAC"/>
    <w:rsid w:val="0042552E"/>
    <w:rsid w:val="0042691E"/>
    <w:rsid w:val="00426D20"/>
    <w:rsid w:val="00426DF1"/>
    <w:rsid w:val="00426EC5"/>
    <w:rsid w:val="0042779D"/>
    <w:rsid w:val="00434449"/>
    <w:rsid w:val="0043780E"/>
    <w:rsid w:val="00443E82"/>
    <w:rsid w:val="004440CF"/>
    <w:rsid w:val="004479A3"/>
    <w:rsid w:val="0045011F"/>
    <w:rsid w:val="00450297"/>
    <w:rsid w:val="00450A71"/>
    <w:rsid w:val="00450BD2"/>
    <w:rsid w:val="00452485"/>
    <w:rsid w:val="00452646"/>
    <w:rsid w:val="00454001"/>
    <w:rsid w:val="004547DC"/>
    <w:rsid w:val="00454DFB"/>
    <w:rsid w:val="0045557A"/>
    <w:rsid w:val="00455FF2"/>
    <w:rsid w:val="00456A75"/>
    <w:rsid w:val="00456EA1"/>
    <w:rsid w:val="00457EC3"/>
    <w:rsid w:val="00460316"/>
    <w:rsid w:val="00460AFA"/>
    <w:rsid w:val="004614BB"/>
    <w:rsid w:val="00461F3E"/>
    <w:rsid w:val="00463D7B"/>
    <w:rsid w:val="00464871"/>
    <w:rsid w:val="00464903"/>
    <w:rsid w:val="0046588C"/>
    <w:rsid w:val="00466D5A"/>
    <w:rsid w:val="00467FCA"/>
    <w:rsid w:val="00473B76"/>
    <w:rsid w:val="00477737"/>
    <w:rsid w:val="00481205"/>
    <w:rsid w:val="0048171A"/>
    <w:rsid w:val="00484765"/>
    <w:rsid w:val="0048528F"/>
    <w:rsid w:val="00485519"/>
    <w:rsid w:val="00485BA9"/>
    <w:rsid w:val="00486E58"/>
    <w:rsid w:val="00490653"/>
    <w:rsid w:val="004906F0"/>
    <w:rsid w:val="00491A21"/>
    <w:rsid w:val="00492E70"/>
    <w:rsid w:val="00493218"/>
    <w:rsid w:val="00493447"/>
    <w:rsid w:val="004940EB"/>
    <w:rsid w:val="0049628B"/>
    <w:rsid w:val="004974F8"/>
    <w:rsid w:val="004977E1"/>
    <w:rsid w:val="004A2B16"/>
    <w:rsid w:val="004A2DDB"/>
    <w:rsid w:val="004A477B"/>
    <w:rsid w:val="004A54F9"/>
    <w:rsid w:val="004A5825"/>
    <w:rsid w:val="004A5A92"/>
    <w:rsid w:val="004A67A2"/>
    <w:rsid w:val="004A7021"/>
    <w:rsid w:val="004A773B"/>
    <w:rsid w:val="004B05AF"/>
    <w:rsid w:val="004B0CD4"/>
    <w:rsid w:val="004B0FDF"/>
    <w:rsid w:val="004B0FF8"/>
    <w:rsid w:val="004B14BA"/>
    <w:rsid w:val="004B1C1B"/>
    <w:rsid w:val="004B23D6"/>
    <w:rsid w:val="004B3298"/>
    <w:rsid w:val="004B5B3C"/>
    <w:rsid w:val="004C0325"/>
    <w:rsid w:val="004C24BD"/>
    <w:rsid w:val="004C3AEE"/>
    <w:rsid w:val="004C4A49"/>
    <w:rsid w:val="004D0775"/>
    <w:rsid w:val="004D0AA1"/>
    <w:rsid w:val="004D0DDF"/>
    <w:rsid w:val="004D130F"/>
    <w:rsid w:val="004D291B"/>
    <w:rsid w:val="004D3C88"/>
    <w:rsid w:val="004D4109"/>
    <w:rsid w:val="004D4468"/>
    <w:rsid w:val="004D49F6"/>
    <w:rsid w:val="004D6461"/>
    <w:rsid w:val="004D6C9B"/>
    <w:rsid w:val="004D7A59"/>
    <w:rsid w:val="004E1353"/>
    <w:rsid w:val="004E1964"/>
    <w:rsid w:val="004E20BA"/>
    <w:rsid w:val="004E2221"/>
    <w:rsid w:val="004E3908"/>
    <w:rsid w:val="004E5D86"/>
    <w:rsid w:val="004F071E"/>
    <w:rsid w:val="004F0F50"/>
    <w:rsid w:val="004F7E8F"/>
    <w:rsid w:val="005006D5"/>
    <w:rsid w:val="00501E91"/>
    <w:rsid w:val="00501E93"/>
    <w:rsid w:val="005022AE"/>
    <w:rsid w:val="005044C1"/>
    <w:rsid w:val="00504B5F"/>
    <w:rsid w:val="00505558"/>
    <w:rsid w:val="00506A0B"/>
    <w:rsid w:val="0050780E"/>
    <w:rsid w:val="00510B1A"/>
    <w:rsid w:val="005119EA"/>
    <w:rsid w:val="00512146"/>
    <w:rsid w:val="00512E74"/>
    <w:rsid w:val="00513979"/>
    <w:rsid w:val="00513B40"/>
    <w:rsid w:val="005146F9"/>
    <w:rsid w:val="00514A68"/>
    <w:rsid w:val="0051682C"/>
    <w:rsid w:val="00516F23"/>
    <w:rsid w:val="00517F4C"/>
    <w:rsid w:val="005203D9"/>
    <w:rsid w:val="005211AD"/>
    <w:rsid w:val="00523228"/>
    <w:rsid w:val="00523D19"/>
    <w:rsid w:val="00523E00"/>
    <w:rsid w:val="0052484E"/>
    <w:rsid w:val="00525673"/>
    <w:rsid w:val="00525BC9"/>
    <w:rsid w:val="00526DD8"/>
    <w:rsid w:val="005270C7"/>
    <w:rsid w:val="00530D1B"/>
    <w:rsid w:val="00530E5F"/>
    <w:rsid w:val="00531CF4"/>
    <w:rsid w:val="00532022"/>
    <w:rsid w:val="00532339"/>
    <w:rsid w:val="005326C2"/>
    <w:rsid w:val="00534C38"/>
    <w:rsid w:val="00535F15"/>
    <w:rsid w:val="005370BE"/>
    <w:rsid w:val="00537B2C"/>
    <w:rsid w:val="00537FF8"/>
    <w:rsid w:val="00540565"/>
    <w:rsid w:val="00540E1F"/>
    <w:rsid w:val="00542227"/>
    <w:rsid w:val="00543570"/>
    <w:rsid w:val="00545380"/>
    <w:rsid w:val="005460CC"/>
    <w:rsid w:val="0055140D"/>
    <w:rsid w:val="0055222A"/>
    <w:rsid w:val="005523A0"/>
    <w:rsid w:val="00554AFD"/>
    <w:rsid w:val="00556864"/>
    <w:rsid w:val="00560681"/>
    <w:rsid w:val="005612F5"/>
    <w:rsid w:val="005624EB"/>
    <w:rsid w:val="005626EB"/>
    <w:rsid w:val="005636B4"/>
    <w:rsid w:val="00566AD4"/>
    <w:rsid w:val="00571484"/>
    <w:rsid w:val="00571FD3"/>
    <w:rsid w:val="00573DD4"/>
    <w:rsid w:val="005754E5"/>
    <w:rsid w:val="0057565C"/>
    <w:rsid w:val="00576E87"/>
    <w:rsid w:val="00577734"/>
    <w:rsid w:val="005803D1"/>
    <w:rsid w:val="00580B1E"/>
    <w:rsid w:val="00582529"/>
    <w:rsid w:val="00582F3E"/>
    <w:rsid w:val="00584D27"/>
    <w:rsid w:val="00584E8F"/>
    <w:rsid w:val="00585711"/>
    <w:rsid w:val="00586CEB"/>
    <w:rsid w:val="00587031"/>
    <w:rsid w:val="00587B6E"/>
    <w:rsid w:val="005909C6"/>
    <w:rsid w:val="005910DD"/>
    <w:rsid w:val="0059391B"/>
    <w:rsid w:val="00594F1F"/>
    <w:rsid w:val="005953FD"/>
    <w:rsid w:val="0059602F"/>
    <w:rsid w:val="00596F2C"/>
    <w:rsid w:val="0059709E"/>
    <w:rsid w:val="00597FD8"/>
    <w:rsid w:val="005A16EF"/>
    <w:rsid w:val="005A288C"/>
    <w:rsid w:val="005A2901"/>
    <w:rsid w:val="005A2DDA"/>
    <w:rsid w:val="005A3E6A"/>
    <w:rsid w:val="005A48BF"/>
    <w:rsid w:val="005A54E1"/>
    <w:rsid w:val="005A6D16"/>
    <w:rsid w:val="005A7CAF"/>
    <w:rsid w:val="005B0185"/>
    <w:rsid w:val="005B0EBE"/>
    <w:rsid w:val="005B2DFC"/>
    <w:rsid w:val="005B46FB"/>
    <w:rsid w:val="005B6F2F"/>
    <w:rsid w:val="005B7ED4"/>
    <w:rsid w:val="005C08EC"/>
    <w:rsid w:val="005C3516"/>
    <w:rsid w:val="005C559B"/>
    <w:rsid w:val="005C6864"/>
    <w:rsid w:val="005C6B38"/>
    <w:rsid w:val="005D1FE1"/>
    <w:rsid w:val="005D257D"/>
    <w:rsid w:val="005D4744"/>
    <w:rsid w:val="005E114B"/>
    <w:rsid w:val="005E2F4A"/>
    <w:rsid w:val="005E4AC2"/>
    <w:rsid w:val="005E7BDC"/>
    <w:rsid w:val="005F07CB"/>
    <w:rsid w:val="005F0839"/>
    <w:rsid w:val="005F2B8E"/>
    <w:rsid w:val="005F4BF4"/>
    <w:rsid w:val="005F620F"/>
    <w:rsid w:val="005F6440"/>
    <w:rsid w:val="005F6A5C"/>
    <w:rsid w:val="005F6D08"/>
    <w:rsid w:val="005F72AD"/>
    <w:rsid w:val="0060034B"/>
    <w:rsid w:val="00600B18"/>
    <w:rsid w:val="006012ED"/>
    <w:rsid w:val="0060260B"/>
    <w:rsid w:val="00603F95"/>
    <w:rsid w:val="00605CED"/>
    <w:rsid w:val="00605D84"/>
    <w:rsid w:val="0060603A"/>
    <w:rsid w:val="00607107"/>
    <w:rsid w:val="00610EDE"/>
    <w:rsid w:val="00613091"/>
    <w:rsid w:val="006130F2"/>
    <w:rsid w:val="00614029"/>
    <w:rsid w:val="006145DE"/>
    <w:rsid w:val="006146EB"/>
    <w:rsid w:val="00614FF5"/>
    <w:rsid w:val="006153E2"/>
    <w:rsid w:val="00615516"/>
    <w:rsid w:val="0061552C"/>
    <w:rsid w:val="006155FD"/>
    <w:rsid w:val="00615E03"/>
    <w:rsid w:val="00620F85"/>
    <w:rsid w:val="00621BC2"/>
    <w:rsid w:val="00624549"/>
    <w:rsid w:val="00624A08"/>
    <w:rsid w:val="00625540"/>
    <w:rsid w:val="006258FB"/>
    <w:rsid w:val="006263A3"/>
    <w:rsid w:val="00631A36"/>
    <w:rsid w:val="0063221F"/>
    <w:rsid w:val="00632D4B"/>
    <w:rsid w:val="00634A3A"/>
    <w:rsid w:val="006374A6"/>
    <w:rsid w:val="0064132E"/>
    <w:rsid w:val="00642F34"/>
    <w:rsid w:val="006438B3"/>
    <w:rsid w:val="00643E14"/>
    <w:rsid w:val="00643E4E"/>
    <w:rsid w:val="006441A8"/>
    <w:rsid w:val="00645040"/>
    <w:rsid w:val="0064533B"/>
    <w:rsid w:val="006454E6"/>
    <w:rsid w:val="006474E8"/>
    <w:rsid w:val="006519D4"/>
    <w:rsid w:val="00653F29"/>
    <w:rsid w:val="00654202"/>
    <w:rsid w:val="00655236"/>
    <w:rsid w:val="00660A4C"/>
    <w:rsid w:val="0066110F"/>
    <w:rsid w:val="006613B7"/>
    <w:rsid w:val="00661D0C"/>
    <w:rsid w:val="006625AF"/>
    <w:rsid w:val="00663D8B"/>
    <w:rsid w:val="00667C5F"/>
    <w:rsid w:val="006706F4"/>
    <w:rsid w:val="00670A14"/>
    <w:rsid w:val="00671860"/>
    <w:rsid w:val="00673145"/>
    <w:rsid w:val="006733FD"/>
    <w:rsid w:val="006740A7"/>
    <w:rsid w:val="00677413"/>
    <w:rsid w:val="00680C32"/>
    <w:rsid w:val="00681F71"/>
    <w:rsid w:val="006838D9"/>
    <w:rsid w:val="00686F54"/>
    <w:rsid w:val="006909DB"/>
    <w:rsid w:val="0069105C"/>
    <w:rsid w:val="006911E8"/>
    <w:rsid w:val="006923EE"/>
    <w:rsid w:val="006976D8"/>
    <w:rsid w:val="006A1420"/>
    <w:rsid w:val="006A3E9F"/>
    <w:rsid w:val="006A5A4A"/>
    <w:rsid w:val="006A6110"/>
    <w:rsid w:val="006A6267"/>
    <w:rsid w:val="006A6E9C"/>
    <w:rsid w:val="006B203B"/>
    <w:rsid w:val="006B2905"/>
    <w:rsid w:val="006B3D01"/>
    <w:rsid w:val="006B6C6A"/>
    <w:rsid w:val="006B70AC"/>
    <w:rsid w:val="006C0069"/>
    <w:rsid w:val="006C0321"/>
    <w:rsid w:val="006C31C1"/>
    <w:rsid w:val="006C39CF"/>
    <w:rsid w:val="006C3B7D"/>
    <w:rsid w:val="006C52E7"/>
    <w:rsid w:val="006C5708"/>
    <w:rsid w:val="006C6062"/>
    <w:rsid w:val="006C6DBB"/>
    <w:rsid w:val="006D0C20"/>
    <w:rsid w:val="006D0C95"/>
    <w:rsid w:val="006D1692"/>
    <w:rsid w:val="006D2993"/>
    <w:rsid w:val="006D29ED"/>
    <w:rsid w:val="006D2DE4"/>
    <w:rsid w:val="006D37A7"/>
    <w:rsid w:val="006D3BB3"/>
    <w:rsid w:val="006D427E"/>
    <w:rsid w:val="006D5F7B"/>
    <w:rsid w:val="006D7224"/>
    <w:rsid w:val="006D75CD"/>
    <w:rsid w:val="006D7E60"/>
    <w:rsid w:val="006E10B8"/>
    <w:rsid w:val="006E16F1"/>
    <w:rsid w:val="006E23CE"/>
    <w:rsid w:val="006E3040"/>
    <w:rsid w:val="006E3124"/>
    <w:rsid w:val="006E3C8C"/>
    <w:rsid w:val="006E405D"/>
    <w:rsid w:val="006E452D"/>
    <w:rsid w:val="006E477C"/>
    <w:rsid w:val="006E4825"/>
    <w:rsid w:val="006E7BDF"/>
    <w:rsid w:val="006F07F5"/>
    <w:rsid w:val="006F2329"/>
    <w:rsid w:val="006F3330"/>
    <w:rsid w:val="006F3B1D"/>
    <w:rsid w:val="006F4C0F"/>
    <w:rsid w:val="006F5A79"/>
    <w:rsid w:val="007016DF"/>
    <w:rsid w:val="00702295"/>
    <w:rsid w:val="00702360"/>
    <w:rsid w:val="00702BB9"/>
    <w:rsid w:val="007036BE"/>
    <w:rsid w:val="00704809"/>
    <w:rsid w:val="00705307"/>
    <w:rsid w:val="0070553B"/>
    <w:rsid w:val="00705965"/>
    <w:rsid w:val="007064EE"/>
    <w:rsid w:val="00706BEC"/>
    <w:rsid w:val="00710977"/>
    <w:rsid w:val="00711276"/>
    <w:rsid w:val="007115CB"/>
    <w:rsid w:val="00711766"/>
    <w:rsid w:val="00711BA4"/>
    <w:rsid w:val="00712204"/>
    <w:rsid w:val="007122EA"/>
    <w:rsid w:val="0071498B"/>
    <w:rsid w:val="00717364"/>
    <w:rsid w:val="00717829"/>
    <w:rsid w:val="0072104D"/>
    <w:rsid w:val="0072119D"/>
    <w:rsid w:val="007215CB"/>
    <w:rsid w:val="007216B8"/>
    <w:rsid w:val="0072299E"/>
    <w:rsid w:val="00724B5B"/>
    <w:rsid w:val="0072544A"/>
    <w:rsid w:val="0072611A"/>
    <w:rsid w:val="007316C1"/>
    <w:rsid w:val="0073195F"/>
    <w:rsid w:val="0073336F"/>
    <w:rsid w:val="0073407D"/>
    <w:rsid w:val="00734404"/>
    <w:rsid w:val="007350F8"/>
    <w:rsid w:val="00736D35"/>
    <w:rsid w:val="00737932"/>
    <w:rsid w:val="00740C47"/>
    <w:rsid w:val="00742BC5"/>
    <w:rsid w:val="007446C0"/>
    <w:rsid w:val="00746FF2"/>
    <w:rsid w:val="00747946"/>
    <w:rsid w:val="007529DD"/>
    <w:rsid w:val="0075490C"/>
    <w:rsid w:val="00755CD2"/>
    <w:rsid w:val="00756BB9"/>
    <w:rsid w:val="00756EDB"/>
    <w:rsid w:val="00757E53"/>
    <w:rsid w:val="007603E0"/>
    <w:rsid w:val="00761852"/>
    <w:rsid w:val="007625C7"/>
    <w:rsid w:val="00764A23"/>
    <w:rsid w:val="007671AE"/>
    <w:rsid w:val="00771352"/>
    <w:rsid w:val="00771A36"/>
    <w:rsid w:val="0077340D"/>
    <w:rsid w:val="00773785"/>
    <w:rsid w:val="007749A8"/>
    <w:rsid w:val="00777854"/>
    <w:rsid w:val="007778F4"/>
    <w:rsid w:val="00780201"/>
    <w:rsid w:val="00782926"/>
    <w:rsid w:val="00782C80"/>
    <w:rsid w:val="00782D9D"/>
    <w:rsid w:val="00782E8D"/>
    <w:rsid w:val="00783605"/>
    <w:rsid w:val="00783F9A"/>
    <w:rsid w:val="007840D7"/>
    <w:rsid w:val="0078463C"/>
    <w:rsid w:val="007869D6"/>
    <w:rsid w:val="0078718D"/>
    <w:rsid w:val="00790748"/>
    <w:rsid w:val="00793A8B"/>
    <w:rsid w:val="00793DA4"/>
    <w:rsid w:val="00794D7A"/>
    <w:rsid w:val="007962F6"/>
    <w:rsid w:val="007A226B"/>
    <w:rsid w:val="007A5B5D"/>
    <w:rsid w:val="007A5DDC"/>
    <w:rsid w:val="007A5E1D"/>
    <w:rsid w:val="007A6A03"/>
    <w:rsid w:val="007A72F5"/>
    <w:rsid w:val="007A7EE3"/>
    <w:rsid w:val="007A7FA2"/>
    <w:rsid w:val="007B0940"/>
    <w:rsid w:val="007B0E84"/>
    <w:rsid w:val="007B0F2D"/>
    <w:rsid w:val="007B2324"/>
    <w:rsid w:val="007B6A74"/>
    <w:rsid w:val="007B6E90"/>
    <w:rsid w:val="007B6F43"/>
    <w:rsid w:val="007C0497"/>
    <w:rsid w:val="007C125E"/>
    <w:rsid w:val="007C5762"/>
    <w:rsid w:val="007D21B2"/>
    <w:rsid w:val="007D41D6"/>
    <w:rsid w:val="007D487A"/>
    <w:rsid w:val="007D4DD9"/>
    <w:rsid w:val="007D55CD"/>
    <w:rsid w:val="007D6825"/>
    <w:rsid w:val="007D7534"/>
    <w:rsid w:val="007D79BB"/>
    <w:rsid w:val="007E00F8"/>
    <w:rsid w:val="007E0C2A"/>
    <w:rsid w:val="007E27AD"/>
    <w:rsid w:val="007E2D64"/>
    <w:rsid w:val="007E3C42"/>
    <w:rsid w:val="007E4A34"/>
    <w:rsid w:val="007E5356"/>
    <w:rsid w:val="007E5562"/>
    <w:rsid w:val="007E5EC7"/>
    <w:rsid w:val="007E5F0F"/>
    <w:rsid w:val="007E60C6"/>
    <w:rsid w:val="007E62B9"/>
    <w:rsid w:val="007E63A6"/>
    <w:rsid w:val="007E6EE3"/>
    <w:rsid w:val="007E7D2E"/>
    <w:rsid w:val="007E7FAF"/>
    <w:rsid w:val="007F0312"/>
    <w:rsid w:val="007F0BE8"/>
    <w:rsid w:val="007F1884"/>
    <w:rsid w:val="007F23B7"/>
    <w:rsid w:val="007F2C1F"/>
    <w:rsid w:val="007F42BA"/>
    <w:rsid w:val="007F7A32"/>
    <w:rsid w:val="0080172F"/>
    <w:rsid w:val="008017DD"/>
    <w:rsid w:val="00804DC3"/>
    <w:rsid w:val="00804F61"/>
    <w:rsid w:val="00805A50"/>
    <w:rsid w:val="008076FC"/>
    <w:rsid w:val="0081144D"/>
    <w:rsid w:val="0081155F"/>
    <w:rsid w:val="00814C86"/>
    <w:rsid w:val="00821256"/>
    <w:rsid w:val="00821DF3"/>
    <w:rsid w:val="0082352C"/>
    <w:rsid w:val="00823616"/>
    <w:rsid w:val="00824B49"/>
    <w:rsid w:val="00824E9D"/>
    <w:rsid w:val="0082535E"/>
    <w:rsid w:val="00827003"/>
    <w:rsid w:val="00827120"/>
    <w:rsid w:val="00830A19"/>
    <w:rsid w:val="00830E68"/>
    <w:rsid w:val="00831707"/>
    <w:rsid w:val="0083182E"/>
    <w:rsid w:val="00832AE2"/>
    <w:rsid w:val="00832DA7"/>
    <w:rsid w:val="00834258"/>
    <w:rsid w:val="00836226"/>
    <w:rsid w:val="008367E3"/>
    <w:rsid w:val="00837FB3"/>
    <w:rsid w:val="0084219E"/>
    <w:rsid w:val="00842239"/>
    <w:rsid w:val="00842AC2"/>
    <w:rsid w:val="00843D7F"/>
    <w:rsid w:val="00845242"/>
    <w:rsid w:val="00846122"/>
    <w:rsid w:val="008478AF"/>
    <w:rsid w:val="008479BA"/>
    <w:rsid w:val="00847AFB"/>
    <w:rsid w:val="00847F5E"/>
    <w:rsid w:val="00847FA1"/>
    <w:rsid w:val="008512DB"/>
    <w:rsid w:val="008513E1"/>
    <w:rsid w:val="00851433"/>
    <w:rsid w:val="00852344"/>
    <w:rsid w:val="008528F6"/>
    <w:rsid w:val="0085371A"/>
    <w:rsid w:val="008543FD"/>
    <w:rsid w:val="00855264"/>
    <w:rsid w:val="00856B46"/>
    <w:rsid w:val="00856DE7"/>
    <w:rsid w:val="00857715"/>
    <w:rsid w:val="00860028"/>
    <w:rsid w:val="008604DC"/>
    <w:rsid w:val="00860544"/>
    <w:rsid w:val="00860937"/>
    <w:rsid w:val="00860A98"/>
    <w:rsid w:val="0086217A"/>
    <w:rsid w:val="0086221A"/>
    <w:rsid w:val="0086224F"/>
    <w:rsid w:val="00862F94"/>
    <w:rsid w:val="0086318A"/>
    <w:rsid w:val="00863332"/>
    <w:rsid w:val="0086393A"/>
    <w:rsid w:val="008639B2"/>
    <w:rsid w:val="00864714"/>
    <w:rsid w:val="00864A3A"/>
    <w:rsid w:val="0086606E"/>
    <w:rsid w:val="00866A30"/>
    <w:rsid w:val="00867FEE"/>
    <w:rsid w:val="00870230"/>
    <w:rsid w:val="00870CE3"/>
    <w:rsid w:val="00872FF0"/>
    <w:rsid w:val="0087598C"/>
    <w:rsid w:val="00875F6E"/>
    <w:rsid w:val="00876DA0"/>
    <w:rsid w:val="00877D52"/>
    <w:rsid w:val="0088056B"/>
    <w:rsid w:val="00880DDA"/>
    <w:rsid w:val="008812B3"/>
    <w:rsid w:val="008829F9"/>
    <w:rsid w:val="00885856"/>
    <w:rsid w:val="00885B88"/>
    <w:rsid w:val="00887D3A"/>
    <w:rsid w:val="00892AC6"/>
    <w:rsid w:val="0089360E"/>
    <w:rsid w:val="008A0D12"/>
    <w:rsid w:val="008A11C4"/>
    <w:rsid w:val="008A12C6"/>
    <w:rsid w:val="008A2069"/>
    <w:rsid w:val="008A4016"/>
    <w:rsid w:val="008A4DE3"/>
    <w:rsid w:val="008A4EDE"/>
    <w:rsid w:val="008A5DDC"/>
    <w:rsid w:val="008A7364"/>
    <w:rsid w:val="008A763E"/>
    <w:rsid w:val="008B0F4F"/>
    <w:rsid w:val="008B147D"/>
    <w:rsid w:val="008B1F61"/>
    <w:rsid w:val="008B5156"/>
    <w:rsid w:val="008B54F1"/>
    <w:rsid w:val="008B78BA"/>
    <w:rsid w:val="008C0C57"/>
    <w:rsid w:val="008C3FFC"/>
    <w:rsid w:val="008C4D72"/>
    <w:rsid w:val="008C5990"/>
    <w:rsid w:val="008C6DBD"/>
    <w:rsid w:val="008D0151"/>
    <w:rsid w:val="008D0847"/>
    <w:rsid w:val="008D12A7"/>
    <w:rsid w:val="008D14B9"/>
    <w:rsid w:val="008D30B9"/>
    <w:rsid w:val="008D396D"/>
    <w:rsid w:val="008D4003"/>
    <w:rsid w:val="008D4334"/>
    <w:rsid w:val="008D5B4A"/>
    <w:rsid w:val="008D650F"/>
    <w:rsid w:val="008E05E9"/>
    <w:rsid w:val="008E0E5B"/>
    <w:rsid w:val="008E1797"/>
    <w:rsid w:val="008E1E61"/>
    <w:rsid w:val="008E2717"/>
    <w:rsid w:val="008E5EEF"/>
    <w:rsid w:val="008F026E"/>
    <w:rsid w:val="008F167B"/>
    <w:rsid w:val="008F1CEA"/>
    <w:rsid w:val="008F2C33"/>
    <w:rsid w:val="008F345D"/>
    <w:rsid w:val="008F3F55"/>
    <w:rsid w:val="008F5866"/>
    <w:rsid w:val="008F7EB4"/>
    <w:rsid w:val="008F7F6E"/>
    <w:rsid w:val="00901BC1"/>
    <w:rsid w:val="00901DD5"/>
    <w:rsid w:val="00902E99"/>
    <w:rsid w:val="0090383E"/>
    <w:rsid w:val="009041DC"/>
    <w:rsid w:val="00904441"/>
    <w:rsid w:val="0090523A"/>
    <w:rsid w:val="009054C7"/>
    <w:rsid w:val="00905A3D"/>
    <w:rsid w:val="00906624"/>
    <w:rsid w:val="009075DC"/>
    <w:rsid w:val="009113FC"/>
    <w:rsid w:val="00912365"/>
    <w:rsid w:val="00912931"/>
    <w:rsid w:val="009131C8"/>
    <w:rsid w:val="009131ED"/>
    <w:rsid w:val="009152B2"/>
    <w:rsid w:val="00915D1B"/>
    <w:rsid w:val="00916E86"/>
    <w:rsid w:val="00920504"/>
    <w:rsid w:val="0092091B"/>
    <w:rsid w:val="00920A98"/>
    <w:rsid w:val="00922359"/>
    <w:rsid w:val="00923AB1"/>
    <w:rsid w:val="00923C7B"/>
    <w:rsid w:val="00924581"/>
    <w:rsid w:val="0092654A"/>
    <w:rsid w:val="00926864"/>
    <w:rsid w:val="00927B06"/>
    <w:rsid w:val="00930FE2"/>
    <w:rsid w:val="00933AB6"/>
    <w:rsid w:val="00935BA7"/>
    <w:rsid w:val="00936F57"/>
    <w:rsid w:val="0093717D"/>
    <w:rsid w:val="00937EF5"/>
    <w:rsid w:val="0094104D"/>
    <w:rsid w:val="00942061"/>
    <w:rsid w:val="009420AF"/>
    <w:rsid w:val="00942CAF"/>
    <w:rsid w:val="00945DB3"/>
    <w:rsid w:val="00945EB0"/>
    <w:rsid w:val="00946BC9"/>
    <w:rsid w:val="009471BB"/>
    <w:rsid w:val="009479BB"/>
    <w:rsid w:val="00947AC7"/>
    <w:rsid w:val="0095271D"/>
    <w:rsid w:val="00952DA4"/>
    <w:rsid w:val="00953020"/>
    <w:rsid w:val="00955EC2"/>
    <w:rsid w:val="0095631D"/>
    <w:rsid w:val="0095645F"/>
    <w:rsid w:val="0095684D"/>
    <w:rsid w:val="00957615"/>
    <w:rsid w:val="00957CDE"/>
    <w:rsid w:val="009600B6"/>
    <w:rsid w:val="00961491"/>
    <w:rsid w:val="009622EA"/>
    <w:rsid w:val="00964276"/>
    <w:rsid w:val="009702EC"/>
    <w:rsid w:val="009709E1"/>
    <w:rsid w:val="00970DC9"/>
    <w:rsid w:val="00972457"/>
    <w:rsid w:val="00972D9F"/>
    <w:rsid w:val="009731FB"/>
    <w:rsid w:val="00975164"/>
    <w:rsid w:val="009760C5"/>
    <w:rsid w:val="00976846"/>
    <w:rsid w:val="009777B0"/>
    <w:rsid w:val="00977C58"/>
    <w:rsid w:val="00977DD8"/>
    <w:rsid w:val="00980FD8"/>
    <w:rsid w:val="009814F5"/>
    <w:rsid w:val="00981B8F"/>
    <w:rsid w:val="00982A2D"/>
    <w:rsid w:val="00982FB7"/>
    <w:rsid w:val="00985589"/>
    <w:rsid w:val="00986F22"/>
    <w:rsid w:val="009873A7"/>
    <w:rsid w:val="009928EC"/>
    <w:rsid w:val="0099293F"/>
    <w:rsid w:val="009930CA"/>
    <w:rsid w:val="0099399D"/>
    <w:rsid w:val="00994072"/>
    <w:rsid w:val="00994A4B"/>
    <w:rsid w:val="00995158"/>
    <w:rsid w:val="009951C2"/>
    <w:rsid w:val="00995564"/>
    <w:rsid w:val="00995E34"/>
    <w:rsid w:val="00995F7F"/>
    <w:rsid w:val="00996002"/>
    <w:rsid w:val="0099613C"/>
    <w:rsid w:val="00997235"/>
    <w:rsid w:val="0099799B"/>
    <w:rsid w:val="009A04B2"/>
    <w:rsid w:val="009A0C0F"/>
    <w:rsid w:val="009A0D0E"/>
    <w:rsid w:val="009A0D41"/>
    <w:rsid w:val="009A0FB6"/>
    <w:rsid w:val="009A1DD3"/>
    <w:rsid w:val="009A2A18"/>
    <w:rsid w:val="009A50DA"/>
    <w:rsid w:val="009A5D76"/>
    <w:rsid w:val="009B2371"/>
    <w:rsid w:val="009B35E7"/>
    <w:rsid w:val="009B3E99"/>
    <w:rsid w:val="009B46DA"/>
    <w:rsid w:val="009B5A44"/>
    <w:rsid w:val="009B7320"/>
    <w:rsid w:val="009B7354"/>
    <w:rsid w:val="009B7EB4"/>
    <w:rsid w:val="009C52FC"/>
    <w:rsid w:val="009C7321"/>
    <w:rsid w:val="009C7686"/>
    <w:rsid w:val="009D27B2"/>
    <w:rsid w:val="009D2A64"/>
    <w:rsid w:val="009D339A"/>
    <w:rsid w:val="009D468C"/>
    <w:rsid w:val="009D5A2A"/>
    <w:rsid w:val="009E003B"/>
    <w:rsid w:val="009E2442"/>
    <w:rsid w:val="009E252D"/>
    <w:rsid w:val="009E26E0"/>
    <w:rsid w:val="009E3464"/>
    <w:rsid w:val="009E6175"/>
    <w:rsid w:val="009F14AD"/>
    <w:rsid w:val="009F1693"/>
    <w:rsid w:val="009F2328"/>
    <w:rsid w:val="009F3854"/>
    <w:rsid w:val="009F7B1A"/>
    <w:rsid w:val="00A002F3"/>
    <w:rsid w:val="00A01949"/>
    <w:rsid w:val="00A02646"/>
    <w:rsid w:val="00A0311B"/>
    <w:rsid w:val="00A03EE7"/>
    <w:rsid w:val="00A04230"/>
    <w:rsid w:val="00A04A0B"/>
    <w:rsid w:val="00A052A1"/>
    <w:rsid w:val="00A06EF6"/>
    <w:rsid w:val="00A07DB9"/>
    <w:rsid w:val="00A07F73"/>
    <w:rsid w:val="00A1026D"/>
    <w:rsid w:val="00A1360B"/>
    <w:rsid w:val="00A1416F"/>
    <w:rsid w:val="00A1479A"/>
    <w:rsid w:val="00A170A7"/>
    <w:rsid w:val="00A172C1"/>
    <w:rsid w:val="00A177AC"/>
    <w:rsid w:val="00A1795A"/>
    <w:rsid w:val="00A20E9C"/>
    <w:rsid w:val="00A20F0A"/>
    <w:rsid w:val="00A21B82"/>
    <w:rsid w:val="00A23A69"/>
    <w:rsid w:val="00A26851"/>
    <w:rsid w:val="00A27576"/>
    <w:rsid w:val="00A27FD3"/>
    <w:rsid w:val="00A31255"/>
    <w:rsid w:val="00A31DC0"/>
    <w:rsid w:val="00A32172"/>
    <w:rsid w:val="00A33745"/>
    <w:rsid w:val="00A36F0C"/>
    <w:rsid w:val="00A36FD3"/>
    <w:rsid w:val="00A37AC7"/>
    <w:rsid w:val="00A42DAE"/>
    <w:rsid w:val="00A432C2"/>
    <w:rsid w:val="00A43F17"/>
    <w:rsid w:val="00A45581"/>
    <w:rsid w:val="00A4587C"/>
    <w:rsid w:val="00A46004"/>
    <w:rsid w:val="00A461D5"/>
    <w:rsid w:val="00A46D1D"/>
    <w:rsid w:val="00A4763E"/>
    <w:rsid w:val="00A47C85"/>
    <w:rsid w:val="00A505EA"/>
    <w:rsid w:val="00A50D5C"/>
    <w:rsid w:val="00A542F0"/>
    <w:rsid w:val="00A56B79"/>
    <w:rsid w:val="00A570E2"/>
    <w:rsid w:val="00A57C90"/>
    <w:rsid w:val="00A57E9C"/>
    <w:rsid w:val="00A60604"/>
    <w:rsid w:val="00A62D30"/>
    <w:rsid w:val="00A6353A"/>
    <w:rsid w:val="00A64F11"/>
    <w:rsid w:val="00A650EC"/>
    <w:rsid w:val="00A65233"/>
    <w:rsid w:val="00A6554C"/>
    <w:rsid w:val="00A66173"/>
    <w:rsid w:val="00A66F05"/>
    <w:rsid w:val="00A67D3D"/>
    <w:rsid w:val="00A71B24"/>
    <w:rsid w:val="00A71BA9"/>
    <w:rsid w:val="00A7300B"/>
    <w:rsid w:val="00A75745"/>
    <w:rsid w:val="00A76D5A"/>
    <w:rsid w:val="00A802A2"/>
    <w:rsid w:val="00A80522"/>
    <w:rsid w:val="00A80843"/>
    <w:rsid w:val="00A81F06"/>
    <w:rsid w:val="00A829CF"/>
    <w:rsid w:val="00A85182"/>
    <w:rsid w:val="00A8582E"/>
    <w:rsid w:val="00A86EDF"/>
    <w:rsid w:val="00A87C23"/>
    <w:rsid w:val="00A90DB4"/>
    <w:rsid w:val="00A91B79"/>
    <w:rsid w:val="00A92DC5"/>
    <w:rsid w:val="00A93DFA"/>
    <w:rsid w:val="00A93E5E"/>
    <w:rsid w:val="00A94C00"/>
    <w:rsid w:val="00A95FE0"/>
    <w:rsid w:val="00A9600D"/>
    <w:rsid w:val="00A9633C"/>
    <w:rsid w:val="00A96A9B"/>
    <w:rsid w:val="00A96D47"/>
    <w:rsid w:val="00AA12BC"/>
    <w:rsid w:val="00AA2501"/>
    <w:rsid w:val="00AA30A1"/>
    <w:rsid w:val="00AA37F2"/>
    <w:rsid w:val="00AA4C06"/>
    <w:rsid w:val="00AA648F"/>
    <w:rsid w:val="00AA64DE"/>
    <w:rsid w:val="00AA6EBB"/>
    <w:rsid w:val="00AA734B"/>
    <w:rsid w:val="00AA7DDC"/>
    <w:rsid w:val="00AB0129"/>
    <w:rsid w:val="00AB022C"/>
    <w:rsid w:val="00AB036B"/>
    <w:rsid w:val="00AB0E0B"/>
    <w:rsid w:val="00AB1669"/>
    <w:rsid w:val="00AB1744"/>
    <w:rsid w:val="00AB1B3B"/>
    <w:rsid w:val="00AB3CA5"/>
    <w:rsid w:val="00AB3E2B"/>
    <w:rsid w:val="00AB4933"/>
    <w:rsid w:val="00AB4BA4"/>
    <w:rsid w:val="00AB53EF"/>
    <w:rsid w:val="00AB5A0C"/>
    <w:rsid w:val="00AB6A7A"/>
    <w:rsid w:val="00AC1BA2"/>
    <w:rsid w:val="00AC1CA4"/>
    <w:rsid w:val="00AC4768"/>
    <w:rsid w:val="00AC4C20"/>
    <w:rsid w:val="00AC5115"/>
    <w:rsid w:val="00AC5A9C"/>
    <w:rsid w:val="00AC6981"/>
    <w:rsid w:val="00AC7039"/>
    <w:rsid w:val="00AC77F5"/>
    <w:rsid w:val="00AD02A8"/>
    <w:rsid w:val="00AD0A3A"/>
    <w:rsid w:val="00AD0C14"/>
    <w:rsid w:val="00AD0D96"/>
    <w:rsid w:val="00AD0F65"/>
    <w:rsid w:val="00AD10ED"/>
    <w:rsid w:val="00AD13FA"/>
    <w:rsid w:val="00AD3102"/>
    <w:rsid w:val="00AD382E"/>
    <w:rsid w:val="00AD39BD"/>
    <w:rsid w:val="00AD3ACA"/>
    <w:rsid w:val="00AD3BF5"/>
    <w:rsid w:val="00AD45F2"/>
    <w:rsid w:val="00AD5CC6"/>
    <w:rsid w:val="00AE1D65"/>
    <w:rsid w:val="00AE4D4E"/>
    <w:rsid w:val="00AF08A7"/>
    <w:rsid w:val="00AF1129"/>
    <w:rsid w:val="00AF1756"/>
    <w:rsid w:val="00AF1ED1"/>
    <w:rsid w:val="00AF2008"/>
    <w:rsid w:val="00AF254D"/>
    <w:rsid w:val="00AF2674"/>
    <w:rsid w:val="00AF5B10"/>
    <w:rsid w:val="00AF64D8"/>
    <w:rsid w:val="00AF7BF7"/>
    <w:rsid w:val="00B00443"/>
    <w:rsid w:val="00B00996"/>
    <w:rsid w:val="00B022E1"/>
    <w:rsid w:val="00B02675"/>
    <w:rsid w:val="00B03D98"/>
    <w:rsid w:val="00B04C7D"/>
    <w:rsid w:val="00B05E2B"/>
    <w:rsid w:val="00B070D6"/>
    <w:rsid w:val="00B1103C"/>
    <w:rsid w:val="00B11E32"/>
    <w:rsid w:val="00B11EBD"/>
    <w:rsid w:val="00B12557"/>
    <w:rsid w:val="00B13113"/>
    <w:rsid w:val="00B1317E"/>
    <w:rsid w:val="00B13B23"/>
    <w:rsid w:val="00B15553"/>
    <w:rsid w:val="00B15E2B"/>
    <w:rsid w:val="00B16809"/>
    <w:rsid w:val="00B176D2"/>
    <w:rsid w:val="00B17C5B"/>
    <w:rsid w:val="00B20527"/>
    <w:rsid w:val="00B20E89"/>
    <w:rsid w:val="00B22088"/>
    <w:rsid w:val="00B233E8"/>
    <w:rsid w:val="00B251D8"/>
    <w:rsid w:val="00B2660F"/>
    <w:rsid w:val="00B27B53"/>
    <w:rsid w:val="00B3074D"/>
    <w:rsid w:val="00B3076E"/>
    <w:rsid w:val="00B34D6D"/>
    <w:rsid w:val="00B34DC4"/>
    <w:rsid w:val="00B34E75"/>
    <w:rsid w:val="00B37676"/>
    <w:rsid w:val="00B37876"/>
    <w:rsid w:val="00B40728"/>
    <w:rsid w:val="00B44BA3"/>
    <w:rsid w:val="00B4607F"/>
    <w:rsid w:val="00B47A30"/>
    <w:rsid w:val="00B502FB"/>
    <w:rsid w:val="00B50FC7"/>
    <w:rsid w:val="00B53204"/>
    <w:rsid w:val="00B53A95"/>
    <w:rsid w:val="00B544C0"/>
    <w:rsid w:val="00B54E33"/>
    <w:rsid w:val="00B5531F"/>
    <w:rsid w:val="00B56516"/>
    <w:rsid w:val="00B56D01"/>
    <w:rsid w:val="00B57B1B"/>
    <w:rsid w:val="00B60233"/>
    <w:rsid w:val="00B61026"/>
    <w:rsid w:val="00B6230B"/>
    <w:rsid w:val="00B625DC"/>
    <w:rsid w:val="00B62BA8"/>
    <w:rsid w:val="00B672F0"/>
    <w:rsid w:val="00B70370"/>
    <w:rsid w:val="00B7048A"/>
    <w:rsid w:val="00B719AC"/>
    <w:rsid w:val="00B726F7"/>
    <w:rsid w:val="00B72CEE"/>
    <w:rsid w:val="00B72DB2"/>
    <w:rsid w:val="00B733A0"/>
    <w:rsid w:val="00B75745"/>
    <w:rsid w:val="00B761D3"/>
    <w:rsid w:val="00B8113F"/>
    <w:rsid w:val="00B833CD"/>
    <w:rsid w:val="00B8399F"/>
    <w:rsid w:val="00B84773"/>
    <w:rsid w:val="00B8677B"/>
    <w:rsid w:val="00B86BAC"/>
    <w:rsid w:val="00B87D83"/>
    <w:rsid w:val="00B90BE3"/>
    <w:rsid w:val="00B927DA"/>
    <w:rsid w:val="00B92A24"/>
    <w:rsid w:val="00B92A6B"/>
    <w:rsid w:val="00B93069"/>
    <w:rsid w:val="00B94060"/>
    <w:rsid w:val="00B944D4"/>
    <w:rsid w:val="00B94F23"/>
    <w:rsid w:val="00B95E54"/>
    <w:rsid w:val="00B9614A"/>
    <w:rsid w:val="00B968CC"/>
    <w:rsid w:val="00BA0157"/>
    <w:rsid w:val="00BA0757"/>
    <w:rsid w:val="00BA076F"/>
    <w:rsid w:val="00BA08F7"/>
    <w:rsid w:val="00BA24A3"/>
    <w:rsid w:val="00BA27AA"/>
    <w:rsid w:val="00BA3911"/>
    <w:rsid w:val="00BA3C8A"/>
    <w:rsid w:val="00BA4902"/>
    <w:rsid w:val="00BA4E23"/>
    <w:rsid w:val="00BA6707"/>
    <w:rsid w:val="00BB0892"/>
    <w:rsid w:val="00BB1532"/>
    <w:rsid w:val="00BB1B4C"/>
    <w:rsid w:val="00BB25DD"/>
    <w:rsid w:val="00BB28A8"/>
    <w:rsid w:val="00BB319C"/>
    <w:rsid w:val="00BB342A"/>
    <w:rsid w:val="00BB5BBA"/>
    <w:rsid w:val="00BB785B"/>
    <w:rsid w:val="00BC02C9"/>
    <w:rsid w:val="00BC0656"/>
    <w:rsid w:val="00BC28CB"/>
    <w:rsid w:val="00BC49DE"/>
    <w:rsid w:val="00BC72F8"/>
    <w:rsid w:val="00BC733D"/>
    <w:rsid w:val="00BC7F58"/>
    <w:rsid w:val="00BD0E1C"/>
    <w:rsid w:val="00BD2C60"/>
    <w:rsid w:val="00BD565F"/>
    <w:rsid w:val="00BD5F15"/>
    <w:rsid w:val="00BD61A0"/>
    <w:rsid w:val="00BD6572"/>
    <w:rsid w:val="00BD756E"/>
    <w:rsid w:val="00BD7C03"/>
    <w:rsid w:val="00BD7C17"/>
    <w:rsid w:val="00BE0BF8"/>
    <w:rsid w:val="00BE167F"/>
    <w:rsid w:val="00BE2CF8"/>
    <w:rsid w:val="00BE3E6F"/>
    <w:rsid w:val="00BE4E26"/>
    <w:rsid w:val="00BE5B5B"/>
    <w:rsid w:val="00BE5F2E"/>
    <w:rsid w:val="00BE6989"/>
    <w:rsid w:val="00BE7D5B"/>
    <w:rsid w:val="00BF10C4"/>
    <w:rsid w:val="00BF18A6"/>
    <w:rsid w:val="00BF5389"/>
    <w:rsid w:val="00BF5B95"/>
    <w:rsid w:val="00BF6C09"/>
    <w:rsid w:val="00C0102A"/>
    <w:rsid w:val="00C02BED"/>
    <w:rsid w:val="00C02E72"/>
    <w:rsid w:val="00C03CDF"/>
    <w:rsid w:val="00C042EA"/>
    <w:rsid w:val="00C04BA8"/>
    <w:rsid w:val="00C05D6C"/>
    <w:rsid w:val="00C06596"/>
    <w:rsid w:val="00C06C11"/>
    <w:rsid w:val="00C06F26"/>
    <w:rsid w:val="00C1149C"/>
    <w:rsid w:val="00C1201D"/>
    <w:rsid w:val="00C14F0E"/>
    <w:rsid w:val="00C15CD9"/>
    <w:rsid w:val="00C16F11"/>
    <w:rsid w:val="00C20441"/>
    <w:rsid w:val="00C20611"/>
    <w:rsid w:val="00C207E5"/>
    <w:rsid w:val="00C214CA"/>
    <w:rsid w:val="00C22207"/>
    <w:rsid w:val="00C22251"/>
    <w:rsid w:val="00C2252D"/>
    <w:rsid w:val="00C23A83"/>
    <w:rsid w:val="00C24FF4"/>
    <w:rsid w:val="00C252FD"/>
    <w:rsid w:val="00C2555B"/>
    <w:rsid w:val="00C30A9F"/>
    <w:rsid w:val="00C310B1"/>
    <w:rsid w:val="00C31D31"/>
    <w:rsid w:val="00C35154"/>
    <w:rsid w:val="00C379EA"/>
    <w:rsid w:val="00C40C06"/>
    <w:rsid w:val="00C412E0"/>
    <w:rsid w:val="00C42E1E"/>
    <w:rsid w:val="00C42EB2"/>
    <w:rsid w:val="00C43658"/>
    <w:rsid w:val="00C43E07"/>
    <w:rsid w:val="00C4467D"/>
    <w:rsid w:val="00C527D7"/>
    <w:rsid w:val="00C54D13"/>
    <w:rsid w:val="00C564DC"/>
    <w:rsid w:val="00C6117A"/>
    <w:rsid w:val="00C6173F"/>
    <w:rsid w:val="00C62A0C"/>
    <w:rsid w:val="00C64A51"/>
    <w:rsid w:val="00C6544A"/>
    <w:rsid w:val="00C71332"/>
    <w:rsid w:val="00C716C0"/>
    <w:rsid w:val="00C7588D"/>
    <w:rsid w:val="00C75C71"/>
    <w:rsid w:val="00C777E8"/>
    <w:rsid w:val="00C77A3A"/>
    <w:rsid w:val="00C802BA"/>
    <w:rsid w:val="00C81556"/>
    <w:rsid w:val="00C8624E"/>
    <w:rsid w:val="00C86896"/>
    <w:rsid w:val="00C86CFA"/>
    <w:rsid w:val="00C87AFB"/>
    <w:rsid w:val="00C909FB"/>
    <w:rsid w:val="00C91E91"/>
    <w:rsid w:val="00C92617"/>
    <w:rsid w:val="00C92809"/>
    <w:rsid w:val="00C9381B"/>
    <w:rsid w:val="00C93CBB"/>
    <w:rsid w:val="00C943E9"/>
    <w:rsid w:val="00C94AAE"/>
    <w:rsid w:val="00C97E9C"/>
    <w:rsid w:val="00CA072D"/>
    <w:rsid w:val="00CA136E"/>
    <w:rsid w:val="00CA1406"/>
    <w:rsid w:val="00CA2850"/>
    <w:rsid w:val="00CA2FC4"/>
    <w:rsid w:val="00CA402A"/>
    <w:rsid w:val="00CA43AE"/>
    <w:rsid w:val="00CA5CFF"/>
    <w:rsid w:val="00CA787B"/>
    <w:rsid w:val="00CB0793"/>
    <w:rsid w:val="00CB0C60"/>
    <w:rsid w:val="00CB1187"/>
    <w:rsid w:val="00CB118D"/>
    <w:rsid w:val="00CB1BC4"/>
    <w:rsid w:val="00CB22E2"/>
    <w:rsid w:val="00CB28C6"/>
    <w:rsid w:val="00CB2B87"/>
    <w:rsid w:val="00CB4346"/>
    <w:rsid w:val="00CB491D"/>
    <w:rsid w:val="00CB4C83"/>
    <w:rsid w:val="00CB5699"/>
    <w:rsid w:val="00CB7194"/>
    <w:rsid w:val="00CB734A"/>
    <w:rsid w:val="00CC00E7"/>
    <w:rsid w:val="00CC03AF"/>
    <w:rsid w:val="00CC09F8"/>
    <w:rsid w:val="00CC109C"/>
    <w:rsid w:val="00CC25CD"/>
    <w:rsid w:val="00CC34E0"/>
    <w:rsid w:val="00CC4D12"/>
    <w:rsid w:val="00CC500A"/>
    <w:rsid w:val="00CC5C91"/>
    <w:rsid w:val="00CC5F0B"/>
    <w:rsid w:val="00CC6A4B"/>
    <w:rsid w:val="00CC735B"/>
    <w:rsid w:val="00CD29F4"/>
    <w:rsid w:val="00CD3FFC"/>
    <w:rsid w:val="00CD4D88"/>
    <w:rsid w:val="00CD508B"/>
    <w:rsid w:val="00CD57C9"/>
    <w:rsid w:val="00CD6DD8"/>
    <w:rsid w:val="00CD6F4D"/>
    <w:rsid w:val="00CD71A8"/>
    <w:rsid w:val="00CD73F5"/>
    <w:rsid w:val="00CE0392"/>
    <w:rsid w:val="00CE0DAF"/>
    <w:rsid w:val="00CE2922"/>
    <w:rsid w:val="00CE4E05"/>
    <w:rsid w:val="00CE63F5"/>
    <w:rsid w:val="00CE7075"/>
    <w:rsid w:val="00CF041E"/>
    <w:rsid w:val="00CF0D18"/>
    <w:rsid w:val="00CF156B"/>
    <w:rsid w:val="00CF25C4"/>
    <w:rsid w:val="00CF2CDB"/>
    <w:rsid w:val="00CF3E6A"/>
    <w:rsid w:val="00CF4890"/>
    <w:rsid w:val="00CF5558"/>
    <w:rsid w:val="00CF5B24"/>
    <w:rsid w:val="00CF6829"/>
    <w:rsid w:val="00D023B9"/>
    <w:rsid w:val="00D041DA"/>
    <w:rsid w:val="00D07690"/>
    <w:rsid w:val="00D07713"/>
    <w:rsid w:val="00D07C0E"/>
    <w:rsid w:val="00D13EED"/>
    <w:rsid w:val="00D13F93"/>
    <w:rsid w:val="00D145A6"/>
    <w:rsid w:val="00D14F1C"/>
    <w:rsid w:val="00D15945"/>
    <w:rsid w:val="00D17626"/>
    <w:rsid w:val="00D2231D"/>
    <w:rsid w:val="00D22455"/>
    <w:rsid w:val="00D266AF"/>
    <w:rsid w:val="00D26E64"/>
    <w:rsid w:val="00D26F28"/>
    <w:rsid w:val="00D2737A"/>
    <w:rsid w:val="00D318F6"/>
    <w:rsid w:val="00D3289A"/>
    <w:rsid w:val="00D33130"/>
    <w:rsid w:val="00D34515"/>
    <w:rsid w:val="00D34534"/>
    <w:rsid w:val="00D34FB8"/>
    <w:rsid w:val="00D35D1E"/>
    <w:rsid w:val="00D373D2"/>
    <w:rsid w:val="00D37EEF"/>
    <w:rsid w:val="00D37F05"/>
    <w:rsid w:val="00D4205D"/>
    <w:rsid w:val="00D43410"/>
    <w:rsid w:val="00D437EA"/>
    <w:rsid w:val="00D44274"/>
    <w:rsid w:val="00D4460F"/>
    <w:rsid w:val="00D44829"/>
    <w:rsid w:val="00D44886"/>
    <w:rsid w:val="00D452AD"/>
    <w:rsid w:val="00D465B3"/>
    <w:rsid w:val="00D46DCB"/>
    <w:rsid w:val="00D511FB"/>
    <w:rsid w:val="00D51F44"/>
    <w:rsid w:val="00D52B29"/>
    <w:rsid w:val="00D52BE6"/>
    <w:rsid w:val="00D53E29"/>
    <w:rsid w:val="00D55904"/>
    <w:rsid w:val="00D56E38"/>
    <w:rsid w:val="00D57146"/>
    <w:rsid w:val="00D5791B"/>
    <w:rsid w:val="00D57AD2"/>
    <w:rsid w:val="00D57D77"/>
    <w:rsid w:val="00D602E1"/>
    <w:rsid w:val="00D61B1D"/>
    <w:rsid w:val="00D62C24"/>
    <w:rsid w:val="00D640D3"/>
    <w:rsid w:val="00D657B9"/>
    <w:rsid w:val="00D65805"/>
    <w:rsid w:val="00D66EB4"/>
    <w:rsid w:val="00D70076"/>
    <w:rsid w:val="00D72AE4"/>
    <w:rsid w:val="00D735C6"/>
    <w:rsid w:val="00D73AD5"/>
    <w:rsid w:val="00D74C70"/>
    <w:rsid w:val="00D75520"/>
    <w:rsid w:val="00D762A8"/>
    <w:rsid w:val="00D76377"/>
    <w:rsid w:val="00D76D8E"/>
    <w:rsid w:val="00D77DBB"/>
    <w:rsid w:val="00D804CB"/>
    <w:rsid w:val="00D807B8"/>
    <w:rsid w:val="00D8192C"/>
    <w:rsid w:val="00D82B86"/>
    <w:rsid w:val="00D82B97"/>
    <w:rsid w:val="00D867EB"/>
    <w:rsid w:val="00D86E86"/>
    <w:rsid w:val="00D86EEB"/>
    <w:rsid w:val="00D90540"/>
    <w:rsid w:val="00D91DF0"/>
    <w:rsid w:val="00D9245C"/>
    <w:rsid w:val="00D93C77"/>
    <w:rsid w:val="00D945CE"/>
    <w:rsid w:val="00D977B7"/>
    <w:rsid w:val="00DA2DD4"/>
    <w:rsid w:val="00DA2E6B"/>
    <w:rsid w:val="00DA64C4"/>
    <w:rsid w:val="00DA6EE9"/>
    <w:rsid w:val="00DA7C1C"/>
    <w:rsid w:val="00DB2594"/>
    <w:rsid w:val="00DB29C0"/>
    <w:rsid w:val="00DB30FE"/>
    <w:rsid w:val="00DB3534"/>
    <w:rsid w:val="00DB35D8"/>
    <w:rsid w:val="00DB3EEB"/>
    <w:rsid w:val="00DB6B33"/>
    <w:rsid w:val="00DB6D3C"/>
    <w:rsid w:val="00DB7381"/>
    <w:rsid w:val="00DC1986"/>
    <w:rsid w:val="00DC40D7"/>
    <w:rsid w:val="00DC4745"/>
    <w:rsid w:val="00DC6586"/>
    <w:rsid w:val="00DC6AB0"/>
    <w:rsid w:val="00DC7C3D"/>
    <w:rsid w:val="00DD3723"/>
    <w:rsid w:val="00DD3F41"/>
    <w:rsid w:val="00DD4A99"/>
    <w:rsid w:val="00DD4E76"/>
    <w:rsid w:val="00DD53B4"/>
    <w:rsid w:val="00DD6409"/>
    <w:rsid w:val="00DD7B23"/>
    <w:rsid w:val="00DE4DA7"/>
    <w:rsid w:val="00DE5748"/>
    <w:rsid w:val="00DF0512"/>
    <w:rsid w:val="00DF1D6D"/>
    <w:rsid w:val="00DF2B71"/>
    <w:rsid w:val="00DF4DE4"/>
    <w:rsid w:val="00DF52F4"/>
    <w:rsid w:val="00DF7E74"/>
    <w:rsid w:val="00E01696"/>
    <w:rsid w:val="00E05492"/>
    <w:rsid w:val="00E056B6"/>
    <w:rsid w:val="00E0625F"/>
    <w:rsid w:val="00E111AE"/>
    <w:rsid w:val="00E128DF"/>
    <w:rsid w:val="00E131B3"/>
    <w:rsid w:val="00E14CC4"/>
    <w:rsid w:val="00E14FC6"/>
    <w:rsid w:val="00E15B7A"/>
    <w:rsid w:val="00E2084E"/>
    <w:rsid w:val="00E20BBC"/>
    <w:rsid w:val="00E23D72"/>
    <w:rsid w:val="00E24072"/>
    <w:rsid w:val="00E2437C"/>
    <w:rsid w:val="00E246A0"/>
    <w:rsid w:val="00E25119"/>
    <w:rsid w:val="00E25904"/>
    <w:rsid w:val="00E30609"/>
    <w:rsid w:val="00E307C6"/>
    <w:rsid w:val="00E30B89"/>
    <w:rsid w:val="00E32505"/>
    <w:rsid w:val="00E35829"/>
    <w:rsid w:val="00E35BDF"/>
    <w:rsid w:val="00E3773A"/>
    <w:rsid w:val="00E4033C"/>
    <w:rsid w:val="00E40E53"/>
    <w:rsid w:val="00E424C4"/>
    <w:rsid w:val="00E434D5"/>
    <w:rsid w:val="00E44363"/>
    <w:rsid w:val="00E44619"/>
    <w:rsid w:val="00E4532F"/>
    <w:rsid w:val="00E46C4E"/>
    <w:rsid w:val="00E46EB8"/>
    <w:rsid w:val="00E50086"/>
    <w:rsid w:val="00E502BE"/>
    <w:rsid w:val="00E5044D"/>
    <w:rsid w:val="00E5058C"/>
    <w:rsid w:val="00E519CE"/>
    <w:rsid w:val="00E535CD"/>
    <w:rsid w:val="00E566D4"/>
    <w:rsid w:val="00E62ED4"/>
    <w:rsid w:val="00E631B0"/>
    <w:rsid w:val="00E63BFB"/>
    <w:rsid w:val="00E648AA"/>
    <w:rsid w:val="00E6559B"/>
    <w:rsid w:val="00E65E20"/>
    <w:rsid w:val="00E7087B"/>
    <w:rsid w:val="00E708DD"/>
    <w:rsid w:val="00E70DBE"/>
    <w:rsid w:val="00E70F1D"/>
    <w:rsid w:val="00E719B5"/>
    <w:rsid w:val="00E72856"/>
    <w:rsid w:val="00E75E78"/>
    <w:rsid w:val="00E76A2B"/>
    <w:rsid w:val="00E76BDA"/>
    <w:rsid w:val="00E774B9"/>
    <w:rsid w:val="00E806CD"/>
    <w:rsid w:val="00E81E11"/>
    <w:rsid w:val="00E82327"/>
    <w:rsid w:val="00E8256B"/>
    <w:rsid w:val="00E82D28"/>
    <w:rsid w:val="00E836C4"/>
    <w:rsid w:val="00E83F15"/>
    <w:rsid w:val="00E85BDB"/>
    <w:rsid w:val="00E86A13"/>
    <w:rsid w:val="00E87843"/>
    <w:rsid w:val="00E9034B"/>
    <w:rsid w:val="00E907FC"/>
    <w:rsid w:val="00E91505"/>
    <w:rsid w:val="00E95662"/>
    <w:rsid w:val="00E95DF7"/>
    <w:rsid w:val="00E96022"/>
    <w:rsid w:val="00E960F3"/>
    <w:rsid w:val="00E9625B"/>
    <w:rsid w:val="00E96616"/>
    <w:rsid w:val="00E96881"/>
    <w:rsid w:val="00E97D10"/>
    <w:rsid w:val="00EA03F6"/>
    <w:rsid w:val="00EA0C46"/>
    <w:rsid w:val="00EA12E1"/>
    <w:rsid w:val="00EA27A6"/>
    <w:rsid w:val="00EA390B"/>
    <w:rsid w:val="00EA4D0E"/>
    <w:rsid w:val="00EA5EBD"/>
    <w:rsid w:val="00EA62A2"/>
    <w:rsid w:val="00EA6688"/>
    <w:rsid w:val="00EA6D27"/>
    <w:rsid w:val="00EB0457"/>
    <w:rsid w:val="00EB0760"/>
    <w:rsid w:val="00EB09FB"/>
    <w:rsid w:val="00EB2A34"/>
    <w:rsid w:val="00EB3935"/>
    <w:rsid w:val="00EB6AA7"/>
    <w:rsid w:val="00EB6DAD"/>
    <w:rsid w:val="00EB70DE"/>
    <w:rsid w:val="00EB7C4D"/>
    <w:rsid w:val="00EC048C"/>
    <w:rsid w:val="00EC0FCE"/>
    <w:rsid w:val="00EC1B63"/>
    <w:rsid w:val="00EC29D5"/>
    <w:rsid w:val="00EC30E3"/>
    <w:rsid w:val="00EC4D35"/>
    <w:rsid w:val="00EC4E1E"/>
    <w:rsid w:val="00EC5914"/>
    <w:rsid w:val="00EC5C76"/>
    <w:rsid w:val="00EC7A8D"/>
    <w:rsid w:val="00EC7AF4"/>
    <w:rsid w:val="00ED02A3"/>
    <w:rsid w:val="00ED07D6"/>
    <w:rsid w:val="00ED23F8"/>
    <w:rsid w:val="00ED552A"/>
    <w:rsid w:val="00ED5933"/>
    <w:rsid w:val="00EE10E7"/>
    <w:rsid w:val="00EE19B3"/>
    <w:rsid w:val="00EE1BCF"/>
    <w:rsid w:val="00EE2A0F"/>
    <w:rsid w:val="00EE4505"/>
    <w:rsid w:val="00EE54DF"/>
    <w:rsid w:val="00EF28E6"/>
    <w:rsid w:val="00EF43D1"/>
    <w:rsid w:val="00EF4468"/>
    <w:rsid w:val="00EF4FC7"/>
    <w:rsid w:val="00EF5A2E"/>
    <w:rsid w:val="00EF5D9A"/>
    <w:rsid w:val="00EF63B8"/>
    <w:rsid w:val="00F00418"/>
    <w:rsid w:val="00F04326"/>
    <w:rsid w:val="00F05B29"/>
    <w:rsid w:val="00F06C92"/>
    <w:rsid w:val="00F07179"/>
    <w:rsid w:val="00F100F4"/>
    <w:rsid w:val="00F10378"/>
    <w:rsid w:val="00F11443"/>
    <w:rsid w:val="00F12CAD"/>
    <w:rsid w:val="00F12F28"/>
    <w:rsid w:val="00F13544"/>
    <w:rsid w:val="00F14483"/>
    <w:rsid w:val="00F149FD"/>
    <w:rsid w:val="00F150D6"/>
    <w:rsid w:val="00F15186"/>
    <w:rsid w:val="00F155E8"/>
    <w:rsid w:val="00F162EE"/>
    <w:rsid w:val="00F16B1B"/>
    <w:rsid w:val="00F16F86"/>
    <w:rsid w:val="00F17141"/>
    <w:rsid w:val="00F17A13"/>
    <w:rsid w:val="00F2082B"/>
    <w:rsid w:val="00F223A1"/>
    <w:rsid w:val="00F23134"/>
    <w:rsid w:val="00F23B63"/>
    <w:rsid w:val="00F26962"/>
    <w:rsid w:val="00F27AA8"/>
    <w:rsid w:val="00F27F78"/>
    <w:rsid w:val="00F3271A"/>
    <w:rsid w:val="00F36E59"/>
    <w:rsid w:val="00F37871"/>
    <w:rsid w:val="00F40543"/>
    <w:rsid w:val="00F4159A"/>
    <w:rsid w:val="00F41671"/>
    <w:rsid w:val="00F42695"/>
    <w:rsid w:val="00F42B1D"/>
    <w:rsid w:val="00F42DD0"/>
    <w:rsid w:val="00F434D8"/>
    <w:rsid w:val="00F43595"/>
    <w:rsid w:val="00F438A8"/>
    <w:rsid w:val="00F43EB6"/>
    <w:rsid w:val="00F4413D"/>
    <w:rsid w:val="00F446AC"/>
    <w:rsid w:val="00F52B8F"/>
    <w:rsid w:val="00F52CCF"/>
    <w:rsid w:val="00F52D0C"/>
    <w:rsid w:val="00F5316A"/>
    <w:rsid w:val="00F53338"/>
    <w:rsid w:val="00F54417"/>
    <w:rsid w:val="00F54C74"/>
    <w:rsid w:val="00F55EF5"/>
    <w:rsid w:val="00F56DA1"/>
    <w:rsid w:val="00F57A35"/>
    <w:rsid w:val="00F6078C"/>
    <w:rsid w:val="00F61FCB"/>
    <w:rsid w:val="00F628DC"/>
    <w:rsid w:val="00F630A5"/>
    <w:rsid w:val="00F6477A"/>
    <w:rsid w:val="00F6609F"/>
    <w:rsid w:val="00F66400"/>
    <w:rsid w:val="00F664D9"/>
    <w:rsid w:val="00F669D0"/>
    <w:rsid w:val="00F66A89"/>
    <w:rsid w:val="00F679AA"/>
    <w:rsid w:val="00F67B5C"/>
    <w:rsid w:val="00F70815"/>
    <w:rsid w:val="00F70BD8"/>
    <w:rsid w:val="00F72D09"/>
    <w:rsid w:val="00F73728"/>
    <w:rsid w:val="00F75C77"/>
    <w:rsid w:val="00F75EF3"/>
    <w:rsid w:val="00F75F98"/>
    <w:rsid w:val="00F77884"/>
    <w:rsid w:val="00F80371"/>
    <w:rsid w:val="00F81A0B"/>
    <w:rsid w:val="00F822CD"/>
    <w:rsid w:val="00F83AFD"/>
    <w:rsid w:val="00F853C9"/>
    <w:rsid w:val="00F85749"/>
    <w:rsid w:val="00F86312"/>
    <w:rsid w:val="00F86A40"/>
    <w:rsid w:val="00F87E16"/>
    <w:rsid w:val="00F90D09"/>
    <w:rsid w:val="00F91EAE"/>
    <w:rsid w:val="00F928F0"/>
    <w:rsid w:val="00F9650A"/>
    <w:rsid w:val="00F9732B"/>
    <w:rsid w:val="00F97B52"/>
    <w:rsid w:val="00FA0F0D"/>
    <w:rsid w:val="00FA20CE"/>
    <w:rsid w:val="00FA34EF"/>
    <w:rsid w:val="00FA356D"/>
    <w:rsid w:val="00FA46E4"/>
    <w:rsid w:val="00FA481C"/>
    <w:rsid w:val="00FA6447"/>
    <w:rsid w:val="00FA6A7C"/>
    <w:rsid w:val="00FB174C"/>
    <w:rsid w:val="00FB1DA9"/>
    <w:rsid w:val="00FB3631"/>
    <w:rsid w:val="00FC0B67"/>
    <w:rsid w:val="00FC0F8F"/>
    <w:rsid w:val="00FC1C77"/>
    <w:rsid w:val="00FC3019"/>
    <w:rsid w:val="00FC3F4E"/>
    <w:rsid w:val="00FC4FAD"/>
    <w:rsid w:val="00FC737F"/>
    <w:rsid w:val="00FD09CF"/>
    <w:rsid w:val="00FD178C"/>
    <w:rsid w:val="00FD19B3"/>
    <w:rsid w:val="00FD21B8"/>
    <w:rsid w:val="00FD38F5"/>
    <w:rsid w:val="00FD427A"/>
    <w:rsid w:val="00FD5DC9"/>
    <w:rsid w:val="00FD5FD4"/>
    <w:rsid w:val="00FE0E0F"/>
    <w:rsid w:val="00FE1BD7"/>
    <w:rsid w:val="00FE4D93"/>
    <w:rsid w:val="00FE4FE6"/>
    <w:rsid w:val="00FE55AC"/>
    <w:rsid w:val="00FE5741"/>
    <w:rsid w:val="00FE6A21"/>
    <w:rsid w:val="00FF2989"/>
    <w:rsid w:val="00FF3053"/>
    <w:rsid w:val="00FF53B0"/>
    <w:rsid w:val="00FF5D2F"/>
    <w:rsid w:val="00FF6566"/>
    <w:rsid w:val="00FF65EF"/>
    <w:rsid w:val="00FF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088FCE"/>
  <w15:docId w15:val="{410D51CF-263C-4E69-8FF6-FC9F2A11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8BA"/>
    <w:pPr>
      <w:tabs>
        <w:tab w:val="left" w:pos="360"/>
      </w:tabs>
      <w:spacing w:before="120"/>
      <w:jc w:val="both"/>
    </w:pPr>
    <w:rPr>
      <w:sz w:val="22"/>
      <w:szCs w:val="22"/>
    </w:rPr>
  </w:style>
  <w:style w:type="paragraph" w:styleId="Heading1">
    <w:name w:val="heading 1"/>
    <w:basedOn w:val="Normal"/>
    <w:next w:val="Normal"/>
    <w:link w:val="Heading1Char"/>
    <w:qFormat/>
    <w:rsid w:val="000F6D01"/>
    <w:pPr>
      <w:keepNext/>
      <w:keepLines/>
      <w:numPr>
        <w:numId w:val="1"/>
      </w:numPr>
      <w:spacing w:before="100" w:beforeAutospacing="1" w:after="240"/>
      <w:jc w:val="left"/>
      <w:outlineLvl w:val="0"/>
    </w:pPr>
    <w:rPr>
      <w:rFonts w:ascii="Arial Black" w:eastAsiaTheme="majorEastAsia" w:hAnsi="Arial Black" w:cstheme="majorBidi"/>
      <w:b/>
      <w:bCs/>
      <w:sz w:val="28"/>
      <w:szCs w:val="28"/>
    </w:rPr>
  </w:style>
  <w:style w:type="paragraph" w:styleId="Heading2">
    <w:name w:val="heading 2"/>
    <w:basedOn w:val="Normal"/>
    <w:next w:val="Normal"/>
    <w:link w:val="Heading2Char"/>
    <w:unhideWhenUsed/>
    <w:qFormat/>
    <w:rsid w:val="001D1D1E"/>
    <w:pPr>
      <w:keepNext/>
      <w:keepLines/>
      <w:numPr>
        <w:ilvl w:val="1"/>
        <w:numId w:val="1"/>
      </w:numPr>
      <w:spacing w:before="100" w:beforeAutospacing="1"/>
      <w:jc w:val="left"/>
      <w:outlineLvl w:val="1"/>
    </w:pPr>
    <w:rPr>
      <w:rFonts w:ascii="Arial Black" w:eastAsiaTheme="majorEastAsia" w:hAnsi="Arial Black" w:cstheme="majorBidi"/>
      <w:b/>
      <w:bCs/>
      <w:sz w:val="24"/>
      <w:szCs w:val="24"/>
    </w:rPr>
  </w:style>
  <w:style w:type="paragraph" w:styleId="Heading3">
    <w:name w:val="heading 3"/>
    <w:basedOn w:val="Heading2"/>
    <w:next w:val="Normal"/>
    <w:link w:val="Heading3Char"/>
    <w:unhideWhenUsed/>
    <w:qFormat/>
    <w:rsid w:val="001D1D1E"/>
    <w:pPr>
      <w:numPr>
        <w:ilvl w:val="2"/>
      </w:numPr>
      <w:outlineLvl w:val="2"/>
    </w:pPr>
    <w:rPr>
      <w:rFonts w:eastAsia="Times New Roman"/>
      <w:sz w:val="22"/>
    </w:rPr>
  </w:style>
  <w:style w:type="paragraph" w:styleId="Heading4">
    <w:name w:val="heading 4"/>
    <w:basedOn w:val="Heading3"/>
    <w:next w:val="Normal"/>
    <w:link w:val="Heading4Char"/>
    <w:qFormat/>
    <w:rsid w:val="00BA27AA"/>
    <w:pPr>
      <w:numPr>
        <w:ilvl w:val="3"/>
      </w:numPr>
      <w:outlineLvl w:val="3"/>
    </w:pPr>
  </w:style>
  <w:style w:type="paragraph" w:styleId="Heading5">
    <w:name w:val="heading 5"/>
    <w:basedOn w:val="Normal"/>
    <w:next w:val="Normal"/>
    <w:link w:val="Heading5Char"/>
    <w:unhideWhenUsed/>
    <w:qFormat/>
    <w:rsid w:val="00DE4DA7"/>
    <w:pPr>
      <w:keepNext/>
      <w:keepLines/>
      <w:numPr>
        <w:ilvl w:val="4"/>
        <w:numId w:val="1"/>
      </w:numPr>
      <w:spacing w:before="240" w:after="240"/>
      <w:outlineLvl w:val="4"/>
    </w:pPr>
    <w:rPr>
      <w:rFonts w:ascii="Arial Black" w:eastAsia="Times New Roman" w:hAnsi="Arial Black"/>
      <w:color w:val="000000"/>
    </w:rPr>
  </w:style>
  <w:style w:type="paragraph" w:styleId="Heading6">
    <w:name w:val="heading 6"/>
    <w:basedOn w:val="Normal"/>
    <w:next w:val="Normal"/>
    <w:link w:val="Heading6Char"/>
    <w:uiPriority w:val="9"/>
    <w:semiHidden/>
    <w:unhideWhenUsed/>
    <w:qFormat/>
    <w:rsid w:val="0027512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4E1964"/>
    <w:pPr>
      <w:keepNext/>
      <w:numPr>
        <w:ilvl w:val="6"/>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6"/>
    </w:pPr>
    <w:rPr>
      <w:rFonts w:ascii="Times New Roman" w:eastAsia="Times New Roman" w:hAnsi="Times New Roman"/>
      <w:b/>
      <w:sz w:val="28"/>
      <w:szCs w:val="20"/>
    </w:rPr>
  </w:style>
  <w:style w:type="paragraph" w:styleId="Heading8">
    <w:name w:val="heading 8"/>
    <w:basedOn w:val="Normal"/>
    <w:next w:val="Normal"/>
    <w:link w:val="Heading8Char"/>
    <w:unhideWhenUsed/>
    <w:qFormat/>
    <w:rsid w:val="004E196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7512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D01"/>
    <w:rPr>
      <w:rFonts w:ascii="Arial Black" w:eastAsiaTheme="majorEastAsia" w:hAnsi="Arial Black" w:cstheme="majorBidi"/>
      <w:b/>
      <w:bCs/>
      <w:sz w:val="28"/>
      <w:szCs w:val="28"/>
    </w:rPr>
  </w:style>
  <w:style w:type="character" w:customStyle="1" w:styleId="Heading2Char">
    <w:name w:val="Heading 2 Char"/>
    <w:basedOn w:val="DefaultParagraphFont"/>
    <w:link w:val="Heading2"/>
    <w:rsid w:val="001D1D1E"/>
    <w:rPr>
      <w:rFonts w:ascii="Arial Black" w:eastAsiaTheme="majorEastAsia" w:hAnsi="Arial Black" w:cstheme="majorBidi"/>
      <w:b/>
      <w:bCs/>
      <w:sz w:val="24"/>
      <w:szCs w:val="24"/>
    </w:rPr>
  </w:style>
  <w:style w:type="character" w:customStyle="1" w:styleId="Heading3Char">
    <w:name w:val="Heading 3 Char"/>
    <w:basedOn w:val="DefaultParagraphFont"/>
    <w:link w:val="Heading3"/>
    <w:rsid w:val="001D1D1E"/>
    <w:rPr>
      <w:rFonts w:ascii="Arial Black" w:eastAsia="Times New Roman" w:hAnsi="Arial Black" w:cstheme="majorBidi"/>
      <w:b/>
      <w:bCs/>
      <w:sz w:val="22"/>
      <w:szCs w:val="24"/>
    </w:rPr>
  </w:style>
  <w:style w:type="character" w:customStyle="1" w:styleId="Heading4Char">
    <w:name w:val="Heading 4 Char"/>
    <w:basedOn w:val="DefaultParagraphFont"/>
    <w:link w:val="Heading4"/>
    <w:rsid w:val="00BA27AA"/>
    <w:rPr>
      <w:rFonts w:ascii="Arial Black" w:eastAsia="Times New Roman" w:hAnsi="Arial Black" w:cstheme="majorBidi"/>
      <w:b/>
      <w:bCs/>
      <w:sz w:val="22"/>
      <w:szCs w:val="24"/>
    </w:rPr>
  </w:style>
  <w:style w:type="character" w:customStyle="1" w:styleId="Heading5Char">
    <w:name w:val="Heading 5 Char"/>
    <w:basedOn w:val="DefaultParagraphFont"/>
    <w:link w:val="Heading5"/>
    <w:rsid w:val="00DE4DA7"/>
    <w:rPr>
      <w:rFonts w:ascii="Arial Black" w:eastAsia="Times New Roman" w:hAnsi="Arial Black"/>
      <w:color w:val="000000"/>
      <w:sz w:val="22"/>
      <w:szCs w:val="22"/>
    </w:rPr>
  </w:style>
  <w:style w:type="character" w:customStyle="1" w:styleId="Heading7Char">
    <w:name w:val="Heading 7 Char"/>
    <w:basedOn w:val="DefaultParagraphFont"/>
    <w:link w:val="Heading7"/>
    <w:rsid w:val="004E1964"/>
    <w:rPr>
      <w:rFonts w:ascii="Times New Roman" w:eastAsia="Times New Roman" w:hAnsi="Times New Roman"/>
      <w:b/>
      <w:sz w:val="28"/>
    </w:rPr>
  </w:style>
  <w:style w:type="character" w:customStyle="1" w:styleId="Heading8Char">
    <w:name w:val="Heading 8 Char"/>
    <w:basedOn w:val="DefaultParagraphFont"/>
    <w:link w:val="Heading8"/>
    <w:rsid w:val="004E1964"/>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0875AD"/>
    <w:pPr>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0875AD"/>
    <w:rPr>
      <w:rFonts w:ascii="Times New Roman" w:eastAsia="Times New Roman" w:hAnsi="Times New Roman" w:cs="Times New Roman"/>
      <w:sz w:val="24"/>
      <w:szCs w:val="20"/>
    </w:rPr>
  </w:style>
  <w:style w:type="paragraph" w:styleId="BodyText">
    <w:name w:val="Body Text"/>
    <w:basedOn w:val="Normal"/>
    <w:link w:val="BodyTextChar"/>
    <w:rsid w:val="000875AD"/>
    <w:rPr>
      <w:rFonts w:ascii="Times New Roman" w:eastAsia="Times New Roman" w:hAnsi="Times New Roman"/>
      <w:sz w:val="24"/>
      <w:szCs w:val="20"/>
    </w:rPr>
  </w:style>
  <w:style w:type="character" w:customStyle="1" w:styleId="BodyTextChar">
    <w:name w:val="Body Text Char"/>
    <w:basedOn w:val="DefaultParagraphFont"/>
    <w:link w:val="BodyText"/>
    <w:rsid w:val="000875AD"/>
    <w:rPr>
      <w:rFonts w:ascii="Times New Roman" w:eastAsia="Times New Roman" w:hAnsi="Times New Roman" w:cs="Times New Roman"/>
      <w:sz w:val="24"/>
      <w:szCs w:val="20"/>
    </w:rPr>
  </w:style>
  <w:style w:type="paragraph" w:styleId="ListParagraph">
    <w:name w:val="List Paragraph"/>
    <w:basedOn w:val="Normal"/>
    <w:uiPriority w:val="34"/>
    <w:qFormat/>
    <w:rsid w:val="000875AD"/>
    <w:pPr>
      <w:ind w:left="720"/>
      <w:contextualSpacing/>
    </w:pPr>
  </w:style>
  <w:style w:type="paragraph" w:styleId="z-TopofForm">
    <w:name w:val="HTML Top of Form"/>
    <w:basedOn w:val="Normal"/>
    <w:link w:val="z-TopofFormChar"/>
    <w:rsid w:val="003806C8"/>
    <w:rPr>
      <w:rFonts w:ascii="Times New Roman" w:eastAsia="Times New Roman" w:hAnsi="Times New Roman"/>
      <w:sz w:val="24"/>
      <w:szCs w:val="20"/>
    </w:rPr>
  </w:style>
  <w:style w:type="character" w:customStyle="1" w:styleId="z-TopofFormChar">
    <w:name w:val="z-Top of Form Char"/>
    <w:basedOn w:val="DefaultParagraphFont"/>
    <w:link w:val="z-TopofForm"/>
    <w:rsid w:val="003806C8"/>
    <w:rPr>
      <w:rFonts w:ascii="Times New Roman" w:eastAsia="Times New Roman" w:hAnsi="Times New Roman" w:cs="Times New Roman"/>
      <w:sz w:val="24"/>
      <w:szCs w:val="20"/>
    </w:rPr>
  </w:style>
  <w:style w:type="character" w:styleId="Hyperlink">
    <w:name w:val="Hyperlink"/>
    <w:basedOn w:val="DefaultParagraphFont"/>
    <w:uiPriority w:val="99"/>
    <w:rsid w:val="003806C8"/>
    <w:rPr>
      <w:color w:val="0000FF"/>
      <w:u w:val="single"/>
    </w:rPr>
  </w:style>
  <w:style w:type="paragraph" w:styleId="z-BottomofForm">
    <w:name w:val="HTML Bottom of Form"/>
    <w:basedOn w:val="Normal"/>
    <w:link w:val="z-BottomofFormChar"/>
    <w:rsid w:val="00A95FE0"/>
    <w:pPr>
      <w:jc w:val="center"/>
    </w:pPr>
    <w:rPr>
      <w:rFonts w:ascii="Times New Roman" w:eastAsia="Times New Roman" w:hAnsi="Times New Roman"/>
      <w:b/>
      <w:sz w:val="20"/>
      <w:szCs w:val="20"/>
    </w:rPr>
  </w:style>
  <w:style w:type="character" w:customStyle="1" w:styleId="z-BottomofFormChar">
    <w:name w:val="z-Bottom of Form Char"/>
    <w:basedOn w:val="DefaultParagraphFont"/>
    <w:link w:val="z-BottomofForm"/>
    <w:rsid w:val="00A95FE0"/>
    <w:rPr>
      <w:rFonts w:ascii="Times New Roman" w:eastAsia="Times New Roman" w:hAnsi="Times New Roman" w:cs="Times New Roman"/>
      <w:b/>
      <w:sz w:val="20"/>
      <w:szCs w:val="20"/>
    </w:rPr>
  </w:style>
  <w:style w:type="paragraph" w:styleId="Caption">
    <w:name w:val="caption"/>
    <w:basedOn w:val="Normal"/>
    <w:next w:val="Normal"/>
    <w:qFormat/>
    <w:rsid w:val="00A95FE0"/>
    <w:pPr>
      <w:tabs>
        <w:tab w:val="left" w:pos="144"/>
        <w:tab w:val="left" w:pos="1440"/>
        <w:tab w:val="left" w:pos="2304"/>
        <w:tab w:val="left" w:pos="3744"/>
        <w:tab w:val="left" w:pos="5904"/>
        <w:tab w:val="left" w:pos="7056"/>
        <w:tab w:val="left" w:pos="8640"/>
      </w:tabs>
    </w:pPr>
    <w:rPr>
      <w:rFonts w:ascii="Times New Roman" w:eastAsia="Times New Roman" w:hAnsi="Times New Roman"/>
      <w:b/>
      <w:sz w:val="24"/>
      <w:szCs w:val="20"/>
    </w:rPr>
  </w:style>
  <w:style w:type="paragraph" w:styleId="Header">
    <w:name w:val="header"/>
    <w:basedOn w:val="Normal"/>
    <w:link w:val="HeaderChar"/>
    <w:uiPriority w:val="99"/>
    <w:unhideWhenUsed/>
    <w:rsid w:val="00B34E75"/>
    <w:pPr>
      <w:tabs>
        <w:tab w:val="center" w:pos="4680"/>
        <w:tab w:val="right" w:pos="9360"/>
      </w:tabs>
    </w:pPr>
  </w:style>
  <w:style w:type="character" w:customStyle="1" w:styleId="HeaderChar">
    <w:name w:val="Header Char"/>
    <w:basedOn w:val="DefaultParagraphFont"/>
    <w:link w:val="Header"/>
    <w:uiPriority w:val="99"/>
    <w:rsid w:val="00B34E75"/>
  </w:style>
  <w:style w:type="paragraph" w:styleId="Footer">
    <w:name w:val="footer"/>
    <w:basedOn w:val="Normal"/>
    <w:link w:val="FooterChar"/>
    <w:uiPriority w:val="99"/>
    <w:unhideWhenUsed/>
    <w:rsid w:val="00B34E75"/>
    <w:pPr>
      <w:tabs>
        <w:tab w:val="center" w:pos="4680"/>
        <w:tab w:val="right" w:pos="9360"/>
      </w:tabs>
    </w:pPr>
  </w:style>
  <w:style w:type="character" w:customStyle="1" w:styleId="FooterChar">
    <w:name w:val="Footer Char"/>
    <w:basedOn w:val="DefaultParagraphFont"/>
    <w:link w:val="Footer"/>
    <w:uiPriority w:val="99"/>
    <w:rsid w:val="00B34E75"/>
  </w:style>
  <w:style w:type="table" w:styleId="TableGrid">
    <w:name w:val="Table Grid"/>
    <w:basedOn w:val="TableNormal"/>
    <w:uiPriority w:val="59"/>
    <w:rsid w:val="0063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25D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44BA3"/>
    <w:rPr>
      <w:rFonts w:ascii="Tahoma" w:hAnsi="Tahoma" w:cs="Tahoma"/>
      <w:sz w:val="16"/>
      <w:szCs w:val="16"/>
    </w:rPr>
  </w:style>
  <w:style w:type="character" w:customStyle="1" w:styleId="BalloonTextChar">
    <w:name w:val="Balloon Text Char"/>
    <w:basedOn w:val="DefaultParagraphFont"/>
    <w:link w:val="BalloonText"/>
    <w:uiPriority w:val="99"/>
    <w:semiHidden/>
    <w:rsid w:val="00B44BA3"/>
    <w:rPr>
      <w:rFonts w:ascii="Tahoma" w:hAnsi="Tahoma" w:cs="Tahoma"/>
      <w:sz w:val="16"/>
      <w:szCs w:val="16"/>
    </w:rPr>
  </w:style>
  <w:style w:type="paragraph" w:styleId="FootnoteText">
    <w:name w:val="footnote text"/>
    <w:basedOn w:val="Normal"/>
    <w:link w:val="FootnoteTextChar"/>
    <w:rsid w:val="00403C47"/>
    <w:pPr>
      <w:spacing w:after="12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403C47"/>
    <w:rPr>
      <w:rFonts w:ascii="Times New Roman" w:eastAsia="Times New Roman" w:hAnsi="Times New Roman" w:cs="Times New Roman"/>
      <w:sz w:val="20"/>
      <w:szCs w:val="20"/>
    </w:rPr>
  </w:style>
  <w:style w:type="character" w:styleId="FootnoteReference">
    <w:name w:val="footnote reference"/>
    <w:basedOn w:val="DefaultParagraphFont"/>
    <w:semiHidden/>
    <w:rsid w:val="0045011F"/>
    <w:rPr>
      <w:vertAlign w:val="superscript"/>
    </w:rPr>
  </w:style>
  <w:style w:type="character" w:styleId="CommentReference">
    <w:name w:val="annotation reference"/>
    <w:basedOn w:val="DefaultParagraphFont"/>
    <w:uiPriority w:val="99"/>
    <w:semiHidden/>
    <w:unhideWhenUsed/>
    <w:rsid w:val="0045011F"/>
    <w:rPr>
      <w:sz w:val="16"/>
      <w:szCs w:val="16"/>
    </w:rPr>
  </w:style>
  <w:style w:type="paragraph" w:styleId="CommentText">
    <w:name w:val="annotation text"/>
    <w:basedOn w:val="Normal"/>
    <w:link w:val="CommentTextChar"/>
    <w:uiPriority w:val="99"/>
    <w:unhideWhenUsed/>
    <w:rsid w:val="0045011F"/>
    <w:rPr>
      <w:sz w:val="20"/>
      <w:szCs w:val="20"/>
    </w:rPr>
  </w:style>
  <w:style w:type="character" w:customStyle="1" w:styleId="CommentTextChar">
    <w:name w:val="Comment Text Char"/>
    <w:basedOn w:val="DefaultParagraphFont"/>
    <w:link w:val="CommentText"/>
    <w:uiPriority w:val="99"/>
    <w:rsid w:val="0045011F"/>
    <w:rPr>
      <w:sz w:val="20"/>
      <w:szCs w:val="20"/>
    </w:rPr>
  </w:style>
  <w:style w:type="paragraph" w:styleId="CommentSubject">
    <w:name w:val="annotation subject"/>
    <w:basedOn w:val="CommentText"/>
    <w:next w:val="CommentText"/>
    <w:link w:val="CommentSubjectChar"/>
    <w:uiPriority w:val="99"/>
    <w:semiHidden/>
    <w:unhideWhenUsed/>
    <w:rsid w:val="0045011F"/>
    <w:rPr>
      <w:b/>
      <w:bCs/>
    </w:rPr>
  </w:style>
  <w:style w:type="character" w:customStyle="1" w:styleId="CommentSubjectChar">
    <w:name w:val="Comment Subject Char"/>
    <w:basedOn w:val="CommentTextChar"/>
    <w:link w:val="CommentSubject"/>
    <w:uiPriority w:val="99"/>
    <w:semiHidden/>
    <w:rsid w:val="0045011F"/>
    <w:rPr>
      <w:b/>
      <w:bCs/>
      <w:sz w:val="20"/>
      <w:szCs w:val="20"/>
    </w:rPr>
  </w:style>
  <w:style w:type="paragraph" w:styleId="BodyText3">
    <w:name w:val="Body Text 3"/>
    <w:basedOn w:val="Normal"/>
    <w:link w:val="BodyText3Char"/>
    <w:unhideWhenUsed/>
    <w:rsid w:val="00E25119"/>
    <w:pPr>
      <w:spacing w:after="120"/>
    </w:pPr>
    <w:rPr>
      <w:sz w:val="16"/>
      <w:szCs w:val="16"/>
    </w:rPr>
  </w:style>
  <w:style w:type="character" w:customStyle="1" w:styleId="BodyText3Char">
    <w:name w:val="Body Text 3 Char"/>
    <w:basedOn w:val="DefaultParagraphFont"/>
    <w:link w:val="BodyText3"/>
    <w:uiPriority w:val="99"/>
    <w:rsid w:val="00E25119"/>
    <w:rPr>
      <w:sz w:val="16"/>
      <w:szCs w:val="16"/>
    </w:rPr>
  </w:style>
  <w:style w:type="paragraph" w:customStyle="1" w:styleId="Technical5">
    <w:name w:val="Technical[5]"/>
    <w:basedOn w:val="Normal"/>
    <w:rsid w:val="00E25119"/>
    <w:rPr>
      <w:rFonts w:ascii="Times New Roman" w:eastAsia="Times New Roman" w:hAnsi="Times New Roman"/>
      <w:b/>
      <w:sz w:val="20"/>
      <w:szCs w:val="20"/>
    </w:rPr>
  </w:style>
  <w:style w:type="paragraph" w:customStyle="1" w:styleId="DocInit">
    <w:name w:val="Doc Init"/>
    <w:basedOn w:val="Normal"/>
    <w:rsid w:val="00E25119"/>
    <w:rPr>
      <w:rFonts w:ascii="Times New Roman" w:eastAsia="Times New Roman" w:hAnsi="Times New Roman"/>
      <w:sz w:val="20"/>
      <w:szCs w:val="20"/>
    </w:rPr>
  </w:style>
  <w:style w:type="paragraph" w:styleId="BodyTextIndent3">
    <w:name w:val="Body Text Indent 3"/>
    <w:basedOn w:val="Normal"/>
    <w:link w:val="BodyTextIndent3Char"/>
    <w:unhideWhenUsed/>
    <w:rsid w:val="00AC5115"/>
    <w:pPr>
      <w:spacing w:after="120"/>
      <w:ind w:left="360"/>
    </w:pPr>
    <w:rPr>
      <w:sz w:val="16"/>
      <w:szCs w:val="16"/>
    </w:rPr>
  </w:style>
  <w:style w:type="character" w:customStyle="1" w:styleId="BodyTextIndent3Char">
    <w:name w:val="Body Text Indent 3 Char"/>
    <w:basedOn w:val="DefaultParagraphFont"/>
    <w:link w:val="BodyTextIndent3"/>
    <w:uiPriority w:val="99"/>
    <w:rsid w:val="00AC5115"/>
    <w:rPr>
      <w:sz w:val="16"/>
      <w:szCs w:val="16"/>
    </w:rPr>
  </w:style>
  <w:style w:type="paragraph" w:styleId="Revision">
    <w:name w:val="Revision"/>
    <w:hidden/>
    <w:uiPriority w:val="99"/>
    <w:semiHidden/>
    <w:rsid w:val="00EC5C76"/>
    <w:rPr>
      <w:sz w:val="22"/>
      <w:szCs w:val="22"/>
    </w:rPr>
  </w:style>
  <w:style w:type="character" w:customStyle="1" w:styleId="st1">
    <w:name w:val="st1"/>
    <w:basedOn w:val="DefaultParagraphFont"/>
    <w:rsid w:val="00805A50"/>
  </w:style>
  <w:style w:type="paragraph" w:styleId="TOCHeading">
    <w:name w:val="TOC Heading"/>
    <w:basedOn w:val="Heading1"/>
    <w:next w:val="Normal"/>
    <w:uiPriority w:val="39"/>
    <w:unhideWhenUsed/>
    <w:qFormat/>
    <w:rsid w:val="001C5EED"/>
    <w:pPr>
      <w:outlineLvl w:val="9"/>
    </w:pPr>
  </w:style>
  <w:style w:type="paragraph" w:styleId="TOC2">
    <w:name w:val="toc 2"/>
    <w:basedOn w:val="Normal"/>
    <w:next w:val="Normal"/>
    <w:autoRedefine/>
    <w:uiPriority w:val="39"/>
    <w:unhideWhenUsed/>
    <w:qFormat/>
    <w:rsid w:val="00995E34"/>
    <w:pPr>
      <w:tabs>
        <w:tab w:val="right" w:leader="dot" w:pos="9350"/>
      </w:tabs>
      <w:spacing w:after="100"/>
      <w:ind w:left="220"/>
    </w:pPr>
    <w:rPr>
      <w:rFonts w:asciiTheme="minorHAnsi" w:eastAsiaTheme="minorEastAsia" w:hAnsiTheme="minorHAnsi" w:cstheme="minorBidi"/>
    </w:rPr>
  </w:style>
  <w:style w:type="paragraph" w:styleId="TOC1">
    <w:name w:val="toc 1"/>
    <w:basedOn w:val="Normal"/>
    <w:next w:val="Normal"/>
    <w:autoRedefine/>
    <w:uiPriority w:val="39"/>
    <w:unhideWhenUsed/>
    <w:qFormat/>
    <w:rsid w:val="0035705F"/>
    <w:pPr>
      <w:tabs>
        <w:tab w:val="right" w:leader="dot" w:pos="9350"/>
      </w:tabs>
      <w:spacing w:before="40" w:after="40"/>
    </w:pPr>
    <w:rPr>
      <w:rFonts w:asciiTheme="minorHAnsi" w:eastAsiaTheme="minorEastAsia" w:hAnsiTheme="minorHAnsi" w:cstheme="minorBidi"/>
      <w:b/>
      <w:noProof/>
      <w:sz w:val="20"/>
      <w:szCs w:val="20"/>
    </w:rPr>
  </w:style>
  <w:style w:type="paragraph" w:styleId="TOC3">
    <w:name w:val="toc 3"/>
    <w:basedOn w:val="TOC2"/>
    <w:next w:val="Normal"/>
    <w:autoRedefine/>
    <w:uiPriority w:val="39"/>
    <w:unhideWhenUsed/>
    <w:qFormat/>
    <w:rsid w:val="004E5D86"/>
    <w:pPr>
      <w:tabs>
        <w:tab w:val="left" w:pos="1320"/>
      </w:tabs>
      <w:ind w:left="720"/>
      <w:jc w:val="left"/>
    </w:pPr>
    <w:rPr>
      <w:noProof/>
    </w:rPr>
  </w:style>
  <w:style w:type="paragraph" w:customStyle="1" w:styleId="Footnote">
    <w:name w:val="Footnote"/>
    <w:basedOn w:val="FootnoteText"/>
    <w:link w:val="FootnoteChar"/>
    <w:qFormat/>
    <w:rsid w:val="0020151A"/>
    <w:rPr>
      <w:rFonts w:ascii="Calibri" w:hAnsi="Calibri"/>
      <w:sz w:val="18"/>
    </w:rPr>
  </w:style>
  <w:style w:type="character" w:customStyle="1" w:styleId="FootnoteChar">
    <w:name w:val="Footnote Char"/>
    <w:basedOn w:val="FootnoteTextChar"/>
    <w:link w:val="Footnote"/>
    <w:rsid w:val="0020151A"/>
    <w:rPr>
      <w:rFonts w:ascii="Times New Roman" w:eastAsia="Times New Roman" w:hAnsi="Times New Roman" w:cs="Times New Roman"/>
      <w:sz w:val="18"/>
      <w:szCs w:val="20"/>
    </w:rPr>
  </w:style>
  <w:style w:type="character" w:styleId="FollowedHyperlink">
    <w:name w:val="FollowedHyperlink"/>
    <w:basedOn w:val="DefaultParagraphFont"/>
    <w:uiPriority w:val="99"/>
    <w:semiHidden/>
    <w:unhideWhenUsed/>
    <w:rsid w:val="00EC30E3"/>
    <w:rPr>
      <w:color w:val="800080" w:themeColor="followedHyperlink"/>
      <w:u w:val="single"/>
    </w:rPr>
  </w:style>
  <w:style w:type="paragraph" w:styleId="EndnoteText">
    <w:name w:val="endnote text"/>
    <w:basedOn w:val="Normal"/>
    <w:link w:val="EndnoteTextChar"/>
    <w:uiPriority w:val="99"/>
    <w:semiHidden/>
    <w:unhideWhenUsed/>
    <w:rsid w:val="0086221A"/>
    <w:rPr>
      <w:sz w:val="20"/>
      <w:szCs w:val="20"/>
    </w:rPr>
  </w:style>
  <w:style w:type="character" w:customStyle="1" w:styleId="EndnoteTextChar">
    <w:name w:val="Endnote Text Char"/>
    <w:basedOn w:val="DefaultParagraphFont"/>
    <w:link w:val="EndnoteText"/>
    <w:uiPriority w:val="99"/>
    <w:semiHidden/>
    <w:rsid w:val="0086221A"/>
  </w:style>
  <w:style w:type="character" w:styleId="EndnoteReference">
    <w:name w:val="endnote reference"/>
    <w:basedOn w:val="DefaultParagraphFont"/>
    <w:uiPriority w:val="99"/>
    <w:semiHidden/>
    <w:unhideWhenUsed/>
    <w:rsid w:val="0086221A"/>
    <w:rPr>
      <w:vertAlign w:val="superscript"/>
    </w:rPr>
  </w:style>
  <w:style w:type="paragraph" w:styleId="PlainText">
    <w:name w:val="Plain Text"/>
    <w:basedOn w:val="Normal"/>
    <w:link w:val="PlainTextChar"/>
    <w:unhideWhenUsed/>
    <w:rsid w:val="0032664A"/>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32664A"/>
    <w:rPr>
      <w:rFonts w:ascii="Consolas" w:eastAsiaTheme="minorHAnsi" w:hAnsi="Consolas"/>
      <w:sz w:val="21"/>
      <w:szCs w:val="21"/>
    </w:rPr>
  </w:style>
  <w:style w:type="paragraph" w:styleId="BodyText2">
    <w:name w:val="Body Text 2"/>
    <w:basedOn w:val="Normal"/>
    <w:link w:val="BodyText2Char"/>
    <w:unhideWhenUsed/>
    <w:rsid w:val="004E1964"/>
    <w:pPr>
      <w:spacing w:after="120" w:line="480" w:lineRule="auto"/>
    </w:pPr>
  </w:style>
  <w:style w:type="character" w:customStyle="1" w:styleId="BodyText2Char">
    <w:name w:val="Body Text 2 Char"/>
    <w:basedOn w:val="DefaultParagraphFont"/>
    <w:link w:val="BodyText2"/>
    <w:uiPriority w:val="99"/>
    <w:semiHidden/>
    <w:rsid w:val="004E1964"/>
    <w:rPr>
      <w:sz w:val="22"/>
      <w:szCs w:val="22"/>
    </w:rPr>
  </w:style>
  <w:style w:type="paragraph" w:styleId="HTMLPreformatted">
    <w:name w:val="HTML Preformatted"/>
    <w:basedOn w:val="Normal"/>
    <w:link w:val="HTMLPreformattedChar"/>
    <w:rsid w:val="004E1964"/>
    <w:rPr>
      <w:rFonts w:ascii="Times New Roman" w:eastAsia="Times New Roman" w:hAnsi="Times New Roman"/>
      <w:b/>
      <w:sz w:val="20"/>
      <w:szCs w:val="20"/>
    </w:rPr>
  </w:style>
  <w:style w:type="character" w:customStyle="1" w:styleId="HTMLPreformattedChar">
    <w:name w:val="HTML Preformatted Char"/>
    <w:basedOn w:val="DefaultParagraphFont"/>
    <w:link w:val="HTMLPreformatted"/>
    <w:rsid w:val="004E1964"/>
    <w:rPr>
      <w:rFonts w:ascii="Times New Roman" w:eastAsia="Times New Roman" w:hAnsi="Times New Roman"/>
      <w:b/>
    </w:rPr>
  </w:style>
  <w:style w:type="paragraph" w:styleId="Title">
    <w:name w:val="Title"/>
    <w:basedOn w:val="Normal"/>
    <w:link w:val="TitleChar"/>
    <w:qFormat/>
    <w:rsid w:val="004E1964"/>
    <w:pPr>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4E1964"/>
    <w:rPr>
      <w:rFonts w:ascii="Times New Roman" w:eastAsia="Times New Roman" w:hAnsi="Times New Roman"/>
      <w:b/>
      <w:bCs/>
      <w:sz w:val="24"/>
    </w:rPr>
  </w:style>
  <w:style w:type="character" w:styleId="PageNumber">
    <w:name w:val="page number"/>
    <w:basedOn w:val="DefaultParagraphFont"/>
    <w:rsid w:val="004E1964"/>
  </w:style>
  <w:style w:type="paragraph" w:styleId="BlockText">
    <w:name w:val="Block Text"/>
    <w:basedOn w:val="Normal"/>
    <w:rsid w:val="004E1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pPr>
    <w:rPr>
      <w:rFonts w:ascii="Times New Roman" w:eastAsia="Times New Roman" w:hAnsi="Times New Roman"/>
      <w:sz w:val="24"/>
      <w:szCs w:val="20"/>
    </w:rPr>
  </w:style>
  <w:style w:type="character" w:customStyle="1" w:styleId="a">
    <w:name w:val="a"/>
    <w:basedOn w:val="DefaultParagraphFont"/>
    <w:rsid w:val="004E1964"/>
  </w:style>
  <w:style w:type="character" w:customStyle="1" w:styleId="Heading6Char">
    <w:name w:val="Heading 6 Char"/>
    <w:basedOn w:val="DefaultParagraphFont"/>
    <w:link w:val="Heading6"/>
    <w:uiPriority w:val="9"/>
    <w:semiHidden/>
    <w:rsid w:val="00275122"/>
    <w:rPr>
      <w:rFonts w:asciiTheme="majorHAnsi" w:eastAsiaTheme="majorEastAsia" w:hAnsiTheme="majorHAnsi" w:cstheme="majorBidi"/>
      <w:i/>
      <w:iCs/>
      <w:color w:val="243F60" w:themeColor="accent1" w:themeShade="7F"/>
      <w:sz w:val="22"/>
      <w:szCs w:val="22"/>
    </w:rPr>
  </w:style>
  <w:style w:type="character" w:customStyle="1" w:styleId="Heading9Char">
    <w:name w:val="Heading 9 Char"/>
    <w:basedOn w:val="DefaultParagraphFont"/>
    <w:link w:val="Heading9"/>
    <w:uiPriority w:val="9"/>
    <w:semiHidden/>
    <w:rsid w:val="00275122"/>
    <w:rPr>
      <w:rFonts w:asciiTheme="majorHAnsi" w:eastAsiaTheme="majorEastAsia" w:hAnsiTheme="majorHAnsi" w:cstheme="majorBidi"/>
      <w:i/>
      <w:iCs/>
      <w:color w:val="404040" w:themeColor="text1" w:themeTint="BF"/>
    </w:rPr>
  </w:style>
  <w:style w:type="paragraph" w:styleId="NoSpacing">
    <w:name w:val="No Spacing"/>
    <w:uiPriority w:val="1"/>
    <w:qFormat/>
    <w:rsid w:val="00DD4E7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39299">
      <w:bodyDiv w:val="1"/>
      <w:marLeft w:val="0"/>
      <w:marRight w:val="0"/>
      <w:marTop w:val="0"/>
      <w:marBottom w:val="0"/>
      <w:divBdr>
        <w:top w:val="none" w:sz="0" w:space="0" w:color="auto"/>
        <w:left w:val="none" w:sz="0" w:space="0" w:color="auto"/>
        <w:bottom w:val="none" w:sz="0" w:space="0" w:color="auto"/>
        <w:right w:val="none" w:sz="0" w:space="0" w:color="auto"/>
      </w:divBdr>
    </w:div>
    <w:div w:id="128019613">
      <w:bodyDiv w:val="1"/>
      <w:marLeft w:val="0"/>
      <w:marRight w:val="0"/>
      <w:marTop w:val="0"/>
      <w:marBottom w:val="0"/>
      <w:divBdr>
        <w:top w:val="none" w:sz="0" w:space="0" w:color="auto"/>
        <w:left w:val="none" w:sz="0" w:space="0" w:color="auto"/>
        <w:bottom w:val="none" w:sz="0" w:space="0" w:color="auto"/>
        <w:right w:val="none" w:sz="0" w:space="0" w:color="auto"/>
      </w:divBdr>
    </w:div>
    <w:div w:id="233662838">
      <w:bodyDiv w:val="1"/>
      <w:marLeft w:val="0"/>
      <w:marRight w:val="0"/>
      <w:marTop w:val="0"/>
      <w:marBottom w:val="0"/>
      <w:divBdr>
        <w:top w:val="none" w:sz="0" w:space="0" w:color="auto"/>
        <w:left w:val="none" w:sz="0" w:space="0" w:color="auto"/>
        <w:bottom w:val="none" w:sz="0" w:space="0" w:color="auto"/>
        <w:right w:val="none" w:sz="0" w:space="0" w:color="auto"/>
      </w:divBdr>
    </w:div>
    <w:div w:id="257295790">
      <w:bodyDiv w:val="1"/>
      <w:marLeft w:val="0"/>
      <w:marRight w:val="0"/>
      <w:marTop w:val="0"/>
      <w:marBottom w:val="0"/>
      <w:divBdr>
        <w:top w:val="none" w:sz="0" w:space="0" w:color="auto"/>
        <w:left w:val="none" w:sz="0" w:space="0" w:color="auto"/>
        <w:bottom w:val="none" w:sz="0" w:space="0" w:color="auto"/>
        <w:right w:val="none" w:sz="0" w:space="0" w:color="auto"/>
      </w:divBdr>
    </w:div>
    <w:div w:id="473303931">
      <w:bodyDiv w:val="1"/>
      <w:marLeft w:val="0"/>
      <w:marRight w:val="0"/>
      <w:marTop w:val="0"/>
      <w:marBottom w:val="0"/>
      <w:divBdr>
        <w:top w:val="none" w:sz="0" w:space="0" w:color="auto"/>
        <w:left w:val="none" w:sz="0" w:space="0" w:color="auto"/>
        <w:bottom w:val="none" w:sz="0" w:space="0" w:color="auto"/>
        <w:right w:val="none" w:sz="0" w:space="0" w:color="auto"/>
      </w:divBdr>
    </w:div>
    <w:div w:id="504366516">
      <w:bodyDiv w:val="1"/>
      <w:marLeft w:val="0"/>
      <w:marRight w:val="0"/>
      <w:marTop w:val="0"/>
      <w:marBottom w:val="0"/>
      <w:divBdr>
        <w:top w:val="none" w:sz="0" w:space="0" w:color="auto"/>
        <w:left w:val="none" w:sz="0" w:space="0" w:color="auto"/>
        <w:bottom w:val="none" w:sz="0" w:space="0" w:color="auto"/>
        <w:right w:val="none" w:sz="0" w:space="0" w:color="auto"/>
      </w:divBdr>
    </w:div>
    <w:div w:id="544489410">
      <w:bodyDiv w:val="1"/>
      <w:marLeft w:val="0"/>
      <w:marRight w:val="0"/>
      <w:marTop w:val="0"/>
      <w:marBottom w:val="0"/>
      <w:divBdr>
        <w:top w:val="none" w:sz="0" w:space="0" w:color="auto"/>
        <w:left w:val="none" w:sz="0" w:space="0" w:color="auto"/>
        <w:bottom w:val="none" w:sz="0" w:space="0" w:color="auto"/>
        <w:right w:val="none" w:sz="0" w:space="0" w:color="auto"/>
      </w:divBdr>
      <w:divsChild>
        <w:div w:id="1601837232">
          <w:marLeft w:val="0"/>
          <w:marRight w:val="0"/>
          <w:marTop w:val="0"/>
          <w:marBottom w:val="0"/>
          <w:divBdr>
            <w:top w:val="none" w:sz="0" w:space="0" w:color="auto"/>
            <w:left w:val="none" w:sz="0" w:space="0" w:color="auto"/>
            <w:bottom w:val="none" w:sz="0" w:space="0" w:color="auto"/>
            <w:right w:val="none" w:sz="0" w:space="0" w:color="auto"/>
          </w:divBdr>
          <w:divsChild>
            <w:div w:id="1018508271">
              <w:marLeft w:val="0"/>
              <w:marRight w:val="0"/>
              <w:marTop w:val="0"/>
              <w:marBottom w:val="0"/>
              <w:divBdr>
                <w:top w:val="none" w:sz="0" w:space="0" w:color="auto"/>
                <w:left w:val="none" w:sz="0" w:space="0" w:color="auto"/>
                <w:bottom w:val="none" w:sz="0" w:space="0" w:color="auto"/>
                <w:right w:val="none" w:sz="0" w:space="0" w:color="auto"/>
              </w:divBdr>
              <w:divsChild>
                <w:div w:id="10022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7003">
      <w:bodyDiv w:val="1"/>
      <w:marLeft w:val="0"/>
      <w:marRight w:val="0"/>
      <w:marTop w:val="0"/>
      <w:marBottom w:val="0"/>
      <w:divBdr>
        <w:top w:val="none" w:sz="0" w:space="0" w:color="auto"/>
        <w:left w:val="none" w:sz="0" w:space="0" w:color="auto"/>
        <w:bottom w:val="none" w:sz="0" w:space="0" w:color="auto"/>
        <w:right w:val="none" w:sz="0" w:space="0" w:color="auto"/>
      </w:divBdr>
    </w:div>
    <w:div w:id="622730803">
      <w:bodyDiv w:val="1"/>
      <w:marLeft w:val="0"/>
      <w:marRight w:val="0"/>
      <w:marTop w:val="0"/>
      <w:marBottom w:val="0"/>
      <w:divBdr>
        <w:top w:val="none" w:sz="0" w:space="0" w:color="auto"/>
        <w:left w:val="none" w:sz="0" w:space="0" w:color="auto"/>
        <w:bottom w:val="none" w:sz="0" w:space="0" w:color="auto"/>
        <w:right w:val="none" w:sz="0" w:space="0" w:color="auto"/>
      </w:divBdr>
    </w:div>
    <w:div w:id="642732209">
      <w:bodyDiv w:val="1"/>
      <w:marLeft w:val="0"/>
      <w:marRight w:val="0"/>
      <w:marTop w:val="0"/>
      <w:marBottom w:val="0"/>
      <w:divBdr>
        <w:top w:val="none" w:sz="0" w:space="0" w:color="auto"/>
        <w:left w:val="none" w:sz="0" w:space="0" w:color="auto"/>
        <w:bottom w:val="none" w:sz="0" w:space="0" w:color="auto"/>
        <w:right w:val="none" w:sz="0" w:space="0" w:color="auto"/>
      </w:divBdr>
    </w:div>
    <w:div w:id="667172987">
      <w:bodyDiv w:val="1"/>
      <w:marLeft w:val="0"/>
      <w:marRight w:val="0"/>
      <w:marTop w:val="0"/>
      <w:marBottom w:val="0"/>
      <w:divBdr>
        <w:top w:val="none" w:sz="0" w:space="0" w:color="auto"/>
        <w:left w:val="none" w:sz="0" w:space="0" w:color="auto"/>
        <w:bottom w:val="none" w:sz="0" w:space="0" w:color="auto"/>
        <w:right w:val="none" w:sz="0" w:space="0" w:color="auto"/>
      </w:divBdr>
      <w:divsChild>
        <w:div w:id="179853182">
          <w:marLeft w:val="0"/>
          <w:marRight w:val="0"/>
          <w:marTop w:val="0"/>
          <w:marBottom w:val="0"/>
          <w:divBdr>
            <w:top w:val="none" w:sz="0" w:space="0" w:color="auto"/>
            <w:left w:val="none" w:sz="0" w:space="0" w:color="auto"/>
            <w:bottom w:val="none" w:sz="0" w:space="0" w:color="auto"/>
            <w:right w:val="none" w:sz="0" w:space="0" w:color="auto"/>
          </w:divBdr>
          <w:divsChild>
            <w:div w:id="1737631360">
              <w:marLeft w:val="0"/>
              <w:marRight w:val="0"/>
              <w:marTop w:val="0"/>
              <w:marBottom w:val="0"/>
              <w:divBdr>
                <w:top w:val="none" w:sz="0" w:space="0" w:color="auto"/>
                <w:left w:val="none" w:sz="0" w:space="0" w:color="auto"/>
                <w:bottom w:val="none" w:sz="0" w:space="0" w:color="auto"/>
                <w:right w:val="none" w:sz="0" w:space="0" w:color="auto"/>
              </w:divBdr>
              <w:divsChild>
                <w:div w:id="2844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4390">
      <w:bodyDiv w:val="1"/>
      <w:marLeft w:val="0"/>
      <w:marRight w:val="0"/>
      <w:marTop w:val="0"/>
      <w:marBottom w:val="0"/>
      <w:divBdr>
        <w:top w:val="none" w:sz="0" w:space="0" w:color="auto"/>
        <w:left w:val="none" w:sz="0" w:space="0" w:color="auto"/>
        <w:bottom w:val="none" w:sz="0" w:space="0" w:color="auto"/>
        <w:right w:val="none" w:sz="0" w:space="0" w:color="auto"/>
      </w:divBdr>
    </w:div>
    <w:div w:id="792673878">
      <w:bodyDiv w:val="1"/>
      <w:marLeft w:val="0"/>
      <w:marRight w:val="0"/>
      <w:marTop w:val="0"/>
      <w:marBottom w:val="0"/>
      <w:divBdr>
        <w:top w:val="none" w:sz="0" w:space="0" w:color="auto"/>
        <w:left w:val="none" w:sz="0" w:space="0" w:color="auto"/>
        <w:bottom w:val="none" w:sz="0" w:space="0" w:color="auto"/>
        <w:right w:val="none" w:sz="0" w:space="0" w:color="auto"/>
      </w:divBdr>
    </w:div>
    <w:div w:id="792869967">
      <w:bodyDiv w:val="1"/>
      <w:marLeft w:val="0"/>
      <w:marRight w:val="0"/>
      <w:marTop w:val="0"/>
      <w:marBottom w:val="0"/>
      <w:divBdr>
        <w:top w:val="none" w:sz="0" w:space="0" w:color="auto"/>
        <w:left w:val="none" w:sz="0" w:space="0" w:color="auto"/>
        <w:bottom w:val="none" w:sz="0" w:space="0" w:color="auto"/>
        <w:right w:val="none" w:sz="0" w:space="0" w:color="auto"/>
      </w:divBdr>
    </w:div>
    <w:div w:id="805001692">
      <w:bodyDiv w:val="1"/>
      <w:marLeft w:val="0"/>
      <w:marRight w:val="0"/>
      <w:marTop w:val="0"/>
      <w:marBottom w:val="0"/>
      <w:divBdr>
        <w:top w:val="none" w:sz="0" w:space="0" w:color="auto"/>
        <w:left w:val="none" w:sz="0" w:space="0" w:color="auto"/>
        <w:bottom w:val="none" w:sz="0" w:space="0" w:color="auto"/>
        <w:right w:val="none" w:sz="0" w:space="0" w:color="auto"/>
      </w:divBdr>
    </w:div>
    <w:div w:id="975991840">
      <w:bodyDiv w:val="1"/>
      <w:marLeft w:val="0"/>
      <w:marRight w:val="0"/>
      <w:marTop w:val="0"/>
      <w:marBottom w:val="0"/>
      <w:divBdr>
        <w:top w:val="none" w:sz="0" w:space="0" w:color="auto"/>
        <w:left w:val="none" w:sz="0" w:space="0" w:color="auto"/>
        <w:bottom w:val="none" w:sz="0" w:space="0" w:color="auto"/>
        <w:right w:val="none" w:sz="0" w:space="0" w:color="auto"/>
      </w:divBdr>
    </w:div>
    <w:div w:id="982202611">
      <w:bodyDiv w:val="1"/>
      <w:marLeft w:val="0"/>
      <w:marRight w:val="0"/>
      <w:marTop w:val="0"/>
      <w:marBottom w:val="0"/>
      <w:divBdr>
        <w:top w:val="none" w:sz="0" w:space="0" w:color="auto"/>
        <w:left w:val="none" w:sz="0" w:space="0" w:color="auto"/>
        <w:bottom w:val="none" w:sz="0" w:space="0" w:color="auto"/>
        <w:right w:val="none" w:sz="0" w:space="0" w:color="auto"/>
      </w:divBdr>
    </w:div>
    <w:div w:id="1090152504">
      <w:bodyDiv w:val="1"/>
      <w:marLeft w:val="0"/>
      <w:marRight w:val="0"/>
      <w:marTop w:val="0"/>
      <w:marBottom w:val="0"/>
      <w:divBdr>
        <w:top w:val="none" w:sz="0" w:space="0" w:color="auto"/>
        <w:left w:val="none" w:sz="0" w:space="0" w:color="auto"/>
        <w:bottom w:val="none" w:sz="0" w:space="0" w:color="auto"/>
        <w:right w:val="none" w:sz="0" w:space="0" w:color="auto"/>
      </w:divBdr>
    </w:div>
    <w:div w:id="1150172166">
      <w:bodyDiv w:val="1"/>
      <w:marLeft w:val="0"/>
      <w:marRight w:val="0"/>
      <w:marTop w:val="0"/>
      <w:marBottom w:val="0"/>
      <w:divBdr>
        <w:top w:val="none" w:sz="0" w:space="0" w:color="auto"/>
        <w:left w:val="none" w:sz="0" w:space="0" w:color="auto"/>
        <w:bottom w:val="none" w:sz="0" w:space="0" w:color="auto"/>
        <w:right w:val="none" w:sz="0" w:space="0" w:color="auto"/>
      </w:divBdr>
    </w:div>
    <w:div w:id="1254557620">
      <w:bodyDiv w:val="1"/>
      <w:marLeft w:val="0"/>
      <w:marRight w:val="0"/>
      <w:marTop w:val="0"/>
      <w:marBottom w:val="0"/>
      <w:divBdr>
        <w:top w:val="none" w:sz="0" w:space="0" w:color="auto"/>
        <w:left w:val="none" w:sz="0" w:space="0" w:color="auto"/>
        <w:bottom w:val="none" w:sz="0" w:space="0" w:color="auto"/>
        <w:right w:val="none" w:sz="0" w:space="0" w:color="auto"/>
      </w:divBdr>
    </w:div>
    <w:div w:id="1509829175">
      <w:bodyDiv w:val="1"/>
      <w:marLeft w:val="0"/>
      <w:marRight w:val="0"/>
      <w:marTop w:val="0"/>
      <w:marBottom w:val="0"/>
      <w:divBdr>
        <w:top w:val="none" w:sz="0" w:space="0" w:color="auto"/>
        <w:left w:val="none" w:sz="0" w:space="0" w:color="auto"/>
        <w:bottom w:val="none" w:sz="0" w:space="0" w:color="auto"/>
        <w:right w:val="none" w:sz="0" w:space="0" w:color="auto"/>
      </w:divBdr>
    </w:div>
    <w:div w:id="1590314230">
      <w:bodyDiv w:val="1"/>
      <w:marLeft w:val="0"/>
      <w:marRight w:val="0"/>
      <w:marTop w:val="0"/>
      <w:marBottom w:val="0"/>
      <w:divBdr>
        <w:top w:val="none" w:sz="0" w:space="0" w:color="auto"/>
        <w:left w:val="none" w:sz="0" w:space="0" w:color="auto"/>
        <w:bottom w:val="none" w:sz="0" w:space="0" w:color="auto"/>
        <w:right w:val="none" w:sz="0" w:space="0" w:color="auto"/>
      </w:divBdr>
    </w:div>
    <w:div w:id="1652320236">
      <w:bodyDiv w:val="1"/>
      <w:marLeft w:val="0"/>
      <w:marRight w:val="0"/>
      <w:marTop w:val="0"/>
      <w:marBottom w:val="0"/>
      <w:divBdr>
        <w:top w:val="none" w:sz="0" w:space="0" w:color="auto"/>
        <w:left w:val="none" w:sz="0" w:space="0" w:color="auto"/>
        <w:bottom w:val="none" w:sz="0" w:space="0" w:color="auto"/>
        <w:right w:val="none" w:sz="0" w:space="0" w:color="auto"/>
      </w:divBdr>
    </w:div>
    <w:div w:id="1788349833">
      <w:bodyDiv w:val="1"/>
      <w:marLeft w:val="0"/>
      <w:marRight w:val="0"/>
      <w:marTop w:val="0"/>
      <w:marBottom w:val="0"/>
      <w:divBdr>
        <w:top w:val="none" w:sz="0" w:space="0" w:color="auto"/>
        <w:left w:val="none" w:sz="0" w:space="0" w:color="auto"/>
        <w:bottom w:val="none" w:sz="0" w:space="0" w:color="auto"/>
        <w:right w:val="none" w:sz="0" w:space="0" w:color="auto"/>
      </w:divBdr>
    </w:div>
    <w:div w:id="1822113772">
      <w:bodyDiv w:val="1"/>
      <w:marLeft w:val="0"/>
      <w:marRight w:val="0"/>
      <w:marTop w:val="0"/>
      <w:marBottom w:val="0"/>
      <w:divBdr>
        <w:top w:val="none" w:sz="0" w:space="0" w:color="auto"/>
        <w:left w:val="none" w:sz="0" w:space="0" w:color="auto"/>
        <w:bottom w:val="none" w:sz="0" w:space="0" w:color="auto"/>
        <w:right w:val="none" w:sz="0" w:space="0" w:color="auto"/>
      </w:divBdr>
    </w:div>
    <w:div w:id="1915117588">
      <w:bodyDiv w:val="1"/>
      <w:marLeft w:val="0"/>
      <w:marRight w:val="0"/>
      <w:marTop w:val="0"/>
      <w:marBottom w:val="0"/>
      <w:divBdr>
        <w:top w:val="none" w:sz="0" w:space="0" w:color="auto"/>
        <w:left w:val="none" w:sz="0" w:space="0" w:color="auto"/>
        <w:bottom w:val="none" w:sz="0" w:space="0" w:color="auto"/>
        <w:right w:val="none" w:sz="0" w:space="0" w:color="auto"/>
      </w:divBdr>
    </w:div>
    <w:div w:id="1955093899">
      <w:bodyDiv w:val="1"/>
      <w:marLeft w:val="0"/>
      <w:marRight w:val="0"/>
      <w:marTop w:val="0"/>
      <w:marBottom w:val="0"/>
      <w:divBdr>
        <w:top w:val="none" w:sz="0" w:space="0" w:color="auto"/>
        <w:left w:val="none" w:sz="0" w:space="0" w:color="auto"/>
        <w:bottom w:val="none" w:sz="0" w:space="0" w:color="auto"/>
        <w:right w:val="none" w:sz="0" w:space="0" w:color="auto"/>
      </w:divBdr>
    </w:div>
    <w:div w:id="20826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eia.gov/electricity/data/methodology/eiawebme.pdf"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47CDCA4-481F-4818-AA9B-259904A1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6297</Words>
  <Characters>35894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Draft ERUS 2014 OMB Supporting Statement, Part B</vt:lpstr>
    </vt:vector>
  </TitlesOfParts>
  <Company>U.S. Energy Information Administration</Company>
  <LinksUpToDate>false</LinksUpToDate>
  <CharactersWithSpaces>42107</CharactersWithSpaces>
  <SharedDoc>false</SharedDoc>
  <HLinks>
    <vt:vector size="114" baseType="variant">
      <vt:variant>
        <vt:i4>7209084</vt:i4>
      </vt:variant>
      <vt:variant>
        <vt:i4>60</vt:i4>
      </vt:variant>
      <vt:variant>
        <vt:i4>0</vt:i4>
      </vt:variant>
      <vt:variant>
        <vt:i4>5</vt:i4>
      </vt:variant>
      <vt:variant>
        <vt:lpwstr>http://www.eia.gov/cneaf/electricity/page/data.html</vt:lpwstr>
      </vt:variant>
      <vt:variant>
        <vt:lpwstr/>
      </vt:variant>
      <vt:variant>
        <vt:i4>852063</vt:i4>
      </vt:variant>
      <vt:variant>
        <vt:i4>57</vt:i4>
      </vt:variant>
      <vt:variant>
        <vt:i4>0</vt:i4>
      </vt:variant>
      <vt:variant>
        <vt:i4>5</vt:i4>
      </vt:variant>
      <vt:variant>
        <vt:lpwstr>http://www.eia.gov/forecasts/aeo/er/</vt:lpwstr>
      </vt:variant>
      <vt:variant>
        <vt:lpwstr/>
      </vt:variant>
      <vt:variant>
        <vt:i4>2424948</vt:i4>
      </vt:variant>
      <vt:variant>
        <vt:i4>48</vt:i4>
      </vt:variant>
      <vt:variant>
        <vt:i4>0</vt:i4>
      </vt:variant>
      <vt:variant>
        <vt:i4>5</vt:i4>
      </vt:variant>
      <vt:variant>
        <vt:lpwstr>http://pbaupws.nrc.gov/</vt:lpwstr>
      </vt:variant>
      <vt:variant>
        <vt:lpwstr/>
      </vt:variant>
      <vt:variant>
        <vt:i4>655381</vt:i4>
      </vt:variant>
      <vt:variant>
        <vt:i4>45</vt:i4>
      </vt:variant>
      <vt:variant>
        <vt:i4>0</vt:i4>
      </vt:variant>
      <vt:variant>
        <vt:i4>5</vt:i4>
      </vt:variant>
      <vt:variant>
        <vt:lpwstr>http://www.nerc.com/filez/tadswg.html</vt:lpwstr>
      </vt:variant>
      <vt:variant>
        <vt:lpwstr/>
      </vt:variant>
      <vt:variant>
        <vt:i4>7864357</vt:i4>
      </vt:variant>
      <vt:variant>
        <vt:i4>42</vt:i4>
      </vt:variant>
      <vt:variant>
        <vt:i4>0</vt:i4>
      </vt:variant>
      <vt:variant>
        <vt:i4>5</vt:i4>
      </vt:variant>
      <vt:variant>
        <vt:lpwstr>http://elibrary.ferc.gov/idmws/search/fercgensearch.asp</vt:lpwstr>
      </vt:variant>
      <vt:variant>
        <vt:lpwstr/>
      </vt:variant>
      <vt:variant>
        <vt:i4>7864357</vt:i4>
      </vt:variant>
      <vt:variant>
        <vt:i4>39</vt:i4>
      </vt:variant>
      <vt:variant>
        <vt:i4>0</vt:i4>
      </vt:variant>
      <vt:variant>
        <vt:i4>5</vt:i4>
      </vt:variant>
      <vt:variant>
        <vt:lpwstr>http://elibrary.ferc.gov/idmws/search/fercgensearch.asp</vt:lpwstr>
      </vt:variant>
      <vt:variant>
        <vt:lpwstr/>
      </vt:variant>
      <vt:variant>
        <vt:i4>7864357</vt:i4>
      </vt:variant>
      <vt:variant>
        <vt:i4>36</vt:i4>
      </vt:variant>
      <vt:variant>
        <vt:i4>0</vt:i4>
      </vt:variant>
      <vt:variant>
        <vt:i4>5</vt:i4>
      </vt:variant>
      <vt:variant>
        <vt:lpwstr>http://elibrary.ferc.gov/idmws/search/fercgensearch.asp</vt:lpwstr>
      </vt:variant>
      <vt:variant>
        <vt:lpwstr/>
      </vt:variant>
      <vt:variant>
        <vt:i4>7864357</vt:i4>
      </vt:variant>
      <vt:variant>
        <vt:i4>33</vt:i4>
      </vt:variant>
      <vt:variant>
        <vt:i4>0</vt:i4>
      </vt:variant>
      <vt:variant>
        <vt:i4>5</vt:i4>
      </vt:variant>
      <vt:variant>
        <vt:lpwstr>http://elibrary.ferc.gov/idmws/search/fercgensearch.asp</vt:lpwstr>
      </vt:variant>
      <vt:variant>
        <vt:lpwstr/>
      </vt:variant>
      <vt:variant>
        <vt:i4>7864357</vt:i4>
      </vt:variant>
      <vt:variant>
        <vt:i4>30</vt:i4>
      </vt:variant>
      <vt:variant>
        <vt:i4>0</vt:i4>
      </vt:variant>
      <vt:variant>
        <vt:i4>5</vt:i4>
      </vt:variant>
      <vt:variant>
        <vt:lpwstr>http://elibrary.ferc.gov/idmws/search/fercgensearch.asp</vt:lpwstr>
      </vt:variant>
      <vt:variant>
        <vt:lpwstr/>
      </vt:variant>
      <vt:variant>
        <vt:i4>7864357</vt:i4>
      </vt:variant>
      <vt:variant>
        <vt:i4>27</vt:i4>
      </vt:variant>
      <vt:variant>
        <vt:i4>0</vt:i4>
      </vt:variant>
      <vt:variant>
        <vt:i4>5</vt:i4>
      </vt:variant>
      <vt:variant>
        <vt:lpwstr>http://elibrary.ferc.gov/idmws/search/fercgensearch.asp</vt:lpwstr>
      </vt:variant>
      <vt:variant>
        <vt:lpwstr/>
      </vt:variant>
      <vt:variant>
        <vt:i4>7864357</vt:i4>
      </vt:variant>
      <vt:variant>
        <vt:i4>24</vt:i4>
      </vt:variant>
      <vt:variant>
        <vt:i4>0</vt:i4>
      </vt:variant>
      <vt:variant>
        <vt:i4>5</vt:i4>
      </vt:variant>
      <vt:variant>
        <vt:lpwstr>http://elibrary.ferc.gov/idmws/search/fercgensearch.asp</vt:lpwstr>
      </vt:variant>
      <vt:variant>
        <vt:lpwstr/>
      </vt:variant>
      <vt:variant>
        <vt:i4>7864357</vt:i4>
      </vt:variant>
      <vt:variant>
        <vt:i4>21</vt:i4>
      </vt:variant>
      <vt:variant>
        <vt:i4>0</vt:i4>
      </vt:variant>
      <vt:variant>
        <vt:i4>5</vt:i4>
      </vt:variant>
      <vt:variant>
        <vt:lpwstr>http://elibrary.ferc.gov/idmws/search/fercgensearch.asp</vt:lpwstr>
      </vt:variant>
      <vt:variant>
        <vt:lpwstr/>
      </vt:variant>
      <vt:variant>
        <vt:i4>7864357</vt:i4>
      </vt:variant>
      <vt:variant>
        <vt:i4>18</vt:i4>
      </vt:variant>
      <vt:variant>
        <vt:i4>0</vt:i4>
      </vt:variant>
      <vt:variant>
        <vt:i4>5</vt:i4>
      </vt:variant>
      <vt:variant>
        <vt:lpwstr>http://elibrary.ferc.gov/idmws/search/fercgensearch.asp</vt:lpwstr>
      </vt:variant>
      <vt:variant>
        <vt:lpwstr/>
      </vt:variant>
      <vt:variant>
        <vt:i4>5570586</vt:i4>
      </vt:variant>
      <vt:variant>
        <vt:i4>15</vt:i4>
      </vt:variant>
      <vt:variant>
        <vt:i4>0</vt:i4>
      </vt:variant>
      <vt:variant>
        <vt:i4>5</vt:i4>
      </vt:variant>
      <vt:variant>
        <vt:lpwstr>http://www.ferc.gov/docs-filing/forms/form-1/data.asp</vt:lpwstr>
      </vt:variant>
      <vt:variant>
        <vt:lpwstr/>
      </vt:variant>
      <vt:variant>
        <vt:i4>917513</vt:i4>
      </vt:variant>
      <vt:variant>
        <vt:i4>12</vt:i4>
      </vt:variant>
      <vt:variant>
        <vt:i4>0</vt:i4>
      </vt:variant>
      <vt:variant>
        <vt:i4>5</vt:i4>
      </vt:variant>
      <vt:variant>
        <vt:lpwstr>http://www.oe.netl.doe.gov/oe417.aspx</vt:lpwstr>
      </vt:variant>
      <vt:variant>
        <vt:lpwstr/>
      </vt:variant>
      <vt:variant>
        <vt:i4>7929934</vt:i4>
      </vt:variant>
      <vt:variant>
        <vt:i4>9</vt:i4>
      </vt:variant>
      <vt:variant>
        <vt:i4>0</vt:i4>
      </vt:variant>
      <vt:variant>
        <vt:i4>5</vt:i4>
      </vt:variant>
      <vt:variant>
        <vt:lpwstr>mailto:psuggs@eei.org</vt:lpwstr>
      </vt:variant>
      <vt:variant>
        <vt:lpwstr/>
      </vt:variant>
      <vt:variant>
        <vt:i4>917548</vt:i4>
      </vt:variant>
      <vt:variant>
        <vt:i4>6</vt:i4>
      </vt:variant>
      <vt:variant>
        <vt:i4>0</vt:i4>
      </vt:variant>
      <vt:variant>
        <vt:i4>5</vt:i4>
      </vt:variant>
      <vt:variant>
        <vt:lpwstr>mailto:cbielksi@eei.org</vt:lpwstr>
      </vt:variant>
      <vt:variant>
        <vt:lpwstr/>
      </vt:variant>
      <vt:variant>
        <vt:i4>4784201</vt:i4>
      </vt:variant>
      <vt:variant>
        <vt:i4>3</vt:i4>
      </vt:variant>
      <vt:variant>
        <vt:i4>0</vt:i4>
      </vt:variant>
      <vt:variant>
        <vt:i4>5</vt:i4>
      </vt:variant>
      <vt:variant>
        <vt:lpwstr>http://www.appa.org/</vt:lpwstr>
      </vt:variant>
      <vt:variant>
        <vt:lpwstr/>
      </vt:variant>
      <vt:variant>
        <vt:i4>852063</vt:i4>
      </vt:variant>
      <vt:variant>
        <vt:i4>0</vt:i4>
      </vt:variant>
      <vt:variant>
        <vt:i4>0</vt:i4>
      </vt:variant>
      <vt:variant>
        <vt:i4>5</vt:i4>
      </vt:variant>
      <vt:variant>
        <vt:lpwstr>http://www.eia.gov/forecasts/aeo/er/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ERUS 2014 OMB Supporting Statement, Part B</dc:title>
  <dc:subject>ERUS 2014 OMB Clearance Supporting Statement, Part B</dc:subject>
  <dc:creator>Elizabeth E. Panarelli</dc:creator>
  <cp:keywords/>
  <dc:description/>
  <cp:lastModifiedBy>Bournazian, Jacob</cp:lastModifiedBy>
  <cp:revision>4</cp:revision>
  <cp:lastPrinted>2016-04-22T13:47:00Z</cp:lastPrinted>
  <dcterms:created xsi:type="dcterms:W3CDTF">2017-02-28T19:07:00Z</dcterms:created>
  <dcterms:modified xsi:type="dcterms:W3CDTF">2017-02-28T19:09:00Z</dcterms:modified>
</cp:coreProperties>
</file>