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323AE" w14:textId="77777777" w:rsidR="00A27966" w:rsidRDefault="00B26E9E" w:rsidP="006473DA">
      <w:pPr>
        <w:jc w:val="left"/>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14:anchorId="4E523E08" wp14:editId="44229525">
                <wp:simplePos x="0" y="0"/>
                <wp:positionH relativeFrom="column">
                  <wp:posOffset>2050415</wp:posOffset>
                </wp:positionH>
                <wp:positionV relativeFrom="paragraph">
                  <wp:posOffset>10160</wp:posOffset>
                </wp:positionV>
                <wp:extent cx="4378960" cy="1518285"/>
                <wp:effectExtent l="0" t="0" r="21590"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960" cy="1518285"/>
                        </a:xfrm>
                        <a:prstGeom prst="rect">
                          <a:avLst/>
                        </a:prstGeom>
                        <a:solidFill>
                          <a:srgbClr val="FFFFFF"/>
                        </a:solidFill>
                        <a:ln w="9525">
                          <a:solidFill>
                            <a:srgbClr val="000000"/>
                          </a:solidFill>
                          <a:miter lim="800000"/>
                          <a:headEnd/>
                          <a:tailEnd/>
                        </a:ln>
                      </wps:spPr>
                      <wps:txbx>
                        <w:txbxContent>
                          <w:p w14:paraId="4DB95352" w14:textId="77777777" w:rsidR="00D041E5" w:rsidRPr="006139D7" w:rsidRDefault="00D041E5" w:rsidP="001540BF">
                            <w:pPr>
                              <w:spacing w:before="280" w:beforeAutospacing="0" w:after="120" w:afterAutospacing="0"/>
                              <w:jc w:val="left"/>
                              <w:rPr>
                                <w:b/>
                                <w:sz w:val="28"/>
                                <w:szCs w:val="28"/>
                              </w:rPr>
                            </w:pPr>
                            <w:r w:rsidRPr="006139D7">
                              <w:rPr>
                                <w:b/>
                                <w:sz w:val="28"/>
                                <w:szCs w:val="28"/>
                              </w:rPr>
                              <w:t>U.S. Energy Information Administration</w:t>
                            </w:r>
                          </w:p>
                          <w:p w14:paraId="59BE49A7" w14:textId="77777777" w:rsidR="00D041E5" w:rsidRPr="006139D7" w:rsidRDefault="00D041E5" w:rsidP="001540BF">
                            <w:pPr>
                              <w:spacing w:before="280" w:beforeAutospacing="0" w:after="120" w:afterAutospacing="0"/>
                              <w:jc w:val="left"/>
                              <w:rPr>
                                <w:b/>
                                <w:sz w:val="28"/>
                                <w:szCs w:val="28"/>
                              </w:rPr>
                            </w:pPr>
                            <w:r w:rsidRPr="006139D7">
                              <w:rPr>
                                <w:b/>
                                <w:sz w:val="28"/>
                                <w:szCs w:val="28"/>
                              </w:rPr>
                              <w:t>Office of Energy Statistics</w:t>
                            </w:r>
                          </w:p>
                          <w:p w14:paraId="741C75D7" w14:textId="77777777" w:rsidR="00D041E5" w:rsidRPr="006139D7" w:rsidRDefault="00D041E5" w:rsidP="001540BF">
                            <w:pPr>
                              <w:spacing w:before="280" w:beforeAutospacing="0" w:after="120" w:afterAutospacing="0"/>
                              <w:jc w:val="left"/>
                              <w:rPr>
                                <w:b/>
                                <w:sz w:val="28"/>
                                <w:szCs w:val="28"/>
                              </w:rPr>
                            </w:pPr>
                            <w:r>
                              <w:rPr>
                                <w:b/>
                                <w:sz w:val="28"/>
                                <w:szCs w:val="28"/>
                              </w:rPr>
                              <w:t>Office of Oil, Gas, and Coal Supply Statistics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523E08" id="_x0000_t202" coordsize="21600,21600" o:spt="202" path="m,l,21600r21600,l21600,xe">
                <v:stroke joinstyle="miter"/>
                <v:path gradientshapeok="t" o:connecttype="rect"/>
              </v:shapetype>
              <v:shape id="Text Box 2" o:spid="_x0000_s1026" type="#_x0000_t202" style="position:absolute;margin-left:161.45pt;margin-top:.8pt;width:344.8pt;height:1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">
                <v:textbox>
                  <w:txbxContent>
                    <w:p w14:paraId="4DB95352" w14:textId="77777777" w:rsidR="00D041E5" w:rsidRPr="006139D7" w:rsidRDefault="00D041E5" w:rsidP="001540BF">
                      <w:pPr>
                        <w:spacing w:before="280" w:beforeAutospacing="0" w:after="120" w:afterAutospacing="0"/>
                        <w:jc w:val="left"/>
                        <w:rPr>
                          <w:b/>
                          <w:sz w:val="28"/>
                          <w:szCs w:val="28"/>
                        </w:rPr>
                      </w:pPr>
                      <w:r w:rsidRPr="006139D7">
                        <w:rPr>
                          <w:b/>
                          <w:sz w:val="28"/>
                          <w:szCs w:val="28"/>
                        </w:rPr>
                        <w:t>U.S. Energy Information Administration</w:t>
                      </w:r>
                    </w:p>
                    <w:p w14:paraId="59BE49A7" w14:textId="77777777" w:rsidR="00D041E5" w:rsidRPr="006139D7" w:rsidRDefault="00D041E5" w:rsidP="001540BF">
                      <w:pPr>
                        <w:spacing w:before="280" w:beforeAutospacing="0" w:after="120" w:afterAutospacing="0"/>
                        <w:jc w:val="left"/>
                        <w:rPr>
                          <w:b/>
                          <w:sz w:val="28"/>
                          <w:szCs w:val="28"/>
                        </w:rPr>
                      </w:pPr>
                      <w:r w:rsidRPr="006139D7">
                        <w:rPr>
                          <w:b/>
                          <w:sz w:val="28"/>
                          <w:szCs w:val="28"/>
                        </w:rPr>
                        <w:t>Office of Energy Statistics</w:t>
                      </w:r>
                    </w:p>
                    <w:p w14:paraId="741C75D7" w14:textId="77777777" w:rsidR="00D041E5" w:rsidRPr="006139D7" w:rsidRDefault="00D041E5" w:rsidP="001540BF">
                      <w:pPr>
                        <w:spacing w:before="280" w:beforeAutospacing="0" w:after="120" w:afterAutospacing="0"/>
                        <w:jc w:val="left"/>
                        <w:rPr>
                          <w:b/>
                          <w:sz w:val="28"/>
                          <w:szCs w:val="28"/>
                        </w:rPr>
                      </w:pPr>
                      <w:r>
                        <w:rPr>
                          <w:b/>
                          <w:sz w:val="28"/>
                          <w:szCs w:val="28"/>
                        </w:rPr>
                        <w:t>Office of Oil, Gas, and Coal Supply Statistics</w:t>
                      </w:r>
                    </w:p>
                  </w:txbxContent>
                </v:textbox>
              </v:shape>
            </w:pict>
          </mc:Fallback>
        </mc:AlternateContent>
      </w:r>
      <w:r w:rsidR="006139D7">
        <w:rPr>
          <w:noProof/>
        </w:rPr>
        <w:drawing>
          <wp:inline distT="0" distB="0" distL="0" distR="0" wp14:anchorId="7DC076EB" wp14:editId="5B9F0457">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8"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14:paraId="401CAA58" w14:textId="77777777" w:rsidR="00A27966" w:rsidRDefault="00A27966" w:rsidP="006473DA">
      <w:pPr>
        <w:jc w:val="left"/>
      </w:pPr>
    </w:p>
    <w:p w14:paraId="26BFCD88" w14:textId="77777777" w:rsidR="002C0331" w:rsidRDefault="002C0331" w:rsidP="006473DA">
      <w:pPr>
        <w:jc w:val="left"/>
        <w:rPr>
          <w:rFonts w:ascii="Arial Black" w:hAnsi="Arial Black"/>
          <w:sz w:val="28"/>
        </w:rPr>
      </w:pPr>
    </w:p>
    <w:p w14:paraId="273CB2E6" w14:textId="77777777" w:rsidR="002C0331" w:rsidRPr="006139D7" w:rsidRDefault="001540BF" w:rsidP="001540BF">
      <w:pPr>
        <w:jc w:val="left"/>
        <w:rPr>
          <w:b/>
          <w:sz w:val="36"/>
          <w:szCs w:val="36"/>
        </w:rPr>
      </w:pPr>
      <w:r>
        <w:rPr>
          <w:b/>
          <w:sz w:val="36"/>
          <w:szCs w:val="36"/>
        </w:rPr>
        <w:t>Supporting Statement for Survey Clearance</w:t>
      </w:r>
    </w:p>
    <w:p w14:paraId="5EA7E8E3" w14:textId="77777777" w:rsidR="002C0331" w:rsidRDefault="009857AD" w:rsidP="001540BF">
      <w:pPr>
        <w:jc w:val="left"/>
        <w:rPr>
          <w:b/>
          <w:sz w:val="36"/>
          <w:szCs w:val="36"/>
        </w:rPr>
      </w:pPr>
      <w:r>
        <w:rPr>
          <w:b/>
          <w:sz w:val="36"/>
          <w:szCs w:val="36"/>
        </w:rPr>
        <w:t xml:space="preserve">U.S. </w:t>
      </w:r>
      <w:r w:rsidR="001540BF">
        <w:rPr>
          <w:b/>
          <w:sz w:val="36"/>
          <w:szCs w:val="36"/>
        </w:rPr>
        <w:t>Energy Information Administration’s (EIA) Oil and Gas Reserves System Surveys</w:t>
      </w:r>
      <w:r w:rsidR="006473DA">
        <w:rPr>
          <w:b/>
          <w:sz w:val="36"/>
          <w:szCs w:val="36"/>
        </w:rPr>
        <w:t>:</w:t>
      </w:r>
    </w:p>
    <w:p w14:paraId="6A9E234E" w14:textId="77777777" w:rsidR="00E530EB" w:rsidRPr="00A27DC1" w:rsidRDefault="00E530EB" w:rsidP="00E530EB">
      <w:pPr>
        <w:ind w:left="360"/>
        <w:jc w:val="left"/>
        <w:rPr>
          <w:b/>
          <w:sz w:val="28"/>
          <w:szCs w:val="28"/>
        </w:rPr>
      </w:pPr>
      <w:bookmarkStart w:id="0" w:name="_Toc335830623"/>
      <w:r>
        <w:rPr>
          <w:b/>
          <w:sz w:val="28"/>
          <w:szCs w:val="28"/>
        </w:rPr>
        <w:t>F</w:t>
      </w:r>
      <w:r w:rsidR="004F0BBA">
        <w:rPr>
          <w:b/>
          <w:sz w:val="28"/>
          <w:szCs w:val="28"/>
        </w:rPr>
        <w:t>orm</w:t>
      </w:r>
      <w:r w:rsidRPr="00A27DC1">
        <w:rPr>
          <w:b/>
          <w:sz w:val="28"/>
          <w:szCs w:val="28"/>
        </w:rPr>
        <w:t xml:space="preserve"> EIA-23L, </w:t>
      </w:r>
      <w:r w:rsidRPr="00B40712">
        <w:rPr>
          <w:b/>
          <w:i/>
          <w:sz w:val="28"/>
          <w:szCs w:val="28"/>
        </w:rPr>
        <w:t xml:space="preserve">Annual </w:t>
      </w:r>
      <w:r w:rsidR="00274D0E">
        <w:rPr>
          <w:b/>
          <w:i/>
          <w:sz w:val="28"/>
          <w:szCs w:val="28"/>
        </w:rPr>
        <w:t>Report</w:t>
      </w:r>
      <w:r w:rsidR="00274D0E" w:rsidRPr="00B40712">
        <w:rPr>
          <w:b/>
          <w:i/>
          <w:sz w:val="28"/>
          <w:szCs w:val="28"/>
        </w:rPr>
        <w:t xml:space="preserve"> </w:t>
      </w:r>
      <w:r w:rsidRPr="00B40712">
        <w:rPr>
          <w:b/>
          <w:i/>
          <w:sz w:val="28"/>
          <w:szCs w:val="28"/>
        </w:rPr>
        <w:t>of Domestic Oil and Gas Reserves (</w:t>
      </w:r>
      <w:r w:rsidR="00274D0E">
        <w:rPr>
          <w:b/>
          <w:i/>
          <w:sz w:val="28"/>
          <w:szCs w:val="28"/>
        </w:rPr>
        <w:t>County</w:t>
      </w:r>
      <w:r w:rsidR="00274D0E" w:rsidRPr="00B40712">
        <w:rPr>
          <w:b/>
          <w:i/>
          <w:sz w:val="28"/>
          <w:szCs w:val="28"/>
        </w:rPr>
        <w:t xml:space="preserve"> </w:t>
      </w:r>
      <w:r w:rsidR="00274D0E">
        <w:rPr>
          <w:b/>
          <w:i/>
          <w:sz w:val="28"/>
          <w:szCs w:val="28"/>
        </w:rPr>
        <w:t>Level Report)</w:t>
      </w:r>
      <w:r w:rsidR="00D17DAF">
        <w:rPr>
          <w:b/>
          <w:i/>
          <w:sz w:val="28"/>
          <w:szCs w:val="28"/>
        </w:rPr>
        <w:t xml:space="preserve"> – </w:t>
      </w:r>
      <w:r w:rsidR="00374064">
        <w:rPr>
          <w:b/>
          <w:i/>
          <w:sz w:val="28"/>
          <w:szCs w:val="28"/>
        </w:rPr>
        <w:t>Revision</w:t>
      </w:r>
    </w:p>
    <w:p w14:paraId="4FBD552E" w14:textId="77777777" w:rsidR="00E530EB" w:rsidRPr="00A27DC1" w:rsidRDefault="00E530EB" w:rsidP="00E530EB">
      <w:pPr>
        <w:ind w:left="360"/>
        <w:jc w:val="left"/>
        <w:rPr>
          <w:b/>
          <w:sz w:val="28"/>
          <w:szCs w:val="28"/>
        </w:rPr>
      </w:pPr>
      <w:r>
        <w:rPr>
          <w:b/>
          <w:sz w:val="28"/>
          <w:szCs w:val="28"/>
        </w:rPr>
        <w:t xml:space="preserve">Form </w:t>
      </w:r>
      <w:r w:rsidRPr="00A27DC1">
        <w:rPr>
          <w:b/>
          <w:sz w:val="28"/>
          <w:szCs w:val="28"/>
        </w:rPr>
        <w:t xml:space="preserve">EIA-23S, </w:t>
      </w:r>
      <w:r w:rsidRPr="00B40712">
        <w:rPr>
          <w:b/>
          <w:i/>
          <w:sz w:val="28"/>
          <w:szCs w:val="28"/>
        </w:rPr>
        <w:t xml:space="preserve">Annual </w:t>
      </w:r>
      <w:r w:rsidR="00274D0E">
        <w:rPr>
          <w:b/>
          <w:i/>
          <w:sz w:val="28"/>
          <w:szCs w:val="28"/>
        </w:rPr>
        <w:t>Report</w:t>
      </w:r>
      <w:r w:rsidR="00274D0E" w:rsidRPr="00B40712">
        <w:rPr>
          <w:b/>
          <w:i/>
          <w:sz w:val="28"/>
          <w:szCs w:val="28"/>
        </w:rPr>
        <w:t xml:space="preserve"> </w:t>
      </w:r>
      <w:r w:rsidRPr="00B40712">
        <w:rPr>
          <w:b/>
          <w:i/>
          <w:sz w:val="28"/>
          <w:szCs w:val="28"/>
        </w:rPr>
        <w:t xml:space="preserve">of Domestic Oil and Gas Reserves (Summary </w:t>
      </w:r>
      <w:r w:rsidR="00274D0E">
        <w:rPr>
          <w:b/>
          <w:i/>
          <w:sz w:val="28"/>
          <w:szCs w:val="28"/>
        </w:rPr>
        <w:t>Report</w:t>
      </w:r>
      <w:r w:rsidRPr="00B40712">
        <w:rPr>
          <w:b/>
          <w:i/>
          <w:sz w:val="28"/>
          <w:szCs w:val="28"/>
        </w:rPr>
        <w:t>)</w:t>
      </w:r>
      <w:r>
        <w:rPr>
          <w:b/>
          <w:i/>
          <w:sz w:val="28"/>
          <w:szCs w:val="28"/>
        </w:rPr>
        <w:t xml:space="preserve"> – </w:t>
      </w:r>
      <w:r w:rsidR="00F41E87">
        <w:rPr>
          <w:b/>
          <w:i/>
          <w:sz w:val="28"/>
          <w:szCs w:val="28"/>
        </w:rPr>
        <w:t xml:space="preserve">Continuation of </w:t>
      </w:r>
      <w:r w:rsidR="00400411">
        <w:rPr>
          <w:b/>
          <w:i/>
          <w:sz w:val="28"/>
          <w:szCs w:val="28"/>
        </w:rPr>
        <w:t>Suspension</w:t>
      </w:r>
    </w:p>
    <w:p w14:paraId="2D79AA7E" w14:textId="77777777" w:rsidR="00E530EB" w:rsidRPr="00A27DC1" w:rsidRDefault="00E530EB" w:rsidP="00E530EB">
      <w:pPr>
        <w:ind w:left="360"/>
        <w:jc w:val="left"/>
        <w:rPr>
          <w:b/>
          <w:sz w:val="28"/>
          <w:szCs w:val="28"/>
        </w:rPr>
      </w:pPr>
      <w:r>
        <w:rPr>
          <w:b/>
          <w:sz w:val="28"/>
          <w:szCs w:val="28"/>
        </w:rPr>
        <w:t xml:space="preserve">Form </w:t>
      </w:r>
      <w:r w:rsidRPr="00A27DC1">
        <w:rPr>
          <w:b/>
          <w:sz w:val="28"/>
          <w:szCs w:val="28"/>
        </w:rPr>
        <w:t xml:space="preserve">EIA-64A, </w:t>
      </w:r>
      <w:r w:rsidRPr="00B40712">
        <w:rPr>
          <w:b/>
          <w:i/>
          <w:sz w:val="28"/>
          <w:szCs w:val="28"/>
        </w:rPr>
        <w:t>Annual Report of the Origin of Natural Gas Liquids Production</w:t>
      </w:r>
      <w:r w:rsidR="00D17DAF">
        <w:rPr>
          <w:b/>
          <w:i/>
          <w:sz w:val="28"/>
          <w:szCs w:val="28"/>
        </w:rPr>
        <w:t xml:space="preserve"> – </w:t>
      </w:r>
      <w:r w:rsidR="00F41E87">
        <w:rPr>
          <w:b/>
          <w:i/>
          <w:sz w:val="28"/>
          <w:szCs w:val="28"/>
        </w:rPr>
        <w:t>Extension of Collection without change</w:t>
      </w:r>
    </w:p>
    <w:p w14:paraId="2F8E6304" w14:textId="77777777" w:rsidR="002C0331" w:rsidRPr="006139D7" w:rsidRDefault="002C0331" w:rsidP="006473DA">
      <w:pPr>
        <w:jc w:val="left"/>
        <w:rPr>
          <w:b/>
          <w:sz w:val="32"/>
          <w:szCs w:val="32"/>
        </w:rPr>
      </w:pPr>
      <w:bookmarkStart w:id="1" w:name="_Toc335830624"/>
      <w:bookmarkEnd w:id="0"/>
      <w:r w:rsidRPr="006139D7">
        <w:rPr>
          <w:b/>
          <w:sz w:val="32"/>
          <w:szCs w:val="32"/>
        </w:rPr>
        <w:t>OMB No. 1905</w:t>
      </w:r>
      <w:r w:rsidR="002553C8" w:rsidRPr="006139D7">
        <w:rPr>
          <w:b/>
          <w:sz w:val="32"/>
          <w:szCs w:val="32"/>
        </w:rPr>
        <w:t>-</w:t>
      </w:r>
      <w:r w:rsidR="00E53FE8">
        <w:rPr>
          <w:b/>
          <w:sz w:val="32"/>
          <w:szCs w:val="32"/>
        </w:rPr>
        <w:t>0057</w:t>
      </w:r>
      <w:bookmarkEnd w:id="1"/>
    </w:p>
    <w:p w14:paraId="04794F9F" w14:textId="77777777" w:rsidR="002C0331" w:rsidRPr="006139D7" w:rsidRDefault="002C0331" w:rsidP="006473DA">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tblGrid>
      <w:tr w:rsidR="002C0331" w:rsidRPr="006139D7" w14:paraId="51485EE1" w14:textId="77777777" w:rsidTr="005A1904">
        <w:tc>
          <w:tcPr>
            <w:tcW w:w="4068" w:type="dxa"/>
            <w:vAlign w:val="center"/>
          </w:tcPr>
          <w:p w14:paraId="3CF03EF5" w14:textId="77777777" w:rsidR="00B44725" w:rsidRDefault="00B44725" w:rsidP="00B44725">
            <w:pPr>
              <w:spacing w:before="120" w:beforeAutospacing="0" w:after="120" w:afterAutospacing="0"/>
              <w:jc w:val="left"/>
              <w:rPr>
                <w:b/>
                <w:sz w:val="32"/>
                <w:szCs w:val="32"/>
              </w:rPr>
            </w:pPr>
            <w:r>
              <w:rPr>
                <w:b/>
                <w:sz w:val="32"/>
                <w:szCs w:val="32"/>
              </w:rPr>
              <w:t>Part A:</w:t>
            </w:r>
          </w:p>
          <w:p w14:paraId="67AC1FAF" w14:textId="77777777" w:rsidR="002C0331" w:rsidRPr="006139D7" w:rsidRDefault="002C0331" w:rsidP="00B44725">
            <w:pPr>
              <w:spacing w:before="120" w:beforeAutospacing="0" w:after="120" w:afterAutospacing="0"/>
              <w:jc w:val="left"/>
              <w:rPr>
                <w:b/>
                <w:sz w:val="32"/>
                <w:szCs w:val="32"/>
              </w:rPr>
            </w:pPr>
            <w:r w:rsidRPr="00AE20DC">
              <w:rPr>
                <w:b/>
                <w:sz w:val="32"/>
                <w:szCs w:val="32"/>
              </w:rPr>
              <w:t>Background and Proposal</w:t>
            </w:r>
          </w:p>
        </w:tc>
      </w:tr>
    </w:tbl>
    <w:p w14:paraId="606CC390" w14:textId="77777777" w:rsidR="002C0331" w:rsidRPr="006139D7" w:rsidRDefault="002C0331" w:rsidP="006473DA">
      <w:pPr>
        <w:jc w:val="left"/>
      </w:pPr>
    </w:p>
    <w:p w14:paraId="479765BF" w14:textId="77777777" w:rsidR="002C0331" w:rsidRPr="006139D7" w:rsidRDefault="002C0331" w:rsidP="006473DA">
      <w:pPr>
        <w:jc w:val="left"/>
      </w:pPr>
    </w:p>
    <w:p w14:paraId="16272296" w14:textId="77777777" w:rsidR="00B34E57" w:rsidRPr="006473DA" w:rsidRDefault="002C0331" w:rsidP="006473DA">
      <w:pPr>
        <w:jc w:val="left"/>
        <w:rPr>
          <w:highlight w:val="yellow"/>
        </w:rPr>
      </w:pPr>
      <w:r w:rsidRPr="006473DA">
        <w:rPr>
          <w:b/>
        </w:rPr>
        <w:t>Original Date:</w:t>
      </w:r>
      <w:r w:rsidRPr="00F51ECD">
        <w:t xml:space="preserve"> </w:t>
      </w:r>
      <w:r w:rsidR="00D77A4B">
        <w:t xml:space="preserve">December </w:t>
      </w:r>
      <w:r w:rsidR="00F41E87">
        <w:t>2015</w:t>
      </w:r>
    </w:p>
    <w:p w14:paraId="766691EE" w14:textId="77777777" w:rsidR="007B10FA" w:rsidRDefault="007B10FA">
      <w:pPr>
        <w:rPr>
          <w:b/>
          <w:highlight w:val="yellow"/>
        </w:rPr>
        <w:sectPr w:rsidR="007B10FA" w:rsidSect="007B10FA">
          <w:footerReference w:type="default" r:id="rId9"/>
          <w:pgSz w:w="12240" w:h="15840"/>
          <w:pgMar w:top="1440" w:right="1440" w:bottom="1440" w:left="1440" w:header="720" w:footer="720" w:gutter="0"/>
          <w:cols w:space="720"/>
          <w:titlePg/>
          <w:docGrid w:linePitch="360"/>
        </w:sectPr>
      </w:pPr>
    </w:p>
    <w:p w14:paraId="57F95590" w14:textId="77777777" w:rsidR="00B34E57" w:rsidRDefault="00B34E57">
      <w:pPr>
        <w:pStyle w:val="TOC1"/>
        <w:tabs>
          <w:tab w:val="right" w:leader="dot" w:pos="9410"/>
        </w:tabs>
        <w:rPr>
          <w:rFonts w:ascii="Arial" w:hAnsi="Arial"/>
          <w:b/>
          <w:color w:val="000000"/>
          <w:sz w:val="21"/>
        </w:rPr>
      </w:pPr>
    </w:p>
    <w:sdt>
      <w:sdtPr>
        <w:rPr>
          <w:rFonts w:ascii="Calibri" w:hAnsi="Calibri"/>
          <w:b/>
          <w:bCs/>
          <w:sz w:val="28"/>
          <w:szCs w:val="28"/>
        </w:rPr>
        <w:id w:val="23057126"/>
        <w:docPartObj>
          <w:docPartGallery w:val="Table of Contents"/>
          <w:docPartUnique/>
        </w:docPartObj>
      </w:sdtPr>
      <w:sdtEndPr>
        <w:rPr>
          <w:rFonts w:ascii="Times New Roman" w:hAnsi="Times New Roman"/>
          <w:b w:val="0"/>
          <w:bCs w:val="0"/>
          <w:sz w:val="24"/>
          <w:szCs w:val="22"/>
        </w:rPr>
      </w:sdtEndPr>
      <w:sdtContent>
        <w:p w14:paraId="13546A21" w14:textId="77777777" w:rsidR="00B34E57" w:rsidRPr="006473DA" w:rsidRDefault="00B34E57" w:rsidP="00157E04">
          <w:pPr>
            <w:spacing w:before="240" w:beforeAutospacing="0" w:after="240" w:afterAutospacing="0"/>
            <w:rPr>
              <w:b/>
              <w:sz w:val="28"/>
              <w:szCs w:val="28"/>
            </w:rPr>
          </w:pPr>
          <w:r w:rsidRPr="006473DA">
            <w:rPr>
              <w:b/>
              <w:sz w:val="28"/>
              <w:szCs w:val="28"/>
            </w:rPr>
            <w:t>Table of Contents</w:t>
          </w:r>
        </w:p>
        <w:p w14:paraId="28782E49" w14:textId="77777777" w:rsidR="00F90043" w:rsidRDefault="00EF2E94">
          <w:pPr>
            <w:pStyle w:val="TOC1"/>
            <w:tabs>
              <w:tab w:val="right" w:leader="dot" w:pos="9350"/>
            </w:tabs>
            <w:rPr>
              <w:rFonts w:asciiTheme="minorHAnsi" w:eastAsiaTheme="minorEastAsia" w:hAnsiTheme="minorHAnsi" w:cstheme="minorBidi"/>
              <w:noProof/>
              <w:sz w:val="22"/>
            </w:rPr>
          </w:pPr>
          <w:r w:rsidRPr="00474F12">
            <w:rPr>
              <w:sz w:val="22"/>
            </w:rPr>
            <w:fldChar w:fldCharType="begin"/>
          </w:r>
          <w:r w:rsidR="00B34E57" w:rsidRPr="00474F12">
            <w:rPr>
              <w:sz w:val="22"/>
            </w:rPr>
            <w:instrText xml:space="preserve"> TOC \o "1-3" \h \z \u </w:instrText>
          </w:r>
          <w:r w:rsidRPr="00474F12">
            <w:rPr>
              <w:sz w:val="22"/>
            </w:rPr>
            <w:fldChar w:fldCharType="separate"/>
          </w:r>
          <w:hyperlink w:anchor="_Toc349579962" w:history="1">
            <w:r w:rsidR="00F90043" w:rsidRPr="007E0918">
              <w:rPr>
                <w:rStyle w:val="Hyperlink"/>
                <w:noProof/>
              </w:rPr>
              <w:t>INTRODUCTION</w:t>
            </w:r>
            <w:r w:rsidR="00F90043">
              <w:rPr>
                <w:noProof/>
                <w:webHidden/>
              </w:rPr>
              <w:tab/>
            </w:r>
            <w:r>
              <w:rPr>
                <w:noProof/>
                <w:webHidden/>
              </w:rPr>
              <w:fldChar w:fldCharType="begin"/>
            </w:r>
            <w:r w:rsidR="00F90043">
              <w:rPr>
                <w:noProof/>
                <w:webHidden/>
              </w:rPr>
              <w:instrText xml:space="preserve"> PAGEREF _Toc349579962 \h </w:instrText>
            </w:r>
            <w:r>
              <w:rPr>
                <w:noProof/>
                <w:webHidden/>
              </w:rPr>
            </w:r>
            <w:r>
              <w:rPr>
                <w:noProof/>
                <w:webHidden/>
              </w:rPr>
              <w:fldChar w:fldCharType="separate"/>
            </w:r>
            <w:r w:rsidR="00580288">
              <w:rPr>
                <w:noProof/>
                <w:webHidden/>
              </w:rPr>
              <w:t>1</w:t>
            </w:r>
            <w:r>
              <w:rPr>
                <w:noProof/>
                <w:webHidden/>
              </w:rPr>
              <w:fldChar w:fldCharType="end"/>
            </w:r>
          </w:hyperlink>
        </w:p>
        <w:p w14:paraId="25946623" w14:textId="77777777" w:rsidR="00F90043" w:rsidRDefault="00013B5B">
          <w:pPr>
            <w:pStyle w:val="TOC1"/>
            <w:tabs>
              <w:tab w:val="right" w:leader="dot" w:pos="9350"/>
            </w:tabs>
            <w:rPr>
              <w:rFonts w:asciiTheme="minorHAnsi" w:eastAsiaTheme="minorEastAsia" w:hAnsiTheme="minorHAnsi" w:cstheme="minorBidi"/>
              <w:noProof/>
              <w:sz w:val="22"/>
            </w:rPr>
          </w:pPr>
          <w:hyperlink w:anchor="_Toc349579963" w:history="1">
            <w:r w:rsidR="00F90043" w:rsidRPr="007E0918">
              <w:rPr>
                <w:rStyle w:val="Hyperlink"/>
                <w:noProof/>
              </w:rPr>
              <w:t>CHANGES</w:t>
            </w:r>
            <w:r w:rsidR="00F90043">
              <w:rPr>
                <w:noProof/>
                <w:webHidden/>
              </w:rPr>
              <w:tab/>
            </w:r>
            <w:r w:rsidR="00EF2E94">
              <w:rPr>
                <w:noProof/>
                <w:webHidden/>
              </w:rPr>
              <w:fldChar w:fldCharType="begin"/>
            </w:r>
            <w:r w:rsidR="00F90043">
              <w:rPr>
                <w:noProof/>
                <w:webHidden/>
              </w:rPr>
              <w:instrText xml:space="preserve"> PAGEREF _Toc349579963 \h </w:instrText>
            </w:r>
            <w:r w:rsidR="00EF2E94">
              <w:rPr>
                <w:noProof/>
                <w:webHidden/>
              </w:rPr>
            </w:r>
            <w:r w:rsidR="00EF2E94">
              <w:rPr>
                <w:noProof/>
                <w:webHidden/>
              </w:rPr>
              <w:fldChar w:fldCharType="separate"/>
            </w:r>
            <w:r w:rsidR="00580288">
              <w:rPr>
                <w:noProof/>
                <w:webHidden/>
              </w:rPr>
              <w:t>1</w:t>
            </w:r>
            <w:r w:rsidR="00EF2E94">
              <w:rPr>
                <w:noProof/>
                <w:webHidden/>
              </w:rPr>
              <w:fldChar w:fldCharType="end"/>
            </w:r>
          </w:hyperlink>
        </w:p>
        <w:p w14:paraId="491F085C" w14:textId="77777777" w:rsidR="00F90043" w:rsidRDefault="00013B5B">
          <w:pPr>
            <w:pStyle w:val="TOC1"/>
            <w:tabs>
              <w:tab w:val="left" w:pos="660"/>
              <w:tab w:val="right" w:leader="dot" w:pos="9350"/>
            </w:tabs>
            <w:rPr>
              <w:rFonts w:asciiTheme="minorHAnsi" w:eastAsiaTheme="minorEastAsia" w:hAnsiTheme="minorHAnsi" w:cstheme="minorBidi"/>
              <w:noProof/>
              <w:sz w:val="22"/>
            </w:rPr>
          </w:pPr>
          <w:hyperlink w:anchor="_Toc349579964" w:history="1">
            <w:r w:rsidR="00F90043" w:rsidRPr="007E0918">
              <w:rPr>
                <w:rStyle w:val="Hyperlink"/>
                <w:noProof/>
              </w:rPr>
              <w:t>A.</w:t>
            </w:r>
            <w:r w:rsidR="00F90043">
              <w:rPr>
                <w:rFonts w:asciiTheme="minorHAnsi" w:eastAsiaTheme="minorEastAsia" w:hAnsiTheme="minorHAnsi" w:cstheme="minorBidi"/>
                <w:noProof/>
                <w:sz w:val="22"/>
              </w:rPr>
              <w:tab/>
            </w:r>
            <w:r w:rsidR="00F90043" w:rsidRPr="007E0918">
              <w:rPr>
                <w:rStyle w:val="Hyperlink"/>
                <w:noProof/>
              </w:rPr>
              <w:t>JUSTIFICATION</w:t>
            </w:r>
            <w:r w:rsidR="00F90043">
              <w:rPr>
                <w:noProof/>
                <w:webHidden/>
              </w:rPr>
              <w:tab/>
            </w:r>
            <w:r w:rsidR="00EF2E94">
              <w:rPr>
                <w:noProof/>
                <w:webHidden/>
              </w:rPr>
              <w:fldChar w:fldCharType="begin"/>
            </w:r>
            <w:r w:rsidR="00F90043">
              <w:rPr>
                <w:noProof/>
                <w:webHidden/>
              </w:rPr>
              <w:instrText xml:space="preserve"> PAGEREF _Toc349579964 \h </w:instrText>
            </w:r>
            <w:r w:rsidR="00EF2E94">
              <w:rPr>
                <w:noProof/>
                <w:webHidden/>
              </w:rPr>
            </w:r>
            <w:r w:rsidR="00EF2E94">
              <w:rPr>
                <w:noProof/>
                <w:webHidden/>
              </w:rPr>
              <w:fldChar w:fldCharType="separate"/>
            </w:r>
            <w:r w:rsidR="00580288">
              <w:rPr>
                <w:noProof/>
                <w:webHidden/>
              </w:rPr>
              <w:t>2</w:t>
            </w:r>
            <w:r w:rsidR="00EF2E94">
              <w:rPr>
                <w:noProof/>
                <w:webHidden/>
              </w:rPr>
              <w:fldChar w:fldCharType="end"/>
            </w:r>
          </w:hyperlink>
        </w:p>
        <w:p w14:paraId="46907B60" w14:textId="77777777" w:rsidR="00F90043" w:rsidRDefault="00013B5B">
          <w:pPr>
            <w:pStyle w:val="TOC2"/>
            <w:rPr>
              <w:rFonts w:asciiTheme="minorHAnsi" w:eastAsiaTheme="minorEastAsia" w:hAnsiTheme="minorHAnsi" w:cstheme="minorBidi"/>
              <w:sz w:val="22"/>
              <w:szCs w:val="22"/>
            </w:rPr>
          </w:pPr>
          <w:hyperlink w:anchor="_Toc349579965" w:history="1">
            <w:r w:rsidR="00F90043" w:rsidRPr="007E0918">
              <w:rPr>
                <w:rStyle w:val="Hyperlink"/>
              </w:rPr>
              <w:t>A.1</w:t>
            </w:r>
            <w:r w:rsidR="00F90043">
              <w:rPr>
                <w:rFonts w:asciiTheme="minorHAnsi" w:eastAsiaTheme="minorEastAsia" w:hAnsiTheme="minorHAnsi" w:cstheme="minorBidi"/>
                <w:sz w:val="22"/>
                <w:szCs w:val="22"/>
              </w:rPr>
              <w:tab/>
            </w:r>
            <w:r w:rsidR="00F90043" w:rsidRPr="007E0918">
              <w:rPr>
                <w:rStyle w:val="Hyperlink"/>
              </w:rPr>
              <w:t>Legal Authority</w:t>
            </w:r>
            <w:r w:rsidR="00F90043">
              <w:rPr>
                <w:webHidden/>
              </w:rPr>
              <w:tab/>
            </w:r>
            <w:r w:rsidR="00EF2E94">
              <w:rPr>
                <w:webHidden/>
              </w:rPr>
              <w:fldChar w:fldCharType="begin"/>
            </w:r>
            <w:r w:rsidR="00F90043">
              <w:rPr>
                <w:webHidden/>
              </w:rPr>
              <w:instrText xml:space="preserve"> PAGEREF _Toc349579965 \h </w:instrText>
            </w:r>
            <w:r w:rsidR="00EF2E94">
              <w:rPr>
                <w:webHidden/>
              </w:rPr>
            </w:r>
            <w:r w:rsidR="00EF2E94">
              <w:rPr>
                <w:webHidden/>
              </w:rPr>
              <w:fldChar w:fldCharType="separate"/>
            </w:r>
            <w:r w:rsidR="00580288">
              <w:rPr>
                <w:webHidden/>
              </w:rPr>
              <w:t>2</w:t>
            </w:r>
            <w:r w:rsidR="00EF2E94">
              <w:rPr>
                <w:webHidden/>
              </w:rPr>
              <w:fldChar w:fldCharType="end"/>
            </w:r>
          </w:hyperlink>
        </w:p>
        <w:p w14:paraId="2FD9F66E" w14:textId="77777777" w:rsidR="00F90043" w:rsidRDefault="00013B5B">
          <w:pPr>
            <w:pStyle w:val="TOC2"/>
            <w:rPr>
              <w:rFonts w:asciiTheme="minorHAnsi" w:eastAsiaTheme="minorEastAsia" w:hAnsiTheme="minorHAnsi" w:cstheme="minorBidi"/>
              <w:sz w:val="22"/>
              <w:szCs w:val="22"/>
            </w:rPr>
          </w:pPr>
          <w:hyperlink w:anchor="_Toc349579966" w:history="1">
            <w:r w:rsidR="00F90043" w:rsidRPr="007E0918">
              <w:rPr>
                <w:rStyle w:val="Hyperlink"/>
              </w:rPr>
              <w:t>A.2</w:t>
            </w:r>
            <w:r w:rsidR="00F90043">
              <w:rPr>
                <w:rFonts w:asciiTheme="minorHAnsi" w:eastAsiaTheme="minorEastAsia" w:hAnsiTheme="minorHAnsi" w:cstheme="minorBidi"/>
                <w:sz w:val="22"/>
                <w:szCs w:val="22"/>
              </w:rPr>
              <w:tab/>
            </w:r>
            <w:r w:rsidR="00F90043" w:rsidRPr="007E0918">
              <w:rPr>
                <w:rStyle w:val="Hyperlink"/>
              </w:rPr>
              <w:t>Needs for and Uses of the Data</w:t>
            </w:r>
            <w:r w:rsidR="00F90043">
              <w:rPr>
                <w:webHidden/>
              </w:rPr>
              <w:tab/>
            </w:r>
            <w:r w:rsidR="00EF2E94">
              <w:rPr>
                <w:webHidden/>
              </w:rPr>
              <w:fldChar w:fldCharType="begin"/>
            </w:r>
            <w:r w:rsidR="00F90043">
              <w:rPr>
                <w:webHidden/>
              </w:rPr>
              <w:instrText xml:space="preserve"> PAGEREF _Toc349579966 \h </w:instrText>
            </w:r>
            <w:r w:rsidR="00EF2E94">
              <w:rPr>
                <w:webHidden/>
              </w:rPr>
            </w:r>
            <w:r w:rsidR="00EF2E94">
              <w:rPr>
                <w:webHidden/>
              </w:rPr>
              <w:fldChar w:fldCharType="separate"/>
            </w:r>
            <w:r w:rsidR="00580288">
              <w:rPr>
                <w:webHidden/>
              </w:rPr>
              <w:t>3</w:t>
            </w:r>
            <w:r w:rsidR="00EF2E94">
              <w:rPr>
                <w:webHidden/>
              </w:rPr>
              <w:fldChar w:fldCharType="end"/>
            </w:r>
          </w:hyperlink>
        </w:p>
        <w:p w14:paraId="57CFAAA8" w14:textId="77777777" w:rsidR="00F90043" w:rsidRDefault="00013B5B">
          <w:pPr>
            <w:pStyle w:val="TOC2"/>
            <w:rPr>
              <w:rFonts w:asciiTheme="minorHAnsi" w:eastAsiaTheme="minorEastAsia" w:hAnsiTheme="minorHAnsi" w:cstheme="minorBidi"/>
              <w:sz w:val="22"/>
              <w:szCs w:val="22"/>
            </w:rPr>
          </w:pPr>
          <w:hyperlink w:anchor="_Toc349579967" w:history="1">
            <w:r w:rsidR="00F90043" w:rsidRPr="007E0918">
              <w:rPr>
                <w:rStyle w:val="Hyperlink"/>
              </w:rPr>
              <w:t>A.3</w:t>
            </w:r>
            <w:r w:rsidR="00F90043">
              <w:rPr>
                <w:rFonts w:asciiTheme="minorHAnsi" w:eastAsiaTheme="minorEastAsia" w:hAnsiTheme="minorHAnsi" w:cstheme="minorBidi"/>
                <w:sz w:val="22"/>
                <w:szCs w:val="22"/>
              </w:rPr>
              <w:tab/>
            </w:r>
            <w:r w:rsidR="00F90043" w:rsidRPr="007E0918">
              <w:rPr>
                <w:rStyle w:val="Hyperlink"/>
              </w:rPr>
              <w:t>Use of Information Technology</w:t>
            </w:r>
            <w:r w:rsidR="00F90043">
              <w:rPr>
                <w:webHidden/>
              </w:rPr>
              <w:tab/>
            </w:r>
            <w:r w:rsidR="00EF2E94">
              <w:rPr>
                <w:webHidden/>
              </w:rPr>
              <w:fldChar w:fldCharType="begin"/>
            </w:r>
            <w:r w:rsidR="00F90043">
              <w:rPr>
                <w:webHidden/>
              </w:rPr>
              <w:instrText xml:space="preserve"> PAGEREF _Toc349579967 \h </w:instrText>
            </w:r>
            <w:r w:rsidR="00EF2E94">
              <w:rPr>
                <w:webHidden/>
              </w:rPr>
            </w:r>
            <w:r w:rsidR="00EF2E94">
              <w:rPr>
                <w:webHidden/>
              </w:rPr>
              <w:fldChar w:fldCharType="separate"/>
            </w:r>
            <w:r w:rsidR="00580288">
              <w:rPr>
                <w:webHidden/>
              </w:rPr>
              <w:t>4</w:t>
            </w:r>
            <w:r w:rsidR="00EF2E94">
              <w:rPr>
                <w:webHidden/>
              </w:rPr>
              <w:fldChar w:fldCharType="end"/>
            </w:r>
          </w:hyperlink>
        </w:p>
        <w:p w14:paraId="54D2E0EC" w14:textId="77777777" w:rsidR="00F90043" w:rsidRDefault="00013B5B">
          <w:pPr>
            <w:pStyle w:val="TOC2"/>
            <w:rPr>
              <w:rFonts w:asciiTheme="minorHAnsi" w:eastAsiaTheme="minorEastAsia" w:hAnsiTheme="minorHAnsi" w:cstheme="minorBidi"/>
              <w:sz w:val="22"/>
              <w:szCs w:val="22"/>
            </w:rPr>
          </w:pPr>
          <w:hyperlink w:anchor="_Toc349579968" w:history="1">
            <w:r w:rsidR="00F90043" w:rsidRPr="007E0918">
              <w:rPr>
                <w:rStyle w:val="Hyperlink"/>
              </w:rPr>
              <w:t>A.4</w:t>
            </w:r>
            <w:r w:rsidR="00F90043">
              <w:rPr>
                <w:rFonts w:asciiTheme="minorHAnsi" w:eastAsiaTheme="minorEastAsia" w:hAnsiTheme="minorHAnsi" w:cstheme="minorBidi"/>
                <w:sz w:val="22"/>
                <w:szCs w:val="22"/>
              </w:rPr>
              <w:tab/>
            </w:r>
            <w:r w:rsidR="00F90043" w:rsidRPr="007E0918">
              <w:rPr>
                <w:rStyle w:val="Hyperlink"/>
              </w:rPr>
              <w:t>Efforts to Reduce Duplication</w:t>
            </w:r>
            <w:r w:rsidR="00F90043">
              <w:rPr>
                <w:webHidden/>
              </w:rPr>
              <w:tab/>
            </w:r>
            <w:r w:rsidR="00EF2E94">
              <w:rPr>
                <w:webHidden/>
              </w:rPr>
              <w:fldChar w:fldCharType="begin"/>
            </w:r>
            <w:r w:rsidR="00F90043">
              <w:rPr>
                <w:webHidden/>
              </w:rPr>
              <w:instrText xml:space="preserve"> PAGEREF _Toc349579968 \h </w:instrText>
            </w:r>
            <w:r w:rsidR="00EF2E94">
              <w:rPr>
                <w:webHidden/>
              </w:rPr>
            </w:r>
            <w:r w:rsidR="00EF2E94">
              <w:rPr>
                <w:webHidden/>
              </w:rPr>
              <w:fldChar w:fldCharType="separate"/>
            </w:r>
            <w:r w:rsidR="00580288">
              <w:rPr>
                <w:webHidden/>
              </w:rPr>
              <w:t>4</w:t>
            </w:r>
            <w:r w:rsidR="00EF2E94">
              <w:rPr>
                <w:webHidden/>
              </w:rPr>
              <w:fldChar w:fldCharType="end"/>
            </w:r>
          </w:hyperlink>
        </w:p>
        <w:p w14:paraId="390B9B2C" w14:textId="77777777" w:rsidR="00F90043" w:rsidRDefault="00013B5B">
          <w:pPr>
            <w:pStyle w:val="TOC2"/>
            <w:rPr>
              <w:rFonts w:asciiTheme="minorHAnsi" w:eastAsiaTheme="minorEastAsia" w:hAnsiTheme="minorHAnsi" w:cstheme="minorBidi"/>
              <w:sz w:val="22"/>
              <w:szCs w:val="22"/>
            </w:rPr>
          </w:pPr>
          <w:hyperlink w:anchor="_Toc349579969" w:history="1">
            <w:r w:rsidR="00F90043" w:rsidRPr="007E0918">
              <w:rPr>
                <w:rStyle w:val="Hyperlink"/>
              </w:rPr>
              <w:t>A.5</w:t>
            </w:r>
            <w:r w:rsidR="00F90043">
              <w:rPr>
                <w:rFonts w:asciiTheme="minorHAnsi" w:eastAsiaTheme="minorEastAsia" w:hAnsiTheme="minorHAnsi" w:cstheme="minorBidi"/>
                <w:sz w:val="22"/>
                <w:szCs w:val="22"/>
              </w:rPr>
              <w:tab/>
            </w:r>
            <w:r w:rsidR="00F90043" w:rsidRPr="007E0918">
              <w:rPr>
                <w:rStyle w:val="Hyperlink"/>
              </w:rPr>
              <w:t>Burden Reduction for Small Entities</w:t>
            </w:r>
            <w:r w:rsidR="00F90043">
              <w:rPr>
                <w:webHidden/>
              </w:rPr>
              <w:tab/>
            </w:r>
            <w:r w:rsidR="00EF2E94">
              <w:rPr>
                <w:webHidden/>
              </w:rPr>
              <w:fldChar w:fldCharType="begin"/>
            </w:r>
            <w:r w:rsidR="00F90043">
              <w:rPr>
                <w:webHidden/>
              </w:rPr>
              <w:instrText xml:space="preserve"> PAGEREF _Toc349579969 \h </w:instrText>
            </w:r>
            <w:r w:rsidR="00EF2E94">
              <w:rPr>
                <w:webHidden/>
              </w:rPr>
            </w:r>
            <w:r w:rsidR="00EF2E94">
              <w:rPr>
                <w:webHidden/>
              </w:rPr>
              <w:fldChar w:fldCharType="separate"/>
            </w:r>
            <w:r w:rsidR="00580288">
              <w:rPr>
                <w:webHidden/>
              </w:rPr>
              <w:t>5</w:t>
            </w:r>
            <w:r w:rsidR="00EF2E94">
              <w:rPr>
                <w:webHidden/>
              </w:rPr>
              <w:fldChar w:fldCharType="end"/>
            </w:r>
          </w:hyperlink>
        </w:p>
        <w:p w14:paraId="0D4CADDF" w14:textId="77777777" w:rsidR="00F90043" w:rsidRDefault="00013B5B">
          <w:pPr>
            <w:pStyle w:val="TOC2"/>
            <w:rPr>
              <w:rFonts w:asciiTheme="minorHAnsi" w:eastAsiaTheme="minorEastAsia" w:hAnsiTheme="minorHAnsi" w:cstheme="minorBidi"/>
              <w:sz w:val="22"/>
              <w:szCs w:val="22"/>
            </w:rPr>
          </w:pPr>
          <w:hyperlink w:anchor="_Toc349579970" w:history="1">
            <w:r w:rsidR="00F90043" w:rsidRPr="007E0918">
              <w:rPr>
                <w:rStyle w:val="Hyperlink"/>
              </w:rPr>
              <w:t>A.6</w:t>
            </w:r>
            <w:r w:rsidR="00F90043">
              <w:rPr>
                <w:rFonts w:asciiTheme="minorHAnsi" w:eastAsiaTheme="minorEastAsia" w:hAnsiTheme="minorHAnsi" w:cstheme="minorBidi"/>
                <w:sz w:val="22"/>
                <w:szCs w:val="22"/>
              </w:rPr>
              <w:tab/>
            </w:r>
            <w:r w:rsidR="00F90043" w:rsidRPr="007E0918">
              <w:rPr>
                <w:rStyle w:val="Hyperlink"/>
              </w:rPr>
              <w:t>Consequences of Less Frequent Data Collection</w:t>
            </w:r>
            <w:r w:rsidR="00F90043">
              <w:rPr>
                <w:webHidden/>
              </w:rPr>
              <w:tab/>
            </w:r>
            <w:r w:rsidR="00EF2E94">
              <w:rPr>
                <w:webHidden/>
              </w:rPr>
              <w:fldChar w:fldCharType="begin"/>
            </w:r>
            <w:r w:rsidR="00F90043">
              <w:rPr>
                <w:webHidden/>
              </w:rPr>
              <w:instrText xml:space="preserve"> PAGEREF _Toc349579970 \h </w:instrText>
            </w:r>
            <w:r w:rsidR="00EF2E94">
              <w:rPr>
                <w:webHidden/>
              </w:rPr>
            </w:r>
            <w:r w:rsidR="00EF2E94">
              <w:rPr>
                <w:webHidden/>
              </w:rPr>
              <w:fldChar w:fldCharType="separate"/>
            </w:r>
            <w:r w:rsidR="00580288">
              <w:rPr>
                <w:webHidden/>
              </w:rPr>
              <w:t>5</w:t>
            </w:r>
            <w:r w:rsidR="00EF2E94">
              <w:rPr>
                <w:webHidden/>
              </w:rPr>
              <w:fldChar w:fldCharType="end"/>
            </w:r>
          </w:hyperlink>
        </w:p>
        <w:p w14:paraId="51B6F10B" w14:textId="77777777" w:rsidR="00F90043" w:rsidRDefault="00013B5B">
          <w:pPr>
            <w:pStyle w:val="TOC2"/>
            <w:rPr>
              <w:rFonts w:asciiTheme="minorHAnsi" w:eastAsiaTheme="minorEastAsia" w:hAnsiTheme="minorHAnsi" w:cstheme="minorBidi"/>
              <w:sz w:val="22"/>
              <w:szCs w:val="22"/>
            </w:rPr>
          </w:pPr>
          <w:hyperlink w:anchor="_Toc349579971" w:history="1">
            <w:r w:rsidR="00F90043" w:rsidRPr="007E0918">
              <w:rPr>
                <w:rStyle w:val="Hyperlink"/>
              </w:rPr>
              <w:t>A.7</w:t>
            </w:r>
            <w:r w:rsidR="00F90043">
              <w:rPr>
                <w:rFonts w:asciiTheme="minorHAnsi" w:eastAsiaTheme="minorEastAsia" w:hAnsiTheme="minorHAnsi" w:cstheme="minorBidi"/>
                <w:sz w:val="22"/>
                <w:szCs w:val="22"/>
              </w:rPr>
              <w:tab/>
            </w:r>
            <w:r w:rsidR="00F90043" w:rsidRPr="007E0918">
              <w:rPr>
                <w:rStyle w:val="Hyperlink"/>
              </w:rPr>
              <w:t>Compliance with 5 CFR 1320.6</w:t>
            </w:r>
            <w:r w:rsidR="00F90043">
              <w:rPr>
                <w:webHidden/>
              </w:rPr>
              <w:tab/>
            </w:r>
            <w:r w:rsidR="00EF2E94">
              <w:rPr>
                <w:webHidden/>
              </w:rPr>
              <w:fldChar w:fldCharType="begin"/>
            </w:r>
            <w:r w:rsidR="00F90043">
              <w:rPr>
                <w:webHidden/>
              </w:rPr>
              <w:instrText xml:space="preserve"> PAGEREF _Toc349579971 \h </w:instrText>
            </w:r>
            <w:r w:rsidR="00EF2E94">
              <w:rPr>
                <w:webHidden/>
              </w:rPr>
            </w:r>
            <w:r w:rsidR="00EF2E94">
              <w:rPr>
                <w:webHidden/>
              </w:rPr>
              <w:fldChar w:fldCharType="separate"/>
            </w:r>
            <w:r w:rsidR="00580288">
              <w:rPr>
                <w:webHidden/>
              </w:rPr>
              <w:t>5</w:t>
            </w:r>
            <w:r w:rsidR="00EF2E94">
              <w:rPr>
                <w:webHidden/>
              </w:rPr>
              <w:fldChar w:fldCharType="end"/>
            </w:r>
          </w:hyperlink>
        </w:p>
        <w:p w14:paraId="724A1334" w14:textId="77777777" w:rsidR="00F90043" w:rsidRDefault="00013B5B">
          <w:pPr>
            <w:pStyle w:val="TOC2"/>
            <w:rPr>
              <w:rFonts w:asciiTheme="minorHAnsi" w:eastAsiaTheme="minorEastAsia" w:hAnsiTheme="minorHAnsi" w:cstheme="minorBidi"/>
              <w:sz w:val="22"/>
              <w:szCs w:val="22"/>
            </w:rPr>
          </w:pPr>
          <w:hyperlink w:anchor="_Toc349579972" w:history="1">
            <w:r w:rsidR="00F90043" w:rsidRPr="007E0918">
              <w:rPr>
                <w:rStyle w:val="Hyperlink"/>
              </w:rPr>
              <w:t>A.8</w:t>
            </w:r>
            <w:r w:rsidR="00F90043">
              <w:rPr>
                <w:rFonts w:asciiTheme="minorHAnsi" w:eastAsiaTheme="minorEastAsia" w:hAnsiTheme="minorHAnsi" w:cstheme="minorBidi"/>
                <w:sz w:val="22"/>
                <w:szCs w:val="22"/>
              </w:rPr>
              <w:tab/>
            </w:r>
            <w:r w:rsidR="00F90043" w:rsidRPr="007E0918">
              <w:rPr>
                <w:rStyle w:val="Hyperlink"/>
              </w:rPr>
              <w:t>Summary of Consultations outside the Agency</w:t>
            </w:r>
            <w:r w:rsidR="00F90043">
              <w:rPr>
                <w:webHidden/>
              </w:rPr>
              <w:tab/>
            </w:r>
            <w:r w:rsidR="00EF2E94">
              <w:rPr>
                <w:webHidden/>
              </w:rPr>
              <w:fldChar w:fldCharType="begin"/>
            </w:r>
            <w:r w:rsidR="00F90043">
              <w:rPr>
                <w:webHidden/>
              </w:rPr>
              <w:instrText xml:space="preserve"> PAGEREF _Toc349579972 \h </w:instrText>
            </w:r>
            <w:r w:rsidR="00EF2E94">
              <w:rPr>
                <w:webHidden/>
              </w:rPr>
            </w:r>
            <w:r w:rsidR="00EF2E94">
              <w:rPr>
                <w:webHidden/>
              </w:rPr>
              <w:fldChar w:fldCharType="separate"/>
            </w:r>
            <w:r w:rsidR="00580288">
              <w:rPr>
                <w:webHidden/>
              </w:rPr>
              <w:t>5</w:t>
            </w:r>
            <w:r w:rsidR="00EF2E94">
              <w:rPr>
                <w:webHidden/>
              </w:rPr>
              <w:fldChar w:fldCharType="end"/>
            </w:r>
          </w:hyperlink>
        </w:p>
        <w:p w14:paraId="1ECF946C" w14:textId="77777777" w:rsidR="00F90043" w:rsidRDefault="00013B5B">
          <w:pPr>
            <w:pStyle w:val="TOC2"/>
            <w:rPr>
              <w:rFonts w:asciiTheme="minorHAnsi" w:eastAsiaTheme="minorEastAsia" w:hAnsiTheme="minorHAnsi" w:cstheme="minorBidi"/>
              <w:sz w:val="22"/>
              <w:szCs w:val="22"/>
            </w:rPr>
          </w:pPr>
          <w:hyperlink w:anchor="_Toc349579973" w:history="1">
            <w:r w:rsidR="00F90043" w:rsidRPr="007E0918">
              <w:rPr>
                <w:rStyle w:val="Hyperlink"/>
              </w:rPr>
              <w:t>A.9</w:t>
            </w:r>
            <w:r w:rsidR="00F90043">
              <w:rPr>
                <w:rFonts w:asciiTheme="minorHAnsi" w:eastAsiaTheme="minorEastAsia" w:hAnsiTheme="minorHAnsi" w:cstheme="minorBidi"/>
                <w:sz w:val="22"/>
                <w:szCs w:val="22"/>
              </w:rPr>
              <w:tab/>
            </w:r>
            <w:r w:rsidR="00F90043" w:rsidRPr="007E0918">
              <w:rPr>
                <w:rStyle w:val="Hyperlink"/>
              </w:rPr>
              <w:t>Remuneration</w:t>
            </w:r>
            <w:r w:rsidR="00F90043">
              <w:rPr>
                <w:webHidden/>
              </w:rPr>
              <w:tab/>
            </w:r>
            <w:r w:rsidR="00EF2E94">
              <w:rPr>
                <w:webHidden/>
              </w:rPr>
              <w:fldChar w:fldCharType="begin"/>
            </w:r>
            <w:r w:rsidR="00F90043">
              <w:rPr>
                <w:webHidden/>
              </w:rPr>
              <w:instrText xml:space="preserve"> PAGEREF _Toc349579973 \h </w:instrText>
            </w:r>
            <w:r w:rsidR="00EF2E94">
              <w:rPr>
                <w:webHidden/>
              </w:rPr>
            </w:r>
            <w:r w:rsidR="00EF2E94">
              <w:rPr>
                <w:webHidden/>
              </w:rPr>
              <w:fldChar w:fldCharType="separate"/>
            </w:r>
            <w:r w:rsidR="00580288">
              <w:rPr>
                <w:webHidden/>
              </w:rPr>
              <w:t>6</w:t>
            </w:r>
            <w:r w:rsidR="00EF2E94">
              <w:rPr>
                <w:webHidden/>
              </w:rPr>
              <w:fldChar w:fldCharType="end"/>
            </w:r>
          </w:hyperlink>
        </w:p>
        <w:p w14:paraId="1C7DC7AE" w14:textId="77777777" w:rsidR="00F90043" w:rsidRDefault="00013B5B">
          <w:pPr>
            <w:pStyle w:val="TOC2"/>
            <w:rPr>
              <w:rFonts w:asciiTheme="minorHAnsi" w:eastAsiaTheme="minorEastAsia" w:hAnsiTheme="minorHAnsi" w:cstheme="minorBidi"/>
              <w:sz w:val="22"/>
              <w:szCs w:val="22"/>
            </w:rPr>
          </w:pPr>
          <w:hyperlink w:anchor="_Toc349579974" w:history="1">
            <w:r w:rsidR="00F90043" w:rsidRPr="007E0918">
              <w:rPr>
                <w:rStyle w:val="Hyperlink"/>
              </w:rPr>
              <w:t>A.10</w:t>
            </w:r>
            <w:r w:rsidR="00F90043">
              <w:rPr>
                <w:rFonts w:asciiTheme="minorHAnsi" w:eastAsiaTheme="minorEastAsia" w:hAnsiTheme="minorHAnsi" w:cstheme="minorBidi"/>
                <w:sz w:val="22"/>
                <w:szCs w:val="22"/>
              </w:rPr>
              <w:tab/>
            </w:r>
            <w:r w:rsidR="00F90043" w:rsidRPr="007E0918">
              <w:rPr>
                <w:rStyle w:val="Hyperlink"/>
              </w:rPr>
              <w:t>Disclosure of Information</w:t>
            </w:r>
            <w:r w:rsidR="00F90043">
              <w:rPr>
                <w:webHidden/>
              </w:rPr>
              <w:tab/>
            </w:r>
            <w:r w:rsidR="00EF2E94">
              <w:rPr>
                <w:webHidden/>
              </w:rPr>
              <w:fldChar w:fldCharType="begin"/>
            </w:r>
            <w:r w:rsidR="00F90043">
              <w:rPr>
                <w:webHidden/>
              </w:rPr>
              <w:instrText xml:space="preserve"> PAGEREF _Toc349579974 \h </w:instrText>
            </w:r>
            <w:r w:rsidR="00EF2E94">
              <w:rPr>
                <w:webHidden/>
              </w:rPr>
            </w:r>
            <w:r w:rsidR="00EF2E94">
              <w:rPr>
                <w:webHidden/>
              </w:rPr>
              <w:fldChar w:fldCharType="separate"/>
            </w:r>
            <w:r w:rsidR="00580288">
              <w:rPr>
                <w:webHidden/>
              </w:rPr>
              <w:t>6</w:t>
            </w:r>
            <w:r w:rsidR="00EF2E94">
              <w:rPr>
                <w:webHidden/>
              </w:rPr>
              <w:fldChar w:fldCharType="end"/>
            </w:r>
          </w:hyperlink>
        </w:p>
        <w:p w14:paraId="20622CE3" w14:textId="77777777" w:rsidR="00F90043" w:rsidRDefault="00013B5B">
          <w:pPr>
            <w:pStyle w:val="TOC2"/>
            <w:rPr>
              <w:rFonts w:asciiTheme="minorHAnsi" w:eastAsiaTheme="minorEastAsia" w:hAnsiTheme="minorHAnsi" w:cstheme="minorBidi"/>
              <w:sz w:val="22"/>
              <w:szCs w:val="22"/>
            </w:rPr>
          </w:pPr>
          <w:hyperlink w:anchor="_Toc349579975" w:history="1">
            <w:r w:rsidR="00F90043" w:rsidRPr="007E0918">
              <w:rPr>
                <w:rStyle w:val="Hyperlink"/>
              </w:rPr>
              <w:t>A.11</w:t>
            </w:r>
            <w:r w:rsidR="00F90043">
              <w:rPr>
                <w:rFonts w:asciiTheme="minorHAnsi" w:eastAsiaTheme="minorEastAsia" w:hAnsiTheme="minorHAnsi" w:cstheme="minorBidi"/>
                <w:sz w:val="22"/>
                <w:szCs w:val="22"/>
              </w:rPr>
              <w:tab/>
            </w:r>
            <w:r w:rsidR="00F90043" w:rsidRPr="007E0918">
              <w:rPr>
                <w:rStyle w:val="Hyperlink"/>
              </w:rPr>
              <w:t>Justification for Sensitive Questions</w:t>
            </w:r>
            <w:r w:rsidR="00F90043">
              <w:rPr>
                <w:webHidden/>
              </w:rPr>
              <w:tab/>
            </w:r>
            <w:r w:rsidR="00EF2E94">
              <w:rPr>
                <w:webHidden/>
              </w:rPr>
              <w:fldChar w:fldCharType="begin"/>
            </w:r>
            <w:r w:rsidR="00F90043">
              <w:rPr>
                <w:webHidden/>
              </w:rPr>
              <w:instrText xml:space="preserve"> PAGEREF _Toc349579975 \h </w:instrText>
            </w:r>
            <w:r w:rsidR="00EF2E94">
              <w:rPr>
                <w:webHidden/>
              </w:rPr>
            </w:r>
            <w:r w:rsidR="00EF2E94">
              <w:rPr>
                <w:webHidden/>
              </w:rPr>
              <w:fldChar w:fldCharType="separate"/>
            </w:r>
            <w:r w:rsidR="00580288">
              <w:rPr>
                <w:webHidden/>
              </w:rPr>
              <w:t>7</w:t>
            </w:r>
            <w:r w:rsidR="00EF2E94">
              <w:rPr>
                <w:webHidden/>
              </w:rPr>
              <w:fldChar w:fldCharType="end"/>
            </w:r>
          </w:hyperlink>
        </w:p>
        <w:p w14:paraId="7160CFA9" w14:textId="77777777" w:rsidR="00F90043" w:rsidRDefault="00013B5B">
          <w:pPr>
            <w:pStyle w:val="TOC2"/>
            <w:rPr>
              <w:rFonts w:asciiTheme="minorHAnsi" w:eastAsiaTheme="minorEastAsia" w:hAnsiTheme="minorHAnsi" w:cstheme="minorBidi"/>
              <w:sz w:val="22"/>
              <w:szCs w:val="22"/>
            </w:rPr>
          </w:pPr>
          <w:hyperlink w:anchor="_Toc349579976" w:history="1">
            <w:r w:rsidR="00F90043" w:rsidRPr="007E0918">
              <w:rPr>
                <w:rStyle w:val="Hyperlink"/>
              </w:rPr>
              <w:t>A.12</w:t>
            </w:r>
            <w:r w:rsidR="00F90043">
              <w:rPr>
                <w:rFonts w:asciiTheme="minorHAnsi" w:eastAsiaTheme="minorEastAsia" w:hAnsiTheme="minorHAnsi" w:cstheme="minorBidi"/>
                <w:sz w:val="22"/>
                <w:szCs w:val="22"/>
              </w:rPr>
              <w:tab/>
            </w:r>
            <w:r w:rsidR="00F90043" w:rsidRPr="007E0918">
              <w:rPr>
                <w:rStyle w:val="Hyperlink"/>
              </w:rPr>
              <w:t>Reporting Burden Estimates</w:t>
            </w:r>
            <w:r w:rsidR="00F90043">
              <w:rPr>
                <w:webHidden/>
              </w:rPr>
              <w:tab/>
            </w:r>
            <w:r w:rsidR="00EF2E94">
              <w:rPr>
                <w:webHidden/>
              </w:rPr>
              <w:fldChar w:fldCharType="begin"/>
            </w:r>
            <w:r w:rsidR="00F90043">
              <w:rPr>
                <w:webHidden/>
              </w:rPr>
              <w:instrText xml:space="preserve"> PAGEREF _Toc349579976 \h </w:instrText>
            </w:r>
            <w:r w:rsidR="00EF2E94">
              <w:rPr>
                <w:webHidden/>
              </w:rPr>
            </w:r>
            <w:r w:rsidR="00EF2E94">
              <w:rPr>
                <w:webHidden/>
              </w:rPr>
              <w:fldChar w:fldCharType="separate"/>
            </w:r>
            <w:r w:rsidR="00580288">
              <w:rPr>
                <w:webHidden/>
              </w:rPr>
              <w:t>7</w:t>
            </w:r>
            <w:r w:rsidR="00EF2E94">
              <w:rPr>
                <w:webHidden/>
              </w:rPr>
              <w:fldChar w:fldCharType="end"/>
            </w:r>
          </w:hyperlink>
        </w:p>
        <w:p w14:paraId="2A0B8660" w14:textId="77777777" w:rsidR="00F90043" w:rsidRDefault="00013B5B">
          <w:pPr>
            <w:pStyle w:val="TOC2"/>
            <w:rPr>
              <w:rFonts w:asciiTheme="minorHAnsi" w:eastAsiaTheme="minorEastAsia" w:hAnsiTheme="minorHAnsi" w:cstheme="minorBidi"/>
              <w:sz w:val="22"/>
              <w:szCs w:val="22"/>
            </w:rPr>
          </w:pPr>
          <w:hyperlink w:anchor="_Toc349579977" w:history="1">
            <w:r w:rsidR="00F90043" w:rsidRPr="007E0918">
              <w:rPr>
                <w:rStyle w:val="Hyperlink"/>
              </w:rPr>
              <w:t>A.13</w:t>
            </w:r>
            <w:r w:rsidR="00F90043">
              <w:rPr>
                <w:rFonts w:asciiTheme="minorHAnsi" w:eastAsiaTheme="minorEastAsia" w:hAnsiTheme="minorHAnsi" w:cstheme="minorBidi"/>
                <w:sz w:val="22"/>
                <w:szCs w:val="22"/>
              </w:rPr>
              <w:tab/>
            </w:r>
            <w:r w:rsidR="00F90043" w:rsidRPr="007E0918">
              <w:rPr>
                <w:rStyle w:val="Hyperlink"/>
              </w:rPr>
              <w:t>Total Annual Cost to Respondents</w:t>
            </w:r>
            <w:r w:rsidR="00F90043">
              <w:rPr>
                <w:webHidden/>
              </w:rPr>
              <w:tab/>
            </w:r>
            <w:r w:rsidR="00EF2E94">
              <w:rPr>
                <w:webHidden/>
              </w:rPr>
              <w:fldChar w:fldCharType="begin"/>
            </w:r>
            <w:r w:rsidR="00F90043">
              <w:rPr>
                <w:webHidden/>
              </w:rPr>
              <w:instrText xml:space="preserve"> PAGEREF _Toc349579977 \h </w:instrText>
            </w:r>
            <w:r w:rsidR="00EF2E94">
              <w:rPr>
                <w:webHidden/>
              </w:rPr>
            </w:r>
            <w:r w:rsidR="00EF2E94">
              <w:rPr>
                <w:webHidden/>
              </w:rPr>
              <w:fldChar w:fldCharType="separate"/>
            </w:r>
            <w:r w:rsidR="00580288">
              <w:rPr>
                <w:webHidden/>
              </w:rPr>
              <w:t>8</w:t>
            </w:r>
            <w:r w:rsidR="00EF2E94">
              <w:rPr>
                <w:webHidden/>
              </w:rPr>
              <w:fldChar w:fldCharType="end"/>
            </w:r>
          </w:hyperlink>
        </w:p>
        <w:p w14:paraId="172ECDA5" w14:textId="77777777" w:rsidR="00F90043" w:rsidRDefault="00422DC7">
          <w:pPr>
            <w:pStyle w:val="TOC2"/>
            <w:rPr>
              <w:rFonts w:asciiTheme="minorHAnsi" w:eastAsiaTheme="minorEastAsia" w:hAnsiTheme="minorHAnsi" w:cstheme="minorBidi"/>
              <w:sz w:val="22"/>
              <w:szCs w:val="22"/>
            </w:rPr>
          </w:pPr>
          <w:r>
            <w:t>1</w:t>
          </w:r>
          <w:hyperlink w:anchor="_Toc349579978" w:history="1">
            <w:r w:rsidR="00F90043" w:rsidRPr="007E0918">
              <w:rPr>
                <w:rStyle w:val="Hyperlink"/>
              </w:rPr>
              <w:t>A.14</w:t>
            </w:r>
            <w:r w:rsidR="00F90043">
              <w:rPr>
                <w:rFonts w:asciiTheme="minorHAnsi" w:eastAsiaTheme="minorEastAsia" w:hAnsiTheme="minorHAnsi" w:cstheme="minorBidi"/>
                <w:sz w:val="22"/>
                <w:szCs w:val="22"/>
              </w:rPr>
              <w:tab/>
            </w:r>
            <w:r w:rsidR="00F90043" w:rsidRPr="007E0918">
              <w:rPr>
                <w:rStyle w:val="Hyperlink"/>
              </w:rPr>
              <w:t>Annualized Costs to the Federal Government</w:t>
            </w:r>
            <w:r w:rsidR="00F90043">
              <w:rPr>
                <w:webHidden/>
              </w:rPr>
              <w:tab/>
            </w:r>
            <w:r w:rsidR="00EF2E94">
              <w:rPr>
                <w:webHidden/>
              </w:rPr>
              <w:fldChar w:fldCharType="begin"/>
            </w:r>
            <w:r w:rsidR="00F90043">
              <w:rPr>
                <w:webHidden/>
              </w:rPr>
              <w:instrText xml:space="preserve"> PAGEREF _Toc349579978 \h </w:instrText>
            </w:r>
            <w:r w:rsidR="00EF2E94">
              <w:rPr>
                <w:webHidden/>
              </w:rPr>
            </w:r>
            <w:r w:rsidR="00EF2E94">
              <w:rPr>
                <w:webHidden/>
              </w:rPr>
              <w:fldChar w:fldCharType="separate"/>
            </w:r>
            <w:r w:rsidR="00580288">
              <w:rPr>
                <w:webHidden/>
              </w:rPr>
              <w:t>8</w:t>
            </w:r>
            <w:r w:rsidR="00EF2E94">
              <w:rPr>
                <w:webHidden/>
              </w:rPr>
              <w:fldChar w:fldCharType="end"/>
            </w:r>
          </w:hyperlink>
        </w:p>
        <w:p w14:paraId="7993F254" w14:textId="77777777" w:rsidR="00F90043" w:rsidRDefault="00013B5B">
          <w:pPr>
            <w:pStyle w:val="TOC2"/>
            <w:rPr>
              <w:rFonts w:asciiTheme="minorHAnsi" w:eastAsiaTheme="minorEastAsia" w:hAnsiTheme="minorHAnsi" w:cstheme="minorBidi"/>
              <w:sz w:val="22"/>
              <w:szCs w:val="22"/>
            </w:rPr>
          </w:pPr>
          <w:hyperlink w:anchor="_Toc349579979" w:history="1">
            <w:r w:rsidR="00F90043" w:rsidRPr="007E0918">
              <w:rPr>
                <w:rStyle w:val="Hyperlink"/>
              </w:rPr>
              <w:t>A.15</w:t>
            </w:r>
            <w:r w:rsidR="00F90043">
              <w:rPr>
                <w:rFonts w:asciiTheme="minorHAnsi" w:eastAsiaTheme="minorEastAsia" w:hAnsiTheme="minorHAnsi" w:cstheme="minorBidi"/>
                <w:sz w:val="22"/>
                <w:szCs w:val="22"/>
              </w:rPr>
              <w:tab/>
            </w:r>
            <w:r w:rsidR="00F90043" w:rsidRPr="007E0918">
              <w:rPr>
                <w:rStyle w:val="Hyperlink"/>
              </w:rPr>
              <w:t>Reasons for Changes in Burden</w:t>
            </w:r>
            <w:r w:rsidR="00F90043">
              <w:rPr>
                <w:webHidden/>
              </w:rPr>
              <w:tab/>
            </w:r>
            <w:r w:rsidR="00EF2E94">
              <w:rPr>
                <w:webHidden/>
              </w:rPr>
              <w:fldChar w:fldCharType="begin"/>
            </w:r>
            <w:r w:rsidR="00F90043">
              <w:rPr>
                <w:webHidden/>
              </w:rPr>
              <w:instrText xml:space="preserve"> PAGEREF _Toc349579979 \h </w:instrText>
            </w:r>
            <w:r w:rsidR="00EF2E94">
              <w:rPr>
                <w:webHidden/>
              </w:rPr>
            </w:r>
            <w:r w:rsidR="00EF2E94">
              <w:rPr>
                <w:webHidden/>
              </w:rPr>
              <w:fldChar w:fldCharType="separate"/>
            </w:r>
            <w:r w:rsidR="00580288">
              <w:rPr>
                <w:webHidden/>
              </w:rPr>
              <w:t>9</w:t>
            </w:r>
            <w:r w:rsidR="00EF2E94">
              <w:rPr>
                <w:webHidden/>
              </w:rPr>
              <w:fldChar w:fldCharType="end"/>
            </w:r>
          </w:hyperlink>
        </w:p>
        <w:p w14:paraId="3BC473FB" w14:textId="77777777" w:rsidR="00F90043" w:rsidRDefault="00013B5B">
          <w:pPr>
            <w:pStyle w:val="TOC2"/>
            <w:rPr>
              <w:rFonts w:asciiTheme="minorHAnsi" w:eastAsiaTheme="minorEastAsia" w:hAnsiTheme="minorHAnsi" w:cstheme="minorBidi"/>
              <w:sz w:val="22"/>
              <w:szCs w:val="22"/>
            </w:rPr>
          </w:pPr>
          <w:hyperlink w:anchor="_Toc349579980" w:history="1">
            <w:r w:rsidR="00F90043" w:rsidRPr="007E0918">
              <w:rPr>
                <w:rStyle w:val="Hyperlink"/>
              </w:rPr>
              <w:t>A.16</w:t>
            </w:r>
            <w:r w:rsidR="00F90043">
              <w:rPr>
                <w:rFonts w:asciiTheme="minorHAnsi" w:eastAsiaTheme="minorEastAsia" w:hAnsiTheme="minorHAnsi" w:cstheme="minorBidi"/>
                <w:sz w:val="22"/>
                <w:szCs w:val="22"/>
              </w:rPr>
              <w:tab/>
            </w:r>
            <w:r w:rsidR="00F90043" w:rsidRPr="007E0918">
              <w:rPr>
                <w:rStyle w:val="Hyperlink"/>
              </w:rPr>
              <w:t>Schedule for Collecting and Publishing Data</w:t>
            </w:r>
            <w:r w:rsidR="00F90043">
              <w:rPr>
                <w:webHidden/>
              </w:rPr>
              <w:tab/>
            </w:r>
            <w:r w:rsidR="00EF2E94">
              <w:rPr>
                <w:webHidden/>
              </w:rPr>
              <w:fldChar w:fldCharType="begin"/>
            </w:r>
            <w:r w:rsidR="00F90043">
              <w:rPr>
                <w:webHidden/>
              </w:rPr>
              <w:instrText xml:space="preserve"> PAGEREF _Toc349579980 \h </w:instrText>
            </w:r>
            <w:r w:rsidR="00EF2E94">
              <w:rPr>
                <w:webHidden/>
              </w:rPr>
            </w:r>
            <w:r w:rsidR="00EF2E94">
              <w:rPr>
                <w:webHidden/>
              </w:rPr>
              <w:fldChar w:fldCharType="separate"/>
            </w:r>
            <w:r w:rsidR="00580288">
              <w:rPr>
                <w:webHidden/>
              </w:rPr>
              <w:t>10</w:t>
            </w:r>
            <w:r w:rsidR="00EF2E94">
              <w:rPr>
                <w:webHidden/>
              </w:rPr>
              <w:fldChar w:fldCharType="end"/>
            </w:r>
          </w:hyperlink>
        </w:p>
        <w:p w14:paraId="7AA23A93" w14:textId="77777777" w:rsidR="00F90043" w:rsidRDefault="00013B5B">
          <w:pPr>
            <w:pStyle w:val="TOC2"/>
          </w:pPr>
          <w:hyperlink w:anchor="_Toc349579981" w:history="1">
            <w:r w:rsidR="00F90043" w:rsidRPr="007E0918">
              <w:rPr>
                <w:rStyle w:val="Hyperlink"/>
              </w:rPr>
              <w:t>A.17</w:t>
            </w:r>
            <w:r w:rsidR="00F90043">
              <w:rPr>
                <w:rFonts w:asciiTheme="minorHAnsi" w:eastAsiaTheme="minorEastAsia" w:hAnsiTheme="minorHAnsi" w:cstheme="minorBidi"/>
                <w:sz w:val="22"/>
                <w:szCs w:val="22"/>
              </w:rPr>
              <w:tab/>
            </w:r>
            <w:r w:rsidR="00F90043" w:rsidRPr="007E0918">
              <w:rPr>
                <w:rStyle w:val="Hyperlink"/>
              </w:rPr>
              <w:t>OMB Number and Expiration Date</w:t>
            </w:r>
            <w:r w:rsidR="00F90043">
              <w:rPr>
                <w:webHidden/>
              </w:rPr>
              <w:tab/>
            </w:r>
            <w:r w:rsidR="00EF2E94">
              <w:rPr>
                <w:webHidden/>
              </w:rPr>
              <w:fldChar w:fldCharType="begin"/>
            </w:r>
            <w:r w:rsidR="00F90043">
              <w:rPr>
                <w:webHidden/>
              </w:rPr>
              <w:instrText xml:space="preserve"> PAGEREF _Toc349579981 \h </w:instrText>
            </w:r>
            <w:r w:rsidR="00EF2E94">
              <w:rPr>
                <w:webHidden/>
              </w:rPr>
            </w:r>
            <w:r w:rsidR="00EF2E94">
              <w:rPr>
                <w:webHidden/>
              </w:rPr>
              <w:fldChar w:fldCharType="separate"/>
            </w:r>
            <w:r w:rsidR="00580288">
              <w:rPr>
                <w:webHidden/>
              </w:rPr>
              <w:t>10</w:t>
            </w:r>
            <w:r w:rsidR="00EF2E94">
              <w:rPr>
                <w:webHidden/>
              </w:rPr>
              <w:fldChar w:fldCharType="end"/>
            </w:r>
          </w:hyperlink>
        </w:p>
        <w:p w14:paraId="3CAE03CD" w14:textId="77777777" w:rsidR="00422DC7" w:rsidRPr="00422DC7" w:rsidRDefault="00422DC7" w:rsidP="00422DC7">
          <w:r>
            <w:t xml:space="preserve">    Appendix A:  Comments on Proposed Changes ………………………………………………11</w:t>
          </w:r>
        </w:p>
        <w:p w14:paraId="7AD4A69C" w14:textId="77777777" w:rsidR="00B34E57" w:rsidRDefault="00EF2E94" w:rsidP="007B10FA">
          <w:pPr>
            <w:spacing w:before="160" w:beforeAutospacing="0" w:after="0" w:afterAutospacing="0"/>
          </w:pPr>
          <w:r w:rsidRPr="00474F12">
            <w:rPr>
              <w:sz w:val="22"/>
            </w:rPr>
            <w:fldChar w:fldCharType="end"/>
          </w:r>
        </w:p>
      </w:sdtContent>
    </w:sdt>
    <w:p w14:paraId="4B08B864" w14:textId="77777777" w:rsidR="007B10FA" w:rsidRDefault="007B10FA" w:rsidP="00B34E57">
      <w:pPr>
        <w:sectPr w:rsidR="007B10FA" w:rsidSect="007B10FA">
          <w:headerReference w:type="default" r:id="rId10"/>
          <w:footerReference w:type="default" r:id="rId11"/>
          <w:headerReference w:type="first" r:id="rId12"/>
          <w:pgSz w:w="12240" w:h="15840"/>
          <w:pgMar w:top="1440" w:right="1440" w:bottom="1440" w:left="1440" w:header="720" w:footer="720" w:gutter="0"/>
          <w:cols w:space="720"/>
          <w:docGrid w:linePitch="360"/>
        </w:sectPr>
      </w:pPr>
    </w:p>
    <w:p w14:paraId="2896A8C6" w14:textId="77777777" w:rsidR="00062CE4" w:rsidRPr="00062CE4" w:rsidRDefault="00B34E57" w:rsidP="00767227">
      <w:pPr>
        <w:pStyle w:val="Heading1"/>
      </w:pPr>
      <w:bookmarkStart w:id="2" w:name="_Toc349579962"/>
      <w:r w:rsidRPr="00767227">
        <w:lastRenderedPageBreak/>
        <w:t>INTRODUCTION</w:t>
      </w:r>
      <w:bookmarkEnd w:id="2"/>
    </w:p>
    <w:p w14:paraId="36D5829B" w14:textId="77777777" w:rsidR="006A7D8E" w:rsidRPr="00452029" w:rsidRDefault="006A7D8E" w:rsidP="00452029">
      <w:pPr>
        <w:spacing w:before="120" w:beforeAutospacing="0"/>
        <w:rPr>
          <w:color w:val="000000"/>
          <w:spacing w:val="11"/>
          <w:sz w:val="22"/>
        </w:rPr>
      </w:pPr>
      <w:r w:rsidRPr="00452029">
        <w:rPr>
          <w:color w:val="000000"/>
          <w:spacing w:val="11"/>
          <w:sz w:val="22"/>
        </w:rPr>
        <w:t xml:space="preserve">The U.S. Energy Information Administration (EIA) is the statistical and analytical agency within the U.S. Department of Energy. </w:t>
      </w:r>
      <w:r w:rsidR="00E85349" w:rsidRPr="00452029">
        <w:rPr>
          <w:color w:val="000000"/>
          <w:spacing w:val="11"/>
          <w:sz w:val="22"/>
        </w:rPr>
        <w:t xml:space="preserve"> </w:t>
      </w:r>
      <w:r w:rsidRPr="00452029">
        <w:rPr>
          <w:color w:val="000000"/>
          <w:spacing w:val="11"/>
          <w:sz w:val="22"/>
        </w:rPr>
        <w:t>EIA collects, analyzes, and disseminates independent and impartial energy information to promote sound policymaking, efficient markets, and public understanding of energy and its interaction with the economy and the environment.</w:t>
      </w:r>
      <w:r w:rsidR="00452029" w:rsidRPr="00452029">
        <w:rPr>
          <w:color w:val="000000"/>
          <w:spacing w:val="11"/>
          <w:sz w:val="22"/>
        </w:rPr>
        <w:t xml:space="preserve">  </w:t>
      </w:r>
      <w:r w:rsidRPr="00452029">
        <w:rPr>
          <w:color w:val="000000"/>
          <w:spacing w:val="11"/>
          <w:sz w:val="22"/>
        </w:rPr>
        <w:t>EIA is the nation's premier source of energy information and, by law, its data, analyses, and forecasts are independent of approval by any other officer or employee of the U.S. Government.</w:t>
      </w:r>
    </w:p>
    <w:p w14:paraId="38004382" w14:textId="77777777" w:rsidR="006A7D8E" w:rsidRPr="00160B87" w:rsidRDefault="006A7D8E" w:rsidP="00D810CC">
      <w:pPr>
        <w:spacing w:after="0" w:afterAutospacing="0"/>
        <w:rPr>
          <w:color w:val="000000"/>
          <w:spacing w:val="11"/>
          <w:sz w:val="22"/>
        </w:rPr>
      </w:pPr>
      <w:r w:rsidRPr="00160B87">
        <w:rPr>
          <w:color w:val="000000"/>
          <w:spacing w:val="11"/>
          <w:sz w:val="22"/>
        </w:rPr>
        <w:t xml:space="preserve">Request is made for approval of the Energy Information Administration’s (EIA) Oil and Gas Reserves System Surveys (OMB No. 1905-0057). </w:t>
      </w:r>
      <w:r w:rsidR="00E85349" w:rsidRPr="00160B87">
        <w:rPr>
          <w:color w:val="000000"/>
          <w:spacing w:val="11"/>
          <w:sz w:val="22"/>
        </w:rPr>
        <w:t xml:space="preserve"> </w:t>
      </w:r>
      <w:r w:rsidRPr="00160B87">
        <w:rPr>
          <w:color w:val="000000"/>
          <w:spacing w:val="11"/>
          <w:sz w:val="22"/>
        </w:rPr>
        <w:t>These surveys are:</w:t>
      </w:r>
    </w:p>
    <w:p w14:paraId="7D2AABD6" w14:textId="77777777" w:rsidR="006A7D8E" w:rsidRPr="00160B87" w:rsidRDefault="006A7D8E" w:rsidP="00767227">
      <w:pPr>
        <w:pStyle w:val="ListParagraph"/>
        <w:numPr>
          <w:ilvl w:val="0"/>
          <w:numId w:val="2"/>
        </w:numPr>
        <w:spacing w:before="120" w:beforeAutospacing="0" w:after="0" w:afterAutospacing="0"/>
        <w:contextualSpacing w:val="0"/>
        <w:jc w:val="left"/>
        <w:rPr>
          <w:rFonts w:ascii="Times New Roman" w:hAnsi="Times New Roman" w:cs="Times New Roman"/>
          <w:color w:val="000000"/>
          <w:spacing w:val="11"/>
          <w:sz w:val="22"/>
        </w:rPr>
      </w:pPr>
      <w:r w:rsidRPr="00160B87">
        <w:rPr>
          <w:rFonts w:ascii="Times New Roman" w:hAnsi="Times New Roman" w:cs="Times New Roman"/>
          <w:color w:val="000000"/>
          <w:spacing w:val="11"/>
          <w:sz w:val="22"/>
        </w:rPr>
        <w:t>EIA 23L</w:t>
      </w:r>
      <w:r w:rsidR="00157E04" w:rsidRPr="00160B87">
        <w:rPr>
          <w:rFonts w:ascii="Times New Roman" w:hAnsi="Times New Roman" w:cs="Times New Roman"/>
          <w:color w:val="000000"/>
          <w:spacing w:val="11"/>
          <w:sz w:val="22"/>
        </w:rPr>
        <w:t>,</w:t>
      </w:r>
      <w:r w:rsidRPr="00160B87">
        <w:rPr>
          <w:rFonts w:ascii="Times New Roman" w:hAnsi="Times New Roman" w:cs="Times New Roman"/>
          <w:color w:val="000000"/>
          <w:spacing w:val="11"/>
          <w:sz w:val="22"/>
        </w:rPr>
        <w:t xml:space="preserve"> </w:t>
      </w:r>
      <w:r w:rsidR="0001490F" w:rsidRPr="00160B87">
        <w:rPr>
          <w:rFonts w:ascii="Times New Roman" w:hAnsi="Times New Roman" w:cs="Times New Roman"/>
          <w:i/>
          <w:color w:val="000000"/>
          <w:spacing w:val="11"/>
          <w:sz w:val="22"/>
        </w:rPr>
        <w:t xml:space="preserve">Annual </w:t>
      </w:r>
      <w:r w:rsidR="00274D0E">
        <w:rPr>
          <w:rFonts w:ascii="Times New Roman" w:hAnsi="Times New Roman" w:cs="Times New Roman"/>
          <w:i/>
          <w:color w:val="000000"/>
          <w:spacing w:val="11"/>
          <w:sz w:val="22"/>
        </w:rPr>
        <w:t>Report</w:t>
      </w:r>
      <w:r w:rsidR="00274D0E" w:rsidRPr="00160B87">
        <w:rPr>
          <w:rFonts w:ascii="Times New Roman" w:hAnsi="Times New Roman" w:cs="Times New Roman"/>
          <w:i/>
          <w:color w:val="000000"/>
          <w:spacing w:val="11"/>
          <w:sz w:val="22"/>
        </w:rPr>
        <w:t xml:space="preserve"> </w:t>
      </w:r>
      <w:r w:rsidR="0001490F" w:rsidRPr="00160B87">
        <w:rPr>
          <w:rFonts w:ascii="Times New Roman" w:hAnsi="Times New Roman" w:cs="Times New Roman"/>
          <w:i/>
          <w:color w:val="000000"/>
          <w:spacing w:val="11"/>
          <w:sz w:val="22"/>
        </w:rPr>
        <w:t>of Domestic Oil and Gas Reserves</w:t>
      </w:r>
      <w:r w:rsidR="00274D0E">
        <w:rPr>
          <w:rFonts w:ascii="Times New Roman" w:hAnsi="Times New Roman" w:cs="Times New Roman"/>
          <w:i/>
          <w:color w:val="000000"/>
          <w:spacing w:val="11"/>
          <w:sz w:val="22"/>
        </w:rPr>
        <w:t>, County Level Report</w:t>
      </w:r>
    </w:p>
    <w:p w14:paraId="690F3A3C" w14:textId="77777777" w:rsidR="006A7D8E" w:rsidRPr="00160B87" w:rsidRDefault="006A7D8E" w:rsidP="00767227">
      <w:pPr>
        <w:pStyle w:val="ListParagraph"/>
        <w:numPr>
          <w:ilvl w:val="0"/>
          <w:numId w:val="2"/>
        </w:numPr>
        <w:spacing w:before="120" w:beforeAutospacing="0" w:after="0" w:afterAutospacing="0"/>
        <w:contextualSpacing w:val="0"/>
        <w:jc w:val="left"/>
        <w:rPr>
          <w:rFonts w:ascii="Times New Roman" w:hAnsi="Times New Roman" w:cs="Times New Roman"/>
          <w:color w:val="000000"/>
          <w:spacing w:val="11"/>
          <w:sz w:val="22"/>
        </w:rPr>
      </w:pPr>
      <w:r w:rsidRPr="00160B87">
        <w:rPr>
          <w:rFonts w:ascii="Times New Roman" w:hAnsi="Times New Roman" w:cs="Times New Roman"/>
          <w:color w:val="000000"/>
          <w:spacing w:val="11"/>
          <w:sz w:val="22"/>
        </w:rPr>
        <w:t>EIA-23S</w:t>
      </w:r>
      <w:r w:rsidR="00157E04" w:rsidRPr="00160B87">
        <w:rPr>
          <w:rFonts w:ascii="Times New Roman" w:hAnsi="Times New Roman" w:cs="Times New Roman"/>
          <w:color w:val="000000"/>
          <w:spacing w:val="11"/>
          <w:sz w:val="22"/>
        </w:rPr>
        <w:t>,</w:t>
      </w:r>
      <w:r w:rsidRPr="00160B87">
        <w:rPr>
          <w:rFonts w:ascii="Times New Roman" w:hAnsi="Times New Roman" w:cs="Times New Roman"/>
          <w:color w:val="000000"/>
          <w:spacing w:val="11"/>
          <w:sz w:val="22"/>
        </w:rPr>
        <w:t xml:space="preserve"> </w:t>
      </w:r>
      <w:r w:rsidR="0001490F" w:rsidRPr="00160B87">
        <w:rPr>
          <w:rFonts w:ascii="Times New Roman" w:hAnsi="Times New Roman" w:cs="Times New Roman"/>
          <w:i/>
          <w:color w:val="000000"/>
          <w:spacing w:val="11"/>
          <w:sz w:val="22"/>
        </w:rPr>
        <w:t xml:space="preserve">Annual </w:t>
      </w:r>
      <w:r w:rsidR="00274D0E">
        <w:rPr>
          <w:rFonts w:ascii="Times New Roman" w:hAnsi="Times New Roman" w:cs="Times New Roman"/>
          <w:i/>
          <w:color w:val="000000"/>
          <w:spacing w:val="11"/>
          <w:sz w:val="22"/>
        </w:rPr>
        <w:t>Report</w:t>
      </w:r>
      <w:r w:rsidR="0001490F" w:rsidRPr="00160B87">
        <w:rPr>
          <w:rFonts w:ascii="Times New Roman" w:hAnsi="Times New Roman" w:cs="Times New Roman"/>
          <w:i/>
          <w:color w:val="000000"/>
          <w:spacing w:val="11"/>
          <w:sz w:val="22"/>
        </w:rPr>
        <w:t xml:space="preserve"> of Domestic Oil and Gas Reserves</w:t>
      </w:r>
      <w:r w:rsidR="00274D0E">
        <w:rPr>
          <w:rFonts w:ascii="Times New Roman" w:hAnsi="Times New Roman" w:cs="Times New Roman"/>
          <w:i/>
          <w:color w:val="000000"/>
          <w:spacing w:val="11"/>
          <w:sz w:val="22"/>
        </w:rPr>
        <w:t>, Summary Report</w:t>
      </w:r>
    </w:p>
    <w:p w14:paraId="0839F5A1" w14:textId="77777777" w:rsidR="006A7D8E" w:rsidRPr="00160B87" w:rsidRDefault="006A7D8E" w:rsidP="00767227">
      <w:pPr>
        <w:pStyle w:val="ListParagraph"/>
        <w:numPr>
          <w:ilvl w:val="0"/>
          <w:numId w:val="2"/>
        </w:numPr>
        <w:spacing w:before="120" w:beforeAutospacing="0" w:after="0" w:afterAutospacing="0"/>
        <w:contextualSpacing w:val="0"/>
        <w:jc w:val="left"/>
        <w:rPr>
          <w:rFonts w:ascii="Times New Roman" w:hAnsi="Times New Roman" w:cs="Times New Roman"/>
          <w:color w:val="000000"/>
          <w:spacing w:val="11"/>
          <w:sz w:val="22"/>
        </w:rPr>
      </w:pPr>
      <w:r w:rsidRPr="00160B87">
        <w:rPr>
          <w:rFonts w:ascii="Times New Roman" w:hAnsi="Times New Roman" w:cs="Times New Roman"/>
          <w:color w:val="000000"/>
          <w:spacing w:val="11"/>
          <w:sz w:val="22"/>
        </w:rPr>
        <w:t>EIA-64A</w:t>
      </w:r>
      <w:r w:rsidR="00157E04" w:rsidRPr="00160B87">
        <w:rPr>
          <w:rFonts w:ascii="Times New Roman" w:hAnsi="Times New Roman" w:cs="Times New Roman"/>
          <w:color w:val="000000"/>
          <w:spacing w:val="11"/>
          <w:sz w:val="22"/>
        </w:rPr>
        <w:t>,</w:t>
      </w:r>
      <w:r w:rsidRPr="00160B87">
        <w:rPr>
          <w:rFonts w:ascii="Times New Roman" w:hAnsi="Times New Roman" w:cs="Times New Roman"/>
          <w:color w:val="000000"/>
          <w:spacing w:val="11"/>
          <w:sz w:val="22"/>
        </w:rPr>
        <w:t xml:space="preserve"> </w:t>
      </w:r>
      <w:r w:rsidR="0001490F" w:rsidRPr="00160B87">
        <w:rPr>
          <w:rFonts w:ascii="Times New Roman" w:hAnsi="Times New Roman" w:cs="Times New Roman"/>
          <w:i/>
          <w:color w:val="000000"/>
          <w:spacing w:val="11"/>
          <w:sz w:val="22"/>
        </w:rPr>
        <w:t>Annual Report of the Origin of Natural Gas Liquids Production</w:t>
      </w:r>
    </w:p>
    <w:p w14:paraId="3290CF32" w14:textId="77777777" w:rsidR="00767227" w:rsidRPr="00767227" w:rsidRDefault="00767227" w:rsidP="00767227">
      <w:pPr>
        <w:spacing w:before="0" w:beforeAutospacing="0" w:after="0" w:afterAutospacing="0"/>
        <w:jc w:val="left"/>
        <w:rPr>
          <w:color w:val="000000"/>
          <w:spacing w:val="11"/>
          <w:szCs w:val="24"/>
        </w:rPr>
      </w:pPr>
    </w:p>
    <w:p w14:paraId="7869835B" w14:textId="77777777" w:rsidR="00B34E57" w:rsidRPr="00062CE4" w:rsidRDefault="00B34E57" w:rsidP="00767227">
      <w:pPr>
        <w:pStyle w:val="Heading1"/>
      </w:pPr>
      <w:bookmarkStart w:id="3" w:name="_Toc349579963"/>
      <w:r w:rsidRPr="00062CE4">
        <w:t>CHANGES</w:t>
      </w:r>
      <w:bookmarkEnd w:id="3"/>
    </w:p>
    <w:p w14:paraId="02E1443B" w14:textId="77777777" w:rsidR="00BA3957" w:rsidRPr="00160B87" w:rsidRDefault="006A7D8E" w:rsidP="00767227">
      <w:pPr>
        <w:spacing w:before="120" w:beforeAutospacing="0"/>
        <w:rPr>
          <w:color w:val="000000"/>
          <w:spacing w:val="9"/>
          <w:sz w:val="22"/>
        </w:rPr>
      </w:pPr>
      <w:r w:rsidRPr="00160B87">
        <w:rPr>
          <w:color w:val="000000"/>
          <w:spacing w:val="9"/>
          <w:sz w:val="22"/>
        </w:rPr>
        <w:t>Th</w:t>
      </w:r>
      <w:r w:rsidR="00050418">
        <w:rPr>
          <w:color w:val="000000"/>
          <w:spacing w:val="9"/>
          <w:sz w:val="22"/>
        </w:rPr>
        <w:t>is information collection request</w:t>
      </w:r>
      <w:r w:rsidRPr="00160B87">
        <w:rPr>
          <w:color w:val="000000"/>
          <w:spacing w:val="9"/>
          <w:sz w:val="22"/>
        </w:rPr>
        <w:t xml:space="preserve"> is for </w:t>
      </w:r>
      <w:r w:rsidR="003024DE" w:rsidRPr="00160B87">
        <w:rPr>
          <w:color w:val="000000"/>
          <w:spacing w:val="9"/>
          <w:sz w:val="22"/>
        </w:rPr>
        <w:t xml:space="preserve">a </w:t>
      </w:r>
      <w:r w:rsidR="0068564D">
        <w:rPr>
          <w:color w:val="000000"/>
          <w:spacing w:val="9"/>
          <w:sz w:val="22"/>
        </w:rPr>
        <w:t>three</w:t>
      </w:r>
      <w:r w:rsidR="003024DE" w:rsidRPr="00160B87">
        <w:rPr>
          <w:color w:val="000000"/>
          <w:spacing w:val="9"/>
          <w:sz w:val="22"/>
        </w:rPr>
        <w:t xml:space="preserve">-year </w:t>
      </w:r>
      <w:r w:rsidR="00157E04" w:rsidRPr="00160B87">
        <w:rPr>
          <w:color w:val="000000"/>
          <w:spacing w:val="9"/>
          <w:sz w:val="22"/>
        </w:rPr>
        <w:t xml:space="preserve">extension with changes </w:t>
      </w:r>
      <w:r w:rsidR="00050418">
        <w:rPr>
          <w:color w:val="000000"/>
          <w:spacing w:val="9"/>
          <w:sz w:val="22"/>
        </w:rPr>
        <w:t>to</w:t>
      </w:r>
      <w:r w:rsidR="00157E04" w:rsidRPr="00160B87">
        <w:rPr>
          <w:color w:val="000000"/>
          <w:spacing w:val="9"/>
          <w:sz w:val="22"/>
        </w:rPr>
        <w:t xml:space="preserve"> Form EIA-23L</w:t>
      </w:r>
      <w:r w:rsidR="00D032B8">
        <w:rPr>
          <w:color w:val="000000"/>
          <w:spacing w:val="9"/>
          <w:sz w:val="22"/>
        </w:rPr>
        <w:t xml:space="preserve"> </w:t>
      </w:r>
      <w:r w:rsidR="00050418">
        <w:rPr>
          <w:color w:val="000000"/>
          <w:spacing w:val="9"/>
          <w:sz w:val="22"/>
        </w:rPr>
        <w:t>and a three-year</w:t>
      </w:r>
      <w:r w:rsidR="00157E04" w:rsidRPr="00160B87">
        <w:rPr>
          <w:color w:val="000000"/>
          <w:spacing w:val="9"/>
          <w:sz w:val="22"/>
        </w:rPr>
        <w:t xml:space="preserve"> </w:t>
      </w:r>
      <w:r w:rsidR="006575A9" w:rsidRPr="00160B87">
        <w:rPr>
          <w:color w:val="000000"/>
          <w:spacing w:val="9"/>
          <w:sz w:val="22"/>
        </w:rPr>
        <w:t xml:space="preserve">extension of </w:t>
      </w:r>
      <w:r w:rsidR="00157E04" w:rsidRPr="00160B87">
        <w:rPr>
          <w:color w:val="000000"/>
          <w:spacing w:val="9"/>
          <w:sz w:val="22"/>
        </w:rPr>
        <w:t>Form EIA-64A</w:t>
      </w:r>
      <w:r w:rsidR="00050418">
        <w:rPr>
          <w:color w:val="000000"/>
          <w:spacing w:val="9"/>
          <w:sz w:val="22"/>
        </w:rPr>
        <w:t xml:space="preserve"> and Form EIA-23S</w:t>
      </w:r>
      <w:r w:rsidRPr="00160B87">
        <w:rPr>
          <w:color w:val="000000"/>
          <w:spacing w:val="9"/>
          <w:sz w:val="22"/>
        </w:rPr>
        <w:t xml:space="preserve"> </w:t>
      </w:r>
      <w:r w:rsidR="00452029">
        <w:rPr>
          <w:color w:val="000000"/>
          <w:spacing w:val="9"/>
          <w:sz w:val="22"/>
        </w:rPr>
        <w:t>without changes</w:t>
      </w:r>
      <w:r w:rsidRPr="00160B87">
        <w:rPr>
          <w:color w:val="000000"/>
          <w:spacing w:val="9"/>
          <w:sz w:val="22"/>
        </w:rPr>
        <w:t>.</w:t>
      </w:r>
    </w:p>
    <w:p w14:paraId="17033CD0" w14:textId="77777777" w:rsidR="00767227" w:rsidRPr="00160B87" w:rsidRDefault="00050418" w:rsidP="00767227">
      <w:pPr>
        <w:rPr>
          <w:color w:val="000000"/>
          <w:spacing w:val="9"/>
          <w:sz w:val="22"/>
        </w:rPr>
      </w:pPr>
      <w:r>
        <w:rPr>
          <w:color w:val="000000"/>
          <w:spacing w:val="9"/>
          <w:sz w:val="22"/>
        </w:rPr>
        <w:t>The proposed changes to</w:t>
      </w:r>
      <w:r w:rsidR="001E2C0A">
        <w:rPr>
          <w:color w:val="000000"/>
          <w:spacing w:val="9"/>
          <w:sz w:val="22"/>
        </w:rPr>
        <w:t xml:space="preserve"> Form EIA-23L </w:t>
      </w:r>
      <w:r>
        <w:rPr>
          <w:color w:val="000000"/>
          <w:spacing w:val="9"/>
          <w:sz w:val="22"/>
        </w:rPr>
        <w:t>include</w:t>
      </w:r>
      <w:r w:rsidR="00D10605">
        <w:rPr>
          <w:color w:val="000000"/>
          <w:spacing w:val="9"/>
          <w:sz w:val="22"/>
        </w:rPr>
        <w:t>:</w:t>
      </w:r>
      <w:r w:rsidR="001E2C0A">
        <w:rPr>
          <w:color w:val="000000"/>
          <w:spacing w:val="9"/>
          <w:sz w:val="22"/>
        </w:rPr>
        <w:t xml:space="preserve"> </w:t>
      </w:r>
      <w:r w:rsidR="00F239DE">
        <w:rPr>
          <w:color w:val="000000"/>
          <w:spacing w:val="9"/>
          <w:sz w:val="22"/>
        </w:rPr>
        <w:t>altering the title of the form to replace “survey” (which suggests non-mandatory participation or t</w:t>
      </w:r>
      <w:r w:rsidR="00274D0E">
        <w:rPr>
          <w:color w:val="000000"/>
          <w:spacing w:val="9"/>
          <w:sz w:val="22"/>
        </w:rPr>
        <w:t>elemarket</w:t>
      </w:r>
      <w:r w:rsidR="00F239DE">
        <w:rPr>
          <w:color w:val="000000"/>
          <w:spacing w:val="9"/>
          <w:sz w:val="22"/>
        </w:rPr>
        <w:t xml:space="preserve">ing) </w:t>
      </w:r>
      <w:r w:rsidR="00D032B8">
        <w:rPr>
          <w:color w:val="000000"/>
          <w:spacing w:val="9"/>
          <w:sz w:val="22"/>
        </w:rPr>
        <w:t xml:space="preserve">with </w:t>
      </w:r>
      <w:r w:rsidR="00F239DE">
        <w:rPr>
          <w:color w:val="000000"/>
          <w:spacing w:val="9"/>
          <w:sz w:val="22"/>
        </w:rPr>
        <w:t xml:space="preserve">“report”; </w:t>
      </w:r>
      <w:r w:rsidR="005551CC">
        <w:rPr>
          <w:color w:val="000000"/>
          <w:spacing w:val="9"/>
          <w:sz w:val="22"/>
        </w:rPr>
        <w:t xml:space="preserve">collect additional contact, parent company, and affiliate/subsidiary company identification information; </w:t>
      </w:r>
      <w:r w:rsidR="001E2C0A">
        <w:rPr>
          <w:color w:val="000000"/>
          <w:spacing w:val="9"/>
          <w:sz w:val="22"/>
        </w:rPr>
        <w:t xml:space="preserve">collect operated proved reserves, production, and related data </w:t>
      </w:r>
      <w:r w:rsidR="001E2C0A" w:rsidRPr="001E2C0A">
        <w:rPr>
          <w:b/>
          <w:i/>
          <w:color w:val="000000"/>
          <w:spacing w:val="9"/>
          <w:sz w:val="22"/>
        </w:rPr>
        <w:t>by county</w:t>
      </w:r>
      <w:r w:rsidR="001E2C0A">
        <w:rPr>
          <w:color w:val="000000"/>
          <w:spacing w:val="9"/>
          <w:sz w:val="22"/>
        </w:rPr>
        <w:t xml:space="preserve">, instead of </w:t>
      </w:r>
      <w:r w:rsidR="001E2C0A" w:rsidRPr="001E2C0A">
        <w:rPr>
          <w:b/>
          <w:i/>
          <w:color w:val="000000"/>
          <w:spacing w:val="9"/>
          <w:sz w:val="22"/>
        </w:rPr>
        <w:t>by field</w:t>
      </w:r>
      <w:r w:rsidR="00D10605">
        <w:rPr>
          <w:color w:val="000000"/>
          <w:spacing w:val="9"/>
          <w:sz w:val="22"/>
        </w:rPr>
        <w:t xml:space="preserve">; collect producing oil and gas well count data by county; </w:t>
      </w:r>
      <w:r w:rsidR="00052F40">
        <w:rPr>
          <w:color w:val="000000"/>
          <w:spacing w:val="9"/>
          <w:sz w:val="22"/>
        </w:rPr>
        <w:t xml:space="preserve">combine three data elements of annual proved reserves data (extensions, new field discoveries, and new reservoir discoveries in old fields) into one combined category named </w:t>
      </w:r>
      <w:r w:rsidR="00052F40" w:rsidRPr="00814AB2">
        <w:rPr>
          <w:i/>
          <w:color w:val="000000"/>
          <w:spacing w:val="9"/>
          <w:sz w:val="22"/>
        </w:rPr>
        <w:t>extensions and discoveries</w:t>
      </w:r>
      <w:r w:rsidR="00F239DE">
        <w:rPr>
          <w:i/>
          <w:color w:val="000000"/>
          <w:spacing w:val="9"/>
          <w:sz w:val="22"/>
        </w:rPr>
        <w:t xml:space="preserve">; </w:t>
      </w:r>
      <w:r w:rsidR="00F239DE" w:rsidRPr="00D032B8">
        <w:rPr>
          <w:color w:val="000000"/>
          <w:spacing w:val="9"/>
          <w:sz w:val="22"/>
        </w:rPr>
        <w:t xml:space="preserve">and alter the </w:t>
      </w:r>
      <w:r w:rsidR="008C62CB">
        <w:rPr>
          <w:color w:val="000000"/>
          <w:spacing w:val="9"/>
          <w:sz w:val="22"/>
        </w:rPr>
        <w:t>category codes</w:t>
      </w:r>
      <w:r w:rsidR="00F239DE" w:rsidRPr="00D032B8">
        <w:rPr>
          <w:color w:val="000000"/>
          <w:spacing w:val="9"/>
          <w:sz w:val="22"/>
        </w:rPr>
        <w:t xml:space="preserve"> of selected state/subdivisions</w:t>
      </w:r>
      <w:r w:rsidR="00D032B8">
        <w:rPr>
          <w:color w:val="000000"/>
          <w:spacing w:val="9"/>
          <w:sz w:val="22"/>
        </w:rPr>
        <w:t xml:space="preserve"> to improve clarity to respondents</w:t>
      </w:r>
      <w:r w:rsidR="005551CC" w:rsidRPr="00D032B8">
        <w:rPr>
          <w:color w:val="000000"/>
          <w:spacing w:val="9"/>
          <w:sz w:val="22"/>
        </w:rPr>
        <w:t>, specifically in Alaska, California, Federal Offshore waters (Arctic, Atlantic, Gulf of Mexico, and Pacific), Louisiana, New Mexico, and Texas</w:t>
      </w:r>
      <w:r w:rsidR="00814AB2" w:rsidRPr="00D032B8">
        <w:rPr>
          <w:color w:val="000000"/>
          <w:spacing w:val="9"/>
          <w:sz w:val="22"/>
        </w:rPr>
        <w:t>.</w:t>
      </w:r>
      <w:r w:rsidR="00052F40">
        <w:rPr>
          <w:color w:val="000000"/>
          <w:spacing w:val="9"/>
          <w:sz w:val="22"/>
        </w:rPr>
        <w:t xml:space="preserve"> </w:t>
      </w:r>
    </w:p>
    <w:p w14:paraId="7240C5F0" w14:textId="77777777" w:rsidR="0019563D" w:rsidRPr="00452029" w:rsidRDefault="00BA3957" w:rsidP="0019563D">
      <w:pPr>
        <w:rPr>
          <w:color w:val="000000"/>
          <w:spacing w:val="9"/>
          <w:sz w:val="22"/>
        </w:rPr>
      </w:pPr>
      <w:r w:rsidRPr="00160B87">
        <w:rPr>
          <w:color w:val="000000"/>
          <w:spacing w:val="9"/>
          <w:sz w:val="22"/>
        </w:rPr>
        <w:t>The proposed change</w:t>
      </w:r>
      <w:r w:rsidR="00050418">
        <w:rPr>
          <w:color w:val="000000"/>
          <w:spacing w:val="9"/>
          <w:sz w:val="22"/>
        </w:rPr>
        <w:t>s</w:t>
      </w:r>
      <w:r w:rsidRPr="00160B87">
        <w:rPr>
          <w:color w:val="000000"/>
          <w:spacing w:val="9"/>
          <w:sz w:val="22"/>
        </w:rPr>
        <w:t xml:space="preserve"> </w:t>
      </w:r>
      <w:r w:rsidR="009919B5">
        <w:rPr>
          <w:color w:val="000000"/>
          <w:spacing w:val="9"/>
          <w:sz w:val="22"/>
        </w:rPr>
        <w:t>to</w:t>
      </w:r>
      <w:r w:rsidRPr="00160B87">
        <w:rPr>
          <w:color w:val="000000"/>
          <w:spacing w:val="9"/>
          <w:sz w:val="22"/>
        </w:rPr>
        <w:t xml:space="preserve"> Form EIA-23L </w:t>
      </w:r>
      <w:r w:rsidR="00050418">
        <w:rPr>
          <w:color w:val="000000"/>
          <w:spacing w:val="9"/>
          <w:sz w:val="22"/>
        </w:rPr>
        <w:t>are</w:t>
      </w:r>
      <w:r w:rsidRPr="00160B87">
        <w:rPr>
          <w:color w:val="000000"/>
          <w:spacing w:val="9"/>
          <w:sz w:val="22"/>
        </w:rPr>
        <w:t xml:space="preserve"> estimated to decrease </w:t>
      </w:r>
      <w:r w:rsidR="00A4792C" w:rsidRPr="00160B87">
        <w:rPr>
          <w:color w:val="000000"/>
          <w:spacing w:val="9"/>
          <w:sz w:val="22"/>
        </w:rPr>
        <w:t xml:space="preserve">total </w:t>
      </w:r>
      <w:r w:rsidR="00050418">
        <w:rPr>
          <w:color w:val="000000"/>
          <w:spacing w:val="9"/>
          <w:sz w:val="22"/>
        </w:rPr>
        <w:t xml:space="preserve">reporting </w:t>
      </w:r>
      <w:r w:rsidRPr="00160B87">
        <w:rPr>
          <w:color w:val="000000"/>
          <w:spacing w:val="9"/>
          <w:sz w:val="22"/>
        </w:rPr>
        <w:t>burden hours</w:t>
      </w:r>
      <w:r w:rsidR="00046033">
        <w:rPr>
          <w:color w:val="000000"/>
          <w:spacing w:val="9"/>
          <w:sz w:val="22"/>
        </w:rPr>
        <w:t xml:space="preserve"> </w:t>
      </w:r>
      <w:r w:rsidRPr="00160B87">
        <w:rPr>
          <w:color w:val="000000"/>
          <w:spacing w:val="9"/>
          <w:sz w:val="22"/>
        </w:rPr>
        <w:t>for respondents</w:t>
      </w:r>
      <w:r w:rsidR="008C62CB">
        <w:rPr>
          <w:color w:val="000000"/>
          <w:spacing w:val="9"/>
          <w:sz w:val="22"/>
        </w:rPr>
        <w:t xml:space="preserve"> because they reduce the level of detail needed to complete the report. </w:t>
      </w:r>
      <w:r w:rsidR="00050418">
        <w:rPr>
          <w:color w:val="000000"/>
          <w:spacing w:val="9"/>
          <w:sz w:val="22"/>
        </w:rPr>
        <w:t>In</w:t>
      </w:r>
      <w:r w:rsidR="0019563D">
        <w:rPr>
          <w:color w:val="000000"/>
          <w:spacing w:val="9"/>
          <w:sz w:val="22"/>
        </w:rPr>
        <w:t xml:space="preserve"> 201</w:t>
      </w:r>
      <w:r w:rsidR="0082576D">
        <w:rPr>
          <w:color w:val="000000"/>
          <w:spacing w:val="9"/>
          <w:sz w:val="22"/>
        </w:rPr>
        <w:t>4</w:t>
      </w:r>
      <w:r w:rsidR="0019563D">
        <w:rPr>
          <w:color w:val="000000"/>
          <w:spacing w:val="9"/>
          <w:sz w:val="22"/>
        </w:rPr>
        <w:t xml:space="preserve"> there were 3,007 counties, 64 parishes, 19 organized boroughs, 11 census areas, 41 independent cities, and the District of Columbia for a total of 3,143 counties and county-equivalents in the United States. In the 2014 EIA Field Code Master List, there </w:t>
      </w:r>
      <w:r w:rsidR="00EB050B">
        <w:rPr>
          <w:color w:val="000000"/>
          <w:spacing w:val="9"/>
          <w:sz w:val="22"/>
        </w:rPr>
        <w:t xml:space="preserve">were </w:t>
      </w:r>
      <w:r w:rsidR="0019563D">
        <w:rPr>
          <w:color w:val="000000"/>
          <w:spacing w:val="9"/>
          <w:sz w:val="22"/>
        </w:rPr>
        <w:t xml:space="preserve">66,350 individual entries for State/Field Names, not including the multiple WILDCAT or UNKNOWN </w:t>
      </w:r>
      <w:r w:rsidR="00EF2CE6">
        <w:rPr>
          <w:color w:val="000000"/>
          <w:spacing w:val="9"/>
          <w:sz w:val="22"/>
        </w:rPr>
        <w:t>field records reported annually.</w:t>
      </w:r>
      <w:r w:rsidR="00EB050B">
        <w:rPr>
          <w:color w:val="000000"/>
          <w:spacing w:val="9"/>
          <w:sz w:val="22"/>
        </w:rPr>
        <w:t xml:space="preserve"> Reporting reserves and production data by county total is anticipated to reduce the time required to complete the form b</w:t>
      </w:r>
      <w:r w:rsidR="00071FDA">
        <w:rPr>
          <w:color w:val="000000"/>
          <w:spacing w:val="9"/>
          <w:sz w:val="22"/>
        </w:rPr>
        <w:t>y</w:t>
      </w:r>
      <w:r w:rsidR="00EB050B">
        <w:rPr>
          <w:color w:val="000000"/>
          <w:spacing w:val="9"/>
          <w:sz w:val="22"/>
        </w:rPr>
        <w:t xml:space="preserve"> reducing the number of individual entries in Line 2.1 </w:t>
      </w:r>
      <w:r w:rsidR="00EB267D">
        <w:rPr>
          <w:color w:val="000000"/>
          <w:spacing w:val="9"/>
          <w:sz w:val="22"/>
        </w:rPr>
        <w:t xml:space="preserve">that collects </w:t>
      </w:r>
      <w:r w:rsidR="00052F40">
        <w:rPr>
          <w:color w:val="000000"/>
          <w:spacing w:val="9"/>
          <w:sz w:val="22"/>
        </w:rPr>
        <w:t>individual field</w:t>
      </w:r>
      <w:r w:rsidR="00330FCD">
        <w:rPr>
          <w:color w:val="000000"/>
          <w:spacing w:val="9"/>
          <w:sz w:val="22"/>
        </w:rPr>
        <w:t>-</w:t>
      </w:r>
      <w:r w:rsidR="00052F40">
        <w:rPr>
          <w:color w:val="000000"/>
          <w:spacing w:val="9"/>
          <w:sz w:val="22"/>
        </w:rPr>
        <w:t>level data</w:t>
      </w:r>
      <w:r w:rsidR="00330FCD">
        <w:rPr>
          <w:color w:val="000000"/>
          <w:spacing w:val="9"/>
          <w:sz w:val="22"/>
        </w:rPr>
        <w:t xml:space="preserve"> on </w:t>
      </w:r>
      <w:r w:rsidR="00050418">
        <w:rPr>
          <w:color w:val="000000"/>
          <w:spacing w:val="9"/>
          <w:sz w:val="22"/>
        </w:rPr>
        <w:t xml:space="preserve">the current </w:t>
      </w:r>
      <w:r w:rsidR="00EB050B">
        <w:rPr>
          <w:color w:val="000000"/>
          <w:spacing w:val="9"/>
          <w:sz w:val="22"/>
        </w:rPr>
        <w:t xml:space="preserve">Form EIA-23L. </w:t>
      </w:r>
      <w:r w:rsidR="00EB267D">
        <w:rPr>
          <w:color w:val="000000"/>
          <w:spacing w:val="9"/>
          <w:sz w:val="22"/>
        </w:rPr>
        <w:t>In the existing Form EIA</w:t>
      </w:r>
      <w:r w:rsidR="00F7227C">
        <w:rPr>
          <w:color w:val="000000"/>
          <w:spacing w:val="9"/>
          <w:sz w:val="22"/>
        </w:rPr>
        <w:t>-23L, o</w:t>
      </w:r>
      <w:r w:rsidR="00EB050B">
        <w:rPr>
          <w:color w:val="000000"/>
          <w:spacing w:val="9"/>
          <w:sz w:val="22"/>
        </w:rPr>
        <w:t xml:space="preserve">perators whose fields crossed county lines </w:t>
      </w:r>
      <w:r w:rsidR="00F7227C">
        <w:rPr>
          <w:color w:val="000000"/>
          <w:spacing w:val="9"/>
          <w:sz w:val="22"/>
        </w:rPr>
        <w:t xml:space="preserve">report </w:t>
      </w:r>
      <w:r w:rsidR="00EB050B">
        <w:rPr>
          <w:color w:val="000000"/>
          <w:spacing w:val="9"/>
          <w:sz w:val="22"/>
        </w:rPr>
        <w:t>subdivide</w:t>
      </w:r>
      <w:r w:rsidR="0082576D">
        <w:rPr>
          <w:color w:val="000000"/>
          <w:spacing w:val="9"/>
          <w:sz w:val="22"/>
        </w:rPr>
        <w:t>d</w:t>
      </w:r>
      <w:r w:rsidR="00EB050B">
        <w:rPr>
          <w:color w:val="000000"/>
          <w:spacing w:val="9"/>
          <w:sz w:val="22"/>
        </w:rPr>
        <w:t xml:space="preserve"> estimates on a geographic basis, so no additional burden is expected for operators with large fields crossing multiple counties.</w:t>
      </w:r>
    </w:p>
    <w:p w14:paraId="39F678E1" w14:textId="77777777" w:rsidR="00B34E57" w:rsidRPr="00062CE4" w:rsidRDefault="00B34E57" w:rsidP="00B54581">
      <w:pPr>
        <w:pStyle w:val="Heading1"/>
        <w:numPr>
          <w:ilvl w:val="0"/>
          <w:numId w:val="28"/>
        </w:numPr>
      </w:pPr>
      <w:bookmarkStart w:id="4" w:name="_Toc349579964"/>
      <w:r w:rsidRPr="00062CE4">
        <w:t>JUSTIFICATION</w:t>
      </w:r>
      <w:bookmarkEnd w:id="4"/>
    </w:p>
    <w:p w14:paraId="3F8830C5" w14:textId="77777777" w:rsidR="00B34E57" w:rsidRPr="008561E4" w:rsidRDefault="00B34E57" w:rsidP="00160B87">
      <w:pPr>
        <w:pStyle w:val="Heading2"/>
      </w:pPr>
      <w:bookmarkStart w:id="5" w:name="_Toc349579965"/>
      <w:r w:rsidRPr="008561E4">
        <w:t>Legal Authority</w:t>
      </w:r>
      <w:bookmarkEnd w:id="5"/>
    </w:p>
    <w:p w14:paraId="66C3D805" w14:textId="77777777" w:rsidR="0086075E" w:rsidRPr="00160B87" w:rsidRDefault="003024DE" w:rsidP="00160B87">
      <w:pPr>
        <w:pStyle w:val="ListParagraph"/>
        <w:spacing w:before="120" w:beforeAutospacing="0" w:after="0" w:afterAutospacing="0"/>
        <w:ind w:left="0"/>
        <w:contextualSpacing w:val="0"/>
        <w:rPr>
          <w:rFonts w:ascii="Times New Roman" w:hAnsi="Times New Roman" w:cs="Times New Roman"/>
          <w:color w:val="000000"/>
          <w:spacing w:val="5"/>
          <w:sz w:val="22"/>
        </w:rPr>
      </w:pPr>
      <w:r w:rsidRPr="00160B87">
        <w:rPr>
          <w:rFonts w:ascii="Times New Roman" w:hAnsi="Times New Roman" w:cs="Times New Roman"/>
          <w:color w:val="000000"/>
          <w:spacing w:val="5"/>
          <w:sz w:val="22"/>
        </w:rPr>
        <w:t>The authority for th</w:t>
      </w:r>
      <w:r w:rsidR="00632FCD">
        <w:rPr>
          <w:rFonts w:ascii="Times New Roman" w:hAnsi="Times New Roman" w:cs="Times New Roman"/>
          <w:color w:val="000000"/>
          <w:spacing w:val="5"/>
          <w:sz w:val="22"/>
        </w:rPr>
        <w:t>is</w:t>
      </w:r>
      <w:r w:rsidRPr="00160B87">
        <w:rPr>
          <w:rFonts w:ascii="Times New Roman" w:hAnsi="Times New Roman" w:cs="Times New Roman"/>
          <w:color w:val="000000"/>
          <w:spacing w:val="5"/>
          <w:sz w:val="22"/>
        </w:rPr>
        <w:t xml:space="preserve"> mandatory data collection is provided by the following provisions:</w:t>
      </w:r>
    </w:p>
    <w:p w14:paraId="02432B96" w14:textId="77777777" w:rsidR="00DF0F4E" w:rsidRPr="00160B87" w:rsidRDefault="003024DE" w:rsidP="00160B87">
      <w:pPr>
        <w:pStyle w:val="ListParagraph"/>
        <w:numPr>
          <w:ilvl w:val="0"/>
          <w:numId w:val="10"/>
        </w:numPr>
        <w:spacing w:before="120" w:beforeAutospacing="0" w:after="0" w:afterAutospacing="0"/>
        <w:ind w:left="720"/>
        <w:contextualSpacing w:val="0"/>
        <w:rPr>
          <w:rFonts w:ascii="Times New Roman" w:hAnsi="Times New Roman" w:cs="Times New Roman"/>
          <w:color w:val="000000"/>
          <w:spacing w:val="5"/>
          <w:sz w:val="22"/>
        </w:rPr>
      </w:pPr>
      <w:r w:rsidRPr="00160B87">
        <w:rPr>
          <w:rFonts w:ascii="Times New Roman" w:hAnsi="Times New Roman" w:cs="Times New Roman"/>
          <w:color w:val="000000"/>
          <w:spacing w:val="5"/>
          <w:sz w:val="22"/>
        </w:rPr>
        <w:lastRenderedPageBreak/>
        <w:t>Section 13(b), 15 U.S.C. 772(b), of the Federal Energy Administration Act of 1974 (FEA Act), Public Law 93 275, states:</w:t>
      </w:r>
    </w:p>
    <w:p w14:paraId="65EBBEF4" w14:textId="77777777" w:rsidR="003024DE" w:rsidRPr="00160B87" w:rsidRDefault="003024DE" w:rsidP="00160B87">
      <w:pPr>
        <w:pStyle w:val="ListParagraph"/>
        <w:spacing w:before="120" w:beforeAutospacing="0"/>
        <w:contextualSpacing w:val="0"/>
        <w:jc w:val="left"/>
        <w:rPr>
          <w:rFonts w:ascii="Times New Roman" w:hAnsi="Times New Roman" w:cs="Times New Roman"/>
          <w:color w:val="000000"/>
          <w:spacing w:val="5"/>
          <w:sz w:val="22"/>
        </w:rPr>
      </w:pPr>
      <w:r w:rsidRPr="00160B87">
        <w:rPr>
          <w:rFonts w:ascii="Times New Roman" w:hAnsi="Times New Roman" w:cs="Times New Roman"/>
          <w:color w:val="000000"/>
          <w:spacing w:val="5"/>
          <w:sz w:val="22"/>
        </w:rP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14:paraId="20098FF4" w14:textId="77777777" w:rsidR="00DF0F4E" w:rsidRPr="00160B87" w:rsidRDefault="003024DE" w:rsidP="00160B87">
      <w:pPr>
        <w:pStyle w:val="ListParagraph"/>
        <w:numPr>
          <w:ilvl w:val="0"/>
          <w:numId w:val="10"/>
        </w:numPr>
        <w:spacing w:after="0" w:afterAutospacing="0"/>
        <w:ind w:left="720"/>
        <w:contextualSpacing w:val="0"/>
        <w:rPr>
          <w:rFonts w:ascii="Times New Roman" w:hAnsi="Times New Roman" w:cs="Times New Roman"/>
          <w:color w:val="000000"/>
          <w:spacing w:val="5"/>
          <w:sz w:val="22"/>
        </w:rPr>
      </w:pPr>
      <w:r w:rsidRPr="00160B87">
        <w:rPr>
          <w:rFonts w:ascii="Times New Roman" w:hAnsi="Times New Roman" w:cs="Times New Roman"/>
          <w:color w:val="000000"/>
          <w:spacing w:val="5"/>
          <w:sz w:val="22"/>
        </w:rPr>
        <w:t>Section 5(b), 15 U.S.C. 764(b), of the FEA Act, states that to the extent authorized by Section 5(a), the (Secretary) shall:</w:t>
      </w:r>
    </w:p>
    <w:p w14:paraId="29E4510B" w14:textId="77777777" w:rsidR="00A25203" w:rsidRPr="00160B87" w:rsidRDefault="003024DE" w:rsidP="00160B87">
      <w:pPr>
        <w:tabs>
          <w:tab w:val="decimal" w:pos="792"/>
        </w:tabs>
        <w:spacing w:before="120" w:beforeAutospacing="0" w:after="0" w:afterAutospacing="0"/>
        <w:ind w:left="720"/>
        <w:jc w:val="left"/>
        <w:rPr>
          <w:color w:val="000000"/>
          <w:spacing w:val="5"/>
          <w:sz w:val="22"/>
        </w:rPr>
      </w:pPr>
      <w:r w:rsidRPr="00160B87">
        <w:rPr>
          <w:color w:val="000000"/>
          <w:spacing w:val="5"/>
          <w:sz w:val="22"/>
        </w:rPr>
        <w:t>(2)</w:t>
      </w:r>
      <w:r w:rsidR="00A25203" w:rsidRPr="00160B87">
        <w:rPr>
          <w:color w:val="000000"/>
          <w:spacing w:val="5"/>
          <w:sz w:val="22"/>
        </w:rPr>
        <w:t xml:space="preserve"> ...</w:t>
      </w:r>
      <w:r w:rsidRPr="00160B87">
        <w:rPr>
          <w:color w:val="000000"/>
          <w:spacing w:val="5"/>
          <w:sz w:val="22"/>
        </w:rPr>
        <w:t>Assess the adequacy of energy resources to meet demands in the immediate and longer range future for all sectors of the economy and for the general public;...</w:t>
      </w:r>
    </w:p>
    <w:p w14:paraId="3705DED3" w14:textId="77777777" w:rsidR="003E1DD7" w:rsidRPr="00160B87" w:rsidRDefault="003024DE" w:rsidP="00160B87">
      <w:pPr>
        <w:tabs>
          <w:tab w:val="decimal" w:pos="792"/>
        </w:tabs>
        <w:spacing w:before="120" w:beforeAutospacing="0" w:after="0" w:afterAutospacing="0"/>
        <w:ind w:left="720"/>
        <w:jc w:val="left"/>
        <w:rPr>
          <w:color w:val="000000"/>
          <w:spacing w:val="5"/>
          <w:sz w:val="22"/>
        </w:rPr>
      </w:pPr>
      <w:r w:rsidRPr="00160B87">
        <w:rPr>
          <w:color w:val="000000"/>
          <w:spacing w:val="5"/>
          <w:sz w:val="22"/>
        </w:rPr>
        <w:t>(9)</w:t>
      </w:r>
      <w:r w:rsidR="003E1DD7" w:rsidRPr="00160B87">
        <w:rPr>
          <w:color w:val="000000"/>
          <w:spacing w:val="5"/>
          <w:sz w:val="22"/>
        </w:rPr>
        <w:t xml:space="preserve"> ...</w:t>
      </w:r>
      <w:r w:rsidRPr="00160B87">
        <w:rPr>
          <w:color w:val="000000"/>
          <w:spacing w:val="5"/>
          <w:sz w:val="22"/>
        </w:rPr>
        <w:t>collect, evaluate, assemble, and analyze energy information on reserves, production, demand, and related economic data;</w:t>
      </w:r>
      <w:bookmarkStart w:id="6" w:name="_GoBack"/>
      <w:bookmarkEnd w:id="6"/>
      <w:r w:rsidRPr="00160B87">
        <w:rPr>
          <w:color w:val="000000"/>
          <w:spacing w:val="5"/>
          <w:sz w:val="22"/>
        </w:rPr>
        <w:t>.</w:t>
      </w:r>
      <w:r w:rsidR="004A02F6">
        <w:rPr>
          <w:color w:val="000000"/>
          <w:spacing w:val="5"/>
          <w:sz w:val="22"/>
        </w:rPr>
        <w:t>.</w:t>
      </w:r>
      <w:r w:rsidRPr="00160B87">
        <w:rPr>
          <w:color w:val="000000"/>
          <w:spacing w:val="5"/>
          <w:sz w:val="22"/>
        </w:rPr>
        <w:t>.</w:t>
      </w:r>
    </w:p>
    <w:p w14:paraId="77421798" w14:textId="77777777" w:rsidR="003024DE" w:rsidRPr="00160B87" w:rsidRDefault="003E1DD7" w:rsidP="00160B87">
      <w:pPr>
        <w:tabs>
          <w:tab w:val="decimal" w:pos="792"/>
        </w:tabs>
        <w:spacing w:before="120" w:beforeAutospacing="0" w:after="0" w:afterAutospacing="0"/>
        <w:ind w:left="720"/>
        <w:jc w:val="left"/>
        <w:rPr>
          <w:color w:val="000000"/>
          <w:spacing w:val="5"/>
          <w:sz w:val="22"/>
        </w:rPr>
      </w:pPr>
      <w:r w:rsidRPr="00160B87">
        <w:rPr>
          <w:color w:val="000000"/>
          <w:spacing w:val="5"/>
          <w:sz w:val="22"/>
        </w:rPr>
        <w:t>(12) ...</w:t>
      </w:r>
      <w:r w:rsidR="003024DE" w:rsidRPr="00160B87">
        <w:rPr>
          <w:color w:val="000000"/>
          <w:spacing w:val="5"/>
          <w:sz w:val="22"/>
        </w:rPr>
        <w:t>perform such other functions as may be prescribed by law."</w:t>
      </w:r>
    </w:p>
    <w:p w14:paraId="3D902558" w14:textId="77777777" w:rsidR="00DF0F4E" w:rsidRPr="00160B87" w:rsidRDefault="003024DE" w:rsidP="00FF435A">
      <w:pPr>
        <w:pStyle w:val="ListParagraph"/>
        <w:numPr>
          <w:ilvl w:val="0"/>
          <w:numId w:val="10"/>
        </w:numPr>
        <w:spacing w:after="0" w:afterAutospacing="0"/>
        <w:ind w:left="720"/>
        <w:contextualSpacing w:val="0"/>
        <w:rPr>
          <w:rFonts w:ascii="Times New Roman" w:hAnsi="Times New Roman" w:cs="Times New Roman"/>
          <w:color w:val="000000"/>
          <w:spacing w:val="5"/>
          <w:sz w:val="22"/>
        </w:rPr>
      </w:pPr>
      <w:r w:rsidRPr="00160B87">
        <w:rPr>
          <w:rFonts w:ascii="Times New Roman" w:hAnsi="Times New Roman" w:cs="Times New Roman"/>
          <w:color w:val="000000"/>
          <w:spacing w:val="5"/>
          <w:sz w:val="22"/>
        </w:rPr>
        <w:t>As the authority for invoking Section 5(b)</w:t>
      </w:r>
      <w:r w:rsidR="00D13E07" w:rsidRPr="00160B87">
        <w:rPr>
          <w:rFonts w:ascii="Times New Roman" w:hAnsi="Times New Roman" w:cs="Times New Roman"/>
          <w:color w:val="000000"/>
          <w:spacing w:val="5"/>
          <w:sz w:val="22"/>
        </w:rPr>
        <w:t>,</w:t>
      </w:r>
      <w:r w:rsidRPr="00160B87">
        <w:rPr>
          <w:rFonts w:ascii="Times New Roman" w:hAnsi="Times New Roman" w:cs="Times New Roman"/>
          <w:color w:val="000000"/>
          <w:spacing w:val="5"/>
          <w:sz w:val="22"/>
        </w:rPr>
        <w:t xml:space="preserve"> above, Section 5(a), 15 U.S.C. 764(a), of the FEA Act in turn states:</w:t>
      </w:r>
    </w:p>
    <w:p w14:paraId="5DF57603" w14:textId="77777777" w:rsidR="00DF0F4E" w:rsidRPr="00160B87" w:rsidRDefault="00DF0F4E" w:rsidP="00FF435A">
      <w:pPr>
        <w:spacing w:before="120" w:beforeAutospacing="0" w:after="0" w:afterAutospacing="0"/>
        <w:ind w:left="720"/>
        <w:jc w:val="left"/>
        <w:rPr>
          <w:color w:val="000000"/>
          <w:spacing w:val="5"/>
          <w:sz w:val="22"/>
        </w:rPr>
      </w:pPr>
      <w:r w:rsidRPr="00160B87">
        <w:rPr>
          <w:color w:val="000000"/>
          <w:spacing w:val="5"/>
          <w:sz w:val="22"/>
        </w:rPr>
        <w:t>”</w:t>
      </w:r>
      <w:r w:rsidR="003024DE" w:rsidRPr="00160B87">
        <w:rPr>
          <w:color w:val="000000"/>
          <w:spacing w:val="5"/>
          <w:sz w:val="22"/>
        </w:rPr>
        <w:t xml:space="preserve">Subject to the provisions and procedures set forth in this Act, the (Secretary) shall be responsible for such actions as are taken to assure that adequate provision is made to meet the energy needs of the Nation. </w:t>
      </w:r>
      <w:r w:rsidR="00A25D40" w:rsidRPr="00160B87">
        <w:rPr>
          <w:color w:val="000000"/>
          <w:spacing w:val="5"/>
          <w:sz w:val="22"/>
        </w:rPr>
        <w:t xml:space="preserve"> </w:t>
      </w:r>
      <w:r w:rsidR="003024DE" w:rsidRPr="00160B87">
        <w:rPr>
          <w:color w:val="000000"/>
          <w:spacing w:val="5"/>
          <w:sz w:val="22"/>
        </w:rPr>
        <w:t>To that end, he shall make such plans and direct and conduct such programs related to the production, conservation, use, control, distribution, rationing, and allocation of all forms of energy as are appropriate in connection with only those authorities or functions...</w:t>
      </w:r>
    </w:p>
    <w:p w14:paraId="2CBD3126" w14:textId="77777777" w:rsidR="00A25D40" w:rsidRPr="00160B87" w:rsidRDefault="00DF0F4E" w:rsidP="00FF435A">
      <w:pPr>
        <w:spacing w:before="120" w:beforeAutospacing="0" w:after="0" w:afterAutospacing="0"/>
        <w:ind w:left="720"/>
        <w:jc w:val="left"/>
        <w:rPr>
          <w:color w:val="000000"/>
          <w:spacing w:val="5"/>
          <w:sz w:val="22"/>
        </w:rPr>
      </w:pPr>
      <w:r w:rsidRPr="00160B87">
        <w:rPr>
          <w:color w:val="000000"/>
          <w:spacing w:val="5"/>
          <w:sz w:val="22"/>
        </w:rPr>
        <w:t>(a)</w:t>
      </w:r>
      <w:r w:rsidR="00A25D40" w:rsidRPr="00160B87">
        <w:rPr>
          <w:color w:val="000000"/>
          <w:spacing w:val="5"/>
          <w:sz w:val="22"/>
        </w:rPr>
        <w:t xml:space="preserve"> ...</w:t>
      </w:r>
      <w:r w:rsidR="003024DE" w:rsidRPr="00160B87">
        <w:rPr>
          <w:color w:val="000000"/>
          <w:spacing w:val="5"/>
          <w:sz w:val="22"/>
        </w:rPr>
        <w:t>specifically transferred to or vested i</w:t>
      </w:r>
      <w:r w:rsidR="00A25D40" w:rsidRPr="00160B87">
        <w:rPr>
          <w:color w:val="000000"/>
          <w:spacing w:val="5"/>
          <w:sz w:val="22"/>
        </w:rPr>
        <w:t>n him by or pursuant to this Act...</w:t>
      </w:r>
    </w:p>
    <w:p w14:paraId="71135365" w14:textId="77777777" w:rsidR="003024DE" w:rsidRPr="00160B87" w:rsidRDefault="003024DE" w:rsidP="00FF435A">
      <w:pPr>
        <w:spacing w:before="120" w:beforeAutospacing="0" w:after="0" w:afterAutospacing="0"/>
        <w:ind w:left="720"/>
        <w:jc w:val="left"/>
        <w:rPr>
          <w:color w:val="000000"/>
          <w:spacing w:val="5"/>
          <w:sz w:val="22"/>
        </w:rPr>
      </w:pPr>
      <w:r w:rsidRPr="00160B87">
        <w:rPr>
          <w:color w:val="000000"/>
          <w:spacing w:val="5"/>
          <w:sz w:val="22"/>
        </w:rPr>
        <w:t>(c)</w:t>
      </w:r>
      <w:r w:rsidR="00A25D40" w:rsidRPr="00160B87">
        <w:rPr>
          <w:color w:val="000000"/>
          <w:spacing w:val="5"/>
          <w:sz w:val="22"/>
        </w:rPr>
        <w:t xml:space="preserve"> ...</w:t>
      </w:r>
      <w:r w:rsidRPr="00160B87">
        <w:rPr>
          <w:color w:val="000000"/>
          <w:spacing w:val="5"/>
          <w:sz w:val="22"/>
        </w:rPr>
        <w:t>otherwise specifically vested in the (Secretary) by the Congress."</w:t>
      </w:r>
    </w:p>
    <w:p w14:paraId="0D734CAB" w14:textId="77777777" w:rsidR="00DF0F4E" w:rsidRPr="00160B87" w:rsidRDefault="003024DE" w:rsidP="001B63C7">
      <w:pPr>
        <w:pStyle w:val="ListParagraph"/>
        <w:numPr>
          <w:ilvl w:val="0"/>
          <w:numId w:val="10"/>
        </w:numPr>
        <w:spacing w:after="0" w:afterAutospacing="0"/>
        <w:ind w:left="720"/>
        <w:contextualSpacing w:val="0"/>
        <w:rPr>
          <w:rFonts w:ascii="Times New Roman" w:hAnsi="Times New Roman" w:cs="Times New Roman"/>
          <w:color w:val="000000"/>
          <w:spacing w:val="5"/>
          <w:sz w:val="22"/>
        </w:rPr>
      </w:pPr>
      <w:r w:rsidRPr="00160B87">
        <w:rPr>
          <w:rFonts w:ascii="Times New Roman" w:hAnsi="Times New Roman" w:cs="Times New Roman"/>
          <w:color w:val="000000"/>
          <w:spacing w:val="5"/>
          <w:sz w:val="22"/>
        </w:rPr>
        <w:t>Authority for invoking Section 5(a) of the FEA Act is provided by Section 52, 15 U.S.C. 790a, of the FEA Act which states that the Administrator of the EIA:</w:t>
      </w:r>
    </w:p>
    <w:p w14:paraId="1B510315" w14:textId="77777777" w:rsidR="00DF0F4E" w:rsidRPr="00160B87" w:rsidRDefault="00A25D40" w:rsidP="001B63C7">
      <w:pPr>
        <w:spacing w:before="120" w:beforeAutospacing="0" w:after="0" w:afterAutospacing="0"/>
        <w:ind w:left="720"/>
        <w:jc w:val="left"/>
        <w:rPr>
          <w:color w:val="000000"/>
          <w:spacing w:val="5"/>
          <w:sz w:val="22"/>
        </w:rPr>
      </w:pPr>
      <w:r w:rsidRPr="00160B87">
        <w:rPr>
          <w:color w:val="000000"/>
          <w:spacing w:val="5"/>
          <w:sz w:val="22"/>
        </w:rPr>
        <w:t>"...</w:t>
      </w:r>
      <w:r w:rsidR="003024DE" w:rsidRPr="00160B87">
        <w:rPr>
          <w:color w:val="000000"/>
          <w:spacing w:val="5"/>
          <w:sz w:val="22"/>
        </w:rPr>
        <w:t>(Shall) establish a National Energy Information System which shall ... contain such information as is required to provide a description of and facilitate analysis of energy supply and consumption...</w:t>
      </w:r>
    </w:p>
    <w:p w14:paraId="0DEFF0A2" w14:textId="77777777" w:rsidR="00A25D40" w:rsidRPr="00160B87" w:rsidRDefault="003024DE" w:rsidP="001B63C7">
      <w:pPr>
        <w:spacing w:before="120" w:beforeAutospacing="0" w:after="0" w:afterAutospacing="0"/>
        <w:ind w:left="720"/>
        <w:jc w:val="left"/>
        <w:rPr>
          <w:color w:val="000000"/>
          <w:spacing w:val="5"/>
          <w:sz w:val="22"/>
        </w:rPr>
      </w:pPr>
      <w:r w:rsidRPr="00160B87">
        <w:rPr>
          <w:color w:val="000000"/>
          <w:spacing w:val="5"/>
          <w:sz w:val="22"/>
        </w:rPr>
        <w:t>"(b)</w:t>
      </w:r>
      <w:r w:rsidR="00A25D40" w:rsidRPr="00160B87">
        <w:rPr>
          <w:color w:val="000000"/>
          <w:spacing w:val="5"/>
          <w:sz w:val="22"/>
        </w:rPr>
        <w:t xml:space="preserve"> </w:t>
      </w:r>
      <w:r w:rsidRPr="00160B87">
        <w:rPr>
          <w:color w:val="000000"/>
          <w:spacing w:val="5"/>
          <w:sz w:val="22"/>
        </w:rPr>
        <w:t xml:space="preserve">...the System shall contain such energy information as is necessary to carry out the Administration's statistical and forecasting activities, ..., such energy information as is required to define and permit analysis of </w:t>
      </w:r>
      <w:r w:rsidR="00DF0F4E" w:rsidRPr="00160B87">
        <w:rPr>
          <w:color w:val="000000"/>
          <w:spacing w:val="5"/>
          <w:sz w:val="22"/>
        </w:rPr>
        <w:t>–</w:t>
      </w:r>
    </w:p>
    <w:p w14:paraId="48EF2C93" w14:textId="77777777" w:rsidR="00CC33F2" w:rsidRPr="00160B87" w:rsidRDefault="003024DE" w:rsidP="001B63C7">
      <w:pPr>
        <w:pStyle w:val="ListParagraph"/>
        <w:numPr>
          <w:ilvl w:val="0"/>
          <w:numId w:val="11"/>
        </w:numPr>
        <w:spacing w:before="120" w:beforeAutospacing="0" w:after="0" w:afterAutospacing="0"/>
        <w:contextualSpacing w:val="0"/>
        <w:jc w:val="left"/>
        <w:rPr>
          <w:rFonts w:ascii="Times New Roman" w:hAnsi="Times New Roman"/>
          <w:color w:val="000000"/>
          <w:spacing w:val="5"/>
          <w:sz w:val="22"/>
        </w:rPr>
      </w:pPr>
      <w:r w:rsidRPr="00160B87">
        <w:rPr>
          <w:rFonts w:ascii="Times New Roman" w:hAnsi="Times New Roman"/>
          <w:color w:val="000000"/>
          <w:spacing w:val="5"/>
          <w:sz w:val="22"/>
        </w:rPr>
        <w:t>the institutional structure of the energy supply system including patterns of ownership and control of mineral fuel and nonmineral energy resources and the production, distribution, and marketing of mineral fuels and electricity;</w:t>
      </w:r>
    </w:p>
    <w:p w14:paraId="1A8DE64F" w14:textId="77777777" w:rsidR="00CC33F2" w:rsidRPr="00160B87" w:rsidRDefault="003024DE" w:rsidP="001B63C7">
      <w:pPr>
        <w:pStyle w:val="ListParagraph"/>
        <w:numPr>
          <w:ilvl w:val="0"/>
          <w:numId w:val="11"/>
        </w:numPr>
        <w:spacing w:before="120" w:beforeAutospacing="0" w:after="0" w:afterAutospacing="0"/>
        <w:contextualSpacing w:val="0"/>
        <w:jc w:val="left"/>
        <w:rPr>
          <w:rFonts w:ascii="Times New Roman" w:hAnsi="Times New Roman"/>
          <w:color w:val="000000"/>
          <w:spacing w:val="5"/>
          <w:sz w:val="22"/>
        </w:rPr>
      </w:pPr>
      <w:r w:rsidRPr="00160B87">
        <w:rPr>
          <w:rFonts w:ascii="Times New Roman" w:hAnsi="Times New Roman"/>
          <w:color w:val="000000"/>
          <w:spacing w:val="5"/>
          <w:sz w:val="22"/>
        </w:rPr>
        <w:t>the consumption of mineral fuels, nonmineral energy resources, and electricity by such classes, sectors, and regions as may be appropriate for the purposes of this Act;</w:t>
      </w:r>
    </w:p>
    <w:p w14:paraId="50C9358C" w14:textId="77777777" w:rsidR="009915B3" w:rsidRPr="00160B87" w:rsidRDefault="009915B3" w:rsidP="001B63C7">
      <w:pPr>
        <w:pStyle w:val="ListParagraph"/>
        <w:numPr>
          <w:ilvl w:val="0"/>
          <w:numId w:val="11"/>
        </w:numPr>
        <w:spacing w:before="120" w:beforeAutospacing="0" w:after="0" w:afterAutospacing="0"/>
        <w:contextualSpacing w:val="0"/>
        <w:jc w:val="left"/>
        <w:rPr>
          <w:rFonts w:ascii="Times New Roman" w:hAnsi="Times New Roman"/>
          <w:color w:val="000000"/>
          <w:spacing w:val="5"/>
          <w:sz w:val="22"/>
        </w:rPr>
      </w:pPr>
      <w:r w:rsidRPr="00160B87">
        <w:rPr>
          <w:rFonts w:ascii="Times New Roman" w:hAnsi="Times New Roman"/>
          <w:color w:val="000000"/>
          <w:spacing w:val="5"/>
          <w:sz w:val="22"/>
        </w:rPr>
        <w:t>industrial, labor, and regional impacts of changes in patterns of energy supply and consumption.</w:t>
      </w:r>
      <w:r w:rsidR="001B63C7">
        <w:rPr>
          <w:rFonts w:ascii="Times New Roman" w:hAnsi="Times New Roman"/>
          <w:color w:val="000000"/>
          <w:spacing w:val="5"/>
          <w:sz w:val="22"/>
        </w:rPr>
        <w:t>”</w:t>
      </w:r>
    </w:p>
    <w:p w14:paraId="52181553" w14:textId="77777777" w:rsidR="00A25D40" w:rsidRPr="00D71D78" w:rsidRDefault="00B34E57" w:rsidP="008561E4">
      <w:pPr>
        <w:pStyle w:val="Heading2"/>
      </w:pPr>
      <w:bookmarkStart w:id="7" w:name="_Toc345587546"/>
      <w:bookmarkStart w:id="8" w:name="_Toc349579966"/>
      <w:bookmarkEnd w:id="7"/>
      <w:r w:rsidRPr="00D71D78">
        <w:lastRenderedPageBreak/>
        <w:t>Needs for and Uses of the Data</w:t>
      </w:r>
      <w:bookmarkEnd w:id="8"/>
    </w:p>
    <w:p w14:paraId="00F6E65A" w14:textId="77777777" w:rsidR="00F51ECD" w:rsidRPr="00DB71F6" w:rsidRDefault="00F51ECD" w:rsidP="00DB71F6">
      <w:pPr>
        <w:spacing w:before="120" w:beforeAutospacing="0" w:after="0" w:afterAutospacing="0"/>
        <w:rPr>
          <w:color w:val="000000"/>
          <w:sz w:val="22"/>
        </w:rPr>
      </w:pPr>
      <w:r w:rsidRPr="00DB71F6">
        <w:rPr>
          <w:color w:val="000000"/>
          <w:sz w:val="22"/>
        </w:rPr>
        <w:t xml:space="preserve">The information </w:t>
      </w:r>
      <w:r w:rsidR="008B7DAA" w:rsidRPr="00DB71F6">
        <w:rPr>
          <w:color w:val="000000"/>
          <w:sz w:val="22"/>
        </w:rPr>
        <w:t xml:space="preserve">provided by the Oil and Gas Reserves System (OGRS) data collections </w:t>
      </w:r>
      <w:r w:rsidRPr="00DB71F6">
        <w:rPr>
          <w:color w:val="000000"/>
          <w:sz w:val="22"/>
        </w:rPr>
        <w:t>is used by the Department of Energy</w:t>
      </w:r>
      <w:r w:rsidR="004E7093" w:rsidRPr="00DB71F6">
        <w:rPr>
          <w:color w:val="000000"/>
          <w:sz w:val="22"/>
        </w:rPr>
        <w:t xml:space="preserve"> as</w:t>
      </w:r>
      <w:r w:rsidR="004E7093" w:rsidRPr="00DB71F6" w:rsidDel="004E7093">
        <w:rPr>
          <w:color w:val="000000"/>
          <w:sz w:val="22"/>
        </w:rPr>
        <w:t xml:space="preserve"> </w:t>
      </w:r>
      <w:r w:rsidR="004E7093" w:rsidRPr="00DB71F6">
        <w:rPr>
          <w:color w:val="000000"/>
          <w:sz w:val="22"/>
        </w:rPr>
        <w:t>i</w:t>
      </w:r>
      <w:r w:rsidRPr="00DB71F6">
        <w:rPr>
          <w:color w:val="000000"/>
          <w:sz w:val="22"/>
        </w:rPr>
        <w:t xml:space="preserve">nput into the following </w:t>
      </w:r>
      <w:r w:rsidR="009915B3" w:rsidRPr="00DB71F6">
        <w:rPr>
          <w:color w:val="000000"/>
          <w:sz w:val="22"/>
        </w:rPr>
        <w:t>w</w:t>
      </w:r>
      <w:r w:rsidRPr="00DB71F6">
        <w:rPr>
          <w:color w:val="000000"/>
          <w:sz w:val="22"/>
        </w:rPr>
        <w:t>eb products issued by EIA:</w:t>
      </w:r>
    </w:p>
    <w:p w14:paraId="1AEFABF7" w14:textId="77777777" w:rsidR="00F51ECD" w:rsidRPr="00DB71F6" w:rsidRDefault="00EF2CE6" w:rsidP="00DB71F6">
      <w:pPr>
        <w:numPr>
          <w:ilvl w:val="0"/>
          <w:numId w:val="5"/>
        </w:numPr>
        <w:tabs>
          <w:tab w:val="clear" w:pos="720"/>
        </w:tabs>
        <w:spacing w:before="120" w:beforeAutospacing="0"/>
        <w:jc w:val="left"/>
        <w:rPr>
          <w:color w:val="000000"/>
          <w:sz w:val="22"/>
        </w:rPr>
      </w:pPr>
      <w:r>
        <w:rPr>
          <w:i/>
          <w:color w:val="000000"/>
          <w:sz w:val="22"/>
        </w:rPr>
        <w:t>U.S. Crude Oil and Natural Gas Proved</w:t>
      </w:r>
      <w:r w:rsidR="00F51ECD" w:rsidRPr="00DB71F6">
        <w:rPr>
          <w:i/>
          <w:color w:val="000000"/>
          <w:sz w:val="22"/>
        </w:rPr>
        <w:t xml:space="preserve"> Reserves Annual Report,</w:t>
      </w:r>
      <w:r w:rsidR="00F51ECD" w:rsidRPr="00DB71F6">
        <w:rPr>
          <w:color w:val="000000"/>
          <w:sz w:val="22"/>
        </w:rPr>
        <w:t xml:space="preserve"> </w:t>
      </w:r>
      <w:hyperlink r:id="rId13" w:history="1">
        <w:r w:rsidR="00F51ECD" w:rsidRPr="00DB71F6">
          <w:rPr>
            <w:rStyle w:val="Hyperlink"/>
            <w:sz w:val="22"/>
          </w:rPr>
          <w:t>http://www.eia.doe.gov/oil_gas/natural_gas/data_publications/crude_oil_natural_gas_reserves/cr.html</w:t>
        </w:r>
      </w:hyperlink>
    </w:p>
    <w:p w14:paraId="77A4EF15" w14:textId="77777777" w:rsidR="005C57DB" w:rsidRPr="00517B21" w:rsidRDefault="00F51ECD" w:rsidP="00517B21">
      <w:pPr>
        <w:numPr>
          <w:ilvl w:val="0"/>
          <w:numId w:val="5"/>
        </w:numPr>
        <w:tabs>
          <w:tab w:val="clear" w:pos="720"/>
        </w:tabs>
        <w:spacing w:before="120" w:beforeAutospacing="0"/>
        <w:jc w:val="left"/>
        <w:rPr>
          <w:i/>
          <w:color w:val="000000"/>
          <w:sz w:val="22"/>
        </w:rPr>
      </w:pPr>
      <w:r w:rsidRPr="00DB71F6">
        <w:rPr>
          <w:i/>
          <w:color w:val="000000"/>
          <w:sz w:val="22"/>
        </w:rPr>
        <w:t>Natural Gas Monthly</w:t>
      </w:r>
      <w:r w:rsidR="005C57DB" w:rsidRPr="00DB71F6">
        <w:rPr>
          <w:i/>
          <w:color w:val="000000"/>
          <w:sz w:val="22"/>
        </w:rPr>
        <w:t>,</w:t>
      </w:r>
      <w:r w:rsidR="00517B21">
        <w:rPr>
          <w:i/>
          <w:color w:val="000000"/>
          <w:sz w:val="22"/>
        </w:rPr>
        <w:t xml:space="preserve"> </w:t>
      </w:r>
      <w:hyperlink r:id="rId14" w:history="1">
        <w:r w:rsidR="00C5300F" w:rsidRPr="00C5300F">
          <w:rPr>
            <w:rStyle w:val="Hyperlink"/>
            <w:sz w:val="22"/>
          </w:rPr>
          <w:t>http://www.eia.gov/naturalgas/monthly</w:t>
        </w:r>
      </w:hyperlink>
    </w:p>
    <w:p w14:paraId="0D74E17F" w14:textId="77777777" w:rsidR="00F51ECD" w:rsidRPr="00DB71F6" w:rsidRDefault="00071FDA" w:rsidP="00DB71F6">
      <w:pPr>
        <w:numPr>
          <w:ilvl w:val="0"/>
          <w:numId w:val="5"/>
        </w:numPr>
        <w:tabs>
          <w:tab w:val="clear" w:pos="720"/>
        </w:tabs>
        <w:spacing w:before="120" w:beforeAutospacing="0"/>
        <w:jc w:val="left"/>
        <w:rPr>
          <w:color w:val="000000"/>
          <w:sz w:val="22"/>
        </w:rPr>
      </w:pPr>
      <w:r>
        <w:rPr>
          <w:i/>
          <w:color w:val="000000"/>
          <w:sz w:val="22"/>
        </w:rPr>
        <w:t>Monthly</w:t>
      </w:r>
      <w:r w:rsidRPr="00DB71F6">
        <w:rPr>
          <w:i/>
          <w:color w:val="000000"/>
          <w:sz w:val="22"/>
        </w:rPr>
        <w:t xml:space="preserve"> </w:t>
      </w:r>
      <w:r w:rsidR="00F51ECD" w:rsidRPr="00DB71F6">
        <w:rPr>
          <w:i/>
          <w:color w:val="000000"/>
          <w:sz w:val="22"/>
        </w:rPr>
        <w:t>Energy Review</w:t>
      </w:r>
      <w:r w:rsidR="00F51ECD" w:rsidRPr="00DB71F6">
        <w:rPr>
          <w:color w:val="000000"/>
          <w:sz w:val="22"/>
        </w:rPr>
        <w:t xml:space="preserve">, </w:t>
      </w:r>
      <w:hyperlink r:id="rId15" w:history="1">
        <w:r w:rsidR="005D1DC8" w:rsidRPr="005D1DC8">
          <w:rPr>
            <w:rStyle w:val="Hyperlink"/>
            <w:sz w:val="22"/>
          </w:rPr>
          <w:t>http://www.eia.gov/emeu/mer/contents.html</w:t>
        </w:r>
      </w:hyperlink>
    </w:p>
    <w:p w14:paraId="57FB6D5F" w14:textId="77777777" w:rsidR="009915B3" w:rsidRPr="00DB71F6" w:rsidRDefault="009915B3" w:rsidP="00DB71F6">
      <w:pPr>
        <w:numPr>
          <w:ilvl w:val="0"/>
          <w:numId w:val="5"/>
        </w:numPr>
        <w:tabs>
          <w:tab w:val="clear" w:pos="720"/>
        </w:tabs>
        <w:spacing w:before="120" w:beforeAutospacing="0"/>
        <w:jc w:val="left"/>
        <w:rPr>
          <w:color w:val="000000"/>
          <w:sz w:val="22"/>
        </w:rPr>
      </w:pPr>
      <w:r w:rsidRPr="00DB71F6">
        <w:rPr>
          <w:i/>
          <w:color w:val="000000"/>
          <w:sz w:val="22"/>
        </w:rPr>
        <w:t xml:space="preserve">Annual Energy Outlook, </w:t>
      </w:r>
      <w:hyperlink r:id="rId16" w:history="1">
        <w:r w:rsidRPr="00DB71F6">
          <w:rPr>
            <w:rStyle w:val="Hyperlink"/>
            <w:sz w:val="22"/>
          </w:rPr>
          <w:t>http://www.eia.gov/forecasts/aeo/er/</w:t>
        </w:r>
      </w:hyperlink>
    </w:p>
    <w:p w14:paraId="639FC41B" w14:textId="77777777" w:rsidR="009915B3" w:rsidRPr="00DB71F6" w:rsidRDefault="009915B3" w:rsidP="00DB71F6">
      <w:pPr>
        <w:numPr>
          <w:ilvl w:val="0"/>
          <w:numId w:val="5"/>
        </w:numPr>
        <w:tabs>
          <w:tab w:val="clear" w:pos="720"/>
        </w:tabs>
        <w:spacing w:before="120" w:beforeAutospacing="0"/>
        <w:jc w:val="left"/>
        <w:rPr>
          <w:color w:val="000000"/>
          <w:sz w:val="22"/>
        </w:rPr>
      </w:pPr>
      <w:r w:rsidRPr="00DB71F6">
        <w:rPr>
          <w:i/>
          <w:color w:val="000000"/>
          <w:sz w:val="22"/>
        </w:rPr>
        <w:t>Short-Term Energy Outlook</w:t>
      </w:r>
      <w:r w:rsidRPr="00DB71F6">
        <w:rPr>
          <w:color w:val="000000"/>
          <w:sz w:val="22"/>
        </w:rPr>
        <w:t xml:space="preserve">, </w:t>
      </w:r>
      <w:hyperlink r:id="rId17" w:history="1">
        <w:r w:rsidRPr="00DB71F6">
          <w:rPr>
            <w:rStyle w:val="Hyperlink"/>
            <w:sz w:val="22"/>
          </w:rPr>
          <w:t>http://www.eia.gov/forecasts/steo/</w:t>
        </w:r>
      </w:hyperlink>
    </w:p>
    <w:p w14:paraId="03331D8C" w14:textId="77777777" w:rsidR="00F51ECD" w:rsidRPr="00DB71F6" w:rsidRDefault="00F51ECD" w:rsidP="00DB71F6">
      <w:pPr>
        <w:rPr>
          <w:sz w:val="22"/>
        </w:rPr>
      </w:pPr>
      <w:r w:rsidRPr="00DB71F6">
        <w:rPr>
          <w:sz w:val="22"/>
        </w:rPr>
        <w:t>Form EIA-23L provide</w:t>
      </w:r>
      <w:r w:rsidR="00DB71F6">
        <w:rPr>
          <w:sz w:val="22"/>
        </w:rPr>
        <w:t>s</w:t>
      </w:r>
      <w:r w:rsidRPr="00DB71F6">
        <w:rPr>
          <w:sz w:val="22"/>
        </w:rPr>
        <w:t xml:space="preserve"> credible, verifiable national and regional data on the proved reserves </w:t>
      </w:r>
      <w:r w:rsidR="00882706">
        <w:rPr>
          <w:sz w:val="22"/>
        </w:rPr>
        <w:t xml:space="preserve">and production </w:t>
      </w:r>
      <w:r w:rsidRPr="00DB71F6">
        <w:rPr>
          <w:sz w:val="22"/>
        </w:rPr>
        <w:t xml:space="preserve">of crude oil, and natural gas. </w:t>
      </w:r>
      <w:r w:rsidR="00E85349" w:rsidRPr="00DB71F6">
        <w:rPr>
          <w:sz w:val="22"/>
        </w:rPr>
        <w:t xml:space="preserve"> </w:t>
      </w:r>
      <w:r w:rsidRPr="00DB71F6">
        <w:rPr>
          <w:sz w:val="22"/>
        </w:rPr>
        <w:t>The</w:t>
      </w:r>
      <w:r w:rsidR="00DB71F6">
        <w:rPr>
          <w:sz w:val="22"/>
        </w:rPr>
        <w:t>se</w:t>
      </w:r>
      <w:r w:rsidRPr="00DB71F6">
        <w:rPr>
          <w:sz w:val="22"/>
        </w:rPr>
        <w:t xml:space="preserve"> data </w:t>
      </w:r>
      <w:r w:rsidR="00882706">
        <w:rPr>
          <w:sz w:val="22"/>
        </w:rPr>
        <w:t xml:space="preserve">are the basis for EIA’s estimates of </w:t>
      </w:r>
      <w:r w:rsidRPr="00DB71F6">
        <w:rPr>
          <w:sz w:val="22"/>
        </w:rPr>
        <w:t xml:space="preserve">proved reserves and production for crude oil, lease condensate, and natural gas by </w:t>
      </w:r>
      <w:r w:rsidR="00FC3D8D" w:rsidRPr="00DB71F6">
        <w:rPr>
          <w:sz w:val="22"/>
        </w:rPr>
        <w:t>s</w:t>
      </w:r>
      <w:r w:rsidRPr="00DB71F6">
        <w:rPr>
          <w:sz w:val="22"/>
        </w:rPr>
        <w:t xml:space="preserve">tate and </w:t>
      </w:r>
      <w:r w:rsidR="00FC3D8D" w:rsidRPr="00DB71F6">
        <w:rPr>
          <w:sz w:val="22"/>
        </w:rPr>
        <w:t>f</w:t>
      </w:r>
      <w:r w:rsidRPr="00DB71F6">
        <w:rPr>
          <w:sz w:val="22"/>
        </w:rPr>
        <w:t xml:space="preserve">ederal </w:t>
      </w:r>
      <w:r w:rsidR="00FC3D8D" w:rsidRPr="00DB71F6">
        <w:rPr>
          <w:sz w:val="22"/>
        </w:rPr>
        <w:t>o</w:t>
      </w:r>
      <w:r w:rsidRPr="00DB71F6">
        <w:rPr>
          <w:sz w:val="22"/>
        </w:rPr>
        <w:t>ffshore</w:t>
      </w:r>
      <w:r w:rsidR="00915E1D" w:rsidRPr="00DB71F6">
        <w:rPr>
          <w:sz w:val="22"/>
        </w:rPr>
        <w:t xml:space="preserve"> regions</w:t>
      </w:r>
      <w:r w:rsidRPr="00DB71F6">
        <w:rPr>
          <w:sz w:val="22"/>
        </w:rPr>
        <w:t>.</w:t>
      </w:r>
    </w:p>
    <w:p w14:paraId="5B014040" w14:textId="77777777" w:rsidR="00F51ECD" w:rsidRPr="00DB71F6" w:rsidRDefault="00F51ECD" w:rsidP="00DB71F6">
      <w:pPr>
        <w:rPr>
          <w:sz w:val="22"/>
        </w:rPr>
      </w:pPr>
      <w:r w:rsidRPr="00DB71F6">
        <w:rPr>
          <w:sz w:val="22"/>
        </w:rPr>
        <w:t xml:space="preserve">Form EIA-64A provides data that are used to estimate </w:t>
      </w:r>
      <w:r w:rsidR="005D1DC8">
        <w:rPr>
          <w:sz w:val="22"/>
        </w:rPr>
        <w:t xml:space="preserve">the yield of </w:t>
      </w:r>
      <w:r w:rsidRPr="00DB71F6">
        <w:rPr>
          <w:sz w:val="22"/>
        </w:rPr>
        <w:t xml:space="preserve">natural gas plant liquids </w:t>
      </w:r>
      <w:r w:rsidR="005D1DC8">
        <w:rPr>
          <w:sz w:val="22"/>
        </w:rPr>
        <w:t>from total natural gas production</w:t>
      </w:r>
      <w:r w:rsidRPr="00DB71F6">
        <w:rPr>
          <w:sz w:val="22"/>
        </w:rPr>
        <w:t xml:space="preserve"> by </w:t>
      </w:r>
      <w:r w:rsidR="00FC3D8D" w:rsidRPr="00DB71F6">
        <w:rPr>
          <w:sz w:val="22"/>
        </w:rPr>
        <w:t>s</w:t>
      </w:r>
      <w:r w:rsidRPr="00DB71F6">
        <w:rPr>
          <w:sz w:val="22"/>
        </w:rPr>
        <w:t xml:space="preserve">tate and </w:t>
      </w:r>
      <w:r w:rsidR="00FC3D8D" w:rsidRPr="00DB71F6">
        <w:rPr>
          <w:sz w:val="22"/>
        </w:rPr>
        <w:t>f</w:t>
      </w:r>
      <w:r w:rsidRPr="00DB71F6">
        <w:rPr>
          <w:sz w:val="22"/>
        </w:rPr>
        <w:t xml:space="preserve">ederal </w:t>
      </w:r>
      <w:r w:rsidR="00FC3D8D" w:rsidRPr="00DB71F6">
        <w:rPr>
          <w:sz w:val="22"/>
        </w:rPr>
        <w:t>o</w:t>
      </w:r>
      <w:r w:rsidRPr="00DB71F6">
        <w:rPr>
          <w:sz w:val="22"/>
        </w:rPr>
        <w:t>ffshore</w:t>
      </w:r>
      <w:r w:rsidR="00915E1D" w:rsidRPr="00DB71F6">
        <w:rPr>
          <w:sz w:val="22"/>
        </w:rPr>
        <w:t xml:space="preserve"> regions</w:t>
      </w:r>
      <w:r w:rsidRPr="00DB71F6">
        <w:rPr>
          <w:sz w:val="22"/>
        </w:rPr>
        <w:t xml:space="preserve">. </w:t>
      </w:r>
      <w:r w:rsidR="00E85349" w:rsidRPr="00DB71F6">
        <w:rPr>
          <w:sz w:val="22"/>
        </w:rPr>
        <w:t xml:space="preserve"> </w:t>
      </w:r>
      <w:r w:rsidRPr="00DB71F6">
        <w:rPr>
          <w:sz w:val="22"/>
        </w:rPr>
        <w:t>Data collected are plant and respondent identification, origin of natural gas received and natural gas liquids produced, plant fuel use, and gas shrinkage resulting from natural gas liquids extracted.</w:t>
      </w:r>
    </w:p>
    <w:p w14:paraId="5A0AC086" w14:textId="77777777" w:rsidR="00CE1962" w:rsidRDefault="00F51ECD" w:rsidP="00CE1962">
      <w:pPr>
        <w:rPr>
          <w:sz w:val="22"/>
        </w:rPr>
      </w:pPr>
      <w:r w:rsidRPr="00DB71F6">
        <w:rPr>
          <w:sz w:val="22"/>
        </w:rPr>
        <w:t>The</w:t>
      </w:r>
      <w:r w:rsidR="00DB71F6">
        <w:rPr>
          <w:sz w:val="22"/>
        </w:rPr>
        <w:t>se</w:t>
      </w:r>
      <w:r w:rsidRPr="00DB71F6">
        <w:rPr>
          <w:sz w:val="22"/>
        </w:rPr>
        <w:t xml:space="preserve"> data are used by EIA in many reports and analysis that discuss crude oil and natural gas reserves and production. </w:t>
      </w:r>
      <w:r w:rsidR="00E85349" w:rsidRPr="00DB71F6">
        <w:rPr>
          <w:sz w:val="22"/>
        </w:rPr>
        <w:t xml:space="preserve"> </w:t>
      </w:r>
      <w:r w:rsidRPr="00DB71F6">
        <w:rPr>
          <w:sz w:val="22"/>
        </w:rPr>
        <w:t>The EIA-64A data is used for generating estimates of EIA's dry natural gas production</w:t>
      </w:r>
      <w:r w:rsidR="00915E1D" w:rsidRPr="00DB71F6">
        <w:rPr>
          <w:sz w:val="22"/>
        </w:rPr>
        <w:t xml:space="preserve"> (natural </w:t>
      </w:r>
      <w:r w:rsidR="00C817FB" w:rsidRPr="00DB71F6">
        <w:rPr>
          <w:sz w:val="22"/>
        </w:rPr>
        <w:t xml:space="preserve">gas </w:t>
      </w:r>
      <w:r w:rsidR="009A3B00">
        <w:rPr>
          <w:sz w:val="22"/>
        </w:rPr>
        <w:t xml:space="preserve">that </w:t>
      </w:r>
      <w:r w:rsidR="00C817FB" w:rsidRPr="00DB71F6">
        <w:rPr>
          <w:sz w:val="22"/>
        </w:rPr>
        <w:t>remain</w:t>
      </w:r>
      <w:r w:rsidR="009A3B00">
        <w:rPr>
          <w:sz w:val="22"/>
        </w:rPr>
        <w:t>s</w:t>
      </w:r>
      <w:r w:rsidR="00C817FB" w:rsidRPr="00DB71F6">
        <w:rPr>
          <w:sz w:val="22"/>
        </w:rPr>
        <w:t xml:space="preserve"> after natural gas liquids </w:t>
      </w:r>
      <w:r w:rsidR="000B3281" w:rsidRPr="00DB71F6">
        <w:rPr>
          <w:sz w:val="22"/>
        </w:rPr>
        <w:t>are</w:t>
      </w:r>
      <w:r w:rsidR="00915E1D" w:rsidRPr="00DB71F6">
        <w:rPr>
          <w:sz w:val="22"/>
        </w:rPr>
        <w:t xml:space="preserve"> extracted)</w:t>
      </w:r>
      <w:r w:rsidRPr="00DB71F6">
        <w:rPr>
          <w:sz w:val="22"/>
        </w:rPr>
        <w:t xml:space="preserve">. </w:t>
      </w:r>
      <w:r w:rsidR="00E85349" w:rsidRPr="00DB71F6">
        <w:rPr>
          <w:sz w:val="22"/>
        </w:rPr>
        <w:t xml:space="preserve"> </w:t>
      </w:r>
      <w:r w:rsidRPr="00DB71F6">
        <w:rPr>
          <w:sz w:val="22"/>
        </w:rPr>
        <w:t>The estimate for production of total natural gas plant liquids (NG</w:t>
      </w:r>
      <w:r w:rsidR="009915B3" w:rsidRPr="00DB71F6">
        <w:rPr>
          <w:sz w:val="22"/>
        </w:rPr>
        <w:t>P</w:t>
      </w:r>
      <w:r w:rsidRPr="00DB71F6">
        <w:rPr>
          <w:sz w:val="22"/>
        </w:rPr>
        <w:t xml:space="preserve">L) generated from the EIA-64A data is used by EIA to calculate the extraction loss from wet natural gas production so that EIA may accurately estimate dry natural gas production. </w:t>
      </w:r>
      <w:r w:rsidR="00E85349" w:rsidRPr="00DB71F6">
        <w:rPr>
          <w:sz w:val="22"/>
        </w:rPr>
        <w:t xml:space="preserve"> </w:t>
      </w:r>
      <w:r w:rsidRPr="00DB71F6">
        <w:rPr>
          <w:sz w:val="22"/>
        </w:rPr>
        <w:t>All EIA publications are available on EIA’s Internet site</w:t>
      </w:r>
      <w:r w:rsidR="00CE1962">
        <w:rPr>
          <w:sz w:val="22"/>
        </w:rPr>
        <w:t xml:space="preserve"> (</w:t>
      </w:r>
      <w:hyperlink r:id="rId18" w:history="1">
        <w:r w:rsidR="00CE1962" w:rsidRPr="00F9197B">
          <w:rPr>
            <w:rStyle w:val="Hyperlink"/>
            <w:sz w:val="22"/>
          </w:rPr>
          <w:t>http://www.eia.gov</w:t>
        </w:r>
      </w:hyperlink>
      <w:r w:rsidR="00CE1962">
        <w:rPr>
          <w:sz w:val="22"/>
        </w:rPr>
        <w:t>)</w:t>
      </w:r>
      <w:r w:rsidR="00DA3A26">
        <w:rPr>
          <w:sz w:val="22"/>
        </w:rPr>
        <w:t>.</w:t>
      </w:r>
    </w:p>
    <w:p w14:paraId="6988CD63" w14:textId="77777777" w:rsidR="007A6362" w:rsidRPr="00DB71F6" w:rsidRDefault="00F51ECD" w:rsidP="00DB71F6">
      <w:pPr>
        <w:spacing w:after="0" w:afterAutospacing="0"/>
        <w:rPr>
          <w:color w:val="000000"/>
          <w:sz w:val="22"/>
        </w:rPr>
      </w:pPr>
      <w:r w:rsidRPr="00DB71F6">
        <w:rPr>
          <w:sz w:val="22"/>
        </w:rPr>
        <w:t xml:space="preserve">Every year the Oil and Gas Journal </w:t>
      </w:r>
      <w:r w:rsidR="00DA3A26">
        <w:rPr>
          <w:sz w:val="22"/>
        </w:rPr>
        <w:t>(</w:t>
      </w:r>
      <w:hyperlink r:id="rId19" w:history="1">
        <w:r w:rsidR="00CE1962" w:rsidRPr="00F9197B">
          <w:rPr>
            <w:rStyle w:val="Hyperlink"/>
            <w:sz w:val="22"/>
          </w:rPr>
          <w:t>http://www.ogj.com/index.cfm</w:t>
        </w:r>
      </w:hyperlink>
      <w:r w:rsidR="00DA3A26">
        <w:rPr>
          <w:sz w:val="22"/>
        </w:rPr>
        <w:t>)</w:t>
      </w:r>
      <w:r w:rsidRPr="00DB71F6">
        <w:rPr>
          <w:sz w:val="22"/>
        </w:rPr>
        <w:t xml:space="preserve"> publishes the reserves estimates from the EIA-23 as the official reserve estimates for the U.S. as part of their coverage of international crude oil reserves.</w:t>
      </w:r>
      <w:r w:rsidR="00E63B08" w:rsidRPr="00DB71F6">
        <w:rPr>
          <w:sz w:val="22"/>
        </w:rPr>
        <w:t xml:space="preserve">  </w:t>
      </w:r>
      <w:r w:rsidR="00A21D67" w:rsidRPr="00DB71F6">
        <w:rPr>
          <w:color w:val="000000"/>
          <w:sz w:val="22"/>
        </w:rPr>
        <w:t xml:space="preserve">Both the Forms EIA-23 and EIA-64A data series are also widely used in the petroleum industry by consultants and the trade press.  </w:t>
      </w:r>
      <w:r w:rsidRPr="00DB71F6">
        <w:rPr>
          <w:color w:val="000000"/>
          <w:sz w:val="22"/>
        </w:rPr>
        <w:t xml:space="preserve">Recent articles citing </w:t>
      </w:r>
      <w:r w:rsidR="00AF7747" w:rsidRPr="00DB71F6">
        <w:rPr>
          <w:color w:val="000000"/>
          <w:sz w:val="22"/>
        </w:rPr>
        <w:t xml:space="preserve">EIA </w:t>
      </w:r>
      <w:r w:rsidR="003D050A" w:rsidRPr="00DB71F6">
        <w:rPr>
          <w:color w:val="000000"/>
          <w:sz w:val="22"/>
        </w:rPr>
        <w:t>p</w:t>
      </w:r>
      <w:r w:rsidR="00AF7747" w:rsidRPr="00DB71F6">
        <w:rPr>
          <w:color w:val="000000"/>
          <w:sz w:val="22"/>
        </w:rPr>
        <w:t xml:space="preserve">roved </w:t>
      </w:r>
      <w:r w:rsidR="003D050A" w:rsidRPr="00DB71F6">
        <w:rPr>
          <w:color w:val="000000"/>
          <w:sz w:val="22"/>
        </w:rPr>
        <w:t>r</w:t>
      </w:r>
      <w:r w:rsidR="00AF7747" w:rsidRPr="00DB71F6">
        <w:rPr>
          <w:color w:val="000000"/>
          <w:sz w:val="22"/>
        </w:rPr>
        <w:t>eserves (Form EIA-23)</w:t>
      </w:r>
      <w:r w:rsidRPr="00DB71F6">
        <w:rPr>
          <w:color w:val="000000"/>
          <w:sz w:val="22"/>
        </w:rPr>
        <w:t xml:space="preserve"> data</w:t>
      </w:r>
      <w:r w:rsidR="00A21D67" w:rsidRPr="00DB71F6">
        <w:rPr>
          <w:color w:val="000000"/>
          <w:sz w:val="22"/>
        </w:rPr>
        <w:t xml:space="preserve"> include</w:t>
      </w:r>
      <w:r w:rsidRPr="00DB71F6">
        <w:rPr>
          <w:color w:val="000000"/>
          <w:sz w:val="22"/>
        </w:rPr>
        <w:t>:</w:t>
      </w:r>
    </w:p>
    <w:p w14:paraId="403C40B5" w14:textId="77777777" w:rsidR="00B73628" w:rsidRDefault="00B73628" w:rsidP="00B73628">
      <w:pPr>
        <w:pStyle w:val="ListParagraph"/>
        <w:numPr>
          <w:ilvl w:val="0"/>
          <w:numId w:val="23"/>
        </w:numPr>
        <w:spacing w:before="120" w:beforeAutospacing="0" w:after="0" w:afterAutospacing="0"/>
        <w:contextualSpacing w:val="0"/>
        <w:jc w:val="left"/>
        <w:rPr>
          <w:rFonts w:ascii="Times New Roman" w:hAnsi="Times New Roman" w:cs="Times New Roman"/>
          <w:sz w:val="22"/>
        </w:rPr>
      </w:pPr>
      <w:r>
        <w:rPr>
          <w:rFonts w:ascii="Times New Roman" w:hAnsi="Times New Roman" w:cs="Times New Roman"/>
          <w:sz w:val="22"/>
        </w:rPr>
        <w:t xml:space="preserve">November 23, 2015 Oil and Gas Journal: </w:t>
      </w:r>
      <w:r w:rsidRPr="00814AB2">
        <w:rPr>
          <w:rFonts w:ascii="Times New Roman" w:hAnsi="Times New Roman" w:cs="Times New Roman"/>
          <w:i/>
          <w:sz w:val="22"/>
        </w:rPr>
        <w:t>US crude oil reserves increase on 6-year trend</w:t>
      </w:r>
      <w:r>
        <w:rPr>
          <w:rFonts w:ascii="Times New Roman" w:hAnsi="Times New Roman" w:cs="Times New Roman"/>
          <w:sz w:val="22"/>
        </w:rPr>
        <w:t xml:space="preserve"> </w:t>
      </w:r>
      <w:hyperlink r:id="rId20" w:history="1">
        <w:r w:rsidRPr="00013272">
          <w:rPr>
            <w:rStyle w:val="Hyperlink"/>
            <w:rFonts w:ascii="Times New Roman" w:hAnsi="Times New Roman" w:cs="Times New Roman"/>
            <w:sz w:val="22"/>
          </w:rPr>
          <w:t>http://www.ogj.com/articles/2015/11/us-crude-oil-reserves-increase-on-6-year-trend.html</w:t>
        </w:r>
      </w:hyperlink>
    </w:p>
    <w:p w14:paraId="628B2F40" w14:textId="77777777" w:rsidR="00B73628" w:rsidRDefault="00B73628" w:rsidP="00B73628">
      <w:pPr>
        <w:pStyle w:val="ListParagraph"/>
        <w:numPr>
          <w:ilvl w:val="0"/>
          <w:numId w:val="23"/>
        </w:numPr>
        <w:spacing w:before="120" w:beforeAutospacing="0" w:after="0" w:afterAutospacing="0"/>
        <w:contextualSpacing w:val="0"/>
        <w:jc w:val="left"/>
        <w:rPr>
          <w:rFonts w:ascii="Times New Roman" w:hAnsi="Times New Roman" w:cs="Times New Roman"/>
          <w:sz w:val="22"/>
        </w:rPr>
      </w:pPr>
      <w:r>
        <w:rPr>
          <w:rFonts w:ascii="Times New Roman" w:hAnsi="Times New Roman" w:cs="Times New Roman"/>
          <w:sz w:val="22"/>
        </w:rPr>
        <w:t xml:space="preserve">December 16, 2015 Petro Global News: </w:t>
      </w:r>
      <w:r w:rsidRPr="00814AB2">
        <w:rPr>
          <w:rFonts w:ascii="Times New Roman" w:hAnsi="Times New Roman" w:cs="Times New Roman"/>
          <w:i/>
          <w:sz w:val="22"/>
        </w:rPr>
        <w:t>EIA: U.S. crude reserves jumped to 42 year high in 2014</w:t>
      </w:r>
      <w:r>
        <w:rPr>
          <w:rFonts w:ascii="Times New Roman" w:hAnsi="Times New Roman" w:cs="Times New Roman"/>
          <w:sz w:val="22"/>
        </w:rPr>
        <w:t xml:space="preserve"> </w:t>
      </w:r>
      <w:hyperlink r:id="rId21" w:history="1">
        <w:r w:rsidRPr="00013272">
          <w:rPr>
            <w:rStyle w:val="Hyperlink"/>
            <w:rFonts w:ascii="Times New Roman" w:hAnsi="Times New Roman" w:cs="Times New Roman"/>
            <w:sz w:val="22"/>
          </w:rPr>
          <w:t>http://petroglobalnews.com/2015/11/eia-u-s-crude-reserves-jumped-9-percent-in-2014/</w:t>
        </w:r>
      </w:hyperlink>
      <w:r>
        <w:rPr>
          <w:rFonts w:ascii="Times New Roman" w:hAnsi="Times New Roman" w:cs="Times New Roman"/>
          <w:sz w:val="22"/>
        </w:rPr>
        <w:t xml:space="preserve"> </w:t>
      </w:r>
    </w:p>
    <w:p w14:paraId="10A09FBE" w14:textId="77777777" w:rsidR="00B73628" w:rsidRDefault="00B73628" w:rsidP="00B73628">
      <w:pPr>
        <w:pStyle w:val="ListParagraph"/>
        <w:numPr>
          <w:ilvl w:val="0"/>
          <w:numId w:val="23"/>
        </w:numPr>
        <w:spacing w:before="120" w:beforeAutospacing="0" w:after="0" w:afterAutospacing="0"/>
        <w:contextualSpacing w:val="0"/>
        <w:jc w:val="left"/>
        <w:rPr>
          <w:rFonts w:ascii="Times New Roman" w:hAnsi="Times New Roman" w:cs="Times New Roman"/>
          <w:sz w:val="22"/>
        </w:rPr>
      </w:pPr>
      <w:r>
        <w:rPr>
          <w:rFonts w:ascii="Times New Roman" w:hAnsi="Times New Roman" w:cs="Times New Roman"/>
          <w:sz w:val="22"/>
        </w:rPr>
        <w:t xml:space="preserve">November 23, 2015 Reuters: </w:t>
      </w:r>
      <w:r w:rsidRPr="00814AB2">
        <w:rPr>
          <w:rFonts w:ascii="Times New Roman" w:hAnsi="Times New Roman" w:cs="Times New Roman"/>
          <w:i/>
          <w:sz w:val="22"/>
        </w:rPr>
        <w:t>Shale drilling boosted U.S. oil and gas reserves in 2014: EIA</w:t>
      </w:r>
      <w:r>
        <w:rPr>
          <w:rFonts w:ascii="Times New Roman" w:hAnsi="Times New Roman" w:cs="Times New Roman"/>
          <w:sz w:val="22"/>
        </w:rPr>
        <w:t xml:space="preserve"> </w:t>
      </w:r>
      <w:hyperlink r:id="rId22" w:history="1">
        <w:r w:rsidRPr="00013272">
          <w:rPr>
            <w:rStyle w:val="Hyperlink"/>
            <w:rFonts w:ascii="Times New Roman" w:hAnsi="Times New Roman" w:cs="Times New Roman"/>
            <w:sz w:val="22"/>
          </w:rPr>
          <w:t>http://www.reuters.com/article/us-usa-energy-reserves-idUSKBN0TC2BJ20151123</w:t>
        </w:r>
      </w:hyperlink>
      <w:r>
        <w:rPr>
          <w:rFonts w:ascii="Times New Roman" w:hAnsi="Times New Roman" w:cs="Times New Roman"/>
          <w:sz w:val="22"/>
        </w:rPr>
        <w:t xml:space="preserve"> </w:t>
      </w:r>
    </w:p>
    <w:p w14:paraId="7D1CE84D" w14:textId="77777777" w:rsidR="00B73628" w:rsidRDefault="00B73628" w:rsidP="00AB73D5">
      <w:pPr>
        <w:pStyle w:val="ListParagraph"/>
        <w:numPr>
          <w:ilvl w:val="0"/>
          <w:numId w:val="23"/>
        </w:numPr>
        <w:spacing w:before="120" w:beforeAutospacing="0" w:after="0" w:afterAutospacing="0"/>
        <w:contextualSpacing w:val="0"/>
        <w:jc w:val="left"/>
        <w:rPr>
          <w:rFonts w:ascii="Times New Roman" w:hAnsi="Times New Roman" w:cs="Times New Roman"/>
          <w:sz w:val="22"/>
        </w:rPr>
      </w:pPr>
      <w:r>
        <w:rPr>
          <w:rFonts w:ascii="Times New Roman" w:hAnsi="Times New Roman" w:cs="Times New Roman"/>
          <w:sz w:val="22"/>
        </w:rPr>
        <w:t xml:space="preserve">November 23, 2015 </w:t>
      </w:r>
      <w:r w:rsidR="00AB73D5">
        <w:rPr>
          <w:rFonts w:ascii="Times New Roman" w:hAnsi="Times New Roman" w:cs="Times New Roman"/>
          <w:sz w:val="22"/>
        </w:rPr>
        <w:t xml:space="preserve">RIGZONE: </w:t>
      </w:r>
      <w:r w:rsidR="00AB73D5" w:rsidRPr="00814AB2">
        <w:rPr>
          <w:rFonts w:ascii="Times New Roman" w:hAnsi="Times New Roman" w:cs="Times New Roman"/>
          <w:i/>
          <w:sz w:val="22"/>
        </w:rPr>
        <w:t>EIA: Shale drilling boosted US oil, gas reserves in 2014</w:t>
      </w:r>
      <w:r w:rsidR="00AB73D5">
        <w:rPr>
          <w:rFonts w:ascii="Times New Roman" w:hAnsi="Times New Roman" w:cs="Times New Roman"/>
          <w:sz w:val="22"/>
        </w:rPr>
        <w:t xml:space="preserve"> </w:t>
      </w:r>
      <w:hyperlink r:id="rId23" w:history="1">
        <w:r w:rsidR="00AB73D5" w:rsidRPr="00013272">
          <w:rPr>
            <w:rStyle w:val="Hyperlink"/>
            <w:rFonts w:ascii="Times New Roman" w:hAnsi="Times New Roman" w:cs="Times New Roman"/>
            <w:sz w:val="22"/>
          </w:rPr>
          <w:t>http://www.rigzone.com/news/oil_gas/a/141760/EIA_Shale_Drilling_Boosted_US_Oil_Gas_Reserves_In_2014</w:t>
        </w:r>
      </w:hyperlink>
      <w:r w:rsidR="00AB73D5">
        <w:rPr>
          <w:rFonts w:ascii="Times New Roman" w:hAnsi="Times New Roman" w:cs="Times New Roman"/>
          <w:sz w:val="22"/>
        </w:rPr>
        <w:t xml:space="preserve"> </w:t>
      </w:r>
    </w:p>
    <w:p w14:paraId="5908DF96" w14:textId="77777777" w:rsidR="00AB73D5" w:rsidRDefault="00AB73D5" w:rsidP="00AB73D5">
      <w:pPr>
        <w:pStyle w:val="ListParagraph"/>
        <w:numPr>
          <w:ilvl w:val="0"/>
          <w:numId w:val="23"/>
        </w:numPr>
        <w:spacing w:before="120" w:beforeAutospacing="0" w:after="0" w:afterAutospacing="0"/>
        <w:contextualSpacing w:val="0"/>
        <w:jc w:val="left"/>
        <w:rPr>
          <w:rFonts w:ascii="Times New Roman" w:hAnsi="Times New Roman" w:cs="Times New Roman"/>
          <w:sz w:val="22"/>
        </w:rPr>
      </w:pPr>
      <w:r>
        <w:rPr>
          <w:rFonts w:ascii="Times New Roman" w:hAnsi="Times New Roman" w:cs="Times New Roman"/>
          <w:sz w:val="22"/>
        </w:rPr>
        <w:t xml:space="preserve">November 27, 2015 Market Realist: How lower crude oil prices could affect crude oil reserves </w:t>
      </w:r>
      <w:hyperlink r:id="rId24" w:history="1">
        <w:r w:rsidRPr="00013272">
          <w:rPr>
            <w:rStyle w:val="Hyperlink"/>
            <w:rFonts w:ascii="Times New Roman" w:hAnsi="Times New Roman" w:cs="Times New Roman"/>
            <w:sz w:val="22"/>
          </w:rPr>
          <w:t>http://marketrealist.com/2015/11/lower-crude-oil-prices-affect-crude-oil-reserves</w:t>
        </w:r>
      </w:hyperlink>
    </w:p>
    <w:p w14:paraId="44766305" w14:textId="77777777" w:rsidR="00AB73D5" w:rsidRPr="00D43DE1" w:rsidRDefault="00AB73D5" w:rsidP="00814AB2">
      <w:pPr>
        <w:pStyle w:val="ListParagraph"/>
        <w:spacing w:before="120" w:beforeAutospacing="0" w:after="0" w:afterAutospacing="0"/>
        <w:contextualSpacing w:val="0"/>
        <w:jc w:val="left"/>
        <w:rPr>
          <w:rFonts w:ascii="Times New Roman" w:hAnsi="Times New Roman" w:cs="Times New Roman"/>
          <w:sz w:val="22"/>
        </w:rPr>
      </w:pPr>
    </w:p>
    <w:p w14:paraId="0CC19561" w14:textId="77777777" w:rsidR="00F51ECD" w:rsidRPr="00DB71F6" w:rsidRDefault="00F51ECD" w:rsidP="00AB4A84">
      <w:pPr>
        <w:spacing w:after="0" w:afterAutospacing="0"/>
        <w:rPr>
          <w:color w:val="000000"/>
          <w:sz w:val="22"/>
        </w:rPr>
      </w:pPr>
      <w:r w:rsidRPr="00DB71F6">
        <w:rPr>
          <w:color w:val="000000"/>
          <w:sz w:val="22"/>
        </w:rPr>
        <w:lastRenderedPageBreak/>
        <w:t>The data series from these surveys provide additional benefits</w:t>
      </w:r>
      <w:r w:rsidR="005D0D79" w:rsidRPr="00DB71F6">
        <w:rPr>
          <w:color w:val="000000"/>
          <w:sz w:val="22"/>
        </w:rPr>
        <w:t>,</w:t>
      </w:r>
      <w:r w:rsidRPr="00DB71F6">
        <w:rPr>
          <w:color w:val="000000"/>
          <w:sz w:val="22"/>
        </w:rPr>
        <w:t xml:space="preserve"> such as:</w:t>
      </w:r>
    </w:p>
    <w:p w14:paraId="798C668D" w14:textId="77777777" w:rsidR="00EF78E4" w:rsidRPr="00DB71F6" w:rsidRDefault="00117ABC" w:rsidP="00AB4A84">
      <w:pPr>
        <w:pStyle w:val="ListParagraph"/>
        <w:numPr>
          <w:ilvl w:val="0"/>
          <w:numId w:val="23"/>
        </w:numPr>
        <w:spacing w:before="120" w:beforeAutospacing="0" w:after="0" w:afterAutospacing="0"/>
        <w:contextualSpacing w:val="0"/>
        <w:jc w:val="left"/>
        <w:rPr>
          <w:rFonts w:ascii="Times New Roman" w:hAnsi="Times New Roman" w:cs="Times New Roman"/>
          <w:color w:val="000000"/>
          <w:sz w:val="22"/>
        </w:rPr>
      </w:pPr>
      <w:r w:rsidRPr="00DB71F6">
        <w:rPr>
          <w:rFonts w:ascii="Times New Roman" w:hAnsi="Times New Roman" w:cs="Times New Roman"/>
          <w:color w:val="000000"/>
          <w:sz w:val="22"/>
        </w:rPr>
        <w:t>Fulfilling</w:t>
      </w:r>
      <w:r w:rsidR="00F51ECD" w:rsidRPr="00DB71F6">
        <w:rPr>
          <w:rFonts w:ascii="Times New Roman" w:hAnsi="Times New Roman" w:cs="Times New Roman"/>
          <w:color w:val="000000"/>
          <w:sz w:val="22"/>
        </w:rPr>
        <w:t xml:space="preserve"> EIA's mission to provide credible, reliable</w:t>
      </w:r>
      <w:r w:rsidR="005000C0" w:rsidRPr="00DB71F6">
        <w:rPr>
          <w:rFonts w:ascii="Times New Roman" w:hAnsi="Times New Roman" w:cs="Times New Roman"/>
          <w:color w:val="000000"/>
          <w:sz w:val="22"/>
        </w:rPr>
        <w:t>, and timely energy information</w:t>
      </w:r>
    </w:p>
    <w:p w14:paraId="1A4737E5" w14:textId="77777777" w:rsidR="00F51ECD" w:rsidRPr="00DB71F6" w:rsidRDefault="00117ABC" w:rsidP="00AB4A84">
      <w:pPr>
        <w:pStyle w:val="ListParagraph"/>
        <w:numPr>
          <w:ilvl w:val="0"/>
          <w:numId w:val="23"/>
        </w:numPr>
        <w:spacing w:before="120" w:beforeAutospacing="0" w:after="0" w:afterAutospacing="0"/>
        <w:contextualSpacing w:val="0"/>
        <w:jc w:val="left"/>
        <w:rPr>
          <w:rFonts w:ascii="Times New Roman" w:hAnsi="Times New Roman" w:cs="Times New Roman"/>
          <w:color w:val="000000"/>
          <w:sz w:val="22"/>
        </w:rPr>
      </w:pPr>
      <w:r w:rsidRPr="00DB71F6">
        <w:rPr>
          <w:rFonts w:ascii="Times New Roman" w:hAnsi="Times New Roman" w:cs="Times New Roman"/>
          <w:color w:val="000000"/>
          <w:sz w:val="22"/>
        </w:rPr>
        <w:t xml:space="preserve">Providing </w:t>
      </w:r>
      <w:r w:rsidR="00F51ECD" w:rsidRPr="00DB71F6">
        <w:rPr>
          <w:rFonts w:ascii="Times New Roman" w:hAnsi="Times New Roman" w:cs="Times New Roman"/>
          <w:color w:val="000000"/>
          <w:sz w:val="22"/>
        </w:rPr>
        <w:t>a data base for use in forecasting, policy making, p</w:t>
      </w:r>
      <w:r w:rsidR="005000C0" w:rsidRPr="00DB71F6">
        <w:rPr>
          <w:rFonts w:ascii="Times New Roman" w:hAnsi="Times New Roman" w:cs="Times New Roman"/>
          <w:color w:val="000000"/>
          <w:sz w:val="22"/>
        </w:rPr>
        <w:t>lanning and analysis activities</w:t>
      </w:r>
    </w:p>
    <w:p w14:paraId="39380BA8" w14:textId="77777777" w:rsidR="00F51ECD" w:rsidRPr="00DB71F6" w:rsidRDefault="00117ABC" w:rsidP="00AB4A84">
      <w:pPr>
        <w:pStyle w:val="ListParagraph"/>
        <w:numPr>
          <w:ilvl w:val="0"/>
          <w:numId w:val="23"/>
        </w:numPr>
        <w:spacing w:before="120" w:beforeAutospacing="0" w:after="0" w:afterAutospacing="0"/>
        <w:contextualSpacing w:val="0"/>
        <w:jc w:val="left"/>
        <w:rPr>
          <w:rFonts w:ascii="Times New Roman" w:hAnsi="Times New Roman" w:cs="Times New Roman"/>
          <w:color w:val="000000"/>
          <w:sz w:val="22"/>
        </w:rPr>
      </w:pPr>
      <w:r w:rsidRPr="00DB71F6">
        <w:rPr>
          <w:rFonts w:ascii="Times New Roman" w:hAnsi="Times New Roman" w:cs="Times New Roman"/>
          <w:color w:val="000000"/>
          <w:sz w:val="22"/>
        </w:rPr>
        <w:t>Serving a</w:t>
      </w:r>
      <w:r w:rsidR="00F51ECD" w:rsidRPr="00DB71F6">
        <w:rPr>
          <w:rFonts w:ascii="Times New Roman" w:hAnsi="Times New Roman" w:cs="Times New Roman"/>
          <w:color w:val="000000"/>
          <w:sz w:val="22"/>
        </w:rPr>
        <w:t>s an official data bank available to Congress and other government agencies on the proved reserves of crude oil, natural gas, and natural g</w:t>
      </w:r>
      <w:r w:rsidR="005000C0" w:rsidRPr="00DB71F6">
        <w:rPr>
          <w:rFonts w:ascii="Times New Roman" w:hAnsi="Times New Roman" w:cs="Times New Roman"/>
          <w:color w:val="000000"/>
          <w:sz w:val="22"/>
        </w:rPr>
        <w:t>as liquids in the United States</w:t>
      </w:r>
    </w:p>
    <w:p w14:paraId="3624001A" w14:textId="77777777" w:rsidR="00F51ECD" w:rsidRPr="00DB71F6" w:rsidRDefault="00117ABC" w:rsidP="00AB4A84">
      <w:pPr>
        <w:pStyle w:val="ListParagraph"/>
        <w:numPr>
          <w:ilvl w:val="0"/>
          <w:numId w:val="23"/>
        </w:numPr>
        <w:spacing w:before="120" w:beforeAutospacing="0" w:after="0" w:afterAutospacing="0"/>
        <w:contextualSpacing w:val="0"/>
        <w:jc w:val="left"/>
        <w:rPr>
          <w:rFonts w:ascii="Times New Roman" w:hAnsi="Times New Roman" w:cs="Times New Roman"/>
          <w:color w:val="000000"/>
          <w:sz w:val="22"/>
        </w:rPr>
      </w:pPr>
      <w:r w:rsidRPr="00DB71F6">
        <w:rPr>
          <w:rFonts w:ascii="Times New Roman" w:hAnsi="Times New Roman" w:cs="Times New Roman"/>
          <w:color w:val="000000"/>
          <w:sz w:val="22"/>
        </w:rPr>
        <w:t>Providing</w:t>
      </w:r>
      <w:r w:rsidR="00F51ECD" w:rsidRPr="00DB71F6">
        <w:rPr>
          <w:rFonts w:ascii="Times New Roman" w:hAnsi="Times New Roman" w:cs="Times New Roman"/>
          <w:color w:val="000000"/>
          <w:sz w:val="22"/>
        </w:rPr>
        <w:t xml:space="preserve"> a source of data for other government agencies, business firms, trade associations, and private research and consulting organizations for analysis, proje</w:t>
      </w:r>
      <w:r w:rsidR="005000C0" w:rsidRPr="00DB71F6">
        <w:rPr>
          <w:rFonts w:ascii="Times New Roman" w:hAnsi="Times New Roman" w:cs="Times New Roman"/>
          <w:color w:val="000000"/>
          <w:sz w:val="22"/>
        </w:rPr>
        <w:t>ctions, and monitoring purposes</w:t>
      </w:r>
      <w:r w:rsidR="00E63B08" w:rsidRPr="00DB71F6">
        <w:rPr>
          <w:rFonts w:ascii="Times New Roman" w:hAnsi="Times New Roman" w:cs="Times New Roman"/>
          <w:color w:val="000000"/>
          <w:sz w:val="22"/>
        </w:rPr>
        <w:t>.</w:t>
      </w:r>
    </w:p>
    <w:p w14:paraId="1E24B7A5" w14:textId="77777777" w:rsidR="00B34E57" w:rsidRPr="00D810CC" w:rsidRDefault="00B34E57" w:rsidP="008561E4">
      <w:pPr>
        <w:pStyle w:val="Heading2"/>
      </w:pPr>
      <w:bookmarkStart w:id="9" w:name="_Toc349579967"/>
      <w:r w:rsidRPr="00D810CC">
        <w:t>Use of Information Technology</w:t>
      </w:r>
      <w:bookmarkEnd w:id="9"/>
    </w:p>
    <w:p w14:paraId="01A5F263" w14:textId="77777777" w:rsidR="006C1072" w:rsidRPr="00AB4A84" w:rsidRDefault="006C1072" w:rsidP="00AB4A84">
      <w:pPr>
        <w:spacing w:before="120" w:beforeAutospacing="0"/>
        <w:rPr>
          <w:color w:val="000000"/>
          <w:sz w:val="22"/>
        </w:rPr>
      </w:pPr>
      <w:r w:rsidRPr="00AB4A84">
        <w:rPr>
          <w:color w:val="000000"/>
          <w:sz w:val="22"/>
        </w:rPr>
        <w:t xml:space="preserve">In an effort to reduce respondent burden, multiple reporting options </w:t>
      </w:r>
      <w:r w:rsidR="00690F48" w:rsidRPr="00AB4A84">
        <w:rPr>
          <w:color w:val="000000"/>
          <w:sz w:val="22"/>
        </w:rPr>
        <w:t xml:space="preserve">for the Forms EIA-23L and EIA-64A </w:t>
      </w:r>
      <w:r w:rsidRPr="00AB4A84">
        <w:rPr>
          <w:color w:val="000000"/>
          <w:sz w:val="22"/>
        </w:rPr>
        <w:t>are provided.</w:t>
      </w:r>
    </w:p>
    <w:p w14:paraId="56507157" w14:textId="77777777" w:rsidR="006C1072" w:rsidRPr="00AB4A84" w:rsidRDefault="009919B5" w:rsidP="00AB4A84">
      <w:pPr>
        <w:pStyle w:val="Level2"/>
        <w:widowControl/>
        <w:spacing w:after="100"/>
        <w:ind w:left="0" w:firstLine="0"/>
        <w:rPr>
          <w:rFonts w:ascii="Times New Roman" w:hAnsi="Times New Roman"/>
          <w:color w:val="000000"/>
          <w:sz w:val="22"/>
          <w:szCs w:val="22"/>
        </w:rPr>
      </w:pPr>
      <w:r>
        <w:rPr>
          <w:rFonts w:ascii="Times New Roman" w:hAnsi="Times New Roman"/>
          <w:color w:val="000000"/>
          <w:sz w:val="22"/>
          <w:szCs w:val="22"/>
        </w:rPr>
        <w:t>Respondents</w:t>
      </w:r>
      <w:r w:rsidR="00EC4E27">
        <w:rPr>
          <w:rFonts w:ascii="Times New Roman" w:hAnsi="Times New Roman"/>
          <w:color w:val="000000"/>
          <w:sz w:val="22"/>
          <w:szCs w:val="22"/>
        </w:rPr>
        <w:t xml:space="preserve"> may file their</w:t>
      </w:r>
      <w:r w:rsidR="006C1072" w:rsidRPr="00AB4A84">
        <w:rPr>
          <w:rFonts w:ascii="Times New Roman" w:hAnsi="Times New Roman"/>
          <w:color w:val="000000"/>
          <w:sz w:val="22"/>
          <w:szCs w:val="22"/>
        </w:rPr>
        <w:t xml:space="preserve"> Form EIA-23</w:t>
      </w:r>
      <w:r w:rsidR="00D86E24" w:rsidRPr="00AB4A84">
        <w:rPr>
          <w:rFonts w:ascii="Times New Roman" w:hAnsi="Times New Roman"/>
          <w:color w:val="000000"/>
          <w:sz w:val="22"/>
          <w:szCs w:val="22"/>
        </w:rPr>
        <w:t>L</w:t>
      </w:r>
      <w:r w:rsidR="006C1072" w:rsidRPr="00AB4A84">
        <w:rPr>
          <w:rFonts w:ascii="Times New Roman" w:hAnsi="Times New Roman"/>
          <w:color w:val="000000"/>
          <w:sz w:val="22"/>
          <w:szCs w:val="22"/>
        </w:rPr>
        <w:t xml:space="preserve"> </w:t>
      </w:r>
      <w:r w:rsidR="00EC4E27">
        <w:rPr>
          <w:rFonts w:ascii="Times New Roman" w:hAnsi="Times New Roman"/>
          <w:color w:val="000000"/>
          <w:sz w:val="22"/>
          <w:szCs w:val="22"/>
        </w:rPr>
        <w:t xml:space="preserve">using software available </w:t>
      </w:r>
      <w:r w:rsidR="006C1072" w:rsidRPr="00AB4A84">
        <w:rPr>
          <w:rFonts w:ascii="Times New Roman" w:hAnsi="Times New Roman"/>
          <w:color w:val="000000"/>
          <w:sz w:val="22"/>
          <w:szCs w:val="22"/>
        </w:rPr>
        <w:t xml:space="preserve">on the EIA website as a </w:t>
      </w:r>
      <w:r w:rsidR="003D050A" w:rsidRPr="00AB4A84">
        <w:rPr>
          <w:rFonts w:ascii="Times New Roman" w:hAnsi="Times New Roman"/>
          <w:color w:val="000000"/>
          <w:sz w:val="22"/>
          <w:szCs w:val="22"/>
        </w:rPr>
        <w:t>d</w:t>
      </w:r>
      <w:r w:rsidR="006C1072" w:rsidRPr="00AB4A84">
        <w:rPr>
          <w:rFonts w:ascii="Times New Roman" w:hAnsi="Times New Roman"/>
          <w:color w:val="000000"/>
          <w:sz w:val="22"/>
          <w:szCs w:val="22"/>
        </w:rPr>
        <w:t xml:space="preserve">ownload. </w:t>
      </w:r>
      <w:r w:rsidR="008F7803" w:rsidRPr="00AB4A84">
        <w:rPr>
          <w:rFonts w:ascii="Times New Roman" w:hAnsi="Times New Roman"/>
          <w:color w:val="000000"/>
          <w:sz w:val="22"/>
          <w:szCs w:val="22"/>
        </w:rPr>
        <w:t xml:space="preserve"> </w:t>
      </w:r>
      <w:r w:rsidR="006C1072" w:rsidRPr="00AB4A84">
        <w:rPr>
          <w:rFonts w:ascii="Times New Roman" w:hAnsi="Times New Roman"/>
          <w:color w:val="000000"/>
          <w:sz w:val="22"/>
          <w:szCs w:val="22"/>
        </w:rPr>
        <w:t xml:space="preserve">This electronic system is called </w:t>
      </w:r>
      <w:r w:rsidR="00EC76D2" w:rsidRPr="00AB4A84">
        <w:rPr>
          <w:rFonts w:ascii="Times New Roman" w:hAnsi="Times New Roman"/>
          <w:color w:val="000000"/>
          <w:sz w:val="22"/>
          <w:szCs w:val="22"/>
        </w:rPr>
        <w:t>“</w:t>
      </w:r>
      <w:r w:rsidR="006C1072" w:rsidRPr="00AB4A84">
        <w:rPr>
          <w:rFonts w:ascii="Times New Roman" w:hAnsi="Times New Roman"/>
          <w:color w:val="000000"/>
          <w:sz w:val="22"/>
          <w:szCs w:val="22"/>
        </w:rPr>
        <w:t>Reserves Information Gathering System</w:t>
      </w:r>
      <w:r w:rsidR="00EC76D2" w:rsidRPr="00AB4A84">
        <w:rPr>
          <w:rFonts w:ascii="Times New Roman" w:hAnsi="Times New Roman"/>
          <w:color w:val="000000"/>
          <w:sz w:val="22"/>
          <w:szCs w:val="22"/>
        </w:rPr>
        <w:t>”</w:t>
      </w:r>
      <w:r w:rsidR="006C1072" w:rsidRPr="00AB4A84">
        <w:rPr>
          <w:rFonts w:ascii="Times New Roman" w:hAnsi="Times New Roman"/>
          <w:color w:val="000000"/>
          <w:sz w:val="22"/>
          <w:szCs w:val="22"/>
        </w:rPr>
        <w:t xml:space="preserve"> (RIGS). </w:t>
      </w:r>
      <w:r w:rsidR="00EC4E27">
        <w:rPr>
          <w:rFonts w:ascii="Times New Roman" w:hAnsi="Times New Roman"/>
          <w:color w:val="000000"/>
          <w:sz w:val="22"/>
          <w:szCs w:val="22"/>
        </w:rPr>
        <w:t xml:space="preserve"> This software may be accessed from the web page for EIA survey forms at </w:t>
      </w:r>
      <w:hyperlink r:id="rId25" w:anchor="eia-23l" w:history="1">
        <w:r w:rsidR="00EC4E27" w:rsidRPr="00503593">
          <w:rPr>
            <w:rStyle w:val="Hyperlink"/>
            <w:rFonts w:ascii="Times New Roman" w:hAnsi="Times New Roman"/>
            <w:sz w:val="22"/>
            <w:szCs w:val="22"/>
          </w:rPr>
          <w:t>http://www.eia.gov/survey/#eia-23l</w:t>
        </w:r>
      </w:hyperlink>
      <w:r w:rsidR="00EC4E27">
        <w:rPr>
          <w:rFonts w:ascii="Times New Roman" w:hAnsi="Times New Roman"/>
          <w:color w:val="000000"/>
          <w:sz w:val="22"/>
          <w:szCs w:val="22"/>
        </w:rPr>
        <w:t xml:space="preserve">. </w:t>
      </w:r>
      <w:r w:rsidR="003A28C0" w:rsidRPr="00AB4A84">
        <w:rPr>
          <w:rFonts w:ascii="Times New Roman" w:hAnsi="Times New Roman"/>
          <w:color w:val="000000"/>
          <w:sz w:val="22"/>
          <w:szCs w:val="22"/>
        </w:rPr>
        <w:t xml:space="preserve"> </w:t>
      </w:r>
      <w:r w:rsidR="006C1072" w:rsidRPr="00AB4A84">
        <w:rPr>
          <w:rFonts w:ascii="Times New Roman" w:hAnsi="Times New Roman"/>
          <w:color w:val="000000"/>
          <w:sz w:val="22"/>
          <w:szCs w:val="22"/>
        </w:rPr>
        <w:t xml:space="preserve"> </w:t>
      </w:r>
      <w:r w:rsidR="003A28C0" w:rsidRPr="00AB4A84">
        <w:rPr>
          <w:rFonts w:ascii="Times New Roman" w:hAnsi="Times New Roman"/>
          <w:color w:val="000000"/>
          <w:sz w:val="22"/>
          <w:szCs w:val="22"/>
        </w:rPr>
        <w:t>In the rare instance where a</w:t>
      </w:r>
      <w:r w:rsidR="00C73722">
        <w:rPr>
          <w:rFonts w:ascii="Times New Roman" w:hAnsi="Times New Roman"/>
          <w:color w:val="000000"/>
          <w:sz w:val="22"/>
          <w:szCs w:val="22"/>
        </w:rPr>
        <w:t>n</w:t>
      </w:r>
      <w:r w:rsidR="003A28C0" w:rsidRPr="00AB4A84">
        <w:rPr>
          <w:rFonts w:ascii="Times New Roman" w:hAnsi="Times New Roman"/>
          <w:color w:val="000000"/>
          <w:sz w:val="22"/>
          <w:szCs w:val="22"/>
        </w:rPr>
        <w:t xml:space="preserve"> operator cannot successfully download or install R</w:t>
      </w:r>
      <w:r w:rsidR="00D86E24" w:rsidRPr="00AB4A84">
        <w:rPr>
          <w:rFonts w:ascii="Times New Roman" w:hAnsi="Times New Roman"/>
          <w:color w:val="000000"/>
          <w:sz w:val="22"/>
          <w:szCs w:val="22"/>
        </w:rPr>
        <w:t xml:space="preserve">IGS software, </w:t>
      </w:r>
      <w:r w:rsidR="00D0534A" w:rsidRPr="00AB4A84">
        <w:rPr>
          <w:rFonts w:ascii="Times New Roman" w:hAnsi="Times New Roman"/>
          <w:color w:val="000000"/>
          <w:sz w:val="22"/>
          <w:szCs w:val="22"/>
        </w:rPr>
        <w:t xml:space="preserve">the operator </w:t>
      </w:r>
      <w:r w:rsidR="00D86E24" w:rsidRPr="00AB4A84">
        <w:rPr>
          <w:rFonts w:ascii="Times New Roman" w:hAnsi="Times New Roman"/>
          <w:color w:val="000000"/>
          <w:sz w:val="22"/>
          <w:szCs w:val="22"/>
        </w:rPr>
        <w:t xml:space="preserve">can </w:t>
      </w:r>
      <w:r w:rsidR="00D0534A" w:rsidRPr="00AB4A84">
        <w:rPr>
          <w:rFonts w:ascii="Times New Roman" w:hAnsi="Times New Roman"/>
          <w:color w:val="000000"/>
          <w:sz w:val="22"/>
          <w:szCs w:val="22"/>
        </w:rPr>
        <w:t>re</w:t>
      </w:r>
      <w:r w:rsidR="00C73722">
        <w:rPr>
          <w:rFonts w:ascii="Times New Roman" w:hAnsi="Times New Roman"/>
          <w:color w:val="000000"/>
          <w:sz w:val="22"/>
          <w:szCs w:val="22"/>
        </w:rPr>
        <w:t>quest</w:t>
      </w:r>
      <w:r w:rsidR="00D0534A" w:rsidRPr="00AB4A84">
        <w:rPr>
          <w:rFonts w:ascii="Times New Roman" w:hAnsi="Times New Roman"/>
          <w:color w:val="000000"/>
          <w:sz w:val="22"/>
          <w:szCs w:val="22"/>
        </w:rPr>
        <w:t xml:space="preserve"> from EIA a</w:t>
      </w:r>
      <w:r w:rsidR="00D86E24" w:rsidRPr="00AB4A84">
        <w:rPr>
          <w:rFonts w:ascii="Times New Roman" w:hAnsi="Times New Roman"/>
          <w:color w:val="000000"/>
          <w:sz w:val="22"/>
          <w:szCs w:val="22"/>
        </w:rPr>
        <w:t xml:space="preserve"> CD-ROM</w:t>
      </w:r>
      <w:r w:rsidR="00D0534A" w:rsidRPr="00AB4A84">
        <w:rPr>
          <w:rFonts w:ascii="Times New Roman" w:hAnsi="Times New Roman"/>
          <w:color w:val="000000"/>
          <w:sz w:val="22"/>
          <w:szCs w:val="22"/>
        </w:rPr>
        <w:t xml:space="preserve"> version of the RIGS application</w:t>
      </w:r>
      <w:r w:rsidR="00D86E24" w:rsidRPr="00AB4A84">
        <w:rPr>
          <w:rFonts w:ascii="Times New Roman" w:hAnsi="Times New Roman"/>
          <w:color w:val="000000"/>
          <w:sz w:val="22"/>
          <w:szCs w:val="22"/>
        </w:rPr>
        <w:t>.</w:t>
      </w:r>
    </w:p>
    <w:p w14:paraId="67190B58" w14:textId="77777777" w:rsidR="006C1072" w:rsidRPr="00AB4A84" w:rsidRDefault="006C1072" w:rsidP="00AB4A84">
      <w:pPr>
        <w:pStyle w:val="Level2"/>
        <w:widowControl/>
        <w:spacing w:after="100"/>
        <w:ind w:left="0" w:firstLine="0"/>
        <w:rPr>
          <w:rFonts w:ascii="Times New Roman" w:hAnsi="Times New Roman"/>
          <w:color w:val="000000"/>
          <w:sz w:val="22"/>
          <w:szCs w:val="22"/>
        </w:rPr>
      </w:pPr>
      <w:r w:rsidRPr="00AB4A84">
        <w:rPr>
          <w:rFonts w:ascii="Times New Roman" w:hAnsi="Times New Roman"/>
          <w:color w:val="000000"/>
          <w:sz w:val="22"/>
          <w:szCs w:val="22"/>
        </w:rPr>
        <w:t xml:space="preserve">EIA provides </w:t>
      </w:r>
      <w:r w:rsidR="008B7DAA" w:rsidRPr="00AB4A84">
        <w:rPr>
          <w:rFonts w:ascii="Times New Roman" w:hAnsi="Times New Roman"/>
          <w:color w:val="000000"/>
          <w:sz w:val="22"/>
          <w:szCs w:val="22"/>
        </w:rPr>
        <w:t>Adobe Acrobat (</w:t>
      </w:r>
      <w:r w:rsidRPr="00AB4A84">
        <w:rPr>
          <w:rFonts w:ascii="Times New Roman" w:hAnsi="Times New Roman"/>
          <w:color w:val="000000"/>
          <w:sz w:val="22"/>
          <w:szCs w:val="22"/>
        </w:rPr>
        <w:t>PDF</w:t>
      </w:r>
      <w:r w:rsidR="008B7DAA" w:rsidRPr="00AB4A84">
        <w:rPr>
          <w:rFonts w:ascii="Times New Roman" w:hAnsi="Times New Roman"/>
          <w:color w:val="000000"/>
          <w:sz w:val="22"/>
          <w:szCs w:val="22"/>
        </w:rPr>
        <w:t>) file format</w:t>
      </w:r>
      <w:r w:rsidRPr="00AB4A84">
        <w:rPr>
          <w:rFonts w:ascii="Times New Roman" w:hAnsi="Times New Roman"/>
          <w:color w:val="000000"/>
          <w:sz w:val="22"/>
          <w:szCs w:val="22"/>
        </w:rPr>
        <w:t xml:space="preserve"> versions of all the OGRS survey forms and instructions on </w:t>
      </w:r>
      <w:r w:rsidR="00225391">
        <w:rPr>
          <w:rFonts w:ascii="Times New Roman" w:hAnsi="Times New Roman"/>
          <w:color w:val="000000"/>
          <w:sz w:val="22"/>
          <w:szCs w:val="22"/>
        </w:rPr>
        <w:t>EIA’s</w:t>
      </w:r>
      <w:r w:rsidR="00225391" w:rsidRPr="00AB4A84">
        <w:rPr>
          <w:rFonts w:ascii="Times New Roman" w:hAnsi="Times New Roman"/>
          <w:color w:val="000000"/>
          <w:sz w:val="22"/>
          <w:szCs w:val="22"/>
        </w:rPr>
        <w:t xml:space="preserve"> </w:t>
      </w:r>
      <w:r w:rsidRPr="00AB4A84">
        <w:rPr>
          <w:rFonts w:ascii="Times New Roman" w:hAnsi="Times New Roman"/>
          <w:color w:val="000000"/>
          <w:sz w:val="22"/>
          <w:szCs w:val="22"/>
        </w:rPr>
        <w:t xml:space="preserve">website. </w:t>
      </w:r>
      <w:r w:rsidR="00E45137" w:rsidRPr="00AB4A84">
        <w:rPr>
          <w:rFonts w:ascii="Times New Roman" w:hAnsi="Times New Roman"/>
          <w:color w:val="000000"/>
          <w:sz w:val="22"/>
          <w:szCs w:val="22"/>
        </w:rPr>
        <w:t xml:space="preserve"> </w:t>
      </w:r>
      <w:r w:rsidRPr="00AB4A84">
        <w:rPr>
          <w:rFonts w:ascii="Times New Roman" w:hAnsi="Times New Roman"/>
          <w:color w:val="000000"/>
          <w:sz w:val="22"/>
          <w:szCs w:val="22"/>
        </w:rPr>
        <w:t xml:space="preserve">Respondents may print the materials, complete them, and </w:t>
      </w:r>
      <w:r w:rsidR="00C04CBC" w:rsidRPr="00AB4A84">
        <w:rPr>
          <w:rFonts w:ascii="Times New Roman" w:hAnsi="Times New Roman"/>
          <w:color w:val="000000"/>
          <w:sz w:val="22"/>
          <w:szCs w:val="22"/>
        </w:rPr>
        <w:t xml:space="preserve">return them to EIA via U.S. </w:t>
      </w:r>
      <w:r w:rsidR="00225391">
        <w:rPr>
          <w:rFonts w:ascii="Times New Roman" w:hAnsi="Times New Roman"/>
          <w:color w:val="000000"/>
          <w:sz w:val="22"/>
          <w:szCs w:val="22"/>
        </w:rPr>
        <w:t>M</w:t>
      </w:r>
      <w:r w:rsidRPr="00AB4A84">
        <w:rPr>
          <w:rFonts w:ascii="Times New Roman" w:hAnsi="Times New Roman"/>
          <w:color w:val="000000"/>
          <w:sz w:val="22"/>
          <w:szCs w:val="22"/>
        </w:rPr>
        <w:t>ail or fax.</w:t>
      </w:r>
      <w:r w:rsidR="00C73722">
        <w:rPr>
          <w:rFonts w:ascii="Times New Roman" w:hAnsi="Times New Roman"/>
          <w:color w:val="000000"/>
          <w:sz w:val="22"/>
          <w:szCs w:val="22"/>
        </w:rPr>
        <w:t xml:space="preserve">  A file created by the RIGS software can be sent by secure file transfer.</w:t>
      </w:r>
    </w:p>
    <w:p w14:paraId="46D5141F" w14:textId="77777777" w:rsidR="00B34E57" w:rsidRPr="00AB4A84" w:rsidRDefault="006C1072" w:rsidP="00AB4A84">
      <w:pPr>
        <w:pStyle w:val="Level2"/>
        <w:widowControl/>
        <w:spacing w:after="100"/>
        <w:ind w:left="0" w:firstLine="0"/>
        <w:rPr>
          <w:rFonts w:ascii="Times New Roman" w:hAnsi="Times New Roman"/>
          <w:color w:val="000000"/>
          <w:sz w:val="22"/>
          <w:szCs w:val="22"/>
        </w:rPr>
      </w:pPr>
      <w:r w:rsidRPr="00AB4A84">
        <w:rPr>
          <w:rFonts w:ascii="Times New Roman" w:hAnsi="Times New Roman"/>
          <w:color w:val="000000"/>
          <w:sz w:val="22"/>
          <w:szCs w:val="22"/>
        </w:rPr>
        <w:t>EIA provides spreadsheet versions of the EIA-64</w:t>
      </w:r>
      <w:r w:rsidR="00E63B08" w:rsidRPr="00AB4A84">
        <w:rPr>
          <w:rFonts w:ascii="Times New Roman" w:hAnsi="Times New Roman"/>
          <w:color w:val="000000"/>
          <w:sz w:val="22"/>
          <w:szCs w:val="22"/>
        </w:rPr>
        <w:t>A</w:t>
      </w:r>
      <w:r w:rsidRPr="00AB4A84">
        <w:rPr>
          <w:rFonts w:ascii="Times New Roman" w:hAnsi="Times New Roman"/>
          <w:color w:val="000000"/>
          <w:sz w:val="22"/>
          <w:szCs w:val="22"/>
        </w:rPr>
        <w:t xml:space="preserve"> on its website. </w:t>
      </w:r>
      <w:r w:rsidR="008F7803" w:rsidRPr="00AB4A84">
        <w:rPr>
          <w:rFonts w:ascii="Times New Roman" w:hAnsi="Times New Roman"/>
          <w:color w:val="000000"/>
          <w:sz w:val="22"/>
          <w:szCs w:val="22"/>
        </w:rPr>
        <w:t xml:space="preserve"> </w:t>
      </w:r>
      <w:r w:rsidRPr="00AB4A84">
        <w:rPr>
          <w:rFonts w:ascii="Times New Roman" w:hAnsi="Times New Roman"/>
          <w:color w:val="000000"/>
          <w:sz w:val="22"/>
          <w:szCs w:val="22"/>
        </w:rPr>
        <w:t>Survey respondents may download th</w:t>
      </w:r>
      <w:r w:rsidR="00EF78E4" w:rsidRPr="00AB4A84">
        <w:rPr>
          <w:rFonts w:ascii="Times New Roman" w:hAnsi="Times New Roman"/>
          <w:color w:val="000000"/>
          <w:sz w:val="22"/>
          <w:szCs w:val="22"/>
        </w:rPr>
        <w:t>is</w:t>
      </w:r>
      <w:r w:rsidRPr="00AB4A84">
        <w:rPr>
          <w:rFonts w:ascii="Times New Roman" w:hAnsi="Times New Roman"/>
          <w:color w:val="000000"/>
          <w:sz w:val="22"/>
          <w:szCs w:val="22"/>
        </w:rPr>
        <w:t xml:space="preserve"> version, complete </w:t>
      </w:r>
      <w:r w:rsidR="00EF78E4" w:rsidRPr="00AB4A84">
        <w:rPr>
          <w:rFonts w:ascii="Times New Roman" w:hAnsi="Times New Roman"/>
          <w:color w:val="000000"/>
          <w:sz w:val="22"/>
          <w:szCs w:val="22"/>
        </w:rPr>
        <w:t>it</w:t>
      </w:r>
      <w:r w:rsidRPr="00AB4A84">
        <w:rPr>
          <w:rFonts w:ascii="Times New Roman" w:hAnsi="Times New Roman"/>
          <w:color w:val="000000"/>
          <w:sz w:val="22"/>
          <w:szCs w:val="22"/>
        </w:rPr>
        <w:t xml:space="preserve">, and return </w:t>
      </w:r>
      <w:r w:rsidR="00EF78E4" w:rsidRPr="00AB4A84">
        <w:rPr>
          <w:rFonts w:ascii="Times New Roman" w:hAnsi="Times New Roman"/>
          <w:color w:val="000000"/>
          <w:sz w:val="22"/>
          <w:szCs w:val="22"/>
        </w:rPr>
        <w:t>it</w:t>
      </w:r>
      <w:r w:rsidRPr="00AB4A84">
        <w:rPr>
          <w:rFonts w:ascii="Times New Roman" w:hAnsi="Times New Roman"/>
          <w:color w:val="000000"/>
          <w:sz w:val="22"/>
          <w:szCs w:val="22"/>
        </w:rPr>
        <w:t xml:space="preserve"> to EIA by Secure File Transfer, email, fax, or </w:t>
      </w:r>
      <w:r w:rsidR="00C04CBC" w:rsidRPr="00AB4A84">
        <w:rPr>
          <w:rFonts w:ascii="Times New Roman" w:hAnsi="Times New Roman"/>
          <w:color w:val="000000"/>
          <w:sz w:val="22"/>
          <w:szCs w:val="22"/>
        </w:rPr>
        <w:t xml:space="preserve">U.S. </w:t>
      </w:r>
      <w:r w:rsidR="00EC4E27">
        <w:rPr>
          <w:rFonts w:ascii="Times New Roman" w:hAnsi="Times New Roman"/>
          <w:color w:val="000000"/>
          <w:sz w:val="22"/>
          <w:szCs w:val="22"/>
        </w:rPr>
        <w:t>m</w:t>
      </w:r>
      <w:r w:rsidRPr="00AB4A84">
        <w:rPr>
          <w:rFonts w:ascii="Times New Roman" w:hAnsi="Times New Roman"/>
          <w:color w:val="000000"/>
          <w:sz w:val="22"/>
          <w:szCs w:val="22"/>
        </w:rPr>
        <w:t>ail.</w:t>
      </w:r>
    </w:p>
    <w:p w14:paraId="7771CB57" w14:textId="77777777" w:rsidR="00B34E57" w:rsidRPr="00D810CC" w:rsidRDefault="00B34E57" w:rsidP="008561E4">
      <w:pPr>
        <w:pStyle w:val="Heading2"/>
      </w:pPr>
      <w:bookmarkStart w:id="10" w:name="_Toc349579968"/>
      <w:r w:rsidRPr="00D810CC">
        <w:t>Efforts to Reduce Duplication</w:t>
      </w:r>
      <w:bookmarkEnd w:id="10"/>
    </w:p>
    <w:p w14:paraId="6392BFE4" w14:textId="77777777" w:rsidR="0075396D" w:rsidRDefault="00684957" w:rsidP="00225391">
      <w:pPr>
        <w:pStyle w:val="Level2"/>
        <w:widowControl/>
        <w:spacing w:before="120" w:beforeAutospacing="0" w:after="100"/>
        <w:ind w:left="0" w:firstLine="0"/>
        <w:rPr>
          <w:rFonts w:ascii="Times New Roman" w:hAnsi="Times New Roman"/>
          <w:color w:val="000000"/>
          <w:sz w:val="22"/>
          <w:szCs w:val="22"/>
        </w:rPr>
      </w:pPr>
      <w:r>
        <w:rPr>
          <w:rFonts w:ascii="Times New Roman" w:hAnsi="Times New Roman"/>
          <w:color w:val="000000"/>
          <w:sz w:val="22"/>
          <w:szCs w:val="22"/>
        </w:rPr>
        <w:t>T</w:t>
      </w:r>
      <w:r w:rsidR="0075396D" w:rsidRPr="00225391">
        <w:rPr>
          <w:rFonts w:ascii="Times New Roman" w:hAnsi="Times New Roman"/>
          <w:color w:val="000000"/>
          <w:sz w:val="22"/>
          <w:szCs w:val="22"/>
        </w:rPr>
        <w:t>here are no</w:t>
      </w:r>
      <w:r w:rsidR="00B96963" w:rsidRPr="00225391">
        <w:rPr>
          <w:rFonts w:ascii="Times New Roman" w:hAnsi="Times New Roman"/>
          <w:color w:val="000000"/>
          <w:sz w:val="22"/>
          <w:szCs w:val="22"/>
        </w:rPr>
        <w:t>t any</w:t>
      </w:r>
      <w:r w:rsidR="0075396D" w:rsidRPr="00225391">
        <w:rPr>
          <w:rFonts w:ascii="Times New Roman" w:hAnsi="Times New Roman"/>
          <w:color w:val="000000"/>
          <w:sz w:val="22"/>
          <w:szCs w:val="22"/>
        </w:rPr>
        <w:t xml:space="preserve"> independent, reliable, and accurate data that </w:t>
      </w:r>
      <w:r w:rsidR="00B96963" w:rsidRPr="00225391">
        <w:rPr>
          <w:rFonts w:ascii="Times New Roman" w:hAnsi="Times New Roman"/>
          <w:color w:val="000000"/>
          <w:sz w:val="22"/>
          <w:szCs w:val="22"/>
        </w:rPr>
        <w:t>c</w:t>
      </w:r>
      <w:r w:rsidR="001268AE" w:rsidRPr="00225391">
        <w:rPr>
          <w:rFonts w:ascii="Times New Roman" w:hAnsi="Times New Roman"/>
          <w:color w:val="000000"/>
          <w:sz w:val="22"/>
          <w:szCs w:val="22"/>
        </w:rPr>
        <w:t>an serve as a</w:t>
      </w:r>
      <w:r w:rsidR="00B96963" w:rsidRPr="00225391">
        <w:rPr>
          <w:rFonts w:ascii="Times New Roman" w:hAnsi="Times New Roman"/>
          <w:color w:val="000000"/>
          <w:sz w:val="22"/>
          <w:szCs w:val="22"/>
        </w:rPr>
        <w:t xml:space="preserve"> </w:t>
      </w:r>
      <w:r w:rsidR="0075396D" w:rsidRPr="00225391">
        <w:rPr>
          <w:rFonts w:ascii="Times New Roman" w:hAnsi="Times New Roman"/>
          <w:color w:val="000000"/>
          <w:sz w:val="22"/>
          <w:szCs w:val="22"/>
        </w:rPr>
        <w:t>substitute for the information</w:t>
      </w:r>
      <w:r w:rsidR="008F7803" w:rsidRPr="00225391">
        <w:rPr>
          <w:rFonts w:ascii="Times New Roman" w:hAnsi="Times New Roman"/>
          <w:color w:val="000000"/>
          <w:sz w:val="22"/>
          <w:szCs w:val="22"/>
        </w:rPr>
        <w:t xml:space="preserve"> collected on the OGRS surveys.</w:t>
      </w:r>
    </w:p>
    <w:p w14:paraId="0FD86E44" w14:textId="77777777" w:rsidR="00C34CDB" w:rsidRPr="00225391" w:rsidRDefault="00C34CDB" w:rsidP="00225391">
      <w:pPr>
        <w:pStyle w:val="Level2"/>
        <w:widowControl/>
        <w:spacing w:before="120" w:beforeAutospacing="0" w:after="100"/>
        <w:ind w:left="0" w:firstLine="0"/>
        <w:rPr>
          <w:rFonts w:ascii="Times New Roman" w:hAnsi="Times New Roman"/>
          <w:color w:val="000000"/>
          <w:sz w:val="22"/>
          <w:szCs w:val="22"/>
        </w:rPr>
      </w:pPr>
      <w:r>
        <w:rPr>
          <w:rFonts w:ascii="Times New Roman" w:hAnsi="Times New Roman"/>
          <w:color w:val="000000"/>
          <w:sz w:val="22"/>
          <w:szCs w:val="22"/>
        </w:rPr>
        <w:t>Several sources collect production</w:t>
      </w:r>
      <w:r w:rsidR="00684957">
        <w:rPr>
          <w:rFonts w:ascii="Times New Roman" w:hAnsi="Times New Roman"/>
          <w:color w:val="000000"/>
          <w:sz w:val="22"/>
          <w:szCs w:val="22"/>
        </w:rPr>
        <w:t xml:space="preserve"> data </w:t>
      </w:r>
      <w:r>
        <w:rPr>
          <w:rFonts w:ascii="Times New Roman" w:hAnsi="Times New Roman"/>
          <w:color w:val="000000"/>
          <w:sz w:val="22"/>
          <w:szCs w:val="22"/>
        </w:rPr>
        <w:t xml:space="preserve">of natural gas and crude oil from the same respondents, but this data cannot replace the collection of production </w:t>
      </w:r>
      <w:r w:rsidR="00684957">
        <w:rPr>
          <w:rFonts w:ascii="Times New Roman" w:hAnsi="Times New Roman"/>
          <w:color w:val="000000"/>
          <w:sz w:val="22"/>
          <w:szCs w:val="22"/>
        </w:rPr>
        <w:t xml:space="preserve">data </w:t>
      </w:r>
      <w:r>
        <w:rPr>
          <w:rFonts w:ascii="Times New Roman" w:hAnsi="Times New Roman"/>
          <w:color w:val="000000"/>
          <w:sz w:val="22"/>
          <w:szCs w:val="22"/>
        </w:rPr>
        <w:t xml:space="preserve">on the EIA-23 because it is critical that the production numbers collected reflect production from the reported reserves (See Supporting Statement Part B).  Matching reserves numbers reported on the EIA-23 to production numbers collected from another source would be invalid due to changes in operator holdings and estimates over time.  </w:t>
      </w:r>
    </w:p>
    <w:p w14:paraId="7D0AD169" w14:textId="77777777" w:rsidR="00720D7A" w:rsidRPr="00225391" w:rsidRDefault="0075396D" w:rsidP="00225391">
      <w:pPr>
        <w:pStyle w:val="Level2"/>
        <w:widowControl/>
        <w:spacing w:after="100"/>
        <w:ind w:left="0" w:firstLine="0"/>
        <w:rPr>
          <w:rFonts w:ascii="Times New Roman" w:hAnsi="Times New Roman"/>
          <w:color w:val="000000"/>
          <w:sz w:val="22"/>
          <w:szCs w:val="22"/>
        </w:rPr>
      </w:pPr>
      <w:r w:rsidRPr="00225391">
        <w:rPr>
          <w:rFonts w:ascii="Times New Roman" w:hAnsi="Times New Roman"/>
          <w:color w:val="000000"/>
          <w:sz w:val="22"/>
          <w:szCs w:val="22"/>
        </w:rPr>
        <w:t xml:space="preserve">Information from </w:t>
      </w:r>
      <w:r w:rsidR="00B96963" w:rsidRPr="00225391">
        <w:rPr>
          <w:rFonts w:ascii="Times New Roman" w:hAnsi="Times New Roman"/>
          <w:color w:val="000000"/>
          <w:sz w:val="22"/>
          <w:szCs w:val="22"/>
        </w:rPr>
        <w:t>s</w:t>
      </w:r>
      <w:r w:rsidRPr="00225391">
        <w:rPr>
          <w:rFonts w:ascii="Times New Roman" w:hAnsi="Times New Roman"/>
          <w:color w:val="000000"/>
          <w:sz w:val="22"/>
          <w:szCs w:val="22"/>
        </w:rPr>
        <w:t>tate</w:t>
      </w:r>
      <w:r w:rsidR="00B96963" w:rsidRPr="00225391">
        <w:rPr>
          <w:rFonts w:ascii="Times New Roman" w:hAnsi="Times New Roman"/>
          <w:color w:val="000000"/>
          <w:sz w:val="22"/>
          <w:szCs w:val="22"/>
        </w:rPr>
        <w:t>, f</w:t>
      </w:r>
      <w:r w:rsidRPr="00225391">
        <w:rPr>
          <w:rFonts w:ascii="Times New Roman" w:hAnsi="Times New Roman"/>
          <w:color w:val="000000"/>
          <w:sz w:val="22"/>
          <w:szCs w:val="22"/>
        </w:rPr>
        <w:t>ederal</w:t>
      </w:r>
      <w:r w:rsidR="0055248B">
        <w:rPr>
          <w:rFonts w:ascii="Times New Roman" w:hAnsi="Times New Roman"/>
          <w:color w:val="000000"/>
          <w:sz w:val="22"/>
          <w:szCs w:val="22"/>
        </w:rPr>
        <w:t>,</w:t>
      </w:r>
      <w:r w:rsidRPr="00225391">
        <w:rPr>
          <w:rFonts w:ascii="Times New Roman" w:hAnsi="Times New Roman"/>
          <w:color w:val="000000"/>
          <w:sz w:val="22"/>
          <w:szCs w:val="22"/>
        </w:rPr>
        <w:t xml:space="preserve"> or commercial listings of oil and gas well operators </w:t>
      </w:r>
      <w:r w:rsidR="00684957">
        <w:rPr>
          <w:rFonts w:ascii="Times New Roman" w:hAnsi="Times New Roman"/>
          <w:color w:val="000000"/>
          <w:sz w:val="22"/>
          <w:szCs w:val="22"/>
        </w:rPr>
        <w:t>does not</w:t>
      </w:r>
      <w:r w:rsidRPr="00225391">
        <w:rPr>
          <w:rFonts w:ascii="Times New Roman" w:hAnsi="Times New Roman"/>
          <w:color w:val="000000"/>
          <w:sz w:val="22"/>
          <w:szCs w:val="22"/>
        </w:rPr>
        <w:t xml:space="preserve"> provide the information</w:t>
      </w:r>
      <w:r w:rsidR="00B96963" w:rsidRPr="00225391">
        <w:rPr>
          <w:rFonts w:ascii="Times New Roman" w:hAnsi="Times New Roman"/>
          <w:color w:val="000000"/>
          <w:sz w:val="22"/>
          <w:szCs w:val="22"/>
        </w:rPr>
        <w:t xml:space="preserve"> that the OGRS data collections provide</w:t>
      </w:r>
      <w:r w:rsidRPr="00225391">
        <w:rPr>
          <w:rFonts w:ascii="Times New Roman" w:hAnsi="Times New Roman"/>
          <w:color w:val="000000"/>
          <w:sz w:val="22"/>
          <w:szCs w:val="22"/>
        </w:rPr>
        <w:t xml:space="preserve">. </w:t>
      </w:r>
      <w:r w:rsidR="008F7803" w:rsidRPr="00225391">
        <w:rPr>
          <w:rFonts w:ascii="Times New Roman" w:hAnsi="Times New Roman"/>
          <w:color w:val="000000"/>
          <w:sz w:val="22"/>
          <w:szCs w:val="22"/>
        </w:rPr>
        <w:t xml:space="preserve"> </w:t>
      </w:r>
      <w:r w:rsidR="00684957">
        <w:rPr>
          <w:rFonts w:ascii="Times New Roman" w:hAnsi="Times New Roman"/>
          <w:color w:val="000000"/>
          <w:sz w:val="22"/>
          <w:szCs w:val="22"/>
        </w:rPr>
        <w:t>Currently</w:t>
      </w:r>
      <w:r w:rsidR="00B96963" w:rsidRPr="00225391">
        <w:rPr>
          <w:rFonts w:ascii="Times New Roman" w:hAnsi="Times New Roman"/>
          <w:color w:val="000000"/>
          <w:sz w:val="22"/>
          <w:szCs w:val="22"/>
        </w:rPr>
        <w:t>, s</w:t>
      </w:r>
      <w:r w:rsidRPr="00225391">
        <w:rPr>
          <w:rFonts w:ascii="Times New Roman" w:hAnsi="Times New Roman"/>
          <w:color w:val="000000"/>
          <w:sz w:val="22"/>
          <w:szCs w:val="22"/>
        </w:rPr>
        <w:t xml:space="preserve">tate </w:t>
      </w:r>
      <w:r w:rsidR="00B96963" w:rsidRPr="00225391">
        <w:rPr>
          <w:rFonts w:ascii="Times New Roman" w:hAnsi="Times New Roman"/>
          <w:color w:val="000000"/>
          <w:sz w:val="22"/>
          <w:szCs w:val="22"/>
        </w:rPr>
        <w:t xml:space="preserve">agencies do not </w:t>
      </w:r>
      <w:r w:rsidRPr="00225391">
        <w:rPr>
          <w:rFonts w:ascii="Times New Roman" w:hAnsi="Times New Roman"/>
          <w:color w:val="000000"/>
          <w:sz w:val="22"/>
          <w:szCs w:val="22"/>
        </w:rPr>
        <w:t>collect proved reserves information from</w:t>
      </w:r>
      <w:r w:rsidR="008F7803" w:rsidRPr="00225391">
        <w:rPr>
          <w:rFonts w:ascii="Times New Roman" w:hAnsi="Times New Roman"/>
          <w:color w:val="000000"/>
          <w:sz w:val="22"/>
          <w:szCs w:val="22"/>
        </w:rPr>
        <w:t xml:space="preserve"> oil and/or gas well operators.</w:t>
      </w:r>
    </w:p>
    <w:p w14:paraId="23109784" w14:textId="77777777" w:rsidR="00CC43C5" w:rsidRPr="00225391" w:rsidRDefault="00CC43C5" w:rsidP="00225391">
      <w:pPr>
        <w:pStyle w:val="Level2"/>
        <w:widowControl/>
        <w:spacing w:after="100"/>
        <w:ind w:left="0" w:firstLine="0"/>
        <w:rPr>
          <w:rFonts w:ascii="Times New Roman" w:hAnsi="Times New Roman"/>
          <w:color w:val="000000"/>
          <w:sz w:val="22"/>
          <w:szCs w:val="22"/>
        </w:rPr>
      </w:pPr>
      <w:r w:rsidRPr="00225391">
        <w:rPr>
          <w:rFonts w:ascii="Times New Roman" w:hAnsi="Times New Roman"/>
          <w:color w:val="000000"/>
          <w:sz w:val="22"/>
          <w:szCs w:val="22"/>
        </w:rPr>
        <w:t>The Department of the Interior (DOI)</w:t>
      </w:r>
      <w:r w:rsidR="00225391">
        <w:rPr>
          <w:rFonts w:ascii="Times New Roman" w:hAnsi="Times New Roman"/>
          <w:color w:val="000000"/>
          <w:sz w:val="22"/>
          <w:szCs w:val="22"/>
        </w:rPr>
        <w:t xml:space="preserve"> and</w:t>
      </w:r>
      <w:r w:rsidRPr="00225391">
        <w:rPr>
          <w:rFonts w:ascii="Times New Roman" w:hAnsi="Times New Roman"/>
          <w:color w:val="000000"/>
          <w:sz w:val="22"/>
          <w:szCs w:val="22"/>
        </w:rPr>
        <w:t xml:space="preserve"> </w:t>
      </w:r>
      <w:r w:rsidR="005F615C" w:rsidRPr="00225391">
        <w:rPr>
          <w:rFonts w:ascii="Times New Roman" w:hAnsi="Times New Roman"/>
          <w:sz w:val="22"/>
          <w:szCs w:val="22"/>
        </w:rPr>
        <w:t xml:space="preserve">Bureau of Land Management (BLM) do not collect proved reserves information – their data collection is on acreage of </w:t>
      </w:r>
      <w:r w:rsidR="00684957">
        <w:rPr>
          <w:rFonts w:ascii="Times New Roman" w:hAnsi="Times New Roman"/>
          <w:sz w:val="22"/>
          <w:szCs w:val="22"/>
        </w:rPr>
        <w:t xml:space="preserve">federal </w:t>
      </w:r>
      <w:r w:rsidR="005F615C" w:rsidRPr="00225391">
        <w:rPr>
          <w:rFonts w:ascii="Times New Roman" w:hAnsi="Times New Roman"/>
          <w:sz w:val="22"/>
          <w:szCs w:val="22"/>
        </w:rPr>
        <w:t xml:space="preserve">land leased, drilling permits issued, and production from leases on </w:t>
      </w:r>
      <w:r w:rsidR="00225391">
        <w:rPr>
          <w:rFonts w:ascii="Times New Roman" w:hAnsi="Times New Roman"/>
          <w:sz w:val="22"/>
          <w:szCs w:val="22"/>
        </w:rPr>
        <w:t>f</w:t>
      </w:r>
      <w:r w:rsidR="005F615C" w:rsidRPr="00225391">
        <w:rPr>
          <w:rFonts w:ascii="Times New Roman" w:hAnsi="Times New Roman"/>
          <w:sz w:val="22"/>
          <w:szCs w:val="22"/>
        </w:rPr>
        <w:t>ederal land.</w:t>
      </w:r>
      <w:r w:rsidRPr="00225391">
        <w:rPr>
          <w:rFonts w:ascii="Times New Roman" w:hAnsi="Times New Roman"/>
          <w:sz w:val="22"/>
          <w:szCs w:val="22"/>
        </w:rPr>
        <w:t xml:space="preserve"> </w:t>
      </w:r>
      <w:r w:rsidR="00720D7A" w:rsidRPr="00225391">
        <w:rPr>
          <w:rFonts w:ascii="Times New Roman" w:hAnsi="Times New Roman"/>
          <w:sz w:val="22"/>
          <w:szCs w:val="22"/>
        </w:rPr>
        <w:t xml:space="preserve"> </w:t>
      </w:r>
      <w:r w:rsidR="005F615C" w:rsidRPr="00225391">
        <w:rPr>
          <w:rFonts w:ascii="Times New Roman" w:hAnsi="Times New Roman"/>
          <w:sz w:val="22"/>
          <w:szCs w:val="22"/>
        </w:rPr>
        <w:t xml:space="preserve">The </w:t>
      </w:r>
      <w:r w:rsidRPr="00225391">
        <w:rPr>
          <w:rFonts w:ascii="Times New Roman" w:hAnsi="Times New Roman"/>
          <w:sz w:val="22"/>
          <w:szCs w:val="22"/>
        </w:rPr>
        <w:t xml:space="preserve">DOI </w:t>
      </w:r>
      <w:r w:rsidR="005F615C" w:rsidRPr="00225391">
        <w:rPr>
          <w:rFonts w:ascii="Times New Roman" w:hAnsi="Times New Roman"/>
          <w:sz w:val="22"/>
          <w:szCs w:val="22"/>
        </w:rPr>
        <w:t xml:space="preserve">Bureau of Ocean Energy Management (BOEM) collects proved reserves and water depth information on developments in the </w:t>
      </w:r>
      <w:r w:rsidR="002F51D2" w:rsidRPr="00225391">
        <w:rPr>
          <w:rFonts w:ascii="Times New Roman" w:hAnsi="Times New Roman"/>
          <w:sz w:val="22"/>
          <w:szCs w:val="22"/>
        </w:rPr>
        <w:t>F</w:t>
      </w:r>
      <w:r w:rsidRPr="00225391">
        <w:rPr>
          <w:rFonts w:ascii="Times New Roman" w:hAnsi="Times New Roman"/>
          <w:sz w:val="22"/>
          <w:szCs w:val="22"/>
        </w:rPr>
        <w:t xml:space="preserve">ederal </w:t>
      </w:r>
      <w:r w:rsidR="002F51D2" w:rsidRPr="00225391">
        <w:rPr>
          <w:rFonts w:ascii="Times New Roman" w:hAnsi="Times New Roman"/>
          <w:sz w:val="22"/>
          <w:szCs w:val="22"/>
        </w:rPr>
        <w:t>O</w:t>
      </w:r>
      <w:r w:rsidR="005F615C" w:rsidRPr="00225391">
        <w:rPr>
          <w:rFonts w:ascii="Times New Roman" w:hAnsi="Times New Roman"/>
          <w:sz w:val="22"/>
          <w:szCs w:val="22"/>
        </w:rPr>
        <w:t>ffshore</w:t>
      </w:r>
      <w:r w:rsidR="002F51D2" w:rsidRPr="00225391">
        <w:rPr>
          <w:rFonts w:ascii="Times New Roman" w:hAnsi="Times New Roman"/>
          <w:sz w:val="22"/>
          <w:szCs w:val="22"/>
        </w:rPr>
        <w:t xml:space="preserve"> region</w:t>
      </w:r>
      <w:r w:rsidR="005F615C" w:rsidRPr="00225391">
        <w:rPr>
          <w:rFonts w:ascii="Times New Roman" w:hAnsi="Times New Roman"/>
          <w:sz w:val="22"/>
          <w:szCs w:val="22"/>
        </w:rPr>
        <w:t>, but embargoes the release of proved reserves data for at least 3 years.</w:t>
      </w:r>
      <w:r w:rsidRPr="00225391">
        <w:rPr>
          <w:rFonts w:ascii="Times New Roman" w:hAnsi="Times New Roman"/>
          <w:sz w:val="22"/>
          <w:szCs w:val="22"/>
        </w:rPr>
        <w:t xml:space="preserve"> </w:t>
      </w:r>
      <w:r w:rsidR="002F51D2" w:rsidRPr="00225391">
        <w:rPr>
          <w:rFonts w:ascii="Times New Roman" w:hAnsi="Times New Roman"/>
          <w:sz w:val="22"/>
          <w:szCs w:val="22"/>
        </w:rPr>
        <w:t xml:space="preserve"> </w:t>
      </w:r>
      <w:r w:rsidRPr="00225391">
        <w:rPr>
          <w:rFonts w:ascii="Times New Roman" w:hAnsi="Times New Roman"/>
          <w:sz w:val="22"/>
          <w:szCs w:val="22"/>
        </w:rPr>
        <w:t xml:space="preserve">Because of the limited geographic coverage and the delay in releasing reserves data, the DOI information is not an acceptable alternative to the </w:t>
      </w:r>
      <w:r w:rsidR="002F51D2" w:rsidRPr="00225391">
        <w:rPr>
          <w:rFonts w:ascii="Times New Roman" w:hAnsi="Times New Roman"/>
          <w:sz w:val="22"/>
          <w:szCs w:val="22"/>
        </w:rPr>
        <w:t xml:space="preserve">Form </w:t>
      </w:r>
      <w:r w:rsidRPr="00225391">
        <w:rPr>
          <w:rFonts w:ascii="Times New Roman" w:hAnsi="Times New Roman"/>
          <w:sz w:val="22"/>
          <w:szCs w:val="22"/>
        </w:rPr>
        <w:t>EIA-23</w:t>
      </w:r>
      <w:r w:rsidR="002F51D2" w:rsidRPr="00225391">
        <w:rPr>
          <w:rFonts w:ascii="Times New Roman" w:hAnsi="Times New Roman"/>
          <w:sz w:val="22"/>
          <w:szCs w:val="22"/>
        </w:rPr>
        <w:t>L</w:t>
      </w:r>
      <w:r w:rsidRPr="00225391">
        <w:rPr>
          <w:rFonts w:ascii="Times New Roman" w:hAnsi="Times New Roman"/>
          <w:sz w:val="22"/>
          <w:szCs w:val="22"/>
        </w:rPr>
        <w:t xml:space="preserve"> survey.</w:t>
      </w:r>
    </w:p>
    <w:p w14:paraId="4E916BDC" w14:textId="77777777" w:rsidR="008F7803" w:rsidRPr="00225391" w:rsidRDefault="00A138D5" w:rsidP="00225391">
      <w:pPr>
        <w:pStyle w:val="Level2"/>
        <w:widowControl/>
        <w:spacing w:after="100"/>
        <w:ind w:left="0" w:firstLine="0"/>
        <w:rPr>
          <w:rFonts w:ascii="Times New Roman" w:hAnsi="Times New Roman"/>
          <w:color w:val="000000"/>
          <w:sz w:val="22"/>
          <w:szCs w:val="22"/>
        </w:rPr>
      </w:pPr>
      <w:r w:rsidRPr="00225391">
        <w:rPr>
          <w:rFonts w:ascii="Times New Roman" w:hAnsi="Times New Roman"/>
          <w:color w:val="000000"/>
          <w:sz w:val="22"/>
          <w:szCs w:val="22"/>
        </w:rPr>
        <w:lastRenderedPageBreak/>
        <w:t>Oil and gas well o</w:t>
      </w:r>
      <w:r w:rsidR="00F96EA0" w:rsidRPr="00225391">
        <w:rPr>
          <w:rFonts w:ascii="Times New Roman" w:hAnsi="Times New Roman"/>
          <w:color w:val="000000"/>
          <w:sz w:val="22"/>
          <w:szCs w:val="22"/>
        </w:rPr>
        <w:t>perators who are publically-owned companies are required to file their estimate of proved reserves with the Securities and Exchange Commission (SEC)</w:t>
      </w:r>
      <w:r w:rsidRPr="00225391">
        <w:rPr>
          <w:rFonts w:ascii="Times New Roman" w:hAnsi="Times New Roman"/>
          <w:color w:val="000000"/>
          <w:sz w:val="22"/>
          <w:szCs w:val="22"/>
        </w:rPr>
        <w:t>.</w:t>
      </w:r>
      <w:r w:rsidR="00F96EA0" w:rsidRPr="00225391">
        <w:rPr>
          <w:rFonts w:ascii="Times New Roman" w:hAnsi="Times New Roman"/>
          <w:color w:val="000000"/>
          <w:sz w:val="22"/>
          <w:szCs w:val="22"/>
        </w:rPr>
        <w:t xml:space="preserve"> </w:t>
      </w:r>
      <w:r w:rsidR="00940848" w:rsidRPr="00225391">
        <w:rPr>
          <w:rFonts w:ascii="Times New Roman" w:hAnsi="Times New Roman"/>
          <w:color w:val="000000"/>
          <w:sz w:val="22"/>
          <w:szCs w:val="22"/>
        </w:rPr>
        <w:t xml:space="preserve"> However, t</w:t>
      </w:r>
      <w:r w:rsidR="00F96EA0" w:rsidRPr="00225391">
        <w:rPr>
          <w:rFonts w:ascii="Times New Roman" w:hAnsi="Times New Roman"/>
          <w:color w:val="000000"/>
          <w:sz w:val="22"/>
          <w:szCs w:val="22"/>
        </w:rPr>
        <w:t xml:space="preserve">hese SEC </w:t>
      </w:r>
      <w:r w:rsidR="00592E62" w:rsidRPr="00225391">
        <w:rPr>
          <w:rFonts w:ascii="Times New Roman" w:hAnsi="Times New Roman"/>
          <w:color w:val="000000"/>
          <w:sz w:val="22"/>
          <w:szCs w:val="22"/>
        </w:rPr>
        <w:t xml:space="preserve">estimates of </w:t>
      </w:r>
      <w:r w:rsidR="00F96EA0" w:rsidRPr="00225391">
        <w:rPr>
          <w:rFonts w:ascii="Times New Roman" w:hAnsi="Times New Roman"/>
          <w:color w:val="000000"/>
          <w:sz w:val="22"/>
          <w:szCs w:val="22"/>
        </w:rPr>
        <w:t xml:space="preserve">proved reserves are </w:t>
      </w:r>
      <w:r w:rsidRPr="00225391">
        <w:rPr>
          <w:rFonts w:ascii="Times New Roman" w:hAnsi="Times New Roman"/>
          <w:color w:val="000000"/>
          <w:sz w:val="22"/>
          <w:szCs w:val="22"/>
        </w:rPr>
        <w:t xml:space="preserve">not sufficient </w:t>
      </w:r>
      <w:r w:rsidR="00F96EA0" w:rsidRPr="00225391">
        <w:rPr>
          <w:rFonts w:ascii="Times New Roman" w:hAnsi="Times New Roman"/>
          <w:color w:val="000000"/>
          <w:sz w:val="22"/>
          <w:szCs w:val="22"/>
        </w:rPr>
        <w:t>to replace EIA’s estimates for the entire U.S.</w:t>
      </w:r>
      <w:r w:rsidR="00225391">
        <w:rPr>
          <w:rFonts w:ascii="Times New Roman" w:hAnsi="Times New Roman"/>
          <w:color w:val="000000"/>
          <w:sz w:val="22"/>
          <w:szCs w:val="22"/>
        </w:rPr>
        <w:t>,</w:t>
      </w:r>
      <w:r w:rsidR="00F96EA0" w:rsidRPr="00225391">
        <w:rPr>
          <w:rFonts w:ascii="Times New Roman" w:hAnsi="Times New Roman"/>
          <w:color w:val="000000"/>
          <w:sz w:val="22"/>
          <w:szCs w:val="22"/>
        </w:rPr>
        <w:t xml:space="preserve"> </w:t>
      </w:r>
      <w:r w:rsidR="002F51D2" w:rsidRPr="00225391">
        <w:rPr>
          <w:rFonts w:ascii="Times New Roman" w:hAnsi="Times New Roman"/>
          <w:color w:val="000000"/>
          <w:sz w:val="22"/>
          <w:szCs w:val="22"/>
        </w:rPr>
        <w:t>because</w:t>
      </w:r>
      <w:r w:rsidR="00F96EA0" w:rsidRPr="00225391">
        <w:rPr>
          <w:rFonts w:ascii="Times New Roman" w:hAnsi="Times New Roman"/>
          <w:color w:val="000000"/>
          <w:sz w:val="22"/>
          <w:szCs w:val="22"/>
        </w:rPr>
        <w:t xml:space="preserve"> </w:t>
      </w:r>
      <w:r w:rsidR="002F51D2" w:rsidRPr="00225391">
        <w:rPr>
          <w:rFonts w:ascii="Times New Roman" w:hAnsi="Times New Roman"/>
          <w:color w:val="000000"/>
          <w:sz w:val="22"/>
          <w:szCs w:val="22"/>
        </w:rPr>
        <w:t xml:space="preserve">only </w:t>
      </w:r>
      <w:r w:rsidR="00F96EA0" w:rsidRPr="00225391">
        <w:rPr>
          <w:rFonts w:ascii="Times New Roman" w:hAnsi="Times New Roman"/>
          <w:color w:val="000000"/>
          <w:sz w:val="22"/>
          <w:szCs w:val="22"/>
        </w:rPr>
        <w:t>publically-held companies file with the SEC</w:t>
      </w:r>
      <w:r w:rsidR="002F51D2" w:rsidRPr="00225391">
        <w:rPr>
          <w:rFonts w:ascii="Times New Roman" w:hAnsi="Times New Roman"/>
          <w:color w:val="000000"/>
          <w:sz w:val="22"/>
          <w:szCs w:val="22"/>
        </w:rPr>
        <w:t xml:space="preserve"> (</w:t>
      </w:r>
      <w:r w:rsidR="00A724F1" w:rsidRPr="00225391">
        <w:rPr>
          <w:rFonts w:ascii="Times New Roman" w:hAnsi="Times New Roman"/>
          <w:color w:val="000000"/>
          <w:sz w:val="22"/>
          <w:szCs w:val="22"/>
        </w:rPr>
        <w:t>many operators in the U.S. are privately-owned</w:t>
      </w:r>
      <w:r w:rsidR="002F51D2" w:rsidRPr="00225391">
        <w:rPr>
          <w:rFonts w:ascii="Times New Roman" w:hAnsi="Times New Roman"/>
          <w:color w:val="000000"/>
          <w:sz w:val="22"/>
          <w:szCs w:val="22"/>
        </w:rPr>
        <w:t>)</w:t>
      </w:r>
      <w:r w:rsidR="00F96EA0" w:rsidRPr="00225391">
        <w:rPr>
          <w:rFonts w:ascii="Times New Roman" w:hAnsi="Times New Roman"/>
          <w:color w:val="000000"/>
          <w:sz w:val="22"/>
          <w:szCs w:val="22"/>
        </w:rPr>
        <w:t xml:space="preserve">, and </w:t>
      </w:r>
      <w:r w:rsidRPr="00225391">
        <w:rPr>
          <w:rFonts w:ascii="Times New Roman" w:hAnsi="Times New Roman"/>
          <w:color w:val="000000"/>
          <w:sz w:val="22"/>
          <w:szCs w:val="22"/>
        </w:rPr>
        <w:t xml:space="preserve">the </w:t>
      </w:r>
      <w:r w:rsidR="00F96EA0" w:rsidRPr="00225391">
        <w:rPr>
          <w:rFonts w:ascii="Times New Roman" w:hAnsi="Times New Roman"/>
          <w:color w:val="000000"/>
          <w:sz w:val="22"/>
          <w:szCs w:val="22"/>
        </w:rPr>
        <w:t xml:space="preserve">companies report </w:t>
      </w:r>
      <w:r w:rsidRPr="00225391">
        <w:rPr>
          <w:rFonts w:ascii="Times New Roman" w:hAnsi="Times New Roman"/>
          <w:color w:val="000000"/>
          <w:sz w:val="22"/>
          <w:szCs w:val="22"/>
        </w:rPr>
        <w:t xml:space="preserve">to the SEC </w:t>
      </w:r>
      <w:r w:rsidR="00F96EA0" w:rsidRPr="00225391">
        <w:rPr>
          <w:rFonts w:ascii="Times New Roman" w:hAnsi="Times New Roman"/>
          <w:color w:val="000000"/>
          <w:sz w:val="22"/>
          <w:szCs w:val="22"/>
        </w:rPr>
        <w:t xml:space="preserve">only </w:t>
      </w:r>
      <w:r w:rsidR="00087140" w:rsidRPr="00225391">
        <w:rPr>
          <w:rFonts w:ascii="Times New Roman" w:hAnsi="Times New Roman"/>
          <w:color w:val="000000"/>
          <w:sz w:val="22"/>
          <w:szCs w:val="22"/>
        </w:rPr>
        <w:t xml:space="preserve">the </w:t>
      </w:r>
      <w:r w:rsidR="00F96EA0" w:rsidRPr="00225391">
        <w:rPr>
          <w:rFonts w:ascii="Times New Roman" w:hAnsi="Times New Roman"/>
          <w:color w:val="000000"/>
          <w:sz w:val="22"/>
          <w:szCs w:val="22"/>
        </w:rPr>
        <w:t>percentage of the reserves they own</w:t>
      </w:r>
      <w:r w:rsidRPr="00225391">
        <w:rPr>
          <w:rFonts w:ascii="Times New Roman" w:hAnsi="Times New Roman"/>
          <w:color w:val="000000"/>
          <w:sz w:val="22"/>
          <w:szCs w:val="22"/>
        </w:rPr>
        <w:t>,</w:t>
      </w:r>
      <w:r w:rsidR="00A724F1" w:rsidRPr="00225391">
        <w:rPr>
          <w:rFonts w:ascii="Times New Roman" w:hAnsi="Times New Roman"/>
          <w:color w:val="000000"/>
          <w:sz w:val="22"/>
          <w:szCs w:val="22"/>
        </w:rPr>
        <w:t xml:space="preserve"> which can be </w:t>
      </w:r>
      <w:r w:rsidRPr="00225391">
        <w:rPr>
          <w:rFonts w:ascii="Times New Roman" w:hAnsi="Times New Roman"/>
          <w:color w:val="000000"/>
          <w:sz w:val="22"/>
          <w:szCs w:val="22"/>
        </w:rPr>
        <w:t xml:space="preserve">an amount </w:t>
      </w:r>
      <w:r w:rsidR="00A724F1" w:rsidRPr="00225391">
        <w:rPr>
          <w:rFonts w:ascii="Times New Roman" w:hAnsi="Times New Roman"/>
          <w:color w:val="000000"/>
          <w:sz w:val="22"/>
          <w:szCs w:val="22"/>
        </w:rPr>
        <w:t xml:space="preserve">significantly less than the total volume of reserves </w:t>
      </w:r>
      <w:r w:rsidR="005D1DC8">
        <w:rPr>
          <w:rFonts w:ascii="Times New Roman" w:hAnsi="Times New Roman"/>
          <w:color w:val="000000"/>
          <w:sz w:val="22"/>
          <w:szCs w:val="22"/>
        </w:rPr>
        <w:t>they operate</w:t>
      </w:r>
      <w:r w:rsidR="00A724F1" w:rsidRPr="00225391">
        <w:rPr>
          <w:rFonts w:ascii="Times New Roman" w:hAnsi="Times New Roman"/>
          <w:color w:val="000000"/>
          <w:sz w:val="22"/>
          <w:szCs w:val="22"/>
        </w:rPr>
        <w:t>.</w:t>
      </w:r>
    </w:p>
    <w:p w14:paraId="3BE3A6A5" w14:textId="77777777" w:rsidR="00A724F1" w:rsidRPr="00225391" w:rsidRDefault="0075396D" w:rsidP="00225391">
      <w:pPr>
        <w:pStyle w:val="Level2"/>
        <w:widowControl/>
        <w:spacing w:after="100"/>
        <w:ind w:left="0" w:firstLine="0"/>
        <w:rPr>
          <w:rFonts w:ascii="Times New Roman" w:hAnsi="Times New Roman"/>
          <w:color w:val="000000"/>
          <w:sz w:val="22"/>
          <w:szCs w:val="22"/>
        </w:rPr>
      </w:pPr>
      <w:r w:rsidRPr="00225391">
        <w:rPr>
          <w:rFonts w:ascii="Times New Roman" w:hAnsi="Times New Roman"/>
          <w:color w:val="000000"/>
          <w:sz w:val="22"/>
          <w:szCs w:val="22"/>
        </w:rPr>
        <w:t xml:space="preserve">EIA has determined that other sources </w:t>
      </w:r>
      <w:r w:rsidR="004A44C5" w:rsidRPr="00225391">
        <w:rPr>
          <w:rFonts w:ascii="Times New Roman" w:hAnsi="Times New Roman"/>
          <w:color w:val="000000"/>
          <w:sz w:val="22"/>
          <w:szCs w:val="22"/>
        </w:rPr>
        <w:t xml:space="preserve">of </w:t>
      </w:r>
      <w:r w:rsidR="004267FE" w:rsidRPr="00225391">
        <w:rPr>
          <w:rFonts w:ascii="Times New Roman" w:hAnsi="Times New Roman"/>
          <w:color w:val="000000"/>
          <w:sz w:val="22"/>
          <w:szCs w:val="22"/>
        </w:rPr>
        <w:t xml:space="preserve">proved </w:t>
      </w:r>
      <w:r w:rsidR="004A44C5" w:rsidRPr="00225391">
        <w:rPr>
          <w:rFonts w:ascii="Times New Roman" w:hAnsi="Times New Roman"/>
          <w:color w:val="000000"/>
          <w:sz w:val="22"/>
          <w:szCs w:val="22"/>
        </w:rPr>
        <w:t>oil and gas reserve</w:t>
      </w:r>
      <w:r w:rsidR="004267FE" w:rsidRPr="00225391">
        <w:rPr>
          <w:rFonts w:ascii="Times New Roman" w:hAnsi="Times New Roman"/>
          <w:color w:val="000000"/>
          <w:sz w:val="22"/>
          <w:szCs w:val="22"/>
        </w:rPr>
        <w:t xml:space="preserve"> data</w:t>
      </w:r>
      <w:r w:rsidR="004A44C5" w:rsidRPr="00225391">
        <w:rPr>
          <w:rFonts w:ascii="Times New Roman" w:hAnsi="Times New Roman"/>
          <w:color w:val="000000"/>
          <w:sz w:val="22"/>
          <w:szCs w:val="22"/>
        </w:rPr>
        <w:t xml:space="preserve"> </w:t>
      </w:r>
      <w:r w:rsidRPr="00225391">
        <w:rPr>
          <w:rFonts w:ascii="Times New Roman" w:hAnsi="Times New Roman"/>
          <w:color w:val="000000"/>
          <w:sz w:val="22"/>
          <w:szCs w:val="22"/>
        </w:rPr>
        <w:t xml:space="preserve">cannot replace or approximate the information provided </w:t>
      </w:r>
      <w:r w:rsidR="004267FE" w:rsidRPr="00225391">
        <w:rPr>
          <w:rFonts w:ascii="Times New Roman" w:hAnsi="Times New Roman"/>
          <w:color w:val="000000"/>
          <w:sz w:val="22"/>
          <w:szCs w:val="22"/>
        </w:rPr>
        <w:t>by the OGRS data collections</w:t>
      </w:r>
      <w:r w:rsidR="00225391">
        <w:rPr>
          <w:rFonts w:ascii="Times New Roman" w:hAnsi="Times New Roman"/>
          <w:color w:val="000000"/>
          <w:sz w:val="22"/>
          <w:szCs w:val="22"/>
        </w:rPr>
        <w:t>,</w:t>
      </w:r>
      <w:r w:rsidR="004267FE" w:rsidRPr="00225391">
        <w:rPr>
          <w:rFonts w:ascii="Times New Roman" w:hAnsi="Times New Roman"/>
          <w:color w:val="000000"/>
          <w:sz w:val="22"/>
          <w:szCs w:val="22"/>
        </w:rPr>
        <w:t xml:space="preserve"> </w:t>
      </w:r>
      <w:r w:rsidRPr="00225391">
        <w:rPr>
          <w:rFonts w:ascii="Times New Roman" w:hAnsi="Times New Roman"/>
          <w:color w:val="000000"/>
          <w:sz w:val="22"/>
          <w:szCs w:val="22"/>
        </w:rPr>
        <w:t xml:space="preserve">because </w:t>
      </w:r>
      <w:r w:rsidR="00AE19AD" w:rsidRPr="00225391">
        <w:rPr>
          <w:rFonts w:ascii="Times New Roman" w:hAnsi="Times New Roman"/>
          <w:color w:val="000000"/>
          <w:sz w:val="22"/>
          <w:szCs w:val="22"/>
        </w:rPr>
        <w:t xml:space="preserve">of </w:t>
      </w:r>
      <w:r w:rsidRPr="00225391">
        <w:rPr>
          <w:rFonts w:ascii="Times New Roman" w:hAnsi="Times New Roman"/>
          <w:color w:val="000000"/>
          <w:sz w:val="22"/>
          <w:szCs w:val="22"/>
        </w:rPr>
        <w:t>differences in classif</w:t>
      </w:r>
      <w:r w:rsidR="004267FE" w:rsidRPr="00225391">
        <w:rPr>
          <w:rFonts w:ascii="Times New Roman" w:hAnsi="Times New Roman"/>
          <w:color w:val="000000"/>
          <w:sz w:val="22"/>
          <w:szCs w:val="22"/>
        </w:rPr>
        <w:t>ying the data</w:t>
      </w:r>
      <w:r w:rsidRPr="00225391">
        <w:rPr>
          <w:rFonts w:ascii="Times New Roman" w:hAnsi="Times New Roman"/>
          <w:color w:val="000000"/>
          <w:sz w:val="22"/>
          <w:szCs w:val="22"/>
        </w:rPr>
        <w:t>, inconsisten</w:t>
      </w:r>
      <w:r w:rsidR="004267FE" w:rsidRPr="00225391">
        <w:rPr>
          <w:rFonts w:ascii="Times New Roman" w:hAnsi="Times New Roman"/>
          <w:color w:val="000000"/>
          <w:sz w:val="22"/>
          <w:szCs w:val="22"/>
        </w:rPr>
        <w:t>t data quality</w:t>
      </w:r>
      <w:r w:rsidRPr="00225391">
        <w:rPr>
          <w:rFonts w:ascii="Times New Roman" w:hAnsi="Times New Roman"/>
          <w:color w:val="000000"/>
          <w:sz w:val="22"/>
          <w:szCs w:val="22"/>
        </w:rPr>
        <w:t>, incomplete</w:t>
      </w:r>
      <w:r w:rsidR="004267FE" w:rsidRPr="00225391">
        <w:rPr>
          <w:rFonts w:ascii="Times New Roman" w:hAnsi="Times New Roman"/>
          <w:color w:val="000000"/>
          <w:sz w:val="22"/>
          <w:szCs w:val="22"/>
        </w:rPr>
        <w:t xml:space="preserve"> and infrequent reporting</w:t>
      </w:r>
      <w:r w:rsidRPr="00225391">
        <w:rPr>
          <w:rFonts w:ascii="Times New Roman" w:hAnsi="Times New Roman"/>
          <w:color w:val="000000"/>
          <w:sz w:val="22"/>
          <w:szCs w:val="22"/>
        </w:rPr>
        <w:t>,</w:t>
      </w:r>
      <w:r w:rsidR="00F90043">
        <w:rPr>
          <w:rFonts w:ascii="Times New Roman" w:hAnsi="Times New Roman"/>
          <w:color w:val="000000"/>
          <w:sz w:val="22"/>
          <w:szCs w:val="22"/>
        </w:rPr>
        <w:t xml:space="preserve"> and</w:t>
      </w:r>
      <w:r w:rsidRPr="00225391">
        <w:rPr>
          <w:rFonts w:ascii="Times New Roman" w:hAnsi="Times New Roman"/>
          <w:color w:val="000000"/>
          <w:sz w:val="22"/>
          <w:szCs w:val="22"/>
        </w:rPr>
        <w:t xml:space="preserve"> </w:t>
      </w:r>
      <w:r w:rsidR="004267FE" w:rsidRPr="00225391">
        <w:rPr>
          <w:rFonts w:ascii="Times New Roman" w:hAnsi="Times New Roman"/>
          <w:color w:val="000000"/>
          <w:sz w:val="22"/>
          <w:szCs w:val="22"/>
        </w:rPr>
        <w:t xml:space="preserve">data </w:t>
      </w:r>
      <w:r w:rsidRPr="00225391">
        <w:rPr>
          <w:rFonts w:ascii="Times New Roman" w:hAnsi="Times New Roman"/>
          <w:color w:val="000000"/>
          <w:sz w:val="22"/>
          <w:szCs w:val="22"/>
        </w:rPr>
        <w:t>unavailability</w:t>
      </w:r>
      <w:r w:rsidR="00F90043">
        <w:rPr>
          <w:rFonts w:ascii="Times New Roman" w:hAnsi="Times New Roman"/>
          <w:color w:val="000000"/>
          <w:sz w:val="22"/>
          <w:szCs w:val="22"/>
        </w:rPr>
        <w:t>.</w:t>
      </w:r>
      <w:r w:rsidR="005C756F" w:rsidRPr="00225391">
        <w:rPr>
          <w:rFonts w:ascii="Times New Roman" w:hAnsi="Times New Roman"/>
          <w:color w:val="000000"/>
          <w:sz w:val="22"/>
          <w:szCs w:val="22"/>
        </w:rPr>
        <w:t xml:space="preserve"> </w:t>
      </w:r>
      <w:r w:rsidR="007A548F">
        <w:rPr>
          <w:rFonts w:ascii="Times New Roman" w:hAnsi="Times New Roman"/>
          <w:color w:val="000000"/>
          <w:sz w:val="22"/>
          <w:szCs w:val="22"/>
        </w:rPr>
        <w:t xml:space="preserve">Form EIA-64A solicits annual data separated by area of origin not required on Form EIA-816, </w:t>
      </w:r>
      <w:r w:rsidR="007A548F" w:rsidRPr="00814AB2">
        <w:rPr>
          <w:rFonts w:ascii="Times New Roman" w:hAnsi="Times New Roman"/>
          <w:i/>
          <w:color w:val="000000"/>
          <w:sz w:val="22"/>
          <w:szCs w:val="22"/>
        </w:rPr>
        <w:t>Monthly Natural Gas Liquids Report.</w:t>
      </w:r>
      <w:r w:rsidR="007A548F">
        <w:rPr>
          <w:rFonts w:ascii="Times New Roman" w:hAnsi="Times New Roman"/>
          <w:color w:val="000000"/>
          <w:sz w:val="22"/>
          <w:szCs w:val="22"/>
        </w:rPr>
        <w:t xml:space="preserve"> Form EIA-64A does not replace or supersede Form EIA-816 that is still required on a monthly basis.</w:t>
      </w:r>
    </w:p>
    <w:p w14:paraId="277CEBF9" w14:textId="77777777" w:rsidR="00A724F1" w:rsidRPr="008D4B5F" w:rsidRDefault="00B34E57" w:rsidP="008561E4">
      <w:pPr>
        <w:pStyle w:val="Heading2"/>
      </w:pPr>
      <w:bookmarkStart w:id="11" w:name="_Toc349579969"/>
      <w:r w:rsidRPr="008D4B5F">
        <w:t>Burden Reduction for Small Entities</w:t>
      </w:r>
      <w:bookmarkEnd w:id="11"/>
    </w:p>
    <w:p w14:paraId="7E7575BC" w14:textId="77777777" w:rsidR="00A724F1" w:rsidRPr="00140CC1" w:rsidRDefault="006402BB" w:rsidP="00140CC1">
      <w:pPr>
        <w:pStyle w:val="Level2"/>
        <w:widowControl/>
        <w:spacing w:before="120" w:beforeAutospacing="0" w:after="100"/>
        <w:ind w:left="0" w:firstLine="0"/>
        <w:rPr>
          <w:rFonts w:ascii="Times New Roman" w:hAnsi="Times New Roman"/>
          <w:color w:val="000000"/>
          <w:sz w:val="22"/>
          <w:szCs w:val="22"/>
        </w:rPr>
      </w:pPr>
      <w:r w:rsidRPr="00D17DAF">
        <w:rPr>
          <w:rFonts w:ascii="Times New Roman" w:hAnsi="Times New Roman"/>
          <w:color w:val="000000"/>
          <w:sz w:val="22"/>
          <w:szCs w:val="22"/>
        </w:rPr>
        <w:t xml:space="preserve">The largest respondents </w:t>
      </w:r>
      <w:r w:rsidR="00195824" w:rsidRPr="00D17DAF">
        <w:rPr>
          <w:rFonts w:ascii="Times New Roman" w:hAnsi="Times New Roman"/>
          <w:color w:val="000000"/>
          <w:sz w:val="22"/>
          <w:szCs w:val="22"/>
        </w:rPr>
        <w:t xml:space="preserve">to the Form EIA-23L </w:t>
      </w:r>
      <w:r w:rsidRPr="00D17DAF">
        <w:rPr>
          <w:rFonts w:ascii="Times New Roman" w:hAnsi="Times New Roman"/>
          <w:color w:val="000000"/>
          <w:sz w:val="22"/>
          <w:szCs w:val="22"/>
        </w:rPr>
        <w:t>may have roughly 1,000 fields</w:t>
      </w:r>
      <w:r w:rsidR="00195824" w:rsidRPr="00D17DAF">
        <w:rPr>
          <w:rFonts w:ascii="Times New Roman" w:hAnsi="Times New Roman"/>
          <w:color w:val="000000"/>
          <w:sz w:val="22"/>
          <w:szCs w:val="22"/>
        </w:rPr>
        <w:t>,</w:t>
      </w:r>
      <w:r w:rsidRPr="00D17DAF">
        <w:rPr>
          <w:rFonts w:ascii="Times New Roman" w:hAnsi="Times New Roman"/>
          <w:color w:val="000000"/>
          <w:sz w:val="22"/>
          <w:szCs w:val="22"/>
        </w:rPr>
        <w:t xml:space="preserve"> while the smallest respondents will have five or fewer.</w:t>
      </w:r>
      <w:r w:rsidR="00E63B08" w:rsidRPr="00D17DAF">
        <w:rPr>
          <w:rFonts w:ascii="Times New Roman" w:hAnsi="Times New Roman"/>
          <w:color w:val="000000"/>
          <w:sz w:val="22"/>
          <w:szCs w:val="22"/>
        </w:rPr>
        <w:t xml:space="preserve">  </w:t>
      </w:r>
      <w:r w:rsidR="005E5A4D" w:rsidRPr="00D17DAF">
        <w:rPr>
          <w:rFonts w:ascii="Times New Roman" w:hAnsi="Times New Roman"/>
          <w:color w:val="000000"/>
          <w:sz w:val="22"/>
          <w:szCs w:val="22"/>
        </w:rPr>
        <w:t xml:space="preserve">The proposed switch to county-level reporting is expected to reduce the time to complete Form EIA-23L by </w:t>
      </w:r>
      <w:r w:rsidR="00642D84" w:rsidRPr="00D17DAF">
        <w:rPr>
          <w:rFonts w:ascii="Times New Roman" w:hAnsi="Times New Roman"/>
          <w:color w:val="000000"/>
          <w:sz w:val="22"/>
          <w:szCs w:val="22"/>
        </w:rPr>
        <w:t xml:space="preserve">about </w:t>
      </w:r>
      <w:r w:rsidR="007A548F">
        <w:rPr>
          <w:rFonts w:ascii="Times New Roman" w:hAnsi="Times New Roman"/>
          <w:color w:val="000000"/>
          <w:sz w:val="22"/>
          <w:szCs w:val="22"/>
        </w:rPr>
        <w:t>6</w:t>
      </w:r>
      <w:r w:rsidR="005E5A4D" w:rsidRPr="00D17DAF">
        <w:rPr>
          <w:rFonts w:ascii="Times New Roman" w:hAnsi="Times New Roman"/>
          <w:color w:val="000000"/>
          <w:sz w:val="22"/>
          <w:szCs w:val="22"/>
        </w:rPr>
        <w:t xml:space="preserve">% for large operators. </w:t>
      </w:r>
      <w:r w:rsidR="003862DF" w:rsidRPr="00D17DAF">
        <w:rPr>
          <w:rFonts w:ascii="Times New Roman" w:hAnsi="Times New Roman"/>
          <w:color w:val="000000"/>
          <w:sz w:val="22"/>
          <w:szCs w:val="22"/>
        </w:rPr>
        <w:t xml:space="preserve">The new </w:t>
      </w:r>
      <w:r w:rsidR="00E7459C" w:rsidRPr="00D17DAF">
        <w:rPr>
          <w:rFonts w:ascii="Times New Roman" w:hAnsi="Times New Roman"/>
          <w:color w:val="000000"/>
          <w:sz w:val="22"/>
          <w:szCs w:val="22"/>
        </w:rPr>
        <w:t xml:space="preserve">reporting </w:t>
      </w:r>
      <w:r w:rsidR="003862DF" w:rsidRPr="00D17DAF">
        <w:rPr>
          <w:rFonts w:ascii="Times New Roman" w:hAnsi="Times New Roman"/>
          <w:color w:val="000000"/>
          <w:sz w:val="22"/>
          <w:szCs w:val="22"/>
        </w:rPr>
        <w:t xml:space="preserve">burden for </w:t>
      </w:r>
      <w:r w:rsidR="00EE4437" w:rsidRPr="00D17DAF">
        <w:rPr>
          <w:rFonts w:ascii="Times New Roman" w:hAnsi="Times New Roman"/>
          <w:color w:val="000000"/>
          <w:sz w:val="22"/>
          <w:szCs w:val="22"/>
        </w:rPr>
        <w:t>the remaining</w:t>
      </w:r>
      <w:r w:rsidR="00647AF6" w:rsidRPr="00D17DAF">
        <w:rPr>
          <w:rFonts w:ascii="Times New Roman" w:hAnsi="Times New Roman"/>
          <w:color w:val="000000"/>
          <w:sz w:val="22"/>
          <w:szCs w:val="22"/>
        </w:rPr>
        <w:t xml:space="preserve"> </w:t>
      </w:r>
      <w:r w:rsidR="003862DF" w:rsidRPr="00D17DAF">
        <w:rPr>
          <w:rFonts w:ascii="Times New Roman" w:hAnsi="Times New Roman"/>
          <w:color w:val="000000"/>
          <w:sz w:val="22"/>
          <w:szCs w:val="22"/>
        </w:rPr>
        <w:t xml:space="preserve">small </w:t>
      </w:r>
      <w:r w:rsidR="00EE4437" w:rsidRPr="00D17DAF">
        <w:rPr>
          <w:rFonts w:ascii="Times New Roman" w:hAnsi="Times New Roman"/>
          <w:color w:val="000000"/>
          <w:sz w:val="22"/>
          <w:szCs w:val="22"/>
        </w:rPr>
        <w:t>operators</w:t>
      </w:r>
      <w:r w:rsidR="00647AF6" w:rsidRPr="00D17DAF">
        <w:rPr>
          <w:rFonts w:ascii="Times New Roman" w:hAnsi="Times New Roman"/>
          <w:color w:val="000000"/>
          <w:sz w:val="22"/>
          <w:szCs w:val="22"/>
        </w:rPr>
        <w:t xml:space="preserve"> combined,</w:t>
      </w:r>
      <w:r w:rsidR="003862DF" w:rsidRPr="00D17DAF">
        <w:rPr>
          <w:rFonts w:ascii="Times New Roman" w:hAnsi="Times New Roman"/>
          <w:color w:val="000000"/>
          <w:sz w:val="22"/>
          <w:szCs w:val="22"/>
        </w:rPr>
        <w:t xml:space="preserve"> is slightly less than the old burden </w:t>
      </w:r>
      <w:r w:rsidR="00EE4437" w:rsidRPr="00D17DAF">
        <w:rPr>
          <w:rFonts w:ascii="Times New Roman" w:hAnsi="Times New Roman"/>
          <w:color w:val="000000"/>
          <w:sz w:val="22"/>
          <w:szCs w:val="22"/>
        </w:rPr>
        <w:t>for all small operators</w:t>
      </w:r>
      <w:r w:rsidR="005E5A4D" w:rsidRPr="00D17DAF">
        <w:rPr>
          <w:rFonts w:ascii="Times New Roman" w:hAnsi="Times New Roman"/>
          <w:color w:val="000000"/>
          <w:sz w:val="22"/>
          <w:szCs w:val="22"/>
        </w:rPr>
        <w:t xml:space="preserve"> because the number of entries on Line 2.1 on Form EIA-23L is expected to be similar, but </w:t>
      </w:r>
      <w:r w:rsidR="00882706">
        <w:rPr>
          <w:rFonts w:ascii="Times New Roman" w:hAnsi="Times New Roman"/>
          <w:color w:val="000000"/>
          <w:sz w:val="22"/>
          <w:szCs w:val="22"/>
        </w:rPr>
        <w:t xml:space="preserve">reporting </w:t>
      </w:r>
      <w:r w:rsidR="005E5A4D" w:rsidRPr="00D17DAF">
        <w:rPr>
          <w:rFonts w:ascii="Times New Roman" w:hAnsi="Times New Roman"/>
          <w:color w:val="000000"/>
          <w:sz w:val="22"/>
          <w:szCs w:val="22"/>
        </w:rPr>
        <w:t xml:space="preserve">production estimates by county should be </w:t>
      </w:r>
      <w:r w:rsidR="00533E06" w:rsidRPr="00D17DAF">
        <w:rPr>
          <w:rFonts w:ascii="Times New Roman" w:hAnsi="Times New Roman"/>
          <w:color w:val="000000"/>
          <w:sz w:val="22"/>
          <w:szCs w:val="22"/>
        </w:rPr>
        <w:t>less burden than field-level estimates for small operators</w:t>
      </w:r>
      <w:r w:rsidR="00B85F18" w:rsidRPr="00D17DAF">
        <w:rPr>
          <w:rFonts w:ascii="Times New Roman" w:hAnsi="Times New Roman"/>
          <w:color w:val="000000"/>
          <w:sz w:val="22"/>
          <w:szCs w:val="22"/>
        </w:rPr>
        <w:t>.</w:t>
      </w:r>
    </w:p>
    <w:p w14:paraId="7B32BC08" w14:textId="77777777" w:rsidR="00B34E57" w:rsidRPr="00D810CC" w:rsidRDefault="00D71D78" w:rsidP="008561E4">
      <w:pPr>
        <w:pStyle w:val="Heading2"/>
      </w:pPr>
      <w:bookmarkStart w:id="12" w:name="_Toc349579970"/>
      <w:r>
        <w:t>Consequences of Less Frequent Data Collection</w:t>
      </w:r>
      <w:bookmarkStart w:id="13" w:name="_Toc345587551"/>
      <w:bookmarkEnd w:id="12"/>
      <w:bookmarkEnd w:id="13"/>
    </w:p>
    <w:p w14:paraId="64648028" w14:textId="77777777" w:rsidR="00E97303" w:rsidRPr="007060CA" w:rsidRDefault="00A724F1" w:rsidP="006751B2">
      <w:pPr>
        <w:spacing w:before="120" w:beforeAutospacing="0"/>
        <w:rPr>
          <w:snapToGrid w:val="0"/>
          <w:sz w:val="22"/>
        </w:rPr>
      </w:pPr>
      <w:r w:rsidRPr="007060CA">
        <w:rPr>
          <w:snapToGrid w:val="0"/>
          <w:sz w:val="22"/>
        </w:rPr>
        <w:t xml:space="preserve">Less frequent reporting </w:t>
      </w:r>
      <w:r w:rsidR="007060CA">
        <w:rPr>
          <w:snapToGrid w:val="0"/>
          <w:sz w:val="22"/>
        </w:rPr>
        <w:t xml:space="preserve">from survey respondents </w:t>
      </w:r>
      <w:r w:rsidRPr="007060CA">
        <w:rPr>
          <w:snapToGrid w:val="0"/>
          <w:sz w:val="22"/>
        </w:rPr>
        <w:t xml:space="preserve">would not </w:t>
      </w:r>
      <w:r w:rsidR="007060CA">
        <w:rPr>
          <w:snapToGrid w:val="0"/>
          <w:sz w:val="22"/>
        </w:rPr>
        <w:t>permit</w:t>
      </w:r>
      <w:r w:rsidR="007060CA" w:rsidRPr="007060CA">
        <w:rPr>
          <w:snapToGrid w:val="0"/>
          <w:sz w:val="22"/>
        </w:rPr>
        <w:t xml:space="preserve"> </w:t>
      </w:r>
      <w:r w:rsidRPr="007060CA">
        <w:rPr>
          <w:snapToGrid w:val="0"/>
          <w:sz w:val="22"/>
        </w:rPr>
        <w:t>EIA to meet its mandate of providing timely, reliable information on oil and gas reserves.</w:t>
      </w:r>
    </w:p>
    <w:p w14:paraId="7E95651B" w14:textId="77777777" w:rsidR="00B34E57" w:rsidRPr="00D71D78" w:rsidRDefault="00D71D78" w:rsidP="008561E4">
      <w:pPr>
        <w:pStyle w:val="Heading2"/>
      </w:pPr>
      <w:bookmarkStart w:id="14" w:name="_Toc349579971"/>
      <w:r w:rsidRPr="00D71D78">
        <w:t xml:space="preserve">Compliance with </w:t>
      </w:r>
      <w:r w:rsidR="00B34E57" w:rsidRPr="00D71D78">
        <w:t>5 CFR 1320.</w:t>
      </w:r>
      <w:r w:rsidR="000E3A4E" w:rsidRPr="00D71D78">
        <w:t>6</w:t>
      </w:r>
      <w:bookmarkEnd w:id="14"/>
    </w:p>
    <w:p w14:paraId="4454B033" w14:textId="77777777" w:rsidR="006751B2" w:rsidRPr="0009294A" w:rsidRDefault="00A724F1" w:rsidP="006751B2">
      <w:pPr>
        <w:spacing w:before="120" w:beforeAutospacing="0"/>
        <w:rPr>
          <w:spacing w:val="6"/>
          <w:sz w:val="22"/>
        </w:rPr>
      </w:pPr>
      <w:r w:rsidRPr="0009294A">
        <w:rPr>
          <w:sz w:val="22"/>
        </w:rPr>
        <w:t>The data are being collected consistent with th</w:t>
      </w:r>
      <w:r w:rsidR="000E3A4E" w:rsidRPr="0009294A">
        <w:rPr>
          <w:sz w:val="22"/>
        </w:rPr>
        <w:t>e guidelines in 5 C.F.R. 1320.6, to reduce the public’s paperwork burden.</w:t>
      </w:r>
    </w:p>
    <w:p w14:paraId="7FF863DF" w14:textId="77777777" w:rsidR="00B34E57" w:rsidRPr="00D71D78" w:rsidRDefault="00B34E57" w:rsidP="008561E4">
      <w:pPr>
        <w:pStyle w:val="Heading2"/>
      </w:pPr>
      <w:bookmarkStart w:id="15" w:name="_Toc349579972"/>
      <w:r w:rsidRPr="00D71D78">
        <w:t>Summary of Consultations outside the Agency</w:t>
      </w:r>
      <w:bookmarkEnd w:id="15"/>
    </w:p>
    <w:p w14:paraId="771C6FEC" w14:textId="77777777" w:rsidR="00D464CE" w:rsidRDefault="00D464CE" w:rsidP="00D464CE">
      <w:pPr>
        <w:rPr>
          <w:sz w:val="22"/>
        </w:rPr>
      </w:pPr>
      <w:r>
        <w:rPr>
          <w:sz w:val="22"/>
        </w:rPr>
        <w:t>A request for comments from interested persons was published in the Federal Register / Vol. 80, No. 178 / Tuesday, September 15, 2015 / Notices / pp. 55347-55349.  In addition, EIA consulted with relevant major industry organizations in the development of the proposed revision of Form EIA-23L as follows:</w:t>
      </w:r>
    </w:p>
    <w:p w14:paraId="18FEB223" w14:textId="77777777" w:rsidR="00D464CE" w:rsidRDefault="00D464CE" w:rsidP="00D464CE">
      <w:pPr>
        <w:pStyle w:val="ListParagraph"/>
        <w:numPr>
          <w:ilvl w:val="0"/>
          <w:numId w:val="29"/>
        </w:numPr>
        <w:spacing w:before="0" w:beforeAutospacing="0" w:after="120" w:afterAutospacing="0"/>
        <w:rPr>
          <w:rFonts w:ascii="Times New Roman" w:hAnsi="Times New Roman"/>
          <w:sz w:val="22"/>
        </w:rPr>
      </w:pPr>
      <w:r>
        <w:rPr>
          <w:rFonts w:ascii="Times New Roman" w:hAnsi="Times New Roman"/>
          <w:sz w:val="22"/>
        </w:rPr>
        <w:t xml:space="preserve">August 2015: Attended </w:t>
      </w:r>
      <w:r w:rsidRPr="00972AE5">
        <w:rPr>
          <w:rFonts w:ascii="Times New Roman" w:hAnsi="Times New Roman"/>
          <w:i/>
          <w:sz w:val="22"/>
        </w:rPr>
        <w:t>Reserves Estimation Unconventional</w:t>
      </w:r>
      <w:r>
        <w:rPr>
          <w:rFonts w:ascii="Times New Roman" w:hAnsi="Times New Roman"/>
          <w:sz w:val="22"/>
        </w:rPr>
        <w:t xml:space="preserve"> Conference</w:t>
      </w:r>
      <w:r w:rsidR="0050294F">
        <w:rPr>
          <w:rFonts w:ascii="Times New Roman" w:hAnsi="Times New Roman"/>
          <w:sz w:val="22"/>
        </w:rPr>
        <w:t xml:space="preserve"> in </w:t>
      </w:r>
      <w:r>
        <w:rPr>
          <w:rFonts w:ascii="Times New Roman" w:hAnsi="Times New Roman"/>
          <w:sz w:val="22"/>
        </w:rPr>
        <w:t>Houston, Texas</w:t>
      </w:r>
      <w:r w:rsidR="0050294F">
        <w:rPr>
          <w:rFonts w:ascii="Times New Roman" w:hAnsi="Times New Roman"/>
          <w:sz w:val="22"/>
        </w:rPr>
        <w:t xml:space="preserve"> and discussed proposed changes to Form EIA-23L in networking sessions with other attendees</w:t>
      </w:r>
      <w:r>
        <w:rPr>
          <w:rFonts w:ascii="Times New Roman" w:hAnsi="Times New Roman"/>
          <w:sz w:val="22"/>
        </w:rPr>
        <w:t>.</w:t>
      </w:r>
    </w:p>
    <w:p w14:paraId="7E04B6DD" w14:textId="77777777" w:rsidR="00D464CE" w:rsidRPr="00D464CE" w:rsidRDefault="0050294F" w:rsidP="00D464CE">
      <w:pPr>
        <w:pStyle w:val="ListParagraph"/>
        <w:numPr>
          <w:ilvl w:val="0"/>
          <w:numId w:val="29"/>
        </w:numPr>
        <w:spacing w:before="0" w:beforeAutospacing="0" w:after="120" w:afterAutospacing="0"/>
        <w:rPr>
          <w:sz w:val="22"/>
        </w:rPr>
      </w:pPr>
      <w:r>
        <w:rPr>
          <w:rFonts w:ascii="Times New Roman" w:hAnsi="Times New Roman"/>
          <w:sz w:val="22"/>
        </w:rPr>
        <w:t>November</w:t>
      </w:r>
      <w:r w:rsidR="00D464CE" w:rsidRPr="00D464CE">
        <w:rPr>
          <w:rFonts w:ascii="Times New Roman" w:hAnsi="Times New Roman"/>
          <w:sz w:val="22"/>
        </w:rPr>
        <w:t xml:space="preserve"> 201</w:t>
      </w:r>
      <w:r>
        <w:rPr>
          <w:rFonts w:ascii="Times New Roman" w:hAnsi="Times New Roman"/>
          <w:sz w:val="22"/>
        </w:rPr>
        <w:t>5</w:t>
      </w:r>
      <w:r w:rsidR="00D464CE" w:rsidRPr="00D464CE">
        <w:rPr>
          <w:rFonts w:ascii="Times New Roman" w:hAnsi="Times New Roman"/>
          <w:sz w:val="22"/>
        </w:rPr>
        <w:t>: Re</w:t>
      </w:r>
      <w:r>
        <w:rPr>
          <w:rFonts w:ascii="Times New Roman" w:hAnsi="Times New Roman"/>
          <w:sz w:val="22"/>
        </w:rPr>
        <w:t xml:space="preserve">quested comments via email from all respondents who filed data with EIA on Form EIA-23L as part of the 2014 survey year data collection. </w:t>
      </w:r>
    </w:p>
    <w:p w14:paraId="15E8276F" w14:textId="77777777" w:rsidR="00262864" w:rsidRPr="001564CA" w:rsidRDefault="00D464CE" w:rsidP="0050294F">
      <w:pPr>
        <w:rPr>
          <w:b/>
          <w:bCs/>
          <w:sz w:val="22"/>
        </w:rPr>
      </w:pPr>
      <w:r>
        <w:rPr>
          <w:sz w:val="22"/>
        </w:rPr>
        <w:t>Comments from 11 parties were received in response to EIA outreach efforts.  These comments, along with EIA’s responses, are included as Appendix A to this document.</w:t>
      </w:r>
    </w:p>
    <w:p w14:paraId="063D9D94" w14:textId="77777777" w:rsidR="00B34E57" w:rsidRPr="00D810CC" w:rsidRDefault="006E6857" w:rsidP="008561E4">
      <w:pPr>
        <w:pStyle w:val="Heading2"/>
      </w:pPr>
      <w:r w:rsidRPr="00D810CC">
        <w:t>Re</w:t>
      </w:r>
      <w:r>
        <w:t>m</w:t>
      </w:r>
      <w:r w:rsidRPr="00D810CC">
        <w:t>u</w:t>
      </w:r>
      <w:r>
        <w:t>n</w:t>
      </w:r>
      <w:r w:rsidRPr="00D810CC">
        <w:t>eration</w:t>
      </w:r>
    </w:p>
    <w:p w14:paraId="04D2D87D" w14:textId="77777777" w:rsidR="00B34E57" w:rsidRPr="001564CA" w:rsidRDefault="00902DFF" w:rsidP="00441DEF">
      <w:pPr>
        <w:spacing w:before="120" w:beforeAutospacing="0"/>
        <w:rPr>
          <w:sz w:val="22"/>
        </w:rPr>
      </w:pPr>
      <w:r w:rsidRPr="001564CA">
        <w:rPr>
          <w:sz w:val="22"/>
        </w:rPr>
        <w:t>P</w:t>
      </w:r>
      <w:r w:rsidR="00262864" w:rsidRPr="001564CA">
        <w:rPr>
          <w:sz w:val="22"/>
        </w:rPr>
        <w:t xml:space="preserve">ayments or gifts will </w:t>
      </w:r>
      <w:r w:rsidRPr="001564CA">
        <w:rPr>
          <w:sz w:val="22"/>
        </w:rPr>
        <w:t xml:space="preserve">not </w:t>
      </w:r>
      <w:r w:rsidR="00262864" w:rsidRPr="001564CA">
        <w:rPr>
          <w:sz w:val="22"/>
        </w:rPr>
        <w:t>be provided to respondents as incentive</w:t>
      </w:r>
      <w:r w:rsidRPr="001564CA">
        <w:rPr>
          <w:sz w:val="22"/>
        </w:rPr>
        <w:t>s</w:t>
      </w:r>
      <w:r w:rsidR="00262864" w:rsidRPr="001564CA">
        <w:rPr>
          <w:sz w:val="22"/>
        </w:rPr>
        <w:t xml:space="preserve"> to report data to EIA.</w:t>
      </w:r>
    </w:p>
    <w:p w14:paraId="27C7DCD9" w14:textId="77777777" w:rsidR="000922EA" w:rsidRPr="000922EA" w:rsidRDefault="000922EA" w:rsidP="008561E4">
      <w:pPr>
        <w:pStyle w:val="Heading2"/>
      </w:pPr>
      <w:bookmarkStart w:id="16" w:name="_Toc349579974"/>
      <w:r w:rsidRPr="000922EA">
        <w:lastRenderedPageBreak/>
        <w:t>Disclosure of Information</w:t>
      </w:r>
      <w:bookmarkEnd w:id="16"/>
    </w:p>
    <w:p w14:paraId="39703578" w14:textId="77777777" w:rsidR="004241DA" w:rsidRPr="00987298" w:rsidRDefault="000922EA" w:rsidP="00987298">
      <w:pPr>
        <w:spacing w:before="120" w:beforeAutospacing="0" w:after="0" w:afterAutospacing="0"/>
        <w:jc w:val="left"/>
        <w:rPr>
          <w:sz w:val="22"/>
          <w:u w:val="single"/>
        </w:rPr>
      </w:pPr>
      <w:r w:rsidRPr="00987298">
        <w:rPr>
          <w:sz w:val="22"/>
          <w:u w:val="single"/>
        </w:rPr>
        <w:t>Form EIA-23L</w:t>
      </w:r>
    </w:p>
    <w:p w14:paraId="20BFFEC2" w14:textId="77777777" w:rsidR="009277A1" w:rsidRPr="00987298" w:rsidRDefault="006677BD" w:rsidP="00CE1962">
      <w:pPr>
        <w:spacing w:before="120" w:beforeAutospacing="0"/>
        <w:rPr>
          <w:b/>
          <w:bCs/>
          <w:sz w:val="22"/>
        </w:rPr>
      </w:pPr>
      <w:r w:rsidRPr="00987298">
        <w:rPr>
          <w:sz w:val="22"/>
        </w:rPr>
        <w:t xml:space="preserve">The annual </w:t>
      </w:r>
      <w:r w:rsidR="00A33E4E" w:rsidRPr="00987298">
        <w:rPr>
          <w:sz w:val="22"/>
        </w:rPr>
        <w:t xml:space="preserve">data on </w:t>
      </w:r>
      <w:r w:rsidR="00244F6A" w:rsidRPr="00987298">
        <w:rPr>
          <w:sz w:val="22"/>
        </w:rPr>
        <w:t xml:space="preserve">the </w:t>
      </w:r>
      <w:r w:rsidRPr="00987298">
        <w:rPr>
          <w:sz w:val="22"/>
        </w:rPr>
        <w:t>production of crude oil, lease condensate, and natural gas reported on Form EIA-23</w:t>
      </w:r>
      <w:r w:rsidR="00244F6A" w:rsidRPr="00987298">
        <w:rPr>
          <w:sz w:val="22"/>
        </w:rPr>
        <w:t>L</w:t>
      </w:r>
      <w:r w:rsidRPr="00987298">
        <w:rPr>
          <w:sz w:val="22"/>
        </w:rPr>
        <w:t xml:space="preserve"> are considered public information</w:t>
      </w:r>
      <w:r w:rsidR="00684957">
        <w:rPr>
          <w:sz w:val="22"/>
        </w:rPr>
        <w:t xml:space="preserve"> and</w:t>
      </w:r>
      <w:r w:rsidR="00A26C0D">
        <w:rPr>
          <w:sz w:val="22"/>
        </w:rPr>
        <w:t xml:space="preserve"> </w:t>
      </w:r>
      <w:r w:rsidRPr="00987298">
        <w:rPr>
          <w:sz w:val="22"/>
        </w:rPr>
        <w:t>may be released in company-identifiable form</w:t>
      </w:r>
      <w:r w:rsidR="00EC4E27">
        <w:rPr>
          <w:sz w:val="22"/>
        </w:rPr>
        <w:t>.</w:t>
      </w:r>
      <w:r w:rsidRPr="00987298">
        <w:rPr>
          <w:sz w:val="22"/>
        </w:rPr>
        <w:t xml:space="preserve"> </w:t>
      </w:r>
      <w:r w:rsidR="004241DA" w:rsidRPr="00987298">
        <w:rPr>
          <w:sz w:val="22"/>
        </w:rPr>
        <w:t xml:space="preserve"> </w:t>
      </w:r>
      <w:r w:rsidRPr="00987298">
        <w:rPr>
          <w:sz w:val="22"/>
        </w:rPr>
        <w:t>All other information reported on Form EIA-23</w:t>
      </w:r>
      <w:r w:rsidR="00244F6A" w:rsidRPr="00987298">
        <w:rPr>
          <w:sz w:val="22"/>
        </w:rPr>
        <w:t>L</w:t>
      </w:r>
      <w:r w:rsidRPr="00987298">
        <w:rPr>
          <w:sz w:val="22"/>
        </w:rPr>
        <w:t xml:space="preserve"> will be protected and not disclosed to the public</w:t>
      </w:r>
      <w:r w:rsidR="00902DFF" w:rsidRPr="00987298">
        <w:rPr>
          <w:sz w:val="22"/>
        </w:rPr>
        <w:t>,</w:t>
      </w:r>
      <w:r w:rsidRPr="00987298">
        <w:rPr>
          <w:sz w:val="22"/>
        </w:rPr>
        <w:t xml:space="preserve"> to the extent that </w:t>
      </w:r>
      <w:r w:rsidR="00902DFF" w:rsidRPr="00987298">
        <w:rPr>
          <w:sz w:val="22"/>
        </w:rPr>
        <w:t xml:space="preserve">the information </w:t>
      </w:r>
      <w:r w:rsidRPr="00987298">
        <w:rPr>
          <w:sz w:val="22"/>
        </w:rPr>
        <w:t>satisfies the criteria for exemption under the Freedom of Information Act (FOIA), 5 U.S.C. §552, the DOE regulations, 10 C.F.R. §1004.11, implementing the FOIA, and the Trad</w:t>
      </w:r>
      <w:r w:rsidR="00902DFF" w:rsidRPr="00987298">
        <w:rPr>
          <w:sz w:val="22"/>
        </w:rPr>
        <w:t>e Secrets Act, 18 U.S.C. §1905.</w:t>
      </w:r>
    </w:p>
    <w:p w14:paraId="009D1ADE" w14:textId="77777777" w:rsidR="006677BD" w:rsidRPr="00987298" w:rsidRDefault="006677BD" w:rsidP="000922EA">
      <w:pPr>
        <w:rPr>
          <w:b/>
          <w:bCs/>
          <w:sz w:val="22"/>
        </w:rPr>
      </w:pPr>
      <w:r w:rsidRPr="00987298">
        <w:rPr>
          <w:sz w:val="22"/>
        </w:rPr>
        <w:t xml:space="preserve">The Federal Energy Administration Act requires EIA to provide company-specific data to other </w:t>
      </w:r>
      <w:r w:rsidR="00293C3B" w:rsidRPr="00987298">
        <w:rPr>
          <w:sz w:val="22"/>
        </w:rPr>
        <w:t>f</w:t>
      </w:r>
      <w:r w:rsidRPr="00987298">
        <w:rPr>
          <w:sz w:val="22"/>
        </w:rPr>
        <w:t xml:space="preserve">ederal agencies when requested for official use. </w:t>
      </w:r>
      <w:r w:rsidR="004241DA" w:rsidRPr="00987298">
        <w:rPr>
          <w:sz w:val="22"/>
        </w:rPr>
        <w:t xml:space="preserve"> </w:t>
      </w:r>
      <w:r w:rsidRPr="00987298">
        <w:rPr>
          <w:sz w:val="22"/>
        </w:rPr>
        <w:t>The information reported on th</w:t>
      </w:r>
      <w:r w:rsidR="00902DFF" w:rsidRPr="00987298">
        <w:rPr>
          <w:sz w:val="22"/>
        </w:rPr>
        <w:t>e</w:t>
      </w:r>
      <w:r w:rsidRPr="00987298">
        <w:rPr>
          <w:sz w:val="22"/>
        </w:rPr>
        <w:t xml:space="preserve"> </w:t>
      </w:r>
      <w:r w:rsidR="00902DFF" w:rsidRPr="00987298">
        <w:rPr>
          <w:sz w:val="22"/>
        </w:rPr>
        <w:t>F</w:t>
      </w:r>
      <w:r w:rsidRPr="00987298">
        <w:rPr>
          <w:sz w:val="22"/>
        </w:rPr>
        <w:t xml:space="preserve">orm </w:t>
      </w:r>
      <w:r w:rsidR="00902DFF" w:rsidRPr="00987298">
        <w:rPr>
          <w:sz w:val="22"/>
        </w:rPr>
        <w:t>EIA-23</w:t>
      </w:r>
      <w:r w:rsidR="00244F6A" w:rsidRPr="00987298">
        <w:rPr>
          <w:sz w:val="22"/>
        </w:rPr>
        <w:t>L</w:t>
      </w:r>
      <w:r w:rsidR="00902DFF" w:rsidRPr="00987298">
        <w:rPr>
          <w:sz w:val="22"/>
        </w:rPr>
        <w:t xml:space="preserve"> </w:t>
      </w:r>
      <w:r w:rsidRPr="00987298">
        <w:rPr>
          <w:sz w:val="22"/>
        </w:rPr>
        <w:t xml:space="preserve">may also be made available, upon request, to another component of the Department of Energy (DOE); to any Committee of Congress, </w:t>
      </w:r>
      <w:r w:rsidR="00866709">
        <w:rPr>
          <w:sz w:val="22"/>
        </w:rPr>
        <w:t xml:space="preserve">to </w:t>
      </w:r>
      <w:r w:rsidRPr="00987298">
        <w:rPr>
          <w:sz w:val="22"/>
        </w:rPr>
        <w:t xml:space="preserve">the Government Accountability Office, or </w:t>
      </w:r>
      <w:r w:rsidR="00866709">
        <w:rPr>
          <w:sz w:val="22"/>
        </w:rPr>
        <w:t xml:space="preserve">to </w:t>
      </w:r>
      <w:r w:rsidRPr="00987298">
        <w:rPr>
          <w:sz w:val="22"/>
        </w:rPr>
        <w:t xml:space="preserve">other </w:t>
      </w:r>
      <w:r w:rsidR="00902DFF" w:rsidRPr="00987298">
        <w:rPr>
          <w:sz w:val="22"/>
        </w:rPr>
        <w:t>f</w:t>
      </w:r>
      <w:r w:rsidRPr="00987298">
        <w:rPr>
          <w:sz w:val="22"/>
        </w:rPr>
        <w:t xml:space="preserve">ederal agencies authorized by law to receive such information. </w:t>
      </w:r>
      <w:r w:rsidR="004241DA" w:rsidRPr="00987298">
        <w:rPr>
          <w:sz w:val="22"/>
        </w:rPr>
        <w:t xml:space="preserve"> </w:t>
      </w:r>
      <w:r w:rsidRPr="00987298">
        <w:rPr>
          <w:sz w:val="22"/>
        </w:rPr>
        <w:t xml:space="preserve">A court of competent jurisdiction may obtain this information in response to an order. </w:t>
      </w:r>
      <w:r w:rsidR="004241DA" w:rsidRPr="00987298">
        <w:rPr>
          <w:sz w:val="22"/>
        </w:rPr>
        <w:t xml:space="preserve"> </w:t>
      </w:r>
      <w:r w:rsidRPr="00987298">
        <w:rPr>
          <w:sz w:val="22"/>
        </w:rPr>
        <w:t>The information may be used for any non</w:t>
      </w:r>
      <w:r w:rsidR="00902DFF" w:rsidRPr="00987298">
        <w:rPr>
          <w:sz w:val="22"/>
        </w:rPr>
        <w:t>-</w:t>
      </w:r>
      <w:r w:rsidRPr="00987298">
        <w:rPr>
          <w:sz w:val="22"/>
        </w:rPr>
        <w:t>statistical purposes such as administrative, regulatory, law enforcement, or adjudicatory purposes.</w:t>
      </w:r>
    </w:p>
    <w:p w14:paraId="261C6794" w14:textId="77777777" w:rsidR="006677BD" w:rsidRPr="00987298" w:rsidRDefault="006677BD" w:rsidP="000922EA">
      <w:pPr>
        <w:rPr>
          <w:b/>
          <w:bCs/>
          <w:sz w:val="22"/>
        </w:rPr>
      </w:pPr>
      <w:r w:rsidRPr="00987298">
        <w:rPr>
          <w:sz w:val="22"/>
        </w:rPr>
        <w:t xml:space="preserve">Disclosure limitation procedures are applied to the protected statistical data published from </w:t>
      </w:r>
      <w:r w:rsidR="00902DFF" w:rsidRPr="00987298">
        <w:rPr>
          <w:sz w:val="22"/>
        </w:rPr>
        <w:t xml:space="preserve">Form </w:t>
      </w:r>
      <w:r w:rsidRPr="00987298">
        <w:rPr>
          <w:sz w:val="22"/>
        </w:rPr>
        <w:t>EIA-23</w:t>
      </w:r>
      <w:r w:rsidR="00244F6A" w:rsidRPr="00987298">
        <w:rPr>
          <w:sz w:val="22"/>
        </w:rPr>
        <w:t>L</w:t>
      </w:r>
      <w:r w:rsidRPr="00987298">
        <w:rPr>
          <w:sz w:val="22"/>
        </w:rPr>
        <w:t xml:space="preserve"> to ensure that the risk of disclos</w:t>
      </w:r>
      <w:r w:rsidR="00EC4E27">
        <w:rPr>
          <w:sz w:val="22"/>
        </w:rPr>
        <w:t>ing</w:t>
      </w:r>
      <w:r w:rsidRPr="00987298">
        <w:rPr>
          <w:sz w:val="22"/>
        </w:rPr>
        <w:t xml:space="preserve"> identifiable information is very small.</w:t>
      </w:r>
    </w:p>
    <w:p w14:paraId="2ABE63B2" w14:textId="77777777" w:rsidR="006677BD" w:rsidRPr="00987298" w:rsidRDefault="00EC4E27" w:rsidP="002A3843">
      <w:pPr>
        <w:spacing w:after="0" w:afterAutospacing="0"/>
        <w:rPr>
          <w:b/>
          <w:bCs/>
          <w:sz w:val="22"/>
        </w:rPr>
      </w:pPr>
      <w:r>
        <w:rPr>
          <w:sz w:val="22"/>
        </w:rPr>
        <w:t>I</w:t>
      </w:r>
      <w:r w:rsidR="006677BD" w:rsidRPr="00987298">
        <w:rPr>
          <w:sz w:val="22"/>
        </w:rPr>
        <w:t>nformation collected on Form EIA-23</w:t>
      </w:r>
      <w:r w:rsidR="00244F6A" w:rsidRPr="00987298">
        <w:rPr>
          <w:sz w:val="22"/>
        </w:rPr>
        <w:t>L</w:t>
      </w:r>
      <w:r w:rsidR="006677BD" w:rsidRPr="00987298">
        <w:rPr>
          <w:sz w:val="22"/>
        </w:rPr>
        <w:t xml:space="preserve"> </w:t>
      </w:r>
      <w:r w:rsidR="00CC43C5" w:rsidRPr="00987298">
        <w:rPr>
          <w:sz w:val="22"/>
        </w:rPr>
        <w:t>may</w:t>
      </w:r>
      <w:r w:rsidR="006677BD" w:rsidRPr="00987298">
        <w:rPr>
          <w:sz w:val="22"/>
        </w:rPr>
        <w:t xml:space="preserve"> be provided to United States Department of </w:t>
      </w:r>
      <w:r w:rsidR="008C2F54" w:rsidRPr="00987298">
        <w:rPr>
          <w:sz w:val="22"/>
        </w:rPr>
        <w:t xml:space="preserve">the </w:t>
      </w:r>
      <w:r w:rsidR="006677BD" w:rsidRPr="00987298">
        <w:rPr>
          <w:sz w:val="22"/>
        </w:rPr>
        <w:t>Interior offices (</w:t>
      </w:r>
      <w:r w:rsidR="002454A8" w:rsidRPr="00987298">
        <w:rPr>
          <w:sz w:val="22"/>
        </w:rPr>
        <w:t>BOEM and</w:t>
      </w:r>
      <w:r w:rsidR="006677BD" w:rsidRPr="00987298">
        <w:rPr>
          <w:sz w:val="22"/>
        </w:rPr>
        <w:t xml:space="preserve"> the United States Geological Survey</w:t>
      </w:r>
      <w:r w:rsidR="00CA197F" w:rsidRPr="00987298">
        <w:rPr>
          <w:sz w:val="22"/>
        </w:rPr>
        <w:t xml:space="preserve"> [USGS]</w:t>
      </w:r>
      <w:r w:rsidR="006677BD" w:rsidRPr="00987298">
        <w:rPr>
          <w:sz w:val="22"/>
        </w:rPr>
        <w:t>) for statistical purposes</w:t>
      </w:r>
      <w:r w:rsidR="00293C3B" w:rsidRPr="00987298">
        <w:rPr>
          <w:sz w:val="22"/>
        </w:rPr>
        <w:t>,</w:t>
      </w:r>
      <w:r w:rsidR="006677BD" w:rsidRPr="00987298">
        <w:rPr>
          <w:sz w:val="22"/>
        </w:rPr>
        <w:t xml:space="preserve"> only, in conducting their resource estimation activities.</w:t>
      </w:r>
    </w:p>
    <w:p w14:paraId="65037B37" w14:textId="77777777" w:rsidR="004241DA" w:rsidRPr="00987298" w:rsidRDefault="006677BD" w:rsidP="002A3843">
      <w:pPr>
        <w:spacing w:before="240" w:beforeAutospacing="0" w:after="0" w:afterAutospacing="0"/>
        <w:rPr>
          <w:sz w:val="22"/>
        </w:rPr>
      </w:pPr>
      <w:r w:rsidRPr="00987298">
        <w:rPr>
          <w:sz w:val="22"/>
          <w:u w:val="single"/>
        </w:rPr>
        <w:t>Form EIA-64A</w:t>
      </w:r>
    </w:p>
    <w:p w14:paraId="519AE37B" w14:textId="77777777" w:rsidR="006677BD" w:rsidRPr="00987298" w:rsidRDefault="006677BD" w:rsidP="004241DA">
      <w:pPr>
        <w:spacing w:before="120" w:beforeAutospacing="0"/>
        <w:rPr>
          <w:b/>
          <w:bCs/>
          <w:sz w:val="22"/>
        </w:rPr>
      </w:pPr>
      <w:r w:rsidRPr="00987298">
        <w:rPr>
          <w:sz w:val="22"/>
        </w:rPr>
        <w:t xml:space="preserve">The data reported on </w:t>
      </w:r>
      <w:r w:rsidR="00293C3B" w:rsidRPr="00987298">
        <w:rPr>
          <w:sz w:val="22"/>
        </w:rPr>
        <w:t>F</w:t>
      </w:r>
      <w:r w:rsidRPr="00987298">
        <w:rPr>
          <w:sz w:val="22"/>
        </w:rPr>
        <w:t>orm</w:t>
      </w:r>
      <w:r w:rsidR="00293C3B" w:rsidRPr="00987298">
        <w:rPr>
          <w:sz w:val="22"/>
        </w:rPr>
        <w:t xml:space="preserve"> EIA-64A</w:t>
      </w:r>
      <w:r w:rsidRPr="00987298">
        <w:rPr>
          <w:sz w:val="22"/>
        </w:rPr>
        <w:t xml:space="preserve"> will be protected and not disclosed to the public</w:t>
      </w:r>
      <w:r w:rsidR="00293C3B" w:rsidRPr="00987298">
        <w:rPr>
          <w:sz w:val="22"/>
        </w:rPr>
        <w:t>,</w:t>
      </w:r>
      <w:r w:rsidRPr="00987298">
        <w:rPr>
          <w:sz w:val="22"/>
        </w:rPr>
        <w:t xml:space="preserve"> to the extent that it satisfies the criteria for exemption under the Freedom of Information Act (FOIA), 5 U.S.C. §552, the DOE regulations, 10 C.F.R. §1004.11, implementing the FOIA, and the Trade Secrets Act, 18 U.S.C. §1905.</w:t>
      </w:r>
    </w:p>
    <w:p w14:paraId="3E15B675" w14:textId="77777777" w:rsidR="006677BD" w:rsidRPr="00987298" w:rsidRDefault="006677BD" w:rsidP="000922EA">
      <w:pPr>
        <w:rPr>
          <w:b/>
          <w:bCs/>
          <w:sz w:val="22"/>
        </w:rPr>
      </w:pPr>
      <w:r w:rsidRPr="00987298">
        <w:rPr>
          <w:sz w:val="22"/>
        </w:rPr>
        <w:t xml:space="preserve">The Federal Energy Administration Act requires EIA to provide company-specific data to other </w:t>
      </w:r>
      <w:r w:rsidR="00293C3B" w:rsidRPr="00987298">
        <w:rPr>
          <w:sz w:val="22"/>
        </w:rPr>
        <w:t>f</w:t>
      </w:r>
      <w:r w:rsidRPr="00987298">
        <w:rPr>
          <w:sz w:val="22"/>
        </w:rPr>
        <w:t>ederal agencies when requested for official use.</w:t>
      </w:r>
      <w:r w:rsidR="00A977D8" w:rsidRPr="00987298">
        <w:rPr>
          <w:sz w:val="22"/>
        </w:rPr>
        <w:t xml:space="preserve"> </w:t>
      </w:r>
      <w:r w:rsidRPr="00987298">
        <w:rPr>
          <w:sz w:val="22"/>
        </w:rPr>
        <w:t xml:space="preserve"> The information reported on this form may also be made available, upon request, to another component of the Department of Energy (DOE); to any Committee of Congress, the Government Accountability Office, or </w:t>
      </w:r>
      <w:r w:rsidR="00B7522F">
        <w:rPr>
          <w:sz w:val="22"/>
        </w:rPr>
        <w:t xml:space="preserve">to </w:t>
      </w:r>
      <w:r w:rsidRPr="00987298">
        <w:rPr>
          <w:sz w:val="22"/>
        </w:rPr>
        <w:t xml:space="preserve">other </w:t>
      </w:r>
      <w:r w:rsidR="00293C3B" w:rsidRPr="00987298">
        <w:rPr>
          <w:sz w:val="22"/>
        </w:rPr>
        <w:t>f</w:t>
      </w:r>
      <w:r w:rsidRPr="00987298">
        <w:rPr>
          <w:sz w:val="22"/>
        </w:rPr>
        <w:t xml:space="preserve">ederal agencies authorized by law to receive such information. </w:t>
      </w:r>
      <w:r w:rsidR="00A977D8" w:rsidRPr="00987298">
        <w:rPr>
          <w:sz w:val="22"/>
        </w:rPr>
        <w:t xml:space="preserve"> </w:t>
      </w:r>
      <w:r w:rsidRPr="00987298">
        <w:rPr>
          <w:sz w:val="22"/>
        </w:rPr>
        <w:t xml:space="preserve">A court of competent jurisdiction may obtain this information in response to an order. </w:t>
      </w:r>
      <w:r w:rsidR="00A977D8" w:rsidRPr="00987298">
        <w:rPr>
          <w:sz w:val="22"/>
        </w:rPr>
        <w:t xml:space="preserve"> </w:t>
      </w:r>
      <w:r w:rsidRPr="00987298">
        <w:rPr>
          <w:sz w:val="22"/>
        </w:rPr>
        <w:t>The information may be used for any non</w:t>
      </w:r>
      <w:r w:rsidR="00293C3B" w:rsidRPr="00987298">
        <w:rPr>
          <w:sz w:val="22"/>
        </w:rPr>
        <w:t>-</w:t>
      </w:r>
      <w:r w:rsidRPr="00987298">
        <w:rPr>
          <w:sz w:val="22"/>
        </w:rPr>
        <w:t>statistical purposes such as administrative, regulatory, law enforcement, or adjudicatory purposes.</w:t>
      </w:r>
    </w:p>
    <w:p w14:paraId="62057900" w14:textId="77777777" w:rsidR="006677BD" w:rsidRPr="00987298" w:rsidRDefault="006677BD" w:rsidP="000922EA">
      <w:pPr>
        <w:rPr>
          <w:b/>
          <w:bCs/>
          <w:sz w:val="22"/>
        </w:rPr>
      </w:pPr>
      <w:r w:rsidRPr="00987298">
        <w:rPr>
          <w:sz w:val="22"/>
        </w:rPr>
        <w:t xml:space="preserve">Disclosure limitation procedures are applied to the statistical data published from </w:t>
      </w:r>
      <w:r w:rsidR="00293C3B" w:rsidRPr="00987298">
        <w:rPr>
          <w:sz w:val="22"/>
        </w:rPr>
        <w:t xml:space="preserve">Form </w:t>
      </w:r>
      <w:r w:rsidRPr="00987298">
        <w:rPr>
          <w:sz w:val="22"/>
        </w:rPr>
        <w:t>EIA-64A survey information to ensure that the risk of disclos</w:t>
      </w:r>
      <w:r w:rsidR="00EC4E27">
        <w:rPr>
          <w:sz w:val="22"/>
        </w:rPr>
        <w:t>ing</w:t>
      </w:r>
      <w:r w:rsidRPr="00987298">
        <w:rPr>
          <w:sz w:val="22"/>
        </w:rPr>
        <w:t xml:space="preserve"> identifiable information is very small.</w:t>
      </w:r>
    </w:p>
    <w:p w14:paraId="06FFCE51" w14:textId="77777777" w:rsidR="00A977D8" w:rsidRPr="00987298" w:rsidRDefault="00EC4E27" w:rsidP="00A977D8">
      <w:pPr>
        <w:rPr>
          <w:sz w:val="22"/>
        </w:rPr>
      </w:pPr>
      <w:r>
        <w:rPr>
          <w:sz w:val="22"/>
        </w:rPr>
        <w:t>I</w:t>
      </w:r>
      <w:r w:rsidR="006677BD" w:rsidRPr="00987298">
        <w:rPr>
          <w:sz w:val="22"/>
        </w:rPr>
        <w:t xml:space="preserve">dentifiable information collected on Form EIA-64A </w:t>
      </w:r>
      <w:r w:rsidR="00CC43C5" w:rsidRPr="00987298">
        <w:rPr>
          <w:sz w:val="22"/>
        </w:rPr>
        <w:t>may</w:t>
      </w:r>
      <w:r w:rsidR="006677BD" w:rsidRPr="00987298">
        <w:rPr>
          <w:sz w:val="22"/>
        </w:rPr>
        <w:t xml:space="preserve"> be provided to United States Department of Interior offices (</w:t>
      </w:r>
      <w:r w:rsidR="00CA197F" w:rsidRPr="00987298">
        <w:rPr>
          <w:sz w:val="22"/>
        </w:rPr>
        <w:t>BOEM</w:t>
      </w:r>
      <w:r w:rsidR="00293C3B" w:rsidRPr="00987298">
        <w:rPr>
          <w:sz w:val="22"/>
        </w:rPr>
        <w:t xml:space="preserve"> </w:t>
      </w:r>
      <w:r w:rsidR="006677BD" w:rsidRPr="00987298">
        <w:rPr>
          <w:sz w:val="22"/>
        </w:rPr>
        <w:t xml:space="preserve">and </w:t>
      </w:r>
      <w:r w:rsidR="00CA197F" w:rsidRPr="00987298">
        <w:rPr>
          <w:sz w:val="22"/>
        </w:rPr>
        <w:t>USGS</w:t>
      </w:r>
      <w:r w:rsidR="006677BD" w:rsidRPr="00987298">
        <w:rPr>
          <w:sz w:val="22"/>
        </w:rPr>
        <w:t>) for statistical purposes</w:t>
      </w:r>
      <w:r w:rsidR="00293C3B" w:rsidRPr="00987298">
        <w:rPr>
          <w:sz w:val="22"/>
        </w:rPr>
        <w:t>,</w:t>
      </w:r>
      <w:r w:rsidR="006677BD" w:rsidRPr="00987298">
        <w:rPr>
          <w:sz w:val="22"/>
        </w:rPr>
        <w:t xml:space="preserve"> only, in conducting their resource estimation activities.</w:t>
      </w:r>
    </w:p>
    <w:p w14:paraId="1E9AC0AF" w14:textId="77777777" w:rsidR="00B34E57" w:rsidRPr="00A977D8" w:rsidRDefault="00B34E57" w:rsidP="008561E4">
      <w:pPr>
        <w:pStyle w:val="Heading2"/>
      </w:pPr>
      <w:bookmarkStart w:id="17" w:name="_Toc349579975"/>
      <w:r w:rsidRPr="00D810CC">
        <w:t>Justification for Sensitive Questions</w:t>
      </w:r>
      <w:bookmarkEnd w:id="17"/>
    </w:p>
    <w:p w14:paraId="31DEC973" w14:textId="77777777" w:rsidR="006677BD" w:rsidRPr="00B7522F" w:rsidRDefault="006677BD" w:rsidP="00A977D8">
      <w:pPr>
        <w:spacing w:before="120" w:beforeAutospacing="0"/>
        <w:rPr>
          <w:b/>
          <w:sz w:val="22"/>
        </w:rPr>
      </w:pPr>
      <w:r w:rsidRPr="00B7522F">
        <w:rPr>
          <w:sz w:val="22"/>
        </w:rPr>
        <w:t>There are no</w:t>
      </w:r>
      <w:r w:rsidR="00293C3B" w:rsidRPr="00B7522F">
        <w:rPr>
          <w:sz w:val="22"/>
        </w:rPr>
        <w:t>t any</w:t>
      </w:r>
      <w:r w:rsidRPr="00B7522F">
        <w:rPr>
          <w:sz w:val="22"/>
        </w:rPr>
        <w:t xml:space="preserve"> questions of a sensitive nature</w:t>
      </w:r>
      <w:r w:rsidR="00293C3B" w:rsidRPr="00B7522F">
        <w:rPr>
          <w:sz w:val="22"/>
        </w:rPr>
        <w:t xml:space="preserve"> </w:t>
      </w:r>
      <w:r w:rsidR="00134856" w:rsidRPr="00B7522F">
        <w:rPr>
          <w:sz w:val="22"/>
        </w:rPr>
        <w:t>in the OGRS data collections</w:t>
      </w:r>
      <w:r w:rsidRPr="00B7522F">
        <w:rPr>
          <w:sz w:val="22"/>
        </w:rPr>
        <w:t>.</w:t>
      </w:r>
    </w:p>
    <w:p w14:paraId="4AE30C61" w14:textId="77777777" w:rsidR="00B34E57" w:rsidRPr="00D810CC" w:rsidRDefault="00B34E57" w:rsidP="008561E4">
      <w:pPr>
        <w:pStyle w:val="Heading2"/>
      </w:pPr>
      <w:bookmarkStart w:id="18" w:name="_Toc349579976"/>
      <w:r w:rsidRPr="00D810CC">
        <w:lastRenderedPageBreak/>
        <w:t>Reporting Burden Estimates</w:t>
      </w:r>
      <w:bookmarkEnd w:id="18"/>
    </w:p>
    <w:p w14:paraId="035EC9A5" w14:textId="77777777" w:rsidR="00D520C0" w:rsidRPr="00D041E5" w:rsidRDefault="00D520C0" w:rsidP="00B7522F">
      <w:pPr>
        <w:spacing w:before="120" w:beforeAutospacing="0"/>
        <w:rPr>
          <w:sz w:val="22"/>
        </w:rPr>
      </w:pPr>
      <w:r w:rsidRPr="00D041E5">
        <w:rPr>
          <w:sz w:val="22"/>
        </w:rPr>
        <w:t xml:space="preserve">Based on preliminary cognitive research with survey respondents, EIA expects the reporting burden to slightly decrease based on the proposed change to report reserves information at the county level. </w:t>
      </w:r>
    </w:p>
    <w:p w14:paraId="666A81B3" w14:textId="432F71D0" w:rsidR="00B903BC" w:rsidRPr="00D041E5" w:rsidRDefault="004257B4" w:rsidP="00B7522F">
      <w:pPr>
        <w:spacing w:before="120" w:beforeAutospacing="0"/>
        <w:rPr>
          <w:sz w:val="22"/>
        </w:rPr>
      </w:pPr>
      <w:r w:rsidRPr="00D041E5">
        <w:rPr>
          <w:sz w:val="22"/>
        </w:rPr>
        <w:t>The overall annual burden for th</w:t>
      </w:r>
      <w:r w:rsidR="00134856" w:rsidRPr="00D041E5">
        <w:rPr>
          <w:sz w:val="22"/>
        </w:rPr>
        <w:t>e OGRS data collections</w:t>
      </w:r>
      <w:r w:rsidRPr="00D041E5">
        <w:rPr>
          <w:sz w:val="22"/>
        </w:rPr>
        <w:t xml:space="preserve"> is estimated to be </w:t>
      </w:r>
      <w:r w:rsidR="00791356" w:rsidRPr="00D041E5">
        <w:rPr>
          <w:sz w:val="22"/>
        </w:rPr>
        <w:t>32</w:t>
      </w:r>
      <w:r w:rsidR="00384CDF" w:rsidRPr="00D041E5">
        <w:rPr>
          <w:sz w:val="22"/>
        </w:rPr>
        <w:t>,</w:t>
      </w:r>
      <w:r w:rsidR="00791356" w:rsidRPr="00D041E5">
        <w:rPr>
          <w:sz w:val="22"/>
        </w:rPr>
        <w:t>8</w:t>
      </w:r>
      <w:r w:rsidR="00384CDF" w:rsidRPr="00D041E5">
        <w:rPr>
          <w:sz w:val="22"/>
        </w:rPr>
        <w:t>50</w:t>
      </w:r>
      <w:r w:rsidR="00A33E4E" w:rsidRPr="00D041E5">
        <w:rPr>
          <w:sz w:val="22"/>
        </w:rPr>
        <w:t xml:space="preserve"> </w:t>
      </w:r>
      <w:r w:rsidRPr="00D041E5">
        <w:rPr>
          <w:sz w:val="22"/>
        </w:rPr>
        <w:t>hours.</w:t>
      </w:r>
      <w:r w:rsidR="00B7522F" w:rsidRPr="00D041E5">
        <w:rPr>
          <w:sz w:val="22"/>
        </w:rPr>
        <w:t xml:space="preserve"> </w:t>
      </w:r>
      <w:r w:rsidR="00572F25" w:rsidRPr="00D041E5">
        <w:rPr>
          <w:sz w:val="22"/>
        </w:rPr>
        <w:t xml:space="preserve"> This total is </w:t>
      </w:r>
      <w:r w:rsidR="00C109A9" w:rsidRPr="00D041E5">
        <w:rPr>
          <w:sz w:val="22"/>
        </w:rPr>
        <w:t xml:space="preserve">a combined total for Form EIA-23L and Form EIA-64A </w:t>
      </w:r>
      <w:r w:rsidR="00572F25" w:rsidRPr="00D041E5">
        <w:rPr>
          <w:sz w:val="22"/>
        </w:rPr>
        <w:t xml:space="preserve">based on the per response burden hours </w:t>
      </w:r>
      <w:r w:rsidR="00C109A9" w:rsidRPr="00D041E5">
        <w:rPr>
          <w:sz w:val="22"/>
        </w:rPr>
        <w:t>shown in the two tables</w:t>
      </w:r>
      <w:r w:rsidR="0053615E" w:rsidRPr="00D041E5">
        <w:rPr>
          <w:sz w:val="22"/>
        </w:rPr>
        <w:t xml:space="preserve"> below</w:t>
      </w:r>
      <w:r w:rsidR="00B33514" w:rsidRPr="00D041E5">
        <w:rPr>
          <w:sz w:val="22"/>
        </w:rPr>
        <w:t xml:space="preserve">. </w:t>
      </w:r>
      <w:r w:rsidR="00572F25" w:rsidRPr="00D041E5">
        <w:rPr>
          <w:sz w:val="22"/>
        </w:rPr>
        <w:t xml:space="preserve"> </w:t>
      </w:r>
      <w:r w:rsidR="00B33514" w:rsidRPr="00D041E5">
        <w:rPr>
          <w:sz w:val="22"/>
        </w:rPr>
        <w:t>For the EIA-23L that is</w:t>
      </w:r>
      <w:r w:rsidR="00572F25" w:rsidRPr="00D041E5">
        <w:rPr>
          <w:sz w:val="22"/>
        </w:rPr>
        <w:t xml:space="preserve"> </w:t>
      </w:r>
      <w:r w:rsidR="00384CDF" w:rsidRPr="00D041E5">
        <w:rPr>
          <w:sz w:val="22"/>
        </w:rPr>
        <w:t>97</w:t>
      </w:r>
      <w:r w:rsidR="00D1623E" w:rsidRPr="00D041E5">
        <w:rPr>
          <w:sz w:val="22"/>
        </w:rPr>
        <w:t xml:space="preserve"> </w:t>
      </w:r>
      <w:r w:rsidR="00572F25" w:rsidRPr="00D041E5">
        <w:rPr>
          <w:sz w:val="22"/>
        </w:rPr>
        <w:t xml:space="preserve">hours per response for the largest </w:t>
      </w:r>
      <w:r w:rsidR="0093371F" w:rsidRPr="00D041E5">
        <w:rPr>
          <w:sz w:val="22"/>
        </w:rPr>
        <w:t>producers by volume (an estimated 160 respondents)</w:t>
      </w:r>
      <w:r w:rsidR="00572F25" w:rsidRPr="00D041E5">
        <w:rPr>
          <w:sz w:val="22"/>
        </w:rPr>
        <w:t xml:space="preserve">, and </w:t>
      </w:r>
      <w:r w:rsidR="00384CDF" w:rsidRPr="00D041E5">
        <w:rPr>
          <w:sz w:val="22"/>
        </w:rPr>
        <w:t xml:space="preserve">36 </w:t>
      </w:r>
      <w:r w:rsidR="00572F25" w:rsidRPr="00D041E5">
        <w:rPr>
          <w:sz w:val="22"/>
        </w:rPr>
        <w:t>hours per response for mid-sized producers</w:t>
      </w:r>
      <w:r w:rsidR="0093371F" w:rsidRPr="00D041E5">
        <w:rPr>
          <w:sz w:val="22"/>
        </w:rPr>
        <w:t xml:space="preserve"> (an estimated </w:t>
      </w:r>
      <w:r w:rsidR="00680FA6" w:rsidRPr="00D041E5">
        <w:rPr>
          <w:sz w:val="22"/>
        </w:rPr>
        <w:t>3</w:t>
      </w:r>
      <w:r w:rsidR="0093371F" w:rsidRPr="00D041E5">
        <w:rPr>
          <w:sz w:val="22"/>
        </w:rPr>
        <w:t>20 respondents)</w:t>
      </w:r>
      <w:r w:rsidR="00572F25" w:rsidRPr="00D041E5">
        <w:rPr>
          <w:sz w:val="22"/>
        </w:rPr>
        <w:t>.  The burden estimate for small producers</w:t>
      </w:r>
      <w:r w:rsidR="0093371F" w:rsidRPr="00D041E5">
        <w:rPr>
          <w:sz w:val="22"/>
        </w:rPr>
        <w:t xml:space="preserve"> (an estimated </w:t>
      </w:r>
      <w:r w:rsidR="00680FA6" w:rsidRPr="00D041E5">
        <w:rPr>
          <w:sz w:val="22"/>
        </w:rPr>
        <w:t>1</w:t>
      </w:r>
      <w:r w:rsidR="0093371F" w:rsidRPr="00D041E5">
        <w:rPr>
          <w:sz w:val="22"/>
        </w:rPr>
        <w:t>70 respondents)</w:t>
      </w:r>
      <w:r w:rsidR="00572F25" w:rsidRPr="00D041E5">
        <w:rPr>
          <w:sz w:val="22"/>
        </w:rPr>
        <w:t xml:space="preserve"> i</w:t>
      </w:r>
      <w:r w:rsidR="0093371F" w:rsidRPr="00D041E5">
        <w:rPr>
          <w:sz w:val="22"/>
        </w:rPr>
        <w:t>s</w:t>
      </w:r>
      <w:r w:rsidR="00572F25" w:rsidRPr="00D041E5">
        <w:rPr>
          <w:sz w:val="22"/>
        </w:rPr>
        <w:t xml:space="preserve"> </w:t>
      </w:r>
      <w:r w:rsidR="00384CDF" w:rsidRPr="00D041E5">
        <w:rPr>
          <w:sz w:val="22"/>
        </w:rPr>
        <w:t xml:space="preserve">13 </w:t>
      </w:r>
      <w:r w:rsidR="00572F25" w:rsidRPr="00D041E5">
        <w:rPr>
          <w:sz w:val="22"/>
        </w:rPr>
        <w:t xml:space="preserve">hours per response.  This estimate was based on the profile of small producers and the average number of fields to be reported per response, which, at </w:t>
      </w:r>
      <w:r w:rsidR="00384CDF" w:rsidRPr="00D041E5">
        <w:rPr>
          <w:sz w:val="22"/>
        </w:rPr>
        <w:t xml:space="preserve">13 </w:t>
      </w:r>
      <w:r w:rsidR="00572F25" w:rsidRPr="00D041E5">
        <w:rPr>
          <w:sz w:val="22"/>
        </w:rPr>
        <w:t>hours per response</w:t>
      </w:r>
      <w:r w:rsidR="00B7522F" w:rsidRPr="00D041E5">
        <w:rPr>
          <w:sz w:val="22"/>
        </w:rPr>
        <w:t>,</w:t>
      </w:r>
      <w:r w:rsidR="00572F25" w:rsidRPr="00D041E5">
        <w:rPr>
          <w:sz w:val="22"/>
        </w:rPr>
        <w:t xml:space="preserve"> is less than half the </w:t>
      </w:r>
      <w:r w:rsidR="00384CDF" w:rsidRPr="00D041E5">
        <w:rPr>
          <w:sz w:val="22"/>
        </w:rPr>
        <w:t xml:space="preserve">36 </w:t>
      </w:r>
      <w:r w:rsidR="00572F25" w:rsidRPr="00D041E5">
        <w:rPr>
          <w:sz w:val="22"/>
        </w:rPr>
        <w:t>hours of burden per response from each mid-sized producer.</w:t>
      </w:r>
      <w:r w:rsidR="00B33514" w:rsidRPr="00D041E5">
        <w:rPr>
          <w:sz w:val="22"/>
        </w:rPr>
        <w:t xml:space="preserve">  </w:t>
      </w:r>
    </w:p>
    <w:p w14:paraId="79F8111B" w14:textId="798A8262" w:rsidR="00C109A9" w:rsidRPr="00D041E5" w:rsidRDefault="00C109A9" w:rsidP="00C109A9">
      <w:pPr>
        <w:rPr>
          <w:rFonts w:eastAsiaTheme="minorHAnsi"/>
          <w:sz w:val="22"/>
        </w:rPr>
      </w:pPr>
      <w:r w:rsidRPr="00D041E5">
        <w:rPr>
          <w:sz w:val="22"/>
        </w:rPr>
        <w:t>EIA conducted nine interviews with current EIA-23L respondents during October 25-30, 2015. Companies that participated in the interviews were selected based on</w:t>
      </w:r>
      <w:r w:rsidR="00A40303" w:rsidRPr="00D041E5">
        <w:rPr>
          <w:sz w:val="22"/>
        </w:rPr>
        <w:t xml:space="preserve"> the</w:t>
      </w:r>
      <w:r w:rsidRPr="00D041E5">
        <w:rPr>
          <w:sz w:val="22"/>
        </w:rPr>
        <w:t xml:space="preserve"> </w:t>
      </w:r>
      <w:r w:rsidR="00A40303" w:rsidRPr="00D041E5">
        <w:rPr>
          <w:sz w:val="22"/>
        </w:rPr>
        <w:t xml:space="preserve">volumetric </w:t>
      </w:r>
      <w:r w:rsidRPr="00D041E5">
        <w:rPr>
          <w:sz w:val="22"/>
        </w:rPr>
        <w:t xml:space="preserve">size of their </w:t>
      </w:r>
      <w:r w:rsidR="00A40303" w:rsidRPr="00D041E5">
        <w:rPr>
          <w:sz w:val="22"/>
        </w:rPr>
        <w:t xml:space="preserve">production </w:t>
      </w:r>
      <w:r w:rsidRPr="00D041E5">
        <w:rPr>
          <w:sz w:val="22"/>
        </w:rPr>
        <w:t>operation</w:t>
      </w:r>
      <w:r w:rsidR="00A40303" w:rsidRPr="00D041E5">
        <w:rPr>
          <w:sz w:val="22"/>
        </w:rPr>
        <w:t>s</w:t>
      </w:r>
      <w:r w:rsidRPr="00D041E5">
        <w:rPr>
          <w:sz w:val="22"/>
        </w:rPr>
        <w:t>. Three companies were selected from three categories: large size companies defined as annual production greater than 1.5 million barrels of crude oil, or 15 billion cubic feet of natural gas; medium size companies defined as annual production between 400 thousand barrels of oil, or 2 billion cubic feet of natural gas, and 1.5 million barrels of crude oil, or 15 billion cubic feet of natural gas; and small size companies defined as annual production less than 400 thousand barrels of crude oil,</w:t>
      </w:r>
      <w:r w:rsidR="00A40303" w:rsidRPr="00D041E5">
        <w:rPr>
          <w:sz w:val="22"/>
        </w:rPr>
        <w:t xml:space="preserve"> </w:t>
      </w:r>
      <w:r w:rsidRPr="00D041E5">
        <w:rPr>
          <w:sz w:val="22"/>
        </w:rPr>
        <w:t xml:space="preserve">or 2 billion cubic feet of natural gas. </w:t>
      </w:r>
    </w:p>
    <w:p w14:paraId="3CB5247B" w14:textId="32100F7E" w:rsidR="00C109A9" w:rsidRPr="00D041E5" w:rsidRDefault="00C109A9" w:rsidP="00C109A9">
      <w:pPr>
        <w:rPr>
          <w:rFonts w:ascii="Calibri" w:eastAsiaTheme="minorHAnsi" w:hAnsi="Calibri"/>
          <w:color w:val="1F497D"/>
          <w:sz w:val="22"/>
        </w:rPr>
      </w:pPr>
      <w:r w:rsidRPr="00D041E5">
        <w:rPr>
          <w:sz w:val="22"/>
        </w:rPr>
        <w:t>Overall the interviews showed that there was a wide varia</w:t>
      </w:r>
      <w:r w:rsidR="004800AF" w:rsidRPr="00D041E5">
        <w:rPr>
          <w:sz w:val="22"/>
        </w:rPr>
        <w:t>tion</w:t>
      </w:r>
      <w:r w:rsidRPr="00D041E5">
        <w:rPr>
          <w:sz w:val="22"/>
        </w:rPr>
        <w:t xml:space="preserve"> in the reporting burden based on the size of the company. Respondents also indicated that reporting data at the county level, instead of field level,</w:t>
      </w:r>
      <w:r w:rsidR="004800AF" w:rsidRPr="00D041E5">
        <w:rPr>
          <w:sz w:val="22"/>
        </w:rPr>
        <w:t xml:space="preserve"> </w:t>
      </w:r>
      <w:r w:rsidRPr="00D041E5">
        <w:rPr>
          <w:sz w:val="22"/>
        </w:rPr>
        <w:t>would decrease the re</w:t>
      </w:r>
      <w:r w:rsidR="004800AF" w:rsidRPr="00D041E5">
        <w:rPr>
          <w:sz w:val="22"/>
        </w:rPr>
        <w:t>porting</w:t>
      </w:r>
      <w:r w:rsidRPr="00D041E5">
        <w:rPr>
          <w:sz w:val="22"/>
        </w:rPr>
        <w:t xml:space="preserve"> burden associated with the EIA-23L survey.  The interviews also showed that much of the response burden was attributed to the Reserve Information Gathering System (RIGS) online tool used by respondents to fill out the survey. </w:t>
      </w:r>
      <w:r w:rsidR="00A40303" w:rsidRPr="00D041E5">
        <w:rPr>
          <w:sz w:val="22"/>
        </w:rPr>
        <w:t xml:space="preserve">Based on this research, EIA </w:t>
      </w:r>
      <w:r w:rsidR="00555FDE" w:rsidRPr="00D041E5">
        <w:rPr>
          <w:sz w:val="22"/>
        </w:rPr>
        <w:t>decreased</w:t>
      </w:r>
      <w:r w:rsidR="00A40303" w:rsidRPr="00D041E5">
        <w:rPr>
          <w:sz w:val="22"/>
        </w:rPr>
        <w:t xml:space="preserve"> the reporting burden by large size companies from the </w:t>
      </w:r>
      <w:r w:rsidR="00555FDE" w:rsidRPr="00D041E5">
        <w:rPr>
          <w:sz w:val="22"/>
        </w:rPr>
        <w:t>old</w:t>
      </w:r>
      <w:r w:rsidR="00A40303" w:rsidRPr="00D041E5">
        <w:rPr>
          <w:sz w:val="22"/>
        </w:rPr>
        <w:t xml:space="preserve"> estimate of </w:t>
      </w:r>
      <w:r w:rsidR="00555FDE" w:rsidRPr="00D041E5">
        <w:rPr>
          <w:sz w:val="22"/>
        </w:rPr>
        <w:t>120</w:t>
      </w:r>
      <w:r w:rsidR="00A40303" w:rsidRPr="00D041E5">
        <w:rPr>
          <w:sz w:val="22"/>
        </w:rPr>
        <w:t xml:space="preserve"> hours to 97 hours, decreased the reporting burden for medium size companies from </w:t>
      </w:r>
      <w:r w:rsidR="00555FDE" w:rsidRPr="00D041E5">
        <w:rPr>
          <w:sz w:val="22"/>
        </w:rPr>
        <w:t xml:space="preserve">40 </w:t>
      </w:r>
      <w:r w:rsidR="00A40303" w:rsidRPr="00D041E5">
        <w:rPr>
          <w:sz w:val="22"/>
        </w:rPr>
        <w:t xml:space="preserve">to 36 hours, and </w:t>
      </w:r>
      <w:r w:rsidR="00555FDE" w:rsidRPr="00D041E5">
        <w:rPr>
          <w:sz w:val="22"/>
        </w:rPr>
        <w:t xml:space="preserve">decreased </w:t>
      </w:r>
      <w:r w:rsidR="00A40303" w:rsidRPr="00D041E5">
        <w:rPr>
          <w:sz w:val="22"/>
        </w:rPr>
        <w:t xml:space="preserve">the </w:t>
      </w:r>
      <w:r w:rsidR="00555FDE" w:rsidRPr="00D041E5">
        <w:rPr>
          <w:sz w:val="22"/>
        </w:rPr>
        <w:t>old</w:t>
      </w:r>
      <w:r w:rsidR="00A40303" w:rsidRPr="00D041E5">
        <w:rPr>
          <w:sz w:val="22"/>
        </w:rPr>
        <w:t xml:space="preserve"> reporting burden for small size companies </w:t>
      </w:r>
      <w:r w:rsidR="00555FDE" w:rsidRPr="00D041E5">
        <w:rPr>
          <w:sz w:val="22"/>
        </w:rPr>
        <w:t xml:space="preserve">from 15 to </w:t>
      </w:r>
      <w:r w:rsidR="00A40303" w:rsidRPr="00D041E5">
        <w:rPr>
          <w:sz w:val="22"/>
        </w:rPr>
        <w:t>13 hours.</w:t>
      </w:r>
      <w:r w:rsidR="00555FDE" w:rsidRPr="00D041E5">
        <w:rPr>
          <w:sz w:val="22"/>
        </w:rPr>
        <w:t xml:space="preserve"> See Section A.15 for a listing of the old burden estimates.</w:t>
      </w:r>
      <w:r w:rsidR="00A40303" w:rsidRPr="00D041E5">
        <w:rPr>
          <w:sz w:val="22"/>
        </w:rPr>
        <w:t xml:space="preserve">  The average reporting burden of 45 hours shown in the table below is a weighted average of </w:t>
      </w:r>
      <w:r w:rsidR="004800AF" w:rsidRPr="00D041E5">
        <w:rPr>
          <w:sz w:val="22"/>
        </w:rPr>
        <w:t xml:space="preserve">the reporting burden associated with </w:t>
      </w:r>
      <w:r w:rsidR="00A40303" w:rsidRPr="00D041E5">
        <w:rPr>
          <w:sz w:val="22"/>
        </w:rPr>
        <w:t>these three size categories.</w:t>
      </w:r>
    </w:p>
    <w:tbl>
      <w:tblPr>
        <w:tblW w:w="0" w:type="auto"/>
        <w:tblCellMar>
          <w:left w:w="0" w:type="dxa"/>
          <w:right w:w="0" w:type="dxa"/>
        </w:tblCellMar>
        <w:tblLook w:val="04A0" w:firstRow="1" w:lastRow="0" w:firstColumn="1" w:lastColumn="0" w:noHBand="0" w:noVBand="1"/>
      </w:tblPr>
      <w:tblGrid>
        <w:gridCol w:w="2387"/>
        <w:gridCol w:w="2436"/>
        <w:gridCol w:w="2403"/>
        <w:gridCol w:w="2114"/>
      </w:tblGrid>
      <w:tr w:rsidR="00C109A9" w:rsidRPr="00D041E5" w14:paraId="61232D23" w14:textId="77777777" w:rsidTr="00C109A9">
        <w:tc>
          <w:tcPr>
            <w:tcW w:w="2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44CE17" w14:textId="77777777" w:rsidR="00C109A9" w:rsidRPr="00D041E5" w:rsidRDefault="00C109A9">
            <w:pPr>
              <w:rPr>
                <w:sz w:val="22"/>
              </w:rPr>
            </w:pPr>
            <w:r w:rsidRPr="00D041E5">
              <w:rPr>
                <w:sz w:val="22"/>
              </w:rPr>
              <w:t>Operator Size</w:t>
            </w:r>
          </w:p>
        </w:tc>
        <w:tc>
          <w:tcPr>
            <w:tcW w:w="2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A324AA" w14:textId="77777777" w:rsidR="00C109A9" w:rsidRPr="00D041E5" w:rsidRDefault="00C109A9">
            <w:pPr>
              <w:rPr>
                <w:sz w:val="22"/>
              </w:rPr>
            </w:pPr>
            <w:r w:rsidRPr="00D041E5">
              <w:rPr>
                <w:sz w:val="22"/>
              </w:rPr>
              <w:t>Number of Responses</w:t>
            </w:r>
          </w:p>
        </w:tc>
        <w:tc>
          <w:tcPr>
            <w:tcW w:w="24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28592" w14:textId="77777777" w:rsidR="00C109A9" w:rsidRPr="00D041E5" w:rsidRDefault="00C109A9">
            <w:pPr>
              <w:rPr>
                <w:sz w:val="22"/>
              </w:rPr>
            </w:pPr>
            <w:r w:rsidRPr="00D041E5">
              <w:rPr>
                <w:sz w:val="22"/>
              </w:rPr>
              <w:t>Hours per Response</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8AF69A" w14:textId="77777777" w:rsidR="00C109A9" w:rsidRPr="00D041E5" w:rsidRDefault="00C109A9">
            <w:pPr>
              <w:rPr>
                <w:sz w:val="22"/>
              </w:rPr>
            </w:pPr>
            <w:r w:rsidRPr="00D041E5">
              <w:rPr>
                <w:sz w:val="22"/>
              </w:rPr>
              <w:t>Burden hours</w:t>
            </w:r>
          </w:p>
        </w:tc>
      </w:tr>
      <w:tr w:rsidR="00C109A9" w:rsidRPr="00D041E5" w14:paraId="16F0B54D" w14:textId="77777777" w:rsidTr="00C109A9">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78497" w14:textId="77777777" w:rsidR="00C109A9" w:rsidRPr="00D041E5" w:rsidRDefault="00C109A9">
            <w:pPr>
              <w:rPr>
                <w:sz w:val="22"/>
              </w:rPr>
            </w:pPr>
            <w:r w:rsidRPr="00D041E5">
              <w:rPr>
                <w:sz w:val="22"/>
              </w:rPr>
              <w:t>Large</w:t>
            </w:r>
          </w:p>
        </w:tc>
        <w:tc>
          <w:tcPr>
            <w:tcW w:w="2436" w:type="dxa"/>
            <w:tcBorders>
              <w:top w:val="nil"/>
              <w:left w:val="nil"/>
              <w:bottom w:val="single" w:sz="8" w:space="0" w:color="auto"/>
              <w:right w:val="single" w:sz="8" w:space="0" w:color="auto"/>
            </w:tcBorders>
            <w:tcMar>
              <w:top w:w="0" w:type="dxa"/>
              <w:left w:w="108" w:type="dxa"/>
              <w:bottom w:w="0" w:type="dxa"/>
              <w:right w:w="108" w:type="dxa"/>
            </w:tcMar>
            <w:hideMark/>
          </w:tcPr>
          <w:p w14:paraId="72F64568" w14:textId="77777777" w:rsidR="00C109A9" w:rsidRPr="00D041E5" w:rsidRDefault="00C109A9">
            <w:pPr>
              <w:rPr>
                <w:sz w:val="22"/>
              </w:rPr>
            </w:pPr>
            <w:r w:rsidRPr="00D041E5">
              <w:rPr>
                <w:sz w:val="22"/>
              </w:rPr>
              <w:t>160</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6CD19B98" w14:textId="77777777" w:rsidR="00C109A9" w:rsidRPr="00D041E5" w:rsidRDefault="00C109A9">
            <w:pPr>
              <w:rPr>
                <w:sz w:val="22"/>
              </w:rPr>
            </w:pPr>
            <w:r w:rsidRPr="00D041E5">
              <w:rPr>
                <w:sz w:val="22"/>
              </w:rPr>
              <w:t>97</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404AF6F4" w14:textId="77777777" w:rsidR="00C109A9" w:rsidRPr="00D041E5" w:rsidRDefault="00C109A9">
            <w:pPr>
              <w:rPr>
                <w:sz w:val="22"/>
              </w:rPr>
            </w:pPr>
            <w:r w:rsidRPr="00D041E5">
              <w:rPr>
                <w:sz w:val="22"/>
              </w:rPr>
              <w:t>15,520</w:t>
            </w:r>
          </w:p>
        </w:tc>
      </w:tr>
      <w:tr w:rsidR="00C109A9" w:rsidRPr="00D041E5" w14:paraId="05D6FAD5" w14:textId="77777777" w:rsidTr="00C109A9">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80977" w14:textId="77777777" w:rsidR="00C109A9" w:rsidRPr="00D041E5" w:rsidRDefault="00C109A9">
            <w:pPr>
              <w:rPr>
                <w:sz w:val="22"/>
              </w:rPr>
            </w:pPr>
            <w:r w:rsidRPr="00D041E5">
              <w:rPr>
                <w:sz w:val="22"/>
              </w:rPr>
              <w:t>Midsize</w:t>
            </w:r>
          </w:p>
        </w:tc>
        <w:tc>
          <w:tcPr>
            <w:tcW w:w="2436" w:type="dxa"/>
            <w:tcBorders>
              <w:top w:val="nil"/>
              <w:left w:val="nil"/>
              <w:bottom w:val="single" w:sz="8" w:space="0" w:color="auto"/>
              <w:right w:val="single" w:sz="8" w:space="0" w:color="auto"/>
            </w:tcBorders>
            <w:tcMar>
              <w:top w:w="0" w:type="dxa"/>
              <w:left w:w="108" w:type="dxa"/>
              <w:bottom w:w="0" w:type="dxa"/>
              <w:right w:w="108" w:type="dxa"/>
            </w:tcMar>
            <w:hideMark/>
          </w:tcPr>
          <w:p w14:paraId="513FE070" w14:textId="77777777" w:rsidR="00C109A9" w:rsidRPr="00D041E5" w:rsidRDefault="00C109A9">
            <w:pPr>
              <w:rPr>
                <w:sz w:val="22"/>
              </w:rPr>
            </w:pPr>
            <w:r w:rsidRPr="00D041E5">
              <w:rPr>
                <w:sz w:val="22"/>
              </w:rPr>
              <w:t>320</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1A920A19" w14:textId="77777777" w:rsidR="00C109A9" w:rsidRPr="00D041E5" w:rsidRDefault="00C109A9">
            <w:pPr>
              <w:rPr>
                <w:sz w:val="22"/>
              </w:rPr>
            </w:pPr>
            <w:r w:rsidRPr="00D041E5">
              <w:rPr>
                <w:sz w:val="22"/>
              </w:rPr>
              <w:t>36</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6F9A19A6" w14:textId="77777777" w:rsidR="00C109A9" w:rsidRPr="00D041E5" w:rsidRDefault="00C109A9">
            <w:pPr>
              <w:rPr>
                <w:sz w:val="22"/>
              </w:rPr>
            </w:pPr>
            <w:r w:rsidRPr="00D041E5">
              <w:rPr>
                <w:sz w:val="22"/>
              </w:rPr>
              <w:t>11,520</w:t>
            </w:r>
          </w:p>
        </w:tc>
      </w:tr>
      <w:tr w:rsidR="00C109A9" w:rsidRPr="00D041E5" w14:paraId="23A2F374" w14:textId="77777777" w:rsidTr="00C109A9">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164DE" w14:textId="77777777" w:rsidR="00C109A9" w:rsidRPr="00D041E5" w:rsidRDefault="00C109A9">
            <w:pPr>
              <w:rPr>
                <w:sz w:val="22"/>
              </w:rPr>
            </w:pPr>
            <w:r w:rsidRPr="00D041E5">
              <w:rPr>
                <w:sz w:val="22"/>
              </w:rPr>
              <w:t>Small</w:t>
            </w:r>
          </w:p>
        </w:tc>
        <w:tc>
          <w:tcPr>
            <w:tcW w:w="2436" w:type="dxa"/>
            <w:tcBorders>
              <w:top w:val="nil"/>
              <w:left w:val="nil"/>
              <w:bottom w:val="single" w:sz="8" w:space="0" w:color="auto"/>
              <w:right w:val="single" w:sz="8" w:space="0" w:color="auto"/>
            </w:tcBorders>
            <w:tcMar>
              <w:top w:w="0" w:type="dxa"/>
              <w:left w:w="108" w:type="dxa"/>
              <w:bottom w:w="0" w:type="dxa"/>
              <w:right w:w="108" w:type="dxa"/>
            </w:tcMar>
            <w:hideMark/>
          </w:tcPr>
          <w:p w14:paraId="6A6767EC" w14:textId="77777777" w:rsidR="00C109A9" w:rsidRPr="00D041E5" w:rsidRDefault="00C109A9">
            <w:pPr>
              <w:rPr>
                <w:sz w:val="22"/>
              </w:rPr>
            </w:pPr>
            <w:r w:rsidRPr="00D041E5">
              <w:rPr>
                <w:sz w:val="22"/>
              </w:rPr>
              <w:t>170</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1C0AA952" w14:textId="77777777" w:rsidR="00C109A9" w:rsidRPr="00D041E5" w:rsidRDefault="00C109A9">
            <w:pPr>
              <w:rPr>
                <w:sz w:val="22"/>
              </w:rPr>
            </w:pPr>
            <w:r w:rsidRPr="00D041E5">
              <w:rPr>
                <w:sz w:val="22"/>
              </w:rPr>
              <w:t>13</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600E676F" w14:textId="77777777" w:rsidR="00C109A9" w:rsidRPr="00D041E5" w:rsidRDefault="00C109A9">
            <w:pPr>
              <w:rPr>
                <w:sz w:val="22"/>
              </w:rPr>
            </w:pPr>
            <w:r w:rsidRPr="00D041E5">
              <w:rPr>
                <w:sz w:val="22"/>
              </w:rPr>
              <w:t>2,210</w:t>
            </w:r>
          </w:p>
        </w:tc>
      </w:tr>
      <w:tr w:rsidR="00C109A9" w:rsidRPr="00D041E5" w14:paraId="26FDAB8C" w14:textId="77777777" w:rsidTr="00C109A9">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272B8" w14:textId="77777777" w:rsidR="00C109A9" w:rsidRPr="00D041E5" w:rsidRDefault="00C109A9">
            <w:pPr>
              <w:rPr>
                <w:sz w:val="22"/>
              </w:rPr>
            </w:pPr>
            <w:r w:rsidRPr="00D041E5">
              <w:rPr>
                <w:sz w:val="22"/>
              </w:rPr>
              <w:t>Subtotal</w:t>
            </w:r>
          </w:p>
        </w:tc>
        <w:tc>
          <w:tcPr>
            <w:tcW w:w="2436" w:type="dxa"/>
            <w:tcBorders>
              <w:top w:val="nil"/>
              <w:left w:val="nil"/>
              <w:bottom w:val="single" w:sz="8" w:space="0" w:color="auto"/>
              <w:right w:val="single" w:sz="8" w:space="0" w:color="auto"/>
            </w:tcBorders>
            <w:tcMar>
              <w:top w:w="0" w:type="dxa"/>
              <w:left w:w="108" w:type="dxa"/>
              <w:bottom w:w="0" w:type="dxa"/>
              <w:right w:w="108" w:type="dxa"/>
            </w:tcMar>
            <w:hideMark/>
          </w:tcPr>
          <w:p w14:paraId="04D7E4EC" w14:textId="77777777" w:rsidR="00C109A9" w:rsidRPr="00D041E5" w:rsidRDefault="00C109A9">
            <w:pPr>
              <w:rPr>
                <w:sz w:val="22"/>
              </w:rPr>
            </w:pPr>
            <w:r w:rsidRPr="00D041E5">
              <w:rPr>
                <w:sz w:val="22"/>
              </w:rPr>
              <w:t>650</w:t>
            </w:r>
          </w:p>
        </w:tc>
        <w:tc>
          <w:tcPr>
            <w:tcW w:w="2403" w:type="dxa"/>
            <w:tcBorders>
              <w:top w:val="nil"/>
              <w:left w:val="nil"/>
              <w:bottom w:val="single" w:sz="8" w:space="0" w:color="auto"/>
              <w:right w:val="single" w:sz="8" w:space="0" w:color="auto"/>
            </w:tcBorders>
            <w:tcMar>
              <w:top w:w="0" w:type="dxa"/>
              <w:left w:w="108" w:type="dxa"/>
              <w:bottom w:w="0" w:type="dxa"/>
              <w:right w:w="108" w:type="dxa"/>
            </w:tcMar>
          </w:tcPr>
          <w:p w14:paraId="6975F0AC" w14:textId="77777777" w:rsidR="00C109A9" w:rsidRPr="00D041E5" w:rsidRDefault="00C109A9">
            <w:pPr>
              <w:rPr>
                <w:sz w:val="22"/>
              </w:rPr>
            </w:pP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6C9EE680" w14:textId="77777777" w:rsidR="00C109A9" w:rsidRPr="00D041E5" w:rsidRDefault="00C109A9">
            <w:pPr>
              <w:rPr>
                <w:sz w:val="22"/>
              </w:rPr>
            </w:pPr>
            <w:r w:rsidRPr="00D041E5">
              <w:rPr>
                <w:sz w:val="22"/>
              </w:rPr>
              <w:t>29,250</w:t>
            </w:r>
          </w:p>
        </w:tc>
      </w:tr>
      <w:tr w:rsidR="00C109A9" w:rsidRPr="00D041E5" w14:paraId="3633A09D" w14:textId="77777777" w:rsidTr="00C109A9">
        <w:tc>
          <w:tcPr>
            <w:tcW w:w="722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AD4D3" w14:textId="77777777" w:rsidR="00C109A9" w:rsidRPr="00D041E5" w:rsidRDefault="00C109A9">
            <w:pPr>
              <w:rPr>
                <w:sz w:val="22"/>
              </w:rPr>
            </w:pPr>
            <w:r w:rsidRPr="00D041E5">
              <w:rPr>
                <w:sz w:val="22"/>
              </w:rPr>
              <w:t>Average per Response: 45 hours per response</w:t>
            </w:r>
          </w:p>
        </w:tc>
        <w:tc>
          <w:tcPr>
            <w:tcW w:w="2114" w:type="dxa"/>
            <w:tcBorders>
              <w:top w:val="nil"/>
              <w:left w:val="nil"/>
              <w:bottom w:val="single" w:sz="8" w:space="0" w:color="auto"/>
              <w:right w:val="single" w:sz="8" w:space="0" w:color="auto"/>
            </w:tcBorders>
            <w:tcMar>
              <w:top w:w="0" w:type="dxa"/>
              <w:left w:w="108" w:type="dxa"/>
              <w:bottom w:w="0" w:type="dxa"/>
              <w:right w:w="108" w:type="dxa"/>
            </w:tcMar>
          </w:tcPr>
          <w:p w14:paraId="70B3A0FB" w14:textId="77777777" w:rsidR="00C109A9" w:rsidRPr="00D041E5" w:rsidRDefault="00C109A9">
            <w:pPr>
              <w:rPr>
                <w:sz w:val="22"/>
              </w:rPr>
            </w:pPr>
          </w:p>
        </w:tc>
      </w:tr>
    </w:tbl>
    <w:p w14:paraId="374D6914" w14:textId="77777777" w:rsidR="00B903BC" w:rsidRPr="00D041E5" w:rsidRDefault="00B903BC" w:rsidP="00555FDE">
      <w:pPr>
        <w:spacing w:before="0" w:beforeAutospacing="0" w:after="0" w:afterAutospacing="0"/>
        <w:rPr>
          <w:sz w:val="22"/>
        </w:rPr>
      </w:pPr>
    </w:p>
    <w:tbl>
      <w:tblPr>
        <w:tblStyle w:val="TableGrid"/>
        <w:tblW w:w="0" w:type="auto"/>
        <w:tblLook w:val="04A0" w:firstRow="1" w:lastRow="0" w:firstColumn="1" w:lastColumn="0" w:noHBand="0" w:noVBand="1"/>
      </w:tblPr>
      <w:tblGrid>
        <w:gridCol w:w="2303"/>
        <w:gridCol w:w="2039"/>
        <w:gridCol w:w="2476"/>
        <w:gridCol w:w="2532"/>
      </w:tblGrid>
      <w:tr w:rsidR="00DA380A" w:rsidRPr="00D041E5" w14:paraId="090B8A91" w14:textId="77777777" w:rsidTr="00E332B1">
        <w:tc>
          <w:tcPr>
            <w:tcW w:w="2358" w:type="dxa"/>
          </w:tcPr>
          <w:p w14:paraId="2FC4ED9F" w14:textId="77777777" w:rsidR="00DA380A" w:rsidRPr="00D041E5" w:rsidRDefault="00DA380A" w:rsidP="00DA380A">
            <w:pPr>
              <w:spacing w:before="120" w:beforeAutospacing="0"/>
              <w:jc w:val="left"/>
              <w:rPr>
                <w:sz w:val="22"/>
              </w:rPr>
            </w:pPr>
            <w:r w:rsidRPr="00D041E5">
              <w:rPr>
                <w:sz w:val="22"/>
              </w:rPr>
              <w:t>Form EIA-64A</w:t>
            </w:r>
            <w:r w:rsidRPr="00D041E5">
              <w:rPr>
                <w:sz w:val="22"/>
              </w:rPr>
              <w:br/>
              <w:t>Natural Gas Plant Operators</w:t>
            </w:r>
          </w:p>
        </w:tc>
        <w:tc>
          <w:tcPr>
            <w:tcW w:w="2070" w:type="dxa"/>
          </w:tcPr>
          <w:p w14:paraId="30DCBFEF" w14:textId="77777777" w:rsidR="00DA380A" w:rsidRPr="00D041E5" w:rsidRDefault="00DA380A" w:rsidP="00E332B1">
            <w:pPr>
              <w:spacing w:before="120" w:beforeAutospacing="0"/>
              <w:jc w:val="left"/>
              <w:rPr>
                <w:sz w:val="22"/>
              </w:rPr>
            </w:pPr>
            <w:r w:rsidRPr="00D041E5">
              <w:rPr>
                <w:sz w:val="22"/>
              </w:rPr>
              <w:t>Number of Respondents surveyed per year</w:t>
            </w:r>
          </w:p>
        </w:tc>
        <w:tc>
          <w:tcPr>
            <w:tcW w:w="2541" w:type="dxa"/>
          </w:tcPr>
          <w:p w14:paraId="1FBBFF21" w14:textId="77777777" w:rsidR="00DA380A" w:rsidRPr="00D041E5" w:rsidRDefault="00DA380A" w:rsidP="00E332B1">
            <w:pPr>
              <w:spacing w:before="120" w:beforeAutospacing="0"/>
              <w:jc w:val="left"/>
              <w:rPr>
                <w:sz w:val="22"/>
              </w:rPr>
            </w:pPr>
            <w:r w:rsidRPr="00D041E5">
              <w:rPr>
                <w:sz w:val="22"/>
              </w:rPr>
              <w:t>Burden hours per response to complete Form EIA-64A</w:t>
            </w:r>
          </w:p>
        </w:tc>
        <w:tc>
          <w:tcPr>
            <w:tcW w:w="2607" w:type="dxa"/>
          </w:tcPr>
          <w:p w14:paraId="0A375D86" w14:textId="77777777" w:rsidR="00DA380A" w:rsidRPr="00D041E5" w:rsidRDefault="00DA380A" w:rsidP="00E332B1">
            <w:pPr>
              <w:spacing w:before="120" w:beforeAutospacing="0"/>
              <w:jc w:val="left"/>
              <w:rPr>
                <w:sz w:val="22"/>
              </w:rPr>
            </w:pPr>
            <w:r w:rsidRPr="00D041E5">
              <w:rPr>
                <w:sz w:val="22"/>
              </w:rPr>
              <w:t>Annual Burden hours</w:t>
            </w:r>
          </w:p>
        </w:tc>
      </w:tr>
      <w:tr w:rsidR="00DA380A" w:rsidRPr="00D041E5" w14:paraId="29B3B759" w14:textId="77777777" w:rsidTr="00E332B1">
        <w:tc>
          <w:tcPr>
            <w:tcW w:w="2358" w:type="dxa"/>
          </w:tcPr>
          <w:p w14:paraId="1ACF8896" w14:textId="77777777" w:rsidR="00DA380A" w:rsidRPr="00D041E5" w:rsidRDefault="00DA380A" w:rsidP="00E332B1">
            <w:pPr>
              <w:spacing w:before="120" w:beforeAutospacing="0"/>
              <w:rPr>
                <w:sz w:val="22"/>
              </w:rPr>
            </w:pPr>
            <w:r w:rsidRPr="00D041E5">
              <w:rPr>
                <w:sz w:val="22"/>
              </w:rPr>
              <w:t xml:space="preserve">Census of U.S. Plants </w:t>
            </w:r>
          </w:p>
        </w:tc>
        <w:tc>
          <w:tcPr>
            <w:tcW w:w="2070" w:type="dxa"/>
          </w:tcPr>
          <w:p w14:paraId="26B7A6E7" w14:textId="77777777" w:rsidR="00DA380A" w:rsidRPr="00D041E5" w:rsidRDefault="00DA380A" w:rsidP="00E332B1">
            <w:pPr>
              <w:spacing w:before="120" w:beforeAutospacing="0"/>
              <w:rPr>
                <w:sz w:val="22"/>
              </w:rPr>
            </w:pPr>
            <w:r w:rsidRPr="00D041E5">
              <w:rPr>
                <w:sz w:val="22"/>
              </w:rPr>
              <w:t>600</w:t>
            </w:r>
          </w:p>
        </w:tc>
        <w:tc>
          <w:tcPr>
            <w:tcW w:w="2541" w:type="dxa"/>
          </w:tcPr>
          <w:p w14:paraId="6E8ABF89" w14:textId="77777777" w:rsidR="00DA380A" w:rsidRPr="00D041E5" w:rsidRDefault="00DA380A" w:rsidP="00DA380A">
            <w:pPr>
              <w:spacing w:before="120" w:beforeAutospacing="0"/>
              <w:rPr>
                <w:sz w:val="22"/>
              </w:rPr>
            </w:pPr>
            <w:r w:rsidRPr="00D041E5">
              <w:rPr>
                <w:sz w:val="22"/>
              </w:rPr>
              <w:t>6.0 hours</w:t>
            </w:r>
          </w:p>
        </w:tc>
        <w:tc>
          <w:tcPr>
            <w:tcW w:w="2607" w:type="dxa"/>
          </w:tcPr>
          <w:p w14:paraId="5BE2DFE2" w14:textId="77777777" w:rsidR="00DA380A" w:rsidRPr="00D041E5" w:rsidRDefault="00DA380A" w:rsidP="00DA380A">
            <w:pPr>
              <w:spacing w:before="120" w:beforeAutospacing="0"/>
              <w:rPr>
                <w:sz w:val="22"/>
              </w:rPr>
            </w:pPr>
            <w:r w:rsidRPr="00D041E5">
              <w:rPr>
                <w:sz w:val="22"/>
              </w:rPr>
              <w:t>3,600</w:t>
            </w:r>
          </w:p>
        </w:tc>
      </w:tr>
    </w:tbl>
    <w:p w14:paraId="46916658" w14:textId="77777777" w:rsidR="00C22E18" w:rsidRPr="00D041E5" w:rsidRDefault="00B33514" w:rsidP="00B7522F">
      <w:pPr>
        <w:spacing w:before="120" w:beforeAutospacing="0"/>
        <w:rPr>
          <w:sz w:val="22"/>
        </w:rPr>
      </w:pPr>
      <w:r w:rsidRPr="00D041E5">
        <w:rPr>
          <w:sz w:val="22"/>
        </w:rPr>
        <w:t xml:space="preserve">There are 600 respondents to the EIA-64A, with a per response burden of 6 hours.  This results in a total aggregate across the </w:t>
      </w:r>
      <w:r w:rsidR="00B903BC" w:rsidRPr="00D041E5">
        <w:rPr>
          <w:sz w:val="22"/>
        </w:rPr>
        <w:t xml:space="preserve">three </w:t>
      </w:r>
      <w:r w:rsidRPr="00D041E5">
        <w:rPr>
          <w:sz w:val="22"/>
        </w:rPr>
        <w:t>surveys of 1,</w:t>
      </w:r>
      <w:r w:rsidR="004D2488" w:rsidRPr="00D041E5">
        <w:rPr>
          <w:sz w:val="22"/>
        </w:rPr>
        <w:t>2</w:t>
      </w:r>
      <w:r w:rsidRPr="00D041E5">
        <w:rPr>
          <w:sz w:val="22"/>
        </w:rPr>
        <w:t xml:space="preserve">50 respondents per year with </w:t>
      </w:r>
      <w:r w:rsidR="00D1623E" w:rsidRPr="00D041E5">
        <w:rPr>
          <w:sz w:val="22"/>
        </w:rPr>
        <w:t>2</w:t>
      </w:r>
      <w:r w:rsidR="00F14439" w:rsidRPr="00D041E5">
        <w:rPr>
          <w:sz w:val="22"/>
        </w:rPr>
        <w:t>6</w:t>
      </w:r>
      <w:r w:rsidR="00D1623E" w:rsidRPr="00D041E5">
        <w:rPr>
          <w:sz w:val="22"/>
        </w:rPr>
        <w:t>.</w:t>
      </w:r>
      <w:r w:rsidR="00F14439" w:rsidRPr="00D041E5">
        <w:rPr>
          <w:sz w:val="22"/>
        </w:rPr>
        <w:t>3</w:t>
      </w:r>
      <w:r w:rsidRPr="00D041E5">
        <w:rPr>
          <w:sz w:val="22"/>
        </w:rPr>
        <w:t xml:space="preserve"> hours per response, for a total annual burden of </w:t>
      </w:r>
      <w:r w:rsidR="00F14439" w:rsidRPr="00D041E5">
        <w:rPr>
          <w:sz w:val="22"/>
        </w:rPr>
        <w:t>32,850</w:t>
      </w:r>
      <w:r w:rsidRPr="00D041E5">
        <w:rPr>
          <w:sz w:val="22"/>
        </w:rPr>
        <w:t xml:space="preserve"> hours.</w:t>
      </w:r>
    </w:p>
    <w:p w14:paraId="531020A6" w14:textId="0324224D" w:rsidR="004257B4" w:rsidRPr="00B7522F" w:rsidRDefault="0093371F" w:rsidP="00B7522F">
      <w:pPr>
        <w:rPr>
          <w:sz w:val="22"/>
        </w:rPr>
      </w:pPr>
      <w:r w:rsidRPr="00B7522F">
        <w:rPr>
          <w:sz w:val="22"/>
        </w:rPr>
        <w:t xml:space="preserve">The </w:t>
      </w:r>
      <w:r w:rsidR="00555FDE">
        <w:rPr>
          <w:sz w:val="22"/>
        </w:rPr>
        <w:t>T</w:t>
      </w:r>
      <w:r w:rsidRPr="00B7522F">
        <w:rPr>
          <w:sz w:val="22"/>
        </w:rPr>
        <w:t>able</w:t>
      </w:r>
      <w:r w:rsidR="00555FDE">
        <w:rPr>
          <w:sz w:val="22"/>
        </w:rPr>
        <w:t xml:space="preserve"> 1</w:t>
      </w:r>
      <w:r w:rsidRPr="00B7522F">
        <w:rPr>
          <w:sz w:val="22"/>
        </w:rPr>
        <w:t xml:space="preserve"> </w:t>
      </w:r>
      <w:r w:rsidR="00555FDE">
        <w:rPr>
          <w:sz w:val="22"/>
        </w:rPr>
        <w:t>below</w:t>
      </w:r>
      <w:r w:rsidRPr="00B7522F">
        <w:rPr>
          <w:sz w:val="22"/>
        </w:rPr>
        <w:t xml:space="preserve"> shows the burden hours calculated for the proposed OGRS surveys package.</w:t>
      </w:r>
    </w:p>
    <w:tbl>
      <w:tblPr>
        <w:tblW w:w="8231" w:type="dxa"/>
        <w:tblInd w:w="-23" w:type="dxa"/>
        <w:tblLayout w:type="fixed"/>
        <w:tblCellMar>
          <w:left w:w="0" w:type="dxa"/>
          <w:right w:w="0" w:type="dxa"/>
        </w:tblCellMar>
        <w:tblLook w:val="04A0" w:firstRow="1" w:lastRow="0" w:firstColumn="1" w:lastColumn="0" w:noHBand="0" w:noVBand="1"/>
      </w:tblPr>
      <w:tblGrid>
        <w:gridCol w:w="1121"/>
        <w:gridCol w:w="1710"/>
        <w:gridCol w:w="1260"/>
        <w:gridCol w:w="990"/>
        <w:gridCol w:w="1080"/>
        <w:gridCol w:w="1170"/>
        <w:gridCol w:w="900"/>
      </w:tblGrid>
      <w:tr w:rsidR="00BF19F7" w14:paraId="60E16291" w14:textId="77777777" w:rsidTr="004907CD">
        <w:trPr>
          <w:trHeight w:val="300"/>
        </w:trPr>
        <w:tc>
          <w:tcPr>
            <w:tcW w:w="8231" w:type="dxa"/>
            <w:gridSpan w:val="7"/>
            <w:tcBorders>
              <w:top w:val="single" w:sz="8" w:space="0" w:color="auto"/>
              <w:left w:val="single" w:sz="8" w:space="0" w:color="auto"/>
              <w:bottom w:val="single" w:sz="8" w:space="0" w:color="auto"/>
              <w:right w:val="single" w:sz="8" w:space="0" w:color="auto"/>
            </w:tcBorders>
            <w:shd w:val="clear" w:color="auto" w:fill="DDD9C3"/>
            <w:noWrap/>
            <w:tcMar>
              <w:top w:w="0" w:type="dxa"/>
              <w:left w:w="108" w:type="dxa"/>
              <w:bottom w:w="0" w:type="dxa"/>
              <w:right w:w="108" w:type="dxa"/>
            </w:tcMar>
            <w:hideMark/>
          </w:tcPr>
          <w:p w14:paraId="11F0E081" w14:textId="77777777" w:rsidR="00BF19F7" w:rsidRPr="00A3481D" w:rsidRDefault="00BF19F7" w:rsidP="0093371F">
            <w:pPr>
              <w:jc w:val="left"/>
              <w:rPr>
                <w:rFonts w:eastAsiaTheme="minorHAnsi"/>
                <w:b/>
                <w:bCs/>
                <w:color w:val="000000"/>
                <w:sz w:val="18"/>
                <w:szCs w:val="18"/>
              </w:rPr>
            </w:pPr>
            <w:r w:rsidRPr="00A3481D">
              <w:rPr>
                <w:b/>
                <w:bCs/>
                <w:color w:val="000000"/>
              </w:rPr>
              <w:lastRenderedPageBreak/>
              <w:t xml:space="preserve">Table </w:t>
            </w:r>
            <w:r w:rsidR="003551D0" w:rsidRPr="00A3481D">
              <w:rPr>
                <w:b/>
                <w:bCs/>
                <w:color w:val="000000"/>
              </w:rPr>
              <w:t>1</w:t>
            </w:r>
            <w:r w:rsidR="0093371F" w:rsidRPr="00A3481D">
              <w:rPr>
                <w:b/>
                <w:bCs/>
                <w:color w:val="000000"/>
              </w:rPr>
              <w:t>:</w:t>
            </w:r>
            <w:r w:rsidRPr="00A3481D">
              <w:rPr>
                <w:b/>
                <w:bCs/>
                <w:color w:val="000000"/>
              </w:rPr>
              <w:t xml:space="preserve"> OGRS Surveys Burden Information</w:t>
            </w:r>
          </w:p>
        </w:tc>
      </w:tr>
      <w:tr w:rsidR="00BF19F7" w14:paraId="0724ACB6" w14:textId="77777777" w:rsidTr="004907CD">
        <w:trPr>
          <w:trHeight w:val="735"/>
        </w:trPr>
        <w:tc>
          <w:tcPr>
            <w:tcW w:w="1121" w:type="dxa"/>
            <w:tcBorders>
              <w:top w:val="nil"/>
              <w:left w:val="single" w:sz="8" w:space="0" w:color="auto"/>
              <w:bottom w:val="single" w:sz="8" w:space="0" w:color="auto"/>
              <w:right w:val="single" w:sz="8" w:space="0" w:color="auto"/>
            </w:tcBorders>
            <w:shd w:val="clear" w:color="auto" w:fill="DDD9C3"/>
            <w:noWrap/>
            <w:tcMar>
              <w:top w:w="0" w:type="dxa"/>
              <w:left w:w="108" w:type="dxa"/>
              <w:bottom w:w="0" w:type="dxa"/>
              <w:right w:w="108" w:type="dxa"/>
            </w:tcMar>
            <w:vAlign w:val="bottom"/>
            <w:hideMark/>
          </w:tcPr>
          <w:p w14:paraId="418F4D3C" w14:textId="77777777" w:rsidR="00BF19F7" w:rsidRPr="00A3481D" w:rsidRDefault="00BF19F7">
            <w:pPr>
              <w:rPr>
                <w:rFonts w:eastAsiaTheme="minorHAnsi"/>
                <w:b/>
                <w:bCs/>
                <w:color w:val="000000"/>
                <w:sz w:val="18"/>
                <w:szCs w:val="18"/>
              </w:rPr>
            </w:pPr>
            <w:r w:rsidRPr="00A3481D">
              <w:rPr>
                <w:b/>
                <w:bCs/>
                <w:color w:val="000000"/>
                <w:sz w:val="18"/>
                <w:szCs w:val="18"/>
              </w:rPr>
              <w:t>EIA Form Number</w:t>
            </w:r>
          </w:p>
        </w:tc>
        <w:tc>
          <w:tcPr>
            <w:tcW w:w="1710" w:type="dxa"/>
            <w:tcBorders>
              <w:top w:val="nil"/>
              <w:left w:val="nil"/>
              <w:bottom w:val="single" w:sz="8" w:space="0" w:color="auto"/>
              <w:right w:val="single" w:sz="8" w:space="0" w:color="auto"/>
            </w:tcBorders>
            <w:shd w:val="clear" w:color="auto" w:fill="DDD9C3"/>
            <w:noWrap/>
            <w:tcMar>
              <w:top w:w="0" w:type="dxa"/>
              <w:left w:w="108" w:type="dxa"/>
              <w:bottom w:w="0" w:type="dxa"/>
              <w:right w:w="108" w:type="dxa"/>
            </w:tcMar>
            <w:vAlign w:val="bottom"/>
            <w:hideMark/>
          </w:tcPr>
          <w:p w14:paraId="3192DA9A" w14:textId="77777777" w:rsidR="00BF19F7" w:rsidRPr="00A3481D" w:rsidRDefault="00BF19F7">
            <w:pPr>
              <w:jc w:val="center"/>
              <w:rPr>
                <w:rFonts w:eastAsiaTheme="minorHAnsi"/>
                <w:b/>
                <w:bCs/>
                <w:color w:val="000000"/>
                <w:sz w:val="18"/>
                <w:szCs w:val="18"/>
              </w:rPr>
            </w:pPr>
            <w:r w:rsidRPr="00A3481D">
              <w:rPr>
                <w:b/>
                <w:bCs/>
                <w:color w:val="000000"/>
                <w:sz w:val="18"/>
                <w:szCs w:val="18"/>
              </w:rPr>
              <w:t>Title</w:t>
            </w:r>
          </w:p>
        </w:tc>
        <w:tc>
          <w:tcPr>
            <w:tcW w:w="126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14:paraId="69D91DAF" w14:textId="77777777" w:rsidR="00BF19F7" w:rsidRPr="00A3481D" w:rsidRDefault="00BF19F7">
            <w:pPr>
              <w:jc w:val="center"/>
              <w:rPr>
                <w:rFonts w:eastAsiaTheme="minorHAnsi"/>
                <w:b/>
                <w:bCs/>
                <w:color w:val="000000"/>
                <w:sz w:val="18"/>
                <w:szCs w:val="18"/>
              </w:rPr>
            </w:pPr>
            <w:r w:rsidRPr="00A3481D">
              <w:rPr>
                <w:b/>
                <w:bCs/>
                <w:color w:val="000000"/>
                <w:sz w:val="18"/>
                <w:szCs w:val="18"/>
              </w:rPr>
              <w:t>Number of Respondents Per Year</w:t>
            </w:r>
          </w:p>
        </w:tc>
        <w:tc>
          <w:tcPr>
            <w:tcW w:w="99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14:paraId="4954B750" w14:textId="77777777" w:rsidR="00BF19F7" w:rsidRPr="00A3481D" w:rsidRDefault="00BF19F7">
            <w:pPr>
              <w:jc w:val="center"/>
              <w:rPr>
                <w:rFonts w:eastAsiaTheme="minorHAnsi"/>
                <w:b/>
                <w:bCs/>
                <w:color w:val="000000"/>
                <w:sz w:val="18"/>
                <w:szCs w:val="18"/>
              </w:rPr>
            </w:pPr>
            <w:r w:rsidRPr="00A3481D">
              <w:rPr>
                <w:b/>
                <w:bCs/>
                <w:color w:val="000000"/>
                <w:sz w:val="18"/>
                <w:szCs w:val="18"/>
              </w:rPr>
              <w:t>Number of Reports Annually</w:t>
            </w:r>
          </w:p>
        </w:tc>
        <w:tc>
          <w:tcPr>
            <w:tcW w:w="108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14:paraId="520951C0" w14:textId="77777777" w:rsidR="00BF19F7" w:rsidRPr="00A3481D" w:rsidRDefault="00BF19F7">
            <w:pPr>
              <w:jc w:val="center"/>
              <w:rPr>
                <w:rFonts w:eastAsiaTheme="minorHAnsi"/>
                <w:b/>
                <w:bCs/>
                <w:color w:val="000000"/>
                <w:sz w:val="18"/>
                <w:szCs w:val="18"/>
              </w:rPr>
            </w:pPr>
            <w:r w:rsidRPr="00A3481D">
              <w:rPr>
                <w:b/>
                <w:bCs/>
                <w:color w:val="000000"/>
                <w:sz w:val="18"/>
                <w:szCs w:val="18"/>
              </w:rPr>
              <w:t>Total Number of Responses</w:t>
            </w:r>
          </w:p>
        </w:tc>
        <w:tc>
          <w:tcPr>
            <w:tcW w:w="117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14:paraId="4A921CD9" w14:textId="77777777" w:rsidR="00BF19F7" w:rsidRPr="00A3481D" w:rsidRDefault="00BF19F7">
            <w:pPr>
              <w:jc w:val="center"/>
              <w:rPr>
                <w:rFonts w:eastAsiaTheme="minorHAnsi"/>
                <w:b/>
                <w:bCs/>
                <w:color w:val="000000"/>
                <w:sz w:val="18"/>
                <w:szCs w:val="18"/>
              </w:rPr>
            </w:pPr>
            <w:r w:rsidRPr="00A3481D">
              <w:rPr>
                <w:b/>
                <w:bCs/>
                <w:color w:val="000000"/>
                <w:sz w:val="18"/>
                <w:szCs w:val="18"/>
              </w:rPr>
              <w:t>Burden Hours Per Response</w:t>
            </w:r>
            <w:r w:rsidR="00430DA7" w:rsidRPr="00A3481D">
              <w:rPr>
                <w:b/>
                <w:bCs/>
                <w:color w:val="000000"/>
                <w:sz w:val="18"/>
                <w:szCs w:val="18"/>
              </w:rPr>
              <w:t>*</w:t>
            </w:r>
          </w:p>
        </w:tc>
        <w:tc>
          <w:tcPr>
            <w:tcW w:w="90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14:paraId="62699276" w14:textId="77777777" w:rsidR="00BF19F7" w:rsidRPr="00A3481D" w:rsidRDefault="00BF19F7">
            <w:pPr>
              <w:jc w:val="center"/>
              <w:rPr>
                <w:rFonts w:eastAsiaTheme="minorHAnsi"/>
                <w:b/>
                <w:bCs/>
                <w:color w:val="000000"/>
                <w:sz w:val="18"/>
                <w:szCs w:val="18"/>
              </w:rPr>
            </w:pPr>
            <w:r w:rsidRPr="00A3481D">
              <w:rPr>
                <w:b/>
                <w:bCs/>
                <w:color w:val="000000"/>
                <w:sz w:val="18"/>
                <w:szCs w:val="18"/>
              </w:rPr>
              <w:t>Annual Burden Hours</w:t>
            </w:r>
          </w:p>
        </w:tc>
      </w:tr>
      <w:tr w:rsidR="00BF19F7" w14:paraId="4044DC82" w14:textId="77777777" w:rsidTr="004907CD">
        <w:trPr>
          <w:trHeight w:val="1695"/>
        </w:trPr>
        <w:tc>
          <w:tcPr>
            <w:tcW w:w="1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5026E8D" w14:textId="77777777" w:rsidR="00BF19F7" w:rsidRPr="00A3481D" w:rsidRDefault="00BF19F7" w:rsidP="00BF19F7">
            <w:pPr>
              <w:jc w:val="left"/>
              <w:rPr>
                <w:rFonts w:eastAsiaTheme="minorHAnsi"/>
                <w:color w:val="000000"/>
                <w:sz w:val="18"/>
                <w:szCs w:val="18"/>
              </w:rPr>
            </w:pPr>
            <w:r w:rsidRPr="00A3481D">
              <w:rPr>
                <w:color w:val="000000"/>
                <w:sz w:val="18"/>
                <w:szCs w:val="18"/>
              </w:rPr>
              <w:t>Form EIA-23L</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57E60C" w14:textId="77777777" w:rsidR="00BF19F7" w:rsidRPr="00A3481D" w:rsidRDefault="00BF19F7" w:rsidP="00030694">
            <w:pPr>
              <w:jc w:val="left"/>
              <w:rPr>
                <w:rFonts w:eastAsiaTheme="minorHAnsi"/>
                <w:color w:val="000000"/>
                <w:sz w:val="18"/>
                <w:szCs w:val="18"/>
              </w:rPr>
            </w:pPr>
            <w:r w:rsidRPr="00A3481D">
              <w:rPr>
                <w:color w:val="000000"/>
                <w:sz w:val="18"/>
                <w:szCs w:val="18"/>
              </w:rPr>
              <w:t>Annual Survey of Domestic Oil and Gas Reserves (</w:t>
            </w:r>
            <w:r w:rsidR="00030694">
              <w:rPr>
                <w:color w:val="000000"/>
                <w:sz w:val="18"/>
                <w:szCs w:val="18"/>
              </w:rPr>
              <w:t>County</w:t>
            </w:r>
            <w:r w:rsidR="00030694" w:rsidRPr="00A3481D">
              <w:rPr>
                <w:color w:val="000000"/>
                <w:sz w:val="18"/>
                <w:szCs w:val="18"/>
              </w:rPr>
              <w:t xml:space="preserve"> </w:t>
            </w:r>
            <w:r w:rsidRPr="00A3481D">
              <w:rPr>
                <w:color w:val="000000"/>
                <w:sz w:val="18"/>
                <w:szCs w:val="18"/>
              </w:rPr>
              <w:t>Version)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21377E" w14:textId="77777777" w:rsidR="00BF19F7" w:rsidRPr="00A3481D" w:rsidRDefault="00680FA6" w:rsidP="00BF19F7">
            <w:pPr>
              <w:jc w:val="center"/>
              <w:rPr>
                <w:rFonts w:eastAsiaTheme="minorHAnsi"/>
                <w:color w:val="000000"/>
                <w:sz w:val="18"/>
                <w:szCs w:val="18"/>
              </w:rPr>
            </w:pPr>
            <w:r>
              <w:rPr>
                <w:color w:val="000000"/>
                <w:sz w:val="18"/>
                <w:szCs w:val="18"/>
              </w:rPr>
              <w:t>650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5AD482" w14:textId="77777777" w:rsidR="00BF19F7" w:rsidRPr="00A3481D" w:rsidRDefault="00BF19F7">
            <w:pPr>
              <w:jc w:val="center"/>
              <w:rPr>
                <w:rFonts w:eastAsiaTheme="minorHAnsi"/>
                <w:color w:val="000000"/>
                <w:sz w:val="18"/>
                <w:szCs w:val="18"/>
              </w:rPr>
            </w:pPr>
            <w:r w:rsidRPr="00A3481D">
              <w:rPr>
                <w:color w:val="000000"/>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976342" w14:textId="77777777" w:rsidR="00BF19F7" w:rsidRPr="00A3481D" w:rsidRDefault="00680FA6" w:rsidP="00BF19F7">
            <w:pPr>
              <w:jc w:val="center"/>
              <w:rPr>
                <w:rFonts w:eastAsiaTheme="minorHAnsi"/>
                <w:color w:val="000000"/>
                <w:sz w:val="18"/>
                <w:szCs w:val="18"/>
              </w:rPr>
            </w:pPr>
            <w:r>
              <w:rPr>
                <w:rFonts w:eastAsiaTheme="minorHAnsi"/>
                <w:color w:val="000000"/>
                <w:sz w:val="18"/>
                <w:szCs w:val="18"/>
              </w:rPr>
              <w:t>650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C7A142" w14:textId="77777777" w:rsidR="005C3787" w:rsidRPr="00A3481D" w:rsidRDefault="00384CDF" w:rsidP="00384CDF">
            <w:pPr>
              <w:jc w:val="center"/>
              <w:rPr>
                <w:rFonts w:eastAsiaTheme="minorHAnsi"/>
                <w:color w:val="000000"/>
                <w:sz w:val="18"/>
                <w:szCs w:val="18"/>
              </w:rPr>
            </w:pPr>
            <w:r>
              <w:rPr>
                <w:rFonts w:eastAsiaTheme="minorHAnsi"/>
                <w:color w:val="000000"/>
                <w:sz w:val="18"/>
                <w:szCs w:val="18"/>
              </w:rPr>
              <w:t>45.0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82495A" w14:textId="77777777" w:rsidR="00BF19F7" w:rsidRPr="00A3481D" w:rsidRDefault="00384CDF" w:rsidP="00DA380A">
            <w:pPr>
              <w:jc w:val="center"/>
              <w:rPr>
                <w:rFonts w:eastAsiaTheme="minorHAnsi"/>
                <w:color w:val="000000"/>
                <w:sz w:val="18"/>
                <w:szCs w:val="18"/>
              </w:rPr>
            </w:pPr>
            <w:r>
              <w:rPr>
                <w:rFonts w:eastAsiaTheme="minorHAnsi"/>
                <w:color w:val="000000"/>
                <w:sz w:val="18"/>
                <w:szCs w:val="18"/>
              </w:rPr>
              <w:t>29,250</w:t>
            </w:r>
          </w:p>
        </w:tc>
      </w:tr>
      <w:tr w:rsidR="00BF19F7" w14:paraId="18ED18F5" w14:textId="77777777" w:rsidTr="004907CD">
        <w:trPr>
          <w:trHeight w:val="1695"/>
        </w:trPr>
        <w:tc>
          <w:tcPr>
            <w:tcW w:w="1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CCC46C3" w14:textId="77777777" w:rsidR="00BF19F7" w:rsidRPr="00A3481D" w:rsidRDefault="00BF19F7" w:rsidP="00BF19F7">
            <w:pPr>
              <w:jc w:val="left"/>
              <w:rPr>
                <w:rFonts w:eastAsiaTheme="minorHAnsi"/>
                <w:color w:val="000000"/>
                <w:sz w:val="18"/>
                <w:szCs w:val="18"/>
              </w:rPr>
            </w:pPr>
            <w:r w:rsidRPr="00A3481D">
              <w:rPr>
                <w:color w:val="000000"/>
                <w:sz w:val="18"/>
                <w:szCs w:val="18"/>
              </w:rPr>
              <w:t>Form EIA-23S (Proposed to be suspended)</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C37105" w14:textId="77777777" w:rsidR="00BF19F7" w:rsidRPr="00A3481D" w:rsidRDefault="00BF19F7" w:rsidP="0026191B">
            <w:pPr>
              <w:jc w:val="left"/>
              <w:rPr>
                <w:rFonts w:eastAsiaTheme="minorHAnsi"/>
                <w:color w:val="000000"/>
                <w:sz w:val="18"/>
                <w:szCs w:val="18"/>
              </w:rPr>
            </w:pPr>
            <w:r w:rsidRPr="00A3481D">
              <w:rPr>
                <w:color w:val="000000"/>
                <w:sz w:val="18"/>
                <w:szCs w:val="18"/>
              </w:rPr>
              <w:t>Annual Survey of Domestic Oil and Gas Reserves (Summary Version)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D39FE9" w14:textId="77777777" w:rsidR="00BF19F7" w:rsidRPr="00E56A55" w:rsidRDefault="00BF19F7">
            <w:pPr>
              <w:jc w:val="center"/>
              <w:rPr>
                <w:rFonts w:eastAsiaTheme="minorHAnsi"/>
                <w:color w:val="000000"/>
                <w:sz w:val="18"/>
                <w:szCs w:val="18"/>
              </w:rPr>
            </w:pPr>
            <w:r w:rsidRPr="00E56A55">
              <w:rPr>
                <w:color w:val="000000"/>
                <w:sz w:val="18"/>
                <w:szCs w:val="18"/>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AA9858" w14:textId="77777777" w:rsidR="00BF19F7" w:rsidRPr="00E56A55" w:rsidRDefault="00BF19F7">
            <w:pPr>
              <w:jc w:val="center"/>
              <w:rPr>
                <w:rFonts w:eastAsiaTheme="minorHAnsi"/>
                <w:color w:val="000000"/>
                <w:sz w:val="18"/>
                <w:szCs w:val="18"/>
              </w:rPr>
            </w:pPr>
            <w:r w:rsidRPr="00E56A55">
              <w:rPr>
                <w:color w:val="000000"/>
                <w:sz w:val="18"/>
                <w:szCs w:val="18"/>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BA3349F" w14:textId="77777777" w:rsidR="00BF19F7" w:rsidRPr="00E56A55" w:rsidRDefault="00BF19F7">
            <w:pPr>
              <w:jc w:val="center"/>
              <w:rPr>
                <w:rFonts w:eastAsiaTheme="minorHAnsi"/>
                <w:color w:val="000000"/>
                <w:sz w:val="18"/>
                <w:szCs w:val="18"/>
              </w:rPr>
            </w:pPr>
            <w:r w:rsidRPr="00E56A55">
              <w:rPr>
                <w:color w:val="000000"/>
                <w:sz w:val="18"/>
                <w:szCs w:val="18"/>
              </w:rPr>
              <w:t>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268AA1" w14:textId="77777777" w:rsidR="00BF19F7" w:rsidRPr="00E56A55" w:rsidRDefault="00BF19F7">
            <w:pPr>
              <w:jc w:val="center"/>
              <w:rPr>
                <w:rFonts w:eastAsiaTheme="minorHAnsi"/>
                <w:color w:val="000000"/>
                <w:sz w:val="18"/>
                <w:szCs w:val="18"/>
              </w:rPr>
            </w:pPr>
            <w:r w:rsidRPr="00E56A55">
              <w:rPr>
                <w:color w:val="000000"/>
                <w:sz w:val="18"/>
                <w:szCs w:val="18"/>
              </w:rPr>
              <w:t>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A13EA4" w14:textId="77777777" w:rsidR="00BF19F7" w:rsidRPr="00E56A55" w:rsidRDefault="00BF19F7">
            <w:pPr>
              <w:jc w:val="center"/>
              <w:rPr>
                <w:rFonts w:eastAsiaTheme="minorHAnsi"/>
                <w:color w:val="000000"/>
                <w:sz w:val="18"/>
                <w:szCs w:val="18"/>
              </w:rPr>
            </w:pPr>
            <w:r w:rsidRPr="00E56A55">
              <w:rPr>
                <w:color w:val="000000"/>
                <w:sz w:val="18"/>
                <w:szCs w:val="18"/>
              </w:rPr>
              <w:t>0</w:t>
            </w:r>
          </w:p>
        </w:tc>
      </w:tr>
      <w:tr w:rsidR="00BF19F7" w14:paraId="39B94552" w14:textId="77777777" w:rsidTr="004907CD">
        <w:trPr>
          <w:trHeight w:val="1455"/>
        </w:trPr>
        <w:tc>
          <w:tcPr>
            <w:tcW w:w="1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AE340C0" w14:textId="77777777" w:rsidR="00BF19F7" w:rsidRPr="00A3481D" w:rsidRDefault="00BF19F7">
            <w:pPr>
              <w:rPr>
                <w:rFonts w:eastAsiaTheme="minorHAnsi"/>
                <w:color w:val="000000"/>
                <w:sz w:val="18"/>
                <w:szCs w:val="18"/>
              </w:rPr>
            </w:pPr>
            <w:r w:rsidRPr="00A3481D">
              <w:rPr>
                <w:color w:val="000000"/>
                <w:sz w:val="18"/>
                <w:szCs w:val="18"/>
              </w:rPr>
              <w:t>Form EIA-64A</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37E61B" w14:textId="77777777" w:rsidR="00BF19F7" w:rsidRPr="00A3481D" w:rsidRDefault="00BF19F7" w:rsidP="00BF19F7">
            <w:pPr>
              <w:jc w:val="left"/>
              <w:rPr>
                <w:rFonts w:eastAsiaTheme="minorHAnsi"/>
                <w:color w:val="000000"/>
                <w:sz w:val="18"/>
                <w:szCs w:val="18"/>
              </w:rPr>
            </w:pPr>
            <w:r w:rsidRPr="00A3481D">
              <w:rPr>
                <w:color w:val="000000"/>
                <w:sz w:val="18"/>
                <w:szCs w:val="18"/>
              </w:rPr>
              <w:t>Annual Report of the Origin of Natural Gas Liquids Production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838A48" w14:textId="77777777" w:rsidR="00BF19F7" w:rsidRPr="00A3481D" w:rsidRDefault="00CC4CE7" w:rsidP="00CC4CE7">
            <w:pPr>
              <w:jc w:val="center"/>
              <w:rPr>
                <w:rFonts w:eastAsiaTheme="minorHAnsi"/>
                <w:color w:val="000000"/>
                <w:sz w:val="18"/>
                <w:szCs w:val="18"/>
              </w:rPr>
            </w:pPr>
            <w:r w:rsidRPr="00A3481D">
              <w:rPr>
                <w:color w:val="000000"/>
                <w:sz w:val="18"/>
                <w:szCs w:val="18"/>
              </w:rPr>
              <w:t>600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5C91EB" w14:textId="77777777" w:rsidR="00BF19F7" w:rsidRPr="00A3481D" w:rsidRDefault="00BF19F7">
            <w:pPr>
              <w:jc w:val="center"/>
              <w:rPr>
                <w:rFonts w:eastAsiaTheme="minorHAnsi"/>
                <w:color w:val="000000"/>
                <w:sz w:val="18"/>
                <w:szCs w:val="18"/>
              </w:rPr>
            </w:pPr>
            <w:r w:rsidRPr="00A3481D">
              <w:rPr>
                <w:color w:val="000000"/>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56D331" w14:textId="77777777" w:rsidR="00BF19F7" w:rsidRPr="00A3481D" w:rsidRDefault="00CC4CE7" w:rsidP="00CC4CE7">
            <w:pPr>
              <w:jc w:val="center"/>
              <w:rPr>
                <w:rFonts w:eastAsiaTheme="minorHAnsi"/>
                <w:color w:val="000000"/>
                <w:sz w:val="18"/>
                <w:szCs w:val="18"/>
              </w:rPr>
            </w:pPr>
            <w:r w:rsidRPr="00A3481D">
              <w:rPr>
                <w:color w:val="000000"/>
                <w:sz w:val="18"/>
                <w:szCs w:val="18"/>
              </w:rPr>
              <w:t>600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F0CB27" w14:textId="77777777" w:rsidR="007A6362" w:rsidRPr="00A3481D" w:rsidRDefault="005F615C">
            <w:pPr>
              <w:jc w:val="center"/>
              <w:rPr>
                <w:color w:val="000000"/>
                <w:sz w:val="18"/>
                <w:szCs w:val="18"/>
              </w:rPr>
            </w:pPr>
            <w:r w:rsidRPr="00A3481D">
              <w:rPr>
                <w:color w:val="000000"/>
                <w:sz w:val="18"/>
                <w:szCs w:val="18"/>
              </w:rPr>
              <w:t>6.0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AE7487" w14:textId="77777777" w:rsidR="00BF19F7" w:rsidRPr="00A3481D" w:rsidRDefault="00CC4CE7" w:rsidP="00CC4CE7">
            <w:pPr>
              <w:jc w:val="center"/>
              <w:rPr>
                <w:rFonts w:eastAsiaTheme="minorHAnsi"/>
                <w:color w:val="000000"/>
                <w:sz w:val="18"/>
                <w:szCs w:val="18"/>
              </w:rPr>
            </w:pPr>
            <w:r w:rsidRPr="00A3481D">
              <w:rPr>
                <w:rFonts w:eastAsiaTheme="minorHAnsi"/>
                <w:color w:val="000000"/>
                <w:sz w:val="18"/>
                <w:szCs w:val="18"/>
              </w:rPr>
              <w:t>3,600</w:t>
            </w:r>
          </w:p>
        </w:tc>
      </w:tr>
      <w:tr w:rsidR="00BF19F7" w14:paraId="74553CFE" w14:textId="77777777" w:rsidTr="004907CD">
        <w:trPr>
          <w:trHeight w:val="765"/>
        </w:trPr>
        <w:tc>
          <w:tcPr>
            <w:tcW w:w="1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3A5324F" w14:textId="77777777" w:rsidR="00BF19F7" w:rsidRPr="00A3481D" w:rsidRDefault="00BF19F7">
            <w:pPr>
              <w:rPr>
                <w:rFonts w:eastAsiaTheme="minorHAnsi"/>
                <w:b/>
                <w:bCs/>
                <w:color w:val="000000"/>
                <w:sz w:val="18"/>
                <w:szCs w:val="18"/>
              </w:rPr>
            </w:pPr>
            <w:r w:rsidRPr="00A3481D">
              <w:rPr>
                <w:b/>
                <w:bCs/>
                <w:color w:val="000000"/>
                <w:sz w:val="18"/>
                <w:szCs w:val="18"/>
              </w:rPr>
              <w:t>Total OGRS Surveys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87BA2B" w14:textId="77777777" w:rsidR="00BF19F7" w:rsidRPr="00A3481D" w:rsidRDefault="00BF19F7">
            <w:pPr>
              <w:rPr>
                <w:rFonts w:eastAsiaTheme="minorHAnsi"/>
                <w:b/>
                <w:bCs/>
                <w:color w:val="000000"/>
                <w:sz w:val="18"/>
                <w:szCs w:val="18"/>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FDE9AC" w14:textId="77777777" w:rsidR="00BF19F7" w:rsidRPr="00A3481D" w:rsidRDefault="005C789A">
            <w:pPr>
              <w:jc w:val="center"/>
              <w:rPr>
                <w:rFonts w:eastAsiaTheme="minorHAnsi"/>
                <w:b/>
                <w:bCs/>
                <w:color w:val="000000"/>
                <w:sz w:val="18"/>
                <w:szCs w:val="18"/>
              </w:rPr>
            </w:pPr>
            <w:r w:rsidRPr="00A3481D">
              <w:rPr>
                <w:b/>
                <w:bCs/>
                <w:color w:val="000000"/>
                <w:sz w:val="18"/>
                <w:szCs w:val="18"/>
              </w:rPr>
              <w:t>1,</w:t>
            </w:r>
            <w:r w:rsidR="00680FA6">
              <w:rPr>
                <w:b/>
                <w:bCs/>
                <w:color w:val="000000"/>
                <w:sz w:val="18"/>
                <w:szCs w:val="18"/>
              </w:rPr>
              <w:t>2</w:t>
            </w:r>
            <w:r w:rsidRPr="00A3481D">
              <w:rPr>
                <w:b/>
                <w:bCs/>
                <w:color w:val="000000"/>
                <w:sz w:val="18"/>
                <w:szCs w:val="18"/>
              </w:rPr>
              <w:t>50</w:t>
            </w:r>
            <w:r w:rsidR="00BF19F7" w:rsidRPr="00A3481D">
              <w:rPr>
                <w:b/>
                <w:bCs/>
                <w:color w:val="00000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FA5475" w14:textId="77777777" w:rsidR="00BF19F7" w:rsidRPr="00BA44E0" w:rsidRDefault="00BF19F7">
            <w:pPr>
              <w:jc w:val="center"/>
              <w:rPr>
                <w:rFonts w:eastAsiaTheme="minorHAnsi"/>
                <w:b/>
                <w:bCs/>
                <w:color w:val="000000"/>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86F8B3" w14:textId="77777777" w:rsidR="00BF19F7" w:rsidRPr="00A3481D" w:rsidRDefault="005C3787" w:rsidP="00CC4CE7">
            <w:pPr>
              <w:jc w:val="center"/>
              <w:rPr>
                <w:rFonts w:eastAsiaTheme="minorHAnsi"/>
                <w:b/>
                <w:bCs/>
                <w:color w:val="000000"/>
                <w:sz w:val="18"/>
                <w:szCs w:val="18"/>
              </w:rPr>
            </w:pPr>
            <w:r w:rsidRPr="00A3481D">
              <w:rPr>
                <w:rFonts w:eastAsiaTheme="minorHAnsi"/>
                <w:b/>
                <w:bCs/>
                <w:color w:val="000000"/>
                <w:sz w:val="18"/>
                <w:szCs w:val="18"/>
              </w:rPr>
              <w:t>1,</w:t>
            </w:r>
            <w:r w:rsidR="00680FA6">
              <w:rPr>
                <w:rFonts w:eastAsiaTheme="minorHAnsi"/>
                <w:b/>
                <w:bCs/>
                <w:color w:val="000000"/>
                <w:sz w:val="18"/>
                <w:szCs w:val="18"/>
              </w:rPr>
              <w:t>2</w:t>
            </w:r>
            <w:r w:rsidR="00CC4CE7" w:rsidRPr="00A3481D">
              <w:rPr>
                <w:rFonts w:eastAsiaTheme="minorHAnsi"/>
                <w:b/>
                <w:bCs/>
                <w:color w:val="000000"/>
                <w:sz w:val="18"/>
                <w:szCs w:val="18"/>
              </w:rPr>
              <w:t>50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FFCFF5" w14:textId="77777777" w:rsidR="00BF19F7" w:rsidRPr="00A3481D" w:rsidRDefault="00BF19F7">
            <w:pPr>
              <w:jc w:val="center"/>
              <w:rPr>
                <w:rFonts w:eastAsiaTheme="minorHAnsi"/>
                <w:bCs/>
                <w:color w:val="000000"/>
                <w:sz w:val="18"/>
                <w:szCs w:val="18"/>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D9B72F" w14:textId="77777777" w:rsidR="00BF19F7" w:rsidRPr="00A3481D" w:rsidRDefault="00384CDF" w:rsidP="00DA380A">
            <w:pPr>
              <w:jc w:val="center"/>
              <w:rPr>
                <w:rFonts w:eastAsiaTheme="minorHAnsi"/>
                <w:b/>
                <w:bCs/>
                <w:color w:val="000000"/>
                <w:sz w:val="18"/>
                <w:szCs w:val="18"/>
              </w:rPr>
            </w:pPr>
            <w:r>
              <w:rPr>
                <w:rFonts w:eastAsiaTheme="minorHAnsi"/>
                <w:b/>
                <w:bCs/>
                <w:color w:val="000000"/>
                <w:sz w:val="18"/>
                <w:szCs w:val="18"/>
              </w:rPr>
              <w:t>32,850</w:t>
            </w:r>
          </w:p>
        </w:tc>
      </w:tr>
    </w:tbl>
    <w:p w14:paraId="0511E1F3" w14:textId="77777777" w:rsidR="00430DA7" w:rsidRPr="0039733B" w:rsidRDefault="004907CD" w:rsidP="000821CA">
      <w:pPr>
        <w:spacing w:before="60" w:beforeAutospacing="0" w:after="0" w:afterAutospacing="0"/>
        <w:ind w:left="144" w:hanging="144"/>
        <w:jc w:val="left"/>
        <w:rPr>
          <w:b/>
          <w:i/>
          <w:color w:val="000000"/>
          <w:spacing w:val="14"/>
          <w:sz w:val="18"/>
          <w:szCs w:val="18"/>
        </w:rPr>
      </w:pPr>
      <w:r w:rsidRPr="0039733B">
        <w:rPr>
          <w:b/>
          <w:i/>
          <w:color w:val="000000"/>
          <w:spacing w:val="14"/>
          <w:sz w:val="18"/>
          <w:szCs w:val="18"/>
        </w:rPr>
        <w:t>* Note: th</w:t>
      </w:r>
      <w:r w:rsidR="003B5FD8">
        <w:rPr>
          <w:b/>
          <w:i/>
          <w:color w:val="000000"/>
          <w:spacing w:val="14"/>
          <w:sz w:val="18"/>
          <w:szCs w:val="18"/>
        </w:rPr>
        <w:t>e Burde</w:t>
      </w:r>
      <w:r w:rsidR="005C1D42">
        <w:rPr>
          <w:b/>
          <w:i/>
          <w:color w:val="000000"/>
          <w:spacing w:val="14"/>
          <w:sz w:val="18"/>
          <w:szCs w:val="18"/>
        </w:rPr>
        <w:t>n</w:t>
      </w:r>
      <w:r w:rsidR="003B5FD8">
        <w:rPr>
          <w:b/>
          <w:i/>
          <w:color w:val="000000"/>
          <w:spacing w:val="14"/>
          <w:sz w:val="18"/>
          <w:szCs w:val="18"/>
        </w:rPr>
        <w:t xml:space="preserve"> Hours per Response</w:t>
      </w:r>
      <w:r w:rsidRPr="0039733B">
        <w:rPr>
          <w:b/>
          <w:i/>
          <w:color w:val="000000"/>
          <w:spacing w:val="14"/>
          <w:sz w:val="18"/>
          <w:szCs w:val="18"/>
        </w:rPr>
        <w:t xml:space="preserve"> is a weighted average across different sizes of respondents.</w:t>
      </w:r>
      <w:r w:rsidR="00821AD4" w:rsidRPr="00821AD4">
        <w:rPr>
          <w:color w:val="000000"/>
          <w:spacing w:val="14"/>
          <w:sz w:val="16"/>
          <w:szCs w:val="18"/>
        </w:rPr>
        <w:t xml:space="preserve"> </w:t>
      </w:r>
      <w:r w:rsidR="00821AD4">
        <w:rPr>
          <w:color w:val="000000"/>
          <w:spacing w:val="14"/>
          <w:sz w:val="16"/>
          <w:szCs w:val="18"/>
        </w:rPr>
        <w:br/>
      </w:r>
    </w:p>
    <w:p w14:paraId="1A15DC8E" w14:textId="77777777" w:rsidR="007A6362" w:rsidRDefault="005F615C" w:rsidP="00452029">
      <w:pPr>
        <w:spacing w:before="60" w:beforeAutospacing="0" w:after="0" w:afterAutospacing="0"/>
        <w:rPr>
          <w:b/>
          <w:color w:val="000000"/>
          <w:spacing w:val="14"/>
          <w:sz w:val="20"/>
          <w:szCs w:val="20"/>
        </w:rPr>
      </w:pPr>
      <w:r w:rsidRPr="005F615C">
        <w:rPr>
          <w:b/>
          <w:color w:val="000000"/>
          <w:spacing w:val="14"/>
          <w:sz w:val="20"/>
          <w:szCs w:val="20"/>
        </w:rPr>
        <w:t>Table 1: O</w:t>
      </w:r>
      <w:r w:rsidR="0093371F">
        <w:rPr>
          <w:b/>
          <w:color w:val="000000"/>
          <w:spacing w:val="14"/>
          <w:sz w:val="20"/>
          <w:szCs w:val="20"/>
        </w:rPr>
        <w:t>GRS</w:t>
      </w:r>
      <w:r w:rsidRPr="005F615C">
        <w:rPr>
          <w:b/>
          <w:color w:val="000000"/>
          <w:spacing w:val="14"/>
          <w:sz w:val="20"/>
          <w:szCs w:val="20"/>
        </w:rPr>
        <w:t xml:space="preserve"> Surveys Burden Information</w:t>
      </w:r>
    </w:p>
    <w:p w14:paraId="53BAECAE" w14:textId="77777777" w:rsidR="007A6362" w:rsidRDefault="007A6362">
      <w:pPr>
        <w:tabs>
          <w:tab w:val="decimal" w:pos="792"/>
        </w:tabs>
        <w:spacing w:before="0" w:beforeAutospacing="0" w:after="0" w:afterAutospacing="0"/>
        <w:rPr>
          <w:b/>
          <w:color w:val="000000"/>
          <w:spacing w:val="14"/>
          <w:sz w:val="20"/>
          <w:szCs w:val="20"/>
        </w:rPr>
      </w:pPr>
    </w:p>
    <w:p w14:paraId="4516B8C9" w14:textId="77777777" w:rsidR="00B34E57" w:rsidRPr="00D810CC" w:rsidRDefault="00B34E57" w:rsidP="008561E4">
      <w:pPr>
        <w:pStyle w:val="Heading2"/>
      </w:pPr>
      <w:bookmarkStart w:id="19" w:name="_Toc349579977"/>
      <w:r w:rsidRPr="00D810CC">
        <w:t>Total Annual Cost to Respondents</w:t>
      </w:r>
      <w:bookmarkEnd w:id="19"/>
    </w:p>
    <w:p w14:paraId="13BBCE3D" w14:textId="77777777" w:rsidR="00A951E8" w:rsidRPr="0039733B" w:rsidRDefault="00A951E8" w:rsidP="002A074D">
      <w:pPr>
        <w:spacing w:before="120" w:beforeAutospacing="0"/>
        <w:rPr>
          <w:sz w:val="22"/>
        </w:rPr>
      </w:pPr>
      <w:r w:rsidRPr="0039733B">
        <w:rPr>
          <w:sz w:val="22"/>
        </w:rPr>
        <w:t xml:space="preserve">The estimated total cost of </w:t>
      </w:r>
      <w:r w:rsidR="00FF04BE" w:rsidRPr="0039733B">
        <w:rPr>
          <w:sz w:val="22"/>
        </w:rPr>
        <w:t>respondent</w:t>
      </w:r>
      <w:r w:rsidRPr="0039733B">
        <w:rPr>
          <w:sz w:val="22"/>
        </w:rPr>
        <w:t xml:space="preserve"> burden hours is </w:t>
      </w:r>
      <w:r w:rsidR="00CC4CE7" w:rsidRPr="0039733B">
        <w:rPr>
          <w:sz w:val="22"/>
        </w:rPr>
        <w:t>$</w:t>
      </w:r>
      <w:r w:rsidR="003D1760" w:rsidRPr="003D1760">
        <w:rPr>
          <w:sz w:val="22"/>
        </w:rPr>
        <w:t>2,365,857</w:t>
      </w:r>
      <w:r w:rsidR="003D1760" w:rsidRPr="003D1760" w:rsidDel="003D1760">
        <w:rPr>
          <w:sz w:val="22"/>
        </w:rPr>
        <w:t xml:space="preserve"> </w:t>
      </w:r>
      <w:r w:rsidRPr="0039733B">
        <w:rPr>
          <w:sz w:val="22"/>
        </w:rPr>
        <w:t>(</w:t>
      </w:r>
      <w:r w:rsidR="00384CDF">
        <w:rPr>
          <w:sz w:val="22"/>
        </w:rPr>
        <w:t>32,850</w:t>
      </w:r>
      <w:r w:rsidRPr="0039733B">
        <w:rPr>
          <w:sz w:val="22"/>
        </w:rPr>
        <w:t xml:space="preserve"> hours x </w:t>
      </w:r>
      <w:r w:rsidR="00165FD7" w:rsidRPr="0039733B">
        <w:rPr>
          <w:sz w:val="22"/>
        </w:rPr>
        <w:t>$</w:t>
      </w:r>
      <w:r w:rsidR="003D1760">
        <w:rPr>
          <w:sz w:val="22"/>
        </w:rPr>
        <w:t>72.02</w:t>
      </w:r>
      <w:r w:rsidR="00165FD7" w:rsidRPr="0039733B">
        <w:rPr>
          <w:sz w:val="22"/>
        </w:rPr>
        <w:t xml:space="preserve"> </w:t>
      </w:r>
      <w:r w:rsidRPr="0039733B">
        <w:rPr>
          <w:sz w:val="22"/>
        </w:rPr>
        <w:t xml:space="preserve">per hour). </w:t>
      </w:r>
      <w:r w:rsidR="00A977D8" w:rsidRPr="0039733B">
        <w:rPr>
          <w:sz w:val="22"/>
        </w:rPr>
        <w:t xml:space="preserve"> </w:t>
      </w:r>
      <w:r w:rsidRPr="0039733B">
        <w:rPr>
          <w:sz w:val="22"/>
        </w:rPr>
        <w:t>An average per hour cost of $</w:t>
      </w:r>
      <w:r w:rsidR="003D1760">
        <w:rPr>
          <w:sz w:val="22"/>
        </w:rPr>
        <w:t>72.02</w:t>
      </w:r>
      <w:r w:rsidRPr="0039733B">
        <w:rPr>
          <w:sz w:val="22"/>
        </w:rPr>
        <w:t xml:space="preserve"> is used because that is the average loaded (salary plus benefits) cost for an EIA employee. </w:t>
      </w:r>
      <w:r w:rsidR="00A977D8" w:rsidRPr="0039733B">
        <w:rPr>
          <w:sz w:val="22"/>
        </w:rPr>
        <w:t xml:space="preserve"> </w:t>
      </w:r>
      <w:r w:rsidRPr="0039733B">
        <w:rPr>
          <w:sz w:val="22"/>
        </w:rPr>
        <w:t>EIA assumes that the survey respondent workforce completing surveys for EIA is comparable with the EIA workforce.</w:t>
      </w:r>
    </w:p>
    <w:p w14:paraId="26E3BE1F" w14:textId="77777777" w:rsidR="00A951E8" w:rsidRPr="0039733B" w:rsidRDefault="00A951E8" w:rsidP="0039733B">
      <w:pPr>
        <w:rPr>
          <w:sz w:val="22"/>
        </w:rPr>
      </w:pPr>
      <w:r w:rsidRPr="0039733B">
        <w:rPr>
          <w:sz w:val="22"/>
        </w:rPr>
        <w:t>EIA does not believe that respondents incur any additional start-up or operational costs in connection with the OGRS surveys other than the costs associated with the burden hours.</w:t>
      </w:r>
    </w:p>
    <w:p w14:paraId="0A017B70" w14:textId="77777777" w:rsidR="00B34E57" w:rsidRPr="00D810CC" w:rsidRDefault="00B34E57" w:rsidP="008561E4">
      <w:pPr>
        <w:pStyle w:val="Heading2"/>
      </w:pPr>
      <w:bookmarkStart w:id="20" w:name="_Toc349579978"/>
      <w:r w:rsidRPr="00D810CC">
        <w:t>Annualized Costs to the Federal Government</w:t>
      </w:r>
      <w:bookmarkEnd w:id="20"/>
    </w:p>
    <w:p w14:paraId="75E938CC" w14:textId="77777777" w:rsidR="00A951E8" w:rsidRPr="002A074D" w:rsidRDefault="00A951E8" w:rsidP="002A074D">
      <w:pPr>
        <w:spacing w:before="120" w:beforeAutospacing="0"/>
        <w:rPr>
          <w:b/>
          <w:bCs/>
          <w:sz w:val="22"/>
        </w:rPr>
      </w:pPr>
      <w:r w:rsidRPr="002A074D">
        <w:rPr>
          <w:sz w:val="22"/>
        </w:rPr>
        <w:t>The annual costs</w:t>
      </w:r>
      <w:r w:rsidR="00FF04BE" w:rsidRPr="002A074D">
        <w:rPr>
          <w:sz w:val="22"/>
        </w:rPr>
        <w:t xml:space="preserve"> of the OGRS data collections to EIA</w:t>
      </w:r>
      <w:r w:rsidRPr="002A074D">
        <w:rPr>
          <w:sz w:val="22"/>
        </w:rPr>
        <w:t>, including personnel, for development/maintenance, collection, processing, analysis, and publication</w:t>
      </w:r>
      <w:r w:rsidR="00FF04BE" w:rsidRPr="002A074D">
        <w:rPr>
          <w:sz w:val="22"/>
        </w:rPr>
        <w:t>,</w:t>
      </w:r>
      <w:r w:rsidRPr="002A074D">
        <w:rPr>
          <w:sz w:val="22"/>
        </w:rPr>
        <w:t xml:space="preserve"> are </w:t>
      </w:r>
      <w:r w:rsidR="00C4538A" w:rsidRPr="002A074D">
        <w:rPr>
          <w:sz w:val="22"/>
        </w:rPr>
        <w:t xml:space="preserve">estimated </w:t>
      </w:r>
      <w:r w:rsidR="00793327" w:rsidRPr="002A074D">
        <w:rPr>
          <w:sz w:val="22"/>
        </w:rPr>
        <w:t>to be</w:t>
      </w:r>
      <w:r w:rsidR="00C4538A" w:rsidRPr="002A074D">
        <w:rPr>
          <w:sz w:val="22"/>
        </w:rPr>
        <w:t xml:space="preserve"> </w:t>
      </w:r>
      <w:r w:rsidRPr="002A074D">
        <w:rPr>
          <w:sz w:val="22"/>
        </w:rPr>
        <w:t>$1,400,000.</w:t>
      </w:r>
    </w:p>
    <w:p w14:paraId="0F34E465" w14:textId="77777777" w:rsidR="00B34E57" w:rsidRPr="00D810CC" w:rsidRDefault="00B34E57" w:rsidP="008561E4">
      <w:pPr>
        <w:pStyle w:val="Heading2"/>
      </w:pPr>
      <w:bookmarkStart w:id="21" w:name="_Toc349579979"/>
      <w:r w:rsidRPr="00D810CC">
        <w:lastRenderedPageBreak/>
        <w:t>Reasons for Changes in Burden</w:t>
      </w:r>
      <w:bookmarkEnd w:id="21"/>
    </w:p>
    <w:tbl>
      <w:tblPr>
        <w:tblW w:w="9851" w:type="dxa"/>
        <w:tblInd w:w="-23" w:type="dxa"/>
        <w:tblLayout w:type="fixed"/>
        <w:tblCellMar>
          <w:left w:w="0" w:type="dxa"/>
          <w:right w:w="0" w:type="dxa"/>
        </w:tblCellMar>
        <w:tblLook w:val="04A0" w:firstRow="1" w:lastRow="0" w:firstColumn="1" w:lastColumn="0" w:noHBand="0" w:noVBand="1"/>
      </w:tblPr>
      <w:tblGrid>
        <w:gridCol w:w="1391"/>
        <w:gridCol w:w="1260"/>
        <w:gridCol w:w="1260"/>
        <w:gridCol w:w="1080"/>
        <w:gridCol w:w="1080"/>
        <w:gridCol w:w="1080"/>
        <w:gridCol w:w="900"/>
        <w:gridCol w:w="900"/>
        <w:gridCol w:w="691"/>
        <w:gridCol w:w="209"/>
      </w:tblGrid>
      <w:tr w:rsidR="0052485F" w:rsidRPr="002A074D" w14:paraId="31F9B91E" w14:textId="77777777" w:rsidTr="00D445C4">
        <w:trPr>
          <w:gridAfter w:val="1"/>
          <w:wAfter w:w="209" w:type="dxa"/>
          <w:trHeight w:val="2220"/>
        </w:trPr>
        <w:tc>
          <w:tcPr>
            <w:tcW w:w="9642" w:type="dxa"/>
            <w:gridSpan w:val="9"/>
            <w:tcBorders>
              <w:top w:val="nil"/>
            </w:tcBorders>
            <w:tcMar>
              <w:top w:w="0" w:type="dxa"/>
              <w:left w:w="108" w:type="dxa"/>
              <w:bottom w:w="0" w:type="dxa"/>
              <w:right w:w="108" w:type="dxa"/>
            </w:tcMar>
            <w:vAlign w:val="bottom"/>
            <w:hideMark/>
          </w:tcPr>
          <w:p w14:paraId="3B31139A" w14:textId="2DB9462F" w:rsidR="007A6362" w:rsidRDefault="008B081B" w:rsidP="002A074D">
            <w:pPr>
              <w:spacing w:before="120" w:beforeAutospacing="0"/>
              <w:rPr>
                <w:sz w:val="22"/>
              </w:rPr>
            </w:pPr>
            <w:r w:rsidRPr="002A074D">
              <w:rPr>
                <w:sz w:val="22"/>
              </w:rPr>
              <w:t xml:space="preserve">Total </w:t>
            </w:r>
            <w:r w:rsidR="00E34C3B" w:rsidRPr="002A074D">
              <w:rPr>
                <w:sz w:val="22"/>
              </w:rPr>
              <w:t xml:space="preserve">respondent reporting </w:t>
            </w:r>
            <w:r w:rsidRPr="002A074D">
              <w:rPr>
                <w:sz w:val="22"/>
              </w:rPr>
              <w:t>burden for the OGRS data collection</w:t>
            </w:r>
            <w:r w:rsidR="00E86C84" w:rsidRPr="002A074D">
              <w:rPr>
                <w:sz w:val="22"/>
              </w:rPr>
              <w:t xml:space="preserve">, </w:t>
            </w:r>
            <w:r w:rsidR="001B23FC" w:rsidRPr="00D17DAF">
              <w:rPr>
                <w:sz w:val="22"/>
              </w:rPr>
              <w:t xml:space="preserve">estimated at </w:t>
            </w:r>
            <w:r w:rsidR="00F14439">
              <w:rPr>
                <w:sz w:val="22"/>
              </w:rPr>
              <w:t>32,850</w:t>
            </w:r>
            <w:r w:rsidR="00E86C84" w:rsidRPr="00D17DAF">
              <w:rPr>
                <w:sz w:val="22"/>
              </w:rPr>
              <w:t xml:space="preserve"> hours</w:t>
            </w:r>
            <w:r w:rsidR="00E86C84" w:rsidRPr="002A074D">
              <w:rPr>
                <w:sz w:val="22"/>
              </w:rPr>
              <w:t>,</w:t>
            </w:r>
            <w:r w:rsidRPr="002A074D">
              <w:rPr>
                <w:sz w:val="22"/>
              </w:rPr>
              <w:t xml:space="preserve"> will be reduced by </w:t>
            </w:r>
            <w:r w:rsidR="00F14439">
              <w:rPr>
                <w:sz w:val="22"/>
              </w:rPr>
              <w:t>10,800</w:t>
            </w:r>
            <w:r w:rsidRPr="00D17DAF">
              <w:rPr>
                <w:sz w:val="22"/>
              </w:rPr>
              <w:t xml:space="preserve"> hours</w:t>
            </w:r>
            <w:r w:rsidR="00E86C84" w:rsidRPr="002A074D">
              <w:rPr>
                <w:sz w:val="22"/>
              </w:rPr>
              <w:t xml:space="preserve"> from the </w:t>
            </w:r>
            <w:r w:rsidR="00E34C3B" w:rsidRPr="002A074D">
              <w:rPr>
                <w:sz w:val="22"/>
              </w:rPr>
              <w:t>previously-approved</w:t>
            </w:r>
            <w:r w:rsidR="00E86C84" w:rsidRPr="002A074D">
              <w:rPr>
                <w:sz w:val="22"/>
              </w:rPr>
              <w:t xml:space="preserve"> </w:t>
            </w:r>
            <w:r w:rsidR="001B23FC" w:rsidRPr="002A074D">
              <w:rPr>
                <w:sz w:val="22"/>
              </w:rPr>
              <w:t xml:space="preserve">OGRS </w:t>
            </w:r>
            <w:r w:rsidR="00E86C84" w:rsidRPr="002A074D">
              <w:rPr>
                <w:sz w:val="22"/>
              </w:rPr>
              <w:t>burden</w:t>
            </w:r>
            <w:r w:rsidR="00E34C3B" w:rsidRPr="002A074D">
              <w:rPr>
                <w:sz w:val="22"/>
              </w:rPr>
              <w:t xml:space="preserve"> hours</w:t>
            </w:r>
            <w:r w:rsidR="00E86C84" w:rsidRPr="002A074D">
              <w:rPr>
                <w:sz w:val="22"/>
              </w:rPr>
              <w:t>,</w:t>
            </w:r>
            <w:r w:rsidRPr="002A074D">
              <w:rPr>
                <w:sz w:val="22"/>
              </w:rPr>
              <w:t xml:space="preserve"> because </w:t>
            </w:r>
            <w:r w:rsidR="00B77724">
              <w:rPr>
                <w:sz w:val="22"/>
              </w:rPr>
              <w:t>of</w:t>
            </w:r>
            <w:r w:rsidRPr="002A074D">
              <w:rPr>
                <w:sz w:val="22"/>
              </w:rPr>
              <w:t xml:space="preserve"> </w:t>
            </w:r>
            <w:r w:rsidR="00E34C3B" w:rsidRPr="002A074D">
              <w:rPr>
                <w:sz w:val="22"/>
              </w:rPr>
              <w:t xml:space="preserve">the reduction in </w:t>
            </w:r>
            <w:r w:rsidR="008C2F54" w:rsidRPr="002A074D">
              <w:rPr>
                <w:sz w:val="22"/>
              </w:rPr>
              <w:t xml:space="preserve">the number of </w:t>
            </w:r>
            <w:r w:rsidR="00B77724">
              <w:rPr>
                <w:sz w:val="22"/>
              </w:rPr>
              <w:t xml:space="preserve">line entries on Schedule A of Form </w:t>
            </w:r>
            <w:r w:rsidR="00CC4CE7" w:rsidRPr="002A074D">
              <w:rPr>
                <w:sz w:val="22"/>
              </w:rPr>
              <w:t>EIA-23</w:t>
            </w:r>
            <w:r w:rsidR="00B77724">
              <w:rPr>
                <w:sz w:val="22"/>
              </w:rPr>
              <w:t>L</w:t>
            </w:r>
            <w:r w:rsidR="00E34C3B" w:rsidRPr="002A074D">
              <w:rPr>
                <w:sz w:val="22"/>
              </w:rPr>
              <w:t>.</w:t>
            </w:r>
            <w:r w:rsidR="003551D0" w:rsidRPr="002A074D">
              <w:rPr>
                <w:sz w:val="22"/>
              </w:rPr>
              <w:t xml:space="preserve"> </w:t>
            </w:r>
            <w:r w:rsidR="00723271">
              <w:rPr>
                <w:sz w:val="22"/>
              </w:rPr>
              <w:t>Also, the proposed sample size for this form is 650 respondents</w:t>
            </w:r>
            <w:r w:rsidR="00F86DD9">
              <w:rPr>
                <w:sz w:val="22"/>
              </w:rPr>
              <w:t xml:space="preserve">, </w:t>
            </w:r>
            <w:r w:rsidR="00723271">
              <w:rPr>
                <w:sz w:val="22"/>
              </w:rPr>
              <w:t xml:space="preserve">a reduction of 200 respondents from the sample size of 850 in the previous clearance. There are two reasons for the reduction in sample size: 1) parent companies already in the sample will report for all of their subsidiary companies and 2) the geological provinces used to define estimation groups were modified to meet the target </w:t>
            </w:r>
            <w:r w:rsidR="00F86DD9" w:rsidRPr="0044662E">
              <w:rPr>
                <w:sz w:val="22"/>
              </w:rPr>
              <w:t>relative standard error</w:t>
            </w:r>
            <w:r w:rsidR="00F86DD9">
              <w:rPr>
                <w:sz w:val="22"/>
              </w:rPr>
              <w:t>s</w:t>
            </w:r>
            <w:r w:rsidR="00F86DD9" w:rsidRPr="0044662E">
              <w:rPr>
                <w:sz w:val="22"/>
              </w:rPr>
              <w:t xml:space="preserve"> (RSE</w:t>
            </w:r>
            <w:r w:rsidR="00F86DD9">
              <w:rPr>
                <w:sz w:val="22"/>
              </w:rPr>
              <w:t>s)</w:t>
            </w:r>
            <w:r w:rsidR="00723271">
              <w:rPr>
                <w:sz w:val="22"/>
              </w:rPr>
              <w:t xml:space="preserve"> with a lower sample size. </w:t>
            </w:r>
            <w:r w:rsidR="00281E93">
              <w:rPr>
                <w:sz w:val="22"/>
              </w:rPr>
              <w:t>As described above in A</w:t>
            </w:r>
            <w:r w:rsidR="009A1B94">
              <w:rPr>
                <w:sz w:val="22"/>
              </w:rPr>
              <w:t>.</w:t>
            </w:r>
            <w:r w:rsidR="00281E93">
              <w:rPr>
                <w:sz w:val="22"/>
              </w:rPr>
              <w:t>1</w:t>
            </w:r>
            <w:r w:rsidR="001620FA">
              <w:rPr>
                <w:sz w:val="22"/>
              </w:rPr>
              <w:t>2</w:t>
            </w:r>
            <w:r w:rsidR="00281E93">
              <w:rPr>
                <w:sz w:val="22"/>
              </w:rPr>
              <w:t xml:space="preserve">, EIA conducted cognitive research concerning the burden hour estimate for researching and completing Form EIA-23L and concluded that the burden hour should be reduced from 47.1 hours per respondent down to 45 hours per respondent.  The EIA cognitive research report has been uploaded to this information collection request to provide additional information to the public regarding this burden estimate change.  </w:t>
            </w:r>
            <w:r w:rsidR="00A951E8" w:rsidRPr="002A074D">
              <w:rPr>
                <w:sz w:val="22"/>
              </w:rPr>
              <w:t xml:space="preserve">The </w:t>
            </w:r>
            <w:r w:rsidRPr="002A074D">
              <w:rPr>
                <w:sz w:val="22"/>
              </w:rPr>
              <w:t xml:space="preserve">total </w:t>
            </w:r>
            <w:r w:rsidR="00A951E8" w:rsidRPr="002A074D">
              <w:rPr>
                <w:sz w:val="22"/>
              </w:rPr>
              <w:t xml:space="preserve">burden for </w:t>
            </w:r>
            <w:r w:rsidR="007230BE" w:rsidRPr="002A074D">
              <w:rPr>
                <w:sz w:val="22"/>
              </w:rPr>
              <w:t xml:space="preserve">respondents to </w:t>
            </w:r>
            <w:r w:rsidR="00E34C3B" w:rsidRPr="002A074D">
              <w:rPr>
                <w:sz w:val="22"/>
              </w:rPr>
              <w:t xml:space="preserve">Form </w:t>
            </w:r>
            <w:r w:rsidR="007230BE" w:rsidRPr="002A074D">
              <w:rPr>
                <w:sz w:val="22"/>
              </w:rPr>
              <w:t xml:space="preserve">EIA-64A </w:t>
            </w:r>
            <w:r w:rsidR="00D65BE5">
              <w:rPr>
                <w:sz w:val="22"/>
              </w:rPr>
              <w:t>remains the same because no changes are proposed to the form.</w:t>
            </w:r>
          </w:p>
          <w:tbl>
            <w:tblPr>
              <w:tblStyle w:val="TableGrid"/>
              <w:tblW w:w="0" w:type="auto"/>
              <w:tblLayout w:type="fixed"/>
              <w:tblLook w:val="04A0" w:firstRow="1" w:lastRow="0" w:firstColumn="1" w:lastColumn="0" w:noHBand="0" w:noVBand="1"/>
            </w:tblPr>
            <w:tblGrid>
              <w:gridCol w:w="2358"/>
              <w:gridCol w:w="2250"/>
              <w:gridCol w:w="2361"/>
              <w:gridCol w:w="2409"/>
            </w:tblGrid>
            <w:tr w:rsidR="00DA380A" w14:paraId="08D9A47E" w14:textId="77777777" w:rsidTr="00E61A81">
              <w:tc>
                <w:tcPr>
                  <w:tcW w:w="2358" w:type="dxa"/>
                </w:tcPr>
                <w:p w14:paraId="64C9CF3D" w14:textId="77777777" w:rsidR="00DA380A" w:rsidRPr="007D15B1" w:rsidRDefault="00E61A81" w:rsidP="00E332B1">
                  <w:pPr>
                    <w:spacing w:before="120" w:beforeAutospacing="0"/>
                    <w:jc w:val="left"/>
                    <w:rPr>
                      <w:rFonts w:asciiTheme="minorHAnsi" w:hAnsiTheme="minorHAnsi" w:cs="Arial"/>
                      <w:sz w:val="18"/>
                      <w:szCs w:val="18"/>
                    </w:rPr>
                  </w:pPr>
                  <w:r>
                    <w:rPr>
                      <w:rFonts w:asciiTheme="minorHAnsi" w:hAnsiTheme="minorHAnsi" w:cs="Arial"/>
                      <w:sz w:val="18"/>
                      <w:szCs w:val="18"/>
                    </w:rPr>
                    <w:t xml:space="preserve">Old </w:t>
                  </w:r>
                  <w:r w:rsidR="00DA380A">
                    <w:rPr>
                      <w:rFonts w:asciiTheme="minorHAnsi" w:hAnsiTheme="minorHAnsi" w:cs="Arial"/>
                      <w:sz w:val="18"/>
                      <w:szCs w:val="18"/>
                    </w:rPr>
                    <w:t>Form EIA-23L</w:t>
                  </w:r>
                  <w:r w:rsidR="00DA380A">
                    <w:rPr>
                      <w:rFonts w:asciiTheme="minorHAnsi" w:hAnsiTheme="minorHAnsi" w:cs="Arial"/>
                      <w:sz w:val="18"/>
                      <w:szCs w:val="18"/>
                    </w:rPr>
                    <w:br/>
                  </w:r>
                  <w:r w:rsidR="00DA380A" w:rsidRPr="007D15B1">
                    <w:rPr>
                      <w:rFonts w:asciiTheme="minorHAnsi" w:hAnsiTheme="minorHAnsi" w:cs="Arial"/>
                      <w:sz w:val="18"/>
                      <w:szCs w:val="18"/>
                    </w:rPr>
                    <w:t>Operator Size</w:t>
                  </w:r>
                </w:p>
              </w:tc>
              <w:tc>
                <w:tcPr>
                  <w:tcW w:w="2250" w:type="dxa"/>
                </w:tcPr>
                <w:p w14:paraId="2D203E43" w14:textId="77777777" w:rsidR="00DA380A" w:rsidRPr="007D15B1" w:rsidRDefault="00E61A81" w:rsidP="00E332B1">
                  <w:pPr>
                    <w:spacing w:before="120" w:beforeAutospacing="0"/>
                    <w:jc w:val="left"/>
                    <w:rPr>
                      <w:rFonts w:asciiTheme="minorHAnsi" w:hAnsiTheme="minorHAnsi" w:cs="Arial"/>
                      <w:sz w:val="18"/>
                      <w:szCs w:val="18"/>
                    </w:rPr>
                  </w:pPr>
                  <w:r>
                    <w:rPr>
                      <w:rFonts w:asciiTheme="minorHAnsi" w:hAnsiTheme="minorHAnsi" w:cs="Arial"/>
                      <w:sz w:val="18"/>
                      <w:szCs w:val="18"/>
                    </w:rPr>
                    <w:t xml:space="preserve">Old </w:t>
                  </w:r>
                  <w:r w:rsidR="00DA380A" w:rsidRPr="007D15B1">
                    <w:rPr>
                      <w:rFonts w:asciiTheme="minorHAnsi" w:hAnsiTheme="minorHAnsi" w:cs="Arial"/>
                      <w:sz w:val="18"/>
                      <w:szCs w:val="18"/>
                    </w:rPr>
                    <w:t>Number of Respondents surveyed per year</w:t>
                  </w:r>
                </w:p>
              </w:tc>
              <w:tc>
                <w:tcPr>
                  <w:tcW w:w="2361" w:type="dxa"/>
                </w:tcPr>
                <w:p w14:paraId="490167C8" w14:textId="77777777" w:rsidR="00DA380A" w:rsidRPr="007D15B1" w:rsidRDefault="00E61A81" w:rsidP="00E332B1">
                  <w:pPr>
                    <w:spacing w:before="120" w:beforeAutospacing="0"/>
                    <w:jc w:val="left"/>
                    <w:rPr>
                      <w:rFonts w:asciiTheme="minorHAnsi" w:hAnsiTheme="minorHAnsi" w:cs="Arial"/>
                      <w:sz w:val="18"/>
                      <w:szCs w:val="18"/>
                    </w:rPr>
                  </w:pPr>
                  <w:r>
                    <w:rPr>
                      <w:rFonts w:asciiTheme="minorHAnsi" w:hAnsiTheme="minorHAnsi" w:cs="Arial"/>
                      <w:sz w:val="18"/>
                      <w:szCs w:val="18"/>
                    </w:rPr>
                    <w:t xml:space="preserve">Old </w:t>
                  </w:r>
                  <w:r w:rsidR="00DA380A" w:rsidRPr="007D15B1">
                    <w:rPr>
                      <w:rFonts w:asciiTheme="minorHAnsi" w:hAnsiTheme="minorHAnsi" w:cs="Arial"/>
                      <w:sz w:val="18"/>
                      <w:szCs w:val="18"/>
                    </w:rPr>
                    <w:t>Burden hours per response to complete Form EIA-23L</w:t>
                  </w:r>
                </w:p>
              </w:tc>
              <w:tc>
                <w:tcPr>
                  <w:tcW w:w="2409" w:type="dxa"/>
                </w:tcPr>
                <w:p w14:paraId="55F73C85" w14:textId="77777777" w:rsidR="00DA380A" w:rsidRPr="007D15B1" w:rsidRDefault="00E61A81" w:rsidP="00E332B1">
                  <w:pPr>
                    <w:spacing w:before="120" w:beforeAutospacing="0"/>
                    <w:jc w:val="left"/>
                    <w:rPr>
                      <w:rFonts w:asciiTheme="minorHAnsi" w:hAnsiTheme="minorHAnsi" w:cs="Arial"/>
                      <w:sz w:val="18"/>
                      <w:szCs w:val="18"/>
                    </w:rPr>
                  </w:pPr>
                  <w:r>
                    <w:rPr>
                      <w:rFonts w:asciiTheme="minorHAnsi" w:hAnsiTheme="minorHAnsi" w:cs="Arial"/>
                      <w:sz w:val="18"/>
                      <w:szCs w:val="18"/>
                    </w:rPr>
                    <w:t xml:space="preserve">Old </w:t>
                  </w:r>
                  <w:r w:rsidR="00DA380A" w:rsidRPr="007D15B1">
                    <w:rPr>
                      <w:rFonts w:asciiTheme="minorHAnsi" w:hAnsiTheme="minorHAnsi" w:cs="Arial"/>
                      <w:sz w:val="18"/>
                      <w:szCs w:val="18"/>
                    </w:rPr>
                    <w:t>Annual Burden hours</w:t>
                  </w:r>
                </w:p>
              </w:tc>
            </w:tr>
            <w:tr w:rsidR="00DA380A" w14:paraId="59DC77A4" w14:textId="77777777" w:rsidTr="00E61A81">
              <w:tc>
                <w:tcPr>
                  <w:tcW w:w="2358" w:type="dxa"/>
                </w:tcPr>
                <w:p w14:paraId="20883803" w14:textId="77777777" w:rsidR="00DA380A" w:rsidRPr="007D15B1" w:rsidRDefault="00DA380A" w:rsidP="00E332B1">
                  <w:pPr>
                    <w:spacing w:before="120" w:beforeAutospacing="0"/>
                    <w:rPr>
                      <w:rFonts w:asciiTheme="minorHAnsi" w:hAnsiTheme="minorHAnsi" w:cs="Arial"/>
                      <w:sz w:val="18"/>
                      <w:szCs w:val="18"/>
                    </w:rPr>
                  </w:pPr>
                  <w:r w:rsidRPr="007D15B1">
                    <w:rPr>
                      <w:rFonts w:asciiTheme="minorHAnsi" w:hAnsiTheme="minorHAnsi" w:cs="Arial"/>
                      <w:sz w:val="18"/>
                      <w:szCs w:val="18"/>
                    </w:rPr>
                    <w:t xml:space="preserve">Largest producers by volume </w:t>
                  </w:r>
                </w:p>
              </w:tc>
              <w:tc>
                <w:tcPr>
                  <w:tcW w:w="2250" w:type="dxa"/>
                </w:tcPr>
                <w:p w14:paraId="24D99472" w14:textId="77777777" w:rsidR="00DA380A" w:rsidRPr="007D15B1" w:rsidRDefault="00DA380A" w:rsidP="00E332B1">
                  <w:pPr>
                    <w:spacing w:before="120" w:beforeAutospacing="0"/>
                    <w:rPr>
                      <w:rFonts w:asciiTheme="minorHAnsi" w:hAnsiTheme="minorHAnsi" w:cs="Arial"/>
                      <w:sz w:val="18"/>
                      <w:szCs w:val="18"/>
                    </w:rPr>
                  </w:pPr>
                  <w:r w:rsidRPr="007D15B1">
                    <w:rPr>
                      <w:rFonts w:asciiTheme="minorHAnsi" w:hAnsiTheme="minorHAnsi" w:cs="Arial"/>
                      <w:sz w:val="18"/>
                      <w:szCs w:val="18"/>
                    </w:rPr>
                    <w:t>160</w:t>
                  </w:r>
                </w:p>
              </w:tc>
              <w:tc>
                <w:tcPr>
                  <w:tcW w:w="2361" w:type="dxa"/>
                </w:tcPr>
                <w:p w14:paraId="4A20AC96" w14:textId="77777777" w:rsidR="00DA380A" w:rsidRPr="007D15B1" w:rsidRDefault="00E61A81" w:rsidP="00E61A81">
                  <w:pPr>
                    <w:spacing w:before="120" w:beforeAutospacing="0"/>
                    <w:rPr>
                      <w:rFonts w:asciiTheme="minorHAnsi" w:hAnsiTheme="minorHAnsi" w:cs="Arial"/>
                      <w:sz w:val="18"/>
                      <w:szCs w:val="18"/>
                    </w:rPr>
                  </w:pPr>
                  <w:r>
                    <w:rPr>
                      <w:rFonts w:asciiTheme="minorHAnsi" w:hAnsiTheme="minorHAnsi" w:cs="Arial"/>
                      <w:sz w:val="18"/>
                      <w:szCs w:val="18"/>
                    </w:rPr>
                    <w:t>120</w:t>
                  </w:r>
                  <w:r w:rsidR="00DA380A" w:rsidRPr="007D15B1">
                    <w:rPr>
                      <w:rFonts w:asciiTheme="minorHAnsi" w:hAnsiTheme="minorHAnsi" w:cs="Arial"/>
                      <w:sz w:val="18"/>
                      <w:szCs w:val="18"/>
                    </w:rPr>
                    <w:t xml:space="preserve"> hours</w:t>
                  </w:r>
                </w:p>
              </w:tc>
              <w:tc>
                <w:tcPr>
                  <w:tcW w:w="2409" w:type="dxa"/>
                </w:tcPr>
                <w:p w14:paraId="6289C1CB" w14:textId="77777777" w:rsidR="00DA380A" w:rsidRPr="007D15B1" w:rsidRDefault="00DA380A" w:rsidP="00E61A81">
                  <w:pPr>
                    <w:spacing w:before="120" w:beforeAutospacing="0"/>
                    <w:rPr>
                      <w:rFonts w:asciiTheme="minorHAnsi" w:hAnsiTheme="minorHAnsi" w:cs="Arial"/>
                      <w:sz w:val="18"/>
                      <w:szCs w:val="18"/>
                    </w:rPr>
                  </w:pPr>
                  <w:r w:rsidRPr="007D15B1">
                    <w:rPr>
                      <w:rFonts w:asciiTheme="minorHAnsi" w:hAnsiTheme="minorHAnsi" w:cs="Arial"/>
                      <w:sz w:val="18"/>
                      <w:szCs w:val="18"/>
                    </w:rPr>
                    <w:t>1</w:t>
                  </w:r>
                  <w:r w:rsidR="00E61A81">
                    <w:rPr>
                      <w:rFonts w:asciiTheme="minorHAnsi" w:hAnsiTheme="minorHAnsi" w:cs="Arial"/>
                      <w:sz w:val="18"/>
                      <w:szCs w:val="18"/>
                    </w:rPr>
                    <w:t>9</w:t>
                  </w:r>
                  <w:r w:rsidRPr="007D15B1">
                    <w:rPr>
                      <w:rFonts w:asciiTheme="minorHAnsi" w:hAnsiTheme="minorHAnsi" w:cs="Arial"/>
                      <w:sz w:val="18"/>
                      <w:szCs w:val="18"/>
                    </w:rPr>
                    <w:t>,</w:t>
                  </w:r>
                  <w:r w:rsidR="00E61A81">
                    <w:rPr>
                      <w:rFonts w:asciiTheme="minorHAnsi" w:hAnsiTheme="minorHAnsi" w:cs="Arial"/>
                      <w:sz w:val="18"/>
                      <w:szCs w:val="18"/>
                    </w:rPr>
                    <w:t>2</w:t>
                  </w:r>
                  <w:r w:rsidRPr="007D15B1">
                    <w:rPr>
                      <w:rFonts w:asciiTheme="minorHAnsi" w:hAnsiTheme="minorHAnsi" w:cs="Arial"/>
                      <w:sz w:val="18"/>
                      <w:szCs w:val="18"/>
                    </w:rPr>
                    <w:t>00</w:t>
                  </w:r>
                </w:p>
              </w:tc>
            </w:tr>
            <w:tr w:rsidR="00DA380A" w14:paraId="5389A65D" w14:textId="77777777" w:rsidTr="00E61A81">
              <w:tc>
                <w:tcPr>
                  <w:tcW w:w="2358" w:type="dxa"/>
                </w:tcPr>
                <w:p w14:paraId="79E6A1D2" w14:textId="77777777" w:rsidR="00DA380A" w:rsidRPr="007D15B1" w:rsidRDefault="00DA380A" w:rsidP="00E332B1">
                  <w:pPr>
                    <w:spacing w:before="120" w:beforeAutospacing="0"/>
                    <w:rPr>
                      <w:rFonts w:asciiTheme="minorHAnsi" w:hAnsiTheme="minorHAnsi" w:cs="Arial"/>
                      <w:sz w:val="18"/>
                      <w:szCs w:val="18"/>
                    </w:rPr>
                  </w:pPr>
                  <w:r w:rsidRPr="007D15B1">
                    <w:rPr>
                      <w:rFonts w:asciiTheme="minorHAnsi" w:hAnsiTheme="minorHAnsi" w:cs="Arial"/>
                      <w:sz w:val="18"/>
                      <w:szCs w:val="18"/>
                    </w:rPr>
                    <w:t>Mid-sized producers</w:t>
                  </w:r>
                </w:p>
              </w:tc>
              <w:tc>
                <w:tcPr>
                  <w:tcW w:w="2250" w:type="dxa"/>
                </w:tcPr>
                <w:p w14:paraId="1FDAEDED" w14:textId="77777777" w:rsidR="00DA380A" w:rsidRPr="007D15B1" w:rsidRDefault="00DA380A" w:rsidP="00E332B1">
                  <w:pPr>
                    <w:spacing w:before="120" w:beforeAutospacing="0"/>
                    <w:rPr>
                      <w:rFonts w:asciiTheme="minorHAnsi" w:hAnsiTheme="minorHAnsi" w:cs="Arial"/>
                      <w:sz w:val="18"/>
                      <w:szCs w:val="18"/>
                    </w:rPr>
                  </w:pPr>
                  <w:r>
                    <w:rPr>
                      <w:rFonts w:asciiTheme="minorHAnsi" w:hAnsiTheme="minorHAnsi" w:cs="Arial"/>
                      <w:sz w:val="18"/>
                      <w:szCs w:val="18"/>
                    </w:rPr>
                    <w:t>4</w:t>
                  </w:r>
                  <w:r w:rsidRPr="007D15B1">
                    <w:rPr>
                      <w:rFonts w:asciiTheme="minorHAnsi" w:hAnsiTheme="minorHAnsi" w:cs="Arial"/>
                      <w:sz w:val="18"/>
                      <w:szCs w:val="18"/>
                    </w:rPr>
                    <w:t>20</w:t>
                  </w:r>
                </w:p>
              </w:tc>
              <w:tc>
                <w:tcPr>
                  <w:tcW w:w="2361" w:type="dxa"/>
                </w:tcPr>
                <w:p w14:paraId="2CE661A9" w14:textId="77777777" w:rsidR="00DA380A" w:rsidRPr="007D15B1" w:rsidRDefault="00E61A81" w:rsidP="00E332B1">
                  <w:pPr>
                    <w:spacing w:before="120" w:beforeAutospacing="0"/>
                    <w:rPr>
                      <w:rFonts w:asciiTheme="minorHAnsi" w:hAnsiTheme="minorHAnsi" w:cs="Arial"/>
                      <w:sz w:val="18"/>
                      <w:szCs w:val="18"/>
                    </w:rPr>
                  </w:pPr>
                  <w:r>
                    <w:rPr>
                      <w:rFonts w:asciiTheme="minorHAnsi" w:hAnsiTheme="minorHAnsi" w:cs="Arial"/>
                      <w:sz w:val="18"/>
                      <w:szCs w:val="18"/>
                    </w:rPr>
                    <w:t>40</w:t>
                  </w:r>
                  <w:r w:rsidR="00DA380A" w:rsidRPr="007D15B1">
                    <w:rPr>
                      <w:rFonts w:asciiTheme="minorHAnsi" w:hAnsiTheme="minorHAnsi" w:cs="Arial"/>
                      <w:sz w:val="18"/>
                      <w:szCs w:val="18"/>
                    </w:rPr>
                    <w:t xml:space="preserve"> hours</w:t>
                  </w:r>
                </w:p>
              </w:tc>
              <w:tc>
                <w:tcPr>
                  <w:tcW w:w="2409" w:type="dxa"/>
                </w:tcPr>
                <w:p w14:paraId="1D3D4B97" w14:textId="77777777" w:rsidR="00DA380A" w:rsidRPr="007D15B1" w:rsidRDefault="00DA380A" w:rsidP="00E61A81">
                  <w:pPr>
                    <w:spacing w:before="120" w:beforeAutospacing="0"/>
                    <w:rPr>
                      <w:rFonts w:asciiTheme="minorHAnsi" w:hAnsiTheme="minorHAnsi" w:cs="Arial"/>
                      <w:sz w:val="18"/>
                      <w:szCs w:val="18"/>
                    </w:rPr>
                  </w:pPr>
                  <w:r w:rsidRPr="007D15B1">
                    <w:rPr>
                      <w:rFonts w:asciiTheme="minorHAnsi" w:hAnsiTheme="minorHAnsi" w:cs="Arial"/>
                      <w:sz w:val="18"/>
                      <w:szCs w:val="18"/>
                    </w:rPr>
                    <w:t>1</w:t>
                  </w:r>
                  <w:r w:rsidR="00E61A81">
                    <w:rPr>
                      <w:rFonts w:asciiTheme="minorHAnsi" w:hAnsiTheme="minorHAnsi" w:cs="Arial"/>
                      <w:sz w:val="18"/>
                      <w:szCs w:val="18"/>
                    </w:rPr>
                    <w:t>6</w:t>
                  </w:r>
                  <w:r w:rsidRPr="007D15B1">
                    <w:rPr>
                      <w:rFonts w:asciiTheme="minorHAnsi" w:hAnsiTheme="minorHAnsi" w:cs="Arial"/>
                      <w:sz w:val="18"/>
                      <w:szCs w:val="18"/>
                    </w:rPr>
                    <w:t>,80</w:t>
                  </w:r>
                  <w:r w:rsidR="00E61A81">
                    <w:rPr>
                      <w:rFonts w:asciiTheme="minorHAnsi" w:hAnsiTheme="minorHAnsi" w:cs="Arial"/>
                      <w:sz w:val="18"/>
                      <w:szCs w:val="18"/>
                    </w:rPr>
                    <w:t>0</w:t>
                  </w:r>
                </w:p>
              </w:tc>
            </w:tr>
            <w:tr w:rsidR="00DA380A" w14:paraId="4A2DE8AC" w14:textId="77777777" w:rsidTr="00E61A81">
              <w:tc>
                <w:tcPr>
                  <w:tcW w:w="2358" w:type="dxa"/>
                </w:tcPr>
                <w:p w14:paraId="62C014B3" w14:textId="77777777" w:rsidR="00DA380A" w:rsidRPr="007D15B1" w:rsidRDefault="00DA380A" w:rsidP="00E332B1">
                  <w:pPr>
                    <w:spacing w:before="120" w:beforeAutospacing="0"/>
                    <w:rPr>
                      <w:rFonts w:asciiTheme="minorHAnsi" w:hAnsiTheme="minorHAnsi" w:cs="Arial"/>
                      <w:sz w:val="18"/>
                      <w:szCs w:val="18"/>
                    </w:rPr>
                  </w:pPr>
                  <w:r w:rsidRPr="007D15B1">
                    <w:rPr>
                      <w:rFonts w:asciiTheme="minorHAnsi" w:hAnsiTheme="minorHAnsi" w:cs="Arial"/>
                      <w:sz w:val="18"/>
                      <w:szCs w:val="18"/>
                    </w:rPr>
                    <w:t>Small producers</w:t>
                  </w:r>
                </w:p>
              </w:tc>
              <w:tc>
                <w:tcPr>
                  <w:tcW w:w="2250" w:type="dxa"/>
                </w:tcPr>
                <w:p w14:paraId="7DE70BD6" w14:textId="77777777" w:rsidR="00DA380A" w:rsidRPr="007D15B1" w:rsidRDefault="00DA380A" w:rsidP="00E332B1">
                  <w:pPr>
                    <w:spacing w:before="120" w:beforeAutospacing="0"/>
                    <w:rPr>
                      <w:rFonts w:asciiTheme="minorHAnsi" w:hAnsiTheme="minorHAnsi" w:cs="Arial"/>
                      <w:sz w:val="18"/>
                      <w:szCs w:val="18"/>
                    </w:rPr>
                  </w:pPr>
                  <w:r>
                    <w:rPr>
                      <w:rFonts w:asciiTheme="minorHAnsi" w:hAnsiTheme="minorHAnsi" w:cs="Arial"/>
                      <w:sz w:val="18"/>
                      <w:szCs w:val="18"/>
                    </w:rPr>
                    <w:t>2</w:t>
                  </w:r>
                  <w:r w:rsidRPr="007D15B1">
                    <w:rPr>
                      <w:rFonts w:asciiTheme="minorHAnsi" w:hAnsiTheme="minorHAnsi" w:cs="Arial"/>
                      <w:sz w:val="18"/>
                      <w:szCs w:val="18"/>
                    </w:rPr>
                    <w:t>70</w:t>
                  </w:r>
                </w:p>
              </w:tc>
              <w:tc>
                <w:tcPr>
                  <w:tcW w:w="2361" w:type="dxa"/>
                </w:tcPr>
                <w:p w14:paraId="23BE17C4" w14:textId="77777777" w:rsidR="00DA380A" w:rsidRPr="007D15B1" w:rsidRDefault="00DA380A" w:rsidP="00E61A81">
                  <w:pPr>
                    <w:spacing w:before="120" w:beforeAutospacing="0"/>
                    <w:rPr>
                      <w:rFonts w:asciiTheme="minorHAnsi" w:hAnsiTheme="minorHAnsi" w:cs="Arial"/>
                      <w:sz w:val="18"/>
                      <w:szCs w:val="18"/>
                    </w:rPr>
                  </w:pPr>
                  <w:r w:rsidRPr="007D15B1">
                    <w:rPr>
                      <w:rFonts w:asciiTheme="minorHAnsi" w:hAnsiTheme="minorHAnsi" w:cs="Arial"/>
                      <w:sz w:val="18"/>
                      <w:szCs w:val="18"/>
                    </w:rPr>
                    <w:t>1</w:t>
                  </w:r>
                  <w:r w:rsidR="00E61A81">
                    <w:rPr>
                      <w:rFonts w:asciiTheme="minorHAnsi" w:hAnsiTheme="minorHAnsi" w:cs="Arial"/>
                      <w:sz w:val="18"/>
                      <w:szCs w:val="18"/>
                    </w:rPr>
                    <w:t>5</w:t>
                  </w:r>
                  <w:r w:rsidRPr="007D15B1">
                    <w:rPr>
                      <w:rFonts w:asciiTheme="minorHAnsi" w:hAnsiTheme="minorHAnsi" w:cs="Arial"/>
                      <w:sz w:val="18"/>
                      <w:szCs w:val="18"/>
                    </w:rPr>
                    <w:t xml:space="preserve"> hours</w:t>
                  </w:r>
                </w:p>
              </w:tc>
              <w:tc>
                <w:tcPr>
                  <w:tcW w:w="2409" w:type="dxa"/>
                </w:tcPr>
                <w:p w14:paraId="4EA279F7" w14:textId="77777777" w:rsidR="00DA380A" w:rsidRPr="007D15B1" w:rsidRDefault="00E61A81" w:rsidP="00E61A81">
                  <w:pPr>
                    <w:spacing w:before="120" w:beforeAutospacing="0"/>
                    <w:rPr>
                      <w:rFonts w:asciiTheme="minorHAnsi" w:hAnsiTheme="minorHAnsi" w:cs="Arial"/>
                      <w:sz w:val="18"/>
                      <w:szCs w:val="18"/>
                    </w:rPr>
                  </w:pPr>
                  <w:r>
                    <w:rPr>
                      <w:rFonts w:asciiTheme="minorHAnsi" w:hAnsiTheme="minorHAnsi" w:cs="Arial"/>
                      <w:sz w:val="18"/>
                      <w:szCs w:val="18"/>
                    </w:rPr>
                    <w:t>4</w:t>
                  </w:r>
                  <w:r w:rsidR="00DA380A" w:rsidRPr="007D15B1">
                    <w:rPr>
                      <w:rFonts w:asciiTheme="minorHAnsi" w:hAnsiTheme="minorHAnsi" w:cs="Arial"/>
                      <w:sz w:val="18"/>
                      <w:szCs w:val="18"/>
                    </w:rPr>
                    <w:t>,0</w:t>
                  </w:r>
                  <w:r>
                    <w:rPr>
                      <w:rFonts w:asciiTheme="minorHAnsi" w:hAnsiTheme="minorHAnsi" w:cs="Arial"/>
                      <w:sz w:val="18"/>
                      <w:szCs w:val="18"/>
                    </w:rPr>
                    <w:t>50</w:t>
                  </w:r>
                </w:p>
              </w:tc>
            </w:tr>
            <w:tr w:rsidR="00DA380A" w14:paraId="4F811770" w14:textId="77777777" w:rsidTr="00E61A81">
              <w:tc>
                <w:tcPr>
                  <w:tcW w:w="2358" w:type="dxa"/>
                </w:tcPr>
                <w:p w14:paraId="5E43F68F" w14:textId="77777777" w:rsidR="00DA380A" w:rsidRPr="007D15B1" w:rsidRDefault="00DA380A" w:rsidP="00E332B1">
                  <w:pPr>
                    <w:spacing w:before="120" w:beforeAutospacing="0"/>
                    <w:rPr>
                      <w:rFonts w:asciiTheme="minorHAnsi" w:hAnsiTheme="minorHAnsi"/>
                      <w:sz w:val="18"/>
                      <w:szCs w:val="18"/>
                    </w:rPr>
                  </w:pPr>
                </w:p>
              </w:tc>
              <w:tc>
                <w:tcPr>
                  <w:tcW w:w="2250" w:type="dxa"/>
                </w:tcPr>
                <w:p w14:paraId="7056B140" w14:textId="77777777" w:rsidR="00DA380A" w:rsidRPr="007D15B1" w:rsidRDefault="00E61A81" w:rsidP="00E332B1">
                  <w:pPr>
                    <w:spacing w:before="120" w:beforeAutospacing="0"/>
                    <w:rPr>
                      <w:rFonts w:asciiTheme="minorHAnsi" w:hAnsiTheme="minorHAnsi"/>
                      <w:sz w:val="18"/>
                      <w:szCs w:val="18"/>
                    </w:rPr>
                  </w:pPr>
                  <w:r>
                    <w:rPr>
                      <w:rFonts w:asciiTheme="minorHAnsi" w:hAnsiTheme="minorHAnsi"/>
                      <w:sz w:val="18"/>
                      <w:szCs w:val="18"/>
                    </w:rPr>
                    <w:t>8</w:t>
                  </w:r>
                  <w:r w:rsidR="00DA380A" w:rsidRPr="007D15B1">
                    <w:rPr>
                      <w:rFonts w:asciiTheme="minorHAnsi" w:hAnsiTheme="minorHAnsi"/>
                      <w:sz w:val="18"/>
                      <w:szCs w:val="18"/>
                    </w:rPr>
                    <w:t>50</w:t>
                  </w:r>
                </w:p>
              </w:tc>
              <w:tc>
                <w:tcPr>
                  <w:tcW w:w="2361" w:type="dxa"/>
                </w:tcPr>
                <w:p w14:paraId="48DAD445" w14:textId="77777777" w:rsidR="00DA380A" w:rsidRPr="007D15B1" w:rsidRDefault="00DA380A" w:rsidP="00E332B1">
                  <w:pPr>
                    <w:spacing w:before="120" w:beforeAutospacing="0"/>
                    <w:rPr>
                      <w:rFonts w:asciiTheme="minorHAnsi" w:hAnsiTheme="minorHAnsi"/>
                      <w:sz w:val="18"/>
                      <w:szCs w:val="18"/>
                    </w:rPr>
                  </w:pPr>
                </w:p>
              </w:tc>
              <w:tc>
                <w:tcPr>
                  <w:tcW w:w="2409" w:type="dxa"/>
                </w:tcPr>
                <w:p w14:paraId="0E0E23D3" w14:textId="77777777" w:rsidR="00DA380A" w:rsidRPr="007D15B1" w:rsidRDefault="00E61A81" w:rsidP="00E61A81">
                  <w:pPr>
                    <w:spacing w:before="120" w:beforeAutospacing="0"/>
                    <w:rPr>
                      <w:rFonts w:asciiTheme="minorHAnsi" w:hAnsiTheme="minorHAnsi"/>
                      <w:sz w:val="18"/>
                      <w:szCs w:val="18"/>
                    </w:rPr>
                  </w:pPr>
                  <w:r>
                    <w:rPr>
                      <w:rFonts w:asciiTheme="minorHAnsi" w:hAnsiTheme="minorHAnsi"/>
                      <w:sz w:val="18"/>
                      <w:szCs w:val="18"/>
                    </w:rPr>
                    <w:t>40</w:t>
                  </w:r>
                  <w:r w:rsidR="00DA380A" w:rsidRPr="007D15B1">
                    <w:rPr>
                      <w:rFonts w:asciiTheme="minorHAnsi" w:hAnsiTheme="minorHAnsi"/>
                      <w:sz w:val="18"/>
                      <w:szCs w:val="18"/>
                    </w:rPr>
                    <w:t>,</w:t>
                  </w:r>
                  <w:r>
                    <w:rPr>
                      <w:rFonts w:asciiTheme="minorHAnsi" w:hAnsiTheme="minorHAnsi"/>
                      <w:sz w:val="18"/>
                      <w:szCs w:val="18"/>
                    </w:rPr>
                    <w:t>050</w:t>
                  </w:r>
                </w:p>
              </w:tc>
            </w:tr>
          </w:tbl>
          <w:p w14:paraId="266D0FF6" w14:textId="77777777" w:rsidR="007A6362" w:rsidRPr="002A074D" w:rsidRDefault="00560D57" w:rsidP="002A074D">
            <w:pPr>
              <w:rPr>
                <w:b/>
                <w:bCs/>
                <w:color w:val="000000"/>
                <w:spacing w:val="12"/>
              </w:rPr>
            </w:pPr>
            <w:r w:rsidRPr="002A074D">
              <w:rPr>
                <w:sz w:val="22"/>
              </w:rPr>
              <w:t>The following table</w:t>
            </w:r>
            <w:r w:rsidR="00DA380A">
              <w:rPr>
                <w:sz w:val="22"/>
              </w:rPr>
              <w:t>s</w:t>
            </w:r>
            <w:r w:rsidRPr="002A074D">
              <w:rPr>
                <w:sz w:val="22"/>
              </w:rPr>
              <w:t xml:space="preserve"> </w:t>
            </w:r>
            <w:r w:rsidR="008C2F54" w:rsidRPr="002A074D">
              <w:rPr>
                <w:sz w:val="22"/>
              </w:rPr>
              <w:t>summarize</w:t>
            </w:r>
            <w:r w:rsidRPr="002A074D">
              <w:rPr>
                <w:sz w:val="22"/>
              </w:rPr>
              <w:t xml:space="preserve"> the changes to annual respondent reporting burden:</w:t>
            </w:r>
            <w:r w:rsidR="00DA380A">
              <w:rPr>
                <w:sz w:val="22"/>
              </w:rPr>
              <w:br/>
            </w:r>
          </w:p>
          <w:p w14:paraId="410A15E7" w14:textId="77777777" w:rsidR="004D2488" w:rsidRPr="00452029" w:rsidRDefault="004D2488" w:rsidP="004D2488">
            <w:pPr>
              <w:spacing w:before="60" w:beforeAutospacing="0" w:after="0" w:afterAutospacing="0"/>
              <w:jc w:val="left"/>
              <w:rPr>
                <w:b/>
                <w:sz w:val="20"/>
                <w:szCs w:val="20"/>
              </w:rPr>
            </w:pPr>
            <w:r w:rsidRPr="00452029">
              <w:rPr>
                <w:b/>
                <w:sz w:val="20"/>
                <w:szCs w:val="20"/>
              </w:rPr>
              <w:t>Table 2: OGRS Surveys Change in Annual Burden</w:t>
            </w:r>
          </w:p>
          <w:p w14:paraId="3AF707F9" w14:textId="77777777" w:rsidR="0052485F" w:rsidRPr="002A074D" w:rsidRDefault="0052485F">
            <w:pPr>
              <w:jc w:val="center"/>
              <w:rPr>
                <w:rFonts w:ascii="Calibri" w:eastAsiaTheme="minorHAnsi" w:hAnsi="Calibri"/>
                <w:color w:val="000000"/>
              </w:rPr>
            </w:pPr>
          </w:p>
        </w:tc>
      </w:tr>
      <w:tr w:rsidR="0052485F" w14:paraId="257819F9" w14:textId="77777777" w:rsidTr="00D445C4">
        <w:trPr>
          <w:trHeight w:val="300"/>
        </w:trPr>
        <w:tc>
          <w:tcPr>
            <w:tcW w:w="9851" w:type="dxa"/>
            <w:gridSpan w:val="10"/>
            <w:tcBorders>
              <w:top w:val="single" w:sz="8" w:space="0" w:color="auto"/>
              <w:left w:val="single" w:sz="8" w:space="0" w:color="auto"/>
              <w:bottom w:val="single" w:sz="8" w:space="0" w:color="auto"/>
              <w:right w:val="single" w:sz="8" w:space="0" w:color="auto"/>
            </w:tcBorders>
            <w:shd w:val="clear" w:color="auto" w:fill="DDD9C3"/>
            <w:noWrap/>
            <w:tcMar>
              <w:top w:w="0" w:type="dxa"/>
              <w:left w:w="108" w:type="dxa"/>
              <w:bottom w:w="0" w:type="dxa"/>
              <w:right w:w="108" w:type="dxa"/>
            </w:tcMar>
            <w:hideMark/>
          </w:tcPr>
          <w:p w14:paraId="543F8FAF" w14:textId="77777777" w:rsidR="0052485F" w:rsidRDefault="0052485F" w:rsidP="00560D57">
            <w:pPr>
              <w:rPr>
                <w:rFonts w:ascii="Calibri" w:eastAsiaTheme="minorHAnsi" w:hAnsi="Calibri"/>
                <w:b/>
                <w:bCs/>
                <w:color w:val="000000"/>
                <w:sz w:val="18"/>
                <w:szCs w:val="18"/>
              </w:rPr>
            </w:pPr>
            <w:r>
              <w:rPr>
                <w:b/>
                <w:bCs/>
                <w:color w:val="000000"/>
              </w:rPr>
              <w:t xml:space="preserve">Table </w:t>
            </w:r>
            <w:r w:rsidR="003551D0">
              <w:rPr>
                <w:b/>
                <w:bCs/>
                <w:color w:val="000000"/>
              </w:rPr>
              <w:t>2</w:t>
            </w:r>
            <w:r w:rsidR="00560D57">
              <w:rPr>
                <w:b/>
                <w:bCs/>
                <w:color w:val="000000"/>
              </w:rPr>
              <w:t>:</w:t>
            </w:r>
            <w:r>
              <w:rPr>
                <w:b/>
                <w:bCs/>
                <w:color w:val="000000"/>
              </w:rPr>
              <w:t xml:space="preserve"> </w:t>
            </w:r>
            <w:r w:rsidR="00452029">
              <w:rPr>
                <w:b/>
                <w:bCs/>
                <w:color w:val="000000"/>
              </w:rPr>
              <w:t xml:space="preserve">OGRS Surveys </w:t>
            </w:r>
            <w:r>
              <w:rPr>
                <w:b/>
                <w:bCs/>
                <w:color w:val="000000"/>
              </w:rPr>
              <w:t>Change in Annual Burden</w:t>
            </w:r>
          </w:p>
        </w:tc>
      </w:tr>
      <w:tr w:rsidR="00E61A81" w14:paraId="353E48EB" w14:textId="77777777" w:rsidTr="00E61A81">
        <w:trPr>
          <w:trHeight w:val="975"/>
        </w:trPr>
        <w:tc>
          <w:tcPr>
            <w:tcW w:w="1391" w:type="dxa"/>
            <w:tcBorders>
              <w:top w:val="nil"/>
              <w:left w:val="single" w:sz="8" w:space="0" w:color="auto"/>
              <w:bottom w:val="single" w:sz="8" w:space="0" w:color="auto"/>
              <w:right w:val="single" w:sz="8" w:space="0" w:color="auto"/>
            </w:tcBorders>
            <w:shd w:val="clear" w:color="auto" w:fill="DDD9C3"/>
            <w:noWrap/>
            <w:tcMar>
              <w:top w:w="0" w:type="dxa"/>
              <w:left w:w="108" w:type="dxa"/>
              <w:bottom w:w="0" w:type="dxa"/>
              <w:right w:w="108" w:type="dxa"/>
            </w:tcMar>
            <w:vAlign w:val="bottom"/>
            <w:hideMark/>
          </w:tcPr>
          <w:p w14:paraId="0B89206E" w14:textId="77777777" w:rsidR="007A6362" w:rsidRDefault="0052485F">
            <w:pPr>
              <w:jc w:val="left"/>
              <w:rPr>
                <w:rFonts w:ascii="Calibri" w:eastAsiaTheme="minorHAnsi" w:hAnsi="Calibri"/>
                <w:b/>
                <w:bCs/>
                <w:color w:val="000000"/>
                <w:sz w:val="18"/>
                <w:szCs w:val="18"/>
              </w:rPr>
            </w:pPr>
            <w:r>
              <w:rPr>
                <w:b/>
                <w:bCs/>
                <w:color w:val="000000"/>
                <w:sz w:val="18"/>
                <w:szCs w:val="18"/>
              </w:rPr>
              <w:t>EIA Form and Title</w:t>
            </w:r>
          </w:p>
        </w:tc>
        <w:tc>
          <w:tcPr>
            <w:tcW w:w="126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14:paraId="26ADCD91" w14:textId="77777777" w:rsidR="007A6362" w:rsidRDefault="0052485F">
            <w:pPr>
              <w:jc w:val="left"/>
              <w:rPr>
                <w:rFonts w:ascii="Calibri" w:eastAsiaTheme="minorHAnsi" w:hAnsi="Calibri"/>
                <w:b/>
                <w:bCs/>
                <w:color w:val="000000"/>
                <w:sz w:val="18"/>
                <w:szCs w:val="18"/>
              </w:rPr>
            </w:pPr>
            <w:r>
              <w:rPr>
                <w:b/>
                <w:bCs/>
                <w:color w:val="000000"/>
                <w:sz w:val="18"/>
                <w:szCs w:val="18"/>
              </w:rPr>
              <w:t>Old Number of Respondents Per Year</w:t>
            </w:r>
          </w:p>
        </w:tc>
        <w:tc>
          <w:tcPr>
            <w:tcW w:w="126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14:paraId="74B3F097" w14:textId="77777777" w:rsidR="007A6362" w:rsidRDefault="0052485F" w:rsidP="00E61A81">
            <w:pPr>
              <w:jc w:val="left"/>
              <w:rPr>
                <w:rFonts w:ascii="Calibri" w:eastAsiaTheme="minorHAnsi" w:hAnsi="Calibri"/>
                <w:b/>
                <w:bCs/>
                <w:color w:val="000000"/>
                <w:sz w:val="18"/>
                <w:szCs w:val="18"/>
              </w:rPr>
            </w:pPr>
            <w:r>
              <w:rPr>
                <w:b/>
                <w:bCs/>
                <w:color w:val="000000"/>
                <w:sz w:val="18"/>
                <w:szCs w:val="18"/>
              </w:rPr>
              <w:t>New Number of Respon</w:t>
            </w:r>
            <w:r w:rsidR="00E61A81">
              <w:rPr>
                <w:b/>
                <w:bCs/>
                <w:color w:val="000000"/>
                <w:sz w:val="18"/>
                <w:szCs w:val="18"/>
              </w:rPr>
              <w:t>dents Per Year</w:t>
            </w:r>
          </w:p>
        </w:tc>
        <w:tc>
          <w:tcPr>
            <w:tcW w:w="108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14:paraId="3621C48C" w14:textId="77777777" w:rsidR="007A6362" w:rsidRDefault="0052485F">
            <w:pPr>
              <w:jc w:val="left"/>
              <w:rPr>
                <w:rFonts w:ascii="Calibri" w:eastAsiaTheme="minorHAnsi" w:hAnsi="Calibri"/>
                <w:b/>
                <w:bCs/>
                <w:color w:val="000000"/>
                <w:sz w:val="18"/>
                <w:szCs w:val="18"/>
              </w:rPr>
            </w:pPr>
            <w:r>
              <w:rPr>
                <w:b/>
                <w:bCs/>
                <w:color w:val="000000"/>
                <w:sz w:val="18"/>
                <w:szCs w:val="18"/>
              </w:rPr>
              <w:t>Old Number of Annual Responses</w:t>
            </w:r>
          </w:p>
        </w:tc>
        <w:tc>
          <w:tcPr>
            <w:tcW w:w="108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14:paraId="487DF3B8" w14:textId="77777777" w:rsidR="007A6362" w:rsidRDefault="0052485F" w:rsidP="00D445C4">
            <w:pPr>
              <w:jc w:val="left"/>
              <w:rPr>
                <w:rFonts w:ascii="Calibri" w:eastAsiaTheme="minorHAnsi" w:hAnsi="Calibri"/>
                <w:b/>
                <w:bCs/>
                <w:color w:val="000000"/>
                <w:sz w:val="18"/>
                <w:szCs w:val="18"/>
              </w:rPr>
            </w:pPr>
            <w:r>
              <w:rPr>
                <w:b/>
                <w:bCs/>
                <w:color w:val="000000"/>
                <w:sz w:val="18"/>
                <w:szCs w:val="18"/>
              </w:rPr>
              <w:t>New Number of Annual Responses</w:t>
            </w:r>
          </w:p>
        </w:tc>
        <w:tc>
          <w:tcPr>
            <w:tcW w:w="108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14:paraId="22FBB0EA" w14:textId="77777777" w:rsidR="007A6362" w:rsidRDefault="0052485F">
            <w:pPr>
              <w:jc w:val="left"/>
              <w:rPr>
                <w:rFonts w:ascii="Calibri" w:eastAsiaTheme="minorHAnsi" w:hAnsi="Calibri"/>
                <w:b/>
                <w:bCs/>
                <w:color w:val="000000"/>
                <w:sz w:val="18"/>
                <w:szCs w:val="18"/>
              </w:rPr>
            </w:pPr>
            <w:r>
              <w:rPr>
                <w:b/>
                <w:bCs/>
                <w:color w:val="000000"/>
                <w:sz w:val="18"/>
                <w:szCs w:val="18"/>
              </w:rPr>
              <w:t>Change (Annual Responses)</w:t>
            </w:r>
          </w:p>
        </w:tc>
        <w:tc>
          <w:tcPr>
            <w:tcW w:w="90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14:paraId="2CBEB708" w14:textId="77777777" w:rsidR="007A6362" w:rsidRDefault="0052485F">
            <w:pPr>
              <w:jc w:val="left"/>
              <w:rPr>
                <w:rFonts w:ascii="Calibri" w:eastAsiaTheme="minorHAnsi" w:hAnsi="Calibri"/>
                <w:b/>
                <w:bCs/>
                <w:color w:val="000000"/>
                <w:sz w:val="18"/>
                <w:szCs w:val="18"/>
              </w:rPr>
            </w:pPr>
            <w:r>
              <w:rPr>
                <w:b/>
                <w:bCs/>
                <w:color w:val="000000"/>
                <w:sz w:val="18"/>
                <w:szCs w:val="18"/>
              </w:rPr>
              <w:t>Old Burden (Hours)</w:t>
            </w:r>
          </w:p>
        </w:tc>
        <w:tc>
          <w:tcPr>
            <w:tcW w:w="90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14:paraId="2B808653" w14:textId="77777777" w:rsidR="007A6362" w:rsidRDefault="0052485F">
            <w:pPr>
              <w:jc w:val="left"/>
              <w:rPr>
                <w:rFonts w:ascii="Calibri" w:eastAsiaTheme="minorHAnsi" w:hAnsi="Calibri"/>
                <w:b/>
                <w:bCs/>
                <w:color w:val="000000"/>
                <w:sz w:val="18"/>
                <w:szCs w:val="18"/>
              </w:rPr>
            </w:pPr>
            <w:r>
              <w:rPr>
                <w:b/>
                <w:bCs/>
                <w:color w:val="000000"/>
                <w:sz w:val="18"/>
                <w:szCs w:val="18"/>
              </w:rPr>
              <w:t>New Burden (Hours)</w:t>
            </w:r>
          </w:p>
        </w:tc>
        <w:tc>
          <w:tcPr>
            <w:tcW w:w="900" w:type="dxa"/>
            <w:gridSpan w:val="2"/>
            <w:tcBorders>
              <w:top w:val="nil"/>
              <w:left w:val="nil"/>
              <w:bottom w:val="single" w:sz="8" w:space="0" w:color="auto"/>
              <w:right w:val="single" w:sz="8" w:space="0" w:color="auto"/>
            </w:tcBorders>
            <w:shd w:val="clear" w:color="auto" w:fill="DDD9C3"/>
            <w:tcMar>
              <w:top w:w="0" w:type="dxa"/>
              <w:left w:w="108" w:type="dxa"/>
              <w:bottom w:w="0" w:type="dxa"/>
              <w:right w:w="108" w:type="dxa"/>
            </w:tcMar>
            <w:vAlign w:val="bottom"/>
            <w:hideMark/>
          </w:tcPr>
          <w:p w14:paraId="7CADDE83" w14:textId="77777777" w:rsidR="007A6362" w:rsidRDefault="0052485F">
            <w:pPr>
              <w:jc w:val="left"/>
              <w:rPr>
                <w:rFonts w:ascii="Calibri" w:eastAsiaTheme="minorHAnsi" w:hAnsi="Calibri"/>
                <w:b/>
                <w:bCs/>
                <w:color w:val="000000"/>
                <w:sz w:val="18"/>
                <w:szCs w:val="18"/>
              </w:rPr>
            </w:pPr>
            <w:r>
              <w:rPr>
                <w:b/>
                <w:bCs/>
                <w:color w:val="000000"/>
                <w:sz w:val="18"/>
                <w:szCs w:val="18"/>
              </w:rPr>
              <w:t>Change (Burden Hours)</w:t>
            </w:r>
          </w:p>
        </w:tc>
      </w:tr>
      <w:tr w:rsidR="00D445C4" w14:paraId="29371583" w14:textId="77777777" w:rsidTr="00E61A81">
        <w:trPr>
          <w:trHeight w:val="1455"/>
        </w:trPr>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18026A1" w14:textId="77777777" w:rsidR="007A6362" w:rsidRDefault="0052485F" w:rsidP="00030694">
            <w:pPr>
              <w:jc w:val="left"/>
              <w:rPr>
                <w:rFonts w:ascii="Calibri" w:eastAsiaTheme="minorHAnsi" w:hAnsi="Calibri"/>
                <w:color w:val="000000"/>
                <w:sz w:val="18"/>
                <w:szCs w:val="18"/>
              </w:rPr>
            </w:pPr>
            <w:r>
              <w:rPr>
                <w:color w:val="000000"/>
                <w:sz w:val="18"/>
                <w:szCs w:val="18"/>
              </w:rPr>
              <w:t>Form EIA-23L, "Annual Survey of Domestic Oil and Gas  Reserves (</w:t>
            </w:r>
            <w:r w:rsidR="00030694">
              <w:rPr>
                <w:color w:val="000000"/>
                <w:sz w:val="18"/>
                <w:szCs w:val="18"/>
              </w:rPr>
              <w:t xml:space="preserve">County </w:t>
            </w:r>
            <w:r>
              <w:rPr>
                <w:color w:val="000000"/>
                <w:sz w:val="18"/>
                <w:szCs w:val="18"/>
              </w:rPr>
              <w:t>Version)"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56BE5D" w14:textId="77777777" w:rsidR="0052485F" w:rsidRDefault="00C81277" w:rsidP="00CC43C5">
            <w:pPr>
              <w:jc w:val="center"/>
              <w:rPr>
                <w:rFonts w:ascii="Calibri" w:eastAsiaTheme="minorHAnsi" w:hAnsi="Calibri"/>
                <w:color w:val="000000"/>
                <w:sz w:val="18"/>
                <w:szCs w:val="18"/>
              </w:rPr>
            </w:pPr>
            <w:r>
              <w:rPr>
                <w:color w:val="000000"/>
                <w:sz w:val="18"/>
                <w:szCs w:val="18"/>
              </w:rPr>
              <w:t>850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D1C163" w14:textId="77777777" w:rsidR="0052485F" w:rsidRDefault="004D2488" w:rsidP="00CC43C5">
            <w:pPr>
              <w:jc w:val="center"/>
              <w:rPr>
                <w:rFonts w:ascii="Calibri" w:eastAsiaTheme="minorHAnsi" w:hAnsi="Calibri"/>
                <w:color w:val="000000"/>
                <w:sz w:val="18"/>
                <w:szCs w:val="18"/>
              </w:rPr>
            </w:pPr>
            <w:r>
              <w:rPr>
                <w:color w:val="000000"/>
                <w:sz w:val="18"/>
                <w:szCs w:val="18"/>
              </w:rPr>
              <w:t>6</w:t>
            </w:r>
            <w:r w:rsidR="0052485F">
              <w:rPr>
                <w:color w:val="000000"/>
                <w:sz w:val="18"/>
                <w:szCs w:val="18"/>
              </w:rPr>
              <w:t>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F4D75E" w14:textId="77777777" w:rsidR="0052485F" w:rsidRDefault="00C81277" w:rsidP="00CC43C5">
            <w:pPr>
              <w:jc w:val="center"/>
              <w:rPr>
                <w:rFonts w:ascii="Calibri" w:eastAsiaTheme="minorHAnsi" w:hAnsi="Calibri"/>
                <w:color w:val="000000"/>
                <w:sz w:val="18"/>
                <w:szCs w:val="18"/>
              </w:rPr>
            </w:pPr>
            <w:r>
              <w:rPr>
                <w:color w:val="000000"/>
                <w:sz w:val="18"/>
                <w:szCs w:val="18"/>
              </w:rPr>
              <w:t>850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6F71A47" w14:textId="77777777" w:rsidR="0052485F" w:rsidRDefault="004D2488" w:rsidP="00CC43C5">
            <w:pPr>
              <w:jc w:val="center"/>
              <w:rPr>
                <w:rFonts w:ascii="Calibri" w:eastAsiaTheme="minorHAnsi" w:hAnsi="Calibri"/>
                <w:color w:val="000000"/>
                <w:sz w:val="18"/>
                <w:szCs w:val="18"/>
              </w:rPr>
            </w:pPr>
            <w:r>
              <w:rPr>
                <w:color w:val="000000"/>
                <w:sz w:val="18"/>
                <w:szCs w:val="18"/>
              </w:rPr>
              <w:t>6</w:t>
            </w:r>
            <w:r w:rsidR="0052485F">
              <w:rPr>
                <w:color w:val="000000"/>
                <w:sz w:val="18"/>
                <w:szCs w:val="18"/>
              </w:rPr>
              <w:t>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B7C346" w14:textId="77777777" w:rsidR="0052485F" w:rsidRDefault="00C81277" w:rsidP="00CC43C5">
            <w:pPr>
              <w:jc w:val="center"/>
              <w:rPr>
                <w:rFonts w:ascii="Calibri" w:eastAsiaTheme="minorHAnsi" w:hAnsi="Calibri"/>
                <w:color w:val="000000"/>
                <w:sz w:val="18"/>
                <w:szCs w:val="18"/>
              </w:rPr>
            </w:pPr>
            <w:r>
              <w:rPr>
                <w:color w:val="000000"/>
                <w:sz w:val="18"/>
                <w:szCs w:val="18"/>
              </w:rPr>
              <w:t>-200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CB3816" w14:textId="77777777" w:rsidR="0052485F" w:rsidRDefault="00C81277" w:rsidP="00CC43C5">
            <w:pPr>
              <w:jc w:val="center"/>
              <w:rPr>
                <w:rFonts w:ascii="Calibri" w:eastAsiaTheme="minorHAnsi" w:hAnsi="Calibri"/>
                <w:color w:val="000000"/>
                <w:sz w:val="18"/>
                <w:szCs w:val="18"/>
              </w:rPr>
            </w:pPr>
            <w:r>
              <w:rPr>
                <w:color w:val="000000"/>
                <w:sz w:val="18"/>
                <w:szCs w:val="18"/>
              </w:rPr>
              <w:t>40,05</w:t>
            </w:r>
            <w:r w:rsidR="00E61A81">
              <w:rPr>
                <w:color w:val="000000"/>
                <w:sz w:val="18"/>
                <w:szCs w:val="18"/>
              </w:rPr>
              <w:t>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336DCB" w14:textId="77777777" w:rsidR="0052485F" w:rsidRDefault="00F14439" w:rsidP="00E61A81">
            <w:pPr>
              <w:jc w:val="center"/>
              <w:rPr>
                <w:rFonts w:ascii="Calibri" w:eastAsiaTheme="minorHAnsi" w:hAnsi="Calibri"/>
                <w:color w:val="000000"/>
                <w:sz w:val="18"/>
                <w:szCs w:val="18"/>
              </w:rPr>
            </w:pPr>
            <w:r>
              <w:rPr>
                <w:color w:val="000000"/>
                <w:sz w:val="18"/>
                <w:szCs w:val="18"/>
              </w:rPr>
              <w:t>29,250</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0801BB" w14:textId="77777777" w:rsidR="0052485F" w:rsidRPr="00D17DAF" w:rsidRDefault="00F14439" w:rsidP="00E61A81">
            <w:pPr>
              <w:jc w:val="center"/>
              <w:rPr>
                <w:rFonts w:eastAsiaTheme="minorHAnsi"/>
                <w:color w:val="000000"/>
                <w:sz w:val="18"/>
                <w:szCs w:val="18"/>
              </w:rPr>
            </w:pPr>
            <w:r>
              <w:rPr>
                <w:rFonts w:eastAsiaTheme="minorHAnsi"/>
                <w:color w:val="000000"/>
                <w:sz w:val="18"/>
                <w:szCs w:val="18"/>
              </w:rPr>
              <w:t>-10,800</w:t>
            </w:r>
          </w:p>
        </w:tc>
      </w:tr>
      <w:tr w:rsidR="00D445C4" w14:paraId="144563AA" w14:textId="77777777" w:rsidTr="00E61A81">
        <w:trPr>
          <w:trHeight w:val="1695"/>
        </w:trPr>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1410D5E" w14:textId="77777777" w:rsidR="007A6362" w:rsidRDefault="0052485F">
            <w:pPr>
              <w:jc w:val="left"/>
              <w:rPr>
                <w:rFonts w:ascii="Calibri" w:eastAsiaTheme="minorHAnsi" w:hAnsi="Calibri"/>
                <w:color w:val="000000"/>
                <w:sz w:val="18"/>
                <w:szCs w:val="18"/>
              </w:rPr>
            </w:pPr>
            <w:r>
              <w:rPr>
                <w:color w:val="000000"/>
                <w:sz w:val="18"/>
                <w:szCs w:val="18"/>
              </w:rPr>
              <w:t>Form EIA-23S, "Annual Survey of Domestic Oil and Gas  Reserves (Summary Version)"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AAB3A0" w14:textId="77777777" w:rsidR="0052485F" w:rsidRPr="00E56A55" w:rsidRDefault="007402D4" w:rsidP="00CC43C5">
            <w:pPr>
              <w:jc w:val="center"/>
              <w:rPr>
                <w:rFonts w:ascii="Calibri" w:eastAsiaTheme="minorHAnsi" w:hAnsi="Calibri"/>
                <w:color w:val="000000"/>
                <w:sz w:val="18"/>
                <w:szCs w:val="18"/>
              </w:rPr>
            </w:pPr>
            <w:r w:rsidRPr="00E56A55">
              <w:rPr>
                <w:color w:val="000000"/>
                <w:sz w:val="18"/>
                <w:szCs w:val="18"/>
              </w:rPr>
              <w:t>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AB9F137" w14:textId="77777777" w:rsidR="0052485F" w:rsidRPr="00E56A55" w:rsidRDefault="0052485F" w:rsidP="00CC43C5">
            <w:pPr>
              <w:jc w:val="center"/>
              <w:rPr>
                <w:rFonts w:ascii="Calibri" w:eastAsiaTheme="minorHAnsi" w:hAnsi="Calibri"/>
                <w:color w:val="000000"/>
                <w:sz w:val="18"/>
                <w:szCs w:val="18"/>
              </w:rPr>
            </w:pPr>
            <w:r w:rsidRPr="00E56A55">
              <w:rPr>
                <w:color w:val="000000"/>
                <w:sz w:val="18"/>
                <w:szCs w:val="18"/>
              </w:rPr>
              <w:t xml:space="preserve">0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67C0FD" w14:textId="77777777" w:rsidR="0052485F" w:rsidRPr="00E56A55" w:rsidRDefault="007402D4" w:rsidP="00CC43C5">
            <w:pPr>
              <w:jc w:val="center"/>
              <w:rPr>
                <w:rFonts w:ascii="Calibri" w:eastAsiaTheme="minorHAnsi" w:hAnsi="Calibri"/>
                <w:color w:val="000000"/>
                <w:sz w:val="18"/>
                <w:szCs w:val="18"/>
              </w:rPr>
            </w:pPr>
            <w:r w:rsidRPr="00E56A55">
              <w:rPr>
                <w:color w:val="000000"/>
                <w:sz w:val="18"/>
                <w:szCs w:val="18"/>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63AD55" w14:textId="77777777" w:rsidR="0052485F" w:rsidRPr="00E56A55" w:rsidRDefault="0052485F" w:rsidP="00CC43C5">
            <w:pPr>
              <w:jc w:val="center"/>
              <w:rPr>
                <w:rFonts w:ascii="Calibri" w:eastAsiaTheme="minorHAnsi" w:hAnsi="Calibri"/>
                <w:color w:val="000000"/>
                <w:sz w:val="18"/>
                <w:szCs w:val="18"/>
              </w:rPr>
            </w:pPr>
            <w:r w:rsidRPr="00E56A55">
              <w:rPr>
                <w:color w:val="000000"/>
                <w:sz w:val="18"/>
                <w:szCs w:val="18"/>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FD86CB" w14:textId="77777777" w:rsidR="0052485F" w:rsidRPr="00E56A55" w:rsidRDefault="007402D4" w:rsidP="00CC43C5">
            <w:pPr>
              <w:jc w:val="center"/>
              <w:rPr>
                <w:rFonts w:ascii="Calibri" w:eastAsiaTheme="minorHAnsi" w:hAnsi="Calibri"/>
                <w:color w:val="000000"/>
                <w:sz w:val="18"/>
                <w:szCs w:val="18"/>
              </w:rPr>
            </w:pPr>
            <w:r w:rsidRPr="00E56A55">
              <w:rPr>
                <w:color w:val="000000"/>
                <w:sz w:val="18"/>
                <w:szCs w:val="18"/>
              </w:rPr>
              <w:t>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290FC2" w14:textId="77777777" w:rsidR="0052485F" w:rsidRPr="00E56A55" w:rsidRDefault="007402D4" w:rsidP="00CC43C5">
            <w:pPr>
              <w:jc w:val="center"/>
              <w:rPr>
                <w:rFonts w:ascii="Calibri" w:eastAsiaTheme="minorHAnsi" w:hAnsi="Calibri"/>
                <w:color w:val="000000"/>
                <w:sz w:val="18"/>
                <w:szCs w:val="18"/>
              </w:rPr>
            </w:pPr>
            <w:r w:rsidRPr="00E56A55">
              <w:rPr>
                <w:color w:val="000000"/>
                <w:sz w:val="18"/>
                <w:szCs w:val="18"/>
              </w:rPr>
              <w:t>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4E629E" w14:textId="77777777" w:rsidR="0052485F" w:rsidRPr="00E56A55" w:rsidRDefault="0052485F" w:rsidP="00CC43C5">
            <w:pPr>
              <w:jc w:val="center"/>
              <w:rPr>
                <w:rFonts w:ascii="Calibri" w:eastAsiaTheme="minorHAnsi" w:hAnsi="Calibri"/>
                <w:color w:val="000000"/>
                <w:sz w:val="18"/>
                <w:szCs w:val="18"/>
              </w:rPr>
            </w:pPr>
            <w:r w:rsidRPr="00E56A55">
              <w:rPr>
                <w:color w:val="000000"/>
                <w:sz w:val="18"/>
                <w:szCs w:val="18"/>
              </w:rPr>
              <w:t xml:space="preserve">0 </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29F268" w14:textId="77777777" w:rsidR="0052485F" w:rsidRPr="00E56A55" w:rsidRDefault="007402D4" w:rsidP="00CC43C5">
            <w:pPr>
              <w:jc w:val="center"/>
              <w:rPr>
                <w:rFonts w:ascii="Calibri" w:eastAsiaTheme="minorHAnsi" w:hAnsi="Calibri"/>
                <w:color w:val="000000"/>
                <w:sz w:val="18"/>
                <w:szCs w:val="18"/>
              </w:rPr>
            </w:pPr>
            <w:r w:rsidRPr="00E56A55">
              <w:rPr>
                <w:color w:val="000000"/>
                <w:sz w:val="18"/>
                <w:szCs w:val="18"/>
              </w:rPr>
              <w:t>0</w:t>
            </w:r>
          </w:p>
        </w:tc>
      </w:tr>
      <w:tr w:rsidR="00D445C4" w14:paraId="0FEF1498" w14:textId="77777777" w:rsidTr="00E61A81">
        <w:trPr>
          <w:trHeight w:val="1455"/>
        </w:trPr>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50D292E" w14:textId="77777777" w:rsidR="007A6362" w:rsidRDefault="0052485F">
            <w:pPr>
              <w:jc w:val="left"/>
              <w:rPr>
                <w:rFonts w:ascii="Calibri" w:eastAsiaTheme="minorHAnsi" w:hAnsi="Calibri"/>
                <w:color w:val="000000"/>
                <w:sz w:val="18"/>
                <w:szCs w:val="18"/>
              </w:rPr>
            </w:pPr>
            <w:r>
              <w:rPr>
                <w:color w:val="000000"/>
                <w:sz w:val="18"/>
                <w:szCs w:val="18"/>
              </w:rPr>
              <w:lastRenderedPageBreak/>
              <w:t>Form EIA-64A, "Annual Report of the Origin of Natural Gas Liquids Production"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F19AEF" w14:textId="77777777" w:rsidR="0052485F" w:rsidRDefault="007402D4" w:rsidP="00CC43C5">
            <w:pPr>
              <w:jc w:val="center"/>
              <w:rPr>
                <w:rFonts w:ascii="Calibri" w:eastAsiaTheme="minorHAnsi" w:hAnsi="Calibri"/>
                <w:color w:val="000000"/>
                <w:sz w:val="18"/>
                <w:szCs w:val="18"/>
              </w:rPr>
            </w:pPr>
            <w:r>
              <w:rPr>
                <w:color w:val="000000"/>
                <w:sz w:val="18"/>
                <w:szCs w:val="18"/>
              </w:rPr>
              <w:t xml:space="preserve">600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D198C4" w14:textId="77777777" w:rsidR="0052485F" w:rsidRDefault="00741E34" w:rsidP="00741E34">
            <w:pPr>
              <w:jc w:val="center"/>
              <w:rPr>
                <w:rFonts w:ascii="Calibri" w:eastAsiaTheme="minorHAnsi" w:hAnsi="Calibri"/>
                <w:color w:val="000000"/>
                <w:sz w:val="18"/>
                <w:szCs w:val="18"/>
              </w:rPr>
            </w:pPr>
            <w:r>
              <w:rPr>
                <w:color w:val="000000"/>
                <w:sz w:val="18"/>
                <w:szCs w:val="18"/>
              </w:rPr>
              <w:t>600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DE7E27" w14:textId="77777777" w:rsidR="0052485F" w:rsidRDefault="007402D4" w:rsidP="00CC43C5">
            <w:pPr>
              <w:jc w:val="center"/>
              <w:rPr>
                <w:rFonts w:ascii="Calibri" w:eastAsiaTheme="minorHAnsi" w:hAnsi="Calibri"/>
                <w:color w:val="000000"/>
                <w:sz w:val="18"/>
                <w:szCs w:val="18"/>
              </w:rPr>
            </w:pPr>
            <w:r>
              <w:rPr>
                <w:color w:val="000000"/>
                <w:sz w:val="18"/>
                <w:szCs w:val="18"/>
              </w:rPr>
              <w:t>600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9A8E09" w14:textId="77777777" w:rsidR="0052485F" w:rsidRDefault="00741E34" w:rsidP="00741E34">
            <w:pPr>
              <w:jc w:val="center"/>
              <w:rPr>
                <w:rFonts w:ascii="Calibri" w:eastAsiaTheme="minorHAnsi" w:hAnsi="Calibri"/>
                <w:color w:val="000000"/>
                <w:sz w:val="18"/>
                <w:szCs w:val="18"/>
              </w:rPr>
            </w:pPr>
            <w:r>
              <w:rPr>
                <w:color w:val="000000"/>
                <w:sz w:val="18"/>
                <w:szCs w:val="18"/>
              </w:rPr>
              <w:t>600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47D073" w14:textId="77777777" w:rsidR="0052485F" w:rsidRDefault="007402D4" w:rsidP="00741E34">
            <w:pPr>
              <w:jc w:val="center"/>
              <w:rPr>
                <w:rFonts w:ascii="Calibri" w:eastAsiaTheme="minorHAnsi" w:hAnsi="Calibri"/>
                <w:color w:val="000000"/>
                <w:sz w:val="18"/>
                <w:szCs w:val="18"/>
              </w:rPr>
            </w:pPr>
            <w:r>
              <w:rPr>
                <w:rFonts w:ascii="Calibri" w:eastAsiaTheme="minorHAnsi" w:hAnsi="Calibri"/>
                <w:color w:val="000000"/>
                <w:sz w:val="18"/>
                <w:szCs w:val="18"/>
              </w:rPr>
              <w:t>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14BC2B" w14:textId="77777777" w:rsidR="0052485F" w:rsidRDefault="0052485F" w:rsidP="007402D4">
            <w:pPr>
              <w:jc w:val="center"/>
              <w:rPr>
                <w:rFonts w:ascii="Calibri" w:eastAsiaTheme="minorHAnsi" w:hAnsi="Calibri"/>
                <w:color w:val="000000"/>
                <w:sz w:val="18"/>
                <w:szCs w:val="18"/>
              </w:rPr>
            </w:pPr>
            <w:r>
              <w:rPr>
                <w:color w:val="000000"/>
                <w:sz w:val="18"/>
                <w:szCs w:val="18"/>
              </w:rPr>
              <w:t>3,</w:t>
            </w:r>
            <w:r w:rsidR="007402D4">
              <w:rPr>
                <w:color w:val="000000"/>
                <w:sz w:val="18"/>
                <w:szCs w:val="18"/>
              </w:rPr>
              <w:t>600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83A925" w14:textId="77777777" w:rsidR="0052485F" w:rsidRDefault="00741E34" w:rsidP="00741E34">
            <w:pPr>
              <w:jc w:val="center"/>
              <w:rPr>
                <w:rFonts w:ascii="Calibri" w:eastAsiaTheme="minorHAnsi" w:hAnsi="Calibri"/>
                <w:color w:val="000000"/>
                <w:sz w:val="18"/>
                <w:szCs w:val="18"/>
              </w:rPr>
            </w:pPr>
            <w:r>
              <w:rPr>
                <w:color w:val="000000"/>
                <w:sz w:val="18"/>
                <w:szCs w:val="18"/>
              </w:rPr>
              <w:t>3,600</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FCBD18" w14:textId="77777777" w:rsidR="0052485F" w:rsidRDefault="007402D4" w:rsidP="00741E34">
            <w:pPr>
              <w:jc w:val="center"/>
              <w:rPr>
                <w:rFonts w:ascii="Calibri" w:eastAsiaTheme="minorHAnsi" w:hAnsi="Calibri"/>
                <w:color w:val="000000"/>
                <w:sz w:val="18"/>
                <w:szCs w:val="18"/>
              </w:rPr>
            </w:pPr>
            <w:r>
              <w:rPr>
                <w:color w:val="000000"/>
                <w:sz w:val="18"/>
                <w:szCs w:val="18"/>
              </w:rPr>
              <w:t>0</w:t>
            </w:r>
          </w:p>
        </w:tc>
      </w:tr>
      <w:tr w:rsidR="00D445C4" w14:paraId="351EFFEB" w14:textId="77777777" w:rsidTr="00E61A81">
        <w:trPr>
          <w:trHeight w:val="765"/>
        </w:trPr>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1F5BAA6" w14:textId="77777777" w:rsidR="007A6362" w:rsidRDefault="0052485F">
            <w:pPr>
              <w:jc w:val="left"/>
              <w:rPr>
                <w:rFonts w:ascii="Calibri" w:eastAsiaTheme="minorHAnsi" w:hAnsi="Calibri"/>
                <w:b/>
                <w:bCs/>
                <w:color w:val="000000"/>
                <w:sz w:val="18"/>
                <w:szCs w:val="18"/>
              </w:rPr>
            </w:pPr>
            <w:r>
              <w:rPr>
                <w:b/>
                <w:bCs/>
                <w:color w:val="000000"/>
                <w:sz w:val="18"/>
                <w:szCs w:val="18"/>
              </w:rPr>
              <w:t>Total OGRS Surveys</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064B52" w14:textId="77777777" w:rsidR="0052485F" w:rsidRDefault="00C81277" w:rsidP="004D2488">
            <w:pPr>
              <w:jc w:val="center"/>
              <w:rPr>
                <w:rFonts w:ascii="Calibri" w:eastAsiaTheme="minorHAnsi" w:hAnsi="Calibri"/>
                <w:b/>
                <w:bCs/>
                <w:color w:val="000000"/>
                <w:sz w:val="18"/>
                <w:szCs w:val="18"/>
              </w:rPr>
            </w:pPr>
            <w:r>
              <w:rPr>
                <w:b/>
                <w:bCs/>
                <w:color w:val="000000"/>
                <w:sz w:val="18"/>
                <w:szCs w:val="18"/>
              </w:rPr>
              <w:t>1,450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845A8A" w14:textId="77777777" w:rsidR="0052485F" w:rsidRDefault="008C2F54" w:rsidP="004D2488">
            <w:pPr>
              <w:jc w:val="center"/>
              <w:rPr>
                <w:rFonts w:ascii="Calibri" w:eastAsiaTheme="minorHAnsi" w:hAnsi="Calibri"/>
                <w:b/>
                <w:bCs/>
                <w:color w:val="000000"/>
                <w:sz w:val="18"/>
                <w:szCs w:val="18"/>
              </w:rPr>
            </w:pPr>
            <w:r>
              <w:rPr>
                <w:b/>
                <w:bCs/>
                <w:color w:val="000000"/>
                <w:sz w:val="18"/>
                <w:szCs w:val="18"/>
              </w:rPr>
              <w:t>1,</w:t>
            </w:r>
            <w:r w:rsidR="004D2488">
              <w:rPr>
                <w:b/>
                <w:bCs/>
                <w:color w:val="000000"/>
                <w:sz w:val="18"/>
                <w:szCs w:val="18"/>
              </w:rPr>
              <w:t>2</w:t>
            </w:r>
            <w:r>
              <w:rPr>
                <w:b/>
                <w:bCs/>
                <w:color w:val="000000"/>
                <w:sz w:val="18"/>
                <w:szCs w:val="18"/>
              </w:rPr>
              <w:t>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921A21" w14:textId="77777777" w:rsidR="0052485F" w:rsidRDefault="00C81277" w:rsidP="004D2488">
            <w:pPr>
              <w:jc w:val="center"/>
              <w:rPr>
                <w:rFonts w:ascii="Calibri" w:eastAsiaTheme="minorHAnsi" w:hAnsi="Calibri"/>
                <w:b/>
                <w:bCs/>
                <w:color w:val="000000"/>
                <w:sz w:val="18"/>
                <w:szCs w:val="18"/>
              </w:rPr>
            </w:pPr>
            <w:r>
              <w:rPr>
                <w:b/>
                <w:bCs/>
                <w:color w:val="000000"/>
                <w:sz w:val="18"/>
                <w:szCs w:val="18"/>
              </w:rPr>
              <w:t>1,450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012E17" w14:textId="77777777" w:rsidR="0052485F" w:rsidRDefault="00684354" w:rsidP="00684354">
            <w:pPr>
              <w:jc w:val="center"/>
              <w:rPr>
                <w:rFonts w:ascii="Calibri" w:eastAsiaTheme="minorHAnsi" w:hAnsi="Calibri"/>
                <w:b/>
                <w:bCs/>
                <w:color w:val="000000"/>
                <w:sz w:val="18"/>
                <w:szCs w:val="18"/>
              </w:rPr>
            </w:pPr>
            <w:r>
              <w:rPr>
                <w:b/>
                <w:bCs/>
                <w:color w:val="000000"/>
                <w:sz w:val="18"/>
                <w:szCs w:val="18"/>
              </w:rPr>
              <w:t>1,250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521AD9" w14:textId="77777777" w:rsidR="0052485F" w:rsidRDefault="00C81277" w:rsidP="00C81277">
            <w:pPr>
              <w:jc w:val="center"/>
              <w:rPr>
                <w:rFonts w:ascii="Calibri" w:eastAsiaTheme="minorHAnsi" w:hAnsi="Calibri"/>
                <w:b/>
                <w:bCs/>
                <w:color w:val="000000"/>
                <w:sz w:val="18"/>
                <w:szCs w:val="18"/>
              </w:rPr>
            </w:pPr>
            <w:r>
              <w:rPr>
                <w:b/>
                <w:bCs/>
                <w:color w:val="000000"/>
                <w:sz w:val="18"/>
                <w:szCs w:val="18"/>
              </w:rPr>
              <w:t>-</w:t>
            </w:r>
            <w:r w:rsidR="0052485F">
              <w:rPr>
                <w:b/>
                <w:bCs/>
                <w:color w:val="000000"/>
                <w:sz w:val="18"/>
                <w:szCs w:val="18"/>
              </w:rPr>
              <w:t>(</w:t>
            </w:r>
            <w:r>
              <w:rPr>
                <w:b/>
                <w:bCs/>
                <w:color w:val="000000"/>
                <w:sz w:val="18"/>
                <w:szCs w:val="18"/>
              </w:rPr>
              <w:t>200</w:t>
            </w:r>
            <w:r w:rsidR="0052485F">
              <w:rPr>
                <w:b/>
                <w:bCs/>
                <w:color w:val="000000"/>
                <w:sz w:val="18"/>
                <w:szCs w:val="18"/>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DCBF49" w14:textId="77777777" w:rsidR="0052485F" w:rsidRPr="00C73C05" w:rsidRDefault="00C81277" w:rsidP="00E61A81">
            <w:pPr>
              <w:jc w:val="center"/>
              <w:rPr>
                <w:rFonts w:ascii="Calibri" w:eastAsiaTheme="minorHAnsi" w:hAnsi="Calibri"/>
                <w:b/>
                <w:color w:val="000000"/>
                <w:sz w:val="18"/>
                <w:szCs w:val="18"/>
              </w:rPr>
            </w:pPr>
            <w:r>
              <w:rPr>
                <w:b/>
                <w:color w:val="000000"/>
                <w:sz w:val="18"/>
                <w:szCs w:val="18"/>
              </w:rPr>
              <w:t>43,65</w:t>
            </w:r>
            <w:r w:rsidR="00E61A81">
              <w:rPr>
                <w:b/>
                <w:color w:val="000000"/>
                <w:sz w:val="18"/>
                <w:szCs w:val="18"/>
              </w:rPr>
              <w:t>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A34629" w14:textId="77777777" w:rsidR="0052485F" w:rsidRDefault="00F14439" w:rsidP="00E61A81">
            <w:pPr>
              <w:jc w:val="center"/>
              <w:rPr>
                <w:rFonts w:ascii="Calibri" w:eastAsiaTheme="minorHAnsi" w:hAnsi="Calibri"/>
                <w:b/>
                <w:bCs/>
                <w:color w:val="000000"/>
                <w:sz w:val="18"/>
                <w:szCs w:val="18"/>
              </w:rPr>
            </w:pPr>
            <w:r>
              <w:rPr>
                <w:b/>
                <w:bCs/>
                <w:color w:val="000000"/>
                <w:sz w:val="18"/>
                <w:szCs w:val="18"/>
              </w:rPr>
              <w:t>32,850</w:t>
            </w:r>
          </w:p>
        </w:tc>
        <w:tc>
          <w:tcPr>
            <w:tcW w:w="90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C7694A" w14:textId="77777777" w:rsidR="0052485F" w:rsidRDefault="00DD1D18" w:rsidP="00F14439">
            <w:pPr>
              <w:jc w:val="center"/>
              <w:rPr>
                <w:rFonts w:ascii="Calibri" w:eastAsiaTheme="minorHAnsi" w:hAnsi="Calibri"/>
                <w:b/>
                <w:bCs/>
                <w:color w:val="000000"/>
                <w:sz w:val="18"/>
                <w:szCs w:val="18"/>
              </w:rPr>
            </w:pPr>
            <w:r>
              <w:rPr>
                <w:b/>
                <w:bCs/>
                <w:color w:val="000000"/>
                <w:sz w:val="18"/>
                <w:szCs w:val="18"/>
              </w:rPr>
              <w:t>-(</w:t>
            </w:r>
            <w:r w:rsidR="00F14439">
              <w:rPr>
                <w:b/>
                <w:bCs/>
                <w:color w:val="000000"/>
                <w:sz w:val="18"/>
                <w:szCs w:val="18"/>
              </w:rPr>
              <w:t>10,800</w:t>
            </w:r>
            <w:r>
              <w:rPr>
                <w:b/>
                <w:bCs/>
                <w:color w:val="000000"/>
                <w:sz w:val="18"/>
                <w:szCs w:val="18"/>
              </w:rPr>
              <w:t>)</w:t>
            </w:r>
          </w:p>
        </w:tc>
      </w:tr>
    </w:tbl>
    <w:p w14:paraId="014CB184" w14:textId="77777777" w:rsidR="00560D57" w:rsidRDefault="00560D57">
      <w:pPr>
        <w:spacing w:before="0" w:beforeAutospacing="0" w:after="200" w:afterAutospacing="0" w:line="276" w:lineRule="auto"/>
        <w:jc w:val="left"/>
        <w:rPr>
          <w:b/>
          <w:bCs/>
        </w:rPr>
      </w:pPr>
      <w:r>
        <w:br w:type="page"/>
      </w:r>
    </w:p>
    <w:p w14:paraId="7642D1F1" w14:textId="77777777" w:rsidR="00B34E57" w:rsidRPr="00D810CC" w:rsidRDefault="00B34E57" w:rsidP="008561E4">
      <w:pPr>
        <w:pStyle w:val="Heading2"/>
      </w:pPr>
      <w:bookmarkStart w:id="22" w:name="_Toc349579980"/>
      <w:r w:rsidRPr="00D810CC">
        <w:lastRenderedPageBreak/>
        <w:t>Schedule for Collecting and Publishing Data</w:t>
      </w:r>
      <w:bookmarkEnd w:id="22"/>
    </w:p>
    <w:p w14:paraId="7C7D0535" w14:textId="77777777" w:rsidR="008D7E13" w:rsidRPr="002F045E" w:rsidRDefault="008D7E13" w:rsidP="002F045E">
      <w:pPr>
        <w:spacing w:before="120" w:beforeAutospacing="0"/>
        <w:rPr>
          <w:b/>
          <w:bCs/>
          <w:sz w:val="22"/>
        </w:rPr>
      </w:pPr>
      <w:r w:rsidRPr="002F045E">
        <w:rPr>
          <w:sz w:val="22"/>
        </w:rPr>
        <w:t>Plans to tabulate and publish data collected by the OGRS surveys are as follows:</w:t>
      </w:r>
    </w:p>
    <w:p w14:paraId="633DB4F8" w14:textId="77777777" w:rsidR="002210BD" w:rsidRPr="00DC76F2" w:rsidRDefault="002210BD" w:rsidP="002F045E">
      <w:pPr>
        <w:spacing w:after="0" w:afterAutospacing="0"/>
        <w:jc w:val="left"/>
        <w:rPr>
          <w:b/>
          <w:sz w:val="22"/>
        </w:rPr>
      </w:pPr>
      <w:r w:rsidRPr="00DC76F2">
        <w:rPr>
          <w:b/>
          <w:sz w:val="22"/>
        </w:rPr>
        <w:t>Approximate Time Survey Forms are Initially Made Available:</w:t>
      </w:r>
    </w:p>
    <w:p w14:paraId="51546B87" w14:textId="77777777" w:rsidR="00A977D8" w:rsidRPr="002F045E" w:rsidRDefault="008D7E13" w:rsidP="007F731A">
      <w:pPr>
        <w:pBdr>
          <w:bottom w:val="single" w:sz="4" w:space="1" w:color="auto"/>
        </w:pBdr>
        <w:tabs>
          <w:tab w:val="left" w:pos="7200"/>
        </w:tabs>
        <w:spacing w:before="120" w:beforeAutospacing="0" w:after="0" w:afterAutospacing="0"/>
        <w:jc w:val="left"/>
        <w:rPr>
          <w:b/>
          <w:sz w:val="22"/>
        </w:rPr>
      </w:pPr>
      <w:r w:rsidRPr="002F045E">
        <w:rPr>
          <w:b/>
          <w:sz w:val="22"/>
        </w:rPr>
        <w:t>Item</w:t>
      </w:r>
      <w:r w:rsidRPr="002F045E">
        <w:rPr>
          <w:b/>
          <w:sz w:val="22"/>
        </w:rPr>
        <w:tab/>
      </w:r>
      <w:r w:rsidR="002210BD" w:rsidRPr="002F045E">
        <w:rPr>
          <w:b/>
          <w:sz w:val="22"/>
        </w:rPr>
        <w:t>Date</w:t>
      </w:r>
      <w:r w:rsidR="00741E34" w:rsidRPr="002F045E">
        <w:rPr>
          <w:b/>
          <w:sz w:val="22"/>
        </w:rPr>
        <w:t>*</w:t>
      </w:r>
      <w:r w:rsidR="002210BD" w:rsidRPr="002F045E">
        <w:rPr>
          <w:b/>
          <w:sz w:val="22"/>
        </w:rPr>
        <w:t>:</w:t>
      </w:r>
    </w:p>
    <w:p w14:paraId="2EAE074A" w14:textId="77777777" w:rsidR="00A977D8" w:rsidRPr="002F045E" w:rsidRDefault="008D7E13" w:rsidP="001C47F9">
      <w:pPr>
        <w:tabs>
          <w:tab w:val="left" w:pos="7200"/>
        </w:tabs>
        <w:spacing w:before="120" w:beforeAutospacing="0" w:after="0" w:afterAutospacing="0"/>
        <w:jc w:val="left"/>
        <w:rPr>
          <w:sz w:val="22"/>
        </w:rPr>
      </w:pPr>
      <w:r w:rsidRPr="002F045E">
        <w:rPr>
          <w:sz w:val="22"/>
        </w:rPr>
        <w:t>EIA 64A</w:t>
      </w:r>
      <w:r w:rsidR="002210BD" w:rsidRPr="002F045E">
        <w:rPr>
          <w:sz w:val="22"/>
        </w:rPr>
        <w:tab/>
      </w:r>
      <w:r w:rsidRPr="002F045E">
        <w:rPr>
          <w:sz w:val="22"/>
        </w:rPr>
        <w:t>February</w:t>
      </w:r>
    </w:p>
    <w:p w14:paraId="655A7547" w14:textId="77777777" w:rsidR="00A977D8" w:rsidRPr="002F045E" w:rsidRDefault="008D7E13" w:rsidP="001C47F9">
      <w:pPr>
        <w:tabs>
          <w:tab w:val="left" w:pos="7200"/>
        </w:tabs>
        <w:spacing w:before="120" w:beforeAutospacing="0" w:after="0" w:afterAutospacing="0"/>
        <w:jc w:val="left"/>
        <w:rPr>
          <w:sz w:val="22"/>
        </w:rPr>
      </w:pPr>
      <w:r w:rsidRPr="002F045E">
        <w:rPr>
          <w:sz w:val="22"/>
        </w:rPr>
        <w:t>EIA 23L (</w:t>
      </w:r>
      <w:r w:rsidR="00642D84">
        <w:rPr>
          <w:sz w:val="22"/>
        </w:rPr>
        <w:t>County</w:t>
      </w:r>
      <w:r w:rsidRPr="002F045E">
        <w:rPr>
          <w:sz w:val="22"/>
        </w:rPr>
        <w:t>-level version)</w:t>
      </w:r>
      <w:r w:rsidRPr="002F045E">
        <w:rPr>
          <w:sz w:val="22"/>
        </w:rPr>
        <w:tab/>
      </w:r>
      <w:r w:rsidR="00C31F23" w:rsidRPr="002F045E">
        <w:rPr>
          <w:sz w:val="22"/>
        </w:rPr>
        <w:t>March</w:t>
      </w:r>
      <w:r w:rsidR="00741E34" w:rsidRPr="002F045E">
        <w:rPr>
          <w:sz w:val="22"/>
        </w:rPr>
        <w:t xml:space="preserve">  </w:t>
      </w:r>
    </w:p>
    <w:p w14:paraId="5A520500" w14:textId="77777777" w:rsidR="00A977D8" w:rsidRPr="00DC76F2" w:rsidRDefault="001C47F9" w:rsidP="007F731A">
      <w:pPr>
        <w:spacing w:after="0" w:afterAutospacing="0"/>
        <w:jc w:val="left"/>
        <w:rPr>
          <w:b/>
          <w:sz w:val="22"/>
        </w:rPr>
      </w:pPr>
      <w:r w:rsidRPr="00DC76F2">
        <w:rPr>
          <w:b/>
          <w:sz w:val="22"/>
        </w:rPr>
        <w:t>Due D</w:t>
      </w:r>
      <w:r w:rsidR="008D7E13" w:rsidRPr="00DC76F2">
        <w:rPr>
          <w:b/>
          <w:sz w:val="22"/>
        </w:rPr>
        <w:t xml:space="preserve">ate </w:t>
      </w:r>
      <w:r w:rsidR="00AE00CF" w:rsidRPr="00DC76F2">
        <w:rPr>
          <w:b/>
          <w:sz w:val="22"/>
        </w:rPr>
        <w:t>for</w:t>
      </w:r>
      <w:r w:rsidRPr="00DC76F2">
        <w:rPr>
          <w:b/>
          <w:sz w:val="22"/>
        </w:rPr>
        <w:t xml:space="preserve"> R</w:t>
      </w:r>
      <w:r w:rsidR="008D7E13" w:rsidRPr="00DC76F2">
        <w:rPr>
          <w:b/>
          <w:sz w:val="22"/>
        </w:rPr>
        <w:t>esponse:</w:t>
      </w:r>
    </w:p>
    <w:p w14:paraId="1796B389" w14:textId="77777777" w:rsidR="001C47F9" w:rsidRPr="002F045E" w:rsidRDefault="001C47F9" w:rsidP="007F731A">
      <w:pPr>
        <w:pBdr>
          <w:bottom w:val="single" w:sz="4" w:space="1" w:color="auto"/>
        </w:pBdr>
        <w:tabs>
          <w:tab w:val="left" w:pos="7200"/>
        </w:tabs>
        <w:spacing w:before="120" w:beforeAutospacing="0" w:after="0" w:afterAutospacing="0"/>
        <w:jc w:val="left"/>
        <w:rPr>
          <w:b/>
          <w:sz w:val="22"/>
        </w:rPr>
      </w:pPr>
      <w:r w:rsidRPr="002F045E">
        <w:rPr>
          <w:b/>
          <w:sz w:val="22"/>
        </w:rPr>
        <w:t>Item</w:t>
      </w:r>
      <w:r w:rsidRPr="002F045E">
        <w:rPr>
          <w:b/>
          <w:sz w:val="22"/>
        </w:rPr>
        <w:tab/>
        <w:t>Date:</w:t>
      </w:r>
    </w:p>
    <w:p w14:paraId="0B723CC7" w14:textId="77777777" w:rsidR="00A977D8" w:rsidRPr="002F045E" w:rsidRDefault="008D7E13" w:rsidP="00791741">
      <w:pPr>
        <w:tabs>
          <w:tab w:val="left" w:pos="7200"/>
        </w:tabs>
        <w:spacing w:before="120" w:beforeAutospacing="0" w:after="0" w:afterAutospacing="0"/>
        <w:jc w:val="left"/>
        <w:rPr>
          <w:sz w:val="22"/>
        </w:rPr>
      </w:pPr>
      <w:r w:rsidRPr="002F045E">
        <w:rPr>
          <w:sz w:val="22"/>
        </w:rPr>
        <w:t>EIA 64A</w:t>
      </w:r>
      <w:r w:rsidRPr="002F045E">
        <w:rPr>
          <w:sz w:val="22"/>
        </w:rPr>
        <w:tab/>
        <w:t xml:space="preserve">April </w:t>
      </w:r>
    </w:p>
    <w:p w14:paraId="38926600" w14:textId="77777777" w:rsidR="00A977D8" w:rsidRPr="002F045E" w:rsidRDefault="00791741" w:rsidP="00791741">
      <w:pPr>
        <w:tabs>
          <w:tab w:val="left" w:pos="7200"/>
        </w:tabs>
        <w:spacing w:before="120" w:beforeAutospacing="0" w:after="0" w:afterAutospacing="0"/>
        <w:jc w:val="left"/>
        <w:rPr>
          <w:sz w:val="22"/>
        </w:rPr>
      </w:pPr>
      <w:r w:rsidRPr="002F045E">
        <w:rPr>
          <w:sz w:val="22"/>
        </w:rPr>
        <w:t>EIA 23L (Field-level version)</w:t>
      </w:r>
      <w:r w:rsidRPr="002F045E">
        <w:rPr>
          <w:sz w:val="22"/>
        </w:rPr>
        <w:tab/>
      </w:r>
      <w:r w:rsidR="00741E34" w:rsidRPr="002F045E">
        <w:rPr>
          <w:sz w:val="22"/>
        </w:rPr>
        <w:t>May</w:t>
      </w:r>
    </w:p>
    <w:p w14:paraId="635FE152" w14:textId="77777777" w:rsidR="008D7E13" w:rsidRPr="002F045E" w:rsidRDefault="008D7E13" w:rsidP="00791741">
      <w:pPr>
        <w:tabs>
          <w:tab w:val="left" w:pos="7200"/>
        </w:tabs>
        <w:spacing w:before="120" w:beforeAutospacing="0" w:after="0" w:afterAutospacing="0"/>
        <w:jc w:val="left"/>
        <w:rPr>
          <w:bCs/>
          <w:sz w:val="22"/>
          <w:u w:val="single"/>
        </w:rPr>
      </w:pPr>
      <w:r w:rsidRPr="002F045E">
        <w:rPr>
          <w:sz w:val="22"/>
        </w:rPr>
        <w:t>Final data for tabulation (EIA-64</w:t>
      </w:r>
      <w:r w:rsidR="00791741" w:rsidRPr="002F045E">
        <w:rPr>
          <w:sz w:val="22"/>
        </w:rPr>
        <w:t>A)</w:t>
      </w:r>
      <w:r w:rsidR="00791741" w:rsidRPr="002F045E">
        <w:rPr>
          <w:sz w:val="22"/>
        </w:rPr>
        <w:tab/>
        <w:t xml:space="preserve">June </w:t>
      </w:r>
    </w:p>
    <w:p w14:paraId="7053E007" w14:textId="77777777" w:rsidR="008D7E13" w:rsidRPr="002F045E" w:rsidRDefault="008D7E13" w:rsidP="00791741">
      <w:pPr>
        <w:tabs>
          <w:tab w:val="left" w:pos="7200"/>
        </w:tabs>
        <w:spacing w:before="120" w:beforeAutospacing="0" w:after="0" w:afterAutospacing="0"/>
        <w:jc w:val="left"/>
        <w:rPr>
          <w:b/>
          <w:bCs/>
          <w:sz w:val="22"/>
        </w:rPr>
      </w:pPr>
      <w:r w:rsidRPr="002F045E">
        <w:rPr>
          <w:sz w:val="22"/>
        </w:rPr>
        <w:t>Fina</w:t>
      </w:r>
      <w:r w:rsidR="00791741" w:rsidRPr="002F045E">
        <w:rPr>
          <w:sz w:val="22"/>
        </w:rPr>
        <w:t>l data for tabulation (EIA-23)</w:t>
      </w:r>
      <w:r w:rsidR="00791741" w:rsidRPr="002F045E">
        <w:rPr>
          <w:sz w:val="22"/>
        </w:rPr>
        <w:tab/>
      </w:r>
      <w:r w:rsidR="002400B7" w:rsidRPr="002F045E">
        <w:rPr>
          <w:sz w:val="22"/>
        </w:rPr>
        <w:t>October 31</w:t>
      </w:r>
      <w:r w:rsidRPr="002F045E">
        <w:rPr>
          <w:sz w:val="22"/>
        </w:rPr>
        <w:t xml:space="preserve"> </w:t>
      </w:r>
    </w:p>
    <w:p w14:paraId="5CC65331" w14:textId="77777777" w:rsidR="00C67EFE" w:rsidRDefault="00C67EFE" w:rsidP="00C67EFE">
      <w:pPr>
        <w:pBdr>
          <w:bottom w:val="single" w:sz="4" w:space="1" w:color="auto"/>
        </w:pBdr>
        <w:tabs>
          <w:tab w:val="left" w:pos="7200"/>
        </w:tabs>
        <w:spacing w:before="120" w:beforeAutospacing="0" w:after="0" w:afterAutospacing="0"/>
        <w:jc w:val="left"/>
        <w:rPr>
          <w:b/>
          <w:sz w:val="22"/>
        </w:rPr>
      </w:pPr>
    </w:p>
    <w:p w14:paraId="3F72794F" w14:textId="77777777" w:rsidR="00C67EFE" w:rsidRPr="00DC76F2" w:rsidRDefault="00C67EFE" w:rsidP="00C67EFE">
      <w:pPr>
        <w:pBdr>
          <w:bottom w:val="single" w:sz="4" w:space="1" w:color="auto"/>
        </w:pBdr>
        <w:tabs>
          <w:tab w:val="left" w:pos="7200"/>
        </w:tabs>
        <w:spacing w:before="120" w:beforeAutospacing="0" w:after="0" w:afterAutospacing="0"/>
        <w:jc w:val="left"/>
        <w:rPr>
          <w:b/>
          <w:sz w:val="22"/>
        </w:rPr>
      </w:pPr>
      <w:r w:rsidRPr="00DC76F2">
        <w:rPr>
          <w:b/>
          <w:sz w:val="22"/>
        </w:rPr>
        <w:t>Publication Schedule:</w:t>
      </w:r>
    </w:p>
    <w:p w14:paraId="25A4A4DE" w14:textId="77777777" w:rsidR="00C67EFE" w:rsidRPr="002F045E" w:rsidRDefault="00C67EFE" w:rsidP="00C67EFE">
      <w:pPr>
        <w:pBdr>
          <w:bottom w:val="single" w:sz="4" w:space="1" w:color="auto"/>
        </w:pBdr>
        <w:tabs>
          <w:tab w:val="left" w:pos="7200"/>
        </w:tabs>
        <w:spacing w:before="120" w:beforeAutospacing="0" w:after="0" w:afterAutospacing="0"/>
        <w:jc w:val="left"/>
        <w:rPr>
          <w:b/>
          <w:sz w:val="22"/>
        </w:rPr>
      </w:pPr>
      <w:r w:rsidRPr="002F045E">
        <w:rPr>
          <w:b/>
          <w:sz w:val="22"/>
        </w:rPr>
        <w:t>Item</w:t>
      </w:r>
      <w:r w:rsidRPr="002F045E">
        <w:rPr>
          <w:b/>
          <w:sz w:val="22"/>
        </w:rPr>
        <w:tab/>
        <w:t>Date:</w:t>
      </w:r>
    </w:p>
    <w:p w14:paraId="385591F8" w14:textId="77777777" w:rsidR="008D7E13" w:rsidRPr="002F045E" w:rsidRDefault="00791741" w:rsidP="00791741">
      <w:pPr>
        <w:tabs>
          <w:tab w:val="left" w:pos="7200"/>
        </w:tabs>
        <w:spacing w:before="120" w:beforeAutospacing="0" w:after="0" w:afterAutospacing="0"/>
        <w:jc w:val="left"/>
        <w:rPr>
          <w:b/>
          <w:bCs/>
          <w:sz w:val="22"/>
        </w:rPr>
      </w:pPr>
      <w:r w:rsidRPr="002F045E">
        <w:rPr>
          <w:sz w:val="22"/>
        </w:rPr>
        <w:t>Reserves Report</w:t>
      </w:r>
      <w:r w:rsidRPr="002F045E">
        <w:rPr>
          <w:sz w:val="22"/>
        </w:rPr>
        <w:tab/>
      </w:r>
      <w:r w:rsidR="0072635B">
        <w:rPr>
          <w:sz w:val="22"/>
        </w:rPr>
        <w:t>November</w:t>
      </w:r>
    </w:p>
    <w:p w14:paraId="45CDAF36" w14:textId="77777777" w:rsidR="008D7E13" w:rsidRPr="002F045E" w:rsidRDefault="00791741" w:rsidP="00791741">
      <w:pPr>
        <w:tabs>
          <w:tab w:val="left" w:pos="7200"/>
        </w:tabs>
        <w:spacing w:before="120" w:beforeAutospacing="0" w:after="0" w:afterAutospacing="0"/>
        <w:jc w:val="left"/>
        <w:rPr>
          <w:sz w:val="22"/>
        </w:rPr>
      </w:pPr>
      <w:r w:rsidRPr="002F045E">
        <w:rPr>
          <w:sz w:val="22"/>
        </w:rPr>
        <w:t>Supporting materials</w:t>
      </w:r>
      <w:r w:rsidRPr="002F045E">
        <w:rPr>
          <w:sz w:val="22"/>
        </w:rPr>
        <w:tab/>
      </w:r>
      <w:r w:rsidR="0082576D">
        <w:rPr>
          <w:sz w:val="22"/>
        </w:rPr>
        <w:t>December</w:t>
      </w:r>
    </w:p>
    <w:p w14:paraId="7EC77578" w14:textId="77777777" w:rsidR="00B34E57" w:rsidRPr="00D810CC" w:rsidRDefault="00B34E57" w:rsidP="008561E4">
      <w:pPr>
        <w:pStyle w:val="Heading2"/>
      </w:pPr>
      <w:bookmarkStart w:id="23" w:name="_Toc349579981"/>
      <w:r w:rsidRPr="00D810CC">
        <w:t>OMB Number and Expiration Date</w:t>
      </w:r>
      <w:bookmarkEnd w:id="23"/>
    </w:p>
    <w:p w14:paraId="44F2680A" w14:textId="77777777" w:rsidR="00A977D8" w:rsidRPr="00503754" w:rsidRDefault="008D7E13" w:rsidP="00503754">
      <w:pPr>
        <w:spacing w:before="120" w:beforeAutospacing="0"/>
        <w:rPr>
          <w:color w:val="000000"/>
          <w:spacing w:val="4"/>
          <w:sz w:val="22"/>
        </w:rPr>
      </w:pPr>
      <w:r w:rsidRPr="00503754">
        <w:rPr>
          <w:color w:val="000000"/>
          <w:spacing w:val="4"/>
          <w:sz w:val="22"/>
        </w:rPr>
        <w:t>The OMB approval expiration date</w:t>
      </w:r>
      <w:r w:rsidR="00DB5998">
        <w:rPr>
          <w:color w:val="000000"/>
          <w:spacing w:val="4"/>
          <w:sz w:val="22"/>
        </w:rPr>
        <w:t xml:space="preserve"> and OMB number</w:t>
      </w:r>
      <w:r w:rsidRPr="00503754">
        <w:rPr>
          <w:color w:val="000000"/>
          <w:spacing w:val="4"/>
          <w:sz w:val="22"/>
        </w:rPr>
        <w:t xml:space="preserve"> will be displayed on all of the Oil and Gas Reserves System </w:t>
      </w:r>
      <w:r w:rsidR="009754C5" w:rsidRPr="00503754">
        <w:rPr>
          <w:color w:val="000000"/>
          <w:spacing w:val="4"/>
          <w:sz w:val="22"/>
        </w:rPr>
        <w:t>survey f</w:t>
      </w:r>
      <w:r w:rsidRPr="00503754">
        <w:rPr>
          <w:color w:val="000000"/>
          <w:spacing w:val="4"/>
          <w:sz w:val="22"/>
        </w:rPr>
        <w:t>orms (</w:t>
      </w:r>
      <w:r w:rsidR="009754C5" w:rsidRPr="00503754">
        <w:rPr>
          <w:color w:val="000000"/>
          <w:spacing w:val="4"/>
          <w:sz w:val="22"/>
        </w:rPr>
        <w:t xml:space="preserve">Forms </w:t>
      </w:r>
      <w:r w:rsidRPr="00503754">
        <w:rPr>
          <w:color w:val="000000"/>
          <w:spacing w:val="4"/>
          <w:sz w:val="22"/>
        </w:rPr>
        <w:t>EIA-23L</w:t>
      </w:r>
      <w:r w:rsidR="002C7672">
        <w:rPr>
          <w:color w:val="000000"/>
          <w:spacing w:val="4"/>
          <w:sz w:val="22"/>
        </w:rPr>
        <w:t>, EIA-23S,</w:t>
      </w:r>
      <w:r w:rsidR="00C31F23" w:rsidRPr="00503754">
        <w:rPr>
          <w:color w:val="000000"/>
          <w:spacing w:val="4"/>
          <w:sz w:val="22"/>
        </w:rPr>
        <w:t xml:space="preserve"> </w:t>
      </w:r>
      <w:r w:rsidRPr="00503754">
        <w:rPr>
          <w:color w:val="000000"/>
          <w:spacing w:val="4"/>
          <w:sz w:val="22"/>
        </w:rPr>
        <w:t>and EIA-64A).</w:t>
      </w:r>
      <w:r w:rsidR="00297895">
        <w:rPr>
          <w:color w:val="000000"/>
          <w:spacing w:val="4"/>
          <w:sz w:val="22"/>
        </w:rPr>
        <w:t xml:space="preserve"> </w:t>
      </w:r>
    </w:p>
    <w:p w14:paraId="228E33C2" w14:textId="77777777" w:rsidR="00651DF9" w:rsidRDefault="00651DF9" w:rsidP="00503754">
      <w:pPr>
        <w:rPr>
          <w:color w:val="000000"/>
          <w:spacing w:val="6"/>
          <w:sz w:val="22"/>
        </w:rPr>
      </w:pPr>
    </w:p>
    <w:p w14:paraId="44645113" w14:textId="77777777" w:rsidR="00876E5A" w:rsidRDefault="00876E5A" w:rsidP="00503754">
      <w:pPr>
        <w:rPr>
          <w:color w:val="000000"/>
          <w:spacing w:val="6"/>
          <w:sz w:val="22"/>
        </w:rPr>
      </w:pPr>
    </w:p>
    <w:p w14:paraId="57871733" w14:textId="77777777" w:rsidR="007B64AF" w:rsidRDefault="007B64AF" w:rsidP="00503754">
      <w:pPr>
        <w:rPr>
          <w:color w:val="000000"/>
          <w:spacing w:val="6"/>
          <w:sz w:val="22"/>
        </w:rPr>
      </w:pPr>
    </w:p>
    <w:p w14:paraId="7491DC6F" w14:textId="77777777" w:rsidR="007B64AF" w:rsidRDefault="007B64AF">
      <w:pPr>
        <w:spacing w:before="0" w:beforeAutospacing="0" w:after="200" w:afterAutospacing="0" w:line="276" w:lineRule="auto"/>
        <w:jc w:val="left"/>
        <w:rPr>
          <w:color w:val="000000"/>
          <w:spacing w:val="6"/>
          <w:sz w:val="22"/>
        </w:rPr>
      </w:pPr>
      <w:r>
        <w:rPr>
          <w:color w:val="000000"/>
          <w:spacing w:val="6"/>
          <w:sz w:val="22"/>
        </w:rPr>
        <w:br w:type="page"/>
      </w:r>
    </w:p>
    <w:p w14:paraId="1AC29785" w14:textId="77777777" w:rsidR="007B64AF" w:rsidRPr="001E1F0D" w:rsidRDefault="007B64AF" w:rsidP="001E1F0D">
      <w:pPr>
        <w:jc w:val="center"/>
        <w:rPr>
          <w:b/>
        </w:rPr>
      </w:pPr>
      <w:r w:rsidRPr="001E1F0D">
        <w:rPr>
          <w:b/>
        </w:rPr>
        <w:lastRenderedPageBreak/>
        <w:t xml:space="preserve">Appendix A:  Comments on Proposed Changes </w:t>
      </w:r>
    </w:p>
    <w:p w14:paraId="363B9346" w14:textId="77777777" w:rsidR="007B64AF" w:rsidRDefault="007B64AF" w:rsidP="007B64AF">
      <w:r>
        <w:t>The following people responded to the EIA Request for Comments on our proposed changes to Form EIA-23L:</w:t>
      </w:r>
    </w:p>
    <w:p w14:paraId="268DA29F" w14:textId="77777777" w:rsidR="007B64AF" w:rsidRPr="00517B21" w:rsidRDefault="007B64AF" w:rsidP="007B64AF">
      <w:pPr>
        <w:rPr>
          <w:sz w:val="22"/>
        </w:rPr>
      </w:pPr>
      <w:r w:rsidRPr="00517B21">
        <w:rPr>
          <w:sz w:val="22"/>
        </w:rPr>
        <w:t>Steve Haught, Statoil Corporation</w:t>
      </w:r>
      <w:r w:rsidRPr="00517B21">
        <w:rPr>
          <w:sz w:val="22"/>
        </w:rPr>
        <w:tab/>
      </w:r>
      <w:r w:rsidRPr="00517B21">
        <w:rPr>
          <w:sz w:val="22"/>
        </w:rPr>
        <w:tab/>
      </w:r>
      <w:r w:rsidRPr="00517B21">
        <w:rPr>
          <w:sz w:val="22"/>
        </w:rPr>
        <w:tab/>
      </w:r>
      <w:r w:rsidRPr="00517B21">
        <w:rPr>
          <w:sz w:val="22"/>
        </w:rPr>
        <w:tab/>
      </w:r>
      <w:hyperlink r:id="rId26" w:history="1">
        <w:r w:rsidRPr="00517B21">
          <w:rPr>
            <w:rStyle w:val="Hyperlink"/>
            <w:sz w:val="22"/>
          </w:rPr>
          <w:t>STHAUGH@statoil.com</w:t>
        </w:r>
      </w:hyperlink>
    </w:p>
    <w:p w14:paraId="22A47E76" w14:textId="77777777" w:rsidR="007B64AF" w:rsidRPr="00517B21" w:rsidRDefault="007B64AF" w:rsidP="007B64AF">
      <w:pPr>
        <w:rPr>
          <w:sz w:val="22"/>
        </w:rPr>
      </w:pPr>
      <w:r w:rsidRPr="00517B21">
        <w:rPr>
          <w:sz w:val="22"/>
        </w:rPr>
        <w:t>Bruce Cocek, Basa Resources, Inc.</w:t>
      </w:r>
      <w:r w:rsidRPr="00517B21">
        <w:rPr>
          <w:sz w:val="22"/>
        </w:rPr>
        <w:tab/>
      </w:r>
      <w:r w:rsidRPr="00517B21">
        <w:rPr>
          <w:sz w:val="22"/>
        </w:rPr>
        <w:tab/>
        <w:t>214-580-5279</w:t>
      </w:r>
      <w:r w:rsidRPr="00517B21">
        <w:rPr>
          <w:sz w:val="22"/>
        </w:rPr>
        <w:tab/>
      </w:r>
      <w:hyperlink r:id="rId27" w:history="1">
        <w:r w:rsidRPr="00517B21">
          <w:rPr>
            <w:rStyle w:val="Hyperlink"/>
            <w:sz w:val="22"/>
          </w:rPr>
          <w:t>bcocek@basaresources.com</w:t>
        </w:r>
      </w:hyperlink>
    </w:p>
    <w:p w14:paraId="1B944066" w14:textId="77777777" w:rsidR="007B64AF" w:rsidRPr="00517B21" w:rsidRDefault="007B64AF" w:rsidP="007B64AF">
      <w:pPr>
        <w:pStyle w:val="PlainText"/>
        <w:rPr>
          <w:rFonts w:ascii="Times New Roman" w:hAnsi="Times New Roman"/>
          <w:sz w:val="22"/>
          <w:szCs w:val="22"/>
        </w:rPr>
      </w:pPr>
      <w:r w:rsidRPr="00517B21">
        <w:rPr>
          <w:rFonts w:ascii="Times New Roman" w:hAnsi="Times New Roman"/>
          <w:sz w:val="22"/>
          <w:szCs w:val="22"/>
        </w:rPr>
        <w:t xml:space="preserve">Douglas Schafer, </w:t>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t>713-621-2242</w:t>
      </w:r>
      <w:r w:rsidRPr="00517B21">
        <w:rPr>
          <w:rFonts w:ascii="Times New Roman" w:hAnsi="Times New Roman"/>
          <w:sz w:val="22"/>
          <w:szCs w:val="22"/>
        </w:rPr>
        <w:tab/>
      </w:r>
      <w:hyperlink r:id="rId28" w:history="1">
        <w:r w:rsidRPr="00517B21">
          <w:rPr>
            <w:rStyle w:val="Hyperlink"/>
            <w:rFonts w:ascii="Times New Roman" w:hAnsi="Times New Roman"/>
            <w:sz w:val="22"/>
            <w:szCs w:val="22"/>
          </w:rPr>
          <w:t>dschaefer@offshoreservicesllc.com</w:t>
        </w:r>
      </w:hyperlink>
    </w:p>
    <w:p w14:paraId="21774021" w14:textId="77777777" w:rsidR="007B64AF" w:rsidRPr="00517B21" w:rsidRDefault="007B64AF" w:rsidP="007B64AF">
      <w:pPr>
        <w:pStyle w:val="PlainText"/>
        <w:rPr>
          <w:rFonts w:ascii="Times New Roman" w:hAnsi="Times New Roman"/>
          <w:sz w:val="22"/>
          <w:szCs w:val="22"/>
        </w:rPr>
      </w:pPr>
      <w:r w:rsidRPr="00517B21">
        <w:rPr>
          <w:rFonts w:ascii="Times New Roman" w:hAnsi="Times New Roman"/>
          <w:sz w:val="22"/>
          <w:szCs w:val="22"/>
        </w:rPr>
        <w:t>Production Operations Manager, Offshore Services LLC</w:t>
      </w:r>
      <w:r w:rsidRPr="00517B21">
        <w:rPr>
          <w:rFonts w:ascii="Times New Roman" w:hAnsi="Times New Roman"/>
          <w:sz w:val="22"/>
          <w:szCs w:val="22"/>
        </w:rPr>
        <w:tab/>
      </w:r>
      <w:r w:rsidRPr="00517B21">
        <w:rPr>
          <w:rFonts w:ascii="Times New Roman" w:hAnsi="Times New Roman"/>
          <w:sz w:val="22"/>
          <w:szCs w:val="22"/>
        </w:rPr>
        <w:tab/>
      </w:r>
    </w:p>
    <w:p w14:paraId="76E3F8DE" w14:textId="77777777" w:rsidR="007B64AF" w:rsidRPr="00517B21" w:rsidRDefault="007B64AF" w:rsidP="007B64AF">
      <w:pPr>
        <w:pStyle w:val="PlainText"/>
        <w:rPr>
          <w:rFonts w:ascii="Times New Roman" w:hAnsi="Times New Roman"/>
          <w:sz w:val="22"/>
          <w:szCs w:val="22"/>
        </w:rPr>
      </w:pPr>
    </w:p>
    <w:p w14:paraId="22CF5669" w14:textId="77777777" w:rsidR="007B64AF" w:rsidRPr="00517B21" w:rsidRDefault="007B64AF" w:rsidP="007B64AF">
      <w:pPr>
        <w:pStyle w:val="PlainText"/>
        <w:rPr>
          <w:rFonts w:ascii="Times New Roman" w:hAnsi="Times New Roman"/>
          <w:sz w:val="22"/>
          <w:szCs w:val="22"/>
        </w:rPr>
      </w:pPr>
      <w:r w:rsidRPr="00517B21">
        <w:rPr>
          <w:rFonts w:ascii="Times New Roman" w:hAnsi="Times New Roman"/>
          <w:sz w:val="22"/>
          <w:szCs w:val="22"/>
        </w:rPr>
        <w:t>Vickie Tyler,</w:t>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t xml:space="preserve"> </w:t>
      </w:r>
      <w:r w:rsidRPr="00517B21">
        <w:rPr>
          <w:rFonts w:ascii="Times New Roman" w:hAnsi="Times New Roman"/>
          <w:sz w:val="22"/>
          <w:szCs w:val="22"/>
        </w:rPr>
        <w:tab/>
      </w:r>
      <w:r w:rsidRPr="00517B21">
        <w:rPr>
          <w:rFonts w:ascii="Times New Roman" w:hAnsi="Times New Roman"/>
          <w:sz w:val="22"/>
          <w:szCs w:val="22"/>
        </w:rPr>
        <w:tab/>
        <w:t>817-334-7822</w:t>
      </w:r>
      <w:r w:rsidRPr="00517B21">
        <w:rPr>
          <w:rFonts w:ascii="Times New Roman" w:hAnsi="Times New Roman"/>
          <w:sz w:val="22"/>
          <w:szCs w:val="22"/>
        </w:rPr>
        <w:tab/>
      </w:r>
      <w:hyperlink r:id="rId29" w:history="1">
        <w:r w:rsidRPr="00517B21">
          <w:rPr>
            <w:rStyle w:val="Hyperlink"/>
            <w:rFonts w:ascii="Times New Roman" w:hAnsi="Times New Roman"/>
            <w:sz w:val="22"/>
            <w:szCs w:val="22"/>
          </w:rPr>
          <w:t>vtyler@mspartners.com</w:t>
        </w:r>
      </w:hyperlink>
    </w:p>
    <w:p w14:paraId="0732B411" w14:textId="77777777" w:rsidR="007B64AF" w:rsidRPr="00517B21" w:rsidRDefault="007B64AF" w:rsidP="007B64AF">
      <w:pPr>
        <w:pStyle w:val="PlainText"/>
        <w:rPr>
          <w:rFonts w:ascii="Times New Roman" w:hAnsi="Times New Roman"/>
          <w:sz w:val="22"/>
          <w:szCs w:val="22"/>
        </w:rPr>
      </w:pPr>
      <w:r w:rsidRPr="00517B21">
        <w:rPr>
          <w:rFonts w:ascii="Times New Roman" w:hAnsi="Times New Roman"/>
          <w:sz w:val="22"/>
          <w:szCs w:val="22"/>
        </w:rPr>
        <w:t>Engineering Technician, Morningstar Partners</w:t>
      </w:r>
    </w:p>
    <w:p w14:paraId="3F32B350" w14:textId="77777777" w:rsidR="007B64AF" w:rsidRPr="00517B21" w:rsidRDefault="007B64AF" w:rsidP="007B64AF">
      <w:pPr>
        <w:pStyle w:val="PlainText"/>
        <w:rPr>
          <w:rFonts w:ascii="Times New Roman" w:hAnsi="Times New Roman"/>
          <w:sz w:val="22"/>
          <w:szCs w:val="22"/>
        </w:rPr>
      </w:pPr>
    </w:p>
    <w:p w14:paraId="1715D450" w14:textId="77777777" w:rsidR="007B64AF" w:rsidRPr="00517B21" w:rsidRDefault="007B64AF" w:rsidP="007B64AF">
      <w:pPr>
        <w:pStyle w:val="PlainText"/>
        <w:rPr>
          <w:rFonts w:ascii="Times New Roman" w:hAnsi="Times New Roman"/>
          <w:sz w:val="22"/>
          <w:szCs w:val="22"/>
        </w:rPr>
      </w:pPr>
      <w:r w:rsidRPr="00517B21">
        <w:rPr>
          <w:rFonts w:ascii="Times New Roman" w:hAnsi="Times New Roman"/>
          <w:sz w:val="22"/>
          <w:szCs w:val="22"/>
        </w:rPr>
        <w:t xml:space="preserve">Claudia Catchings, </w:t>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t>713-296-7141</w:t>
      </w:r>
      <w:r w:rsidRPr="00517B21">
        <w:rPr>
          <w:rFonts w:ascii="Times New Roman" w:hAnsi="Times New Roman"/>
          <w:sz w:val="22"/>
          <w:szCs w:val="22"/>
        </w:rPr>
        <w:tab/>
      </w:r>
      <w:hyperlink r:id="rId30" w:history="1">
        <w:r w:rsidRPr="00517B21">
          <w:rPr>
            <w:rStyle w:val="Hyperlink"/>
            <w:rFonts w:ascii="Times New Roman" w:hAnsi="Times New Roman"/>
            <w:sz w:val="22"/>
            <w:szCs w:val="22"/>
          </w:rPr>
          <w:t>Claudia.Catchings@apachecorp.com</w:t>
        </w:r>
      </w:hyperlink>
    </w:p>
    <w:p w14:paraId="3B7EC925" w14:textId="77777777" w:rsidR="007B64AF" w:rsidRPr="00517B21" w:rsidRDefault="007B64AF" w:rsidP="007B64AF">
      <w:pPr>
        <w:pStyle w:val="PlainText"/>
        <w:rPr>
          <w:rFonts w:ascii="Times New Roman" w:hAnsi="Times New Roman"/>
          <w:sz w:val="22"/>
          <w:szCs w:val="22"/>
        </w:rPr>
      </w:pPr>
      <w:r w:rsidRPr="00517B21">
        <w:rPr>
          <w:rFonts w:ascii="Times New Roman" w:hAnsi="Times New Roman"/>
          <w:sz w:val="22"/>
          <w:szCs w:val="22"/>
        </w:rPr>
        <w:t>Economics Coordinator, Apache Corporation</w:t>
      </w:r>
    </w:p>
    <w:p w14:paraId="09F7603E" w14:textId="77777777" w:rsidR="007B64AF" w:rsidRPr="00517B21" w:rsidRDefault="007B64AF" w:rsidP="007B64AF">
      <w:pPr>
        <w:pStyle w:val="PlainText"/>
        <w:rPr>
          <w:rFonts w:ascii="Times New Roman" w:hAnsi="Times New Roman"/>
          <w:sz w:val="22"/>
          <w:szCs w:val="22"/>
        </w:rPr>
      </w:pPr>
    </w:p>
    <w:p w14:paraId="7233EF28" w14:textId="77777777" w:rsidR="007B64AF" w:rsidRPr="00517B21" w:rsidRDefault="007B64AF" w:rsidP="007B64AF">
      <w:pPr>
        <w:pStyle w:val="PlainText"/>
        <w:rPr>
          <w:rFonts w:ascii="Times New Roman" w:hAnsi="Times New Roman"/>
          <w:sz w:val="22"/>
          <w:szCs w:val="22"/>
        </w:rPr>
      </w:pPr>
      <w:r w:rsidRPr="00517B21">
        <w:rPr>
          <w:rFonts w:ascii="Times New Roman" w:hAnsi="Times New Roman"/>
          <w:sz w:val="22"/>
          <w:szCs w:val="22"/>
        </w:rPr>
        <w:t xml:space="preserve">J. Mike Drennen, </w:t>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t>405-232-9700</w:t>
      </w:r>
      <w:r w:rsidRPr="00517B21">
        <w:rPr>
          <w:rFonts w:ascii="Times New Roman" w:hAnsi="Times New Roman"/>
          <w:sz w:val="22"/>
          <w:szCs w:val="22"/>
        </w:rPr>
        <w:tab/>
      </w:r>
      <w:hyperlink r:id="rId31" w:history="1">
        <w:r w:rsidRPr="00517B21">
          <w:rPr>
            <w:rStyle w:val="Hyperlink"/>
            <w:rFonts w:ascii="Times New Roman" w:hAnsi="Times New Roman"/>
            <w:sz w:val="22"/>
            <w:szCs w:val="22"/>
          </w:rPr>
          <w:t>miked@crawleypetroleum.com</w:t>
        </w:r>
      </w:hyperlink>
    </w:p>
    <w:p w14:paraId="4D6ABA0E" w14:textId="77777777" w:rsidR="007B64AF" w:rsidRPr="00517B21" w:rsidRDefault="007B64AF" w:rsidP="007B64AF">
      <w:pPr>
        <w:pStyle w:val="PlainText"/>
        <w:rPr>
          <w:rFonts w:ascii="Times New Roman" w:hAnsi="Times New Roman"/>
          <w:sz w:val="22"/>
          <w:szCs w:val="22"/>
        </w:rPr>
      </w:pPr>
      <w:r w:rsidRPr="00517B21">
        <w:rPr>
          <w:rFonts w:ascii="Times New Roman" w:hAnsi="Times New Roman"/>
          <w:sz w:val="22"/>
          <w:szCs w:val="22"/>
        </w:rPr>
        <w:t>Vice President, Crawley Petroleum Corporation</w:t>
      </w:r>
    </w:p>
    <w:p w14:paraId="127093EA" w14:textId="77777777" w:rsidR="007B64AF" w:rsidRPr="00517B21" w:rsidRDefault="007B64AF" w:rsidP="007B64AF">
      <w:pPr>
        <w:pStyle w:val="PlainText"/>
        <w:rPr>
          <w:rFonts w:ascii="Times New Roman" w:hAnsi="Times New Roman"/>
          <w:sz w:val="22"/>
          <w:szCs w:val="22"/>
        </w:rPr>
      </w:pPr>
    </w:p>
    <w:p w14:paraId="03E72FE9" w14:textId="77777777" w:rsidR="007B64AF" w:rsidRPr="00517B21" w:rsidRDefault="007B64AF" w:rsidP="007B64AF">
      <w:pPr>
        <w:pStyle w:val="PlainText"/>
        <w:rPr>
          <w:rFonts w:ascii="Times New Roman" w:hAnsi="Times New Roman"/>
          <w:sz w:val="22"/>
          <w:szCs w:val="22"/>
        </w:rPr>
      </w:pPr>
      <w:r w:rsidRPr="00517B21">
        <w:rPr>
          <w:rFonts w:ascii="Times New Roman" w:hAnsi="Times New Roman"/>
          <w:sz w:val="22"/>
          <w:szCs w:val="22"/>
        </w:rPr>
        <w:t>Linda Morgan,</w:t>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t>214-206-9537</w:t>
      </w:r>
      <w:r w:rsidRPr="00517B21">
        <w:rPr>
          <w:rFonts w:ascii="Times New Roman" w:hAnsi="Times New Roman"/>
          <w:sz w:val="22"/>
          <w:szCs w:val="22"/>
        </w:rPr>
        <w:tab/>
      </w:r>
      <w:hyperlink r:id="rId32" w:history="1">
        <w:r w:rsidRPr="00517B21">
          <w:rPr>
            <w:rStyle w:val="Hyperlink"/>
            <w:rFonts w:ascii="Times New Roman" w:hAnsi="Times New Roman"/>
            <w:sz w:val="22"/>
            <w:szCs w:val="22"/>
          </w:rPr>
          <w:t>LMorgan@coveypark.com</w:t>
        </w:r>
      </w:hyperlink>
    </w:p>
    <w:p w14:paraId="57259E16" w14:textId="77777777" w:rsidR="007B64AF" w:rsidRPr="00517B21" w:rsidRDefault="007B64AF" w:rsidP="007B64AF">
      <w:pPr>
        <w:pStyle w:val="PlainText"/>
        <w:rPr>
          <w:rFonts w:ascii="Times New Roman" w:hAnsi="Times New Roman"/>
          <w:sz w:val="22"/>
          <w:szCs w:val="22"/>
        </w:rPr>
      </w:pPr>
      <w:r w:rsidRPr="00517B21">
        <w:rPr>
          <w:rFonts w:ascii="Times New Roman" w:hAnsi="Times New Roman"/>
          <w:sz w:val="22"/>
          <w:szCs w:val="22"/>
        </w:rPr>
        <w:t>Senior Engineering Analyst, Covey Park Energy</w:t>
      </w:r>
    </w:p>
    <w:p w14:paraId="592EA4C8" w14:textId="77777777" w:rsidR="007B64AF" w:rsidRPr="00517B21" w:rsidRDefault="007B64AF" w:rsidP="007B64AF">
      <w:pPr>
        <w:pStyle w:val="PlainText"/>
        <w:rPr>
          <w:rFonts w:ascii="Times New Roman" w:hAnsi="Times New Roman"/>
          <w:sz w:val="22"/>
          <w:szCs w:val="22"/>
        </w:rPr>
      </w:pPr>
    </w:p>
    <w:p w14:paraId="6D7470FC" w14:textId="77777777" w:rsidR="007B64AF" w:rsidRPr="00517B21" w:rsidRDefault="007B64AF" w:rsidP="007B64AF">
      <w:pPr>
        <w:pStyle w:val="PlainText"/>
        <w:rPr>
          <w:rFonts w:ascii="Times New Roman" w:hAnsi="Times New Roman"/>
          <w:sz w:val="22"/>
          <w:szCs w:val="22"/>
        </w:rPr>
      </w:pPr>
      <w:r w:rsidRPr="00517B21">
        <w:rPr>
          <w:rFonts w:ascii="Times New Roman" w:hAnsi="Times New Roman"/>
          <w:sz w:val="22"/>
          <w:szCs w:val="22"/>
        </w:rPr>
        <w:t>James H. (Jim) Etherton</w:t>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t>713-366-5534</w:t>
      </w:r>
      <w:r w:rsidRPr="00517B21">
        <w:rPr>
          <w:rFonts w:ascii="Times New Roman" w:hAnsi="Times New Roman"/>
          <w:sz w:val="22"/>
          <w:szCs w:val="22"/>
        </w:rPr>
        <w:tab/>
      </w:r>
      <w:hyperlink r:id="rId33" w:history="1">
        <w:r w:rsidRPr="00517B21">
          <w:rPr>
            <w:rStyle w:val="Hyperlink"/>
            <w:rFonts w:ascii="Times New Roman" w:hAnsi="Times New Roman"/>
            <w:sz w:val="22"/>
            <w:szCs w:val="22"/>
          </w:rPr>
          <w:t>James_Etherton@oxy.com</w:t>
        </w:r>
      </w:hyperlink>
    </w:p>
    <w:p w14:paraId="271F55B4" w14:textId="77777777" w:rsidR="007B64AF" w:rsidRPr="00517B21" w:rsidRDefault="007B64AF" w:rsidP="007B64AF">
      <w:pPr>
        <w:pStyle w:val="PlainText"/>
        <w:rPr>
          <w:rFonts w:ascii="Times New Roman" w:hAnsi="Times New Roman"/>
          <w:sz w:val="22"/>
          <w:szCs w:val="22"/>
        </w:rPr>
      </w:pPr>
      <w:r w:rsidRPr="00517B21">
        <w:rPr>
          <w:rFonts w:ascii="Times New Roman" w:hAnsi="Times New Roman"/>
          <w:sz w:val="22"/>
          <w:szCs w:val="22"/>
        </w:rPr>
        <w:t>Senior Reserves Advisor, Occidental Petroleum Corporation</w:t>
      </w:r>
    </w:p>
    <w:p w14:paraId="7827B26E" w14:textId="77777777" w:rsidR="007B64AF" w:rsidRPr="00517B21" w:rsidRDefault="007B64AF" w:rsidP="007B64AF">
      <w:pPr>
        <w:pStyle w:val="PlainText"/>
        <w:rPr>
          <w:rFonts w:ascii="Times New Roman" w:hAnsi="Times New Roman"/>
          <w:sz w:val="22"/>
          <w:szCs w:val="22"/>
        </w:rPr>
      </w:pPr>
    </w:p>
    <w:p w14:paraId="25F51036" w14:textId="77777777" w:rsidR="007B64AF" w:rsidRPr="00517B21" w:rsidRDefault="007B64AF" w:rsidP="00517B21">
      <w:pPr>
        <w:pStyle w:val="PlainText"/>
        <w:rPr>
          <w:rFonts w:ascii="Times New Roman" w:hAnsi="Times New Roman"/>
          <w:sz w:val="22"/>
          <w:szCs w:val="22"/>
        </w:rPr>
      </w:pPr>
      <w:r w:rsidRPr="00517B21">
        <w:rPr>
          <w:rFonts w:ascii="Times New Roman" w:hAnsi="Times New Roman"/>
          <w:sz w:val="22"/>
          <w:szCs w:val="22"/>
        </w:rPr>
        <w:t xml:space="preserve">Ann Roberts </w:t>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r>
      <w:r w:rsidRPr="00517B21">
        <w:rPr>
          <w:rFonts w:ascii="Times New Roman" w:hAnsi="Times New Roman"/>
          <w:sz w:val="22"/>
          <w:szCs w:val="22"/>
        </w:rPr>
        <w:tab/>
        <w:t>361-888-4792</w:t>
      </w:r>
      <w:r w:rsidRPr="00517B21">
        <w:rPr>
          <w:rFonts w:ascii="Times New Roman" w:hAnsi="Times New Roman"/>
          <w:sz w:val="22"/>
          <w:szCs w:val="22"/>
        </w:rPr>
        <w:tab/>
      </w:r>
      <w:hyperlink r:id="rId34" w:history="1">
        <w:r w:rsidRPr="00517B21">
          <w:rPr>
            <w:rStyle w:val="Hyperlink"/>
            <w:rFonts w:ascii="Times New Roman" w:hAnsi="Times New Roman"/>
            <w:sz w:val="22"/>
            <w:szCs w:val="22"/>
          </w:rPr>
          <w:t>aroberts@royalcctx.com</w:t>
        </w:r>
      </w:hyperlink>
      <w:r w:rsidR="00A134D3" w:rsidRPr="00517B21">
        <w:rPr>
          <w:rStyle w:val="Hyperlink"/>
          <w:rFonts w:ascii="Times New Roman" w:hAnsi="Times New Roman"/>
          <w:sz w:val="22"/>
          <w:szCs w:val="22"/>
        </w:rPr>
        <w:br/>
      </w:r>
      <w:r w:rsidRPr="00517B21">
        <w:rPr>
          <w:rFonts w:ascii="Times New Roman" w:hAnsi="Times New Roman"/>
          <w:sz w:val="22"/>
          <w:szCs w:val="22"/>
        </w:rPr>
        <w:t>Royal Production Company, Inc.</w:t>
      </w:r>
    </w:p>
    <w:p w14:paraId="457BB0F9" w14:textId="77777777" w:rsidR="007B64AF" w:rsidRPr="00517B21" w:rsidRDefault="00A134D3" w:rsidP="00517B21">
      <w:pPr>
        <w:pStyle w:val="PlainText"/>
        <w:rPr>
          <w:rFonts w:ascii="Times New Roman" w:hAnsi="Times New Roman"/>
          <w:bCs/>
          <w:sz w:val="22"/>
          <w:szCs w:val="22"/>
        </w:rPr>
      </w:pPr>
      <w:r w:rsidRPr="00517B21">
        <w:rPr>
          <w:rFonts w:ascii="Times New Roman" w:hAnsi="Times New Roman"/>
          <w:sz w:val="22"/>
          <w:szCs w:val="22"/>
        </w:rPr>
        <w:br/>
      </w:r>
      <w:r w:rsidR="007B64AF" w:rsidRPr="00517B21">
        <w:rPr>
          <w:rFonts w:ascii="Times New Roman" w:hAnsi="Times New Roman"/>
          <w:sz w:val="22"/>
          <w:szCs w:val="22"/>
        </w:rPr>
        <w:t xml:space="preserve">Lesley Schaaff, </w:t>
      </w:r>
      <w:r w:rsidR="007B64AF" w:rsidRPr="00517B21">
        <w:rPr>
          <w:rFonts w:ascii="Times New Roman" w:hAnsi="Times New Roman"/>
          <w:sz w:val="22"/>
          <w:szCs w:val="22"/>
        </w:rPr>
        <w:tab/>
      </w:r>
      <w:r w:rsidR="007B64AF" w:rsidRPr="00517B21">
        <w:rPr>
          <w:rFonts w:ascii="Times New Roman" w:hAnsi="Times New Roman"/>
          <w:sz w:val="22"/>
          <w:szCs w:val="22"/>
        </w:rPr>
        <w:tab/>
      </w:r>
      <w:r w:rsidR="007B64AF" w:rsidRPr="00517B21">
        <w:rPr>
          <w:rFonts w:ascii="Times New Roman" w:hAnsi="Times New Roman"/>
          <w:sz w:val="22"/>
          <w:szCs w:val="22"/>
        </w:rPr>
        <w:tab/>
      </w:r>
      <w:r w:rsidR="007B64AF" w:rsidRPr="00517B21">
        <w:rPr>
          <w:rFonts w:ascii="Times New Roman" w:hAnsi="Times New Roman"/>
          <w:sz w:val="22"/>
          <w:szCs w:val="22"/>
        </w:rPr>
        <w:tab/>
      </w:r>
      <w:r w:rsidR="007B64AF" w:rsidRPr="00517B21">
        <w:rPr>
          <w:rFonts w:ascii="Times New Roman" w:hAnsi="Times New Roman"/>
          <w:sz w:val="22"/>
          <w:szCs w:val="22"/>
        </w:rPr>
        <w:tab/>
        <w:t>202-263-1012</w:t>
      </w:r>
      <w:r w:rsidR="007B64AF" w:rsidRPr="00517B21">
        <w:rPr>
          <w:rFonts w:ascii="Times New Roman" w:hAnsi="Times New Roman"/>
          <w:sz w:val="22"/>
          <w:szCs w:val="22"/>
        </w:rPr>
        <w:tab/>
      </w:r>
      <w:hyperlink r:id="rId35" w:history="1">
        <w:r w:rsidR="007B64AF" w:rsidRPr="00517B21">
          <w:rPr>
            <w:rStyle w:val="Hyperlink"/>
            <w:rFonts w:ascii="Times New Roman" w:hAnsi="Times New Roman"/>
            <w:sz w:val="22"/>
            <w:szCs w:val="22"/>
          </w:rPr>
          <w:t>lschaaff@hess.com</w:t>
        </w:r>
      </w:hyperlink>
      <w:r w:rsidRPr="00517B21">
        <w:rPr>
          <w:rStyle w:val="Hyperlink"/>
          <w:rFonts w:ascii="Times New Roman" w:hAnsi="Times New Roman"/>
          <w:sz w:val="22"/>
          <w:szCs w:val="22"/>
        </w:rPr>
        <w:br/>
      </w:r>
      <w:r w:rsidR="007B64AF" w:rsidRPr="00517B21">
        <w:rPr>
          <w:rFonts w:ascii="Times New Roman" w:hAnsi="Times New Roman"/>
          <w:sz w:val="22"/>
          <w:szCs w:val="22"/>
        </w:rPr>
        <w:t xml:space="preserve">Senior Manager, Government &amp; External Affairs, </w:t>
      </w:r>
      <w:r w:rsidR="007B64AF" w:rsidRPr="00517B21">
        <w:rPr>
          <w:rFonts w:ascii="Times New Roman" w:hAnsi="Times New Roman"/>
          <w:bCs/>
          <w:sz w:val="22"/>
          <w:szCs w:val="22"/>
        </w:rPr>
        <w:t>Hess Corporation</w:t>
      </w:r>
    </w:p>
    <w:p w14:paraId="354113A1" w14:textId="77777777" w:rsidR="007B64AF" w:rsidRPr="00517B21" w:rsidRDefault="00A134D3" w:rsidP="007B64AF">
      <w:pPr>
        <w:pStyle w:val="PlainText"/>
        <w:rPr>
          <w:rFonts w:ascii="Times New Roman" w:hAnsi="Times New Roman"/>
          <w:sz w:val="22"/>
          <w:szCs w:val="22"/>
        </w:rPr>
      </w:pPr>
      <w:r w:rsidRPr="00517B21">
        <w:rPr>
          <w:rFonts w:ascii="Times New Roman" w:hAnsi="Times New Roman"/>
          <w:sz w:val="22"/>
          <w:szCs w:val="22"/>
        </w:rPr>
        <w:br/>
      </w:r>
      <w:r w:rsidR="007B64AF" w:rsidRPr="00517B21">
        <w:rPr>
          <w:rFonts w:ascii="Times New Roman" w:hAnsi="Times New Roman"/>
          <w:sz w:val="22"/>
          <w:szCs w:val="22"/>
        </w:rPr>
        <w:t xml:space="preserve">Jamie Jensen </w:t>
      </w:r>
      <w:r w:rsidR="007B64AF" w:rsidRPr="00517B21">
        <w:rPr>
          <w:rFonts w:ascii="Times New Roman" w:hAnsi="Times New Roman"/>
          <w:sz w:val="22"/>
          <w:szCs w:val="22"/>
        </w:rPr>
        <w:tab/>
      </w:r>
      <w:r w:rsidR="007B64AF" w:rsidRPr="00517B21">
        <w:rPr>
          <w:rFonts w:ascii="Times New Roman" w:hAnsi="Times New Roman"/>
          <w:sz w:val="22"/>
          <w:szCs w:val="22"/>
        </w:rPr>
        <w:tab/>
      </w:r>
      <w:r w:rsidR="007B64AF" w:rsidRPr="00517B21">
        <w:rPr>
          <w:rFonts w:ascii="Times New Roman" w:hAnsi="Times New Roman"/>
          <w:sz w:val="22"/>
          <w:szCs w:val="22"/>
        </w:rPr>
        <w:tab/>
      </w:r>
      <w:r w:rsidR="007B64AF" w:rsidRPr="00517B21">
        <w:rPr>
          <w:rFonts w:ascii="Times New Roman" w:hAnsi="Times New Roman"/>
          <w:sz w:val="22"/>
          <w:szCs w:val="22"/>
        </w:rPr>
        <w:tab/>
      </w:r>
      <w:r w:rsidR="007B64AF" w:rsidRPr="00517B21">
        <w:rPr>
          <w:rFonts w:ascii="Times New Roman" w:hAnsi="Times New Roman"/>
          <w:sz w:val="22"/>
          <w:szCs w:val="22"/>
        </w:rPr>
        <w:tab/>
        <w:t>432-221-0760</w:t>
      </w:r>
      <w:r w:rsidR="007B64AF" w:rsidRPr="00517B21">
        <w:rPr>
          <w:rFonts w:ascii="Times New Roman" w:hAnsi="Times New Roman"/>
          <w:sz w:val="22"/>
          <w:szCs w:val="22"/>
        </w:rPr>
        <w:tab/>
      </w:r>
      <w:hyperlink r:id="rId36" w:history="1">
        <w:r w:rsidR="007B64AF" w:rsidRPr="00517B21">
          <w:rPr>
            <w:rStyle w:val="Hyperlink"/>
            <w:rFonts w:ascii="Times New Roman" w:hAnsi="Times New Roman"/>
            <w:sz w:val="22"/>
            <w:szCs w:val="22"/>
          </w:rPr>
          <w:t>JJensen@concho.com</w:t>
        </w:r>
      </w:hyperlink>
    </w:p>
    <w:p w14:paraId="1C9AD2CB" w14:textId="77777777" w:rsidR="007B64AF" w:rsidRPr="00517B21" w:rsidRDefault="007B64AF" w:rsidP="007B64AF">
      <w:pPr>
        <w:pStyle w:val="PlainText"/>
        <w:rPr>
          <w:rFonts w:ascii="Times New Roman" w:hAnsi="Times New Roman"/>
          <w:sz w:val="22"/>
          <w:szCs w:val="22"/>
        </w:rPr>
      </w:pPr>
      <w:r w:rsidRPr="00517B21">
        <w:rPr>
          <w:rFonts w:ascii="Times New Roman" w:hAnsi="Times New Roman"/>
          <w:sz w:val="22"/>
          <w:szCs w:val="22"/>
        </w:rPr>
        <w:t>Reservoir Engineering Tech, Concho Resources, Inc.</w:t>
      </w:r>
    </w:p>
    <w:p w14:paraId="7A957E46" w14:textId="77777777" w:rsidR="007B64AF" w:rsidRDefault="007B64AF" w:rsidP="007B64AF">
      <w:pPr>
        <w:pStyle w:val="PlainText"/>
      </w:pPr>
    </w:p>
    <w:p w14:paraId="541A3D0A" w14:textId="77777777" w:rsidR="007B64AF" w:rsidRPr="00517B21" w:rsidRDefault="007B64AF" w:rsidP="007B64AF">
      <w:pPr>
        <w:pStyle w:val="PlainText"/>
        <w:rPr>
          <w:rFonts w:ascii="Times New Roman" w:hAnsi="Times New Roman"/>
          <w:sz w:val="24"/>
          <w:szCs w:val="24"/>
        </w:rPr>
      </w:pPr>
    </w:p>
    <w:p w14:paraId="0DA47AFB" w14:textId="77777777" w:rsidR="007B64AF" w:rsidRPr="00517B21" w:rsidRDefault="007B64AF" w:rsidP="007B64AF">
      <w:pPr>
        <w:pStyle w:val="PlainText"/>
        <w:rPr>
          <w:rFonts w:ascii="Times New Roman" w:hAnsi="Times New Roman"/>
          <w:sz w:val="24"/>
          <w:szCs w:val="24"/>
        </w:rPr>
      </w:pPr>
      <w:r w:rsidRPr="00517B21">
        <w:rPr>
          <w:rFonts w:ascii="Times New Roman" w:hAnsi="Times New Roman"/>
          <w:sz w:val="24"/>
          <w:szCs w:val="24"/>
        </w:rPr>
        <w:t>The most common positive comment is agreement that reducing the reporting level from field-level to county-level should reduce the burden of completing Form EIA-23L.</w:t>
      </w:r>
    </w:p>
    <w:p w14:paraId="7A0EBA8F" w14:textId="77777777" w:rsidR="007B64AF" w:rsidRPr="00517B21" w:rsidRDefault="007B64AF" w:rsidP="007B64AF">
      <w:pPr>
        <w:pStyle w:val="PlainText"/>
        <w:rPr>
          <w:rFonts w:ascii="Times New Roman" w:hAnsi="Times New Roman"/>
          <w:sz w:val="24"/>
          <w:szCs w:val="24"/>
        </w:rPr>
      </w:pPr>
    </w:p>
    <w:p w14:paraId="2217F5D0" w14:textId="77777777" w:rsidR="007B64AF" w:rsidRPr="00517B21" w:rsidRDefault="007B64AF" w:rsidP="007B64AF">
      <w:pPr>
        <w:pStyle w:val="PlainText"/>
        <w:rPr>
          <w:rFonts w:ascii="Times New Roman" w:hAnsi="Times New Roman"/>
          <w:sz w:val="24"/>
          <w:szCs w:val="24"/>
        </w:rPr>
      </w:pPr>
      <w:r w:rsidRPr="00517B21">
        <w:rPr>
          <w:rFonts w:ascii="Times New Roman" w:hAnsi="Times New Roman"/>
          <w:sz w:val="24"/>
          <w:szCs w:val="24"/>
        </w:rPr>
        <w:t>The most common negative comment is that changing any part of the process carries with it an associated capital cost to implement it. They want as few changes as necessary and up to an additional year to implement the final changes.</w:t>
      </w:r>
    </w:p>
    <w:p w14:paraId="0C3DFBC4" w14:textId="77777777" w:rsidR="007B64AF" w:rsidRDefault="007B64AF" w:rsidP="007B64AF">
      <w:pPr>
        <w:rPr>
          <w:rFonts w:ascii="Calibri" w:hAnsi="Calibri"/>
          <w:szCs w:val="21"/>
        </w:rPr>
      </w:pPr>
      <w:r>
        <w:br w:type="page"/>
      </w:r>
    </w:p>
    <w:p w14:paraId="40F04174" w14:textId="77777777" w:rsidR="007B64AF" w:rsidRPr="00517B21" w:rsidRDefault="007B64AF" w:rsidP="00517B21">
      <w:pPr>
        <w:jc w:val="left"/>
        <w:rPr>
          <w:szCs w:val="24"/>
        </w:rPr>
      </w:pPr>
      <w:r w:rsidRPr="00517B21">
        <w:rPr>
          <w:szCs w:val="24"/>
          <w:u w:val="single"/>
        </w:rPr>
        <w:lastRenderedPageBreak/>
        <w:t>Steve Haught, Statoil Corporation</w:t>
      </w:r>
      <w:r w:rsidR="00517B21">
        <w:rPr>
          <w:szCs w:val="24"/>
        </w:rPr>
        <w:br/>
      </w:r>
      <w:r w:rsidRPr="00517B21">
        <w:rPr>
          <w:szCs w:val="24"/>
        </w:rPr>
        <w:t>Comments: Is in favor of the change in reporting level by county instead of by field.</w:t>
      </w:r>
      <w:r w:rsidRPr="00517B21">
        <w:rPr>
          <w:szCs w:val="24"/>
        </w:rPr>
        <w:br/>
        <w:t>Response: Replied via email to acknowledge submission 11/17</w:t>
      </w:r>
    </w:p>
    <w:p w14:paraId="5C0BE245" w14:textId="256877CB" w:rsidR="007B64AF" w:rsidRPr="00517B21" w:rsidRDefault="007B64AF" w:rsidP="00517B21">
      <w:pPr>
        <w:jc w:val="left"/>
        <w:rPr>
          <w:szCs w:val="24"/>
          <w:u w:val="single"/>
        </w:rPr>
      </w:pPr>
      <w:r w:rsidRPr="00517B21">
        <w:rPr>
          <w:szCs w:val="24"/>
          <w:u w:val="single"/>
        </w:rPr>
        <w:t>Bruce Cocek, Basa Resources, Inc</w:t>
      </w:r>
      <w:r w:rsidR="00013B5B" w:rsidRPr="00517B21">
        <w:rPr>
          <w:szCs w:val="24"/>
          <w:u w:val="single"/>
        </w:rPr>
        <w:t xml:space="preserve">. </w:t>
      </w:r>
      <w:r w:rsidR="00517B21">
        <w:rPr>
          <w:szCs w:val="24"/>
        </w:rPr>
        <w:br/>
      </w:r>
      <w:r w:rsidRPr="00517B21">
        <w:rPr>
          <w:szCs w:val="24"/>
        </w:rPr>
        <w:t>Comments: Wanted to know if the changes were for the 2015 collection and requested more time to review and comment on the proposal.</w:t>
      </w:r>
      <w:r w:rsidRPr="00517B21">
        <w:rPr>
          <w:szCs w:val="24"/>
        </w:rPr>
        <w:br/>
        <w:t>Response: Replied via email on 11/17 to explain that the changes proposed were for the 2016 collection and were not in effect. Extended time to review and reply until 12/ 10</w:t>
      </w:r>
    </w:p>
    <w:p w14:paraId="4EF456D2" w14:textId="77777777" w:rsidR="007B64AF" w:rsidRPr="00517B21" w:rsidRDefault="007B64AF" w:rsidP="00517B21">
      <w:pPr>
        <w:pStyle w:val="PlainText"/>
        <w:spacing w:line="276" w:lineRule="auto"/>
        <w:rPr>
          <w:rFonts w:ascii="Times New Roman" w:hAnsi="Times New Roman"/>
          <w:sz w:val="24"/>
          <w:szCs w:val="24"/>
          <w:u w:val="single"/>
        </w:rPr>
      </w:pPr>
      <w:r w:rsidRPr="00517B21">
        <w:rPr>
          <w:rFonts w:ascii="Times New Roman" w:hAnsi="Times New Roman"/>
          <w:sz w:val="24"/>
          <w:szCs w:val="24"/>
          <w:u w:val="single"/>
        </w:rPr>
        <w:t>Douglas Schafer, Production Operations Manager, Offshore Services LLC</w:t>
      </w:r>
    </w:p>
    <w:p w14:paraId="0EB38365" w14:textId="77777777" w:rsidR="007B64AF" w:rsidRPr="00517B21" w:rsidRDefault="007B64AF" w:rsidP="00517B21">
      <w:pPr>
        <w:pStyle w:val="PlainText"/>
        <w:spacing w:line="276" w:lineRule="auto"/>
        <w:rPr>
          <w:rFonts w:ascii="Times New Roman" w:hAnsi="Times New Roman"/>
          <w:sz w:val="24"/>
          <w:szCs w:val="24"/>
          <w:u w:val="single"/>
        </w:rPr>
      </w:pPr>
      <w:r w:rsidRPr="00517B21">
        <w:rPr>
          <w:rFonts w:ascii="Times New Roman" w:hAnsi="Times New Roman"/>
          <w:sz w:val="24"/>
          <w:szCs w:val="24"/>
        </w:rPr>
        <w:t>Comments: Was unsure of the intent of the outreach email.</w:t>
      </w:r>
      <w:r w:rsidRPr="00517B21">
        <w:rPr>
          <w:rFonts w:ascii="Times New Roman" w:hAnsi="Times New Roman"/>
          <w:sz w:val="24"/>
          <w:szCs w:val="24"/>
        </w:rPr>
        <w:br/>
        <w:t>Response: Replied via email on 11/17 to explain that the intent of the email was outreach for proposed changes and not a request for resubmission of 2014 data.</w:t>
      </w:r>
    </w:p>
    <w:p w14:paraId="17C469A6" w14:textId="77777777" w:rsidR="007B64AF" w:rsidRPr="00517B21" w:rsidRDefault="007B64AF" w:rsidP="00517B21">
      <w:pPr>
        <w:pStyle w:val="PlainText"/>
        <w:rPr>
          <w:rFonts w:ascii="Times New Roman" w:hAnsi="Times New Roman"/>
          <w:sz w:val="24"/>
          <w:szCs w:val="24"/>
        </w:rPr>
      </w:pPr>
    </w:p>
    <w:p w14:paraId="6515C25F" w14:textId="77777777" w:rsidR="007B64AF" w:rsidRPr="00517B21" w:rsidRDefault="007B64AF" w:rsidP="00517B21">
      <w:pPr>
        <w:pStyle w:val="PlainText"/>
        <w:spacing w:line="276" w:lineRule="auto"/>
        <w:rPr>
          <w:rFonts w:ascii="Times New Roman" w:hAnsi="Times New Roman"/>
          <w:sz w:val="24"/>
          <w:szCs w:val="24"/>
          <w:u w:val="single"/>
        </w:rPr>
      </w:pPr>
      <w:r w:rsidRPr="00517B21">
        <w:rPr>
          <w:rFonts w:ascii="Times New Roman" w:hAnsi="Times New Roman"/>
          <w:sz w:val="24"/>
          <w:szCs w:val="24"/>
          <w:u w:val="single"/>
        </w:rPr>
        <w:t>Vickie Tyler, Engineering Technician, Morningstar Partners</w:t>
      </w:r>
    </w:p>
    <w:p w14:paraId="0ECE91C7" w14:textId="77777777" w:rsidR="007B64AF" w:rsidRPr="00517B21" w:rsidRDefault="007B64AF" w:rsidP="00517B21">
      <w:pPr>
        <w:pStyle w:val="PlainText"/>
        <w:spacing w:line="276" w:lineRule="auto"/>
        <w:rPr>
          <w:rFonts w:ascii="Times New Roman" w:hAnsi="Times New Roman"/>
          <w:sz w:val="24"/>
          <w:szCs w:val="24"/>
        </w:rPr>
      </w:pPr>
      <w:r w:rsidRPr="00517B21">
        <w:rPr>
          <w:rFonts w:ascii="Times New Roman" w:hAnsi="Times New Roman"/>
          <w:sz w:val="24"/>
          <w:szCs w:val="24"/>
        </w:rPr>
        <w:t xml:space="preserve">Comments: The proposed change in the level of reporting from field to county-level would be helpful and less of a burden in filing. </w:t>
      </w:r>
      <w:r w:rsidRPr="00517B21">
        <w:rPr>
          <w:rFonts w:ascii="Times New Roman" w:hAnsi="Times New Roman"/>
          <w:sz w:val="24"/>
          <w:szCs w:val="24"/>
        </w:rPr>
        <w:br/>
        <w:t>Response: Replied via email to acknowledge submission 12/11</w:t>
      </w:r>
    </w:p>
    <w:p w14:paraId="25BB3BE9" w14:textId="77777777" w:rsidR="007B64AF" w:rsidRPr="00517B21" w:rsidRDefault="007B64AF" w:rsidP="00517B21">
      <w:pPr>
        <w:pStyle w:val="PlainText"/>
        <w:rPr>
          <w:rFonts w:ascii="Times New Roman" w:hAnsi="Times New Roman"/>
          <w:sz w:val="24"/>
          <w:szCs w:val="24"/>
        </w:rPr>
      </w:pPr>
    </w:p>
    <w:p w14:paraId="1AF63177" w14:textId="77777777" w:rsidR="007B64AF" w:rsidRPr="00517B21" w:rsidRDefault="007B64AF" w:rsidP="00517B21">
      <w:pPr>
        <w:pStyle w:val="PlainText"/>
        <w:rPr>
          <w:rFonts w:ascii="Times New Roman" w:hAnsi="Times New Roman"/>
          <w:sz w:val="24"/>
          <w:szCs w:val="24"/>
          <w:u w:val="single"/>
        </w:rPr>
      </w:pPr>
      <w:r w:rsidRPr="00517B21">
        <w:rPr>
          <w:rFonts w:ascii="Times New Roman" w:hAnsi="Times New Roman"/>
          <w:sz w:val="24"/>
          <w:szCs w:val="24"/>
          <w:u w:val="single"/>
        </w:rPr>
        <w:t>Claudia Catchings, Economics Coordinator, Apache Corporation</w:t>
      </w:r>
    </w:p>
    <w:p w14:paraId="71D45135" w14:textId="77777777" w:rsidR="007B64AF" w:rsidRPr="00517B21" w:rsidRDefault="007B64AF" w:rsidP="00517B21">
      <w:pPr>
        <w:pStyle w:val="PlainText"/>
        <w:rPr>
          <w:rFonts w:ascii="Times New Roman" w:hAnsi="Times New Roman"/>
          <w:sz w:val="24"/>
          <w:szCs w:val="24"/>
        </w:rPr>
      </w:pPr>
      <w:r w:rsidRPr="00517B21">
        <w:rPr>
          <w:rFonts w:ascii="Times New Roman" w:hAnsi="Times New Roman"/>
          <w:sz w:val="24"/>
          <w:szCs w:val="24"/>
        </w:rPr>
        <w:t>Comments: When would the proposed changes go into effect?</w:t>
      </w:r>
    </w:p>
    <w:p w14:paraId="793C5A2F" w14:textId="77777777" w:rsidR="007B64AF" w:rsidRPr="00517B21" w:rsidRDefault="007B64AF" w:rsidP="00517B21">
      <w:pPr>
        <w:pStyle w:val="PlainText"/>
        <w:rPr>
          <w:rFonts w:ascii="Times New Roman" w:hAnsi="Times New Roman"/>
          <w:sz w:val="24"/>
          <w:szCs w:val="24"/>
        </w:rPr>
      </w:pPr>
      <w:r w:rsidRPr="00517B21">
        <w:rPr>
          <w:rFonts w:ascii="Times New Roman" w:hAnsi="Times New Roman"/>
          <w:sz w:val="24"/>
          <w:szCs w:val="24"/>
        </w:rPr>
        <w:t>Response: Replied via email on 11/17 to explain that changes would go into effect if approved by the Office of Management and Budget and would apply to our 2016 data collection beginning in February 2017.</w:t>
      </w:r>
    </w:p>
    <w:p w14:paraId="1B5CA7B3" w14:textId="77777777" w:rsidR="007B64AF" w:rsidRPr="00517B21" w:rsidRDefault="007B64AF" w:rsidP="00517B21">
      <w:pPr>
        <w:pStyle w:val="PlainText"/>
        <w:rPr>
          <w:rFonts w:ascii="Times New Roman" w:hAnsi="Times New Roman"/>
          <w:sz w:val="24"/>
          <w:szCs w:val="24"/>
        </w:rPr>
      </w:pPr>
    </w:p>
    <w:p w14:paraId="4C9A43C9" w14:textId="77777777" w:rsidR="007B64AF" w:rsidRPr="00517B21" w:rsidRDefault="007B64AF" w:rsidP="00517B21">
      <w:pPr>
        <w:pStyle w:val="PlainText"/>
        <w:rPr>
          <w:rFonts w:ascii="Times New Roman" w:hAnsi="Times New Roman"/>
          <w:sz w:val="24"/>
          <w:szCs w:val="24"/>
        </w:rPr>
      </w:pPr>
      <w:r w:rsidRPr="00517B21">
        <w:rPr>
          <w:rFonts w:ascii="Times New Roman" w:hAnsi="Times New Roman"/>
          <w:sz w:val="24"/>
          <w:szCs w:val="24"/>
          <w:u w:val="single"/>
        </w:rPr>
        <w:t>J. Mike Drennen, Crawley Petroleum Corporation</w:t>
      </w:r>
      <w:r w:rsidRPr="00517B21">
        <w:rPr>
          <w:rFonts w:ascii="Times New Roman" w:hAnsi="Times New Roman"/>
          <w:sz w:val="24"/>
          <w:szCs w:val="24"/>
        </w:rPr>
        <w:br/>
        <w:t>Comments: EIA’s estimate of the cost to implement our proposed changes is wrong. It does not take into account the time and personnel needed to alter computerized filing systems that are currently in place. There are always “capital and startup costs”.</w:t>
      </w:r>
      <w:r w:rsidRPr="00517B21">
        <w:rPr>
          <w:rFonts w:ascii="Times New Roman" w:hAnsi="Times New Roman"/>
          <w:sz w:val="24"/>
          <w:szCs w:val="24"/>
        </w:rPr>
        <w:br/>
        <w:t xml:space="preserve">Response: Replied vie email on 12/11 to acknowledge submission of comment. </w:t>
      </w:r>
    </w:p>
    <w:p w14:paraId="552753FB" w14:textId="77777777" w:rsidR="007B64AF" w:rsidRPr="00517B21" w:rsidRDefault="007B64AF" w:rsidP="00517B21">
      <w:pPr>
        <w:pStyle w:val="PlainText"/>
        <w:rPr>
          <w:rFonts w:ascii="Times New Roman" w:hAnsi="Times New Roman"/>
          <w:sz w:val="24"/>
          <w:szCs w:val="24"/>
        </w:rPr>
      </w:pPr>
    </w:p>
    <w:p w14:paraId="60CD957B" w14:textId="77777777" w:rsidR="007B64AF" w:rsidRPr="00517B21" w:rsidRDefault="007B64AF" w:rsidP="00517B21">
      <w:pPr>
        <w:pStyle w:val="PlainText"/>
        <w:rPr>
          <w:rFonts w:ascii="Times New Roman" w:hAnsi="Times New Roman"/>
          <w:sz w:val="24"/>
          <w:szCs w:val="24"/>
          <w:u w:val="single"/>
        </w:rPr>
      </w:pPr>
      <w:r w:rsidRPr="00517B21">
        <w:rPr>
          <w:rFonts w:ascii="Times New Roman" w:hAnsi="Times New Roman"/>
          <w:sz w:val="24"/>
          <w:szCs w:val="24"/>
          <w:u w:val="single"/>
        </w:rPr>
        <w:t>Linda Morgan, Covey Park Energy</w:t>
      </w:r>
    </w:p>
    <w:p w14:paraId="49EC6C98" w14:textId="77777777" w:rsidR="007B64AF" w:rsidRPr="00517B21" w:rsidRDefault="007B64AF" w:rsidP="00517B21">
      <w:pPr>
        <w:pStyle w:val="PlainText"/>
        <w:rPr>
          <w:rFonts w:ascii="Times New Roman" w:hAnsi="Times New Roman"/>
          <w:sz w:val="24"/>
          <w:szCs w:val="24"/>
        </w:rPr>
      </w:pPr>
      <w:r w:rsidRPr="00517B21">
        <w:rPr>
          <w:rFonts w:ascii="Times New Roman" w:hAnsi="Times New Roman"/>
          <w:sz w:val="24"/>
          <w:szCs w:val="24"/>
        </w:rPr>
        <w:t>Comments: Likes the changes and predicts a reduction in time required to complete Form EIA-23L.</w:t>
      </w:r>
      <w:r w:rsidRPr="00517B21">
        <w:rPr>
          <w:rFonts w:ascii="Times New Roman" w:hAnsi="Times New Roman"/>
          <w:sz w:val="24"/>
          <w:szCs w:val="24"/>
        </w:rPr>
        <w:br/>
        <w:t>Response: Replied via email to acknowledge submission 12/11</w:t>
      </w:r>
    </w:p>
    <w:p w14:paraId="0E0EE60D" w14:textId="77777777" w:rsidR="007B64AF" w:rsidRPr="00517B21" w:rsidRDefault="007B64AF" w:rsidP="00517B21">
      <w:pPr>
        <w:pStyle w:val="PlainText"/>
        <w:rPr>
          <w:rFonts w:ascii="Times New Roman" w:hAnsi="Times New Roman"/>
          <w:sz w:val="24"/>
          <w:szCs w:val="24"/>
        </w:rPr>
      </w:pPr>
    </w:p>
    <w:p w14:paraId="6C9C4A99" w14:textId="77777777" w:rsidR="007B64AF" w:rsidRPr="00517B21" w:rsidRDefault="007B64AF" w:rsidP="00517B21">
      <w:pPr>
        <w:pStyle w:val="PlainText"/>
        <w:rPr>
          <w:rFonts w:ascii="Times New Roman" w:hAnsi="Times New Roman"/>
          <w:sz w:val="24"/>
          <w:szCs w:val="24"/>
        </w:rPr>
      </w:pPr>
      <w:r w:rsidRPr="00517B21">
        <w:rPr>
          <w:rFonts w:ascii="Times New Roman" w:hAnsi="Times New Roman"/>
          <w:sz w:val="24"/>
          <w:szCs w:val="24"/>
          <w:u w:val="single"/>
        </w:rPr>
        <w:t>James H. (Jim) Etherton, Occidental Petroleum Corporation</w:t>
      </w:r>
      <w:r w:rsidRPr="00517B21">
        <w:rPr>
          <w:rFonts w:ascii="Times New Roman" w:hAnsi="Times New Roman"/>
          <w:sz w:val="24"/>
          <w:szCs w:val="24"/>
        </w:rPr>
        <w:br/>
        <w:t>Comments: Asked for a meeting via telephone to air and discuss the changes.</w:t>
      </w:r>
      <w:r w:rsidRPr="00517B21">
        <w:rPr>
          <w:rFonts w:ascii="Times New Roman" w:hAnsi="Times New Roman"/>
          <w:sz w:val="24"/>
          <w:szCs w:val="24"/>
        </w:rPr>
        <w:br/>
        <w:t>Response: Arranged a phone conversation on 12/9 with Mr. Etherton. He has concerns about potential computing problems with County Codes and County Names regarding specialty keys, specifically the apostrophe and any code with a leading zero. The apostrophe creates string errors within code written in SQL. With leading zeroes, the Excel spreadsheet program very often drops leading zeroes.  He also asked for more detail or examples in the definitions used for Form EIA-23L regarding Type Codes.</w:t>
      </w:r>
    </w:p>
    <w:p w14:paraId="42E6D388" w14:textId="77777777" w:rsidR="007B64AF" w:rsidRPr="00517B21" w:rsidRDefault="007B64AF" w:rsidP="007B64AF">
      <w:pPr>
        <w:pStyle w:val="PlainText"/>
        <w:rPr>
          <w:rFonts w:ascii="Times New Roman" w:hAnsi="Times New Roman"/>
          <w:sz w:val="24"/>
          <w:szCs w:val="24"/>
        </w:rPr>
      </w:pPr>
    </w:p>
    <w:p w14:paraId="2C4DDD4D" w14:textId="0AD7A96D" w:rsidR="007B64AF" w:rsidRPr="00517B21" w:rsidRDefault="007B64AF" w:rsidP="007B64AF">
      <w:pPr>
        <w:pStyle w:val="PlainText"/>
        <w:rPr>
          <w:rFonts w:ascii="Times New Roman" w:hAnsi="Times New Roman"/>
          <w:sz w:val="24"/>
          <w:szCs w:val="24"/>
        </w:rPr>
      </w:pPr>
      <w:r w:rsidRPr="00517B21">
        <w:rPr>
          <w:rFonts w:ascii="Times New Roman" w:hAnsi="Times New Roman"/>
          <w:sz w:val="24"/>
          <w:szCs w:val="24"/>
          <w:u w:val="single"/>
        </w:rPr>
        <w:t>Ann Roberts, Royal Production Company, Inc</w:t>
      </w:r>
      <w:r w:rsidR="00013B5B" w:rsidRPr="00517B21">
        <w:rPr>
          <w:rFonts w:ascii="Times New Roman" w:hAnsi="Times New Roman"/>
          <w:sz w:val="24"/>
          <w:szCs w:val="24"/>
          <w:u w:val="single"/>
        </w:rPr>
        <w:t xml:space="preserve">. </w:t>
      </w:r>
      <w:r w:rsidRPr="00517B21">
        <w:rPr>
          <w:rFonts w:ascii="Times New Roman" w:hAnsi="Times New Roman"/>
          <w:sz w:val="24"/>
          <w:szCs w:val="24"/>
        </w:rPr>
        <w:br/>
        <w:t>Comments: Has no objection to the proposed changes and does not foresee a big difference in their record-keeping practices.</w:t>
      </w:r>
    </w:p>
    <w:p w14:paraId="422FA518" w14:textId="77777777" w:rsidR="007B64AF" w:rsidRPr="00517B21" w:rsidRDefault="007B64AF" w:rsidP="007B64AF">
      <w:pPr>
        <w:pStyle w:val="PlainText"/>
        <w:rPr>
          <w:rFonts w:ascii="Times New Roman" w:hAnsi="Times New Roman"/>
          <w:sz w:val="24"/>
          <w:szCs w:val="24"/>
        </w:rPr>
      </w:pPr>
      <w:r w:rsidRPr="00517B21">
        <w:rPr>
          <w:rFonts w:ascii="Times New Roman" w:hAnsi="Times New Roman"/>
          <w:sz w:val="24"/>
          <w:szCs w:val="24"/>
        </w:rPr>
        <w:t>Response: Replied via email to acknowledge submission 12/11</w:t>
      </w:r>
    </w:p>
    <w:p w14:paraId="38DD668E" w14:textId="77777777" w:rsidR="007B64AF" w:rsidRPr="00517B21" w:rsidRDefault="007B64AF" w:rsidP="007B64AF">
      <w:pPr>
        <w:rPr>
          <w:szCs w:val="24"/>
        </w:rPr>
      </w:pPr>
    </w:p>
    <w:p w14:paraId="20B43173" w14:textId="77777777" w:rsidR="007B64AF" w:rsidRPr="00517B21" w:rsidRDefault="007B64AF" w:rsidP="007B64AF">
      <w:pPr>
        <w:pStyle w:val="PlainText"/>
        <w:rPr>
          <w:rFonts w:ascii="Times New Roman" w:hAnsi="Times New Roman"/>
          <w:bCs/>
          <w:sz w:val="24"/>
          <w:szCs w:val="24"/>
          <w:u w:val="single"/>
        </w:rPr>
      </w:pPr>
      <w:r w:rsidRPr="00517B21">
        <w:rPr>
          <w:rFonts w:ascii="Times New Roman" w:hAnsi="Times New Roman"/>
          <w:sz w:val="24"/>
          <w:szCs w:val="24"/>
          <w:u w:val="single"/>
        </w:rPr>
        <w:t xml:space="preserve">Lesley Schaaff, </w:t>
      </w:r>
      <w:r w:rsidRPr="00517B21">
        <w:rPr>
          <w:rFonts w:ascii="Times New Roman" w:hAnsi="Times New Roman"/>
          <w:bCs/>
          <w:sz w:val="24"/>
          <w:szCs w:val="24"/>
          <w:u w:val="single"/>
        </w:rPr>
        <w:t>Hess Corporation</w:t>
      </w:r>
    </w:p>
    <w:p w14:paraId="3BD9D6C7" w14:textId="77777777" w:rsidR="007B64AF" w:rsidRPr="00517B21" w:rsidRDefault="007B64AF" w:rsidP="007B64AF">
      <w:pPr>
        <w:pStyle w:val="PlainText"/>
        <w:rPr>
          <w:rFonts w:ascii="Times New Roman" w:hAnsi="Times New Roman"/>
          <w:bCs/>
          <w:sz w:val="24"/>
          <w:szCs w:val="24"/>
        </w:rPr>
      </w:pPr>
      <w:r w:rsidRPr="00517B21">
        <w:rPr>
          <w:rFonts w:ascii="Times New Roman" w:hAnsi="Times New Roman"/>
          <w:bCs/>
          <w:sz w:val="24"/>
          <w:szCs w:val="24"/>
        </w:rPr>
        <w:t xml:space="preserve">Comments: Submitted a 2-page letter on 11/24 of the concerns and comments of Hess Corporation addressing the proposed changes. Given time and capital costs required to implement our proposed changes, Hess asked that the changes not be implemented until the 2017 data collection (which would begin in February 2018). While active well count data is kept, the number of active wells within a county varies over the course of a year—Hess suggests that EIA allow annual averaging of this data [Note: EIA is considering either an average or a snapshot well count set to a particular day, e.g. December 31.] </w:t>
      </w:r>
    </w:p>
    <w:p w14:paraId="2F116D81" w14:textId="77777777" w:rsidR="007B64AF" w:rsidRPr="00517B21" w:rsidRDefault="007B64AF" w:rsidP="007B64AF">
      <w:pPr>
        <w:pStyle w:val="PlainText"/>
        <w:rPr>
          <w:rFonts w:ascii="Times New Roman" w:hAnsi="Times New Roman"/>
          <w:bCs/>
          <w:sz w:val="24"/>
          <w:szCs w:val="24"/>
        </w:rPr>
      </w:pPr>
      <w:r w:rsidRPr="00517B21">
        <w:rPr>
          <w:rFonts w:ascii="Times New Roman" w:hAnsi="Times New Roman"/>
          <w:bCs/>
          <w:sz w:val="24"/>
          <w:szCs w:val="24"/>
        </w:rPr>
        <w:t>Response: Replied via email to acknowledge receipt of the letter 12/11</w:t>
      </w:r>
    </w:p>
    <w:p w14:paraId="4AA2C634" w14:textId="77777777" w:rsidR="007B64AF" w:rsidRPr="00517B21" w:rsidRDefault="007B64AF" w:rsidP="007B64AF">
      <w:pPr>
        <w:pStyle w:val="PlainText"/>
        <w:rPr>
          <w:rFonts w:ascii="Times New Roman" w:hAnsi="Times New Roman"/>
          <w:bCs/>
          <w:sz w:val="24"/>
          <w:szCs w:val="24"/>
        </w:rPr>
      </w:pPr>
    </w:p>
    <w:p w14:paraId="619A98A6" w14:textId="77777777" w:rsidR="007B64AF" w:rsidRPr="00517B21" w:rsidRDefault="007B64AF" w:rsidP="007B64AF">
      <w:pPr>
        <w:pStyle w:val="PlainText"/>
        <w:rPr>
          <w:rFonts w:ascii="Times New Roman" w:hAnsi="Times New Roman"/>
          <w:sz w:val="24"/>
          <w:szCs w:val="24"/>
          <w:u w:val="single"/>
        </w:rPr>
      </w:pPr>
      <w:r w:rsidRPr="00517B21">
        <w:rPr>
          <w:rFonts w:ascii="Times New Roman" w:hAnsi="Times New Roman"/>
          <w:sz w:val="24"/>
          <w:szCs w:val="24"/>
          <w:u w:val="single"/>
        </w:rPr>
        <w:t>Jamie Jensen, Concho Resources, Inc.</w:t>
      </w:r>
    </w:p>
    <w:p w14:paraId="02DEF765" w14:textId="77777777" w:rsidR="007B64AF" w:rsidRPr="00517B21" w:rsidRDefault="007B64AF" w:rsidP="007B64AF">
      <w:pPr>
        <w:pStyle w:val="PlainText"/>
        <w:rPr>
          <w:rFonts w:ascii="Times New Roman" w:hAnsi="Times New Roman"/>
          <w:sz w:val="24"/>
          <w:szCs w:val="24"/>
        </w:rPr>
      </w:pPr>
      <w:r w:rsidRPr="00517B21">
        <w:rPr>
          <w:rFonts w:ascii="Times New Roman" w:hAnsi="Times New Roman"/>
          <w:sz w:val="24"/>
          <w:szCs w:val="24"/>
        </w:rPr>
        <w:t>Comments: Concho is supportive of county-level data collection, and combining the type codes of Shale and Other Low Permeability into one code, Tight, for crude oil. They also expressed support for reducing the four separate fuel types of crude oil, nonassociated natural gas, associated-dissolved natural gas, and lease condensate down to two fuel types; oil and natural gas; and for combining the components of total discoveries (extensions, new field discoveries, and new reservoir discoveries in existing fields) into one category.</w:t>
      </w:r>
    </w:p>
    <w:p w14:paraId="3EC57E10" w14:textId="77777777" w:rsidR="007B64AF" w:rsidRPr="00517B21" w:rsidRDefault="007B64AF" w:rsidP="007B64AF">
      <w:pPr>
        <w:pStyle w:val="PlainText"/>
        <w:rPr>
          <w:rFonts w:ascii="Times New Roman" w:hAnsi="Times New Roman"/>
          <w:sz w:val="24"/>
          <w:szCs w:val="24"/>
        </w:rPr>
      </w:pPr>
      <w:r w:rsidRPr="00517B21">
        <w:rPr>
          <w:rFonts w:ascii="Times New Roman" w:hAnsi="Times New Roman"/>
          <w:sz w:val="24"/>
          <w:szCs w:val="24"/>
        </w:rPr>
        <w:t>Response: Replied via email to acknowledge submission 12/11</w:t>
      </w:r>
    </w:p>
    <w:p w14:paraId="3981F146" w14:textId="77777777" w:rsidR="007B64AF" w:rsidRPr="00517B21" w:rsidRDefault="007B64AF" w:rsidP="007B64AF">
      <w:pPr>
        <w:pStyle w:val="PlainText"/>
        <w:rPr>
          <w:rFonts w:ascii="Times New Roman" w:hAnsi="Times New Roman"/>
          <w:sz w:val="24"/>
          <w:szCs w:val="24"/>
        </w:rPr>
      </w:pPr>
    </w:p>
    <w:p w14:paraId="4911E385" w14:textId="77777777" w:rsidR="00876E5A" w:rsidRPr="00503754" w:rsidRDefault="00876E5A" w:rsidP="00503754">
      <w:pPr>
        <w:rPr>
          <w:color w:val="000000"/>
          <w:spacing w:val="6"/>
          <w:sz w:val="22"/>
        </w:rPr>
      </w:pPr>
    </w:p>
    <w:sectPr w:rsidR="00876E5A" w:rsidRPr="00503754" w:rsidSect="002C6C78">
      <w:headerReference w:type="default" r:id="rId37"/>
      <w:footerReference w:type="default" r:id="rId3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6E45F" w14:textId="77777777" w:rsidR="000C7002" w:rsidRDefault="000C7002" w:rsidP="005044A0">
      <w:pPr>
        <w:spacing w:after="0"/>
      </w:pPr>
      <w:r>
        <w:separator/>
      </w:r>
    </w:p>
  </w:endnote>
  <w:endnote w:type="continuationSeparator" w:id="0">
    <w:p w14:paraId="7E4FFD6D" w14:textId="77777777" w:rsidR="000C7002" w:rsidRDefault="000C7002" w:rsidP="005044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E529B" w14:textId="77777777" w:rsidR="00D041E5" w:rsidRPr="00BF019D" w:rsidRDefault="00D041E5" w:rsidP="00BF019D">
    <w:pPr>
      <w:pStyle w:val="Footer"/>
      <w:jc w:val="right"/>
      <w:rPr>
        <w:sz w:val="18"/>
        <w:szCs w:val="18"/>
      </w:rPr>
    </w:pPr>
    <w:r w:rsidRPr="00BF019D">
      <w:rPr>
        <w:sz w:val="18"/>
        <w:szCs w:val="18"/>
      </w:rPr>
      <w:t>Supporting Statement, Part A: Forms EIA 23L/23S/64A</w:t>
    </w:r>
    <w:r>
      <w:rPr>
        <w:sz w:val="18"/>
        <w:szCs w:val="18"/>
      </w:rPr>
      <w:t xml:space="preserve"> [OMB 1905-0057]</w:t>
    </w:r>
    <w:r w:rsidRPr="00BF019D">
      <w:rPr>
        <w:sz w:val="18"/>
        <w:szCs w:val="18"/>
      </w:rPr>
      <w:tab/>
    </w:r>
    <w:sdt>
      <w:sdtPr>
        <w:rPr>
          <w:sz w:val="18"/>
          <w:szCs w:val="18"/>
        </w:rPr>
        <w:id w:val="77609579"/>
        <w:docPartObj>
          <w:docPartGallery w:val="Page Numbers (Bottom of Page)"/>
          <w:docPartUnique/>
        </w:docPartObj>
      </w:sdtPr>
      <w:sdtEndPr/>
      <w:sdtContent>
        <w:sdt>
          <w:sdtPr>
            <w:rPr>
              <w:sz w:val="18"/>
              <w:szCs w:val="18"/>
            </w:rPr>
            <w:id w:val="565050523"/>
            <w:docPartObj>
              <w:docPartGallery w:val="Page Numbers (Top of Page)"/>
              <w:docPartUnique/>
            </w:docPartObj>
          </w:sdtPr>
          <w:sdtEndPr/>
          <w:sdtContent>
            <w:r>
              <w:rPr>
                <w:sz w:val="18"/>
                <w:szCs w:val="18"/>
              </w:rPr>
              <w:tab/>
            </w:r>
            <w:r w:rsidRPr="00BF019D">
              <w:rPr>
                <w:sz w:val="18"/>
                <w:szCs w:val="18"/>
              </w:rPr>
              <w:t xml:space="preserve">Page </w:t>
            </w:r>
            <w:r w:rsidRPr="00BF019D">
              <w:rPr>
                <w:sz w:val="18"/>
                <w:szCs w:val="18"/>
              </w:rPr>
              <w:fldChar w:fldCharType="begin"/>
            </w:r>
            <w:r w:rsidRPr="00BF019D">
              <w:rPr>
                <w:sz w:val="18"/>
                <w:szCs w:val="18"/>
              </w:rPr>
              <w:instrText xml:space="preserve"> PAGE </w:instrText>
            </w:r>
            <w:r w:rsidRPr="00BF019D">
              <w:rPr>
                <w:sz w:val="18"/>
                <w:szCs w:val="18"/>
              </w:rPr>
              <w:fldChar w:fldCharType="separate"/>
            </w:r>
            <w:r>
              <w:rPr>
                <w:noProof/>
                <w:sz w:val="18"/>
                <w:szCs w:val="18"/>
              </w:rPr>
              <w:t>2</w:t>
            </w:r>
            <w:r w:rsidRPr="00BF019D">
              <w:rPr>
                <w:sz w:val="18"/>
                <w:szCs w:val="18"/>
              </w:rPr>
              <w:fldChar w:fldCharType="end"/>
            </w:r>
            <w:r w:rsidRPr="00BF019D">
              <w:rPr>
                <w:sz w:val="18"/>
                <w:szCs w:val="18"/>
              </w:rPr>
              <w:t xml:space="preserve"> of </w:t>
            </w:r>
            <w:r w:rsidRPr="00BF019D">
              <w:rPr>
                <w:sz w:val="18"/>
                <w:szCs w:val="18"/>
              </w:rPr>
              <w:fldChar w:fldCharType="begin"/>
            </w:r>
            <w:r w:rsidRPr="00BF019D">
              <w:rPr>
                <w:sz w:val="18"/>
                <w:szCs w:val="18"/>
              </w:rPr>
              <w:instrText xml:space="preserve"> NUMPAGES  </w:instrText>
            </w:r>
            <w:r w:rsidRPr="00BF019D">
              <w:rPr>
                <w:sz w:val="18"/>
                <w:szCs w:val="18"/>
              </w:rPr>
              <w:fldChar w:fldCharType="separate"/>
            </w:r>
            <w:r>
              <w:rPr>
                <w:noProof/>
                <w:sz w:val="18"/>
                <w:szCs w:val="18"/>
              </w:rPr>
              <w:t>12</w:t>
            </w:r>
            <w:r w:rsidRPr="00BF019D">
              <w:rPr>
                <w:sz w:val="18"/>
                <w:szCs w:val="18"/>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7B892" w14:textId="77777777" w:rsidR="00D041E5" w:rsidRPr="00BF019D" w:rsidRDefault="00D041E5" w:rsidP="007B10FA">
    <w:pPr>
      <w:pStyle w:val="Footer"/>
      <w:jc w:val="center"/>
      <w:rPr>
        <w:sz w:val="18"/>
        <w:szCs w:val="18"/>
      </w:rPr>
    </w:pPr>
    <w:r>
      <w:rPr>
        <w:sz w:val="18"/>
        <w:szCs w:val="18"/>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77609731"/>
      <w:docPartObj>
        <w:docPartGallery w:val="Page Numbers (Bottom of Page)"/>
        <w:docPartUnique/>
      </w:docPartObj>
    </w:sdtPr>
    <w:sdtEndPr/>
    <w:sdtContent>
      <w:sdt>
        <w:sdtPr>
          <w:rPr>
            <w:sz w:val="18"/>
            <w:szCs w:val="18"/>
          </w:rPr>
          <w:id w:val="77609730"/>
          <w:docPartObj>
            <w:docPartGallery w:val="Page Numbers (Top of Page)"/>
            <w:docPartUnique/>
          </w:docPartObj>
        </w:sdtPr>
        <w:sdtEndPr/>
        <w:sdtContent>
          <w:p w14:paraId="38D8591C" w14:textId="77777777" w:rsidR="00D041E5" w:rsidRPr="00503754" w:rsidRDefault="00D041E5" w:rsidP="00503754">
            <w:pPr>
              <w:pStyle w:val="Footer"/>
              <w:tabs>
                <w:tab w:val="clear" w:pos="4680"/>
                <w:tab w:val="clear" w:pos="9360"/>
                <w:tab w:val="right" w:pos="9450"/>
              </w:tabs>
              <w:spacing w:after="100"/>
              <w:jc w:val="right"/>
              <w:rPr>
                <w:sz w:val="18"/>
                <w:szCs w:val="18"/>
              </w:rPr>
            </w:pPr>
            <w:r w:rsidRPr="00503754">
              <w:rPr>
                <w:sz w:val="18"/>
                <w:szCs w:val="18"/>
              </w:rPr>
              <w:t>Forms EIA-23L/23S/64A [OMB 1905-0057]</w:t>
            </w:r>
            <w:r w:rsidRPr="00503754">
              <w:rPr>
                <w:sz w:val="18"/>
                <w:szCs w:val="18"/>
              </w:rPr>
              <w:tab/>
              <w:t xml:space="preserve">Page </w:t>
            </w:r>
            <w:r w:rsidRPr="00503754">
              <w:rPr>
                <w:sz w:val="18"/>
                <w:szCs w:val="18"/>
              </w:rPr>
              <w:fldChar w:fldCharType="begin"/>
            </w:r>
            <w:r w:rsidRPr="00503754">
              <w:rPr>
                <w:sz w:val="18"/>
                <w:szCs w:val="18"/>
              </w:rPr>
              <w:instrText xml:space="preserve"> PAGE </w:instrText>
            </w:r>
            <w:r w:rsidRPr="00503754">
              <w:rPr>
                <w:sz w:val="18"/>
                <w:szCs w:val="18"/>
              </w:rPr>
              <w:fldChar w:fldCharType="separate"/>
            </w:r>
            <w:r w:rsidR="00013B5B">
              <w:rPr>
                <w:noProof/>
                <w:sz w:val="18"/>
                <w:szCs w:val="18"/>
              </w:rPr>
              <w:t>14</w:t>
            </w:r>
            <w:r w:rsidRPr="00503754">
              <w:rPr>
                <w:sz w:val="18"/>
                <w:szCs w:val="18"/>
              </w:rPr>
              <w:fldChar w:fldCharType="end"/>
            </w:r>
            <w:r w:rsidRPr="00503754">
              <w:rPr>
                <w:sz w:val="18"/>
                <w:szCs w:val="18"/>
              </w:rPr>
              <w:t xml:space="preserve"> of 10</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3616F" w14:textId="77777777" w:rsidR="000C7002" w:rsidRDefault="000C7002" w:rsidP="005044A0">
      <w:pPr>
        <w:spacing w:after="0"/>
      </w:pPr>
      <w:r>
        <w:separator/>
      </w:r>
    </w:p>
  </w:footnote>
  <w:footnote w:type="continuationSeparator" w:id="0">
    <w:p w14:paraId="7EB05508" w14:textId="77777777" w:rsidR="000C7002" w:rsidRDefault="000C7002" w:rsidP="005044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E041F" w14:textId="35197578" w:rsidR="00D041E5" w:rsidRPr="00474F12" w:rsidRDefault="00D041E5" w:rsidP="00474F12">
    <w:pPr>
      <w:pStyle w:val="Header"/>
      <w:tabs>
        <w:tab w:val="clear" w:pos="4680"/>
        <w:tab w:val="clear" w:pos="9360"/>
        <w:tab w:val="right" w:pos="9540"/>
      </w:tabs>
      <w:rPr>
        <w:sz w:val="18"/>
        <w:szCs w:val="18"/>
      </w:rPr>
    </w:pPr>
    <w:r w:rsidRPr="00474F12">
      <w:rPr>
        <w:sz w:val="18"/>
        <w:szCs w:val="18"/>
      </w:rPr>
      <w:t>Supporting Statement, Part A: Forms EIA 23L/23S/64A</w:t>
    </w:r>
    <w:r w:rsidRPr="00474F12">
      <w:rPr>
        <w:sz w:val="18"/>
        <w:szCs w:val="18"/>
      </w:rPr>
      <w:tab/>
    </w:r>
    <w:r w:rsidR="00013B5B" w:rsidRPr="00474F12">
      <w:rPr>
        <w:sz w:val="18"/>
        <w:szCs w:val="18"/>
      </w:rPr>
      <w:t xml:space="preserve">February </w:t>
    </w:r>
    <w:r w:rsidR="00013B5B">
      <w:rPr>
        <w:sz w:val="18"/>
        <w:szCs w:val="18"/>
      </w:rPr>
      <w:t>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46F34" w14:textId="77777777" w:rsidR="00D041E5" w:rsidRPr="007B10FA" w:rsidRDefault="00D041E5" w:rsidP="007B10FA">
    <w:pPr>
      <w:pStyle w:val="Header"/>
      <w:tabs>
        <w:tab w:val="clear" w:pos="9360"/>
        <w:tab w:val="right" w:pos="10080"/>
      </w:tabs>
      <w:rPr>
        <w:sz w:val="20"/>
        <w:szCs w:val="20"/>
      </w:rPr>
    </w:pPr>
    <w:r w:rsidRPr="007B10FA">
      <w:rPr>
        <w:sz w:val="20"/>
        <w:szCs w:val="20"/>
      </w:rPr>
      <w:t>Supporting Statement, Part A: Forms EIA 23L/23S/64A</w:t>
    </w:r>
    <w:r>
      <w:rPr>
        <w:sz w:val="20"/>
        <w:szCs w:val="20"/>
      </w:rPr>
      <w:tab/>
    </w:r>
    <w:r w:rsidRPr="007B10FA">
      <w:rPr>
        <w:sz w:val="20"/>
        <w:szCs w:val="20"/>
      </w:rPr>
      <w:tab/>
      <w:t>September 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A9AC4" w14:textId="77777777" w:rsidR="00D041E5" w:rsidRPr="00474F12" w:rsidRDefault="00D041E5" w:rsidP="00474F12">
    <w:pPr>
      <w:pStyle w:val="Header"/>
      <w:jc w:val="right"/>
      <w:rPr>
        <w:sz w:val="18"/>
        <w:szCs w:val="18"/>
      </w:rPr>
    </w:pPr>
    <w:r w:rsidRPr="00474F12">
      <w:rPr>
        <w:sz w:val="18"/>
        <w:szCs w:val="18"/>
      </w:rPr>
      <w:t>Supporting Statement,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43D51"/>
    <w:multiLevelType w:val="multilevel"/>
    <w:tmpl w:val="08F88E94"/>
    <w:lvl w:ilvl="0">
      <w:start w:val="1"/>
      <w:numFmt w:val="bullet"/>
      <w:lvlText w:val=""/>
      <w:lvlJc w:val="left"/>
      <w:pPr>
        <w:tabs>
          <w:tab w:val="decimal" w:pos="432"/>
        </w:tabs>
        <w:ind w:left="720"/>
      </w:pPr>
      <w:rPr>
        <w:rFonts w:ascii="Symbol" w:hAnsi="Symbol"/>
        <w:strike w:val="0"/>
        <w:color w:val="000000"/>
        <w:spacing w:val="1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7127FA"/>
    <w:multiLevelType w:val="multilevel"/>
    <w:tmpl w:val="750E1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33CDD"/>
    <w:multiLevelType w:val="multilevel"/>
    <w:tmpl w:val="5C300A48"/>
    <w:lvl w:ilvl="0">
      <w:start w:val="1"/>
      <w:numFmt w:val="upperLetter"/>
      <w:lvlText w:val="%1."/>
      <w:lvlJc w:val="left"/>
      <w:pPr>
        <w:ind w:left="360" w:hanging="36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664994"/>
    <w:multiLevelType w:val="hybridMultilevel"/>
    <w:tmpl w:val="2250ADA2"/>
    <w:lvl w:ilvl="0" w:tplc="9D96310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2C113751"/>
    <w:multiLevelType w:val="multilevel"/>
    <w:tmpl w:val="5C300A48"/>
    <w:lvl w:ilvl="0">
      <w:start w:val="1"/>
      <w:numFmt w:val="upperLetter"/>
      <w:lvlText w:val="%1."/>
      <w:lvlJc w:val="left"/>
      <w:pPr>
        <w:ind w:left="360" w:hanging="36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920752"/>
    <w:multiLevelType w:val="hybridMultilevel"/>
    <w:tmpl w:val="03040598"/>
    <w:lvl w:ilvl="0" w:tplc="3F46F2A4">
      <w:start w:val="1"/>
      <w:numFmt w:val="bullet"/>
      <w:lvlText w:val=""/>
      <w:lvlJc w:val="left"/>
      <w:pPr>
        <w:tabs>
          <w:tab w:val="num" w:pos="288"/>
        </w:tabs>
        <w:ind w:left="691" w:hanging="259"/>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6" w15:restartNumberingAfterBreak="0">
    <w:nsid w:val="344E435A"/>
    <w:multiLevelType w:val="hybridMultilevel"/>
    <w:tmpl w:val="6AF6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C0815"/>
    <w:multiLevelType w:val="multilevel"/>
    <w:tmpl w:val="9948D926"/>
    <w:lvl w:ilvl="0">
      <w:start w:val="1"/>
      <w:numFmt w:val="upperLetter"/>
      <w:lvlText w:val="%1."/>
      <w:lvlJc w:val="left"/>
      <w:pPr>
        <w:ind w:left="72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9286216"/>
    <w:multiLevelType w:val="hybridMultilevel"/>
    <w:tmpl w:val="7BB080AE"/>
    <w:lvl w:ilvl="0" w:tplc="9E0240D0">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F45792"/>
    <w:multiLevelType w:val="multilevel"/>
    <w:tmpl w:val="BDC6E8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4A23DE7"/>
    <w:multiLevelType w:val="hybridMultilevel"/>
    <w:tmpl w:val="6CA437CA"/>
    <w:lvl w:ilvl="0" w:tplc="B274AE2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F4C507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CC9465A"/>
    <w:multiLevelType w:val="hybridMultilevel"/>
    <w:tmpl w:val="40E0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46B11"/>
    <w:multiLevelType w:val="hybridMultilevel"/>
    <w:tmpl w:val="750E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F77AA"/>
    <w:multiLevelType w:val="hybridMultilevel"/>
    <w:tmpl w:val="E64A38A6"/>
    <w:lvl w:ilvl="0" w:tplc="844CD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23ADB"/>
    <w:multiLevelType w:val="hybridMultilevel"/>
    <w:tmpl w:val="68A4E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A45669"/>
    <w:multiLevelType w:val="hybridMultilevel"/>
    <w:tmpl w:val="212A951C"/>
    <w:lvl w:ilvl="0" w:tplc="D2E07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9B1BBB"/>
    <w:multiLevelType w:val="multilevel"/>
    <w:tmpl w:val="C7386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8B2A6E"/>
    <w:multiLevelType w:val="multilevel"/>
    <w:tmpl w:val="882C9E6E"/>
    <w:lvl w:ilvl="0">
      <w:start w:val="1"/>
      <w:numFmt w:val="upperLetter"/>
      <w:lvlText w:val="%1."/>
      <w:lvlJc w:val="left"/>
      <w:pPr>
        <w:ind w:left="360" w:hanging="360"/>
      </w:pPr>
      <w:rPr>
        <w:rFonts w:hint="default"/>
      </w:rPr>
    </w:lvl>
    <w:lvl w:ilvl="1">
      <w:start w:val="1"/>
      <w:numFmt w:val="decimal"/>
      <w:pStyle w:val="Heading2"/>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FD106B"/>
    <w:multiLevelType w:val="multilevel"/>
    <w:tmpl w:val="BDC6E8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F4D75AF"/>
    <w:multiLevelType w:val="hybridMultilevel"/>
    <w:tmpl w:val="BDC6E844"/>
    <w:lvl w:ilvl="0" w:tplc="A34E5D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3"/>
  </w:num>
  <w:num w:numId="3">
    <w:abstractNumId w:val="11"/>
  </w:num>
  <w:num w:numId="4">
    <w:abstractNumId w:val="16"/>
  </w:num>
  <w:num w:numId="5">
    <w:abstractNumId w:val="8"/>
  </w:num>
  <w:num w:numId="6">
    <w:abstractNumId w:val="5"/>
  </w:num>
  <w:num w:numId="7">
    <w:abstractNumId w:val="15"/>
  </w:num>
  <w:num w:numId="8">
    <w:abstractNumId w:val="14"/>
  </w:num>
  <w:num w:numId="9">
    <w:abstractNumId w:val="7"/>
  </w:num>
  <w:num w:numId="10">
    <w:abstractNumId w:val="3"/>
  </w:num>
  <w:num w:numId="11">
    <w:abstractNumId w:val="20"/>
  </w:num>
  <w:num w:numId="12">
    <w:abstractNumId w:val="9"/>
  </w:num>
  <w:num w:numId="13">
    <w:abstractNumId w:val="19"/>
  </w:num>
  <w:num w:numId="14">
    <w:abstractNumId w:val="1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12"/>
  </w:num>
  <w:num w:numId="23">
    <w:abstractNumId w:val="6"/>
  </w:num>
  <w:num w:numId="24">
    <w:abstractNumId w:val="7"/>
  </w:num>
  <w:num w:numId="25">
    <w:abstractNumId w:val="2"/>
  </w:num>
  <w:num w:numId="26">
    <w:abstractNumId w:val="4"/>
  </w:num>
  <w:num w:numId="27">
    <w:abstractNumId w:val="1"/>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31"/>
    <w:rsid w:val="000114E9"/>
    <w:rsid w:val="000119AB"/>
    <w:rsid w:val="00013B5B"/>
    <w:rsid w:val="0001490F"/>
    <w:rsid w:val="000218A8"/>
    <w:rsid w:val="00030694"/>
    <w:rsid w:val="0003165A"/>
    <w:rsid w:val="00040B4B"/>
    <w:rsid w:val="00046033"/>
    <w:rsid w:val="00046B39"/>
    <w:rsid w:val="000477D5"/>
    <w:rsid w:val="00050418"/>
    <w:rsid w:val="00052F40"/>
    <w:rsid w:val="000576AC"/>
    <w:rsid w:val="00057D26"/>
    <w:rsid w:val="00062CE4"/>
    <w:rsid w:val="0006438A"/>
    <w:rsid w:val="00071FDA"/>
    <w:rsid w:val="00072073"/>
    <w:rsid w:val="00072AA1"/>
    <w:rsid w:val="00072CCD"/>
    <w:rsid w:val="000821CA"/>
    <w:rsid w:val="000839A5"/>
    <w:rsid w:val="00084236"/>
    <w:rsid w:val="00087140"/>
    <w:rsid w:val="000922EA"/>
    <w:rsid w:val="000927BF"/>
    <w:rsid w:val="0009294A"/>
    <w:rsid w:val="00095A94"/>
    <w:rsid w:val="000961AD"/>
    <w:rsid w:val="000976C1"/>
    <w:rsid w:val="000A6581"/>
    <w:rsid w:val="000B3281"/>
    <w:rsid w:val="000C3316"/>
    <w:rsid w:val="000C7002"/>
    <w:rsid w:val="000D1E6D"/>
    <w:rsid w:val="000D302A"/>
    <w:rsid w:val="000D41D6"/>
    <w:rsid w:val="000D61C3"/>
    <w:rsid w:val="000E0683"/>
    <w:rsid w:val="000E3A4E"/>
    <w:rsid w:val="000E4257"/>
    <w:rsid w:val="000F1AE2"/>
    <w:rsid w:val="000F7EDE"/>
    <w:rsid w:val="00101AE8"/>
    <w:rsid w:val="00107D9B"/>
    <w:rsid w:val="00117ABC"/>
    <w:rsid w:val="00122057"/>
    <w:rsid w:val="00122535"/>
    <w:rsid w:val="001268AE"/>
    <w:rsid w:val="001314B9"/>
    <w:rsid w:val="001315A9"/>
    <w:rsid w:val="00134856"/>
    <w:rsid w:val="00140CC1"/>
    <w:rsid w:val="0014344A"/>
    <w:rsid w:val="001540BF"/>
    <w:rsid w:val="001564CA"/>
    <w:rsid w:val="001575EF"/>
    <w:rsid w:val="00157E04"/>
    <w:rsid w:val="00160B87"/>
    <w:rsid w:val="001620FA"/>
    <w:rsid w:val="00165FD7"/>
    <w:rsid w:val="00185827"/>
    <w:rsid w:val="0019563D"/>
    <w:rsid w:val="00195824"/>
    <w:rsid w:val="001969C0"/>
    <w:rsid w:val="001B0CAA"/>
    <w:rsid w:val="001B23FC"/>
    <w:rsid w:val="001B509A"/>
    <w:rsid w:val="001B63C7"/>
    <w:rsid w:val="001C0EC6"/>
    <w:rsid w:val="001C47F9"/>
    <w:rsid w:val="001D1B96"/>
    <w:rsid w:val="001D474E"/>
    <w:rsid w:val="001E12EE"/>
    <w:rsid w:val="001E1F0D"/>
    <w:rsid w:val="001E2C0A"/>
    <w:rsid w:val="001E5A13"/>
    <w:rsid w:val="001F4FBA"/>
    <w:rsid w:val="00204FC5"/>
    <w:rsid w:val="002074E9"/>
    <w:rsid w:val="00212E8E"/>
    <w:rsid w:val="00213D15"/>
    <w:rsid w:val="002206A3"/>
    <w:rsid w:val="002210BD"/>
    <w:rsid w:val="00225391"/>
    <w:rsid w:val="00230BF1"/>
    <w:rsid w:val="002400B7"/>
    <w:rsid w:val="002427BA"/>
    <w:rsid w:val="00244F6A"/>
    <w:rsid w:val="002454A8"/>
    <w:rsid w:val="00251D3B"/>
    <w:rsid w:val="002553C8"/>
    <w:rsid w:val="0026191B"/>
    <w:rsid w:val="00262864"/>
    <w:rsid w:val="00270744"/>
    <w:rsid w:val="00270FD8"/>
    <w:rsid w:val="00274D0E"/>
    <w:rsid w:val="00281E93"/>
    <w:rsid w:val="00282167"/>
    <w:rsid w:val="00290BE5"/>
    <w:rsid w:val="00291E87"/>
    <w:rsid w:val="00293C3B"/>
    <w:rsid w:val="00294755"/>
    <w:rsid w:val="00297895"/>
    <w:rsid w:val="002A074D"/>
    <w:rsid w:val="002A3843"/>
    <w:rsid w:val="002A423C"/>
    <w:rsid w:val="002B4304"/>
    <w:rsid w:val="002C0331"/>
    <w:rsid w:val="002C6C78"/>
    <w:rsid w:val="002C7672"/>
    <w:rsid w:val="002D433E"/>
    <w:rsid w:val="002D763D"/>
    <w:rsid w:val="002F045E"/>
    <w:rsid w:val="002F51D2"/>
    <w:rsid w:val="003024DE"/>
    <w:rsid w:val="00302975"/>
    <w:rsid w:val="00302DBB"/>
    <w:rsid w:val="00313478"/>
    <w:rsid w:val="00330FCD"/>
    <w:rsid w:val="00343D69"/>
    <w:rsid w:val="003478C3"/>
    <w:rsid w:val="003551D0"/>
    <w:rsid w:val="00355A14"/>
    <w:rsid w:val="00356A5B"/>
    <w:rsid w:val="003638CF"/>
    <w:rsid w:val="00363B16"/>
    <w:rsid w:val="0036471A"/>
    <w:rsid w:val="00367272"/>
    <w:rsid w:val="00371EFA"/>
    <w:rsid w:val="00374064"/>
    <w:rsid w:val="00384CDF"/>
    <w:rsid w:val="003862DF"/>
    <w:rsid w:val="0038764B"/>
    <w:rsid w:val="00393880"/>
    <w:rsid w:val="0039733B"/>
    <w:rsid w:val="003A28C0"/>
    <w:rsid w:val="003A3F1F"/>
    <w:rsid w:val="003A69C7"/>
    <w:rsid w:val="003B2808"/>
    <w:rsid w:val="003B51A9"/>
    <w:rsid w:val="003B5FD8"/>
    <w:rsid w:val="003C7A91"/>
    <w:rsid w:val="003D050A"/>
    <w:rsid w:val="003D1760"/>
    <w:rsid w:val="003E064D"/>
    <w:rsid w:val="003E1DD7"/>
    <w:rsid w:val="003E6299"/>
    <w:rsid w:val="004001C1"/>
    <w:rsid w:val="00400411"/>
    <w:rsid w:val="004020D2"/>
    <w:rsid w:val="00413C93"/>
    <w:rsid w:val="00422DC7"/>
    <w:rsid w:val="004241DA"/>
    <w:rsid w:val="004257B4"/>
    <w:rsid w:val="004267FE"/>
    <w:rsid w:val="00430DA7"/>
    <w:rsid w:val="00430F0F"/>
    <w:rsid w:val="004314C8"/>
    <w:rsid w:val="0044076E"/>
    <w:rsid w:val="00441722"/>
    <w:rsid w:val="00441DEF"/>
    <w:rsid w:val="00452029"/>
    <w:rsid w:val="00460F78"/>
    <w:rsid w:val="004650DA"/>
    <w:rsid w:val="00467DC5"/>
    <w:rsid w:val="0047006F"/>
    <w:rsid w:val="0047230B"/>
    <w:rsid w:val="00474F12"/>
    <w:rsid w:val="004800AF"/>
    <w:rsid w:val="0048502F"/>
    <w:rsid w:val="004907CD"/>
    <w:rsid w:val="00493137"/>
    <w:rsid w:val="00494A84"/>
    <w:rsid w:val="004A02F6"/>
    <w:rsid w:val="004A1FB5"/>
    <w:rsid w:val="004A44C5"/>
    <w:rsid w:val="004C0DE6"/>
    <w:rsid w:val="004C3ACD"/>
    <w:rsid w:val="004C7706"/>
    <w:rsid w:val="004D2488"/>
    <w:rsid w:val="004D7FC0"/>
    <w:rsid w:val="004E7093"/>
    <w:rsid w:val="004F0BBA"/>
    <w:rsid w:val="004F5536"/>
    <w:rsid w:val="004F7724"/>
    <w:rsid w:val="005000C0"/>
    <w:rsid w:val="0050294F"/>
    <w:rsid w:val="00503754"/>
    <w:rsid w:val="005044A0"/>
    <w:rsid w:val="00517B21"/>
    <w:rsid w:val="0052485F"/>
    <w:rsid w:val="00532BA9"/>
    <w:rsid w:val="00533E06"/>
    <w:rsid w:val="0053615E"/>
    <w:rsid w:val="00542B2E"/>
    <w:rsid w:val="0055248B"/>
    <w:rsid w:val="005551CC"/>
    <w:rsid w:val="00555FDE"/>
    <w:rsid w:val="00560D57"/>
    <w:rsid w:val="00561330"/>
    <w:rsid w:val="00567008"/>
    <w:rsid w:val="00572F25"/>
    <w:rsid w:val="0057553B"/>
    <w:rsid w:val="00580288"/>
    <w:rsid w:val="00587BAB"/>
    <w:rsid w:val="00592E62"/>
    <w:rsid w:val="00595097"/>
    <w:rsid w:val="00597B2F"/>
    <w:rsid w:val="005A05DA"/>
    <w:rsid w:val="005A1904"/>
    <w:rsid w:val="005A49F9"/>
    <w:rsid w:val="005B1845"/>
    <w:rsid w:val="005B60D7"/>
    <w:rsid w:val="005C1D42"/>
    <w:rsid w:val="005C3787"/>
    <w:rsid w:val="005C57DB"/>
    <w:rsid w:val="005C65D4"/>
    <w:rsid w:val="005C756F"/>
    <w:rsid w:val="005C789A"/>
    <w:rsid w:val="005D0D79"/>
    <w:rsid w:val="005D1DC8"/>
    <w:rsid w:val="005D316A"/>
    <w:rsid w:val="005D728F"/>
    <w:rsid w:val="005E5A4D"/>
    <w:rsid w:val="005F615C"/>
    <w:rsid w:val="00610494"/>
    <w:rsid w:val="006139D7"/>
    <w:rsid w:val="00615A5B"/>
    <w:rsid w:val="00615E7B"/>
    <w:rsid w:val="0061775D"/>
    <w:rsid w:val="00620278"/>
    <w:rsid w:val="006218F2"/>
    <w:rsid w:val="0062700D"/>
    <w:rsid w:val="0062789D"/>
    <w:rsid w:val="006320FF"/>
    <w:rsid w:val="00632100"/>
    <w:rsid w:val="00632FCD"/>
    <w:rsid w:val="006402BB"/>
    <w:rsid w:val="00640401"/>
    <w:rsid w:val="00641752"/>
    <w:rsid w:val="00642D84"/>
    <w:rsid w:val="006473DA"/>
    <w:rsid w:val="00647AF6"/>
    <w:rsid w:val="00651DF9"/>
    <w:rsid w:val="006575A9"/>
    <w:rsid w:val="006636B9"/>
    <w:rsid w:val="00664B50"/>
    <w:rsid w:val="00666567"/>
    <w:rsid w:val="00666697"/>
    <w:rsid w:val="006677BD"/>
    <w:rsid w:val="006727F2"/>
    <w:rsid w:val="006751B2"/>
    <w:rsid w:val="00680FA6"/>
    <w:rsid w:val="00684354"/>
    <w:rsid w:val="00684957"/>
    <w:rsid w:val="0068564D"/>
    <w:rsid w:val="006870F6"/>
    <w:rsid w:val="00690F48"/>
    <w:rsid w:val="006A37DD"/>
    <w:rsid w:val="006A4360"/>
    <w:rsid w:val="006A7D8E"/>
    <w:rsid w:val="006C0AE4"/>
    <w:rsid w:val="006C1072"/>
    <w:rsid w:val="006C509B"/>
    <w:rsid w:val="006C6CC3"/>
    <w:rsid w:val="006D7E5C"/>
    <w:rsid w:val="006E6857"/>
    <w:rsid w:val="0070111F"/>
    <w:rsid w:val="007060CA"/>
    <w:rsid w:val="00714C73"/>
    <w:rsid w:val="00720BAF"/>
    <w:rsid w:val="00720D7A"/>
    <w:rsid w:val="007230BE"/>
    <w:rsid w:val="00723271"/>
    <w:rsid w:val="0072635B"/>
    <w:rsid w:val="00737062"/>
    <w:rsid w:val="007375AC"/>
    <w:rsid w:val="007402D4"/>
    <w:rsid w:val="00741E34"/>
    <w:rsid w:val="0075396D"/>
    <w:rsid w:val="00767227"/>
    <w:rsid w:val="00773F3E"/>
    <w:rsid w:val="0078006C"/>
    <w:rsid w:val="00782293"/>
    <w:rsid w:val="00783131"/>
    <w:rsid w:val="00791356"/>
    <w:rsid w:val="00791741"/>
    <w:rsid w:val="00793327"/>
    <w:rsid w:val="007A0D25"/>
    <w:rsid w:val="007A548F"/>
    <w:rsid w:val="007A6362"/>
    <w:rsid w:val="007A6500"/>
    <w:rsid w:val="007B10FA"/>
    <w:rsid w:val="007B64AF"/>
    <w:rsid w:val="007B66E2"/>
    <w:rsid w:val="007B6C97"/>
    <w:rsid w:val="007C5798"/>
    <w:rsid w:val="007D15B1"/>
    <w:rsid w:val="007F4C39"/>
    <w:rsid w:val="007F731A"/>
    <w:rsid w:val="00814AB2"/>
    <w:rsid w:val="00816D13"/>
    <w:rsid w:val="00821AD4"/>
    <w:rsid w:val="0082576D"/>
    <w:rsid w:val="00826584"/>
    <w:rsid w:val="0083516B"/>
    <w:rsid w:val="00840126"/>
    <w:rsid w:val="008443B3"/>
    <w:rsid w:val="00851EE8"/>
    <w:rsid w:val="0085617A"/>
    <w:rsid w:val="008561E4"/>
    <w:rsid w:val="0086075E"/>
    <w:rsid w:val="008623D2"/>
    <w:rsid w:val="008638FD"/>
    <w:rsid w:val="0086552F"/>
    <w:rsid w:val="00866709"/>
    <w:rsid w:val="00867A0B"/>
    <w:rsid w:val="00867C49"/>
    <w:rsid w:val="00876E5A"/>
    <w:rsid w:val="00882422"/>
    <w:rsid w:val="00882706"/>
    <w:rsid w:val="008946A6"/>
    <w:rsid w:val="008A06C1"/>
    <w:rsid w:val="008A5816"/>
    <w:rsid w:val="008A5B6A"/>
    <w:rsid w:val="008B081B"/>
    <w:rsid w:val="008B7DAA"/>
    <w:rsid w:val="008C2096"/>
    <w:rsid w:val="008C2F54"/>
    <w:rsid w:val="008C62CB"/>
    <w:rsid w:val="008C7E65"/>
    <w:rsid w:val="008D4B5F"/>
    <w:rsid w:val="008D7516"/>
    <w:rsid w:val="008D7E13"/>
    <w:rsid w:val="008E212D"/>
    <w:rsid w:val="008E3DD8"/>
    <w:rsid w:val="008E7459"/>
    <w:rsid w:val="008E75DA"/>
    <w:rsid w:val="008F2263"/>
    <w:rsid w:val="008F7803"/>
    <w:rsid w:val="00902DFF"/>
    <w:rsid w:val="00915E1D"/>
    <w:rsid w:val="00923068"/>
    <w:rsid w:val="009277A1"/>
    <w:rsid w:val="0093371F"/>
    <w:rsid w:val="00940848"/>
    <w:rsid w:val="00946A97"/>
    <w:rsid w:val="00950E76"/>
    <w:rsid w:val="00957C50"/>
    <w:rsid w:val="00972AE5"/>
    <w:rsid w:val="009754C5"/>
    <w:rsid w:val="00977C23"/>
    <w:rsid w:val="00981DB5"/>
    <w:rsid w:val="009857AD"/>
    <w:rsid w:val="00985BEA"/>
    <w:rsid w:val="00987298"/>
    <w:rsid w:val="009915B3"/>
    <w:rsid w:val="009919B5"/>
    <w:rsid w:val="00991C91"/>
    <w:rsid w:val="00992C87"/>
    <w:rsid w:val="009A1B94"/>
    <w:rsid w:val="009A3B00"/>
    <w:rsid w:val="009A59BC"/>
    <w:rsid w:val="009B60B9"/>
    <w:rsid w:val="009D6BE3"/>
    <w:rsid w:val="009D7B0F"/>
    <w:rsid w:val="009E6BDB"/>
    <w:rsid w:val="009F4B8B"/>
    <w:rsid w:val="00A002C5"/>
    <w:rsid w:val="00A02218"/>
    <w:rsid w:val="00A134D3"/>
    <w:rsid w:val="00A138D5"/>
    <w:rsid w:val="00A14AA3"/>
    <w:rsid w:val="00A21D67"/>
    <w:rsid w:val="00A25203"/>
    <w:rsid w:val="00A254CD"/>
    <w:rsid w:val="00A25D40"/>
    <w:rsid w:val="00A26C0D"/>
    <w:rsid w:val="00A27966"/>
    <w:rsid w:val="00A333E4"/>
    <w:rsid w:val="00A33E4E"/>
    <w:rsid w:val="00A3481D"/>
    <w:rsid w:val="00A40303"/>
    <w:rsid w:val="00A4792C"/>
    <w:rsid w:val="00A47E3C"/>
    <w:rsid w:val="00A50254"/>
    <w:rsid w:val="00A50DD9"/>
    <w:rsid w:val="00A6509A"/>
    <w:rsid w:val="00A724F1"/>
    <w:rsid w:val="00A73AF4"/>
    <w:rsid w:val="00A76D4B"/>
    <w:rsid w:val="00A862F0"/>
    <w:rsid w:val="00A951E8"/>
    <w:rsid w:val="00A977D8"/>
    <w:rsid w:val="00AB26EF"/>
    <w:rsid w:val="00AB4A84"/>
    <w:rsid w:val="00AB73D5"/>
    <w:rsid w:val="00AC79E9"/>
    <w:rsid w:val="00AD68C0"/>
    <w:rsid w:val="00AE00CF"/>
    <w:rsid w:val="00AE19AD"/>
    <w:rsid w:val="00AE20DC"/>
    <w:rsid w:val="00AF5C91"/>
    <w:rsid w:val="00AF7747"/>
    <w:rsid w:val="00AF7DCD"/>
    <w:rsid w:val="00B00E5B"/>
    <w:rsid w:val="00B24CFB"/>
    <w:rsid w:val="00B25019"/>
    <w:rsid w:val="00B26E9E"/>
    <w:rsid w:val="00B2780C"/>
    <w:rsid w:val="00B328AD"/>
    <w:rsid w:val="00B33514"/>
    <w:rsid w:val="00B34728"/>
    <w:rsid w:val="00B34E57"/>
    <w:rsid w:val="00B43F3E"/>
    <w:rsid w:val="00B44725"/>
    <w:rsid w:val="00B54581"/>
    <w:rsid w:val="00B67360"/>
    <w:rsid w:val="00B67966"/>
    <w:rsid w:val="00B73628"/>
    <w:rsid w:val="00B7522F"/>
    <w:rsid w:val="00B77724"/>
    <w:rsid w:val="00B77F2D"/>
    <w:rsid w:val="00B809F7"/>
    <w:rsid w:val="00B85F18"/>
    <w:rsid w:val="00B877ED"/>
    <w:rsid w:val="00B903BC"/>
    <w:rsid w:val="00B96963"/>
    <w:rsid w:val="00B9714B"/>
    <w:rsid w:val="00BA0F32"/>
    <w:rsid w:val="00BA3957"/>
    <w:rsid w:val="00BA44E0"/>
    <w:rsid w:val="00BC6D42"/>
    <w:rsid w:val="00BD7726"/>
    <w:rsid w:val="00BF019D"/>
    <w:rsid w:val="00BF19F7"/>
    <w:rsid w:val="00C04CBC"/>
    <w:rsid w:val="00C109A9"/>
    <w:rsid w:val="00C11DCE"/>
    <w:rsid w:val="00C12E5E"/>
    <w:rsid w:val="00C2028E"/>
    <w:rsid w:val="00C22E18"/>
    <w:rsid w:val="00C25C07"/>
    <w:rsid w:val="00C31F23"/>
    <w:rsid w:val="00C34CDB"/>
    <w:rsid w:val="00C4538A"/>
    <w:rsid w:val="00C5300F"/>
    <w:rsid w:val="00C61856"/>
    <w:rsid w:val="00C67EFE"/>
    <w:rsid w:val="00C73722"/>
    <w:rsid w:val="00C73C05"/>
    <w:rsid w:val="00C81277"/>
    <w:rsid w:val="00C817FB"/>
    <w:rsid w:val="00C85DEB"/>
    <w:rsid w:val="00CA197F"/>
    <w:rsid w:val="00CA6430"/>
    <w:rsid w:val="00CC1CAB"/>
    <w:rsid w:val="00CC231B"/>
    <w:rsid w:val="00CC242B"/>
    <w:rsid w:val="00CC33F2"/>
    <w:rsid w:val="00CC43C5"/>
    <w:rsid w:val="00CC4CE7"/>
    <w:rsid w:val="00CE1962"/>
    <w:rsid w:val="00CF0151"/>
    <w:rsid w:val="00CF3D37"/>
    <w:rsid w:val="00CF4745"/>
    <w:rsid w:val="00D032B8"/>
    <w:rsid w:val="00D041E5"/>
    <w:rsid w:val="00D0534A"/>
    <w:rsid w:val="00D054E5"/>
    <w:rsid w:val="00D10605"/>
    <w:rsid w:val="00D13E07"/>
    <w:rsid w:val="00D1623E"/>
    <w:rsid w:val="00D17DAF"/>
    <w:rsid w:val="00D3119A"/>
    <w:rsid w:val="00D325B0"/>
    <w:rsid w:val="00D379E1"/>
    <w:rsid w:val="00D43DE1"/>
    <w:rsid w:val="00D445C4"/>
    <w:rsid w:val="00D464CE"/>
    <w:rsid w:val="00D47451"/>
    <w:rsid w:val="00D520C0"/>
    <w:rsid w:val="00D53310"/>
    <w:rsid w:val="00D63B3C"/>
    <w:rsid w:val="00D6454C"/>
    <w:rsid w:val="00D65BE5"/>
    <w:rsid w:val="00D71D78"/>
    <w:rsid w:val="00D77A4B"/>
    <w:rsid w:val="00D810CC"/>
    <w:rsid w:val="00D86E24"/>
    <w:rsid w:val="00D87224"/>
    <w:rsid w:val="00DA380A"/>
    <w:rsid w:val="00DA3A26"/>
    <w:rsid w:val="00DA78CC"/>
    <w:rsid w:val="00DB5998"/>
    <w:rsid w:val="00DB71F6"/>
    <w:rsid w:val="00DC76F2"/>
    <w:rsid w:val="00DD1D18"/>
    <w:rsid w:val="00DE484E"/>
    <w:rsid w:val="00DE6DA0"/>
    <w:rsid w:val="00DF0F4E"/>
    <w:rsid w:val="00DF2BE6"/>
    <w:rsid w:val="00E06D84"/>
    <w:rsid w:val="00E107DE"/>
    <w:rsid w:val="00E26213"/>
    <w:rsid w:val="00E272B4"/>
    <w:rsid w:val="00E332B1"/>
    <w:rsid w:val="00E34C3B"/>
    <w:rsid w:val="00E44FDC"/>
    <w:rsid w:val="00E45137"/>
    <w:rsid w:val="00E530EB"/>
    <w:rsid w:val="00E53FE8"/>
    <w:rsid w:val="00E56A55"/>
    <w:rsid w:val="00E56B2B"/>
    <w:rsid w:val="00E6091E"/>
    <w:rsid w:val="00E61A81"/>
    <w:rsid w:val="00E63B08"/>
    <w:rsid w:val="00E66A95"/>
    <w:rsid w:val="00E71F6A"/>
    <w:rsid w:val="00E7459C"/>
    <w:rsid w:val="00E7530E"/>
    <w:rsid w:val="00E7636F"/>
    <w:rsid w:val="00E85349"/>
    <w:rsid w:val="00E86C84"/>
    <w:rsid w:val="00E97303"/>
    <w:rsid w:val="00EB050B"/>
    <w:rsid w:val="00EB0FB2"/>
    <w:rsid w:val="00EB1A1F"/>
    <w:rsid w:val="00EB267D"/>
    <w:rsid w:val="00EB2ABA"/>
    <w:rsid w:val="00EC32FA"/>
    <w:rsid w:val="00EC4E27"/>
    <w:rsid w:val="00EC6900"/>
    <w:rsid w:val="00EC6FD1"/>
    <w:rsid w:val="00EC76D2"/>
    <w:rsid w:val="00ED6A33"/>
    <w:rsid w:val="00EE4437"/>
    <w:rsid w:val="00EE6C48"/>
    <w:rsid w:val="00EF22AF"/>
    <w:rsid w:val="00EF2CE6"/>
    <w:rsid w:val="00EF2E94"/>
    <w:rsid w:val="00EF78E4"/>
    <w:rsid w:val="00F00D5E"/>
    <w:rsid w:val="00F0118C"/>
    <w:rsid w:val="00F05BCC"/>
    <w:rsid w:val="00F14439"/>
    <w:rsid w:val="00F239DE"/>
    <w:rsid w:val="00F41E87"/>
    <w:rsid w:val="00F41F48"/>
    <w:rsid w:val="00F42D1B"/>
    <w:rsid w:val="00F44A51"/>
    <w:rsid w:val="00F51ECD"/>
    <w:rsid w:val="00F55066"/>
    <w:rsid w:val="00F63C2F"/>
    <w:rsid w:val="00F71BC8"/>
    <w:rsid w:val="00F7227C"/>
    <w:rsid w:val="00F8304A"/>
    <w:rsid w:val="00F868C3"/>
    <w:rsid w:val="00F86DD9"/>
    <w:rsid w:val="00F90043"/>
    <w:rsid w:val="00F96EA0"/>
    <w:rsid w:val="00FB399B"/>
    <w:rsid w:val="00FB3C42"/>
    <w:rsid w:val="00FC3D8D"/>
    <w:rsid w:val="00FD2B83"/>
    <w:rsid w:val="00FE5F93"/>
    <w:rsid w:val="00FF04BE"/>
    <w:rsid w:val="00FF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300B"/>
  <w15:docId w15:val="{426CD4AB-BF8D-44D1-9418-2F266391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06C"/>
    <w:pPr>
      <w:spacing w:before="100" w:beforeAutospacing="1" w:after="100" w:afterAutospacing="1" w:line="240" w:lineRule="auto"/>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767227"/>
    <w:pPr>
      <w:keepNext/>
      <w:keepLines/>
      <w:spacing w:after="0" w:afterAutospacing="0"/>
      <w:jc w:val="left"/>
      <w:outlineLvl w:val="0"/>
    </w:pPr>
    <w:rPr>
      <w:rFonts w:eastAsiaTheme="majorEastAsia"/>
      <w:b/>
      <w:bCs/>
      <w:color w:val="000000"/>
      <w:sz w:val="28"/>
      <w:szCs w:val="28"/>
    </w:rPr>
  </w:style>
  <w:style w:type="paragraph" w:styleId="Heading2">
    <w:name w:val="heading 2"/>
    <w:basedOn w:val="Normal"/>
    <w:next w:val="Normal"/>
    <w:link w:val="Heading2Char"/>
    <w:uiPriority w:val="9"/>
    <w:unhideWhenUsed/>
    <w:qFormat/>
    <w:rsid w:val="008561E4"/>
    <w:pPr>
      <w:keepNext/>
      <w:keepLines/>
      <w:numPr>
        <w:ilvl w:val="1"/>
        <w:numId w:val="28"/>
      </w:numPr>
      <w:spacing w:before="240" w:beforeAutospacing="0" w:after="0" w:afterAutospacing="0"/>
      <w:ind w:left="0"/>
      <w:jc w:val="left"/>
      <w:outlineLvl w:val="1"/>
    </w:pPr>
    <w:rPr>
      <w:rFonts w:eastAsiaTheme="majorEastAsia"/>
      <w:b/>
      <w:bCs/>
      <w:color w:val="000000"/>
      <w:spacing w:val="1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227"/>
    <w:rPr>
      <w:rFonts w:ascii="Times New Roman" w:eastAsiaTheme="majorEastAsia" w:hAnsi="Times New Roman" w:cs="Times New Roman"/>
      <w:b/>
      <w:bCs/>
      <w:color w:val="000000"/>
      <w:sz w:val="28"/>
      <w:szCs w:val="28"/>
    </w:rPr>
  </w:style>
  <w:style w:type="paragraph" w:styleId="ListParagraph">
    <w:name w:val="List Paragraph"/>
    <w:basedOn w:val="Normal"/>
    <w:uiPriority w:val="34"/>
    <w:qFormat/>
    <w:rsid w:val="00F05BCC"/>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279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66"/>
    <w:rPr>
      <w:rFonts w:ascii="Tahoma" w:eastAsia="Calibri" w:hAnsi="Tahoma" w:cs="Tahoma"/>
      <w:sz w:val="16"/>
      <w:szCs w:val="16"/>
    </w:rPr>
  </w:style>
  <w:style w:type="paragraph" w:styleId="DocumentMap">
    <w:name w:val="Document Map"/>
    <w:basedOn w:val="Normal"/>
    <w:link w:val="DocumentMapChar"/>
    <w:uiPriority w:val="99"/>
    <w:semiHidden/>
    <w:unhideWhenUsed/>
    <w:rsid w:val="00B34E5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34E57"/>
    <w:rPr>
      <w:rFonts w:ascii="Tahoma" w:eastAsia="Calibri" w:hAnsi="Tahoma" w:cs="Tahoma"/>
      <w:sz w:val="16"/>
      <w:szCs w:val="16"/>
    </w:rPr>
  </w:style>
  <w:style w:type="paragraph" w:styleId="TOC1">
    <w:name w:val="toc 1"/>
    <w:basedOn w:val="Normal"/>
    <w:next w:val="Normal"/>
    <w:autoRedefine/>
    <w:uiPriority w:val="39"/>
    <w:unhideWhenUsed/>
    <w:rsid w:val="00B34E57"/>
  </w:style>
  <w:style w:type="character" w:styleId="Hyperlink">
    <w:name w:val="Hyperlink"/>
    <w:basedOn w:val="DefaultParagraphFont"/>
    <w:uiPriority w:val="99"/>
    <w:unhideWhenUsed/>
    <w:rsid w:val="00B34E57"/>
    <w:rPr>
      <w:color w:val="0000FF" w:themeColor="hyperlink"/>
      <w:u w:val="single"/>
    </w:rPr>
  </w:style>
  <w:style w:type="paragraph" w:styleId="TOCHeading">
    <w:name w:val="TOC Heading"/>
    <w:basedOn w:val="Heading1"/>
    <w:next w:val="Normal"/>
    <w:uiPriority w:val="39"/>
    <w:unhideWhenUsed/>
    <w:qFormat/>
    <w:rsid w:val="00B34E57"/>
    <w:pPr>
      <w:outlineLvl w:val="9"/>
    </w:pPr>
  </w:style>
  <w:style w:type="character" w:customStyle="1" w:styleId="Heading2Char">
    <w:name w:val="Heading 2 Char"/>
    <w:basedOn w:val="DefaultParagraphFont"/>
    <w:link w:val="Heading2"/>
    <w:uiPriority w:val="9"/>
    <w:rsid w:val="008561E4"/>
    <w:rPr>
      <w:rFonts w:ascii="Times New Roman" w:eastAsiaTheme="majorEastAsia" w:hAnsi="Times New Roman" w:cs="Times New Roman"/>
      <w:b/>
      <w:bCs/>
      <w:color w:val="000000"/>
      <w:spacing w:val="12"/>
      <w:sz w:val="24"/>
      <w:szCs w:val="24"/>
    </w:rPr>
  </w:style>
  <w:style w:type="paragraph" w:styleId="TOC2">
    <w:name w:val="toc 2"/>
    <w:basedOn w:val="Normal"/>
    <w:next w:val="Normal"/>
    <w:autoRedefine/>
    <w:uiPriority w:val="39"/>
    <w:unhideWhenUsed/>
    <w:rsid w:val="00157E04"/>
    <w:pPr>
      <w:tabs>
        <w:tab w:val="left" w:pos="880"/>
        <w:tab w:val="right" w:leader="dot" w:pos="9350"/>
      </w:tabs>
      <w:spacing w:before="240" w:beforeAutospacing="0" w:after="240" w:afterAutospacing="0"/>
      <w:ind w:left="216"/>
    </w:pPr>
    <w:rPr>
      <w:noProof/>
      <w:szCs w:val="24"/>
    </w:rPr>
  </w:style>
  <w:style w:type="paragraph" w:styleId="Header">
    <w:name w:val="header"/>
    <w:basedOn w:val="Normal"/>
    <w:link w:val="HeaderChar"/>
    <w:uiPriority w:val="99"/>
    <w:unhideWhenUsed/>
    <w:rsid w:val="005044A0"/>
    <w:pPr>
      <w:tabs>
        <w:tab w:val="center" w:pos="4680"/>
        <w:tab w:val="right" w:pos="9360"/>
      </w:tabs>
      <w:spacing w:after="0"/>
    </w:pPr>
  </w:style>
  <w:style w:type="character" w:customStyle="1" w:styleId="HeaderChar">
    <w:name w:val="Header Char"/>
    <w:basedOn w:val="DefaultParagraphFont"/>
    <w:link w:val="Header"/>
    <w:uiPriority w:val="99"/>
    <w:rsid w:val="005044A0"/>
    <w:rPr>
      <w:rFonts w:ascii="Calibri" w:eastAsia="Calibri" w:hAnsi="Calibri" w:cs="Times New Roman"/>
    </w:rPr>
  </w:style>
  <w:style w:type="paragraph" w:styleId="Footer">
    <w:name w:val="footer"/>
    <w:basedOn w:val="Normal"/>
    <w:link w:val="FooterChar"/>
    <w:uiPriority w:val="99"/>
    <w:unhideWhenUsed/>
    <w:rsid w:val="005044A0"/>
    <w:pPr>
      <w:tabs>
        <w:tab w:val="center" w:pos="4680"/>
        <w:tab w:val="right" w:pos="9360"/>
      </w:tabs>
      <w:spacing w:after="0"/>
    </w:pPr>
  </w:style>
  <w:style w:type="character" w:customStyle="1" w:styleId="FooterChar">
    <w:name w:val="Footer Char"/>
    <w:basedOn w:val="DefaultParagraphFont"/>
    <w:link w:val="Footer"/>
    <w:uiPriority w:val="99"/>
    <w:rsid w:val="005044A0"/>
    <w:rPr>
      <w:rFonts w:ascii="Calibri" w:eastAsia="Calibri" w:hAnsi="Calibri" w:cs="Times New Roman"/>
    </w:rPr>
  </w:style>
  <w:style w:type="paragraph" w:styleId="CommentText">
    <w:name w:val="annotation text"/>
    <w:basedOn w:val="Normal"/>
    <w:link w:val="CommentTextChar"/>
    <w:uiPriority w:val="99"/>
    <w:semiHidden/>
    <w:rsid w:val="00F51ECD"/>
    <w:pPr>
      <w:widowControl w:val="0"/>
      <w:spacing w:after="0"/>
    </w:pPr>
    <w:rPr>
      <w:rFonts w:ascii="Courier" w:eastAsia="Times New Roman" w:hAnsi="Courier"/>
      <w:snapToGrid w:val="0"/>
      <w:sz w:val="20"/>
      <w:szCs w:val="20"/>
    </w:rPr>
  </w:style>
  <w:style w:type="character" w:customStyle="1" w:styleId="CommentTextChar">
    <w:name w:val="Comment Text Char"/>
    <w:basedOn w:val="DefaultParagraphFont"/>
    <w:link w:val="CommentText"/>
    <w:uiPriority w:val="99"/>
    <w:semiHidden/>
    <w:rsid w:val="00F51ECD"/>
    <w:rPr>
      <w:rFonts w:ascii="Courier" w:eastAsia="Times New Roman" w:hAnsi="Courier" w:cs="Times New Roman"/>
      <w:snapToGrid w:val="0"/>
      <w:sz w:val="20"/>
      <w:szCs w:val="20"/>
    </w:rPr>
  </w:style>
  <w:style w:type="character" w:styleId="CommentReference">
    <w:name w:val="annotation reference"/>
    <w:basedOn w:val="DefaultParagraphFont"/>
    <w:uiPriority w:val="99"/>
    <w:rsid w:val="00F51ECD"/>
    <w:rPr>
      <w:sz w:val="16"/>
      <w:szCs w:val="16"/>
    </w:rPr>
  </w:style>
  <w:style w:type="paragraph" w:customStyle="1" w:styleId="Level2">
    <w:name w:val="Level 2"/>
    <w:basedOn w:val="Normal"/>
    <w:rsid w:val="006C1072"/>
    <w:pPr>
      <w:widowControl w:val="0"/>
      <w:spacing w:after="0"/>
      <w:ind w:left="1008" w:hanging="576"/>
    </w:pPr>
    <w:rPr>
      <w:rFonts w:ascii="Courier" w:eastAsia="Times New Roman" w:hAnsi="Courier"/>
      <w:snapToGrid w:val="0"/>
      <w:szCs w:val="20"/>
    </w:rPr>
  </w:style>
  <w:style w:type="paragraph" w:styleId="CommentSubject">
    <w:name w:val="annotation subject"/>
    <w:basedOn w:val="CommentText"/>
    <w:next w:val="CommentText"/>
    <w:link w:val="CommentSubjectChar"/>
    <w:uiPriority w:val="99"/>
    <w:semiHidden/>
    <w:unhideWhenUsed/>
    <w:rsid w:val="00A951E8"/>
    <w:pPr>
      <w:widowControl/>
      <w:spacing w:after="200"/>
    </w:pPr>
    <w:rPr>
      <w:rFonts w:ascii="Calibri" w:eastAsia="Calibri" w:hAnsi="Calibri"/>
      <w:b/>
      <w:bCs/>
      <w:snapToGrid/>
    </w:rPr>
  </w:style>
  <w:style w:type="character" w:customStyle="1" w:styleId="CommentSubjectChar">
    <w:name w:val="Comment Subject Char"/>
    <w:basedOn w:val="CommentTextChar"/>
    <w:link w:val="CommentSubject"/>
    <w:uiPriority w:val="99"/>
    <w:semiHidden/>
    <w:rsid w:val="00A951E8"/>
    <w:rPr>
      <w:rFonts w:ascii="Calibri" w:eastAsia="Calibri" w:hAnsi="Calibri" w:cs="Times New Roman"/>
      <w:b/>
      <w:bCs/>
      <w:snapToGrid w:val="0"/>
      <w:sz w:val="20"/>
      <w:szCs w:val="20"/>
    </w:rPr>
  </w:style>
  <w:style w:type="paragraph" w:styleId="NoSpacing">
    <w:name w:val="No Spacing"/>
    <w:uiPriority w:val="1"/>
    <w:qFormat/>
    <w:rsid w:val="00A977D8"/>
    <w:pPr>
      <w:spacing w:beforeAutospacing="1" w:after="0" w:afterAutospacing="1" w:line="240" w:lineRule="auto"/>
      <w:jc w:val="both"/>
    </w:pPr>
    <w:rPr>
      <w:rFonts w:ascii="Times New Roman" w:eastAsia="Calibri" w:hAnsi="Times New Roman" w:cs="Times New Roman"/>
      <w:sz w:val="24"/>
    </w:rPr>
  </w:style>
  <w:style w:type="paragraph" w:styleId="Revision">
    <w:name w:val="Revision"/>
    <w:hidden/>
    <w:uiPriority w:val="99"/>
    <w:semiHidden/>
    <w:rsid w:val="002454A8"/>
    <w:pPr>
      <w:spacing w:after="0" w:line="240" w:lineRule="auto"/>
    </w:pPr>
    <w:rPr>
      <w:rFonts w:ascii="Times New Roman" w:eastAsia="Calibri" w:hAnsi="Times New Roman" w:cs="Times New Roman"/>
      <w:sz w:val="24"/>
    </w:rPr>
  </w:style>
  <w:style w:type="paragraph" w:styleId="PlainText">
    <w:name w:val="Plain Text"/>
    <w:basedOn w:val="Normal"/>
    <w:link w:val="PlainTextChar"/>
    <w:uiPriority w:val="99"/>
    <w:unhideWhenUsed/>
    <w:rsid w:val="002206A3"/>
    <w:pPr>
      <w:spacing w:before="0" w:beforeAutospacing="0" w:after="0" w:afterAutospacing="0"/>
      <w:jc w:val="left"/>
    </w:pPr>
    <w:rPr>
      <w:rFonts w:ascii="Consolas" w:eastAsiaTheme="minorHAnsi" w:hAnsi="Consolas"/>
      <w:sz w:val="21"/>
      <w:szCs w:val="21"/>
    </w:rPr>
  </w:style>
  <w:style w:type="character" w:customStyle="1" w:styleId="PlainTextChar">
    <w:name w:val="Plain Text Char"/>
    <w:basedOn w:val="DefaultParagraphFont"/>
    <w:link w:val="PlainText"/>
    <w:uiPriority w:val="99"/>
    <w:rsid w:val="002206A3"/>
    <w:rPr>
      <w:rFonts w:ascii="Consolas" w:hAnsi="Consolas" w:cs="Times New Roman"/>
      <w:sz w:val="21"/>
      <w:szCs w:val="21"/>
    </w:rPr>
  </w:style>
  <w:style w:type="character" w:styleId="FollowedHyperlink">
    <w:name w:val="FollowedHyperlink"/>
    <w:basedOn w:val="DefaultParagraphFont"/>
    <w:uiPriority w:val="99"/>
    <w:semiHidden/>
    <w:unhideWhenUsed/>
    <w:rsid w:val="003D050A"/>
    <w:rPr>
      <w:color w:val="800080" w:themeColor="followedHyperlink"/>
      <w:u w:val="single"/>
    </w:rPr>
  </w:style>
  <w:style w:type="table" w:styleId="TableGrid">
    <w:name w:val="Table Grid"/>
    <w:basedOn w:val="TableNormal"/>
    <w:uiPriority w:val="59"/>
    <w:rsid w:val="00B90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037981">
      <w:bodyDiv w:val="1"/>
      <w:marLeft w:val="0"/>
      <w:marRight w:val="0"/>
      <w:marTop w:val="0"/>
      <w:marBottom w:val="0"/>
      <w:divBdr>
        <w:top w:val="none" w:sz="0" w:space="0" w:color="auto"/>
        <w:left w:val="none" w:sz="0" w:space="0" w:color="auto"/>
        <w:bottom w:val="none" w:sz="0" w:space="0" w:color="auto"/>
        <w:right w:val="none" w:sz="0" w:space="0" w:color="auto"/>
      </w:divBdr>
    </w:div>
    <w:div w:id="1038580658">
      <w:bodyDiv w:val="1"/>
      <w:marLeft w:val="0"/>
      <w:marRight w:val="0"/>
      <w:marTop w:val="0"/>
      <w:marBottom w:val="0"/>
      <w:divBdr>
        <w:top w:val="none" w:sz="0" w:space="0" w:color="auto"/>
        <w:left w:val="none" w:sz="0" w:space="0" w:color="auto"/>
        <w:bottom w:val="none" w:sz="0" w:space="0" w:color="auto"/>
        <w:right w:val="none" w:sz="0" w:space="0" w:color="auto"/>
      </w:divBdr>
    </w:div>
    <w:div w:id="1093670827">
      <w:bodyDiv w:val="1"/>
      <w:marLeft w:val="0"/>
      <w:marRight w:val="0"/>
      <w:marTop w:val="0"/>
      <w:marBottom w:val="0"/>
      <w:divBdr>
        <w:top w:val="none" w:sz="0" w:space="0" w:color="auto"/>
        <w:left w:val="none" w:sz="0" w:space="0" w:color="auto"/>
        <w:bottom w:val="none" w:sz="0" w:space="0" w:color="auto"/>
        <w:right w:val="none" w:sz="0" w:space="0" w:color="auto"/>
      </w:divBdr>
    </w:div>
    <w:div w:id="1158612547">
      <w:bodyDiv w:val="1"/>
      <w:marLeft w:val="0"/>
      <w:marRight w:val="0"/>
      <w:marTop w:val="0"/>
      <w:marBottom w:val="0"/>
      <w:divBdr>
        <w:top w:val="none" w:sz="0" w:space="0" w:color="auto"/>
        <w:left w:val="none" w:sz="0" w:space="0" w:color="auto"/>
        <w:bottom w:val="none" w:sz="0" w:space="0" w:color="auto"/>
        <w:right w:val="none" w:sz="0" w:space="0" w:color="auto"/>
      </w:divBdr>
    </w:div>
    <w:div w:id="1219899563">
      <w:bodyDiv w:val="1"/>
      <w:marLeft w:val="0"/>
      <w:marRight w:val="0"/>
      <w:marTop w:val="0"/>
      <w:marBottom w:val="0"/>
      <w:divBdr>
        <w:top w:val="none" w:sz="0" w:space="0" w:color="auto"/>
        <w:left w:val="none" w:sz="0" w:space="0" w:color="auto"/>
        <w:bottom w:val="none" w:sz="0" w:space="0" w:color="auto"/>
        <w:right w:val="none" w:sz="0" w:space="0" w:color="auto"/>
      </w:divBdr>
    </w:div>
    <w:div w:id="1270164844">
      <w:bodyDiv w:val="1"/>
      <w:marLeft w:val="0"/>
      <w:marRight w:val="0"/>
      <w:marTop w:val="0"/>
      <w:marBottom w:val="0"/>
      <w:divBdr>
        <w:top w:val="none" w:sz="0" w:space="0" w:color="auto"/>
        <w:left w:val="none" w:sz="0" w:space="0" w:color="auto"/>
        <w:bottom w:val="none" w:sz="0" w:space="0" w:color="auto"/>
        <w:right w:val="none" w:sz="0" w:space="0" w:color="auto"/>
      </w:divBdr>
    </w:div>
    <w:div w:id="1405058326">
      <w:bodyDiv w:val="1"/>
      <w:marLeft w:val="0"/>
      <w:marRight w:val="0"/>
      <w:marTop w:val="0"/>
      <w:marBottom w:val="0"/>
      <w:divBdr>
        <w:top w:val="none" w:sz="0" w:space="0" w:color="auto"/>
        <w:left w:val="none" w:sz="0" w:space="0" w:color="auto"/>
        <w:bottom w:val="none" w:sz="0" w:space="0" w:color="auto"/>
        <w:right w:val="none" w:sz="0" w:space="0" w:color="auto"/>
      </w:divBdr>
    </w:div>
    <w:div w:id="1621180216">
      <w:bodyDiv w:val="1"/>
      <w:marLeft w:val="0"/>
      <w:marRight w:val="0"/>
      <w:marTop w:val="0"/>
      <w:marBottom w:val="0"/>
      <w:divBdr>
        <w:top w:val="none" w:sz="0" w:space="0" w:color="auto"/>
        <w:left w:val="none" w:sz="0" w:space="0" w:color="auto"/>
        <w:bottom w:val="none" w:sz="0" w:space="0" w:color="auto"/>
        <w:right w:val="none" w:sz="0" w:space="0" w:color="auto"/>
      </w:divBdr>
    </w:div>
    <w:div w:id="1650790803">
      <w:bodyDiv w:val="1"/>
      <w:marLeft w:val="0"/>
      <w:marRight w:val="0"/>
      <w:marTop w:val="0"/>
      <w:marBottom w:val="0"/>
      <w:divBdr>
        <w:top w:val="none" w:sz="0" w:space="0" w:color="auto"/>
        <w:left w:val="none" w:sz="0" w:space="0" w:color="auto"/>
        <w:bottom w:val="none" w:sz="0" w:space="0" w:color="auto"/>
        <w:right w:val="none" w:sz="0" w:space="0" w:color="auto"/>
      </w:divBdr>
    </w:div>
    <w:div w:id="1677345411">
      <w:bodyDiv w:val="1"/>
      <w:marLeft w:val="0"/>
      <w:marRight w:val="0"/>
      <w:marTop w:val="0"/>
      <w:marBottom w:val="0"/>
      <w:divBdr>
        <w:top w:val="none" w:sz="0" w:space="0" w:color="auto"/>
        <w:left w:val="none" w:sz="0" w:space="0" w:color="auto"/>
        <w:bottom w:val="none" w:sz="0" w:space="0" w:color="auto"/>
        <w:right w:val="none" w:sz="0" w:space="0" w:color="auto"/>
      </w:divBdr>
    </w:div>
    <w:div w:id="184728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ia.doe.gov/oil_gas/natural_gas/data_publications/crude_oil_natural_gas_reserves/cr.html" TargetMode="External"/><Relationship Id="rId18" Type="http://schemas.openxmlformats.org/officeDocument/2006/relationships/hyperlink" Target="http://www.eia.gov" TargetMode="External"/><Relationship Id="rId26" Type="http://schemas.openxmlformats.org/officeDocument/2006/relationships/hyperlink" Target="mailto:STHAUGH@statoil.com" TargetMode="External"/><Relationship Id="rId39" Type="http://schemas.openxmlformats.org/officeDocument/2006/relationships/fontTable" Target="fontTable.xml"/><Relationship Id="rId21" Type="http://schemas.openxmlformats.org/officeDocument/2006/relationships/hyperlink" Target="http://petroglobalnews.com/2015/11/eia-u-s-crude-reserves-jumped-9-percent-in-2014/" TargetMode="External"/><Relationship Id="rId34" Type="http://schemas.openxmlformats.org/officeDocument/2006/relationships/hyperlink" Target="mailto:aroberts@royalcctx.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eia.gov/forecasts/steo/" TargetMode="External"/><Relationship Id="rId25" Type="http://schemas.openxmlformats.org/officeDocument/2006/relationships/hyperlink" Target="http://www.eia.gov/survey/" TargetMode="External"/><Relationship Id="rId33" Type="http://schemas.openxmlformats.org/officeDocument/2006/relationships/hyperlink" Target="mailto:James_Etherton@oxy.com"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ia.gov/forecasts/aeo/er/" TargetMode="External"/><Relationship Id="rId20" Type="http://schemas.openxmlformats.org/officeDocument/2006/relationships/hyperlink" Target="http://www.ogj.com/articles/2015/11/us-crude-oil-reserves-increase-on-6-year-trend.html" TargetMode="External"/><Relationship Id="rId29" Type="http://schemas.openxmlformats.org/officeDocument/2006/relationships/hyperlink" Target="mailto:vtyler@mspartne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marketrealist.com/2015/11/lower-crude-oil-prices-affect-crude-oil-reserves" TargetMode="External"/><Relationship Id="rId32" Type="http://schemas.openxmlformats.org/officeDocument/2006/relationships/hyperlink" Target="mailto:LMorgan@coveypark.com"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ia.gov/emeu/mer/contents.html" TargetMode="External"/><Relationship Id="rId23" Type="http://schemas.openxmlformats.org/officeDocument/2006/relationships/hyperlink" Target="http://www.rigzone.com/news/oil_gas/a/141760/EIA_Shale_Drilling_Boosted_US_Oil_Gas_Reserves_In_2014" TargetMode="External"/><Relationship Id="rId28" Type="http://schemas.openxmlformats.org/officeDocument/2006/relationships/hyperlink" Target="mailto:dschaefer@offshoreservicesllc.com" TargetMode="External"/><Relationship Id="rId36" Type="http://schemas.openxmlformats.org/officeDocument/2006/relationships/hyperlink" Target="mailto:JJensen@concho.com" TargetMode="External"/><Relationship Id="rId10" Type="http://schemas.openxmlformats.org/officeDocument/2006/relationships/header" Target="header1.xml"/><Relationship Id="rId19" Type="http://schemas.openxmlformats.org/officeDocument/2006/relationships/hyperlink" Target="http://www.ogj.com/index.cfm" TargetMode="External"/><Relationship Id="rId31" Type="http://schemas.openxmlformats.org/officeDocument/2006/relationships/hyperlink" Target="mailto:miked@crawleypetroleum.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ia.gov/naturalgas/monthly" TargetMode="External"/><Relationship Id="rId22" Type="http://schemas.openxmlformats.org/officeDocument/2006/relationships/hyperlink" Target="http://www.reuters.com/article/us-usa-energy-reserves-idUSKBN0TC2BJ20151123" TargetMode="External"/><Relationship Id="rId27" Type="http://schemas.openxmlformats.org/officeDocument/2006/relationships/hyperlink" Target="mailto:bcocek@basaresources.com" TargetMode="External"/><Relationship Id="rId30" Type="http://schemas.openxmlformats.org/officeDocument/2006/relationships/hyperlink" Target="mailto:Claudia.Catchings@apachecorp.com" TargetMode="External"/><Relationship Id="rId35" Type="http://schemas.openxmlformats.org/officeDocument/2006/relationships/hyperlink" Target="mailto:lschaaff@hess.com"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EEE17-5AA3-4380-A10F-F477D7EF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5491</Words>
  <Characters>31304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OGRS Surveys Supporting Statement, Part A</vt:lpstr>
    </vt:vector>
  </TitlesOfParts>
  <Company>EIA\DOE</Company>
  <LinksUpToDate>false</LinksUpToDate>
  <CharactersWithSpaces>36722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OGRS Surveys Supporting Statement, Part A</dc:title>
  <dc:subject>OMB Forms Clearance Process OGRS Surveys Supporting Statement, Part A</dc:subject>
  <dc:creator>Stephen Grape</dc:creator>
  <dc:description>02/19/13 review by EEP to send to Jake for his comments.  Then, the document will be sent to the Program Office to approve proposed changes.</dc:description>
  <cp:lastModifiedBy>Stroud, Lawrence</cp:lastModifiedBy>
  <cp:revision>7</cp:revision>
  <cp:lastPrinted>2016-01-04T14:30:00Z</cp:lastPrinted>
  <dcterms:created xsi:type="dcterms:W3CDTF">2016-05-12T20:06:00Z</dcterms:created>
  <dcterms:modified xsi:type="dcterms:W3CDTF">2016-05-12T20:38:00Z</dcterms:modified>
</cp:coreProperties>
</file>