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CB0" w:rsidRDefault="00001894">
      <w:pPr>
        <w:pStyle w:val="Title"/>
      </w:pPr>
      <w:r>
        <w:t>Supporting Statement</w:t>
      </w:r>
    </w:p>
    <w:p w:rsidR="00E22CB0" w:rsidRDefault="00001894">
      <w:pPr>
        <w:pStyle w:val="Title"/>
      </w:pPr>
      <w:r>
        <w:t>Net Stable Funding Ratio</w:t>
      </w:r>
    </w:p>
    <w:p w:rsidR="00E22CB0" w:rsidRDefault="00001894">
      <w:pPr>
        <w:pStyle w:val="Title"/>
      </w:pPr>
      <w:r>
        <w:t>OMB Control No. 1557-NEW</w:t>
      </w:r>
    </w:p>
    <w:p w:rsidR="00E22CB0" w:rsidRDefault="00E22CB0">
      <w:pPr>
        <w:jc w:val="center"/>
      </w:pPr>
    </w:p>
    <w:p w:rsidR="00E22CB0" w:rsidRDefault="00001894">
      <w:pPr>
        <w:rPr>
          <w:b/>
          <w:bCs/>
        </w:rPr>
      </w:pPr>
      <w:proofErr w:type="gramStart"/>
      <w:r>
        <w:rPr>
          <w:b/>
          <w:bCs/>
        </w:rPr>
        <w:t>A.  Justification.</w:t>
      </w:r>
      <w:proofErr w:type="gramEnd"/>
    </w:p>
    <w:p w:rsidR="00E22CB0" w:rsidRDefault="00E22CB0"/>
    <w:p w:rsidR="00E22CB0" w:rsidRDefault="00001894">
      <w:pPr>
        <w:rPr>
          <w:b/>
          <w:bCs/>
          <w:i/>
          <w:iCs/>
        </w:rPr>
      </w:pPr>
      <w:r>
        <w:rPr>
          <w:b/>
          <w:bCs/>
          <w:i/>
          <w:iCs/>
        </w:rPr>
        <w:t>1.  Circumstances that make the collection necessary:</w:t>
      </w:r>
    </w:p>
    <w:p w:rsidR="00E22CB0" w:rsidRDefault="00E22CB0"/>
    <w:p w:rsidR="00E22CB0" w:rsidRDefault="00001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This proposed information collection </w:t>
      </w:r>
      <w:proofErr w:type="gramStart"/>
      <w:r>
        <w:t>is being implemented</w:t>
      </w:r>
      <w:proofErr w:type="gramEnd"/>
      <w:r>
        <w:t xml:space="preserve"> through a joint notice of proposed rulemaking (proposed rule).</w:t>
      </w:r>
      <w:r>
        <w:rPr>
          <w:rStyle w:val="FootnoteReference"/>
        </w:rPr>
        <w:footnoteReference w:id="1"/>
      </w:r>
      <w:r>
        <w:t xml:space="preserve">  The proposed rule would impose a stable funding requirement, the net stable funding ratio (NSFR), for large and internationally active banking organizations.  The requirement </w:t>
      </w:r>
      <w:proofErr w:type="gramStart"/>
      <w:r>
        <w:t>is intended</w:t>
      </w:r>
      <w:proofErr w:type="gramEnd"/>
      <w:r>
        <w:t xml:space="preserve"> to reduce the likelihood that disruptions to a banking organization’s regular sources of funding will compromise its liquidity position, as well as to promote improvements in the measurement and management of liquidity risk.</w:t>
      </w:r>
    </w:p>
    <w:p w:rsidR="00E22CB0" w:rsidRDefault="00E22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22CB0" w:rsidRDefault="00001894">
      <w:pPr>
        <w:pStyle w:val="BodyText"/>
        <w:rPr>
          <w:b/>
          <w:bCs/>
        </w:rPr>
      </w:pPr>
      <w:r>
        <w:rPr>
          <w:b/>
          <w:bCs/>
        </w:rPr>
        <w:t>2.  Use of the information:</w:t>
      </w:r>
    </w:p>
    <w:p w:rsidR="00E22CB0" w:rsidRDefault="00E22CB0">
      <w:pPr>
        <w:pStyle w:val="BodyText"/>
        <w:rPr>
          <w:b/>
          <w:bCs/>
        </w:rPr>
      </w:pPr>
    </w:p>
    <w:p w:rsidR="00E22CB0" w:rsidRDefault="007E24C1">
      <w:pPr>
        <w:ind w:firstLine="720"/>
      </w:pPr>
      <w:proofErr w:type="gramStart"/>
      <w:r>
        <w:t>Twelve CFR</w:t>
      </w:r>
      <w:r w:rsidR="00001894">
        <w:t xml:space="preserve"> 50.110</w:t>
      </w:r>
      <w:proofErr w:type="gramEnd"/>
      <w:r w:rsidR="00001894">
        <w:t xml:space="preserve"> would require a covered company to take certain actions following any NSFR shortfall.  </w:t>
      </w:r>
      <w:proofErr w:type="gramStart"/>
      <w:r w:rsidR="00001894">
        <w:t>A covered company would be required to notify its appropriate Federal banking agency of the shortfall no later than 10 business days (or such shorter period as the appropriate Federal banking agency may otherwise require by written notice) following the date that any event has occurred that would cause or has caused the covered company’s NSFR to be less than 1.0.</w:t>
      </w:r>
      <w:proofErr w:type="gramEnd"/>
      <w:r w:rsidR="00001894">
        <w:t xml:space="preserve">  It must also submit to its appropriate Federal banking agency its plan for remediation of its NSFR, and submit at least monthly reports on its progress to achieve compliance. </w:t>
      </w:r>
    </w:p>
    <w:p w:rsidR="00E22CB0" w:rsidRDefault="00E22CB0">
      <w:pPr>
        <w:ind w:firstLine="720"/>
      </w:pPr>
    </w:p>
    <w:p w:rsidR="00E22CB0" w:rsidRDefault="007E24C1">
      <w:pPr>
        <w:ind w:firstLine="720"/>
      </w:pPr>
      <w:r>
        <w:t>Twelve CFR</w:t>
      </w:r>
      <w:r w:rsidR="00001894">
        <w:t xml:space="preserve"> 50.108(b) provides that if an institution includes an available stable </w:t>
      </w:r>
      <w:proofErr w:type="gramStart"/>
      <w:r w:rsidR="00001894">
        <w:t>funding  amount</w:t>
      </w:r>
      <w:proofErr w:type="gramEnd"/>
      <w:r w:rsidR="00001894">
        <w:t xml:space="preserve"> in excess of the RSF amount of the consolidated subsidiary, it must implement and maintain, written procedures to identify and monitor applicable statutory, regulatory, contractual, supervisory, or other restrictions on transferring assets from the consolidated subsidiaries.  These procedures must document which types of transactions the institution could use to transfer assets from a consolidated subsidiary to the institution and how these types of transactions comply with applicable statutory, regulatory, contractual, supervisory, or other restrictions.  Section 50.110(b) requires preparation of plan for remediation of its NSFR equal to or greater than 1.0.</w:t>
      </w:r>
    </w:p>
    <w:p w:rsidR="00E22CB0" w:rsidRDefault="00E22CB0">
      <w:pPr>
        <w:ind w:firstLine="720"/>
      </w:pPr>
    </w:p>
    <w:p w:rsidR="00E22CB0" w:rsidRDefault="00001894">
      <w:pPr>
        <w:rPr>
          <w:b/>
          <w:bCs/>
          <w:i/>
          <w:iCs/>
        </w:rPr>
      </w:pPr>
      <w:r>
        <w:rPr>
          <w:b/>
          <w:bCs/>
          <w:i/>
          <w:iCs/>
        </w:rPr>
        <w:t>3.  Consideration of the use of improved information technology:</w:t>
      </w:r>
    </w:p>
    <w:p w:rsidR="00E22CB0" w:rsidRDefault="00E22CB0"/>
    <w:p w:rsidR="00E22CB0" w:rsidRDefault="00001894">
      <w:r>
        <w:t xml:space="preserve">            Institutions may use any form of improved technology that allows them to meet the requirements of the proposed rule.</w:t>
      </w:r>
    </w:p>
    <w:p w:rsidR="00E22CB0" w:rsidRDefault="00001894">
      <w:pPr>
        <w:rPr>
          <w:b/>
          <w:bCs/>
          <w:i/>
          <w:iCs/>
        </w:rPr>
      </w:pPr>
      <w:r>
        <w:tab/>
      </w:r>
    </w:p>
    <w:p w:rsidR="00E22CB0" w:rsidRDefault="00001894">
      <w:pPr>
        <w:rPr>
          <w:b/>
          <w:bCs/>
          <w:i/>
          <w:iCs/>
        </w:rPr>
      </w:pPr>
      <w:r>
        <w:rPr>
          <w:b/>
          <w:bCs/>
          <w:i/>
          <w:iCs/>
        </w:rPr>
        <w:t>4.  Efforts to identify duplication:</w:t>
      </w:r>
    </w:p>
    <w:p w:rsidR="00E22CB0" w:rsidRDefault="00E22CB0"/>
    <w:p w:rsidR="00E22CB0" w:rsidRDefault="00001894">
      <w:r>
        <w:t xml:space="preserve">            The information collected is not available elsewhere.</w:t>
      </w:r>
      <w:r>
        <w:tab/>
      </w:r>
    </w:p>
    <w:p w:rsidR="00E22CB0" w:rsidRDefault="00E22CB0"/>
    <w:p w:rsidR="00E22CB0" w:rsidRDefault="00E22CB0">
      <w:pPr>
        <w:pStyle w:val="BodyText"/>
        <w:rPr>
          <w:b/>
          <w:bCs/>
        </w:rPr>
      </w:pPr>
    </w:p>
    <w:p w:rsidR="00E22CB0" w:rsidRDefault="00001894">
      <w:pPr>
        <w:pStyle w:val="BodyText"/>
        <w:rPr>
          <w:b/>
          <w:bCs/>
        </w:rPr>
      </w:pPr>
      <w:r>
        <w:rPr>
          <w:b/>
          <w:bCs/>
        </w:rPr>
        <w:t>5.  Methods used to minimize burden if the collection has a significant impact on a substantial number of small entities:</w:t>
      </w:r>
    </w:p>
    <w:p w:rsidR="00E22CB0" w:rsidRDefault="00E22CB0">
      <w:pPr>
        <w:pStyle w:val="BodyText"/>
        <w:rPr>
          <w:b/>
          <w:bCs/>
        </w:rPr>
      </w:pPr>
    </w:p>
    <w:p w:rsidR="00E22CB0" w:rsidRDefault="00001894">
      <w:pPr>
        <w:pStyle w:val="BodyText"/>
        <w:rPr>
          <w:bCs/>
          <w:i w:val="0"/>
        </w:rPr>
      </w:pPr>
      <w:r>
        <w:rPr>
          <w:bCs/>
          <w:i w:val="0"/>
        </w:rPr>
        <w:t xml:space="preserve">            </w:t>
      </w:r>
      <w:proofErr w:type="gramStart"/>
      <w:r>
        <w:rPr>
          <w:bCs/>
          <w:i w:val="0"/>
        </w:rPr>
        <w:t>Not applicable.</w:t>
      </w:r>
      <w:proofErr w:type="gramEnd"/>
    </w:p>
    <w:p w:rsidR="00E22CB0" w:rsidRDefault="00E22CB0"/>
    <w:p w:rsidR="00E22CB0" w:rsidRDefault="00001894">
      <w:pPr>
        <w:pStyle w:val="BodyText"/>
        <w:rPr>
          <w:b/>
          <w:bCs/>
        </w:rPr>
      </w:pPr>
      <w:r>
        <w:rPr>
          <w:b/>
          <w:bCs/>
        </w:rPr>
        <w:t xml:space="preserve">6.  Consequences to the Federal program if the collection </w:t>
      </w:r>
      <w:proofErr w:type="gramStart"/>
      <w:r>
        <w:rPr>
          <w:b/>
          <w:bCs/>
        </w:rPr>
        <w:t>were conducted</w:t>
      </w:r>
      <w:proofErr w:type="gramEnd"/>
      <w:r>
        <w:rPr>
          <w:b/>
          <w:bCs/>
        </w:rPr>
        <w:t xml:space="preserve"> less frequently:</w:t>
      </w:r>
    </w:p>
    <w:p w:rsidR="00E22CB0" w:rsidRDefault="00E22CB0"/>
    <w:p w:rsidR="00E22CB0" w:rsidRDefault="00001894">
      <w:r>
        <w:t xml:space="preserve">            Conducting the collection less frequently would increase the risk that disruptions to </w:t>
      </w:r>
      <w:proofErr w:type="gramStart"/>
      <w:r>
        <w:t>a</w:t>
      </w:r>
      <w:proofErr w:type="gramEnd"/>
      <w:r>
        <w:t xml:space="preserve"> institution’s regular sources of funding would compromise its liquidity position.</w:t>
      </w:r>
      <w:r>
        <w:tab/>
      </w:r>
    </w:p>
    <w:p w:rsidR="00E22CB0" w:rsidRDefault="00E22CB0"/>
    <w:p w:rsidR="00E22CB0" w:rsidRDefault="00001894">
      <w:pPr>
        <w:pStyle w:val="BodyText"/>
        <w:rPr>
          <w:b/>
          <w:bCs/>
        </w:rPr>
      </w:pPr>
      <w:r>
        <w:rPr>
          <w:b/>
          <w:bCs/>
        </w:rPr>
        <w:t xml:space="preserve">7.  Special circumstances that would cause an information collection to be conducted in a manner inconsistent with </w:t>
      </w:r>
      <w:proofErr w:type="gramStart"/>
      <w:r>
        <w:rPr>
          <w:b/>
          <w:bCs/>
        </w:rPr>
        <w:t>5</w:t>
      </w:r>
      <w:proofErr w:type="gramEnd"/>
      <w:r>
        <w:rPr>
          <w:b/>
          <w:bCs/>
        </w:rPr>
        <w:t xml:space="preserve"> CFR part 1320:</w:t>
      </w:r>
    </w:p>
    <w:p w:rsidR="00E22CB0" w:rsidRDefault="00E22CB0"/>
    <w:p w:rsidR="00E22CB0" w:rsidRDefault="00001894">
      <w:r>
        <w:t xml:space="preserve">            </w:t>
      </w:r>
      <w:proofErr w:type="gramStart"/>
      <w:r>
        <w:t>Not applicable.</w:t>
      </w:r>
      <w:proofErr w:type="gramEnd"/>
    </w:p>
    <w:p w:rsidR="00E22CB0" w:rsidRDefault="00001894">
      <w:r>
        <w:tab/>
      </w:r>
    </w:p>
    <w:p w:rsidR="00E22CB0" w:rsidRDefault="00001894">
      <w:pPr>
        <w:pStyle w:val="BodyText"/>
        <w:rPr>
          <w:b/>
          <w:bCs/>
        </w:rPr>
      </w:pPr>
      <w:r>
        <w:rPr>
          <w:b/>
          <w:bCs/>
        </w:rPr>
        <w:t>8.  Efforts to consult with persons outside the agency:</w:t>
      </w:r>
    </w:p>
    <w:p w:rsidR="00E22CB0" w:rsidRDefault="00E22CB0"/>
    <w:p w:rsidR="00E22CB0" w:rsidRDefault="00001894">
      <w:pPr>
        <w:tabs>
          <w:tab w:val="left" w:pos="630"/>
          <w:tab w:val="left" w:pos="720"/>
          <w:tab w:val="left" w:pos="810"/>
        </w:tabs>
      </w:pPr>
      <w:r>
        <w:t xml:space="preserve">            The collection of information </w:t>
      </w:r>
      <w:proofErr w:type="gramStart"/>
      <w:r>
        <w:t>was issued</w:t>
      </w:r>
      <w:proofErr w:type="gramEnd"/>
      <w:r>
        <w:t xml:space="preserve"> for comment in connection with the proposed rule.</w:t>
      </w:r>
    </w:p>
    <w:p w:rsidR="00E22CB0" w:rsidRDefault="00001894">
      <w:r>
        <w:tab/>
      </w:r>
    </w:p>
    <w:p w:rsidR="00E22CB0" w:rsidRDefault="00001894">
      <w:pPr>
        <w:pStyle w:val="BodyText"/>
        <w:rPr>
          <w:b/>
          <w:bCs/>
        </w:rPr>
      </w:pPr>
      <w:r>
        <w:rPr>
          <w:b/>
          <w:bCs/>
        </w:rPr>
        <w:t>9.  Payment or gift to respondents:</w:t>
      </w:r>
    </w:p>
    <w:p w:rsidR="00E22CB0" w:rsidRDefault="00E22CB0"/>
    <w:p w:rsidR="00E22CB0" w:rsidRDefault="00001894">
      <w:pPr>
        <w:tabs>
          <w:tab w:val="left" w:pos="720"/>
        </w:tabs>
      </w:pPr>
      <w:r>
        <w:t xml:space="preserve">            </w:t>
      </w:r>
      <w:proofErr w:type="gramStart"/>
      <w:r>
        <w:t>None.</w:t>
      </w:r>
      <w:proofErr w:type="gramEnd"/>
    </w:p>
    <w:p w:rsidR="00E22CB0" w:rsidRDefault="00001894">
      <w:r>
        <w:tab/>
      </w:r>
    </w:p>
    <w:p w:rsidR="00E22CB0" w:rsidRDefault="00001894">
      <w:pPr>
        <w:pStyle w:val="BodyText"/>
        <w:rPr>
          <w:b/>
          <w:bCs/>
        </w:rPr>
      </w:pPr>
      <w:r>
        <w:rPr>
          <w:b/>
          <w:bCs/>
        </w:rPr>
        <w:t>10.  Any assurance of confidentiality:</w:t>
      </w:r>
    </w:p>
    <w:p w:rsidR="00E22CB0" w:rsidRDefault="00E22CB0"/>
    <w:p w:rsidR="00E22CB0" w:rsidRDefault="00001894">
      <w:pPr>
        <w:tabs>
          <w:tab w:val="left" w:pos="810"/>
        </w:tabs>
      </w:pPr>
      <w:r>
        <w:t xml:space="preserve">            The information </w:t>
      </w:r>
      <w:proofErr w:type="gramStart"/>
      <w:r>
        <w:t>will be kept</w:t>
      </w:r>
      <w:proofErr w:type="gramEnd"/>
      <w:r>
        <w:t xml:space="preserve"> private to the extent permitted by law.</w:t>
      </w:r>
      <w:r>
        <w:tab/>
        <w:t xml:space="preserve">  </w:t>
      </w:r>
    </w:p>
    <w:p w:rsidR="00E22CB0" w:rsidRDefault="00E22CB0"/>
    <w:p w:rsidR="00E22CB0" w:rsidRDefault="00001894">
      <w:pPr>
        <w:pStyle w:val="BodyText"/>
        <w:rPr>
          <w:b/>
          <w:bCs/>
        </w:rPr>
      </w:pPr>
      <w:r>
        <w:rPr>
          <w:b/>
          <w:bCs/>
        </w:rPr>
        <w:t>11.  Justification for questions of a sensitive nature:</w:t>
      </w:r>
    </w:p>
    <w:p w:rsidR="00E22CB0" w:rsidRDefault="00E22CB0"/>
    <w:p w:rsidR="00E22CB0" w:rsidRDefault="00001894">
      <w:r>
        <w:t xml:space="preserve">            </w:t>
      </w:r>
      <w:proofErr w:type="gramStart"/>
      <w:r>
        <w:t>None.</w:t>
      </w:r>
      <w:proofErr w:type="gramEnd"/>
    </w:p>
    <w:p w:rsidR="00E22CB0" w:rsidRDefault="00E22CB0">
      <w:pPr>
        <w:rPr>
          <w:b/>
          <w:bCs/>
          <w:i/>
          <w:iCs/>
        </w:rPr>
      </w:pPr>
    </w:p>
    <w:p w:rsidR="00E22CB0" w:rsidRDefault="00001894">
      <w:pPr>
        <w:rPr>
          <w:b/>
          <w:bCs/>
          <w:i/>
          <w:iCs/>
        </w:rPr>
      </w:pPr>
      <w:r>
        <w:rPr>
          <w:b/>
          <w:bCs/>
        </w:rPr>
        <w:br w:type="page"/>
      </w:r>
    </w:p>
    <w:p w:rsidR="00E22CB0" w:rsidRDefault="00001894">
      <w:pPr>
        <w:pStyle w:val="BodyText"/>
        <w:rPr>
          <w:b/>
          <w:bCs/>
        </w:rPr>
      </w:pPr>
      <w:r>
        <w:rPr>
          <w:b/>
          <w:bCs/>
        </w:rPr>
        <w:lastRenderedPageBreak/>
        <w:t>12.  Burden estimate:</w:t>
      </w:r>
    </w:p>
    <w:p w:rsidR="00E22CB0" w:rsidRDefault="00E22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Style w:val="TableGrid"/>
        <w:tblW w:w="0" w:type="auto"/>
        <w:tblLayout w:type="fixed"/>
        <w:tblLook w:val="04A0" w:firstRow="1" w:lastRow="0" w:firstColumn="1" w:lastColumn="0" w:noHBand="0" w:noVBand="1"/>
      </w:tblPr>
      <w:tblGrid>
        <w:gridCol w:w="1368"/>
        <w:gridCol w:w="2340"/>
        <w:gridCol w:w="1620"/>
        <w:gridCol w:w="1530"/>
        <w:gridCol w:w="1350"/>
        <w:gridCol w:w="1170"/>
        <w:gridCol w:w="1080"/>
      </w:tblGrid>
      <w:tr w:rsidR="00E22CB0">
        <w:tc>
          <w:tcPr>
            <w:tcW w:w="1368" w:type="dxa"/>
            <w:shd w:val="pct20" w:color="auto" w:fill="auto"/>
          </w:tcPr>
          <w:p w:rsidR="00E22CB0" w:rsidRDefault="00001894">
            <w:pPr>
              <w:jc w:val="center"/>
              <w:rPr>
                <w:b/>
                <w:sz w:val="22"/>
                <w:szCs w:val="22"/>
              </w:rPr>
            </w:pPr>
            <w:r>
              <w:rPr>
                <w:b/>
                <w:sz w:val="22"/>
                <w:szCs w:val="22"/>
              </w:rPr>
              <w:t>Section Number</w:t>
            </w:r>
          </w:p>
        </w:tc>
        <w:tc>
          <w:tcPr>
            <w:tcW w:w="2340" w:type="dxa"/>
            <w:shd w:val="pct20" w:color="auto" w:fill="auto"/>
          </w:tcPr>
          <w:p w:rsidR="00E22CB0" w:rsidRDefault="00001894">
            <w:pPr>
              <w:jc w:val="center"/>
              <w:rPr>
                <w:b/>
                <w:sz w:val="22"/>
                <w:szCs w:val="22"/>
              </w:rPr>
            </w:pPr>
            <w:r>
              <w:rPr>
                <w:b/>
                <w:sz w:val="22"/>
                <w:szCs w:val="22"/>
              </w:rPr>
              <w:t>Requirement</w:t>
            </w:r>
          </w:p>
        </w:tc>
        <w:tc>
          <w:tcPr>
            <w:tcW w:w="1620" w:type="dxa"/>
            <w:shd w:val="pct20" w:color="auto" w:fill="auto"/>
          </w:tcPr>
          <w:p w:rsidR="00E22CB0" w:rsidRDefault="00001894">
            <w:pPr>
              <w:jc w:val="center"/>
              <w:rPr>
                <w:b/>
                <w:sz w:val="22"/>
                <w:szCs w:val="22"/>
              </w:rPr>
            </w:pPr>
            <w:r>
              <w:rPr>
                <w:b/>
                <w:sz w:val="22"/>
                <w:szCs w:val="22"/>
              </w:rPr>
              <w:t>Type of Burden</w:t>
            </w:r>
          </w:p>
        </w:tc>
        <w:tc>
          <w:tcPr>
            <w:tcW w:w="1530" w:type="dxa"/>
            <w:shd w:val="pct20" w:color="auto" w:fill="auto"/>
          </w:tcPr>
          <w:p w:rsidR="00E22CB0" w:rsidRDefault="00001894">
            <w:pPr>
              <w:jc w:val="center"/>
              <w:rPr>
                <w:b/>
                <w:sz w:val="22"/>
                <w:szCs w:val="22"/>
              </w:rPr>
            </w:pPr>
            <w:r>
              <w:rPr>
                <w:b/>
                <w:sz w:val="22"/>
                <w:szCs w:val="22"/>
              </w:rPr>
              <w:t>Number of Respondents</w:t>
            </w:r>
          </w:p>
        </w:tc>
        <w:tc>
          <w:tcPr>
            <w:tcW w:w="1350" w:type="dxa"/>
            <w:shd w:val="pct20" w:color="auto" w:fill="auto"/>
          </w:tcPr>
          <w:p w:rsidR="00E22CB0" w:rsidRDefault="00001894">
            <w:pPr>
              <w:jc w:val="center"/>
              <w:rPr>
                <w:b/>
                <w:sz w:val="22"/>
                <w:szCs w:val="22"/>
              </w:rPr>
            </w:pPr>
            <w:r>
              <w:rPr>
                <w:b/>
                <w:sz w:val="22"/>
                <w:szCs w:val="22"/>
              </w:rPr>
              <w:t>Number of Responses per Respondent</w:t>
            </w:r>
          </w:p>
        </w:tc>
        <w:tc>
          <w:tcPr>
            <w:tcW w:w="1170" w:type="dxa"/>
            <w:shd w:val="pct20" w:color="auto" w:fill="auto"/>
          </w:tcPr>
          <w:p w:rsidR="00E22CB0" w:rsidRDefault="00001894">
            <w:pPr>
              <w:jc w:val="center"/>
              <w:rPr>
                <w:b/>
                <w:sz w:val="22"/>
                <w:szCs w:val="22"/>
              </w:rPr>
            </w:pPr>
            <w:r>
              <w:rPr>
                <w:b/>
                <w:sz w:val="22"/>
                <w:szCs w:val="22"/>
              </w:rPr>
              <w:t>Burden Hours per Response</w:t>
            </w:r>
          </w:p>
        </w:tc>
        <w:tc>
          <w:tcPr>
            <w:tcW w:w="1080" w:type="dxa"/>
            <w:shd w:val="pct20" w:color="auto" w:fill="auto"/>
          </w:tcPr>
          <w:p w:rsidR="00E22CB0" w:rsidRDefault="00001894">
            <w:pPr>
              <w:jc w:val="center"/>
              <w:rPr>
                <w:b/>
                <w:sz w:val="22"/>
                <w:szCs w:val="22"/>
              </w:rPr>
            </w:pPr>
            <w:r>
              <w:rPr>
                <w:b/>
                <w:sz w:val="22"/>
                <w:szCs w:val="22"/>
              </w:rPr>
              <w:t>Total Burden</w:t>
            </w:r>
          </w:p>
        </w:tc>
      </w:tr>
      <w:tr w:rsidR="00E22CB0">
        <w:tc>
          <w:tcPr>
            <w:tcW w:w="1368" w:type="dxa"/>
          </w:tcPr>
          <w:p w:rsidR="00E22CB0" w:rsidRDefault="00001894">
            <w:pPr>
              <w:rPr>
                <w:sz w:val="22"/>
                <w:szCs w:val="22"/>
              </w:rPr>
            </w:pPr>
            <w:r>
              <w:rPr>
                <w:sz w:val="22"/>
                <w:szCs w:val="22"/>
              </w:rPr>
              <w:t>§ 50.108(b)</w:t>
            </w:r>
          </w:p>
        </w:tc>
        <w:tc>
          <w:tcPr>
            <w:tcW w:w="2340" w:type="dxa"/>
          </w:tcPr>
          <w:p w:rsidR="00E22CB0" w:rsidRDefault="00001894">
            <w:pPr>
              <w:rPr>
                <w:sz w:val="22"/>
                <w:szCs w:val="22"/>
              </w:rPr>
            </w:pPr>
            <w:r>
              <w:rPr>
                <w:sz w:val="22"/>
                <w:szCs w:val="22"/>
              </w:rPr>
              <w:t>Written procedures to identify and monitor restrictions on transferring assets.</w:t>
            </w:r>
          </w:p>
          <w:p w:rsidR="00E22CB0" w:rsidRDefault="00E22CB0">
            <w:pPr>
              <w:rPr>
                <w:sz w:val="22"/>
                <w:szCs w:val="22"/>
              </w:rPr>
            </w:pPr>
          </w:p>
          <w:p w:rsidR="00E22CB0" w:rsidRDefault="00001894">
            <w:pPr>
              <w:rPr>
                <w:sz w:val="22"/>
                <w:szCs w:val="22"/>
              </w:rPr>
            </w:pPr>
            <w:r>
              <w:rPr>
                <w:sz w:val="22"/>
                <w:szCs w:val="22"/>
              </w:rPr>
              <w:t xml:space="preserve">Document types of transactions that </w:t>
            </w:r>
            <w:proofErr w:type="gramStart"/>
            <w:r>
              <w:rPr>
                <w:sz w:val="22"/>
                <w:szCs w:val="22"/>
              </w:rPr>
              <w:t>could be used</w:t>
            </w:r>
            <w:proofErr w:type="gramEnd"/>
            <w:r>
              <w:rPr>
                <w:sz w:val="22"/>
                <w:szCs w:val="22"/>
              </w:rPr>
              <w:t xml:space="preserve"> to transfer assets from consolidated subsidiary to institutions and how they comply with restrictions.</w:t>
            </w:r>
          </w:p>
          <w:p w:rsidR="00E22CB0" w:rsidRDefault="00E22CB0">
            <w:pPr>
              <w:rPr>
                <w:sz w:val="22"/>
                <w:szCs w:val="22"/>
              </w:rPr>
            </w:pPr>
          </w:p>
        </w:tc>
        <w:tc>
          <w:tcPr>
            <w:tcW w:w="1620" w:type="dxa"/>
          </w:tcPr>
          <w:p w:rsidR="00E22CB0" w:rsidRDefault="00001894">
            <w:pPr>
              <w:rPr>
                <w:sz w:val="22"/>
                <w:szCs w:val="22"/>
              </w:rPr>
            </w:pPr>
            <w:r>
              <w:rPr>
                <w:sz w:val="22"/>
                <w:szCs w:val="22"/>
              </w:rPr>
              <w:t>Recordkeeping</w:t>
            </w:r>
          </w:p>
        </w:tc>
        <w:tc>
          <w:tcPr>
            <w:tcW w:w="1530" w:type="dxa"/>
          </w:tcPr>
          <w:p w:rsidR="00E22CB0" w:rsidRDefault="00001894">
            <w:pPr>
              <w:jc w:val="center"/>
              <w:rPr>
                <w:sz w:val="22"/>
                <w:szCs w:val="22"/>
              </w:rPr>
            </w:pPr>
            <w:r>
              <w:rPr>
                <w:sz w:val="22"/>
                <w:szCs w:val="22"/>
              </w:rPr>
              <w:t>17</w:t>
            </w:r>
          </w:p>
        </w:tc>
        <w:tc>
          <w:tcPr>
            <w:tcW w:w="1350" w:type="dxa"/>
          </w:tcPr>
          <w:p w:rsidR="00E22CB0" w:rsidRDefault="00001894">
            <w:pPr>
              <w:jc w:val="center"/>
              <w:rPr>
                <w:sz w:val="22"/>
                <w:szCs w:val="22"/>
              </w:rPr>
            </w:pPr>
            <w:r>
              <w:rPr>
                <w:sz w:val="22"/>
                <w:szCs w:val="22"/>
              </w:rPr>
              <w:t>1</w:t>
            </w:r>
          </w:p>
        </w:tc>
        <w:tc>
          <w:tcPr>
            <w:tcW w:w="1170" w:type="dxa"/>
          </w:tcPr>
          <w:p w:rsidR="00E22CB0" w:rsidRDefault="00001894">
            <w:pPr>
              <w:jc w:val="center"/>
              <w:rPr>
                <w:sz w:val="22"/>
                <w:szCs w:val="22"/>
              </w:rPr>
            </w:pPr>
            <w:r>
              <w:rPr>
                <w:sz w:val="22"/>
                <w:szCs w:val="22"/>
              </w:rPr>
              <w:t>20</w:t>
            </w:r>
          </w:p>
        </w:tc>
        <w:tc>
          <w:tcPr>
            <w:tcW w:w="1080" w:type="dxa"/>
          </w:tcPr>
          <w:p w:rsidR="00E22CB0" w:rsidRDefault="00001894">
            <w:pPr>
              <w:jc w:val="center"/>
              <w:rPr>
                <w:sz w:val="22"/>
                <w:szCs w:val="22"/>
              </w:rPr>
            </w:pPr>
            <w:r>
              <w:rPr>
                <w:sz w:val="22"/>
                <w:szCs w:val="22"/>
              </w:rPr>
              <w:t>340</w:t>
            </w:r>
          </w:p>
        </w:tc>
      </w:tr>
      <w:tr w:rsidR="00E22CB0">
        <w:tc>
          <w:tcPr>
            <w:tcW w:w="1368" w:type="dxa"/>
          </w:tcPr>
          <w:p w:rsidR="00E22CB0" w:rsidRDefault="00001894">
            <w:pPr>
              <w:rPr>
                <w:sz w:val="22"/>
                <w:szCs w:val="22"/>
              </w:rPr>
            </w:pPr>
            <w:r>
              <w:rPr>
                <w:sz w:val="22"/>
                <w:szCs w:val="22"/>
              </w:rPr>
              <w:t>§ 50.110(a)</w:t>
            </w:r>
          </w:p>
        </w:tc>
        <w:tc>
          <w:tcPr>
            <w:tcW w:w="2340" w:type="dxa"/>
          </w:tcPr>
          <w:p w:rsidR="00E22CB0" w:rsidRDefault="00001894">
            <w:pPr>
              <w:rPr>
                <w:sz w:val="22"/>
                <w:szCs w:val="22"/>
              </w:rPr>
            </w:pPr>
            <w:r>
              <w:rPr>
                <w:sz w:val="22"/>
                <w:szCs w:val="22"/>
              </w:rPr>
              <w:t>Notify agency of NSFR shortfall within 10 business days.</w:t>
            </w:r>
          </w:p>
          <w:p w:rsidR="00E22CB0" w:rsidRDefault="00E22CB0">
            <w:pPr>
              <w:rPr>
                <w:sz w:val="22"/>
                <w:szCs w:val="22"/>
              </w:rPr>
            </w:pPr>
          </w:p>
        </w:tc>
        <w:tc>
          <w:tcPr>
            <w:tcW w:w="1620" w:type="dxa"/>
          </w:tcPr>
          <w:p w:rsidR="00E22CB0" w:rsidRDefault="00001894">
            <w:pPr>
              <w:rPr>
                <w:sz w:val="22"/>
                <w:szCs w:val="22"/>
              </w:rPr>
            </w:pPr>
            <w:r>
              <w:rPr>
                <w:sz w:val="22"/>
                <w:szCs w:val="22"/>
              </w:rPr>
              <w:t>Reporting</w:t>
            </w:r>
          </w:p>
        </w:tc>
        <w:tc>
          <w:tcPr>
            <w:tcW w:w="1530" w:type="dxa"/>
          </w:tcPr>
          <w:p w:rsidR="00E22CB0" w:rsidRDefault="00001894">
            <w:pPr>
              <w:jc w:val="center"/>
              <w:rPr>
                <w:sz w:val="22"/>
                <w:szCs w:val="22"/>
              </w:rPr>
            </w:pPr>
            <w:r>
              <w:rPr>
                <w:sz w:val="22"/>
                <w:szCs w:val="22"/>
              </w:rPr>
              <w:t>17</w:t>
            </w:r>
          </w:p>
        </w:tc>
        <w:tc>
          <w:tcPr>
            <w:tcW w:w="1350" w:type="dxa"/>
          </w:tcPr>
          <w:p w:rsidR="00E22CB0" w:rsidRDefault="006942F9">
            <w:pPr>
              <w:jc w:val="center"/>
              <w:rPr>
                <w:sz w:val="22"/>
                <w:szCs w:val="22"/>
              </w:rPr>
            </w:pPr>
            <w:r>
              <w:rPr>
                <w:sz w:val="22"/>
                <w:szCs w:val="22"/>
              </w:rPr>
              <w:t>1</w:t>
            </w:r>
          </w:p>
        </w:tc>
        <w:tc>
          <w:tcPr>
            <w:tcW w:w="1170" w:type="dxa"/>
          </w:tcPr>
          <w:p w:rsidR="00E22CB0" w:rsidRDefault="00001894">
            <w:pPr>
              <w:jc w:val="center"/>
              <w:rPr>
                <w:sz w:val="22"/>
                <w:szCs w:val="22"/>
              </w:rPr>
            </w:pPr>
            <w:r>
              <w:rPr>
                <w:sz w:val="22"/>
                <w:szCs w:val="22"/>
              </w:rPr>
              <w:t>0.25</w:t>
            </w:r>
          </w:p>
        </w:tc>
        <w:tc>
          <w:tcPr>
            <w:tcW w:w="1080" w:type="dxa"/>
          </w:tcPr>
          <w:p w:rsidR="00E22CB0" w:rsidRDefault="006942F9">
            <w:pPr>
              <w:jc w:val="center"/>
              <w:rPr>
                <w:sz w:val="22"/>
                <w:szCs w:val="22"/>
              </w:rPr>
            </w:pPr>
            <w:r>
              <w:rPr>
                <w:sz w:val="22"/>
                <w:szCs w:val="22"/>
              </w:rPr>
              <w:t>4.25</w:t>
            </w:r>
          </w:p>
        </w:tc>
      </w:tr>
      <w:tr w:rsidR="00E22CB0">
        <w:tc>
          <w:tcPr>
            <w:tcW w:w="1368" w:type="dxa"/>
          </w:tcPr>
          <w:p w:rsidR="00E22CB0" w:rsidRDefault="00001894">
            <w:pPr>
              <w:rPr>
                <w:sz w:val="22"/>
                <w:szCs w:val="22"/>
              </w:rPr>
            </w:pPr>
            <w:r>
              <w:rPr>
                <w:sz w:val="22"/>
                <w:szCs w:val="22"/>
              </w:rPr>
              <w:t>§ 50.110(b)</w:t>
            </w:r>
          </w:p>
        </w:tc>
        <w:tc>
          <w:tcPr>
            <w:tcW w:w="2340" w:type="dxa"/>
          </w:tcPr>
          <w:p w:rsidR="00E22CB0" w:rsidRDefault="00001894">
            <w:pPr>
              <w:rPr>
                <w:sz w:val="22"/>
                <w:szCs w:val="22"/>
              </w:rPr>
            </w:pPr>
            <w:r>
              <w:rPr>
                <w:sz w:val="22"/>
                <w:szCs w:val="22"/>
              </w:rPr>
              <w:t>Prepare plan for remediation.</w:t>
            </w:r>
          </w:p>
          <w:p w:rsidR="00E22CB0" w:rsidRDefault="00E22CB0">
            <w:pPr>
              <w:rPr>
                <w:sz w:val="22"/>
                <w:szCs w:val="22"/>
              </w:rPr>
            </w:pPr>
          </w:p>
        </w:tc>
        <w:tc>
          <w:tcPr>
            <w:tcW w:w="1620" w:type="dxa"/>
          </w:tcPr>
          <w:p w:rsidR="00E22CB0" w:rsidRDefault="00001894">
            <w:pPr>
              <w:rPr>
                <w:sz w:val="22"/>
                <w:szCs w:val="22"/>
              </w:rPr>
            </w:pPr>
            <w:r>
              <w:rPr>
                <w:sz w:val="22"/>
                <w:szCs w:val="22"/>
              </w:rPr>
              <w:t>Recordkeeping</w:t>
            </w:r>
          </w:p>
        </w:tc>
        <w:tc>
          <w:tcPr>
            <w:tcW w:w="1530" w:type="dxa"/>
          </w:tcPr>
          <w:p w:rsidR="00E22CB0" w:rsidRDefault="00001894">
            <w:pPr>
              <w:jc w:val="center"/>
              <w:rPr>
                <w:sz w:val="22"/>
                <w:szCs w:val="22"/>
              </w:rPr>
            </w:pPr>
            <w:r>
              <w:rPr>
                <w:sz w:val="22"/>
                <w:szCs w:val="22"/>
              </w:rPr>
              <w:t>17</w:t>
            </w:r>
          </w:p>
        </w:tc>
        <w:tc>
          <w:tcPr>
            <w:tcW w:w="1350" w:type="dxa"/>
          </w:tcPr>
          <w:p w:rsidR="00E22CB0" w:rsidRDefault="00001894">
            <w:pPr>
              <w:jc w:val="center"/>
              <w:rPr>
                <w:sz w:val="22"/>
                <w:szCs w:val="22"/>
              </w:rPr>
            </w:pPr>
            <w:r>
              <w:rPr>
                <w:sz w:val="22"/>
                <w:szCs w:val="22"/>
              </w:rPr>
              <w:t>1</w:t>
            </w:r>
          </w:p>
        </w:tc>
        <w:tc>
          <w:tcPr>
            <w:tcW w:w="1170" w:type="dxa"/>
          </w:tcPr>
          <w:p w:rsidR="00E22CB0" w:rsidRDefault="00001894">
            <w:pPr>
              <w:jc w:val="center"/>
              <w:rPr>
                <w:sz w:val="22"/>
                <w:szCs w:val="22"/>
              </w:rPr>
            </w:pPr>
            <w:r>
              <w:rPr>
                <w:sz w:val="22"/>
                <w:szCs w:val="22"/>
              </w:rPr>
              <w:t>100</w:t>
            </w:r>
          </w:p>
        </w:tc>
        <w:tc>
          <w:tcPr>
            <w:tcW w:w="1080" w:type="dxa"/>
          </w:tcPr>
          <w:p w:rsidR="00E22CB0" w:rsidRDefault="00001894">
            <w:pPr>
              <w:jc w:val="center"/>
              <w:rPr>
                <w:sz w:val="22"/>
                <w:szCs w:val="22"/>
              </w:rPr>
            </w:pPr>
            <w:r>
              <w:rPr>
                <w:sz w:val="22"/>
                <w:szCs w:val="22"/>
              </w:rPr>
              <w:t>1,700</w:t>
            </w:r>
          </w:p>
        </w:tc>
      </w:tr>
      <w:tr w:rsidR="00E22CB0">
        <w:tc>
          <w:tcPr>
            <w:tcW w:w="1368" w:type="dxa"/>
          </w:tcPr>
          <w:p w:rsidR="00E22CB0" w:rsidRDefault="00001894">
            <w:pPr>
              <w:rPr>
                <w:sz w:val="22"/>
                <w:szCs w:val="22"/>
              </w:rPr>
            </w:pPr>
            <w:r>
              <w:rPr>
                <w:sz w:val="22"/>
                <w:szCs w:val="22"/>
              </w:rPr>
              <w:t>§ 50.110(b)</w:t>
            </w:r>
          </w:p>
        </w:tc>
        <w:tc>
          <w:tcPr>
            <w:tcW w:w="2340" w:type="dxa"/>
          </w:tcPr>
          <w:p w:rsidR="00E22CB0" w:rsidRDefault="00001894">
            <w:pPr>
              <w:rPr>
                <w:sz w:val="22"/>
                <w:szCs w:val="22"/>
              </w:rPr>
            </w:pPr>
            <w:r>
              <w:rPr>
                <w:sz w:val="22"/>
                <w:szCs w:val="22"/>
              </w:rPr>
              <w:t>Submit plan for remediation to agency</w:t>
            </w:r>
            <w:r w:rsidR="00AD35C6">
              <w:rPr>
                <w:sz w:val="22"/>
                <w:szCs w:val="22"/>
              </w:rPr>
              <w:t xml:space="preserve"> and provide</w:t>
            </w:r>
            <w:r w:rsidR="0004027D">
              <w:rPr>
                <w:sz w:val="22"/>
                <w:szCs w:val="22"/>
              </w:rPr>
              <w:t xml:space="preserve"> progress report</w:t>
            </w:r>
            <w:r>
              <w:rPr>
                <w:sz w:val="22"/>
                <w:szCs w:val="22"/>
              </w:rPr>
              <w:t>.</w:t>
            </w:r>
          </w:p>
          <w:p w:rsidR="00E22CB0" w:rsidRDefault="00E22CB0">
            <w:pPr>
              <w:rPr>
                <w:sz w:val="22"/>
                <w:szCs w:val="22"/>
              </w:rPr>
            </w:pPr>
          </w:p>
        </w:tc>
        <w:tc>
          <w:tcPr>
            <w:tcW w:w="1620" w:type="dxa"/>
          </w:tcPr>
          <w:p w:rsidR="00E22CB0" w:rsidRDefault="00001894">
            <w:pPr>
              <w:rPr>
                <w:sz w:val="22"/>
                <w:szCs w:val="22"/>
              </w:rPr>
            </w:pPr>
            <w:r>
              <w:rPr>
                <w:sz w:val="22"/>
                <w:szCs w:val="22"/>
              </w:rPr>
              <w:t>Reporting</w:t>
            </w:r>
          </w:p>
        </w:tc>
        <w:tc>
          <w:tcPr>
            <w:tcW w:w="1530" w:type="dxa"/>
          </w:tcPr>
          <w:p w:rsidR="00E22CB0" w:rsidRDefault="00001894">
            <w:pPr>
              <w:jc w:val="center"/>
              <w:rPr>
                <w:sz w:val="22"/>
                <w:szCs w:val="22"/>
              </w:rPr>
            </w:pPr>
            <w:r>
              <w:rPr>
                <w:sz w:val="22"/>
                <w:szCs w:val="22"/>
              </w:rPr>
              <w:t>17</w:t>
            </w:r>
          </w:p>
        </w:tc>
        <w:tc>
          <w:tcPr>
            <w:tcW w:w="1350" w:type="dxa"/>
          </w:tcPr>
          <w:p w:rsidR="00E22CB0" w:rsidRDefault="00AD35C6">
            <w:pPr>
              <w:jc w:val="center"/>
              <w:rPr>
                <w:sz w:val="22"/>
                <w:szCs w:val="22"/>
              </w:rPr>
            </w:pPr>
            <w:r>
              <w:rPr>
                <w:sz w:val="22"/>
                <w:szCs w:val="22"/>
              </w:rPr>
              <w:t>8</w:t>
            </w:r>
          </w:p>
        </w:tc>
        <w:tc>
          <w:tcPr>
            <w:tcW w:w="1170" w:type="dxa"/>
          </w:tcPr>
          <w:p w:rsidR="00E22CB0" w:rsidRDefault="00001894">
            <w:pPr>
              <w:jc w:val="center"/>
              <w:rPr>
                <w:sz w:val="22"/>
                <w:szCs w:val="22"/>
              </w:rPr>
            </w:pPr>
            <w:r>
              <w:rPr>
                <w:sz w:val="22"/>
                <w:szCs w:val="22"/>
              </w:rPr>
              <w:t>0.</w:t>
            </w:r>
            <w:r w:rsidR="00AD35C6">
              <w:rPr>
                <w:sz w:val="22"/>
                <w:szCs w:val="22"/>
              </w:rPr>
              <w:t>50</w:t>
            </w:r>
          </w:p>
        </w:tc>
        <w:tc>
          <w:tcPr>
            <w:tcW w:w="1080" w:type="dxa"/>
          </w:tcPr>
          <w:p w:rsidR="00E22CB0" w:rsidRDefault="0004027D" w:rsidP="0004027D">
            <w:pPr>
              <w:jc w:val="center"/>
              <w:rPr>
                <w:sz w:val="22"/>
                <w:szCs w:val="22"/>
              </w:rPr>
            </w:pPr>
            <w:r>
              <w:rPr>
                <w:sz w:val="22"/>
                <w:szCs w:val="22"/>
              </w:rPr>
              <w:t>68</w:t>
            </w:r>
          </w:p>
        </w:tc>
      </w:tr>
      <w:tr w:rsidR="00E22CB0">
        <w:tc>
          <w:tcPr>
            <w:tcW w:w="1368" w:type="dxa"/>
          </w:tcPr>
          <w:p w:rsidR="00E22CB0" w:rsidRDefault="00E22CB0">
            <w:pPr>
              <w:rPr>
                <w:sz w:val="22"/>
                <w:szCs w:val="22"/>
              </w:rPr>
            </w:pPr>
          </w:p>
        </w:tc>
        <w:tc>
          <w:tcPr>
            <w:tcW w:w="2340" w:type="dxa"/>
          </w:tcPr>
          <w:p w:rsidR="00E22CB0" w:rsidRDefault="00E22CB0">
            <w:pPr>
              <w:rPr>
                <w:sz w:val="22"/>
                <w:szCs w:val="22"/>
              </w:rPr>
            </w:pPr>
          </w:p>
        </w:tc>
        <w:tc>
          <w:tcPr>
            <w:tcW w:w="1620" w:type="dxa"/>
          </w:tcPr>
          <w:p w:rsidR="00E22CB0" w:rsidRDefault="00E22CB0">
            <w:pPr>
              <w:rPr>
                <w:sz w:val="22"/>
                <w:szCs w:val="22"/>
              </w:rPr>
            </w:pPr>
          </w:p>
        </w:tc>
        <w:tc>
          <w:tcPr>
            <w:tcW w:w="1530" w:type="dxa"/>
          </w:tcPr>
          <w:p w:rsidR="00E22CB0" w:rsidRDefault="00E22CB0">
            <w:pPr>
              <w:jc w:val="center"/>
              <w:rPr>
                <w:sz w:val="22"/>
                <w:szCs w:val="22"/>
              </w:rPr>
            </w:pPr>
          </w:p>
        </w:tc>
        <w:tc>
          <w:tcPr>
            <w:tcW w:w="1350" w:type="dxa"/>
          </w:tcPr>
          <w:p w:rsidR="00E22CB0" w:rsidRDefault="00E22CB0">
            <w:pPr>
              <w:jc w:val="center"/>
              <w:rPr>
                <w:sz w:val="22"/>
                <w:szCs w:val="22"/>
              </w:rPr>
            </w:pPr>
          </w:p>
        </w:tc>
        <w:tc>
          <w:tcPr>
            <w:tcW w:w="1170" w:type="dxa"/>
          </w:tcPr>
          <w:p w:rsidR="00E22CB0" w:rsidRDefault="00E22CB0">
            <w:pPr>
              <w:jc w:val="center"/>
              <w:rPr>
                <w:sz w:val="22"/>
                <w:szCs w:val="22"/>
              </w:rPr>
            </w:pPr>
          </w:p>
        </w:tc>
        <w:tc>
          <w:tcPr>
            <w:tcW w:w="1080" w:type="dxa"/>
          </w:tcPr>
          <w:p w:rsidR="00E22CB0" w:rsidRDefault="00E22CB0">
            <w:pPr>
              <w:jc w:val="center"/>
              <w:rPr>
                <w:sz w:val="22"/>
                <w:szCs w:val="22"/>
              </w:rPr>
            </w:pPr>
          </w:p>
        </w:tc>
      </w:tr>
      <w:tr w:rsidR="00E22CB0">
        <w:tc>
          <w:tcPr>
            <w:tcW w:w="1368" w:type="dxa"/>
          </w:tcPr>
          <w:p w:rsidR="00E22CB0" w:rsidRDefault="00001894">
            <w:pPr>
              <w:rPr>
                <w:b/>
                <w:sz w:val="22"/>
                <w:szCs w:val="22"/>
              </w:rPr>
            </w:pPr>
            <w:r>
              <w:rPr>
                <w:b/>
                <w:sz w:val="22"/>
                <w:szCs w:val="22"/>
              </w:rPr>
              <w:t>Total</w:t>
            </w:r>
          </w:p>
        </w:tc>
        <w:tc>
          <w:tcPr>
            <w:tcW w:w="2340" w:type="dxa"/>
          </w:tcPr>
          <w:p w:rsidR="00E22CB0" w:rsidRDefault="00E22CB0">
            <w:pPr>
              <w:rPr>
                <w:b/>
                <w:sz w:val="22"/>
                <w:szCs w:val="22"/>
              </w:rPr>
            </w:pPr>
          </w:p>
        </w:tc>
        <w:tc>
          <w:tcPr>
            <w:tcW w:w="1620" w:type="dxa"/>
          </w:tcPr>
          <w:p w:rsidR="00E22CB0" w:rsidRDefault="00E22CB0">
            <w:pPr>
              <w:rPr>
                <w:b/>
                <w:sz w:val="22"/>
                <w:szCs w:val="22"/>
              </w:rPr>
            </w:pPr>
          </w:p>
        </w:tc>
        <w:tc>
          <w:tcPr>
            <w:tcW w:w="1530" w:type="dxa"/>
          </w:tcPr>
          <w:p w:rsidR="00E22CB0" w:rsidRDefault="00E22CB0">
            <w:pPr>
              <w:jc w:val="center"/>
              <w:rPr>
                <w:b/>
                <w:sz w:val="22"/>
                <w:szCs w:val="22"/>
              </w:rPr>
            </w:pPr>
          </w:p>
        </w:tc>
        <w:tc>
          <w:tcPr>
            <w:tcW w:w="1350" w:type="dxa"/>
          </w:tcPr>
          <w:p w:rsidR="00E22CB0" w:rsidRDefault="00E22CB0">
            <w:pPr>
              <w:jc w:val="center"/>
              <w:rPr>
                <w:b/>
                <w:sz w:val="22"/>
                <w:szCs w:val="22"/>
              </w:rPr>
            </w:pPr>
          </w:p>
        </w:tc>
        <w:tc>
          <w:tcPr>
            <w:tcW w:w="1170" w:type="dxa"/>
          </w:tcPr>
          <w:p w:rsidR="00E22CB0" w:rsidRDefault="00E22CB0">
            <w:pPr>
              <w:jc w:val="center"/>
              <w:rPr>
                <w:b/>
                <w:sz w:val="22"/>
                <w:szCs w:val="22"/>
              </w:rPr>
            </w:pPr>
          </w:p>
        </w:tc>
        <w:tc>
          <w:tcPr>
            <w:tcW w:w="1080" w:type="dxa"/>
          </w:tcPr>
          <w:p w:rsidR="00E22CB0" w:rsidRDefault="00001894">
            <w:pPr>
              <w:jc w:val="center"/>
              <w:rPr>
                <w:b/>
                <w:sz w:val="22"/>
                <w:szCs w:val="22"/>
              </w:rPr>
            </w:pPr>
            <w:r>
              <w:rPr>
                <w:b/>
                <w:sz w:val="22"/>
                <w:szCs w:val="22"/>
              </w:rPr>
              <w:t>2,112.25</w:t>
            </w:r>
          </w:p>
        </w:tc>
      </w:tr>
      <w:tr w:rsidR="005F3CC2">
        <w:tc>
          <w:tcPr>
            <w:tcW w:w="1368" w:type="dxa"/>
          </w:tcPr>
          <w:p w:rsidR="005F3CC2" w:rsidRDefault="005F3CC2">
            <w:pPr>
              <w:rPr>
                <w:b/>
                <w:sz w:val="22"/>
                <w:szCs w:val="22"/>
              </w:rPr>
            </w:pPr>
            <w:r>
              <w:rPr>
                <w:b/>
                <w:sz w:val="22"/>
                <w:szCs w:val="22"/>
              </w:rPr>
              <w:t>ROCIS</w:t>
            </w:r>
          </w:p>
          <w:p w:rsidR="005F3CC2" w:rsidRDefault="005F3CC2">
            <w:pPr>
              <w:rPr>
                <w:b/>
                <w:sz w:val="22"/>
                <w:szCs w:val="22"/>
              </w:rPr>
            </w:pPr>
            <w:r>
              <w:rPr>
                <w:b/>
                <w:sz w:val="22"/>
                <w:szCs w:val="22"/>
              </w:rPr>
              <w:t>Automatic</w:t>
            </w:r>
          </w:p>
          <w:p w:rsidR="005F3CC2" w:rsidRDefault="005F3CC2">
            <w:pPr>
              <w:rPr>
                <w:b/>
                <w:sz w:val="22"/>
                <w:szCs w:val="22"/>
              </w:rPr>
            </w:pPr>
            <w:r>
              <w:rPr>
                <w:b/>
                <w:sz w:val="22"/>
                <w:szCs w:val="22"/>
              </w:rPr>
              <w:t>Rounding</w:t>
            </w:r>
          </w:p>
        </w:tc>
        <w:tc>
          <w:tcPr>
            <w:tcW w:w="2340" w:type="dxa"/>
          </w:tcPr>
          <w:p w:rsidR="005F3CC2" w:rsidRDefault="005F3CC2">
            <w:pPr>
              <w:rPr>
                <w:b/>
                <w:sz w:val="22"/>
                <w:szCs w:val="22"/>
              </w:rPr>
            </w:pPr>
          </w:p>
        </w:tc>
        <w:tc>
          <w:tcPr>
            <w:tcW w:w="1620" w:type="dxa"/>
          </w:tcPr>
          <w:p w:rsidR="005F3CC2" w:rsidRDefault="005F3CC2">
            <w:pPr>
              <w:rPr>
                <w:b/>
                <w:sz w:val="22"/>
                <w:szCs w:val="22"/>
              </w:rPr>
            </w:pPr>
          </w:p>
        </w:tc>
        <w:tc>
          <w:tcPr>
            <w:tcW w:w="1530" w:type="dxa"/>
          </w:tcPr>
          <w:p w:rsidR="005F3CC2" w:rsidRDefault="005F3CC2">
            <w:pPr>
              <w:jc w:val="center"/>
              <w:rPr>
                <w:b/>
                <w:sz w:val="22"/>
                <w:szCs w:val="22"/>
              </w:rPr>
            </w:pPr>
          </w:p>
        </w:tc>
        <w:tc>
          <w:tcPr>
            <w:tcW w:w="1350" w:type="dxa"/>
          </w:tcPr>
          <w:p w:rsidR="005F3CC2" w:rsidRDefault="005F3CC2">
            <w:pPr>
              <w:jc w:val="center"/>
              <w:rPr>
                <w:b/>
                <w:sz w:val="22"/>
                <w:szCs w:val="22"/>
              </w:rPr>
            </w:pPr>
          </w:p>
        </w:tc>
        <w:tc>
          <w:tcPr>
            <w:tcW w:w="1170" w:type="dxa"/>
          </w:tcPr>
          <w:p w:rsidR="005F3CC2" w:rsidRDefault="005F3CC2">
            <w:pPr>
              <w:jc w:val="center"/>
              <w:rPr>
                <w:b/>
                <w:sz w:val="22"/>
                <w:szCs w:val="22"/>
              </w:rPr>
            </w:pPr>
          </w:p>
        </w:tc>
        <w:tc>
          <w:tcPr>
            <w:tcW w:w="1080" w:type="dxa"/>
          </w:tcPr>
          <w:p w:rsidR="005F3CC2" w:rsidRDefault="005F3CC2">
            <w:pPr>
              <w:jc w:val="center"/>
              <w:rPr>
                <w:b/>
                <w:sz w:val="22"/>
                <w:szCs w:val="22"/>
              </w:rPr>
            </w:pPr>
            <w:r>
              <w:rPr>
                <w:b/>
                <w:sz w:val="22"/>
                <w:szCs w:val="22"/>
              </w:rPr>
              <w:t>2,112.00</w:t>
            </w:r>
          </w:p>
        </w:tc>
      </w:tr>
    </w:tbl>
    <w:p w:rsidR="00E22CB0" w:rsidRDefault="00E22CB0">
      <w:pPr>
        <w:rPr>
          <w:sz w:val="22"/>
          <w:szCs w:val="22"/>
        </w:rPr>
      </w:pPr>
    </w:p>
    <w:p w:rsidR="00E22CB0" w:rsidRDefault="00E22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22CB0" w:rsidRDefault="00001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u w:val="single"/>
        </w:rPr>
        <w:t>Cost of Hour Burden</w:t>
      </w:r>
      <w:r>
        <w:t>:</w:t>
      </w:r>
    </w:p>
    <w:p w:rsidR="00E22CB0" w:rsidRDefault="00E22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22CB0" w:rsidRDefault="005F3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2,112 x $101 = $ 213,312</w:t>
      </w:r>
    </w:p>
    <w:p w:rsidR="00E22CB0" w:rsidRDefault="00E22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22CB0" w:rsidRDefault="00001894">
      <w:pPr>
        <w:rPr>
          <w:szCs w:val="24"/>
        </w:rPr>
      </w:pPr>
      <w:r>
        <w:rPr>
          <w:szCs w:val="24"/>
        </w:rPr>
        <w:t xml:space="preserve">To estimate average hourly wages we reviewed data from May 2014 for wages (by industry and occupation) from the U.S. Bureau of Labor Statistics (BLS) for depository credit intermediation (NAICS 522100).  To estimate compensation costs associated with the rule,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E22CB0" w:rsidRDefault="00E22CB0">
      <w:pPr>
        <w:pStyle w:val="BodyText"/>
      </w:pPr>
    </w:p>
    <w:p w:rsidR="00E22CB0" w:rsidRDefault="00E22CB0">
      <w:pPr>
        <w:pStyle w:val="BodyText"/>
        <w:rPr>
          <w:b/>
          <w:bCs/>
        </w:rPr>
      </w:pPr>
    </w:p>
    <w:p w:rsidR="00E22CB0" w:rsidRDefault="00E22CB0">
      <w:pPr>
        <w:pStyle w:val="BodyText"/>
        <w:rPr>
          <w:b/>
          <w:bCs/>
        </w:rPr>
      </w:pPr>
    </w:p>
    <w:p w:rsidR="00E22CB0" w:rsidRDefault="00001894">
      <w:pPr>
        <w:pStyle w:val="BodyText"/>
        <w:rPr>
          <w:b/>
          <w:bCs/>
        </w:rPr>
      </w:pPr>
      <w:r>
        <w:rPr>
          <w:b/>
          <w:bCs/>
        </w:rPr>
        <w:t>13.  Estimate of total annual costs to respondents (excluding cost of hour burden in Item #12):</w:t>
      </w:r>
    </w:p>
    <w:p w:rsidR="00E22CB0" w:rsidRDefault="00E22CB0">
      <w:pPr>
        <w:pStyle w:val="BodyText"/>
        <w:rPr>
          <w:b/>
          <w:bCs/>
        </w:rPr>
      </w:pPr>
    </w:p>
    <w:p w:rsidR="00E22CB0" w:rsidRDefault="00001894">
      <w:pPr>
        <w:pStyle w:val="BodyText"/>
        <w:rPr>
          <w:bCs/>
          <w:i w:val="0"/>
        </w:rPr>
      </w:pPr>
      <w:r>
        <w:rPr>
          <w:b/>
          <w:bCs/>
        </w:rPr>
        <w:t xml:space="preserve">            </w:t>
      </w:r>
      <w:proofErr w:type="gramStart"/>
      <w:r>
        <w:rPr>
          <w:bCs/>
          <w:i w:val="0"/>
        </w:rPr>
        <w:t>None.</w:t>
      </w:r>
      <w:proofErr w:type="gramEnd"/>
    </w:p>
    <w:p w:rsidR="00E22CB0" w:rsidRDefault="00E22CB0">
      <w:pPr>
        <w:pStyle w:val="BodyText"/>
        <w:rPr>
          <w:b/>
          <w:bCs/>
        </w:rPr>
      </w:pPr>
    </w:p>
    <w:p w:rsidR="00E22CB0" w:rsidRDefault="00001894">
      <w:pPr>
        <w:pStyle w:val="BodyText"/>
        <w:rPr>
          <w:b/>
          <w:bCs/>
        </w:rPr>
      </w:pPr>
      <w:r>
        <w:rPr>
          <w:b/>
          <w:bCs/>
        </w:rPr>
        <w:t>14.  Estimate of annualized costs to the Federal government:</w:t>
      </w:r>
    </w:p>
    <w:p w:rsidR="00E22CB0" w:rsidRDefault="00E22CB0">
      <w:pPr>
        <w:pStyle w:val="BodyText"/>
        <w:rPr>
          <w:b/>
          <w:bCs/>
        </w:rPr>
      </w:pPr>
    </w:p>
    <w:p w:rsidR="00E22CB0" w:rsidRDefault="00001894">
      <w:pPr>
        <w:pStyle w:val="BodyText"/>
      </w:pPr>
      <w:r>
        <w:rPr>
          <w:b/>
          <w:bCs/>
        </w:rPr>
        <w:t xml:space="preserve">            </w:t>
      </w:r>
      <w:proofErr w:type="gramStart"/>
      <w:r>
        <w:rPr>
          <w:bCs/>
          <w:i w:val="0"/>
        </w:rPr>
        <w:t>None.</w:t>
      </w:r>
      <w:proofErr w:type="gramEnd"/>
    </w:p>
    <w:p w:rsidR="00E22CB0" w:rsidRDefault="00E22CB0"/>
    <w:p w:rsidR="00E22CB0" w:rsidRDefault="00001894">
      <w:pPr>
        <w:pStyle w:val="BodyText"/>
        <w:rPr>
          <w:b/>
          <w:bCs/>
        </w:rPr>
      </w:pPr>
      <w:r>
        <w:rPr>
          <w:b/>
          <w:bCs/>
        </w:rPr>
        <w:t>15.  Change in burden:</w:t>
      </w:r>
    </w:p>
    <w:p w:rsidR="00E22CB0" w:rsidRDefault="00E22CB0"/>
    <w:p w:rsidR="00E22CB0" w:rsidRDefault="00001894">
      <w:r>
        <w:tab/>
        <w:t xml:space="preserve">The increase in burden is </w:t>
      </w:r>
      <w:proofErr w:type="gramStart"/>
      <w:r>
        <w:t>due to the fact that</w:t>
      </w:r>
      <w:proofErr w:type="gramEnd"/>
      <w:r>
        <w:t xml:space="preserve"> this is a new collection.</w:t>
      </w:r>
    </w:p>
    <w:p w:rsidR="00E22CB0" w:rsidRDefault="00E22CB0"/>
    <w:p w:rsidR="00E22CB0" w:rsidRDefault="00001894">
      <w:pPr>
        <w:pStyle w:val="BodyText"/>
        <w:rPr>
          <w:b/>
          <w:bCs/>
        </w:rPr>
      </w:pPr>
      <w:r>
        <w:rPr>
          <w:b/>
          <w:bCs/>
        </w:rPr>
        <w:t xml:space="preserve">16.  Information regarding collections whose results are to </w:t>
      </w:r>
      <w:proofErr w:type="gramStart"/>
      <w:r>
        <w:rPr>
          <w:b/>
          <w:bCs/>
        </w:rPr>
        <w:t>be published</w:t>
      </w:r>
      <w:proofErr w:type="gramEnd"/>
      <w:r>
        <w:rPr>
          <w:b/>
          <w:bCs/>
        </w:rPr>
        <w:t xml:space="preserve"> for statistical use:</w:t>
      </w:r>
    </w:p>
    <w:p w:rsidR="00E22CB0" w:rsidRDefault="00E22CB0"/>
    <w:p w:rsidR="00E22CB0" w:rsidRDefault="00001894">
      <w:r>
        <w:tab/>
      </w:r>
      <w:proofErr w:type="gramStart"/>
      <w:r>
        <w:t>Not applicable.</w:t>
      </w:r>
      <w:proofErr w:type="gramEnd"/>
    </w:p>
    <w:p w:rsidR="00E22CB0" w:rsidRDefault="00E22CB0"/>
    <w:p w:rsidR="00E22CB0" w:rsidRDefault="00001894">
      <w:pPr>
        <w:pStyle w:val="BodyText"/>
        <w:rPr>
          <w:b/>
          <w:bCs/>
        </w:rPr>
      </w:pPr>
      <w:r>
        <w:rPr>
          <w:b/>
          <w:bCs/>
        </w:rPr>
        <w:t>17.  Reasons for not displaying OMB approval expiration date:</w:t>
      </w:r>
    </w:p>
    <w:p w:rsidR="00E22CB0" w:rsidRDefault="00E22CB0"/>
    <w:p w:rsidR="00E22CB0" w:rsidRDefault="00001894">
      <w:r>
        <w:tab/>
      </w:r>
      <w:proofErr w:type="gramStart"/>
      <w:r>
        <w:t>Not applicable.</w:t>
      </w:r>
      <w:proofErr w:type="gramEnd"/>
    </w:p>
    <w:p w:rsidR="00E22CB0" w:rsidRDefault="00E22CB0"/>
    <w:p w:rsidR="00E22CB0" w:rsidRDefault="00001894">
      <w:pPr>
        <w:pStyle w:val="BodyText"/>
        <w:rPr>
          <w:b/>
          <w:bCs/>
        </w:rPr>
      </w:pPr>
      <w:r>
        <w:rPr>
          <w:b/>
          <w:bCs/>
        </w:rPr>
        <w:t>18.  Exceptions to the certification statement in Item 19 of OMB Form 83-I:</w:t>
      </w:r>
    </w:p>
    <w:p w:rsidR="00E22CB0" w:rsidRDefault="00E22CB0"/>
    <w:p w:rsidR="00E22CB0" w:rsidRDefault="00001894">
      <w:r>
        <w:tab/>
      </w:r>
      <w:proofErr w:type="gramStart"/>
      <w:r>
        <w:t>Not applicable.</w:t>
      </w:r>
      <w:proofErr w:type="gramEnd"/>
    </w:p>
    <w:p w:rsidR="00E22CB0" w:rsidRDefault="00001894">
      <w:pPr>
        <w:rPr>
          <w:b/>
          <w:bCs/>
        </w:rPr>
      </w:pPr>
      <w:r>
        <w:tab/>
      </w:r>
    </w:p>
    <w:p w:rsidR="00E22CB0" w:rsidRDefault="00001894">
      <w:pPr>
        <w:rPr>
          <w:b/>
          <w:bCs/>
        </w:rPr>
      </w:pPr>
      <w:proofErr w:type="gramStart"/>
      <w:r>
        <w:rPr>
          <w:b/>
          <w:bCs/>
        </w:rPr>
        <w:t>B.  Collections of Information Employing Statistical Methods.</w:t>
      </w:r>
      <w:proofErr w:type="gramEnd"/>
    </w:p>
    <w:p w:rsidR="00E22CB0" w:rsidRDefault="00E22CB0">
      <w:pPr>
        <w:rPr>
          <w:b/>
          <w:bCs/>
        </w:rPr>
      </w:pPr>
    </w:p>
    <w:p w:rsidR="00E22CB0" w:rsidRDefault="00001894">
      <w:r>
        <w:rPr>
          <w:bCs/>
        </w:rPr>
        <w:tab/>
      </w:r>
      <w:proofErr w:type="gramStart"/>
      <w:r>
        <w:rPr>
          <w:bCs/>
        </w:rPr>
        <w:t>Not applicable.</w:t>
      </w:r>
      <w:proofErr w:type="gramEnd"/>
    </w:p>
    <w:p w:rsidR="00E22CB0" w:rsidRDefault="00E22CB0"/>
    <w:p w:rsidR="00E22CB0" w:rsidRDefault="00001894">
      <w:r>
        <w:tab/>
      </w:r>
    </w:p>
    <w:sectPr w:rsidR="00E22CB0">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CB0" w:rsidRDefault="00001894">
      <w:r>
        <w:separator/>
      </w:r>
    </w:p>
  </w:endnote>
  <w:endnote w:type="continuationSeparator" w:id="0">
    <w:p w:rsidR="00E22CB0" w:rsidRDefault="0000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CB0" w:rsidRDefault="000018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2CB0" w:rsidRDefault="00E22C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CB0" w:rsidRDefault="000018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24C1">
      <w:rPr>
        <w:rStyle w:val="PageNumber"/>
        <w:noProof/>
      </w:rPr>
      <w:t>2</w:t>
    </w:r>
    <w:r>
      <w:rPr>
        <w:rStyle w:val="PageNumber"/>
      </w:rPr>
      <w:fldChar w:fldCharType="end"/>
    </w:r>
  </w:p>
  <w:p w:rsidR="00E22CB0" w:rsidRDefault="00E22C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CB0" w:rsidRDefault="00001894">
      <w:r>
        <w:separator/>
      </w:r>
    </w:p>
  </w:footnote>
  <w:footnote w:type="continuationSeparator" w:id="0">
    <w:p w:rsidR="00E22CB0" w:rsidRDefault="00001894">
      <w:r>
        <w:continuationSeparator/>
      </w:r>
    </w:p>
  </w:footnote>
  <w:footnote w:id="1">
    <w:p w:rsidR="00E22CB0" w:rsidRDefault="00001894">
      <w:pPr>
        <w:pStyle w:val="FootnoteText"/>
      </w:pPr>
      <w:r>
        <w:rPr>
          <w:rStyle w:val="FootnoteReference"/>
        </w:rPr>
        <w:footnoteRef/>
      </w:r>
      <w:r>
        <w:t xml:space="preserve"> The proposed rule </w:t>
      </w:r>
      <w:proofErr w:type="gramStart"/>
      <w:r>
        <w:t>is being issued</w:t>
      </w:r>
      <w:proofErr w:type="gramEnd"/>
      <w:r>
        <w:t xml:space="preserve"> by the OCC, the Board of Governors of the Federal Reserve System</w:t>
      </w:r>
      <w:r w:rsidR="007E24C1">
        <w:t>,</w:t>
      </w:r>
      <w:bookmarkStart w:id="0" w:name="_GoBack"/>
      <w:bookmarkEnd w:id="0"/>
      <w:r>
        <w:t xml:space="preserve"> and the Federal Deposit Insurance Corporation.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6"/>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6"/>
  </w:num>
  <w:num w:numId="15">
    <w:abstractNumId w:val="6"/>
  </w:num>
  <w:num w:numId="16">
    <w:abstractNumId w:val="6"/>
  </w:num>
  <w:num w:numId="17">
    <w:abstractNumId w:val="0"/>
  </w:num>
  <w:num w:numId="18">
    <w:abstractNumId w:val="4"/>
  </w:num>
  <w:num w:numId="19">
    <w:abstractNumId w:val="5"/>
  </w:num>
  <w:num w:numId="20">
    <w:abstractNumId w:val="10"/>
  </w:num>
  <w:num w:numId="21">
    <w:abstractNumId w:val="2"/>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B0"/>
    <w:rsid w:val="00001894"/>
    <w:rsid w:val="0004027D"/>
    <w:rsid w:val="00115089"/>
    <w:rsid w:val="005F3CC2"/>
    <w:rsid w:val="006942F9"/>
    <w:rsid w:val="007E24C1"/>
    <w:rsid w:val="00AD35C6"/>
    <w:rsid w:val="00CB011A"/>
    <w:rsid w:val="00D9419D"/>
    <w:rsid w:val="00E2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CommentText">
    <w:name w:val="annotation text"/>
    <w:basedOn w:val="Normal"/>
    <w:link w:val="CommentTextChar"/>
    <w:uiPriority w:val="99"/>
    <w:unhideWhenUsed/>
    <w:pPr>
      <w:spacing w:line="480" w:lineRule="auto"/>
    </w:pPr>
    <w:rPr>
      <w:sz w:val="20"/>
    </w:rPr>
  </w:style>
  <w:style w:type="character" w:customStyle="1" w:styleId="CommentTextChar">
    <w:name w:val="Comment Text Char"/>
    <w:basedOn w:val="DefaultParagraphFont"/>
    <w:link w:val="CommentText"/>
    <w:uiPriority w:val="99"/>
  </w:style>
  <w:style w:type="character" w:styleId="CommentReference">
    <w:name w:val="annotation reference"/>
    <w:uiPriority w:val="99"/>
    <w:unhideWhenUsed/>
    <w:rPr>
      <w:sz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pPr>
      <w:spacing w:line="240" w:lineRule="auto"/>
    </w:pPr>
    <w:rPr>
      <w:b/>
      <w:bCs/>
    </w:rPr>
  </w:style>
  <w:style w:type="character" w:customStyle="1" w:styleId="CommentSubjectChar">
    <w:name w:val="Comment Subject Char"/>
    <w:basedOn w:val="CommentTextChar"/>
    <w:link w:val="CommentSubjec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CommentText">
    <w:name w:val="annotation text"/>
    <w:basedOn w:val="Normal"/>
    <w:link w:val="CommentTextChar"/>
    <w:uiPriority w:val="99"/>
    <w:unhideWhenUsed/>
    <w:pPr>
      <w:spacing w:line="480" w:lineRule="auto"/>
    </w:pPr>
    <w:rPr>
      <w:sz w:val="20"/>
    </w:rPr>
  </w:style>
  <w:style w:type="character" w:customStyle="1" w:styleId="CommentTextChar">
    <w:name w:val="Comment Text Char"/>
    <w:basedOn w:val="DefaultParagraphFont"/>
    <w:link w:val="CommentText"/>
    <w:uiPriority w:val="99"/>
  </w:style>
  <w:style w:type="character" w:styleId="CommentReference">
    <w:name w:val="annotation reference"/>
    <w:uiPriority w:val="99"/>
    <w:unhideWhenUsed/>
    <w:rPr>
      <w:sz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pPr>
      <w:spacing w:line="240" w:lineRule="auto"/>
    </w:pPr>
    <w:rPr>
      <w:b/>
      <w:bCs/>
    </w:rPr>
  </w:style>
  <w:style w:type="character" w:customStyle="1" w:styleId="CommentSubjectChar">
    <w:name w:val="Comment Subject Char"/>
    <w:basedOn w:val="CommentTextChar"/>
    <w:link w:val="CommentSubjec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85263">
      <w:bodyDiv w:val="1"/>
      <w:marLeft w:val="0"/>
      <w:marRight w:val="0"/>
      <w:marTop w:val="0"/>
      <w:marBottom w:val="0"/>
      <w:divBdr>
        <w:top w:val="none" w:sz="0" w:space="0" w:color="auto"/>
        <w:left w:val="none" w:sz="0" w:space="0" w:color="auto"/>
        <w:bottom w:val="none" w:sz="0" w:space="0" w:color="auto"/>
        <w:right w:val="none" w:sz="0" w:space="0" w:color="auto"/>
      </w:divBdr>
    </w:div>
    <w:div w:id="568534874">
      <w:bodyDiv w:val="1"/>
      <w:marLeft w:val="0"/>
      <w:marRight w:val="0"/>
      <w:marTop w:val="0"/>
      <w:marBottom w:val="0"/>
      <w:divBdr>
        <w:top w:val="none" w:sz="0" w:space="0" w:color="auto"/>
        <w:left w:val="none" w:sz="0" w:space="0" w:color="auto"/>
        <w:bottom w:val="none" w:sz="0" w:space="0" w:color="auto"/>
        <w:right w:val="none" w:sz="0" w:space="0" w:color="auto"/>
      </w:divBdr>
    </w:div>
    <w:div w:id="7833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D81AE-B952-4A8F-A80E-A1D8399F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788</Words>
  <Characters>4710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mary.gottlieb</cp:lastModifiedBy>
  <cp:revision>5</cp:revision>
  <cp:lastPrinted>2002-12-20T20:57:00Z</cp:lastPrinted>
  <dcterms:created xsi:type="dcterms:W3CDTF">2016-04-12T16:51:00Z</dcterms:created>
  <dcterms:modified xsi:type="dcterms:W3CDTF">2016-04-13T15:06:00Z</dcterms:modified>
</cp:coreProperties>
</file>