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D04" w:rsidRPr="00D37D04" w:rsidRDefault="00D37D04" w:rsidP="00D37D04">
      <w:pPr>
        <w:spacing w:before="200" w:after="100" w:line="240" w:lineRule="auto"/>
        <w:outlineLvl w:val="1"/>
        <w:rPr>
          <w:rFonts w:ascii="Arial" w:eastAsia="Times New Roman" w:hAnsi="Arial" w:cs="Arial"/>
          <w:b/>
          <w:bCs/>
          <w:sz w:val="20"/>
          <w:szCs w:val="20"/>
        </w:rPr>
      </w:pPr>
      <w:bookmarkStart w:id="0" w:name="_GoBack"/>
      <w:bookmarkEnd w:id="0"/>
      <w:r w:rsidRPr="00D37D04">
        <w:rPr>
          <w:rFonts w:ascii="Arial" w:eastAsia="Times New Roman" w:hAnsi="Arial" w:cs="Arial"/>
          <w:b/>
          <w:bCs/>
          <w:sz w:val="20"/>
          <w:szCs w:val="20"/>
        </w:rPr>
        <w:t>§10.909   How does an employee designate a variation in the order or percentage of gratuity payable to survivors and how does the employee designate alternate beneficiaries?</w:t>
      </w:r>
    </w:p>
    <w:p w:rsidR="00D37D04" w:rsidRPr="00D37D04" w:rsidRDefault="00D37D04" w:rsidP="00D37D04">
      <w:pPr>
        <w:spacing w:before="100" w:beforeAutospacing="1" w:after="100" w:afterAutospacing="1" w:line="240" w:lineRule="auto"/>
        <w:ind w:firstLine="480"/>
        <w:rPr>
          <w:rFonts w:ascii="Arial" w:eastAsia="Times New Roman" w:hAnsi="Arial" w:cs="Arial"/>
          <w:sz w:val="20"/>
          <w:szCs w:val="20"/>
        </w:rPr>
      </w:pPr>
      <w:r w:rsidRPr="00D37D04">
        <w:rPr>
          <w:rFonts w:ascii="Arial" w:eastAsia="Times New Roman" w:hAnsi="Arial" w:cs="Arial"/>
          <w:sz w:val="20"/>
          <w:szCs w:val="20"/>
        </w:rPr>
        <w:t>(a) Form CA-40 must be used to make a variation in the order or percentages of survivors under §10.907 and/or to make an alternate beneficiary designation under §10.908. A designation may be made at any time before the employee's death, regardless of the time of injury. The form will not be valid unless it is signed by the employee and received and signed prior to the death of</w:t>
      </w:r>
      <w:r>
        <w:rPr>
          <w:rFonts w:ascii="Arial" w:eastAsia="Times New Roman" w:hAnsi="Arial" w:cs="Arial"/>
          <w:sz w:val="20"/>
          <w:szCs w:val="20"/>
        </w:rPr>
        <w:t xml:space="preserve"> the employee by the supervisor    i</w:t>
      </w:r>
      <w:r w:rsidRPr="00D37D04">
        <w:rPr>
          <w:rFonts w:ascii="Arial" w:eastAsia="Times New Roman" w:hAnsi="Arial" w:cs="Arial"/>
          <w:sz w:val="20"/>
          <w:szCs w:val="20"/>
        </w:rPr>
        <w:t>f the employee or by another official of the employing agency authorized to do so.</w:t>
      </w:r>
    </w:p>
    <w:p w:rsidR="00D37D04" w:rsidRPr="00D37D04" w:rsidRDefault="00D37D04" w:rsidP="00D37D04">
      <w:pPr>
        <w:spacing w:before="100" w:beforeAutospacing="1" w:after="100" w:afterAutospacing="1" w:line="240" w:lineRule="auto"/>
        <w:ind w:firstLine="480"/>
        <w:rPr>
          <w:rFonts w:ascii="Arial" w:eastAsia="Times New Roman" w:hAnsi="Arial" w:cs="Arial"/>
          <w:sz w:val="20"/>
          <w:szCs w:val="20"/>
        </w:rPr>
      </w:pPr>
      <w:r w:rsidRPr="00D37D04">
        <w:rPr>
          <w:rFonts w:ascii="Arial" w:eastAsia="Times New Roman" w:hAnsi="Arial" w:cs="Arial"/>
          <w:sz w:val="20"/>
          <w:szCs w:val="20"/>
        </w:rPr>
        <w:t>(b) Alternatively, any paper executed prior to the effective date of this regulation that specifies an alternate beneficiary of the death gratuity payment will serve as a valid designation if it is in writing, completed before the employee's death, signed by the employee, and signed prior to the death of the employee by the supervisor of the employee or by another official of the employing agency authorized to do so.</w:t>
      </w:r>
    </w:p>
    <w:p w:rsidR="00D37D04" w:rsidRPr="00D37D04" w:rsidRDefault="00D37D04" w:rsidP="00D37D04">
      <w:pPr>
        <w:spacing w:before="100" w:beforeAutospacing="1" w:after="100" w:afterAutospacing="1" w:line="240" w:lineRule="auto"/>
        <w:ind w:firstLine="480"/>
        <w:rPr>
          <w:rFonts w:ascii="Arial" w:eastAsia="Times New Roman" w:hAnsi="Arial" w:cs="Arial"/>
          <w:sz w:val="20"/>
          <w:szCs w:val="20"/>
        </w:rPr>
      </w:pPr>
      <w:r w:rsidRPr="00D37D04">
        <w:rPr>
          <w:rFonts w:ascii="Arial" w:eastAsia="Times New Roman" w:hAnsi="Arial" w:cs="Arial"/>
          <w:sz w:val="20"/>
          <w:szCs w:val="20"/>
        </w:rPr>
        <w:t>(c) If an employee makes a survivor designation under §10.907(c), but does not designate the portions to be received by each designated survivor, the death gratuity will be disbursed to the survivors in equal shares.</w:t>
      </w:r>
    </w:p>
    <w:p w:rsidR="00D37D04" w:rsidRPr="00D37D04" w:rsidRDefault="00D37D04" w:rsidP="00D37D04">
      <w:pPr>
        <w:spacing w:before="100" w:beforeAutospacing="1" w:after="100" w:afterAutospacing="1" w:line="240" w:lineRule="auto"/>
        <w:ind w:firstLine="480"/>
        <w:rPr>
          <w:rFonts w:ascii="Arial" w:eastAsia="Times New Roman" w:hAnsi="Arial" w:cs="Arial"/>
          <w:sz w:val="20"/>
          <w:szCs w:val="20"/>
        </w:rPr>
      </w:pPr>
      <w:r w:rsidRPr="00D37D04">
        <w:rPr>
          <w:rFonts w:ascii="Arial" w:eastAsia="Times New Roman" w:hAnsi="Arial" w:cs="Arial"/>
          <w:sz w:val="20"/>
          <w:szCs w:val="20"/>
        </w:rPr>
        <w:t>(d) An alternate beneficiary designation made under §10.908 must indicate the percentage of the death gratuity, in 10 percent increments up to the maximum of 50 percent, that the designated person(s) will receive. No more than five alternate beneficiaries may be designated. If the designation fails to indicate the percentage to be paid to an alternate beneficiary, the designation to that person will be invalid.</w:t>
      </w:r>
    </w:p>
    <w:p w:rsidR="00D37D04" w:rsidRPr="00D37D04" w:rsidRDefault="00D37D04" w:rsidP="00D37D04">
      <w:pPr>
        <w:spacing w:before="200" w:after="100" w:line="240" w:lineRule="auto"/>
        <w:outlineLvl w:val="1"/>
        <w:rPr>
          <w:rFonts w:ascii="Arial" w:eastAsia="Times New Roman" w:hAnsi="Arial" w:cs="Arial"/>
          <w:b/>
          <w:bCs/>
          <w:sz w:val="20"/>
          <w:szCs w:val="20"/>
        </w:rPr>
      </w:pPr>
      <w:r w:rsidRPr="00D37D04">
        <w:rPr>
          <w:rFonts w:ascii="Arial" w:eastAsia="Times New Roman" w:hAnsi="Arial" w:cs="Arial"/>
          <w:b/>
          <w:bCs/>
          <w:sz w:val="20"/>
          <w:szCs w:val="20"/>
        </w:rPr>
        <w:t>§10.911   </w:t>
      </w:r>
      <w:proofErr w:type="gramStart"/>
      <w:r w:rsidRPr="00D37D04">
        <w:rPr>
          <w:rFonts w:ascii="Arial" w:eastAsia="Times New Roman" w:hAnsi="Arial" w:cs="Arial"/>
          <w:b/>
          <w:bCs/>
          <w:sz w:val="20"/>
          <w:szCs w:val="20"/>
        </w:rPr>
        <w:t>How</w:t>
      </w:r>
      <w:proofErr w:type="gramEnd"/>
      <w:r w:rsidRPr="00D37D04">
        <w:rPr>
          <w:rFonts w:ascii="Arial" w:eastAsia="Times New Roman" w:hAnsi="Arial" w:cs="Arial"/>
          <w:b/>
          <w:bCs/>
          <w:sz w:val="20"/>
          <w:szCs w:val="20"/>
        </w:rPr>
        <w:t xml:space="preserve"> is the death gratuity payment process initiated?</w:t>
      </w:r>
    </w:p>
    <w:p w:rsidR="00D37D04" w:rsidRPr="00D37D04" w:rsidRDefault="00D37D04" w:rsidP="00D37D04">
      <w:pPr>
        <w:spacing w:before="100" w:beforeAutospacing="1" w:after="100" w:afterAutospacing="1" w:line="240" w:lineRule="auto"/>
        <w:ind w:firstLine="480"/>
        <w:rPr>
          <w:rFonts w:ascii="Arial" w:eastAsia="Times New Roman" w:hAnsi="Arial" w:cs="Arial"/>
          <w:sz w:val="20"/>
          <w:szCs w:val="20"/>
        </w:rPr>
      </w:pPr>
      <w:r w:rsidRPr="00D37D04">
        <w:rPr>
          <w:rFonts w:ascii="Arial" w:eastAsia="Times New Roman" w:hAnsi="Arial" w:cs="Arial"/>
          <w:sz w:val="20"/>
          <w:szCs w:val="20"/>
        </w:rPr>
        <w:t>(a) Either the employing agency or a living claimant (survivor or alternate beneficiary) may initiate the death gratuity payment process. If the death gratuity payment process is initiated by the employing agency notifying OWCP of the employee's death, each claimant must file a claim with OWCP in order to receive payment of the death gratuity. The legal representative or guardian of any minor child may file on the child's behalf. Alternatively, if a claimant initiates the death gratuity payment process by filing a claim, the employing agency must complete a death notification form and submit it to OWCP. Other claimants must also file a claim for their portion of the death gratuity.</w:t>
      </w:r>
    </w:p>
    <w:p w:rsidR="00D37D04" w:rsidRPr="00D37D04" w:rsidRDefault="00D37D04" w:rsidP="00D37D04">
      <w:pPr>
        <w:spacing w:before="100" w:beforeAutospacing="1" w:after="100" w:afterAutospacing="1" w:line="240" w:lineRule="auto"/>
        <w:ind w:firstLine="480"/>
        <w:rPr>
          <w:rFonts w:ascii="Arial" w:eastAsia="Times New Roman" w:hAnsi="Arial" w:cs="Arial"/>
          <w:sz w:val="20"/>
          <w:szCs w:val="20"/>
        </w:rPr>
      </w:pPr>
      <w:r w:rsidRPr="00D37D04">
        <w:rPr>
          <w:rFonts w:ascii="Arial" w:eastAsia="Times New Roman" w:hAnsi="Arial" w:cs="Arial"/>
          <w:sz w:val="20"/>
          <w:szCs w:val="20"/>
        </w:rPr>
        <w:t>(b) The employing agency must notify OWCP immediately upon learning of an employee's death that may be eligible for benefits under this subpart, by submitting form CA-42 to OWCP. The agency must also submit to OWCP any designation forms completed by the employee, and the agency must provide as much information as possible about any living survivors or alternate beneficiaries of which the agency is aware.</w:t>
      </w:r>
    </w:p>
    <w:p w:rsidR="00D37D04" w:rsidRPr="00D37D04" w:rsidRDefault="00D37D04" w:rsidP="00D37D04">
      <w:pPr>
        <w:spacing w:before="100" w:beforeAutospacing="1" w:after="100" w:afterAutospacing="1" w:line="240" w:lineRule="auto"/>
        <w:ind w:firstLine="480"/>
        <w:rPr>
          <w:rFonts w:ascii="Arial" w:eastAsia="Times New Roman" w:hAnsi="Arial" w:cs="Arial"/>
          <w:sz w:val="20"/>
          <w:szCs w:val="20"/>
        </w:rPr>
      </w:pPr>
      <w:r w:rsidRPr="00D37D04">
        <w:rPr>
          <w:rFonts w:ascii="Arial" w:eastAsia="Times New Roman" w:hAnsi="Arial" w:cs="Arial"/>
          <w:sz w:val="20"/>
          <w:szCs w:val="20"/>
        </w:rPr>
        <w:t xml:space="preserve">(1) OWCP will then contact any living survivor(s) or alternate </w:t>
      </w:r>
      <w:proofErr w:type="gramStart"/>
      <w:r w:rsidRPr="00D37D04">
        <w:rPr>
          <w:rFonts w:ascii="Arial" w:eastAsia="Times New Roman" w:hAnsi="Arial" w:cs="Arial"/>
          <w:sz w:val="20"/>
          <w:szCs w:val="20"/>
        </w:rPr>
        <w:t>beneficiary(</w:t>
      </w:r>
      <w:proofErr w:type="spellStart"/>
      <w:proofErr w:type="gramEnd"/>
      <w:r w:rsidRPr="00D37D04">
        <w:rPr>
          <w:rFonts w:ascii="Arial" w:eastAsia="Times New Roman" w:hAnsi="Arial" w:cs="Arial"/>
          <w:sz w:val="20"/>
          <w:szCs w:val="20"/>
        </w:rPr>
        <w:t>ies</w:t>
      </w:r>
      <w:proofErr w:type="spellEnd"/>
      <w:r w:rsidRPr="00D37D04">
        <w:rPr>
          <w:rFonts w:ascii="Arial" w:eastAsia="Times New Roman" w:hAnsi="Arial" w:cs="Arial"/>
          <w:sz w:val="20"/>
          <w:szCs w:val="20"/>
        </w:rPr>
        <w:t>) it is able to identify.</w:t>
      </w:r>
    </w:p>
    <w:p w:rsidR="00D37D04" w:rsidRPr="00D37D04" w:rsidRDefault="00D37D04" w:rsidP="00D37D04">
      <w:pPr>
        <w:spacing w:before="100" w:beforeAutospacing="1" w:after="100" w:afterAutospacing="1" w:line="240" w:lineRule="auto"/>
        <w:ind w:firstLine="480"/>
        <w:rPr>
          <w:rFonts w:ascii="Arial" w:eastAsia="Times New Roman" w:hAnsi="Arial" w:cs="Arial"/>
          <w:sz w:val="20"/>
          <w:szCs w:val="20"/>
        </w:rPr>
      </w:pPr>
      <w:r w:rsidRPr="00D37D04">
        <w:rPr>
          <w:rFonts w:ascii="Arial" w:eastAsia="Times New Roman" w:hAnsi="Arial" w:cs="Arial"/>
          <w:sz w:val="20"/>
          <w:szCs w:val="20"/>
        </w:rPr>
        <w:t xml:space="preserve">(2) OWCP will furnish claim form CA-41 to any identified survivor(s) or alternate </w:t>
      </w:r>
      <w:proofErr w:type="gramStart"/>
      <w:r w:rsidRPr="00D37D04">
        <w:rPr>
          <w:rFonts w:ascii="Arial" w:eastAsia="Times New Roman" w:hAnsi="Arial" w:cs="Arial"/>
          <w:sz w:val="20"/>
          <w:szCs w:val="20"/>
        </w:rPr>
        <w:t>beneficiary(</w:t>
      </w:r>
      <w:proofErr w:type="spellStart"/>
      <w:proofErr w:type="gramEnd"/>
      <w:r w:rsidRPr="00D37D04">
        <w:rPr>
          <w:rFonts w:ascii="Arial" w:eastAsia="Times New Roman" w:hAnsi="Arial" w:cs="Arial"/>
          <w:sz w:val="20"/>
          <w:szCs w:val="20"/>
        </w:rPr>
        <w:t>ies</w:t>
      </w:r>
      <w:proofErr w:type="spellEnd"/>
      <w:r w:rsidRPr="00D37D04">
        <w:rPr>
          <w:rFonts w:ascii="Arial" w:eastAsia="Times New Roman" w:hAnsi="Arial" w:cs="Arial"/>
          <w:sz w:val="20"/>
          <w:szCs w:val="20"/>
        </w:rPr>
        <w:t>) and OWCP will provide information to them explaining how to file a claim for the death gratuity.</w:t>
      </w:r>
    </w:p>
    <w:p w:rsidR="00D37D04" w:rsidRPr="00D37D04" w:rsidRDefault="00D37D04" w:rsidP="00D37D04">
      <w:pPr>
        <w:spacing w:before="100" w:beforeAutospacing="1" w:after="100" w:afterAutospacing="1" w:line="240" w:lineRule="auto"/>
        <w:ind w:firstLine="480"/>
        <w:rPr>
          <w:rFonts w:ascii="Arial" w:eastAsia="Times New Roman" w:hAnsi="Arial" w:cs="Arial"/>
          <w:sz w:val="20"/>
          <w:szCs w:val="20"/>
        </w:rPr>
      </w:pPr>
      <w:r w:rsidRPr="00D37D04">
        <w:rPr>
          <w:rFonts w:ascii="Arial" w:eastAsia="Times New Roman" w:hAnsi="Arial" w:cs="Arial"/>
          <w:sz w:val="20"/>
          <w:szCs w:val="20"/>
        </w:rPr>
        <w:t xml:space="preserve">(c) Alternatively, any claimant may file a claim for death gratuity benefits with OWCP. Form CA-41 may be used for this purpose. The claimant will be required to provide any information that he or she has regarding any other beneficiaries who may be entitled to the death gratuity payment. The claimant must disclose, in addition to the Social Security number (SSN) of the deceased employee, the SSNs (if known) and all known contact information of all other possible claimants who may be eligible to receive the death gratuity payment. The claimant must also identify, if known, the agency that employed the deceased employee when he or she incurred the injury that caused his or her death. OWCP will then contact the </w:t>
      </w:r>
      <w:r w:rsidRPr="00D37D04">
        <w:rPr>
          <w:rFonts w:ascii="Arial" w:eastAsia="Times New Roman" w:hAnsi="Arial" w:cs="Arial"/>
          <w:sz w:val="20"/>
          <w:szCs w:val="20"/>
        </w:rPr>
        <w:lastRenderedPageBreak/>
        <w:t xml:space="preserve">employing agency and notify the agency that it must complete and submit form CA-42 for the employee. OWCP will also contact any other living survivor(s) or alternate </w:t>
      </w:r>
      <w:proofErr w:type="gramStart"/>
      <w:r w:rsidRPr="00D37D04">
        <w:rPr>
          <w:rFonts w:ascii="Arial" w:eastAsia="Times New Roman" w:hAnsi="Arial" w:cs="Arial"/>
          <w:sz w:val="20"/>
          <w:szCs w:val="20"/>
        </w:rPr>
        <w:t>beneficiary(</w:t>
      </w:r>
      <w:proofErr w:type="spellStart"/>
      <w:proofErr w:type="gramEnd"/>
      <w:r w:rsidRPr="00D37D04">
        <w:rPr>
          <w:rFonts w:ascii="Arial" w:eastAsia="Times New Roman" w:hAnsi="Arial" w:cs="Arial"/>
          <w:sz w:val="20"/>
          <w:szCs w:val="20"/>
        </w:rPr>
        <w:t>ies</w:t>
      </w:r>
      <w:proofErr w:type="spellEnd"/>
      <w:r w:rsidRPr="00D37D04">
        <w:rPr>
          <w:rFonts w:ascii="Arial" w:eastAsia="Times New Roman" w:hAnsi="Arial" w:cs="Arial"/>
          <w:sz w:val="20"/>
          <w:szCs w:val="20"/>
        </w:rPr>
        <w:t>) it is able to identify, furnish to them claim form CA-41, and provide information explaining how to file a claim for the death gratuity.</w:t>
      </w:r>
    </w:p>
    <w:p w:rsidR="00D37D04" w:rsidRPr="00D37D04" w:rsidRDefault="00D37D04" w:rsidP="00D37D04">
      <w:pPr>
        <w:spacing w:before="100" w:beforeAutospacing="1" w:after="100" w:afterAutospacing="1" w:line="240" w:lineRule="auto"/>
        <w:ind w:firstLine="480"/>
        <w:rPr>
          <w:rFonts w:ascii="Arial" w:eastAsia="Times New Roman" w:hAnsi="Arial" w:cs="Arial"/>
          <w:sz w:val="20"/>
          <w:szCs w:val="20"/>
        </w:rPr>
      </w:pPr>
      <w:r w:rsidRPr="00D37D04">
        <w:rPr>
          <w:rFonts w:ascii="Arial" w:eastAsia="Times New Roman" w:hAnsi="Arial" w:cs="Arial"/>
          <w:sz w:val="20"/>
          <w:szCs w:val="20"/>
        </w:rPr>
        <w:t>(d) If a claimant submits a claim for the death gratuity to an employing agency, the agency must promptly transmit the claim to OWCP. This includes both claim forms CA-41 and any other claim or paper submitted which appears to claim compensation on account of the employee's death.</w:t>
      </w:r>
    </w:p>
    <w:p w:rsidR="002E7B67" w:rsidRDefault="00006A01" w:rsidP="00D37D04"/>
    <w:sectPr w:rsidR="002E7B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5C87"/>
    <w:rsid w:val="00006A01"/>
    <w:rsid w:val="001D5C87"/>
    <w:rsid w:val="00A1462D"/>
    <w:rsid w:val="00D37D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7D0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7D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233918">
      <w:bodyDiv w:val="1"/>
      <w:marLeft w:val="0"/>
      <w:marRight w:val="0"/>
      <w:marTop w:val="30"/>
      <w:marBottom w:val="750"/>
      <w:divBdr>
        <w:top w:val="none" w:sz="0" w:space="0" w:color="auto"/>
        <w:left w:val="none" w:sz="0" w:space="0" w:color="auto"/>
        <w:bottom w:val="none" w:sz="0" w:space="0" w:color="auto"/>
        <w:right w:val="none" w:sz="0" w:space="0" w:color="auto"/>
      </w:divBdr>
      <w:divsChild>
        <w:div w:id="502281146">
          <w:marLeft w:val="0"/>
          <w:marRight w:val="0"/>
          <w:marTop w:val="0"/>
          <w:marBottom w:val="0"/>
          <w:divBdr>
            <w:top w:val="none" w:sz="0" w:space="0" w:color="auto"/>
            <w:left w:val="none" w:sz="0" w:space="0" w:color="auto"/>
            <w:bottom w:val="none" w:sz="0" w:space="0" w:color="auto"/>
            <w:right w:val="none" w:sz="0" w:space="0" w:color="auto"/>
          </w:divBdr>
        </w:div>
      </w:divsChild>
    </w:div>
    <w:div w:id="1137801891">
      <w:bodyDiv w:val="1"/>
      <w:marLeft w:val="0"/>
      <w:marRight w:val="0"/>
      <w:marTop w:val="30"/>
      <w:marBottom w:val="750"/>
      <w:divBdr>
        <w:top w:val="none" w:sz="0" w:space="0" w:color="auto"/>
        <w:left w:val="none" w:sz="0" w:space="0" w:color="auto"/>
        <w:bottom w:val="none" w:sz="0" w:space="0" w:color="auto"/>
        <w:right w:val="none" w:sz="0" w:space="0" w:color="auto"/>
      </w:divBdr>
      <w:divsChild>
        <w:div w:id="15951672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672</Words>
  <Characters>3837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4501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Sharpless, Marcus J - OWCP</dc:creator>
  <cp:lastModifiedBy>Sharpless, Marcus J - OWCP</cp:lastModifiedBy>
  <cp:revision>2</cp:revision>
  <dcterms:created xsi:type="dcterms:W3CDTF">2016-08-10T13:42:00Z</dcterms:created>
  <dcterms:modified xsi:type="dcterms:W3CDTF">2016-08-10T13:42:00Z</dcterms:modified>
</cp:coreProperties>
</file>