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70F" w:rsidRPr="00235B48" w:rsidRDefault="00F3670F" w:rsidP="006E2ADB">
      <w:pPr>
        <w:widowControl/>
        <w:outlineLvl w:val="0"/>
        <w:rPr>
          <w:rFonts w:ascii="Times New Roman" w:hAnsi="Times New Roman"/>
        </w:rPr>
      </w:pPr>
      <w:bookmarkStart w:id="0" w:name="_GoBack"/>
      <w:bookmarkEnd w:id="0"/>
      <w:r w:rsidRPr="00235B48">
        <w:rPr>
          <w:rFonts w:ascii="Times New Roman" w:hAnsi="Times New Roman"/>
        </w:rPr>
        <w:t xml:space="preserve">SUPPORTING STATEMENT FOR PAPERWORK REDUCTION ACT </w:t>
      </w:r>
      <w:r w:rsidR="008172C5">
        <w:rPr>
          <w:rFonts w:ascii="Times New Roman" w:hAnsi="Times New Roman"/>
        </w:rPr>
        <w:t xml:space="preserve">OF </w:t>
      </w:r>
      <w:r w:rsidRPr="00235B48">
        <w:rPr>
          <w:rFonts w:ascii="Times New Roman" w:hAnsi="Times New Roman"/>
        </w:rPr>
        <w:t>1995 SUBMISSIONS</w:t>
      </w:r>
    </w:p>
    <w:p w:rsidR="00747797" w:rsidRPr="00235B48" w:rsidRDefault="00747797" w:rsidP="006E2ADB">
      <w:pPr>
        <w:widowControl/>
        <w:rPr>
          <w:rFonts w:ascii="Times New Roman" w:hAnsi="Times New Roman"/>
        </w:rPr>
      </w:pPr>
    </w:p>
    <w:p w:rsidR="00F3670F" w:rsidRPr="00235B48" w:rsidRDefault="00F3670F" w:rsidP="006E2ADB">
      <w:pPr>
        <w:widowControl/>
        <w:outlineLvl w:val="0"/>
        <w:rPr>
          <w:rFonts w:ascii="Times New Roman" w:hAnsi="Times New Roman"/>
        </w:rPr>
      </w:pPr>
      <w:r w:rsidRPr="00235B48">
        <w:rPr>
          <w:rFonts w:ascii="Times New Roman" w:hAnsi="Times New Roman"/>
          <w:b/>
          <w:bCs/>
        </w:rPr>
        <w:t>A.  Justification</w:t>
      </w:r>
    </w:p>
    <w:p w:rsidR="00F3670F" w:rsidRPr="00235B48" w:rsidRDefault="00F3670F" w:rsidP="006E2ADB">
      <w:pPr>
        <w:widowControl/>
        <w:rPr>
          <w:rFonts w:ascii="Times New Roman" w:hAnsi="Times New Roman"/>
        </w:rPr>
      </w:pPr>
    </w:p>
    <w:p w:rsidR="00F3670F" w:rsidRPr="00235B48" w:rsidRDefault="00F3670F" w:rsidP="006E2ADB">
      <w:pPr>
        <w:pStyle w:val="Quick1"/>
        <w:widowControl/>
        <w:numPr>
          <w:ilvl w:val="0"/>
          <w:numId w:val="1"/>
        </w:numPr>
        <w:tabs>
          <w:tab w:val="left" w:pos="-1440"/>
          <w:tab w:val="num" w:pos="720"/>
        </w:tabs>
        <w:rPr>
          <w:rFonts w:ascii="Times New Roman" w:hAnsi="Times New Roman"/>
        </w:rPr>
      </w:pPr>
      <w:r w:rsidRPr="00235B48">
        <w:rPr>
          <w:rFonts w:ascii="Times New Roman" w:hAnsi="Times New Roman"/>
          <w:i/>
          <w:iCs/>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50B19" w:rsidRPr="00F50B19" w:rsidRDefault="00F50B19" w:rsidP="006E2ADB">
      <w:pPr>
        <w:widowControl/>
        <w:ind w:left="720"/>
        <w:rPr>
          <w:rFonts w:ascii="Times New Roman" w:hAnsi="Times New Roman"/>
        </w:rPr>
      </w:pPr>
    </w:p>
    <w:p w:rsidR="00135D3F" w:rsidRPr="0034640D" w:rsidRDefault="00135D3F" w:rsidP="006E2ADB">
      <w:pPr>
        <w:widowControl/>
        <w:ind w:left="720"/>
        <w:rPr>
          <w:rFonts w:ascii="Times New Roman" w:hAnsi="Times New Roman"/>
        </w:rPr>
      </w:pPr>
      <w:r w:rsidRPr="0034640D">
        <w:rPr>
          <w:rFonts w:ascii="Times New Roman" w:hAnsi="Times New Roman"/>
        </w:rPr>
        <w:t xml:space="preserve">The Department is </w:t>
      </w:r>
      <w:r w:rsidR="005374C1">
        <w:rPr>
          <w:rFonts w:ascii="Times New Roman" w:hAnsi="Times New Roman"/>
        </w:rPr>
        <w:t>finalizing</w:t>
      </w:r>
      <w:r w:rsidRPr="0034640D">
        <w:rPr>
          <w:rFonts w:ascii="Times New Roman" w:hAnsi="Times New Roman"/>
        </w:rPr>
        <w:t xml:space="preserve"> </w:t>
      </w:r>
      <w:r w:rsidR="004C3FC5">
        <w:rPr>
          <w:rFonts w:ascii="Times New Roman" w:hAnsi="Times New Roman"/>
        </w:rPr>
        <w:t>a</w:t>
      </w:r>
      <w:r w:rsidRPr="0034640D">
        <w:rPr>
          <w:rFonts w:ascii="Times New Roman" w:hAnsi="Times New Roman"/>
        </w:rPr>
        <w:t xml:space="preserve"> regulation under </w:t>
      </w:r>
      <w:r w:rsidR="00FD388C">
        <w:rPr>
          <w:rFonts w:ascii="Times New Roman" w:hAnsi="Times New Roman"/>
        </w:rPr>
        <w:t>Employee Retirement Income Security Act (</w:t>
      </w:r>
      <w:r w:rsidRPr="0034640D">
        <w:rPr>
          <w:rFonts w:ascii="Times New Roman" w:hAnsi="Times New Roman"/>
        </w:rPr>
        <w:t>ERISA</w:t>
      </w:r>
      <w:r w:rsidR="00FD388C">
        <w:rPr>
          <w:rFonts w:ascii="Times New Roman" w:hAnsi="Times New Roman"/>
        </w:rPr>
        <w:t>)</w:t>
      </w:r>
      <w:r w:rsidRPr="0034640D">
        <w:rPr>
          <w:rFonts w:ascii="Times New Roman" w:hAnsi="Times New Roman"/>
        </w:rPr>
        <w:t xml:space="preserve"> section 3(21</w:t>
      </w:r>
      <w:proofErr w:type="gramStart"/>
      <w:r w:rsidRPr="0034640D">
        <w:rPr>
          <w:rFonts w:ascii="Times New Roman" w:hAnsi="Times New Roman"/>
        </w:rPr>
        <w:t>)(</w:t>
      </w:r>
      <w:proofErr w:type="gramEnd"/>
      <w:r w:rsidRPr="0034640D">
        <w:rPr>
          <w:rFonts w:ascii="Times New Roman" w:hAnsi="Times New Roman"/>
        </w:rPr>
        <w:t xml:space="preserve">A)(ii) and </w:t>
      </w:r>
      <w:r w:rsidR="00FD388C">
        <w:rPr>
          <w:rFonts w:ascii="Times New Roman" w:hAnsi="Times New Roman"/>
        </w:rPr>
        <w:t>Internal Revenue Code (</w:t>
      </w:r>
      <w:r w:rsidRPr="0034640D">
        <w:rPr>
          <w:rFonts w:ascii="Times New Roman" w:hAnsi="Times New Roman"/>
        </w:rPr>
        <w:t>Code</w:t>
      </w:r>
      <w:r w:rsidR="00FD388C">
        <w:rPr>
          <w:rFonts w:ascii="Times New Roman" w:hAnsi="Times New Roman"/>
        </w:rPr>
        <w:t>)</w:t>
      </w:r>
      <w:r w:rsidRPr="0034640D">
        <w:rPr>
          <w:rFonts w:ascii="Times New Roman" w:hAnsi="Times New Roman"/>
        </w:rPr>
        <w:t xml:space="preserve"> section 4975(e)(3)(B)</w:t>
      </w:r>
      <w:r>
        <w:rPr>
          <w:rFonts w:ascii="Times New Roman" w:hAnsi="Times New Roman"/>
        </w:rPr>
        <w:t xml:space="preserve"> (</w:t>
      </w:r>
      <w:r w:rsidR="005374C1">
        <w:rPr>
          <w:rFonts w:ascii="Times New Roman" w:hAnsi="Times New Roman"/>
        </w:rPr>
        <w:t>Final Regulation</w:t>
      </w:r>
      <w:r>
        <w:rPr>
          <w:rFonts w:ascii="Times New Roman" w:hAnsi="Times New Roman"/>
        </w:rPr>
        <w:t>)</w:t>
      </w:r>
      <w:r w:rsidRPr="0034640D">
        <w:rPr>
          <w:rFonts w:ascii="Times New Roman" w:hAnsi="Times New Roman"/>
        </w:rPr>
        <w:t xml:space="preserve">.  The </w:t>
      </w:r>
      <w:r w:rsidR="005374C1">
        <w:rPr>
          <w:rFonts w:ascii="Times New Roman" w:hAnsi="Times New Roman"/>
        </w:rPr>
        <w:t>Final Regulation</w:t>
      </w:r>
      <w:r w:rsidRPr="0034640D">
        <w:rPr>
          <w:rFonts w:ascii="Times New Roman" w:hAnsi="Times New Roman"/>
        </w:rPr>
        <w:t xml:space="preserve"> w</w:t>
      </w:r>
      <w:r w:rsidR="005374C1">
        <w:rPr>
          <w:rFonts w:ascii="Times New Roman" w:hAnsi="Times New Roman"/>
        </w:rPr>
        <w:t>ill</w:t>
      </w:r>
      <w:r w:rsidRPr="0034640D">
        <w:rPr>
          <w:rFonts w:ascii="Times New Roman" w:hAnsi="Times New Roman"/>
        </w:rPr>
        <w:t xml:space="preserve"> amend </w:t>
      </w:r>
      <w:r w:rsidR="00FD388C">
        <w:rPr>
          <w:rFonts w:ascii="Times New Roman" w:hAnsi="Times New Roman"/>
        </w:rPr>
        <w:t xml:space="preserve">a rule dating back to 1975 that defines when a person is </w:t>
      </w:r>
      <w:r w:rsidRPr="0034640D">
        <w:rPr>
          <w:rFonts w:ascii="Times New Roman" w:hAnsi="Times New Roman"/>
        </w:rPr>
        <w:t>a “fiduciary” under ERISA and the Code</w:t>
      </w:r>
      <w:r>
        <w:rPr>
          <w:rFonts w:ascii="Times New Roman" w:hAnsi="Times New Roman"/>
        </w:rPr>
        <w:t xml:space="preserve"> </w:t>
      </w:r>
      <w:r w:rsidRPr="0034640D">
        <w:rPr>
          <w:rFonts w:ascii="Times New Roman" w:hAnsi="Times New Roman"/>
        </w:rPr>
        <w:t xml:space="preserve">by reason </w:t>
      </w:r>
      <w:proofErr w:type="gramStart"/>
      <w:r w:rsidRPr="0034640D">
        <w:rPr>
          <w:rFonts w:ascii="Times New Roman" w:hAnsi="Times New Roman"/>
        </w:rPr>
        <w:t>of  provi</w:t>
      </w:r>
      <w:r w:rsidR="00FD388C">
        <w:rPr>
          <w:rFonts w:ascii="Times New Roman" w:hAnsi="Times New Roman"/>
        </w:rPr>
        <w:t>ding</w:t>
      </w:r>
      <w:proofErr w:type="gramEnd"/>
      <w:r w:rsidRPr="0034640D">
        <w:rPr>
          <w:rFonts w:ascii="Times New Roman" w:hAnsi="Times New Roman"/>
        </w:rPr>
        <w:t xml:space="preserve"> investment advice for a fee or other compensation regarding assets of a plan</w:t>
      </w:r>
      <w:r>
        <w:rPr>
          <w:rFonts w:ascii="Times New Roman" w:hAnsi="Times New Roman"/>
        </w:rPr>
        <w:t xml:space="preserve"> or IRA </w:t>
      </w:r>
      <w:r w:rsidRPr="0034640D">
        <w:rPr>
          <w:rFonts w:ascii="Times New Roman" w:hAnsi="Times New Roman"/>
        </w:rPr>
        <w:t xml:space="preserve">(i.e., an investment advice fiduciary).  </w:t>
      </w:r>
      <w:r w:rsidR="005374C1">
        <w:rPr>
          <w:rFonts w:ascii="Times New Roman" w:hAnsi="Times New Roman"/>
        </w:rPr>
        <w:t>T</w:t>
      </w:r>
      <w:r w:rsidRPr="0034640D">
        <w:rPr>
          <w:rFonts w:ascii="Times New Roman" w:hAnsi="Times New Roman"/>
        </w:rPr>
        <w:t xml:space="preserve">he </w:t>
      </w:r>
      <w:r w:rsidR="005374C1">
        <w:rPr>
          <w:rFonts w:ascii="Times New Roman" w:hAnsi="Times New Roman"/>
        </w:rPr>
        <w:t>Final Regulation</w:t>
      </w:r>
      <w:r w:rsidRPr="0034640D">
        <w:rPr>
          <w:rFonts w:ascii="Times New Roman" w:hAnsi="Times New Roman"/>
        </w:rPr>
        <w:t xml:space="preserve"> w</w:t>
      </w:r>
      <w:r w:rsidR="005374C1">
        <w:rPr>
          <w:rFonts w:ascii="Times New Roman" w:hAnsi="Times New Roman"/>
        </w:rPr>
        <w:t>ill</w:t>
      </w:r>
      <w:r w:rsidRPr="0034640D">
        <w:rPr>
          <w:rFonts w:ascii="Times New Roman" w:hAnsi="Times New Roman"/>
        </w:rPr>
        <w:t xml:space="preserve"> </w:t>
      </w:r>
      <w:r w:rsidR="00FD388C">
        <w:rPr>
          <w:rFonts w:ascii="Times New Roman" w:hAnsi="Times New Roman"/>
        </w:rPr>
        <w:t xml:space="preserve">treat investment advisers as fiduciaries in a wider array of advice relationships than the </w:t>
      </w:r>
      <w:r w:rsidRPr="0034640D">
        <w:rPr>
          <w:rFonts w:ascii="Times New Roman" w:hAnsi="Times New Roman"/>
        </w:rPr>
        <w:t>existing regulation</w:t>
      </w:r>
      <w:r w:rsidR="00FD388C">
        <w:rPr>
          <w:rFonts w:ascii="Times New Roman" w:hAnsi="Times New Roman"/>
        </w:rPr>
        <w:t>.</w:t>
      </w:r>
      <w:r w:rsidRPr="0034640D">
        <w:rPr>
          <w:rFonts w:ascii="Times New Roman" w:hAnsi="Times New Roman"/>
        </w:rPr>
        <w:t xml:space="preserve">  </w:t>
      </w:r>
    </w:p>
    <w:p w:rsidR="00135D3F" w:rsidRDefault="00135D3F" w:rsidP="006E2ADB">
      <w:pPr>
        <w:widowControl/>
        <w:ind w:left="720"/>
        <w:rPr>
          <w:rFonts w:ascii="Times New Roman" w:hAnsi="Times New Roman"/>
        </w:rPr>
      </w:pPr>
    </w:p>
    <w:p w:rsidR="008E6610" w:rsidRDefault="00FD388C" w:rsidP="006E2ADB">
      <w:pPr>
        <w:widowControl/>
        <w:ind w:left="720"/>
        <w:rPr>
          <w:rFonts w:ascii="Times New Roman" w:hAnsi="Times New Roman"/>
        </w:rPr>
      </w:pPr>
      <w:bookmarkStart w:id="1" w:name="OLE_LINK1"/>
      <w:bookmarkStart w:id="2" w:name="OLE_LINK2"/>
      <w:r>
        <w:rPr>
          <w:rFonts w:ascii="Times New Roman" w:hAnsi="Times New Roman"/>
        </w:rPr>
        <w:t>The Department recognizes that in some instances, plan fiduciaries, participants, beneficiaries, and IRA owners may receive recommendations that should not be treated as fiduciary investment advice.  Accor</w:t>
      </w:r>
      <w:r w:rsidR="00015266">
        <w:rPr>
          <w:rFonts w:ascii="Times New Roman" w:hAnsi="Times New Roman"/>
        </w:rPr>
        <w:t>dingly, the</w:t>
      </w:r>
      <w:r w:rsidR="00F0323A">
        <w:rPr>
          <w:rFonts w:ascii="Times New Roman" w:hAnsi="Times New Roman"/>
        </w:rPr>
        <w:t xml:space="preserve"> final regulation describes examples of </w:t>
      </w:r>
      <w:r w:rsidR="00A924E1">
        <w:rPr>
          <w:rFonts w:ascii="Times New Roman" w:hAnsi="Times New Roman"/>
        </w:rPr>
        <w:t>communications</w:t>
      </w:r>
      <w:r w:rsidR="00F0323A">
        <w:rPr>
          <w:rFonts w:ascii="Times New Roman" w:hAnsi="Times New Roman"/>
        </w:rPr>
        <w:t xml:space="preserve"> that would not constitute fiduciary advice.</w:t>
      </w:r>
      <w:r>
        <w:rPr>
          <w:rFonts w:ascii="Times New Roman" w:hAnsi="Times New Roman"/>
        </w:rPr>
        <w:t xml:space="preserve">  </w:t>
      </w:r>
      <w:r w:rsidR="008E6610">
        <w:rPr>
          <w:rFonts w:ascii="Times New Roman" w:hAnsi="Times New Roman"/>
        </w:rPr>
        <w:t>The</w:t>
      </w:r>
      <w:r w:rsidR="00015266">
        <w:rPr>
          <w:rFonts w:ascii="Times New Roman" w:hAnsi="Times New Roman"/>
        </w:rPr>
        <w:t>se</w:t>
      </w:r>
      <w:r w:rsidR="008E6610">
        <w:rPr>
          <w:rFonts w:ascii="Times New Roman" w:hAnsi="Times New Roman"/>
        </w:rPr>
        <w:t xml:space="preserve"> </w:t>
      </w:r>
      <w:r w:rsidR="00F0323A">
        <w:rPr>
          <w:rFonts w:ascii="Times New Roman" w:hAnsi="Times New Roman"/>
        </w:rPr>
        <w:t>examples</w:t>
      </w:r>
      <w:r w:rsidR="008E6610">
        <w:rPr>
          <w:rFonts w:ascii="Times New Roman" w:hAnsi="Times New Roman"/>
        </w:rPr>
        <w:t xml:space="preserve"> </w:t>
      </w:r>
      <w:r w:rsidR="005B346F">
        <w:rPr>
          <w:rFonts w:ascii="Times New Roman" w:hAnsi="Times New Roman"/>
        </w:rPr>
        <w:t xml:space="preserve">focus on </w:t>
      </w:r>
      <w:r w:rsidR="008E6610">
        <w:rPr>
          <w:rFonts w:ascii="Times New Roman" w:hAnsi="Times New Roman"/>
        </w:rPr>
        <w:t xml:space="preserve">communications </w:t>
      </w:r>
      <w:r w:rsidR="003E0C6E">
        <w:rPr>
          <w:rFonts w:ascii="Times New Roman" w:hAnsi="Times New Roman"/>
        </w:rPr>
        <w:t xml:space="preserve">that </w:t>
      </w:r>
      <w:r w:rsidR="008E6610">
        <w:rPr>
          <w:rFonts w:ascii="Times New Roman" w:hAnsi="Times New Roman"/>
        </w:rPr>
        <w:t xml:space="preserve">the Department believes Congress did not intend to cover as fiduciary “investment advice” and </w:t>
      </w:r>
      <w:proofErr w:type="gramStart"/>
      <w:r w:rsidR="008E6610">
        <w:rPr>
          <w:rFonts w:ascii="Times New Roman" w:hAnsi="Times New Roman"/>
        </w:rPr>
        <w:t>that parties</w:t>
      </w:r>
      <w:proofErr w:type="gramEnd"/>
      <w:r w:rsidR="008E6610">
        <w:rPr>
          <w:rFonts w:ascii="Times New Roman" w:hAnsi="Times New Roman"/>
        </w:rPr>
        <w:t xml:space="preserve"> wou</w:t>
      </w:r>
      <w:r w:rsidR="0074170C">
        <w:rPr>
          <w:rFonts w:ascii="Times New Roman" w:hAnsi="Times New Roman"/>
        </w:rPr>
        <w:t>ld not ordinarily view as communi</w:t>
      </w:r>
      <w:r w:rsidR="008E6610">
        <w:rPr>
          <w:rFonts w:ascii="Times New Roman" w:hAnsi="Times New Roman"/>
        </w:rPr>
        <w:t xml:space="preserve">cations characterized by a relationship of trust or impartiality. None of the </w:t>
      </w:r>
      <w:r w:rsidR="00DE2ECC">
        <w:rPr>
          <w:rFonts w:ascii="Times New Roman" w:hAnsi="Times New Roman"/>
        </w:rPr>
        <w:t>examples</w:t>
      </w:r>
      <w:r w:rsidR="008E6610">
        <w:rPr>
          <w:rFonts w:ascii="Times New Roman" w:hAnsi="Times New Roman"/>
        </w:rPr>
        <w:t xml:space="preserve"> apply where the adviser represents or acknowledges its action as fiduciary under ERISA with respect to the advice.</w:t>
      </w:r>
      <w:r w:rsidR="00015266">
        <w:rPr>
          <w:rFonts w:ascii="Times New Roman" w:hAnsi="Times New Roman"/>
        </w:rPr>
        <w:t xml:space="preserve"> Each </w:t>
      </w:r>
      <w:r w:rsidR="004A4CA8">
        <w:rPr>
          <w:rFonts w:ascii="Times New Roman" w:hAnsi="Times New Roman"/>
        </w:rPr>
        <w:t>carve-out</w:t>
      </w:r>
      <w:r w:rsidR="00015266">
        <w:rPr>
          <w:rFonts w:ascii="Times New Roman" w:hAnsi="Times New Roman"/>
        </w:rPr>
        <w:t xml:space="preserve"> is discussed below.</w:t>
      </w:r>
    </w:p>
    <w:p w:rsidR="008E6610" w:rsidRDefault="008E6610" w:rsidP="006E2ADB">
      <w:pPr>
        <w:widowControl/>
        <w:ind w:left="720"/>
        <w:rPr>
          <w:rFonts w:ascii="Times New Roman" w:hAnsi="Times New Roman"/>
        </w:rPr>
      </w:pPr>
    </w:p>
    <w:p w:rsidR="00015266" w:rsidRPr="00580764" w:rsidRDefault="008C5551" w:rsidP="006E2ADB">
      <w:pPr>
        <w:widowControl/>
        <w:ind w:left="720"/>
        <w:rPr>
          <w:rFonts w:ascii="Times New Roman" w:hAnsi="Times New Roman"/>
          <w:u w:val="single"/>
        </w:rPr>
      </w:pPr>
      <w:r>
        <w:rPr>
          <w:rFonts w:ascii="Times New Roman" w:hAnsi="Times New Roman"/>
          <w:u w:val="single"/>
        </w:rPr>
        <w:t xml:space="preserve">Transactions </w:t>
      </w:r>
      <w:r w:rsidR="00261232">
        <w:rPr>
          <w:rFonts w:ascii="Times New Roman" w:hAnsi="Times New Roman"/>
          <w:u w:val="single"/>
        </w:rPr>
        <w:t>Involving</w:t>
      </w:r>
      <w:r>
        <w:rPr>
          <w:rFonts w:ascii="Times New Roman" w:hAnsi="Times New Roman"/>
          <w:u w:val="single"/>
        </w:rPr>
        <w:t xml:space="preserve"> Independent Fiduciaries </w:t>
      </w:r>
      <w:r w:rsidR="0087122A">
        <w:rPr>
          <w:rFonts w:ascii="Times New Roman" w:hAnsi="Times New Roman"/>
          <w:u w:val="single"/>
        </w:rPr>
        <w:t>with Financial Expertise</w:t>
      </w:r>
    </w:p>
    <w:p w:rsidR="008C5551" w:rsidRDefault="008C5551" w:rsidP="006E2ADB">
      <w:pPr>
        <w:widowControl/>
        <w:ind w:left="720"/>
        <w:rPr>
          <w:rFonts w:ascii="Times New Roman" w:hAnsi="Times New Roman"/>
        </w:rPr>
      </w:pPr>
    </w:p>
    <w:p w:rsidR="00942A15" w:rsidRPr="00942A15" w:rsidRDefault="008C5551" w:rsidP="006E2ADB">
      <w:pPr>
        <w:widowControl/>
        <w:ind w:left="720"/>
        <w:rPr>
          <w:rFonts w:ascii="Times New Roman" w:hAnsi="Times New Roman"/>
        </w:rPr>
      </w:pPr>
      <w:r w:rsidRPr="008C5551">
        <w:rPr>
          <w:rFonts w:ascii="Times New Roman" w:hAnsi="Times New Roman"/>
        </w:rPr>
        <w:t xml:space="preserve">Paragraph (c)(1) of the final rule provides that a person shall not be deemed to be an investment advice fiduciary within the meaning of the final rule by reason of advice to certain independent fiduciaries of a plan or IRA in connection with an arm’s length sale, purchase, loan, exchange, or other transaction involving the investment of securities or other property if, before entering into the transaction, the independent fiduciary represents to the person that the fiduciary is exercising independent judgment in evaluating any recommendation, and the person fairly informs the independent plan fiduciary that the person is not undertaking to provide impartial investment advice, or to </w:t>
      </w:r>
      <w:proofErr w:type="gramStart"/>
      <w:r w:rsidRPr="008C5551">
        <w:rPr>
          <w:rFonts w:ascii="Times New Roman" w:hAnsi="Times New Roman"/>
        </w:rPr>
        <w:t>give</w:t>
      </w:r>
      <w:proofErr w:type="gramEnd"/>
      <w:r w:rsidRPr="008C5551">
        <w:rPr>
          <w:rFonts w:ascii="Times New Roman" w:hAnsi="Times New Roman"/>
        </w:rPr>
        <w:t xml:space="preserve"> advice in a fiduciary capacity and fairly informs the independent plan fiduciary of the existence and nature of the person’s financial interests in the transaction.</w:t>
      </w:r>
    </w:p>
    <w:p w:rsidR="008C5551" w:rsidRDefault="008C5551" w:rsidP="006E2ADB">
      <w:pPr>
        <w:widowControl/>
        <w:ind w:left="720"/>
        <w:rPr>
          <w:rFonts w:ascii="Times New Roman" w:hAnsi="Times New Roman"/>
        </w:rPr>
      </w:pPr>
    </w:p>
    <w:p w:rsidR="001F0F84" w:rsidRDefault="00261232" w:rsidP="000D3ADA">
      <w:pPr>
        <w:widowControl/>
        <w:ind w:left="720"/>
        <w:rPr>
          <w:rFonts w:ascii="Times New Roman" w:hAnsi="Times New Roman"/>
        </w:rPr>
      </w:pPr>
      <w:r>
        <w:rPr>
          <w:rFonts w:ascii="Times New Roman" w:hAnsi="Times New Roman"/>
        </w:rPr>
        <w:t>Trans</w:t>
      </w:r>
      <w:r w:rsidR="009B105A">
        <w:rPr>
          <w:rFonts w:ascii="Times New Roman" w:hAnsi="Times New Roman"/>
        </w:rPr>
        <w:t xml:space="preserve">actions involving independent fiduciaries exercising independent </w:t>
      </w:r>
      <w:proofErr w:type="spellStart"/>
      <w:r w:rsidR="009B105A">
        <w:rPr>
          <w:rFonts w:ascii="Times New Roman" w:hAnsi="Times New Roman"/>
        </w:rPr>
        <w:t>judgement</w:t>
      </w:r>
      <w:proofErr w:type="spellEnd"/>
      <w:r w:rsidR="009B105A">
        <w:rPr>
          <w:rFonts w:ascii="Times New Roman" w:hAnsi="Times New Roman"/>
        </w:rPr>
        <w:t xml:space="preserve"> are not viewed to be fiduciary advice </w:t>
      </w:r>
      <w:r w:rsidR="00942A15" w:rsidRPr="00942A15">
        <w:rPr>
          <w:rFonts w:ascii="Times New Roman" w:hAnsi="Times New Roman"/>
        </w:rPr>
        <w:t xml:space="preserve">if certain conditions are met.  Among these conditions are </w:t>
      </w:r>
      <w:r w:rsidR="00942A15" w:rsidRPr="00942A15">
        <w:rPr>
          <w:rFonts w:ascii="Times New Roman" w:hAnsi="Times New Roman"/>
        </w:rPr>
        <w:lastRenderedPageBreak/>
        <w:t xml:space="preserve">the following: </w:t>
      </w:r>
      <w:r w:rsidR="009A67B0">
        <w:rPr>
          <w:rFonts w:ascii="Times New Roman" w:hAnsi="Times New Roman"/>
        </w:rPr>
        <w:t xml:space="preserve"> </w:t>
      </w:r>
      <w:r w:rsidR="000D3ADA">
        <w:rPr>
          <w:rFonts w:ascii="Times New Roman" w:hAnsi="Times New Roman"/>
        </w:rPr>
        <w:t xml:space="preserve">(A) </w:t>
      </w:r>
      <w:r w:rsidR="000D3ADA" w:rsidRPr="000D3ADA">
        <w:rPr>
          <w:rFonts w:ascii="Times New Roman" w:hAnsi="Times New Roman"/>
        </w:rPr>
        <w:t>the person knows or reasonably believes that the independent fiduciary of the plan or IRA is (1) a bank as defined in section 202 of the Investment Advisers Act of 1940 or similar institution that is regulated and supervised and subject to periodic examination by a State or Federal agency; (2) an insurance carrier which is qualified under the laws of more than one State to manage any assets of a plan; (3) an investment adviser registered under the Investment Advisers Act of 1940 or, if not registered as an investment adviser under such Act by reason of paragraph (1) of section 203A of such Act, is registered as an investment adviser under the laws of the State (referred to in such paragraph (1)) in which it maintains its principal office and place of business;  (4) a broker-dealer registered under the Securities Exchange Act of 1934; or (5) any other person acting as an independent fiduciary that holds, or has under management or control, total assets of at least $50 million</w:t>
      </w:r>
      <w:r w:rsidR="000D3ADA">
        <w:rPr>
          <w:rFonts w:ascii="Times New Roman" w:hAnsi="Times New Roman"/>
        </w:rPr>
        <w:t xml:space="preserve">; (B) </w:t>
      </w:r>
      <w:r w:rsidR="000D3ADA" w:rsidRPr="000D3ADA">
        <w:rPr>
          <w:rFonts w:ascii="Times New Roman" w:hAnsi="Times New Roman"/>
        </w:rPr>
        <w:t>the person must fairly inform the independent plan fiduciary that the person is not undertaking to provide impartial investment advice, or to give advice in a fiduciary capacity, in connection with the transaction and must fairly inform the independent plan fiduciary of the existence and nature of the person’s financial interests in the transaction</w:t>
      </w:r>
      <w:r w:rsidR="007717C0">
        <w:rPr>
          <w:rFonts w:ascii="Times New Roman" w:hAnsi="Times New Roman"/>
        </w:rPr>
        <w:t>; and (C) t</w:t>
      </w:r>
      <w:r w:rsidR="000D3ADA" w:rsidRPr="000D3ADA">
        <w:rPr>
          <w:rFonts w:ascii="Times New Roman" w:hAnsi="Times New Roman"/>
        </w:rPr>
        <w:t>he independent fiduciary must affirmatively indicate to the person that the fiduciary is exercising independent judgment in evaluating the recommendation</w:t>
      </w:r>
      <w:r w:rsidR="00DC5C00">
        <w:rPr>
          <w:rFonts w:ascii="Times New Roman" w:hAnsi="Times New Roman"/>
        </w:rPr>
        <w:t xml:space="preserve"> </w:t>
      </w:r>
      <w:r w:rsidR="007717C0">
        <w:rPr>
          <w:rFonts w:ascii="Times New Roman" w:hAnsi="Times New Roman"/>
        </w:rPr>
        <w:t xml:space="preserve"> </w:t>
      </w:r>
      <w:r w:rsidR="00DC5C00">
        <w:rPr>
          <w:rFonts w:ascii="Times New Roman" w:hAnsi="Times New Roman"/>
        </w:rPr>
        <w:t xml:space="preserve">This is an information collection request (ICR) subject to the </w:t>
      </w:r>
      <w:r w:rsidR="003C23D4">
        <w:rPr>
          <w:rFonts w:ascii="Times New Roman" w:hAnsi="Times New Roman"/>
        </w:rPr>
        <w:t>Paperwork Reduction Act (</w:t>
      </w:r>
      <w:r w:rsidR="00DC5C00">
        <w:rPr>
          <w:rFonts w:ascii="Times New Roman" w:hAnsi="Times New Roman"/>
        </w:rPr>
        <w:t>PRA</w:t>
      </w:r>
      <w:r w:rsidR="003C23D4">
        <w:rPr>
          <w:rFonts w:ascii="Times New Roman" w:hAnsi="Times New Roman"/>
        </w:rPr>
        <w:t>)</w:t>
      </w:r>
      <w:r w:rsidR="00DC5C00">
        <w:rPr>
          <w:rFonts w:ascii="Times New Roman" w:hAnsi="Times New Roman"/>
        </w:rPr>
        <w:t>.</w:t>
      </w:r>
    </w:p>
    <w:p w:rsidR="00942A15" w:rsidRDefault="00942A15" w:rsidP="006E2ADB">
      <w:pPr>
        <w:widowControl/>
        <w:ind w:left="720"/>
        <w:rPr>
          <w:rFonts w:ascii="Times New Roman" w:hAnsi="Times New Roman"/>
        </w:rPr>
      </w:pPr>
    </w:p>
    <w:p w:rsidR="00015266" w:rsidRPr="00811927" w:rsidRDefault="00C56486" w:rsidP="006E2ADB">
      <w:pPr>
        <w:widowControl/>
        <w:ind w:left="720"/>
        <w:rPr>
          <w:rFonts w:ascii="Times New Roman" w:hAnsi="Times New Roman"/>
          <w:u w:val="single"/>
        </w:rPr>
      </w:pPr>
      <w:r>
        <w:rPr>
          <w:rFonts w:ascii="Times New Roman" w:hAnsi="Times New Roman"/>
          <w:u w:val="single"/>
        </w:rPr>
        <w:t xml:space="preserve">Transactions Involving </w:t>
      </w:r>
      <w:r w:rsidR="00015266">
        <w:rPr>
          <w:rFonts w:ascii="Times New Roman" w:hAnsi="Times New Roman"/>
          <w:u w:val="single"/>
        </w:rPr>
        <w:t>Platform Provider</w:t>
      </w:r>
      <w:r>
        <w:rPr>
          <w:rFonts w:ascii="Times New Roman" w:hAnsi="Times New Roman"/>
          <w:u w:val="single"/>
        </w:rPr>
        <w:t>s</w:t>
      </w:r>
    </w:p>
    <w:p w:rsidR="00015266" w:rsidRDefault="00015266" w:rsidP="006E2ADB">
      <w:pPr>
        <w:widowControl/>
        <w:ind w:left="720"/>
        <w:rPr>
          <w:rFonts w:ascii="Times New Roman" w:hAnsi="Times New Roman"/>
        </w:rPr>
      </w:pPr>
    </w:p>
    <w:p w:rsidR="001F0F84" w:rsidRDefault="007629A4" w:rsidP="006E2ADB">
      <w:pPr>
        <w:widowControl/>
        <w:ind w:left="720"/>
        <w:rPr>
          <w:rFonts w:ascii="Times New Roman" w:hAnsi="Times New Roman"/>
        </w:rPr>
      </w:pPr>
      <w:r>
        <w:rPr>
          <w:rFonts w:ascii="Times New Roman" w:hAnsi="Times New Roman"/>
        </w:rPr>
        <w:t>P</w:t>
      </w:r>
      <w:r w:rsidRPr="007629A4">
        <w:rPr>
          <w:rFonts w:ascii="Times New Roman" w:hAnsi="Times New Roman"/>
        </w:rPr>
        <w:t>aragraph (b</w:t>
      </w:r>
      <w:proofErr w:type="gramStart"/>
      <w:r w:rsidRPr="007629A4">
        <w:rPr>
          <w:rFonts w:ascii="Times New Roman" w:hAnsi="Times New Roman"/>
        </w:rPr>
        <w:t>)(</w:t>
      </w:r>
      <w:proofErr w:type="gramEnd"/>
      <w:r w:rsidRPr="007629A4">
        <w:rPr>
          <w:rFonts w:ascii="Times New Roman" w:hAnsi="Times New Roman"/>
        </w:rPr>
        <w:t>2)(</w:t>
      </w:r>
      <w:proofErr w:type="spellStart"/>
      <w:r w:rsidRPr="007629A4">
        <w:rPr>
          <w:rFonts w:ascii="Times New Roman" w:hAnsi="Times New Roman"/>
        </w:rPr>
        <w:t>i</w:t>
      </w:r>
      <w:proofErr w:type="spellEnd"/>
      <w:r w:rsidRPr="007629A4">
        <w:rPr>
          <w:rFonts w:ascii="Times New Roman" w:hAnsi="Times New Roman"/>
        </w:rPr>
        <w:t>) of the final rule provides that a person is not an investment advice fiduciary by reason of certain communications with plan fiduciaries of participant-directed individual account employee benefit plans described in section 3(3) of ERISA regarding platforms of investment vehicles from which plan participants or beneficiaries may direct the investment of assets held in, or contributed to, their individual accounts.  A condition of paragraph (b)(2)(</w:t>
      </w:r>
      <w:proofErr w:type="spellStart"/>
      <w:r w:rsidRPr="007629A4">
        <w:rPr>
          <w:rFonts w:ascii="Times New Roman" w:hAnsi="Times New Roman"/>
        </w:rPr>
        <w:t>i</w:t>
      </w:r>
      <w:proofErr w:type="spellEnd"/>
      <w:r w:rsidRPr="007629A4">
        <w:rPr>
          <w:rFonts w:ascii="Times New Roman" w:hAnsi="Times New Roman"/>
        </w:rPr>
        <w:t>) is that the person discloses in writing to the plan fiduciary that the person is not undertaking to provide impartial investment advice or to give advice in a fiduciary capacity.</w:t>
      </w:r>
      <w:r w:rsidR="00DC5C00">
        <w:rPr>
          <w:rFonts w:ascii="Times New Roman" w:hAnsi="Times New Roman"/>
        </w:rPr>
        <w:t xml:space="preserve"> </w:t>
      </w:r>
      <w:r w:rsidR="004523CC">
        <w:rPr>
          <w:rFonts w:ascii="Times New Roman" w:hAnsi="Times New Roman"/>
        </w:rPr>
        <w:t xml:space="preserve"> </w:t>
      </w:r>
      <w:r w:rsidR="00DC5C00">
        <w:rPr>
          <w:rFonts w:ascii="Times New Roman" w:hAnsi="Times New Roman"/>
        </w:rPr>
        <w:t>This disclosure is an ICR subject to the PRA.</w:t>
      </w:r>
    </w:p>
    <w:p w:rsidR="00DC5C00" w:rsidRDefault="00DC5C00" w:rsidP="006E2ADB">
      <w:pPr>
        <w:widowControl/>
        <w:ind w:left="720"/>
        <w:rPr>
          <w:rFonts w:ascii="Times New Roman" w:hAnsi="Times New Roman"/>
          <w:u w:val="single"/>
        </w:rPr>
      </w:pPr>
    </w:p>
    <w:p w:rsidR="0074170C" w:rsidRDefault="0074170C" w:rsidP="006E2ADB">
      <w:pPr>
        <w:widowControl/>
        <w:ind w:left="720"/>
        <w:rPr>
          <w:rFonts w:ascii="Times New Roman" w:hAnsi="Times New Roman"/>
          <w:u w:val="single"/>
        </w:rPr>
      </w:pPr>
      <w:r>
        <w:rPr>
          <w:rFonts w:ascii="Times New Roman" w:hAnsi="Times New Roman"/>
          <w:u w:val="single"/>
        </w:rPr>
        <w:t>Investment Education</w:t>
      </w:r>
    </w:p>
    <w:p w:rsidR="0074170C" w:rsidRPr="00811927" w:rsidRDefault="0074170C" w:rsidP="006E2ADB">
      <w:pPr>
        <w:widowControl/>
        <w:ind w:left="720"/>
        <w:rPr>
          <w:rFonts w:ascii="Times New Roman" w:hAnsi="Times New Roman"/>
          <w:u w:val="single"/>
        </w:rPr>
      </w:pPr>
    </w:p>
    <w:p w:rsidR="001F0F84" w:rsidRDefault="007629A4" w:rsidP="006E2ADB">
      <w:pPr>
        <w:widowControl/>
        <w:ind w:left="720"/>
        <w:rPr>
          <w:rFonts w:ascii="Times New Roman" w:hAnsi="Times New Roman"/>
        </w:rPr>
      </w:pPr>
      <w:r w:rsidRPr="007629A4">
        <w:rPr>
          <w:rFonts w:ascii="Times New Roman" w:hAnsi="Times New Roman"/>
        </w:rPr>
        <w:t>Paragraph (b</w:t>
      </w:r>
      <w:proofErr w:type="gramStart"/>
      <w:r w:rsidRPr="007629A4">
        <w:rPr>
          <w:rFonts w:ascii="Times New Roman" w:hAnsi="Times New Roman"/>
        </w:rPr>
        <w:t>)(</w:t>
      </w:r>
      <w:proofErr w:type="gramEnd"/>
      <w:r w:rsidRPr="007629A4">
        <w:rPr>
          <w:rFonts w:ascii="Times New Roman" w:hAnsi="Times New Roman"/>
        </w:rPr>
        <w:t>2)(iv)(C) and (D) of the regulation make clear that furnishing and providing certain specified investment educational information and materials (including certain investment allocation models and interactive plan materials) to a plan, plan fiduciary, participant, beneficiary or IRA owner would not constitute the rendering of investment advice within the meaning of the final rule if certain conditions are met.  The investment education provision includes conditions that require asset allocation models or interactive materials to include certain explanations and that they be accompanied by a statement with certain specified information.</w:t>
      </w:r>
      <w:r w:rsidR="00DC5C00">
        <w:rPr>
          <w:rFonts w:ascii="Times New Roman" w:hAnsi="Times New Roman"/>
        </w:rPr>
        <w:t xml:space="preserve"> </w:t>
      </w:r>
      <w:r w:rsidR="00E90E57">
        <w:rPr>
          <w:rFonts w:ascii="Times New Roman" w:hAnsi="Times New Roman"/>
        </w:rPr>
        <w:t xml:space="preserve"> </w:t>
      </w:r>
      <w:r w:rsidR="00DC5C00">
        <w:rPr>
          <w:rFonts w:ascii="Times New Roman" w:hAnsi="Times New Roman"/>
        </w:rPr>
        <w:t>This is an ICR subject to the PRA.</w:t>
      </w:r>
    </w:p>
    <w:p w:rsidR="000743D5" w:rsidRDefault="000743D5" w:rsidP="006E2ADB">
      <w:pPr>
        <w:widowControl/>
        <w:ind w:left="720"/>
        <w:rPr>
          <w:rFonts w:ascii="Times New Roman" w:hAnsi="Times New Roman"/>
        </w:rPr>
      </w:pPr>
    </w:p>
    <w:p w:rsidR="000743D5" w:rsidRDefault="000743D5" w:rsidP="006E2ADB">
      <w:pPr>
        <w:widowControl/>
        <w:ind w:left="720"/>
        <w:rPr>
          <w:rFonts w:ascii="Times New Roman" w:hAnsi="Times New Roman"/>
          <w:u w:val="single"/>
        </w:rPr>
      </w:pPr>
      <w:r>
        <w:rPr>
          <w:rFonts w:ascii="Times New Roman" w:hAnsi="Times New Roman"/>
          <w:u w:val="single"/>
        </w:rPr>
        <w:lastRenderedPageBreak/>
        <w:t>Swap Transactions</w:t>
      </w:r>
    </w:p>
    <w:p w:rsidR="000743D5" w:rsidRDefault="000743D5" w:rsidP="006E2ADB">
      <w:pPr>
        <w:widowControl/>
        <w:ind w:left="720"/>
        <w:rPr>
          <w:rFonts w:ascii="Times New Roman" w:hAnsi="Times New Roman"/>
        </w:rPr>
      </w:pPr>
    </w:p>
    <w:p w:rsidR="006E2ADB" w:rsidRDefault="00797C8B" w:rsidP="006E2ADB">
      <w:pPr>
        <w:widowControl/>
        <w:ind w:left="720"/>
        <w:rPr>
          <w:rFonts w:ascii="Times New Roman" w:hAnsi="Times New Roman"/>
        </w:rPr>
      </w:pPr>
      <w:r w:rsidRPr="00797C8B">
        <w:rPr>
          <w:rFonts w:ascii="Times New Roman" w:hAnsi="Times New Roman"/>
        </w:rPr>
        <w:t>Paragraph (c)(2) of the final rule provides that, in the case of certain swap transactions required to be cleared under provisions of the Dodd-Frank Act, certain counterparties, clearing members and clearing organizations are not deemed to be an investment advice fiduciary within the meaning of the final rule.  A condition in the provision is that the plan fiduciary involved in the swap transaction, before entering into the transaction, represents that the fiduciary understands that the  counterparty, clearing member or clearing organization are not undertaking to provide impartial investment advice and that the plan fiduciary is exercising independent judgment in evaluating any recommendations.</w:t>
      </w:r>
      <w:r>
        <w:rPr>
          <w:rFonts w:ascii="Times New Roman" w:hAnsi="Times New Roman"/>
        </w:rPr>
        <w:t xml:space="preserve">  This is an ICR subject to the PRA.</w:t>
      </w:r>
      <w:bookmarkEnd w:id="1"/>
      <w:bookmarkEnd w:id="2"/>
    </w:p>
    <w:p w:rsidR="006E2ADB" w:rsidRPr="00235B48" w:rsidRDefault="006E2ADB" w:rsidP="006E2ADB">
      <w:pPr>
        <w:widowControl/>
        <w:ind w:left="720"/>
        <w:rPr>
          <w:rFonts w:ascii="Times New Roman" w:hAnsi="Times New Roman"/>
        </w:rPr>
      </w:pPr>
    </w:p>
    <w:p w:rsidR="00F3670F" w:rsidRPr="00235B48" w:rsidRDefault="00F3670F" w:rsidP="006E2ADB">
      <w:pPr>
        <w:pStyle w:val="Quick1"/>
        <w:widowControl/>
        <w:numPr>
          <w:ilvl w:val="0"/>
          <w:numId w:val="1"/>
        </w:numPr>
        <w:tabs>
          <w:tab w:val="left" w:pos="-1440"/>
          <w:tab w:val="num" w:pos="720"/>
        </w:tabs>
        <w:rPr>
          <w:rFonts w:ascii="Times New Roman" w:hAnsi="Times New Roman"/>
        </w:rPr>
      </w:pPr>
      <w:r w:rsidRPr="00235B48">
        <w:rPr>
          <w:rFonts w:ascii="Times New Roman" w:hAnsi="Times New Roman"/>
          <w:sz w:val="20"/>
          <w:szCs w:val="20"/>
        </w:rPr>
        <w:t>Indicate how, by whom, and for what purpose the information is to be used.  Except for a new collection, indicate the actual use the agency has made of the information received from the current collection.</w:t>
      </w:r>
    </w:p>
    <w:p w:rsidR="00F3670F" w:rsidRPr="00235B48" w:rsidRDefault="00F3670F" w:rsidP="006E2ADB">
      <w:pPr>
        <w:widowControl/>
        <w:ind w:left="720"/>
        <w:rPr>
          <w:rFonts w:ascii="Times New Roman" w:hAnsi="Times New Roman"/>
        </w:rPr>
      </w:pPr>
    </w:p>
    <w:p w:rsidR="00B16F95" w:rsidRDefault="0074170C" w:rsidP="006E2ADB">
      <w:pPr>
        <w:widowControl/>
        <w:ind w:left="720"/>
        <w:rPr>
          <w:rFonts w:ascii="Times New Roman" w:hAnsi="Times New Roman"/>
        </w:rPr>
      </w:pPr>
      <w:r>
        <w:rPr>
          <w:rFonts w:ascii="Times New Roman" w:hAnsi="Times New Roman"/>
        </w:rPr>
        <w:t xml:space="preserve">As discussed above, </w:t>
      </w:r>
      <w:r w:rsidR="00074BF7" w:rsidRPr="00074BF7">
        <w:rPr>
          <w:rFonts w:ascii="Times New Roman" w:hAnsi="Times New Roman"/>
        </w:rPr>
        <w:t xml:space="preserve">the final regulation describes examples of communications that would not constitute fiduciary advice.  These examples focus on communications that the Department believes Congress did not intend to cover as fiduciary “investment advice” and </w:t>
      </w:r>
      <w:proofErr w:type="gramStart"/>
      <w:r w:rsidR="00074BF7" w:rsidRPr="00074BF7">
        <w:rPr>
          <w:rFonts w:ascii="Times New Roman" w:hAnsi="Times New Roman"/>
        </w:rPr>
        <w:t>that parties</w:t>
      </w:r>
      <w:proofErr w:type="gramEnd"/>
      <w:r w:rsidR="00074BF7" w:rsidRPr="00074BF7">
        <w:rPr>
          <w:rFonts w:ascii="Times New Roman" w:hAnsi="Times New Roman"/>
        </w:rPr>
        <w:t xml:space="preserve"> would not ordinarily view as communications characterized by a relationship of trust or impartiality. </w:t>
      </w:r>
      <w:r>
        <w:rPr>
          <w:rFonts w:ascii="Times New Roman" w:hAnsi="Times New Roman"/>
        </w:rPr>
        <w:t xml:space="preserve">However, the </w:t>
      </w:r>
      <w:r w:rsidR="0045160B">
        <w:rPr>
          <w:rFonts w:ascii="Times New Roman" w:hAnsi="Times New Roman"/>
        </w:rPr>
        <w:t>communications</w:t>
      </w:r>
      <w:r>
        <w:rPr>
          <w:rFonts w:ascii="Times New Roman" w:hAnsi="Times New Roman"/>
        </w:rPr>
        <w:t xml:space="preserve"> ar</w:t>
      </w:r>
      <w:r w:rsidR="00D33206">
        <w:rPr>
          <w:rFonts w:ascii="Times New Roman" w:hAnsi="Times New Roman"/>
        </w:rPr>
        <w:t xml:space="preserve">e subject to conditions that </w:t>
      </w:r>
      <w:r>
        <w:rPr>
          <w:rFonts w:ascii="Times New Roman" w:hAnsi="Times New Roman"/>
        </w:rPr>
        <w:t xml:space="preserve">ensure that </w:t>
      </w:r>
      <w:r w:rsidR="003C23D4">
        <w:rPr>
          <w:rFonts w:ascii="Times New Roman" w:hAnsi="Times New Roman"/>
        </w:rPr>
        <w:t>participants and beneficiaries and</w:t>
      </w:r>
      <w:r>
        <w:rPr>
          <w:rFonts w:ascii="Times New Roman" w:hAnsi="Times New Roman"/>
        </w:rPr>
        <w:t xml:space="preserve"> plan</w:t>
      </w:r>
      <w:r w:rsidR="003C23D4">
        <w:rPr>
          <w:rFonts w:ascii="Times New Roman" w:hAnsi="Times New Roman"/>
        </w:rPr>
        <w:t xml:space="preserve"> official</w:t>
      </w:r>
      <w:r>
        <w:rPr>
          <w:rFonts w:ascii="Times New Roman" w:hAnsi="Times New Roman"/>
        </w:rPr>
        <w:t xml:space="preserve">s clearly understand that the adviser is </w:t>
      </w:r>
      <w:r w:rsidR="00DC5C00">
        <w:rPr>
          <w:rFonts w:ascii="Times New Roman" w:hAnsi="Times New Roman"/>
        </w:rPr>
        <w:t xml:space="preserve">not </w:t>
      </w:r>
      <w:r>
        <w:rPr>
          <w:rFonts w:ascii="Times New Roman" w:hAnsi="Times New Roman"/>
        </w:rPr>
        <w:t xml:space="preserve">acting in a fiduciary capacity. </w:t>
      </w:r>
      <w:r w:rsidR="00CE12F8">
        <w:rPr>
          <w:rFonts w:ascii="Times New Roman" w:hAnsi="Times New Roman"/>
        </w:rPr>
        <w:t xml:space="preserve"> </w:t>
      </w:r>
      <w:r w:rsidR="00DC5C00">
        <w:rPr>
          <w:rFonts w:ascii="Times New Roman" w:hAnsi="Times New Roman"/>
        </w:rPr>
        <w:t>Service providers wi</w:t>
      </w:r>
      <w:r w:rsidR="00EB2188">
        <w:rPr>
          <w:rFonts w:ascii="Times New Roman" w:hAnsi="Times New Roman"/>
        </w:rPr>
        <w:t>ll</w:t>
      </w:r>
      <w:r w:rsidR="00DC5C00">
        <w:rPr>
          <w:rFonts w:ascii="Times New Roman" w:hAnsi="Times New Roman"/>
        </w:rPr>
        <w:t xml:space="preserve"> use this information to disclose their status to </w:t>
      </w:r>
      <w:r w:rsidR="003C23D4">
        <w:rPr>
          <w:rFonts w:ascii="Times New Roman" w:hAnsi="Times New Roman"/>
        </w:rPr>
        <w:t>their clients, and the</w:t>
      </w:r>
      <w:r w:rsidR="00EB2188">
        <w:rPr>
          <w:rFonts w:ascii="Times New Roman" w:hAnsi="Times New Roman"/>
        </w:rPr>
        <w:t>i</w:t>
      </w:r>
      <w:r w:rsidR="003C23D4">
        <w:rPr>
          <w:rFonts w:ascii="Times New Roman" w:hAnsi="Times New Roman"/>
        </w:rPr>
        <w:t xml:space="preserve">r clients will use the information to inform themselves about the status of their adviser. </w:t>
      </w:r>
      <w:r w:rsidR="00CE12F8">
        <w:rPr>
          <w:rFonts w:ascii="Times New Roman" w:hAnsi="Times New Roman"/>
        </w:rPr>
        <w:t xml:space="preserve"> </w:t>
      </w:r>
      <w:r w:rsidR="00D33206">
        <w:rPr>
          <w:rFonts w:ascii="Times New Roman" w:hAnsi="Times New Roman"/>
        </w:rPr>
        <w:t>W</w:t>
      </w:r>
      <w:r w:rsidR="00DC5C00">
        <w:rPr>
          <w:rFonts w:ascii="Times New Roman" w:hAnsi="Times New Roman"/>
        </w:rPr>
        <w:t>ithout these conditions, partici</w:t>
      </w:r>
      <w:r w:rsidR="00D33206">
        <w:rPr>
          <w:rFonts w:ascii="Times New Roman" w:hAnsi="Times New Roman"/>
        </w:rPr>
        <w:t>p</w:t>
      </w:r>
      <w:r w:rsidR="00DC5C00">
        <w:rPr>
          <w:rFonts w:ascii="Times New Roman" w:hAnsi="Times New Roman"/>
        </w:rPr>
        <w:t>a</w:t>
      </w:r>
      <w:r w:rsidR="00D33206">
        <w:rPr>
          <w:rFonts w:ascii="Times New Roman" w:hAnsi="Times New Roman"/>
        </w:rPr>
        <w:t>nts and beneficiaries, plans and IRA investor</w:t>
      </w:r>
      <w:r w:rsidR="00DC5C00">
        <w:rPr>
          <w:rFonts w:ascii="Times New Roman" w:hAnsi="Times New Roman"/>
        </w:rPr>
        <w:t>s</w:t>
      </w:r>
      <w:r w:rsidR="00D33206">
        <w:rPr>
          <w:rFonts w:ascii="Times New Roman" w:hAnsi="Times New Roman"/>
        </w:rPr>
        <w:t xml:space="preserve"> may be misled into thinking their advisers are acting in their best interests when they are not. </w:t>
      </w:r>
    </w:p>
    <w:p w:rsidR="00BE3D72" w:rsidRPr="00235B48" w:rsidRDefault="00BE3D72" w:rsidP="006E2ADB">
      <w:pPr>
        <w:widowControl/>
        <w:ind w:left="720"/>
        <w:rPr>
          <w:rFonts w:ascii="Times New Roman" w:hAnsi="Times New Roman"/>
        </w:rPr>
      </w:pPr>
    </w:p>
    <w:p w:rsidR="00F3670F" w:rsidRPr="00235B48" w:rsidRDefault="00F3670F" w:rsidP="006E2ADB">
      <w:pPr>
        <w:widowControl/>
        <w:tabs>
          <w:tab w:val="left" w:pos="-1440"/>
        </w:tabs>
        <w:ind w:left="720" w:hanging="720"/>
        <w:rPr>
          <w:rFonts w:ascii="Times New Roman" w:hAnsi="Times New Roman"/>
          <w:i/>
          <w:iCs/>
        </w:rPr>
      </w:pPr>
      <w:r w:rsidRPr="00235B48">
        <w:rPr>
          <w:rFonts w:ascii="Times New Roman" w:hAnsi="Times New Roman"/>
        </w:rPr>
        <w:t>3.</w:t>
      </w:r>
      <w:r w:rsidRPr="00235B48">
        <w:rPr>
          <w:rFonts w:ascii="Times New Roman" w:hAnsi="Times New Roman"/>
        </w:rPr>
        <w:tab/>
      </w:r>
      <w:r w:rsidRPr="00235B48">
        <w:rPr>
          <w:rFonts w:ascii="Times New Roman" w:hAnsi="Times New Roman"/>
          <w:i/>
          <w:iCs/>
          <w:sz w:val="2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F3670F" w:rsidRPr="00235B48" w:rsidRDefault="00F3670F" w:rsidP="006E2ADB">
      <w:pPr>
        <w:widowControl/>
        <w:ind w:left="720"/>
        <w:rPr>
          <w:rFonts w:ascii="Times New Roman" w:hAnsi="Times New Roman"/>
        </w:rPr>
      </w:pPr>
    </w:p>
    <w:p w:rsidR="00747506" w:rsidRPr="00747506" w:rsidRDefault="00747506" w:rsidP="006E2ADB">
      <w:pPr>
        <w:widowControl/>
        <w:ind w:left="720"/>
        <w:rPr>
          <w:rFonts w:ascii="Times New Roman" w:hAnsi="Times New Roman"/>
        </w:rPr>
      </w:pPr>
      <w:r w:rsidRPr="00747506">
        <w:rPr>
          <w:rFonts w:ascii="Times New Roman" w:hAnsi="Times New Roman"/>
        </w:rPr>
        <w:t xml:space="preserve">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w:t>
      </w:r>
      <w:r w:rsidRPr="00747506">
        <w:rPr>
          <w:rFonts w:ascii="Times New Roman" w:hAnsi="Times New Roman"/>
        </w:rPr>
        <w:lastRenderedPageBreak/>
        <w:t>electronic media to satisfy disclosure and recordkeeping obligations, s</w:t>
      </w:r>
      <w:r w:rsidR="00367BDB">
        <w:rPr>
          <w:rFonts w:ascii="Times New Roman" w:hAnsi="Times New Roman"/>
        </w:rPr>
        <w:t>ubject to specific safeguards.</w:t>
      </w:r>
    </w:p>
    <w:p w:rsidR="00747506" w:rsidRPr="00747506" w:rsidRDefault="00747506" w:rsidP="006E2ADB">
      <w:pPr>
        <w:widowControl/>
        <w:ind w:left="720"/>
        <w:rPr>
          <w:rFonts w:ascii="Times New Roman" w:hAnsi="Times New Roman"/>
        </w:rPr>
      </w:pPr>
    </w:p>
    <w:p w:rsidR="00F3670F" w:rsidRPr="00235B48" w:rsidRDefault="00F3670F" w:rsidP="006E2ADB">
      <w:pPr>
        <w:widowControl/>
        <w:tabs>
          <w:tab w:val="left" w:pos="-1440"/>
        </w:tabs>
        <w:ind w:left="720" w:hanging="720"/>
        <w:rPr>
          <w:rFonts w:ascii="Times New Roman" w:hAnsi="Times New Roman"/>
          <w:sz w:val="20"/>
          <w:szCs w:val="20"/>
        </w:rPr>
      </w:pPr>
      <w:r w:rsidRPr="00235B48">
        <w:rPr>
          <w:rFonts w:ascii="Times New Roman" w:hAnsi="Times New Roman"/>
        </w:rPr>
        <w:t>4.</w:t>
      </w:r>
      <w:r w:rsidRPr="00235B48">
        <w:rPr>
          <w:rFonts w:ascii="Times New Roman" w:hAnsi="Times New Roman"/>
          <w:i/>
          <w:iCs/>
        </w:rPr>
        <w:tab/>
      </w:r>
      <w:r w:rsidRPr="00235B48">
        <w:rPr>
          <w:rFonts w:ascii="Times New Roman" w:hAnsi="Times New Roman"/>
          <w:i/>
          <w:iCs/>
          <w:sz w:val="20"/>
          <w:szCs w:val="20"/>
        </w:rPr>
        <w:t xml:space="preserve">Describe efforts to identify duplication.  Show specifically why any similar information already available cannot be used or modified for use for the purposes described in Item 2 above.  </w:t>
      </w:r>
    </w:p>
    <w:p w:rsidR="00F3670F" w:rsidRPr="00235B48" w:rsidRDefault="00F3670F" w:rsidP="006E2ADB">
      <w:pPr>
        <w:widowControl/>
        <w:ind w:left="720"/>
        <w:rPr>
          <w:rFonts w:ascii="Times New Roman" w:hAnsi="Times New Roman"/>
        </w:rPr>
      </w:pPr>
    </w:p>
    <w:p w:rsidR="00BE3D72" w:rsidRDefault="004D1676" w:rsidP="006E2ADB">
      <w:pPr>
        <w:widowControl/>
        <w:ind w:left="720"/>
        <w:rPr>
          <w:rFonts w:ascii="Times New Roman" w:hAnsi="Times New Roman"/>
        </w:rPr>
      </w:pPr>
      <w:r w:rsidRPr="004D1676">
        <w:rPr>
          <w:rFonts w:ascii="Times New Roman" w:hAnsi="Times New Roman"/>
        </w:rPr>
        <w:t xml:space="preserve">The </w:t>
      </w:r>
      <w:r w:rsidR="00E84A6C">
        <w:rPr>
          <w:rFonts w:ascii="Times New Roman" w:hAnsi="Times New Roman"/>
        </w:rPr>
        <w:t>disclosure</w:t>
      </w:r>
      <w:r w:rsidR="005F4B8B">
        <w:rPr>
          <w:rFonts w:ascii="Times New Roman" w:hAnsi="Times New Roman"/>
        </w:rPr>
        <w:t>s</w:t>
      </w:r>
      <w:r w:rsidR="00E84A6C">
        <w:rPr>
          <w:rFonts w:ascii="Times New Roman" w:hAnsi="Times New Roman"/>
        </w:rPr>
        <w:t xml:space="preserve"> required by th</w:t>
      </w:r>
      <w:r w:rsidR="005F4B8B">
        <w:rPr>
          <w:rFonts w:ascii="Times New Roman" w:hAnsi="Times New Roman"/>
        </w:rPr>
        <w:t>ese</w:t>
      </w:r>
      <w:r w:rsidR="00E84A6C">
        <w:rPr>
          <w:rFonts w:ascii="Times New Roman" w:hAnsi="Times New Roman"/>
        </w:rPr>
        <w:t xml:space="preserve"> </w:t>
      </w:r>
      <w:r w:rsidR="0045160B">
        <w:rPr>
          <w:rFonts w:ascii="Times New Roman" w:hAnsi="Times New Roman"/>
        </w:rPr>
        <w:t>communications</w:t>
      </w:r>
      <w:r w:rsidR="005F4B8B">
        <w:rPr>
          <w:rFonts w:ascii="Times New Roman" w:hAnsi="Times New Roman"/>
        </w:rPr>
        <w:t xml:space="preserve"> are</w:t>
      </w:r>
      <w:r w:rsidR="00E84A6C">
        <w:rPr>
          <w:rFonts w:ascii="Times New Roman" w:hAnsi="Times New Roman"/>
        </w:rPr>
        <w:t xml:space="preserve"> unique to this regulation</w:t>
      </w:r>
      <w:r w:rsidR="003C23D4">
        <w:rPr>
          <w:rFonts w:ascii="Times New Roman" w:hAnsi="Times New Roman"/>
        </w:rPr>
        <w:t>, and therefore, are not duplicative.</w:t>
      </w:r>
    </w:p>
    <w:p w:rsidR="004D1676" w:rsidRPr="00235B48" w:rsidRDefault="004D1676" w:rsidP="006E2ADB">
      <w:pPr>
        <w:widowControl/>
        <w:ind w:left="720"/>
        <w:rPr>
          <w:rFonts w:ascii="Times New Roman" w:hAnsi="Times New Roman"/>
        </w:rPr>
      </w:pPr>
    </w:p>
    <w:p w:rsidR="00F3670F" w:rsidRPr="00235B48" w:rsidRDefault="00F3670F" w:rsidP="006E2ADB">
      <w:pPr>
        <w:widowControl/>
        <w:tabs>
          <w:tab w:val="left" w:pos="-1440"/>
        </w:tabs>
        <w:ind w:left="720" w:hanging="720"/>
        <w:rPr>
          <w:rFonts w:ascii="Times New Roman" w:hAnsi="Times New Roman"/>
          <w:i/>
          <w:iCs/>
          <w:sz w:val="20"/>
          <w:szCs w:val="20"/>
        </w:rPr>
      </w:pPr>
      <w:r w:rsidRPr="00235B48">
        <w:rPr>
          <w:rFonts w:ascii="Times New Roman" w:hAnsi="Times New Roman"/>
        </w:rPr>
        <w:t>5.</w:t>
      </w:r>
      <w:r w:rsidRPr="00235B48">
        <w:rPr>
          <w:rFonts w:ascii="Times New Roman" w:hAnsi="Times New Roman"/>
        </w:rPr>
        <w:tab/>
      </w:r>
      <w:r w:rsidRPr="00235B48">
        <w:rPr>
          <w:rFonts w:ascii="Times New Roman" w:hAnsi="Times New Roman"/>
          <w:i/>
          <w:iCs/>
          <w:sz w:val="20"/>
          <w:szCs w:val="20"/>
        </w:rPr>
        <w:t>If the collection of information impacts small businesses or other small entities</w:t>
      </w:r>
      <w:r w:rsidR="00C21EBA" w:rsidRPr="00235B48">
        <w:rPr>
          <w:rFonts w:ascii="Times New Roman" w:hAnsi="Times New Roman"/>
          <w:i/>
          <w:iCs/>
          <w:sz w:val="20"/>
          <w:szCs w:val="20"/>
        </w:rPr>
        <w:t xml:space="preserve"> </w:t>
      </w:r>
      <w:r w:rsidRPr="00235B48">
        <w:rPr>
          <w:rFonts w:ascii="Times New Roman" w:hAnsi="Times New Roman"/>
          <w:i/>
          <w:iCs/>
          <w:sz w:val="20"/>
          <w:szCs w:val="20"/>
        </w:rPr>
        <w:t>describe any methods used to minimize burden.</w:t>
      </w:r>
    </w:p>
    <w:p w:rsidR="00F3670F" w:rsidRPr="00235B48" w:rsidRDefault="00F3670F" w:rsidP="006E2ADB">
      <w:pPr>
        <w:widowControl/>
        <w:ind w:left="720"/>
        <w:rPr>
          <w:rFonts w:ascii="Times New Roman" w:hAnsi="Times New Roman"/>
        </w:rPr>
      </w:pPr>
    </w:p>
    <w:p w:rsidR="0049266B" w:rsidRDefault="00B6305C" w:rsidP="006E2ADB">
      <w:pPr>
        <w:widowControl/>
        <w:ind w:left="720"/>
        <w:rPr>
          <w:rFonts w:ascii="Times New Roman" w:hAnsi="Times New Roman"/>
        </w:rPr>
      </w:pPr>
      <w:r>
        <w:rPr>
          <w:rFonts w:ascii="Times New Roman" w:hAnsi="Times New Roman"/>
        </w:rPr>
        <w:t>The</w:t>
      </w:r>
      <w:r w:rsidR="003C23D4">
        <w:rPr>
          <w:rFonts w:ascii="Times New Roman" w:hAnsi="Times New Roman"/>
        </w:rPr>
        <w:t>se</w:t>
      </w:r>
      <w:r>
        <w:rPr>
          <w:rFonts w:ascii="Times New Roman" w:hAnsi="Times New Roman"/>
        </w:rPr>
        <w:t xml:space="preserve"> information collection</w:t>
      </w:r>
      <w:r w:rsidR="003C23D4">
        <w:rPr>
          <w:rFonts w:ascii="Times New Roman" w:hAnsi="Times New Roman"/>
        </w:rPr>
        <w:t xml:space="preserve">s impose a </w:t>
      </w:r>
      <w:r>
        <w:rPr>
          <w:rFonts w:ascii="Times New Roman" w:hAnsi="Times New Roman"/>
        </w:rPr>
        <w:t xml:space="preserve">minimal burden </w:t>
      </w:r>
      <w:r w:rsidR="003C23D4">
        <w:rPr>
          <w:rFonts w:ascii="Times New Roman" w:hAnsi="Times New Roman"/>
        </w:rPr>
        <w:t>on service providers that is necessary to protect the interest of participants and be</w:t>
      </w:r>
      <w:r w:rsidR="007B525B">
        <w:rPr>
          <w:rFonts w:ascii="Times New Roman" w:hAnsi="Times New Roman"/>
        </w:rPr>
        <w:t>neficiaries and plan officials.</w:t>
      </w:r>
    </w:p>
    <w:p w:rsidR="007B525B" w:rsidRPr="00235B48" w:rsidRDefault="007B525B" w:rsidP="006E2ADB">
      <w:pPr>
        <w:widowControl/>
        <w:ind w:left="720"/>
        <w:rPr>
          <w:rFonts w:ascii="Times New Roman" w:hAnsi="Times New Roman"/>
        </w:rPr>
      </w:pPr>
    </w:p>
    <w:p w:rsidR="00F3670F" w:rsidRPr="00235B48" w:rsidRDefault="00F3670F" w:rsidP="006E2ADB">
      <w:pPr>
        <w:widowControl/>
        <w:tabs>
          <w:tab w:val="left" w:pos="-1440"/>
        </w:tabs>
        <w:ind w:left="720" w:hanging="720"/>
        <w:rPr>
          <w:rFonts w:ascii="Times New Roman" w:hAnsi="Times New Roman"/>
        </w:rPr>
      </w:pPr>
      <w:r w:rsidRPr="00235B48">
        <w:rPr>
          <w:rFonts w:ascii="Times New Roman" w:hAnsi="Times New Roman"/>
        </w:rPr>
        <w:t>6.</w:t>
      </w:r>
      <w:r w:rsidRPr="00235B48">
        <w:rPr>
          <w:rFonts w:ascii="Times New Roman" w:hAnsi="Times New Roman"/>
        </w:rPr>
        <w:tab/>
      </w:r>
      <w:r w:rsidRPr="00235B48">
        <w:rPr>
          <w:rFonts w:ascii="Times New Roman" w:hAnsi="Times New Roman"/>
          <w:i/>
          <w:iCs/>
          <w:sz w:val="20"/>
          <w:szCs w:val="20"/>
        </w:rPr>
        <w:t>Describe the consequence to Federal program or policy activities if the collection is not conducted or is conducted less frequently, as well as any technical or legal obstacles to reducing burden.</w:t>
      </w:r>
    </w:p>
    <w:p w:rsidR="00F3670F" w:rsidRPr="00235B48" w:rsidRDefault="00F3670F" w:rsidP="006E2ADB">
      <w:pPr>
        <w:widowControl/>
        <w:ind w:left="720"/>
        <w:rPr>
          <w:rFonts w:ascii="Times New Roman" w:hAnsi="Times New Roman"/>
        </w:rPr>
      </w:pPr>
    </w:p>
    <w:p w:rsidR="00F3670F" w:rsidRDefault="003C23D4" w:rsidP="006E2ADB">
      <w:pPr>
        <w:widowControl/>
        <w:ind w:left="720"/>
        <w:rPr>
          <w:rFonts w:ascii="Times New Roman" w:hAnsi="Times New Roman"/>
        </w:rPr>
      </w:pPr>
      <w:r>
        <w:rPr>
          <w:rFonts w:ascii="Times New Roman" w:hAnsi="Times New Roman"/>
        </w:rPr>
        <w:t>If this collection were not conducted, participants and beneficiaries could be misled into believing that their advisers are serv</w:t>
      </w:r>
      <w:r w:rsidR="007B525B">
        <w:rPr>
          <w:rFonts w:ascii="Times New Roman" w:hAnsi="Times New Roman"/>
        </w:rPr>
        <w:t xml:space="preserve">ing them </w:t>
      </w:r>
      <w:r w:rsidR="00F24122">
        <w:rPr>
          <w:rFonts w:ascii="Times New Roman" w:hAnsi="Times New Roman"/>
        </w:rPr>
        <w:t>in a fiduciary capacity</w:t>
      </w:r>
      <w:r w:rsidR="007B525B">
        <w:rPr>
          <w:rFonts w:ascii="Times New Roman" w:hAnsi="Times New Roman"/>
        </w:rPr>
        <w:t>.</w:t>
      </w:r>
    </w:p>
    <w:p w:rsidR="00360DC4" w:rsidRPr="00235B48" w:rsidRDefault="00360DC4" w:rsidP="006E2ADB">
      <w:pPr>
        <w:widowControl/>
        <w:ind w:left="720"/>
        <w:rPr>
          <w:rFonts w:ascii="Times New Roman" w:hAnsi="Times New Roman"/>
        </w:rPr>
      </w:pPr>
    </w:p>
    <w:p w:rsidR="00F3670F" w:rsidRPr="00235B48" w:rsidRDefault="00F3670F" w:rsidP="006E2ADB">
      <w:pPr>
        <w:pStyle w:val="Quick1"/>
        <w:widowControl/>
        <w:numPr>
          <w:ilvl w:val="0"/>
          <w:numId w:val="2"/>
        </w:numPr>
        <w:tabs>
          <w:tab w:val="left" w:pos="-1440"/>
          <w:tab w:val="num" w:pos="720"/>
        </w:tabs>
        <w:rPr>
          <w:rFonts w:ascii="Times New Roman" w:hAnsi="Times New Roman"/>
          <w:i/>
          <w:iCs/>
          <w:sz w:val="20"/>
          <w:szCs w:val="20"/>
        </w:rPr>
      </w:pPr>
      <w:r w:rsidRPr="00235B48">
        <w:rPr>
          <w:rFonts w:ascii="Times New Roman" w:hAnsi="Times New Roman"/>
          <w:i/>
          <w:iCs/>
          <w:sz w:val="20"/>
          <w:szCs w:val="20"/>
        </w:rPr>
        <w:t>Explain any special circumstances that would cause an information collection to be conducted in a manner:</w:t>
      </w:r>
    </w:p>
    <w:p w:rsidR="00F3670F" w:rsidRPr="00235B48" w:rsidRDefault="00F3670F" w:rsidP="006E2ADB">
      <w:pPr>
        <w:widowControl/>
        <w:rPr>
          <w:rFonts w:ascii="Times New Roman" w:hAnsi="Times New Roman"/>
          <w:i/>
          <w:iCs/>
          <w:sz w:val="20"/>
          <w:szCs w:val="20"/>
        </w:rPr>
      </w:pPr>
    </w:p>
    <w:p w:rsidR="00F3670F" w:rsidRPr="00235B48" w:rsidRDefault="00F3670F" w:rsidP="006E2ADB">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r>
      <w:proofErr w:type="gramStart"/>
      <w:r w:rsidRPr="00235B48">
        <w:rPr>
          <w:rFonts w:ascii="Times New Roman" w:hAnsi="Times New Roman"/>
          <w:i/>
          <w:iCs/>
          <w:sz w:val="20"/>
          <w:szCs w:val="20"/>
        </w:rPr>
        <w:t>requiring</w:t>
      </w:r>
      <w:proofErr w:type="gramEnd"/>
      <w:r w:rsidRPr="00235B48">
        <w:rPr>
          <w:rFonts w:ascii="Times New Roman" w:hAnsi="Times New Roman"/>
          <w:i/>
          <w:iCs/>
          <w:sz w:val="20"/>
          <w:szCs w:val="20"/>
        </w:rPr>
        <w:t xml:space="preserve"> respondents to report information to the agency more often than quarterly;</w:t>
      </w:r>
    </w:p>
    <w:p w:rsidR="00F3670F" w:rsidRPr="00235B48" w:rsidRDefault="00F3670F" w:rsidP="006E2ADB">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respondents to prepare a written response to a collection of information in fewer than 30 days after receipt of it;</w:t>
      </w:r>
    </w:p>
    <w:p w:rsidR="00F3670F" w:rsidRPr="00235B48" w:rsidRDefault="00F3670F" w:rsidP="006E2ADB">
      <w:pPr>
        <w:widowControl/>
        <w:rPr>
          <w:rFonts w:ascii="Times New Roman" w:hAnsi="Times New Roman"/>
          <w:i/>
          <w:iCs/>
          <w:sz w:val="20"/>
          <w:szCs w:val="20"/>
        </w:rPr>
      </w:pPr>
    </w:p>
    <w:p w:rsidR="00F3670F" w:rsidRPr="00235B48" w:rsidRDefault="00F3670F" w:rsidP="006E2ADB">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respondents to submit more than an original and two copies of any document;</w:t>
      </w:r>
    </w:p>
    <w:p w:rsidR="00F3670F" w:rsidRPr="00235B48" w:rsidRDefault="00F3670F" w:rsidP="006E2ADB">
      <w:pPr>
        <w:widowControl/>
        <w:rPr>
          <w:rFonts w:ascii="Times New Roman" w:hAnsi="Times New Roman"/>
          <w:i/>
          <w:iCs/>
          <w:sz w:val="20"/>
          <w:szCs w:val="20"/>
        </w:rPr>
      </w:pPr>
    </w:p>
    <w:p w:rsidR="00F3670F" w:rsidRPr="00235B48" w:rsidRDefault="00F3670F" w:rsidP="006E2ADB">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respondents to retain records, other than health, medical, government contract, grant-in-aid, or tax records for more than three years;</w:t>
      </w:r>
    </w:p>
    <w:p w:rsidR="00F3670F" w:rsidRPr="00235B48" w:rsidRDefault="00F3670F" w:rsidP="006E2ADB">
      <w:pPr>
        <w:widowControl/>
        <w:rPr>
          <w:rFonts w:ascii="Times New Roman" w:hAnsi="Times New Roman"/>
          <w:i/>
          <w:iCs/>
          <w:sz w:val="20"/>
          <w:szCs w:val="20"/>
        </w:rPr>
      </w:pPr>
    </w:p>
    <w:p w:rsidR="00F3670F" w:rsidRPr="00235B48" w:rsidRDefault="00F3670F" w:rsidP="006E2ADB">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r>
      <w:proofErr w:type="gramStart"/>
      <w:r w:rsidRPr="00235B48">
        <w:rPr>
          <w:rFonts w:ascii="Times New Roman" w:hAnsi="Times New Roman"/>
          <w:i/>
          <w:iCs/>
          <w:sz w:val="20"/>
          <w:szCs w:val="20"/>
        </w:rPr>
        <w:t>in</w:t>
      </w:r>
      <w:proofErr w:type="gramEnd"/>
      <w:r w:rsidRPr="00235B48">
        <w:rPr>
          <w:rFonts w:ascii="Times New Roman" w:hAnsi="Times New Roman"/>
          <w:i/>
          <w:iCs/>
          <w:sz w:val="20"/>
          <w:szCs w:val="20"/>
        </w:rPr>
        <w:t xml:space="preserve"> connection with a statistical survey, that is not designed to produce valid and reliable results that can be generalized to the universe of study;</w:t>
      </w:r>
    </w:p>
    <w:p w:rsidR="00F3670F" w:rsidRPr="00235B48" w:rsidRDefault="00F3670F" w:rsidP="006E2ADB">
      <w:pPr>
        <w:widowControl/>
        <w:rPr>
          <w:rFonts w:ascii="Times New Roman" w:hAnsi="Times New Roman"/>
          <w:i/>
          <w:iCs/>
          <w:sz w:val="20"/>
          <w:szCs w:val="20"/>
        </w:rPr>
      </w:pPr>
    </w:p>
    <w:p w:rsidR="00F3670F" w:rsidRPr="00235B48" w:rsidRDefault="00F3670F" w:rsidP="006E2ADB">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the use of a statistical data classification that has not been reviewed and approved by OMB;</w:t>
      </w:r>
    </w:p>
    <w:p w:rsidR="00F3670F" w:rsidRPr="00235B48" w:rsidRDefault="00F3670F" w:rsidP="006E2ADB">
      <w:pPr>
        <w:widowControl/>
        <w:rPr>
          <w:rFonts w:ascii="Times New Roman" w:hAnsi="Times New Roman"/>
          <w:i/>
          <w:iCs/>
          <w:sz w:val="20"/>
          <w:szCs w:val="20"/>
        </w:rPr>
      </w:pPr>
    </w:p>
    <w:p w:rsidR="00F3670F" w:rsidRPr="00235B48" w:rsidRDefault="00F3670F" w:rsidP="006E2ADB">
      <w:pPr>
        <w:pStyle w:val="BodyTextIndent2"/>
        <w:widowControl/>
      </w:pPr>
      <w:r w:rsidRPr="00235B48">
        <w:t>•</w:t>
      </w:r>
      <w:r w:rsidRPr="00235B48">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3670F" w:rsidRPr="00235B48" w:rsidRDefault="00F3670F" w:rsidP="006E2ADB">
      <w:pPr>
        <w:widowControl/>
        <w:rPr>
          <w:rFonts w:ascii="Times New Roman" w:hAnsi="Times New Roman"/>
          <w:i/>
          <w:iCs/>
          <w:sz w:val="20"/>
          <w:szCs w:val="20"/>
        </w:rPr>
      </w:pPr>
    </w:p>
    <w:p w:rsidR="00F3670F" w:rsidRPr="00235B48" w:rsidRDefault="00F3670F" w:rsidP="006E2ADB">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requiring respondents to submit proprietary trade secret, or other confidential information unless the agency can demonstrate that it has instituted procedures to protect the information's confidentiality to the extent permitted by law.</w:t>
      </w:r>
    </w:p>
    <w:p w:rsidR="00F3670F" w:rsidRPr="00235B48" w:rsidRDefault="00F3670F" w:rsidP="006E2ADB">
      <w:pPr>
        <w:widowControl/>
        <w:ind w:left="720"/>
        <w:rPr>
          <w:rFonts w:ascii="Times New Roman" w:hAnsi="Times New Roman"/>
        </w:rPr>
      </w:pPr>
    </w:p>
    <w:p w:rsidR="00BE3D72" w:rsidRPr="00235B48" w:rsidRDefault="00B06B58" w:rsidP="006E2ADB">
      <w:pPr>
        <w:widowControl/>
        <w:ind w:left="720"/>
        <w:rPr>
          <w:rFonts w:ascii="Times New Roman" w:hAnsi="Times New Roman"/>
        </w:rPr>
      </w:pPr>
      <w:r w:rsidRPr="00235B48">
        <w:rPr>
          <w:rFonts w:ascii="Times New Roman" w:hAnsi="Times New Roman"/>
        </w:rPr>
        <w:t>Not applicable.</w:t>
      </w:r>
    </w:p>
    <w:p w:rsidR="00F3670F" w:rsidRPr="00235B48" w:rsidRDefault="00F3670F" w:rsidP="006E2ADB">
      <w:pPr>
        <w:widowControl/>
        <w:ind w:left="720"/>
        <w:rPr>
          <w:rFonts w:ascii="Times New Roman" w:hAnsi="Times New Roman"/>
        </w:rPr>
      </w:pPr>
    </w:p>
    <w:p w:rsidR="00F3670F" w:rsidRPr="00235B48" w:rsidRDefault="00F3670F" w:rsidP="006E2ADB">
      <w:pPr>
        <w:widowControl/>
        <w:tabs>
          <w:tab w:val="left" w:pos="-1440"/>
        </w:tabs>
        <w:ind w:left="720" w:hanging="720"/>
        <w:rPr>
          <w:rFonts w:ascii="Times New Roman" w:hAnsi="Times New Roman"/>
          <w:i/>
          <w:iCs/>
          <w:sz w:val="20"/>
          <w:szCs w:val="20"/>
        </w:rPr>
      </w:pPr>
      <w:r w:rsidRPr="00235B48">
        <w:rPr>
          <w:rFonts w:ascii="Times New Roman" w:hAnsi="Times New Roman"/>
        </w:rPr>
        <w:t>8.</w:t>
      </w:r>
      <w:r w:rsidRPr="00235B48">
        <w:rPr>
          <w:rFonts w:ascii="Times New Roman" w:hAnsi="Times New Roman"/>
        </w:rPr>
        <w:tab/>
      </w:r>
      <w:r w:rsidRPr="00235B48">
        <w:rPr>
          <w:rFonts w:ascii="Times New Roman" w:hAnsi="Times New Roman"/>
          <w:i/>
          <w:iCs/>
          <w:sz w:val="20"/>
          <w:szCs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3670F" w:rsidRPr="00235B48" w:rsidRDefault="00F3670F" w:rsidP="006E2ADB">
      <w:pPr>
        <w:widowControl/>
        <w:rPr>
          <w:rFonts w:ascii="Times New Roman" w:hAnsi="Times New Roman"/>
          <w:i/>
          <w:iCs/>
          <w:sz w:val="20"/>
          <w:szCs w:val="20"/>
        </w:rPr>
      </w:pPr>
    </w:p>
    <w:p w:rsidR="00F3670F" w:rsidRPr="00235B48" w:rsidRDefault="00F3670F" w:rsidP="006E2ADB">
      <w:pPr>
        <w:widowControl/>
        <w:ind w:left="720"/>
        <w:rPr>
          <w:rFonts w:ascii="Times New Roman" w:hAnsi="Times New Roman"/>
          <w:i/>
          <w:iCs/>
          <w:sz w:val="20"/>
          <w:szCs w:val="20"/>
        </w:rPr>
      </w:pPr>
      <w:r w:rsidRPr="00235B48">
        <w:rPr>
          <w:rFonts w:ascii="Times New Roman" w:hAnsi="Times New Roman"/>
          <w:i/>
          <w:i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3670F" w:rsidRPr="00235B48" w:rsidRDefault="00F3670F" w:rsidP="006E2ADB">
      <w:pPr>
        <w:widowControl/>
        <w:rPr>
          <w:rFonts w:ascii="Times New Roman" w:hAnsi="Times New Roman"/>
          <w:i/>
          <w:iCs/>
          <w:sz w:val="20"/>
          <w:szCs w:val="20"/>
        </w:rPr>
      </w:pPr>
    </w:p>
    <w:p w:rsidR="00F3670F" w:rsidRPr="00235B48" w:rsidRDefault="00F3670F" w:rsidP="006E2ADB">
      <w:pPr>
        <w:widowControl/>
        <w:ind w:left="720"/>
        <w:rPr>
          <w:rFonts w:ascii="Times New Roman" w:hAnsi="Times New Roman"/>
          <w:i/>
          <w:iCs/>
        </w:rPr>
      </w:pPr>
      <w:r w:rsidRPr="00235B48">
        <w:rPr>
          <w:rFonts w:ascii="Times New Roman" w:hAnsi="Times New Roman"/>
          <w:i/>
          <w:iCs/>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3670F" w:rsidRPr="00235B48" w:rsidRDefault="00F3670F" w:rsidP="006E2ADB">
      <w:pPr>
        <w:widowControl/>
        <w:ind w:left="720"/>
        <w:rPr>
          <w:rFonts w:ascii="Times New Roman" w:hAnsi="Times New Roman"/>
        </w:rPr>
      </w:pPr>
    </w:p>
    <w:p w:rsidR="009A3D65" w:rsidRPr="009A3D65" w:rsidRDefault="009A3D65" w:rsidP="009A3D65">
      <w:pPr>
        <w:widowControl/>
        <w:ind w:left="720"/>
        <w:rPr>
          <w:rFonts w:ascii="Times New Roman" w:hAnsi="Times New Roman"/>
        </w:rPr>
      </w:pPr>
      <w:r w:rsidRPr="009A3D65">
        <w:rPr>
          <w:rFonts w:ascii="Times New Roman" w:hAnsi="Times New Roman"/>
        </w:rPr>
        <w:t xml:space="preserve">In accordance with 5 CFR 1320.11, the proposed </w:t>
      </w:r>
      <w:r>
        <w:rPr>
          <w:rFonts w:ascii="Times New Roman" w:hAnsi="Times New Roman"/>
        </w:rPr>
        <w:t>rule</w:t>
      </w:r>
      <w:r w:rsidRPr="009A3D65">
        <w:rPr>
          <w:rFonts w:ascii="Times New Roman" w:hAnsi="Times New Roman"/>
        </w:rPr>
        <w:t xml:space="preserve"> provided the public with 60 days to comment on the information collection and burden estimates.  The Department received over 3,000 public comments in response to the proposed rule and accompanying proposed PTEs and proposed amendments to PTEs.  The public comments were posted on the Department’s website at the following two addresses:  http://www.dol.gov/ebsa/regs/cmt-1210-AB32-2.html and http://www.dol.gov/ebsa/regs/cmt-1210-ZA25.html.</w:t>
      </w:r>
    </w:p>
    <w:p w:rsidR="009A3D65" w:rsidRPr="009A3D65" w:rsidRDefault="009A3D65" w:rsidP="009A3D65">
      <w:pPr>
        <w:widowControl/>
        <w:ind w:left="720"/>
        <w:rPr>
          <w:rFonts w:ascii="Times New Roman" w:hAnsi="Times New Roman"/>
        </w:rPr>
      </w:pPr>
    </w:p>
    <w:p w:rsidR="009A3D65" w:rsidRPr="009A3D65" w:rsidRDefault="009A3D65" w:rsidP="009A3D65">
      <w:pPr>
        <w:widowControl/>
        <w:ind w:left="720"/>
        <w:rPr>
          <w:rFonts w:ascii="Times New Roman" w:hAnsi="Times New Roman"/>
        </w:rPr>
      </w:pPr>
      <w:r w:rsidRPr="009A3D65">
        <w:rPr>
          <w:rFonts w:ascii="Times New Roman" w:hAnsi="Times New Roman"/>
        </w:rPr>
        <w:t>Additionally, the Department held four days of public hearings during August 2015 on the proposed rule and accompanying proposed PTEs and proposed amendments to PTEs.  Transcripts, archived video, and other hearing materials were posted on the Department’s website here:  http://www.dol.gov/ebsa/regs/1210-AB32-2-Hearing.html.</w:t>
      </w:r>
    </w:p>
    <w:p w:rsidR="009A3D65" w:rsidRPr="009A3D65" w:rsidRDefault="009A3D65" w:rsidP="009A3D65">
      <w:pPr>
        <w:widowControl/>
        <w:ind w:left="720"/>
        <w:rPr>
          <w:rFonts w:ascii="Times New Roman" w:hAnsi="Times New Roman"/>
        </w:rPr>
      </w:pPr>
    </w:p>
    <w:p w:rsidR="009A3D65" w:rsidRDefault="009A3D65" w:rsidP="009A3D65">
      <w:pPr>
        <w:widowControl/>
        <w:ind w:left="720"/>
        <w:rPr>
          <w:rFonts w:ascii="Times New Roman" w:hAnsi="Times New Roman"/>
        </w:rPr>
      </w:pPr>
      <w:r w:rsidRPr="009A3D65">
        <w:rPr>
          <w:rFonts w:ascii="Times New Roman" w:hAnsi="Times New Roman"/>
        </w:rPr>
        <w:t xml:space="preserve">In the public comments and the public hearing, the Department received considerable feedback regarding the workability of the proposed rule and accompanying proposed PTEs and proposed amendments to PTEs; however, very little of it was focused on the information collections in the </w:t>
      </w:r>
      <w:r>
        <w:rPr>
          <w:rFonts w:ascii="Times New Roman" w:hAnsi="Times New Roman"/>
        </w:rPr>
        <w:t>fiduciary exceptions</w:t>
      </w:r>
      <w:r w:rsidRPr="009A3D65">
        <w:rPr>
          <w:rFonts w:ascii="Times New Roman" w:hAnsi="Times New Roman"/>
        </w:rPr>
        <w:t>.</w:t>
      </w:r>
    </w:p>
    <w:p w:rsidR="009A3D65" w:rsidRDefault="009A3D65" w:rsidP="009A3D65">
      <w:pPr>
        <w:widowControl/>
        <w:ind w:left="720"/>
        <w:rPr>
          <w:rFonts w:ascii="Times New Roman" w:hAnsi="Times New Roman"/>
        </w:rPr>
      </w:pPr>
    </w:p>
    <w:p w:rsidR="009A3D65" w:rsidRPr="009A3D65" w:rsidRDefault="009A3D65" w:rsidP="009A3D65">
      <w:pPr>
        <w:widowControl/>
        <w:ind w:left="720"/>
        <w:rPr>
          <w:rFonts w:ascii="Times New Roman" w:hAnsi="Times New Roman"/>
        </w:rPr>
      </w:pPr>
      <w:r>
        <w:rPr>
          <w:rFonts w:ascii="Times New Roman" w:hAnsi="Times New Roman"/>
        </w:rPr>
        <w:t>The few comments received on the information collections in the fiduciary exceptions centered on how permissive the exceptions should be, and thus, how many respondents would be permitted to use the exceptions and incur the burden associated with the information collections.</w:t>
      </w:r>
    </w:p>
    <w:p w:rsidR="009A3D65" w:rsidRPr="009A3D65" w:rsidRDefault="009A3D65" w:rsidP="009A3D65">
      <w:pPr>
        <w:widowControl/>
        <w:ind w:left="720"/>
        <w:rPr>
          <w:rFonts w:ascii="Times New Roman" w:hAnsi="Times New Roman"/>
        </w:rPr>
      </w:pPr>
    </w:p>
    <w:p w:rsidR="003C23D4" w:rsidRDefault="009A3D65" w:rsidP="009A3D65">
      <w:pPr>
        <w:widowControl/>
        <w:ind w:left="720"/>
        <w:rPr>
          <w:rFonts w:ascii="Times New Roman" w:hAnsi="Times New Roman"/>
        </w:rPr>
      </w:pPr>
      <w:r w:rsidRPr="009A3D65">
        <w:rPr>
          <w:rFonts w:ascii="Times New Roman" w:hAnsi="Times New Roman"/>
        </w:rPr>
        <w:t>Most notably, in response to the commenters, the Department made adjustments to its methodology in calculating burden.  These changes are discussed in Questions 12 and 13, where applicable.</w:t>
      </w:r>
    </w:p>
    <w:p w:rsidR="00F3670F" w:rsidRPr="00235B48" w:rsidRDefault="00F3670F" w:rsidP="006E2ADB">
      <w:pPr>
        <w:widowControl/>
        <w:ind w:left="720"/>
        <w:rPr>
          <w:rFonts w:ascii="Times New Roman" w:hAnsi="Times New Roman"/>
        </w:rPr>
      </w:pPr>
    </w:p>
    <w:p w:rsidR="00F3670F" w:rsidRPr="00235B48" w:rsidRDefault="00F3670F" w:rsidP="006E2ADB">
      <w:pPr>
        <w:pStyle w:val="Quick1"/>
        <w:widowControl/>
        <w:numPr>
          <w:ilvl w:val="0"/>
          <w:numId w:val="3"/>
        </w:numPr>
        <w:tabs>
          <w:tab w:val="left" w:pos="-1440"/>
          <w:tab w:val="num" w:pos="720"/>
        </w:tabs>
        <w:rPr>
          <w:rFonts w:ascii="Times New Roman" w:hAnsi="Times New Roman"/>
          <w:i/>
          <w:iCs/>
        </w:rPr>
      </w:pPr>
      <w:r w:rsidRPr="00235B48">
        <w:rPr>
          <w:rFonts w:ascii="Times New Roman" w:hAnsi="Times New Roman"/>
          <w:i/>
          <w:iCs/>
          <w:sz w:val="20"/>
          <w:szCs w:val="20"/>
        </w:rPr>
        <w:t>Explain any decision to provide any payment or gift to respondents, other than remuneration of contractors or grantees.</w:t>
      </w:r>
    </w:p>
    <w:p w:rsidR="00F3670F" w:rsidRPr="00235B48" w:rsidRDefault="00F3670F" w:rsidP="006E2ADB">
      <w:pPr>
        <w:widowControl/>
        <w:ind w:left="720"/>
        <w:rPr>
          <w:rFonts w:ascii="Times New Roman" w:hAnsi="Times New Roman"/>
        </w:rPr>
      </w:pPr>
    </w:p>
    <w:p w:rsidR="00F3670F" w:rsidRPr="00235B48" w:rsidRDefault="00F3670F" w:rsidP="006E2ADB">
      <w:pPr>
        <w:widowControl/>
        <w:ind w:left="720"/>
        <w:outlineLvl w:val="0"/>
        <w:rPr>
          <w:rFonts w:ascii="Times New Roman" w:hAnsi="Times New Roman"/>
        </w:rPr>
      </w:pPr>
      <w:r w:rsidRPr="00235B48">
        <w:rPr>
          <w:rFonts w:ascii="Times New Roman" w:hAnsi="Times New Roman"/>
        </w:rPr>
        <w:t>No payments or gifts are provided to respondents.</w:t>
      </w:r>
    </w:p>
    <w:p w:rsidR="00F3670F" w:rsidRPr="00235B48" w:rsidRDefault="00F3670F" w:rsidP="006E2ADB">
      <w:pPr>
        <w:widowControl/>
        <w:ind w:left="720"/>
        <w:rPr>
          <w:rFonts w:ascii="Times New Roman" w:hAnsi="Times New Roman"/>
        </w:rPr>
      </w:pPr>
    </w:p>
    <w:p w:rsidR="00F3670F" w:rsidRPr="00235B48" w:rsidRDefault="00F3670F" w:rsidP="006E2ADB">
      <w:pPr>
        <w:widowControl/>
        <w:tabs>
          <w:tab w:val="left" w:pos="-1440"/>
        </w:tabs>
        <w:ind w:left="720" w:hanging="720"/>
        <w:rPr>
          <w:rFonts w:ascii="Times New Roman" w:hAnsi="Times New Roman"/>
          <w:i/>
          <w:iCs/>
          <w:sz w:val="20"/>
          <w:szCs w:val="20"/>
        </w:rPr>
      </w:pPr>
      <w:r w:rsidRPr="00235B48">
        <w:rPr>
          <w:rFonts w:ascii="Times New Roman" w:hAnsi="Times New Roman"/>
        </w:rPr>
        <w:t>10.</w:t>
      </w:r>
      <w:r w:rsidRPr="00235B48">
        <w:rPr>
          <w:rFonts w:ascii="Times New Roman" w:hAnsi="Times New Roman"/>
        </w:rPr>
        <w:tab/>
      </w:r>
      <w:r w:rsidRPr="00235B48">
        <w:rPr>
          <w:rFonts w:ascii="Times New Roman" w:hAnsi="Times New Roman"/>
          <w:i/>
          <w:iCs/>
          <w:sz w:val="20"/>
          <w:szCs w:val="20"/>
        </w:rPr>
        <w:t>Describe any assurance of confidentiality provided to respondents and the basis for the assurance in statute, regulation, or agency policy.</w:t>
      </w:r>
    </w:p>
    <w:p w:rsidR="00F3670F" w:rsidRPr="00235B48" w:rsidRDefault="00F3670F" w:rsidP="006E2ADB">
      <w:pPr>
        <w:widowControl/>
        <w:ind w:left="720"/>
        <w:rPr>
          <w:rFonts w:ascii="Times New Roman" w:hAnsi="Times New Roman"/>
        </w:rPr>
      </w:pPr>
    </w:p>
    <w:p w:rsidR="00AF6A04" w:rsidRDefault="00AF6A04" w:rsidP="006E2ADB">
      <w:pPr>
        <w:widowControl/>
        <w:ind w:left="720"/>
        <w:rPr>
          <w:rFonts w:ascii="Times New Roman" w:hAnsi="Times New Roman"/>
        </w:rPr>
      </w:pPr>
      <w:r>
        <w:rPr>
          <w:rFonts w:ascii="Times New Roman" w:hAnsi="Times New Roman"/>
        </w:rPr>
        <w:t>No assurance of confidentiality was provided.</w:t>
      </w:r>
    </w:p>
    <w:p w:rsidR="00F3670F" w:rsidRPr="00235B48" w:rsidRDefault="00F3670F" w:rsidP="006E2ADB">
      <w:pPr>
        <w:widowControl/>
        <w:ind w:left="720"/>
        <w:rPr>
          <w:rFonts w:ascii="Times New Roman" w:hAnsi="Times New Roman"/>
        </w:rPr>
      </w:pPr>
    </w:p>
    <w:p w:rsidR="00F3670F" w:rsidRPr="00235B48" w:rsidRDefault="00F3670F" w:rsidP="006E2ADB">
      <w:pPr>
        <w:widowControl/>
        <w:tabs>
          <w:tab w:val="left" w:pos="-1440"/>
        </w:tabs>
        <w:ind w:left="720" w:hanging="720"/>
        <w:rPr>
          <w:rFonts w:ascii="Times New Roman" w:hAnsi="Times New Roman"/>
          <w:i/>
          <w:iCs/>
        </w:rPr>
      </w:pPr>
      <w:r w:rsidRPr="00235B48">
        <w:rPr>
          <w:rFonts w:ascii="Times New Roman" w:hAnsi="Times New Roman"/>
        </w:rPr>
        <w:t>11.</w:t>
      </w:r>
      <w:r w:rsidRPr="00235B48">
        <w:rPr>
          <w:rFonts w:ascii="Times New Roman" w:hAnsi="Times New Roman"/>
        </w:rPr>
        <w:tab/>
      </w:r>
      <w:r w:rsidRPr="00235B48">
        <w:rPr>
          <w:rFonts w:ascii="Times New Roman" w:hAnsi="Times New Roman"/>
          <w:i/>
          <w:iCs/>
          <w:sz w:val="20"/>
          <w:szCs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3670F" w:rsidRPr="00235B48" w:rsidRDefault="00F3670F" w:rsidP="006E2ADB">
      <w:pPr>
        <w:widowControl/>
        <w:ind w:left="720"/>
        <w:rPr>
          <w:rFonts w:ascii="Times New Roman" w:hAnsi="Times New Roman"/>
          <w:i/>
          <w:iCs/>
        </w:rPr>
      </w:pPr>
    </w:p>
    <w:p w:rsidR="00BE3D72" w:rsidRPr="00235B48" w:rsidRDefault="00B06B58" w:rsidP="006E2ADB">
      <w:pPr>
        <w:widowControl/>
        <w:ind w:left="720"/>
        <w:outlineLvl w:val="0"/>
        <w:rPr>
          <w:rFonts w:ascii="Times New Roman" w:hAnsi="Times New Roman"/>
          <w:i/>
          <w:iCs/>
        </w:rPr>
      </w:pPr>
      <w:r w:rsidRPr="00235B48">
        <w:rPr>
          <w:rFonts w:ascii="Times New Roman" w:hAnsi="Times New Roman"/>
          <w:iCs/>
        </w:rPr>
        <w:t>There are no questions of the nature described.</w:t>
      </w:r>
    </w:p>
    <w:p w:rsidR="00F3670F" w:rsidRPr="00235B48" w:rsidRDefault="00F3670F" w:rsidP="006E2ADB">
      <w:pPr>
        <w:widowControl/>
        <w:ind w:left="720"/>
        <w:rPr>
          <w:rFonts w:ascii="Times New Roman" w:hAnsi="Times New Roman"/>
        </w:rPr>
      </w:pPr>
    </w:p>
    <w:p w:rsidR="00F3670F" w:rsidRPr="00235B48" w:rsidRDefault="00F3670F" w:rsidP="006E2ADB">
      <w:pPr>
        <w:widowControl/>
        <w:tabs>
          <w:tab w:val="left" w:pos="-1440"/>
        </w:tabs>
        <w:ind w:left="720" w:hanging="720"/>
        <w:rPr>
          <w:rFonts w:ascii="Times New Roman" w:hAnsi="Times New Roman"/>
          <w:i/>
          <w:iCs/>
          <w:sz w:val="20"/>
          <w:szCs w:val="20"/>
        </w:rPr>
      </w:pPr>
      <w:r w:rsidRPr="00235B48">
        <w:rPr>
          <w:rFonts w:ascii="Times New Roman" w:hAnsi="Times New Roman"/>
        </w:rPr>
        <w:t>12.</w:t>
      </w:r>
      <w:r w:rsidRPr="00235B48">
        <w:rPr>
          <w:rFonts w:ascii="Times New Roman" w:hAnsi="Times New Roman"/>
        </w:rPr>
        <w:tab/>
      </w:r>
      <w:r w:rsidRPr="00235B48">
        <w:rPr>
          <w:rFonts w:ascii="Times New Roman" w:hAnsi="Times New Roman"/>
          <w:i/>
          <w:iCs/>
          <w:sz w:val="20"/>
          <w:szCs w:val="20"/>
        </w:rPr>
        <w:t>Provide estimates of the hour burden of the collection of information.  The statement should:</w:t>
      </w:r>
    </w:p>
    <w:p w:rsidR="00F3670F" w:rsidRPr="00235B48" w:rsidRDefault="00F3670F" w:rsidP="006E2ADB">
      <w:pPr>
        <w:widowControl/>
        <w:rPr>
          <w:rFonts w:ascii="Times New Roman" w:hAnsi="Times New Roman"/>
          <w:i/>
          <w:iCs/>
          <w:sz w:val="20"/>
          <w:szCs w:val="20"/>
        </w:rPr>
      </w:pPr>
    </w:p>
    <w:p w:rsidR="00F3670F" w:rsidRPr="00235B48" w:rsidRDefault="00F3670F" w:rsidP="006E2ADB">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3670F" w:rsidRPr="00235B48" w:rsidRDefault="00F3670F" w:rsidP="006E2ADB">
      <w:pPr>
        <w:widowControl/>
        <w:rPr>
          <w:rFonts w:ascii="Times New Roman" w:hAnsi="Times New Roman"/>
          <w:i/>
          <w:iCs/>
          <w:sz w:val="20"/>
          <w:szCs w:val="20"/>
        </w:rPr>
      </w:pPr>
    </w:p>
    <w:p w:rsidR="00F3670F" w:rsidRPr="00235B48" w:rsidRDefault="00F3670F" w:rsidP="006E2ADB">
      <w:pPr>
        <w:widowControl/>
        <w:tabs>
          <w:tab w:val="left" w:pos="-1440"/>
        </w:tabs>
        <w:ind w:left="1440" w:hanging="720"/>
        <w:rPr>
          <w:rFonts w:ascii="Times New Roman" w:hAnsi="Times New Roman"/>
          <w:i/>
          <w:iCs/>
          <w:sz w:val="20"/>
          <w:szCs w:val="20"/>
        </w:rPr>
      </w:pPr>
      <w:r w:rsidRPr="00235B48">
        <w:rPr>
          <w:rFonts w:ascii="Times New Roman" w:hAnsi="Times New Roman"/>
          <w:i/>
          <w:iCs/>
          <w:sz w:val="20"/>
          <w:szCs w:val="20"/>
        </w:rPr>
        <w:t>•</w:t>
      </w:r>
      <w:r w:rsidRPr="00235B48">
        <w:rPr>
          <w:rFonts w:ascii="Times New Roman" w:hAnsi="Times New Roman"/>
          <w:i/>
          <w:iCs/>
          <w:sz w:val="20"/>
          <w:szCs w:val="20"/>
        </w:rPr>
        <w:tab/>
        <w:t>If this request for approval covers more than one form, provide separate hour burden estimates for each form and aggregate the hour burdens</w:t>
      </w:r>
      <w:r w:rsidR="00C21EBA" w:rsidRPr="00235B48">
        <w:rPr>
          <w:rFonts w:ascii="Times New Roman" w:hAnsi="Times New Roman"/>
          <w:i/>
          <w:iCs/>
          <w:sz w:val="20"/>
          <w:szCs w:val="20"/>
        </w:rPr>
        <w:t xml:space="preserve">. </w:t>
      </w:r>
    </w:p>
    <w:p w:rsidR="00F3670F" w:rsidRPr="00235B48" w:rsidRDefault="00F3670F" w:rsidP="006E2ADB">
      <w:pPr>
        <w:widowControl/>
        <w:rPr>
          <w:rFonts w:ascii="Times New Roman" w:hAnsi="Times New Roman"/>
          <w:i/>
          <w:iCs/>
          <w:sz w:val="20"/>
          <w:szCs w:val="20"/>
        </w:rPr>
      </w:pPr>
    </w:p>
    <w:p w:rsidR="00F3670F" w:rsidRPr="00235B48" w:rsidRDefault="00F3670F" w:rsidP="006E2ADB">
      <w:pPr>
        <w:widowControl/>
        <w:tabs>
          <w:tab w:val="left" w:pos="-1440"/>
        </w:tabs>
        <w:ind w:left="1440" w:hanging="720"/>
        <w:rPr>
          <w:rFonts w:ascii="Times New Roman" w:hAnsi="Times New Roman"/>
          <w:i/>
          <w:iCs/>
        </w:rPr>
      </w:pPr>
      <w:r w:rsidRPr="00235B48">
        <w:rPr>
          <w:rFonts w:ascii="Times New Roman" w:hAnsi="Times New Roman"/>
          <w:i/>
          <w:iCs/>
          <w:sz w:val="20"/>
          <w:szCs w:val="20"/>
        </w:rPr>
        <w:t>•</w:t>
      </w:r>
      <w:r w:rsidRPr="00235B48">
        <w:rPr>
          <w:rFonts w:ascii="Times New Roman" w:hAnsi="Times New Roman"/>
          <w:i/>
          <w:iCs/>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3670F" w:rsidRPr="00235B48" w:rsidRDefault="00F3670F" w:rsidP="006E2ADB">
      <w:pPr>
        <w:widowControl/>
        <w:ind w:left="720"/>
        <w:rPr>
          <w:rFonts w:ascii="Times New Roman" w:hAnsi="Times New Roman"/>
          <w:i/>
          <w:iCs/>
        </w:rPr>
      </w:pPr>
    </w:p>
    <w:p w:rsidR="00081319" w:rsidRDefault="003C23D4" w:rsidP="006E2ADB">
      <w:pPr>
        <w:widowControl/>
        <w:ind w:left="720"/>
        <w:rPr>
          <w:rFonts w:ascii="Times New Roman" w:eastAsia="MS Mincho" w:hAnsi="Times New Roman"/>
        </w:rPr>
      </w:pPr>
      <w:r>
        <w:rPr>
          <w:rFonts w:ascii="Times New Roman" w:eastAsia="MS Mincho" w:hAnsi="Times New Roman"/>
        </w:rPr>
        <w:t xml:space="preserve">As </w:t>
      </w:r>
      <w:r w:rsidR="006443A2">
        <w:rPr>
          <w:rFonts w:ascii="Times New Roman" w:eastAsia="MS Mincho" w:hAnsi="Times New Roman"/>
        </w:rPr>
        <w:t xml:space="preserve">discussed </w:t>
      </w:r>
      <w:r>
        <w:rPr>
          <w:rFonts w:ascii="Times New Roman" w:eastAsia="MS Mincho" w:hAnsi="Times New Roman"/>
        </w:rPr>
        <w:t>in Item 1 above, the</w:t>
      </w:r>
      <w:r w:rsidR="00A92417">
        <w:rPr>
          <w:rFonts w:ascii="Times New Roman" w:eastAsia="MS Mincho" w:hAnsi="Times New Roman"/>
        </w:rPr>
        <w:t xml:space="preserve"> final</w:t>
      </w:r>
      <w:r w:rsidR="008C566B">
        <w:rPr>
          <w:rFonts w:ascii="Times New Roman" w:eastAsia="MS Mincho" w:hAnsi="Times New Roman"/>
        </w:rPr>
        <w:t xml:space="preserve"> rule includes </w:t>
      </w:r>
      <w:r w:rsidR="00A92417">
        <w:rPr>
          <w:rFonts w:ascii="Times New Roman" w:eastAsia="MS Mincho" w:hAnsi="Times New Roman"/>
        </w:rPr>
        <w:t>four</w:t>
      </w:r>
      <w:r w:rsidR="008C566B">
        <w:rPr>
          <w:rFonts w:ascii="Times New Roman" w:eastAsia="MS Mincho" w:hAnsi="Times New Roman"/>
        </w:rPr>
        <w:t xml:space="preserve"> information collections:  t</w:t>
      </w:r>
      <w:r w:rsidR="00A92417" w:rsidRPr="00A92417">
        <w:rPr>
          <w:rFonts w:ascii="Times New Roman" w:eastAsia="MS Mincho" w:hAnsi="Times New Roman"/>
        </w:rPr>
        <w:t xml:space="preserve">ransactions </w:t>
      </w:r>
      <w:r w:rsidR="00A92417">
        <w:rPr>
          <w:rFonts w:ascii="Times New Roman" w:eastAsia="MS Mincho" w:hAnsi="Times New Roman"/>
        </w:rPr>
        <w:t>i</w:t>
      </w:r>
      <w:r w:rsidR="00A92417" w:rsidRPr="00A92417">
        <w:rPr>
          <w:rFonts w:ascii="Times New Roman" w:eastAsia="MS Mincho" w:hAnsi="Times New Roman"/>
        </w:rPr>
        <w:t xml:space="preserve">nvolving </w:t>
      </w:r>
      <w:r w:rsidR="00A92417">
        <w:rPr>
          <w:rFonts w:ascii="Times New Roman" w:eastAsia="MS Mincho" w:hAnsi="Times New Roman"/>
        </w:rPr>
        <w:t>i</w:t>
      </w:r>
      <w:r w:rsidR="00A92417" w:rsidRPr="00A92417">
        <w:rPr>
          <w:rFonts w:ascii="Times New Roman" w:eastAsia="MS Mincho" w:hAnsi="Times New Roman"/>
        </w:rPr>
        <w:t xml:space="preserve">ndependent </w:t>
      </w:r>
      <w:r w:rsidR="00A92417">
        <w:rPr>
          <w:rFonts w:ascii="Times New Roman" w:eastAsia="MS Mincho" w:hAnsi="Times New Roman"/>
        </w:rPr>
        <w:t>f</w:t>
      </w:r>
      <w:r w:rsidR="00A92417" w:rsidRPr="00A92417">
        <w:rPr>
          <w:rFonts w:ascii="Times New Roman" w:eastAsia="MS Mincho" w:hAnsi="Times New Roman"/>
        </w:rPr>
        <w:t xml:space="preserve">iduciaries </w:t>
      </w:r>
      <w:r w:rsidR="00A153CF">
        <w:rPr>
          <w:rFonts w:ascii="Times New Roman" w:eastAsia="MS Mincho" w:hAnsi="Times New Roman"/>
        </w:rPr>
        <w:t>with financial expertise</w:t>
      </w:r>
      <w:r w:rsidR="008C566B">
        <w:rPr>
          <w:rFonts w:ascii="Times New Roman" w:eastAsia="MS Mincho" w:hAnsi="Times New Roman"/>
        </w:rPr>
        <w:t xml:space="preserve">, </w:t>
      </w:r>
      <w:r w:rsidR="00A92417">
        <w:rPr>
          <w:rFonts w:ascii="Times New Roman" w:eastAsia="MS Mincho" w:hAnsi="Times New Roman"/>
        </w:rPr>
        <w:t xml:space="preserve">transactions involving </w:t>
      </w:r>
      <w:r w:rsidR="008C566B">
        <w:rPr>
          <w:rFonts w:ascii="Times New Roman" w:eastAsia="MS Mincho" w:hAnsi="Times New Roman"/>
        </w:rPr>
        <w:t>platform provider</w:t>
      </w:r>
      <w:r w:rsidR="00A92417">
        <w:rPr>
          <w:rFonts w:ascii="Times New Roman" w:eastAsia="MS Mincho" w:hAnsi="Times New Roman"/>
        </w:rPr>
        <w:t>s</w:t>
      </w:r>
      <w:r w:rsidR="008C566B">
        <w:rPr>
          <w:rFonts w:ascii="Times New Roman" w:eastAsia="MS Mincho" w:hAnsi="Times New Roman"/>
        </w:rPr>
        <w:t>, investment education</w:t>
      </w:r>
      <w:r w:rsidR="00A92417">
        <w:rPr>
          <w:rFonts w:ascii="Times New Roman" w:eastAsia="MS Mincho" w:hAnsi="Times New Roman"/>
        </w:rPr>
        <w:t>, and swap transactions</w:t>
      </w:r>
      <w:r w:rsidR="008C566B">
        <w:rPr>
          <w:rFonts w:ascii="Times New Roman" w:eastAsia="MS Mincho" w:hAnsi="Times New Roman"/>
        </w:rPr>
        <w:t>.</w:t>
      </w:r>
      <w:r w:rsidR="000E518E">
        <w:rPr>
          <w:rFonts w:ascii="Times New Roman" w:eastAsia="MS Mincho" w:hAnsi="Times New Roman"/>
        </w:rPr>
        <w:t xml:space="preserve"> </w:t>
      </w:r>
      <w:r w:rsidR="005359E3">
        <w:rPr>
          <w:rFonts w:ascii="Times New Roman" w:eastAsia="MS Mincho" w:hAnsi="Times New Roman"/>
        </w:rPr>
        <w:t xml:space="preserve"> </w:t>
      </w:r>
      <w:r w:rsidR="000E518E">
        <w:rPr>
          <w:rFonts w:ascii="Times New Roman" w:eastAsia="MS Mincho" w:hAnsi="Times New Roman"/>
        </w:rPr>
        <w:t>The hour burden associated with each of</w:t>
      </w:r>
      <w:r w:rsidR="005359E3">
        <w:rPr>
          <w:rFonts w:ascii="Times New Roman" w:eastAsia="MS Mincho" w:hAnsi="Times New Roman"/>
        </w:rPr>
        <w:t xml:space="preserve"> these ICRs is discussed below.</w:t>
      </w:r>
    </w:p>
    <w:p w:rsidR="00DF60C2" w:rsidRDefault="00DF60C2" w:rsidP="006E2ADB">
      <w:pPr>
        <w:widowControl/>
        <w:ind w:left="720"/>
        <w:rPr>
          <w:rFonts w:ascii="Times New Roman" w:eastAsia="MS Mincho" w:hAnsi="Times New Roman"/>
        </w:rPr>
      </w:pPr>
    </w:p>
    <w:p w:rsidR="005374C5" w:rsidRDefault="005374C5" w:rsidP="006E2ADB">
      <w:pPr>
        <w:widowControl/>
        <w:ind w:left="720"/>
        <w:rPr>
          <w:rFonts w:ascii="Times New Roman" w:eastAsia="MS Mincho" w:hAnsi="Times New Roman"/>
        </w:rPr>
      </w:pPr>
      <w:r w:rsidRPr="005374C5">
        <w:rPr>
          <w:rFonts w:ascii="Times New Roman" w:eastAsia="MS Mincho" w:hAnsi="Times New Roman"/>
        </w:rPr>
        <w:t xml:space="preserve">In response to a recommendation made during testimony at the Department’s August 2015 public hearing on the proposed rule, the Department tasked several attorneys with drafting sample legal documents in an attempt to determine the hour burden associated with complying with the ICRs.  Commenters did not provide time or cost estimates needed to draft these disclosures; the legal burden estimates in this analysis, therefore, </w:t>
      </w:r>
      <w:r w:rsidRPr="005374C5">
        <w:rPr>
          <w:rFonts w:ascii="Times New Roman" w:eastAsia="MS Mincho" w:hAnsi="Times New Roman"/>
        </w:rPr>
        <w:lastRenderedPageBreak/>
        <w:t>use the data generated by the Department to estimate the time required to create sample disclosures.</w:t>
      </w:r>
    </w:p>
    <w:p w:rsidR="008C566B" w:rsidRDefault="008C566B" w:rsidP="006E2ADB">
      <w:pPr>
        <w:widowControl/>
        <w:ind w:left="720"/>
        <w:rPr>
          <w:rFonts w:ascii="Times New Roman" w:eastAsia="MS Mincho" w:hAnsi="Times New Roman"/>
        </w:rPr>
      </w:pPr>
    </w:p>
    <w:p w:rsidR="00081319" w:rsidRDefault="006443A2" w:rsidP="006E2ADB">
      <w:pPr>
        <w:widowControl/>
        <w:ind w:left="720"/>
        <w:rPr>
          <w:rFonts w:ascii="Times New Roman" w:eastAsia="MS Mincho" w:hAnsi="Times New Roman"/>
          <w:u w:val="single"/>
        </w:rPr>
      </w:pPr>
      <w:r>
        <w:rPr>
          <w:rFonts w:ascii="Times New Roman" w:eastAsia="MS Mincho" w:hAnsi="Times New Roman"/>
          <w:u w:val="single"/>
        </w:rPr>
        <w:t xml:space="preserve">Transactions Involving Independent Fiduciaries </w:t>
      </w:r>
      <w:r w:rsidR="00A153CF">
        <w:rPr>
          <w:rFonts w:ascii="Times New Roman" w:eastAsia="MS Mincho" w:hAnsi="Times New Roman"/>
          <w:u w:val="single"/>
        </w:rPr>
        <w:t>with Financial Expertise</w:t>
      </w:r>
    </w:p>
    <w:p w:rsidR="005359E3" w:rsidRDefault="005359E3" w:rsidP="006E2ADB">
      <w:pPr>
        <w:widowControl/>
        <w:ind w:left="720"/>
        <w:rPr>
          <w:rFonts w:ascii="Times New Roman" w:eastAsia="MS Mincho" w:hAnsi="Times New Roman"/>
        </w:rPr>
      </w:pPr>
    </w:p>
    <w:p w:rsidR="00B71905" w:rsidRDefault="00B71905" w:rsidP="006E2ADB">
      <w:pPr>
        <w:widowControl/>
        <w:ind w:left="720"/>
        <w:rPr>
          <w:rFonts w:ascii="Times New Roman" w:eastAsia="MS Mincho" w:hAnsi="Times New Roman"/>
        </w:rPr>
      </w:pPr>
      <w:r w:rsidRPr="00B71905">
        <w:rPr>
          <w:rFonts w:ascii="Times New Roman" w:eastAsia="MS Mincho" w:hAnsi="Times New Roman"/>
        </w:rPr>
        <w:t xml:space="preserve">The Department estimates that </w:t>
      </w:r>
      <w:r w:rsidR="004E1232">
        <w:rPr>
          <w:rFonts w:ascii="Times New Roman" w:eastAsia="MS Mincho" w:hAnsi="Times New Roman"/>
        </w:rPr>
        <w:t>a</w:t>
      </w:r>
      <w:r w:rsidR="004E1232" w:rsidRPr="004E1232">
        <w:rPr>
          <w:rFonts w:ascii="Times New Roman" w:eastAsia="MS Mincho" w:hAnsi="Times New Roman"/>
        </w:rPr>
        <w:t>pproximately 3</w:t>
      </w:r>
      <w:r w:rsidR="005374C5">
        <w:rPr>
          <w:rFonts w:ascii="Times New Roman" w:eastAsia="MS Mincho" w:hAnsi="Times New Roman"/>
        </w:rPr>
        <w:t>6,0</w:t>
      </w:r>
      <w:r w:rsidR="004E1232" w:rsidRPr="004E1232">
        <w:rPr>
          <w:rFonts w:ascii="Times New Roman" w:eastAsia="MS Mincho" w:hAnsi="Times New Roman"/>
        </w:rPr>
        <w:t>00 independent plan fiduciaries with financial expertise would receive the independent plan fiduciary with financial expertise disclosure</w:t>
      </w:r>
      <w:r w:rsidRPr="00B71905">
        <w:rPr>
          <w:rFonts w:ascii="Times New Roman" w:eastAsia="MS Mincho" w:hAnsi="Times New Roman"/>
        </w:rPr>
        <w:t>.</w:t>
      </w:r>
      <w:r w:rsidR="00CA759E" w:rsidRPr="00CF43D6">
        <w:rPr>
          <w:rStyle w:val="FootnoteReference"/>
          <w:rFonts w:ascii="Times New Roman" w:eastAsia="MS Mincho" w:hAnsi="Times New Roman"/>
          <w:vertAlign w:val="superscript"/>
        </w:rPr>
        <w:footnoteReference w:id="1"/>
      </w:r>
    </w:p>
    <w:p w:rsidR="00B71905" w:rsidRDefault="00B71905" w:rsidP="006E2ADB">
      <w:pPr>
        <w:widowControl/>
        <w:ind w:left="720"/>
        <w:rPr>
          <w:rFonts w:ascii="Times New Roman" w:eastAsia="MS Mincho" w:hAnsi="Times New Roman"/>
        </w:rPr>
      </w:pPr>
    </w:p>
    <w:p w:rsidR="009301AE" w:rsidRDefault="00AD0D61" w:rsidP="006E2ADB">
      <w:pPr>
        <w:widowControl/>
        <w:ind w:left="720"/>
        <w:rPr>
          <w:rFonts w:ascii="Times New Roman" w:eastAsia="MS Mincho" w:hAnsi="Times New Roman"/>
        </w:rPr>
      </w:pPr>
      <w:r w:rsidRPr="00AD0D61">
        <w:rPr>
          <w:rFonts w:ascii="Times New Roman" w:eastAsia="MS Mincho" w:hAnsi="Times New Roman"/>
        </w:rPr>
        <w:t xml:space="preserve">The Department estimates that </w:t>
      </w:r>
      <w:r w:rsidR="006F0620">
        <w:rPr>
          <w:rFonts w:ascii="Times New Roman" w:eastAsia="MS Mincho" w:hAnsi="Times New Roman"/>
        </w:rPr>
        <w:t xml:space="preserve">it will take 25 minutes of </w:t>
      </w:r>
      <w:r w:rsidRPr="00AD0D61">
        <w:rPr>
          <w:rFonts w:ascii="Times New Roman" w:eastAsia="MS Mincho" w:hAnsi="Times New Roman"/>
        </w:rPr>
        <w:t xml:space="preserve">legal professional time </w:t>
      </w:r>
      <w:r w:rsidR="009301AE">
        <w:rPr>
          <w:rFonts w:ascii="Times New Roman" w:eastAsia="MS Mincho" w:hAnsi="Times New Roman"/>
        </w:rPr>
        <w:t>to produce the required disclosures</w:t>
      </w:r>
      <w:r w:rsidRPr="00AD0D61">
        <w:rPr>
          <w:rFonts w:ascii="Times New Roman" w:eastAsia="MS Mincho" w:hAnsi="Times New Roman"/>
        </w:rPr>
        <w:t xml:space="preserve">.  Therefore, the disclosures will result in approximately </w:t>
      </w:r>
      <w:r w:rsidR="006F0620">
        <w:rPr>
          <w:rFonts w:ascii="Times New Roman" w:eastAsia="MS Mincho" w:hAnsi="Times New Roman"/>
        </w:rPr>
        <w:t>15</w:t>
      </w:r>
      <w:r w:rsidRPr="00AD0D61">
        <w:rPr>
          <w:rFonts w:ascii="Times New Roman" w:eastAsia="MS Mincho" w:hAnsi="Times New Roman"/>
        </w:rPr>
        <w:t>,000 hours of legal time</w:t>
      </w:r>
      <w:r w:rsidR="00B71905">
        <w:rPr>
          <w:rFonts w:ascii="Times New Roman" w:eastAsia="MS Mincho" w:hAnsi="Times New Roman"/>
        </w:rPr>
        <w:t>.</w:t>
      </w:r>
      <w:r w:rsidR="00F81CF5" w:rsidRPr="005D5F36">
        <w:rPr>
          <w:rStyle w:val="FootnoteReference"/>
          <w:rFonts w:ascii="Times New Roman" w:eastAsia="MS Mincho" w:hAnsi="Times New Roman"/>
          <w:vertAlign w:val="superscript"/>
        </w:rPr>
        <w:footnoteReference w:id="2"/>
      </w:r>
      <w:r w:rsidR="00B71905">
        <w:rPr>
          <w:rFonts w:ascii="Times New Roman" w:eastAsia="MS Mincho" w:hAnsi="Times New Roman"/>
        </w:rPr>
        <w:t xml:space="preserve">  At an hourly wage rage of $1</w:t>
      </w:r>
      <w:r w:rsidR="00F94CCE">
        <w:rPr>
          <w:rFonts w:ascii="Times New Roman" w:eastAsia="MS Mincho" w:hAnsi="Times New Roman"/>
        </w:rPr>
        <w:t>33.61</w:t>
      </w:r>
      <w:r w:rsidR="00262B40">
        <w:rPr>
          <w:rFonts w:ascii="Times New Roman" w:eastAsia="MS Mincho" w:hAnsi="Times New Roman"/>
        </w:rPr>
        <w:t xml:space="preserve"> for in-house legal staff</w:t>
      </w:r>
      <w:r w:rsidR="00B71905">
        <w:rPr>
          <w:rFonts w:ascii="Times New Roman" w:eastAsia="MS Mincho" w:hAnsi="Times New Roman"/>
        </w:rPr>
        <w:t>,</w:t>
      </w:r>
      <w:r w:rsidR="005766AF" w:rsidRPr="005B4716">
        <w:rPr>
          <w:rFonts w:ascii="Times New Roman" w:hAnsi="Times New Roman"/>
          <w:iCs/>
          <w:vertAlign w:val="superscript"/>
        </w:rPr>
        <w:footnoteReference w:id="3"/>
      </w:r>
      <w:r w:rsidR="00B71905">
        <w:rPr>
          <w:rFonts w:ascii="Times New Roman" w:eastAsia="MS Mincho" w:hAnsi="Times New Roman"/>
        </w:rPr>
        <w:t xml:space="preserve"> this results in </w:t>
      </w:r>
      <w:r w:rsidRPr="00AD0D61">
        <w:rPr>
          <w:rFonts w:ascii="Times New Roman" w:eastAsia="MS Mincho" w:hAnsi="Times New Roman"/>
        </w:rPr>
        <w:t>an equivalent cost of approximately $</w:t>
      </w:r>
      <w:r w:rsidR="00F94CCE">
        <w:rPr>
          <w:rFonts w:ascii="Times New Roman" w:eastAsia="MS Mincho" w:hAnsi="Times New Roman"/>
        </w:rPr>
        <w:t>2.0</w:t>
      </w:r>
      <w:r w:rsidRPr="00AD0D61">
        <w:rPr>
          <w:rFonts w:ascii="Times New Roman" w:eastAsia="MS Mincho" w:hAnsi="Times New Roman"/>
        </w:rPr>
        <w:t xml:space="preserve"> million.</w:t>
      </w:r>
      <w:r w:rsidR="0069590B" w:rsidRPr="00DE0439">
        <w:rPr>
          <w:rStyle w:val="FootnoteReference"/>
          <w:rFonts w:ascii="Times New Roman" w:eastAsia="MS Mincho" w:hAnsi="Times New Roman"/>
          <w:vertAlign w:val="superscript"/>
        </w:rPr>
        <w:footnoteReference w:id="4"/>
      </w:r>
    </w:p>
    <w:p w:rsidR="009301AE" w:rsidRDefault="009301AE" w:rsidP="006E2ADB">
      <w:pPr>
        <w:widowControl/>
        <w:ind w:left="720"/>
        <w:rPr>
          <w:rFonts w:ascii="Times New Roman" w:eastAsia="MS Mincho" w:hAnsi="Times New Roman"/>
        </w:rPr>
      </w:pPr>
    </w:p>
    <w:p w:rsidR="00262B40" w:rsidRDefault="009301AE" w:rsidP="006E2ADB">
      <w:pPr>
        <w:widowControl/>
        <w:ind w:left="720"/>
        <w:rPr>
          <w:rFonts w:ascii="Times New Roman" w:eastAsia="MS Mincho" w:hAnsi="Times New Roman"/>
        </w:rPr>
      </w:pPr>
      <w:r>
        <w:rPr>
          <w:rFonts w:ascii="Times New Roman" w:eastAsia="MS Mincho" w:hAnsi="Times New Roman"/>
        </w:rPr>
        <w:t xml:space="preserve">The Department </w:t>
      </w:r>
      <w:r w:rsidR="00262B40">
        <w:rPr>
          <w:rFonts w:ascii="Times New Roman" w:eastAsia="MS Mincho" w:hAnsi="Times New Roman"/>
        </w:rPr>
        <w:t xml:space="preserve">also </w:t>
      </w:r>
      <w:r>
        <w:rPr>
          <w:rFonts w:ascii="Times New Roman" w:eastAsia="MS Mincho" w:hAnsi="Times New Roman"/>
        </w:rPr>
        <w:t xml:space="preserve">estimates that </w:t>
      </w:r>
      <w:r w:rsidR="0078299D">
        <w:rPr>
          <w:rFonts w:ascii="Times New Roman" w:eastAsia="MS Mincho" w:hAnsi="Times New Roman"/>
        </w:rPr>
        <w:t>it will take</w:t>
      </w:r>
      <w:r>
        <w:rPr>
          <w:rFonts w:ascii="Times New Roman" w:eastAsia="MS Mincho" w:hAnsi="Times New Roman"/>
        </w:rPr>
        <w:t xml:space="preserve"> 30 minutes of clerical time to produce the required disclosures.  Therefore, t</w:t>
      </w:r>
      <w:r w:rsidR="00AD0D61" w:rsidRPr="00AD0D61">
        <w:rPr>
          <w:rFonts w:ascii="Times New Roman" w:eastAsia="MS Mincho" w:hAnsi="Times New Roman"/>
        </w:rPr>
        <w:t xml:space="preserve">he disclosures will result in approximately </w:t>
      </w:r>
      <w:r w:rsidR="00F94CCE">
        <w:rPr>
          <w:rFonts w:ascii="Times New Roman" w:eastAsia="MS Mincho" w:hAnsi="Times New Roman"/>
        </w:rPr>
        <w:t>18</w:t>
      </w:r>
      <w:r w:rsidR="00AD0D61" w:rsidRPr="00AD0D61">
        <w:rPr>
          <w:rFonts w:ascii="Times New Roman" w:eastAsia="MS Mincho" w:hAnsi="Times New Roman"/>
        </w:rPr>
        <w:t xml:space="preserve">,000 hours </w:t>
      </w:r>
      <w:r w:rsidR="00AD0D61" w:rsidRPr="00AD0D61">
        <w:rPr>
          <w:rFonts w:ascii="Times New Roman" w:eastAsia="MS Mincho" w:hAnsi="Times New Roman"/>
        </w:rPr>
        <w:lastRenderedPageBreak/>
        <w:t>of clerical time</w:t>
      </w:r>
      <w:r w:rsidR="00262B40">
        <w:rPr>
          <w:rFonts w:ascii="Times New Roman" w:eastAsia="MS Mincho" w:hAnsi="Times New Roman"/>
        </w:rPr>
        <w:t>.</w:t>
      </w:r>
      <w:r w:rsidR="00C91A7C" w:rsidRPr="00F81CF5">
        <w:rPr>
          <w:rStyle w:val="FootnoteReference"/>
          <w:rFonts w:ascii="Times New Roman" w:eastAsia="MS Mincho" w:hAnsi="Times New Roman"/>
          <w:vertAlign w:val="superscript"/>
        </w:rPr>
        <w:footnoteReference w:id="5"/>
      </w:r>
      <w:r w:rsidR="00262B40" w:rsidRPr="00F81CF5">
        <w:rPr>
          <w:rFonts w:ascii="Times New Roman" w:eastAsia="MS Mincho" w:hAnsi="Times New Roman"/>
          <w:vertAlign w:val="superscript"/>
        </w:rPr>
        <w:t xml:space="preserve"> </w:t>
      </w:r>
      <w:r w:rsidR="00262B40">
        <w:rPr>
          <w:rFonts w:ascii="Times New Roman" w:eastAsia="MS Mincho" w:hAnsi="Times New Roman"/>
        </w:rPr>
        <w:t xml:space="preserve"> At an hourly wage rage of $</w:t>
      </w:r>
      <w:r w:rsidR="00F94CCE">
        <w:rPr>
          <w:rFonts w:ascii="Times New Roman" w:eastAsia="MS Mincho" w:hAnsi="Times New Roman"/>
        </w:rPr>
        <w:t>55.21</w:t>
      </w:r>
      <w:r w:rsidR="00262B40">
        <w:rPr>
          <w:rFonts w:ascii="Times New Roman" w:eastAsia="MS Mincho" w:hAnsi="Times New Roman"/>
        </w:rPr>
        <w:t xml:space="preserve"> for clerical staff, this results in </w:t>
      </w:r>
      <w:r w:rsidR="00AD0D61" w:rsidRPr="00AD0D61">
        <w:rPr>
          <w:rFonts w:ascii="Times New Roman" w:eastAsia="MS Mincho" w:hAnsi="Times New Roman"/>
        </w:rPr>
        <w:t xml:space="preserve">an equivalent cost of approximately </w:t>
      </w:r>
      <w:r w:rsidR="00262B40">
        <w:rPr>
          <w:rFonts w:ascii="Times New Roman" w:eastAsia="MS Mincho" w:hAnsi="Times New Roman"/>
        </w:rPr>
        <w:t>$</w:t>
      </w:r>
      <w:r w:rsidR="00AD3167">
        <w:rPr>
          <w:rFonts w:ascii="Times New Roman" w:eastAsia="MS Mincho" w:hAnsi="Times New Roman"/>
        </w:rPr>
        <w:t>9</w:t>
      </w:r>
      <w:r w:rsidR="004D3320">
        <w:rPr>
          <w:rFonts w:ascii="Times New Roman" w:eastAsia="MS Mincho" w:hAnsi="Times New Roman"/>
        </w:rPr>
        <w:t>94</w:t>
      </w:r>
      <w:r w:rsidR="00262B40">
        <w:rPr>
          <w:rFonts w:ascii="Times New Roman" w:eastAsia="MS Mincho" w:hAnsi="Times New Roman"/>
        </w:rPr>
        <w:t>,000.</w:t>
      </w:r>
      <w:r w:rsidR="00742337" w:rsidRPr="008317AD">
        <w:rPr>
          <w:rStyle w:val="FootnoteReference"/>
          <w:rFonts w:ascii="Times New Roman" w:eastAsia="MS Mincho" w:hAnsi="Times New Roman"/>
          <w:vertAlign w:val="superscript"/>
        </w:rPr>
        <w:footnoteReference w:id="6"/>
      </w:r>
    </w:p>
    <w:p w:rsidR="00262B40" w:rsidRDefault="00262B40" w:rsidP="006E2ADB">
      <w:pPr>
        <w:widowControl/>
        <w:ind w:left="720"/>
        <w:rPr>
          <w:rFonts w:ascii="Times New Roman" w:eastAsia="MS Mincho" w:hAnsi="Times New Roman"/>
        </w:rPr>
      </w:pPr>
    </w:p>
    <w:p w:rsidR="00AD0D61" w:rsidRDefault="00AD0D61" w:rsidP="006E2ADB">
      <w:pPr>
        <w:widowControl/>
        <w:ind w:left="720"/>
        <w:rPr>
          <w:rFonts w:ascii="Times New Roman" w:eastAsia="MS Mincho" w:hAnsi="Times New Roman"/>
        </w:rPr>
      </w:pPr>
      <w:r w:rsidRPr="00AD0D61">
        <w:rPr>
          <w:rFonts w:ascii="Times New Roman" w:eastAsia="MS Mincho" w:hAnsi="Times New Roman"/>
        </w:rPr>
        <w:t xml:space="preserve">In total, the burden associated with </w:t>
      </w:r>
      <w:r w:rsidR="00C552B6">
        <w:rPr>
          <w:rFonts w:ascii="Times New Roman" w:eastAsia="MS Mincho" w:hAnsi="Times New Roman"/>
        </w:rPr>
        <w:t>the</w:t>
      </w:r>
      <w:r w:rsidR="00625CD9">
        <w:rPr>
          <w:rFonts w:ascii="Times New Roman" w:eastAsia="MS Mincho" w:hAnsi="Times New Roman"/>
        </w:rPr>
        <w:t xml:space="preserve"> disclosure required for independent fiduciaries with financial expertise</w:t>
      </w:r>
      <w:r w:rsidR="00C552B6">
        <w:rPr>
          <w:rFonts w:ascii="Times New Roman" w:eastAsia="MS Mincho" w:hAnsi="Times New Roman"/>
        </w:rPr>
        <w:t xml:space="preserve"> is</w:t>
      </w:r>
      <w:r w:rsidRPr="00AD0D61">
        <w:rPr>
          <w:rFonts w:ascii="Times New Roman" w:eastAsia="MS Mincho" w:hAnsi="Times New Roman"/>
        </w:rPr>
        <w:t xml:space="preserve"> approximately </w:t>
      </w:r>
      <w:r w:rsidR="00AD3167">
        <w:rPr>
          <w:rFonts w:ascii="Times New Roman" w:eastAsia="MS Mincho" w:hAnsi="Times New Roman"/>
        </w:rPr>
        <w:t>33</w:t>
      </w:r>
      <w:r w:rsidRPr="00AD0D61">
        <w:rPr>
          <w:rFonts w:ascii="Times New Roman" w:eastAsia="MS Mincho" w:hAnsi="Times New Roman"/>
        </w:rPr>
        <w:t>,000 hours at an equivalent cost of $</w:t>
      </w:r>
      <w:r w:rsidR="00AD3167">
        <w:rPr>
          <w:rFonts w:ascii="Times New Roman" w:eastAsia="MS Mincho" w:hAnsi="Times New Roman"/>
        </w:rPr>
        <w:t>3.0</w:t>
      </w:r>
      <w:r w:rsidRPr="00AD0D61">
        <w:rPr>
          <w:rFonts w:ascii="Times New Roman" w:eastAsia="MS Mincho" w:hAnsi="Times New Roman"/>
        </w:rPr>
        <w:t xml:space="preserve"> million.</w:t>
      </w:r>
    </w:p>
    <w:p w:rsidR="00C552B6" w:rsidRDefault="00C552B6" w:rsidP="006E2ADB">
      <w:pPr>
        <w:widowControl/>
        <w:ind w:left="720"/>
        <w:rPr>
          <w:rFonts w:ascii="Times New Roman" w:eastAsia="MS Mincho" w:hAnsi="Times New Roman"/>
        </w:rPr>
      </w:pPr>
    </w:p>
    <w:p w:rsidR="00C552B6" w:rsidRDefault="00AD3167" w:rsidP="006E2ADB">
      <w:pPr>
        <w:widowControl/>
        <w:ind w:left="720"/>
        <w:rPr>
          <w:rFonts w:ascii="Times New Roman" w:eastAsia="MS Mincho" w:hAnsi="Times New Roman"/>
          <w:u w:val="single"/>
        </w:rPr>
      </w:pPr>
      <w:r>
        <w:rPr>
          <w:rFonts w:ascii="Times New Roman" w:eastAsia="MS Mincho" w:hAnsi="Times New Roman"/>
          <w:u w:val="single"/>
        </w:rPr>
        <w:t xml:space="preserve">Transactions Involving </w:t>
      </w:r>
      <w:r w:rsidR="00C552B6">
        <w:rPr>
          <w:rFonts w:ascii="Times New Roman" w:eastAsia="MS Mincho" w:hAnsi="Times New Roman"/>
          <w:u w:val="single"/>
        </w:rPr>
        <w:t>Platform Provider</w:t>
      </w:r>
      <w:r>
        <w:rPr>
          <w:rFonts w:ascii="Times New Roman" w:eastAsia="MS Mincho" w:hAnsi="Times New Roman"/>
          <w:u w:val="single"/>
        </w:rPr>
        <w:t>s</w:t>
      </w:r>
    </w:p>
    <w:p w:rsidR="00D958E5" w:rsidRDefault="00D958E5" w:rsidP="006E2ADB">
      <w:pPr>
        <w:widowControl/>
        <w:ind w:left="720"/>
        <w:rPr>
          <w:rFonts w:ascii="Times New Roman" w:eastAsia="MS Mincho" w:hAnsi="Times New Roman"/>
          <w:u w:val="single"/>
        </w:rPr>
      </w:pPr>
    </w:p>
    <w:p w:rsidR="00C552B6" w:rsidRDefault="00C552B6" w:rsidP="006E2ADB">
      <w:pPr>
        <w:widowControl/>
        <w:ind w:left="720"/>
        <w:rPr>
          <w:rFonts w:ascii="Times New Roman" w:eastAsia="MS Mincho" w:hAnsi="Times New Roman"/>
        </w:rPr>
      </w:pPr>
      <w:r>
        <w:rPr>
          <w:rFonts w:ascii="Times New Roman" w:eastAsia="MS Mincho" w:hAnsi="Times New Roman"/>
        </w:rPr>
        <w:t xml:space="preserve">The Department estimates that </w:t>
      </w:r>
      <w:r w:rsidR="00BF56C3">
        <w:rPr>
          <w:rFonts w:ascii="Times New Roman" w:eastAsia="MS Mincho" w:hAnsi="Times New Roman"/>
        </w:rPr>
        <w:t>2,000</w:t>
      </w:r>
      <w:r w:rsidR="00ED1652">
        <w:rPr>
          <w:rFonts w:ascii="Times New Roman" w:eastAsia="MS Mincho" w:hAnsi="Times New Roman"/>
        </w:rPr>
        <w:t xml:space="preserve"> service providers</w:t>
      </w:r>
      <w:r w:rsidR="009F28A4" w:rsidRPr="004C15EE">
        <w:rPr>
          <w:rStyle w:val="FootnoteReference"/>
          <w:rFonts w:ascii="Times New Roman" w:eastAsia="MS Mincho" w:hAnsi="Times New Roman"/>
          <w:vertAlign w:val="superscript"/>
        </w:rPr>
        <w:footnoteReference w:id="7"/>
      </w:r>
      <w:r w:rsidR="00ED1652">
        <w:rPr>
          <w:rFonts w:ascii="Times New Roman" w:eastAsia="MS Mincho" w:hAnsi="Times New Roman"/>
        </w:rPr>
        <w:t xml:space="preserve"> will use the platform provider limitation.</w:t>
      </w:r>
    </w:p>
    <w:p w:rsidR="00ED1652" w:rsidRDefault="00ED1652" w:rsidP="006E2ADB">
      <w:pPr>
        <w:widowControl/>
        <w:ind w:left="720"/>
        <w:rPr>
          <w:rFonts w:ascii="Times New Roman" w:eastAsia="MS Mincho" w:hAnsi="Times New Roman"/>
        </w:rPr>
      </w:pPr>
    </w:p>
    <w:p w:rsidR="00ED1652" w:rsidRDefault="00ED1652" w:rsidP="006E2ADB">
      <w:pPr>
        <w:widowControl/>
        <w:ind w:left="720"/>
        <w:rPr>
          <w:rFonts w:ascii="Times New Roman" w:eastAsia="MS Mincho" w:hAnsi="Times New Roman"/>
        </w:rPr>
      </w:pPr>
      <w:r>
        <w:rPr>
          <w:rFonts w:ascii="Times New Roman" w:eastAsia="MS Mincho" w:hAnsi="Times New Roman"/>
        </w:rPr>
        <w:t>The Department estimates that each service provider will require ten minutes of legal professional time to adjust existing service provi</w:t>
      </w:r>
      <w:r w:rsidR="004004F7">
        <w:rPr>
          <w:rFonts w:ascii="Times New Roman" w:eastAsia="MS Mincho" w:hAnsi="Times New Roman"/>
        </w:rPr>
        <w:t>der contracts to include the required disclosure.  Therefore, the disclosure will result in approximately 300 hours of legal time.</w:t>
      </w:r>
      <w:r w:rsidR="004004F7" w:rsidRPr="00751E06">
        <w:rPr>
          <w:rStyle w:val="FootnoteReference"/>
          <w:rFonts w:ascii="Times New Roman" w:eastAsia="MS Mincho" w:hAnsi="Times New Roman"/>
          <w:vertAlign w:val="superscript"/>
        </w:rPr>
        <w:footnoteReference w:id="8"/>
      </w:r>
      <w:r w:rsidR="004004F7">
        <w:rPr>
          <w:rFonts w:ascii="Times New Roman" w:eastAsia="MS Mincho" w:hAnsi="Times New Roman"/>
        </w:rPr>
        <w:t xml:space="preserve"> </w:t>
      </w:r>
      <w:r w:rsidR="00751E06">
        <w:rPr>
          <w:rFonts w:ascii="Times New Roman" w:eastAsia="MS Mincho" w:hAnsi="Times New Roman"/>
        </w:rPr>
        <w:t xml:space="preserve"> At an hourly wage rate of $1</w:t>
      </w:r>
      <w:r w:rsidR="0085188A">
        <w:rPr>
          <w:rFonts w:ascii="Times New Roman" w:eastAsia="MS Mincho" w:hAnsi="Times New Roman"/>
        </w:rPr>
        <w:t>33.61</w:t>
      </w:r>
      <w:r w:rsidR="00751E06">
        <w:rPr>
          <w:rFonts w:ascii="Times New Roman" w:eastAsia="MS Mincho" w:hAnsi="Times New Roman"/>
        </w:rPr>
        <w:t xml:space="preserve"> for in-house legal staff, this results in an equivalent cost of $</w:t>
      </w:r>
      <w:r w:rsidR="0085188A">
        <w:rPr>
          <w:rFonts w:ascii="Times New Roman" w:eastAsia="MS Mincho" w:hAnsi="Times New Roman"/>
        </w:rPr>
        <w:t>45</w:t>
      </w:r>
      <w:r w:rsidR="00751E06">
        <w:rPr>
          <w:rFonts w:ascii="Times New Roman" w:eastAsia="MS Mincho" w:hAnsi="Times New Roman"/>
        </w:rPr>
        <w:t>,000.</w:t>
      </w:r>
      <w:r w:rsidR="00DE0439" w:rsidRPr="00DE0439">
        <w:rPr>
          <w:rStyle w:val="FootnoteReference"/>
          <w:rFonts w:ascii="Times New Roman" w:eastAsia="MS Mincho" w:hAnsi="Times New Roman"/>
          <w:vertAlign w:val="superscript"/>
        </w:rPr>
        <w:footnoteReference w:id="9"/>
      </w:r>
    </w:p>
    <w:p w:rsidR="00EF3642" w:rsidRDefault="00EF3642" w:rsidP="006E2ADB">
      <w:pPr>
        <w:widowControl/>
        <w:ind w:left="720"/>
        <w:rPr>
          <w:rFonts w:ascii="Times New Roman" w:eastAsia="MS Mincho" w:hAnsi="Times New Roman"/>
        </w:rPr>
      </w:pPr>
    </w:p>
    <w:p w:rsidR="00751E06" w:rsidRDefault="00751E06" w:rsidP="006E2ADB">
      <w:pPr>
        <w:widowControl/>
        <w:ind w:left="720"/>
        <w:rPr>
          <w:rFonts w:ascii="Times New Roman" w:eastAsia="MS Mincho" w:hAnsi="Times New Roman"/>
          <w:u w:val="single"/>
        </w:rPr>
      </w:pPr>
      <w:r>
        <w:rPr>
          <w:rFonts w:ascii="Times New Roman" w:eastAsia="MS Mincho" w:hAnsi="Times New Roman"/>
          <w:u w:val="single"/>
        </w:rPr>
        <w:t>Investment Education</w:t>
      </w:r>
    </w:p>
    <w:p w:rsidR="0085090C" w:rsidRDefault="0085090C" w:rsidP="006E2ADB">
      <w:pPr>
        <w:widowControl/>
        <w:ind w:left="720"/>
        <w:rPr>
          <w:rFonts w:ascii="Times New Roman" w:eastAsia="MS Mincho" w:hAnsi="Times New Roman"/>
          <w:u w:val="single"/>
        </w:rPr>
      </w:pPr>
    </w:p>
    <w:p w:rsidR="00476D19" w:rsidRDefault="00751E06" w:rsidP="006E2ADB">
      <w:pPr>
        <w:widowControl/>
        <w:ind w:left="720"/>
        <w:rPr>
          <w:rFonts w:ascii="Times New Roman" w:eastAsia="MS Mincho" w:hAnsi="Times New Roman"/>
        </w:rPr>
      </w:pPr>
      <w:r>
        <w:rPr>
          <w:rFonts w:ascii="Times New Roman" w:eastAsia="MS Mincho" w:hAnsi="Times New Roman"/>
        </w:rPr>
        <w:t xml:space="preserve">The Department estimates that </w:t>
      </w:r>
      <w:r w:rsidR="00307A1F">
        <w:rPr>
          <w:rFonts w:ascii="Times New Roman" w:eastAsia="MS Mincho" w:hAnsi="Times New Roman"/>
        </w:rPr>
        <w:t>a</w:t>
      </w:r>
      <w:r w:rsidR="00307A1F" w:rsidRPr="00307A1F">
        <w:rPr>
          <w:rFonts w:ascii="Times New Roman" w:eastAsia="MS Mincho" w:hAnsi="Times New Roman"/>
        </w:rPr>
        <w:t>pproximately 23,</w:t>
      </w:r>
      <w:r w:rsidR="005B6D67">
        <w:rPr>
          <w:rFonts w:ascii="Times New Roman" w:eastAsia="MS Mincho" w:hAnsi="Times New Roman"/>
        </w:rPr>
        <w:t>5</w:t>
      </w:r>
      <w:r w:rsidR="00307A1F" w:rsidRPr="00307A1F">
        <w:rPr>
          <w:rFonts w:ascii="Times New Roman" w:eastAsia="MS Mincho" w:hAnsi="Times New Roman"/>
        </w:rPr>
        <w:t>00 financial institutions and service providers will add the investment education disclosure to their investment education materials</w:t>
      </w:r>
      <w:r w:rsidR="00476D19">
        <w:rPr>
          <w:rFonts w:ascii="Times New Roman" w:eastAsia="MS Mincho" w:hAnsi="Times New Roman"/>
        </w:rPr>
        <w:t>.</w:t>
      </w:r>
      <w:r w:rsidR="00307A1F" w:rsidRPr="00CF43D6">
        <w:rPr>
          <w:rStyle w:val="FootnoteReference"/>
          <w:rFonts w:ascii="Times New Roman" w:eastAsia="MS Mincho" w:hAnsi="Times New Roman"/>
          <w:vertAlign w:val="superscript"/>
        </w:rPr>
        <w:footnoteReference w:id="10"/>
      </w:r>
      <w:r w:rsidR="000E518E">
        <w:rPr>
          <w:rFonts w:ascii="Times New Roman" w:eastAsia="MS Mincho" w:hAnsi="Times New Roman"/>
        </w:rPr>
        <w:t xml:space="preserve"> </w:t>
      </w:r>
      <w:r w:rsidR="00476D19">
        <w:rPr>
          <w:rFonts w:ascii="Times New Roman" w:eastAsia="MS Mincho" w:hAnsi="Times New Roman"/>
        </w:rPr>
        <w:t xml:space="preserve">The Department estimates that each financial institution will require </w:t>
      </w:r>
      <w:r w:rsidR="00C92B8E">
        <w:rPr>
          <w:rFonts w:ascii="Times New Roman" w:eastAsia="MS Mincho" w:hAnsi="Times New Roman"/>
        </w:rPr>
        <w:t>one hour</w:t>
      </w:r>
      <w:r w:rsidR="00476D19">
        <w:rPr>
          <w:rFonts w:ascii="Times New Roman" w:eastAsia="MS Mincho" w:hAnsi="Times New Roman"/>
        </w:rPr>
        <w:t xml:space="preserve"> </w:t>
      </w:r>
      <w:r w:rsidR="00476D19">
        <w:rPr>
          <w:rFonts w:ascii="Times New Roman" w:eastAsia="MS Mincho" w:hAnsi="Times New Roman"/>
        </w:rPr>
        <w:lastRenderedPageBreak/>
        <w:t>of legal p</w:t>
      </w:r>
      <w:r w:rsidR="00AC2F6E">
        <w:rPr>
          <w:rFonts w:ascii="Times New Roman" w:eastAsia="MS Mincho" w:hAnsi="Times New Roman"/>
        </w:rPr>
        <w:t xml:space="preserve">rofessional time to adjust existing investment materials to include the required disclosure.  Therefore, the disclosure will result in approximately </w:t>
      </w:r>
      <w:r w:rsidR="00403D1D">
        <w:rPr>
          <w:rFonts w:ascii="Times New Roman" w:eastAsia="MS Mincho" w:hAnsi="Times New Roman"/>
        </w:rPr>
        <w:t>2</w:t>
      </w:r>
      <w:r w:rsidR="00E77A4C">
        <w:rPr>
          <w:rFonts w:ascii="Times New Roman" w:eastAsia="MS Mincho" w:hAnsi="Times New Roman"/>
        </w:rPr>
        <w:t>3</w:t>
      </w:r>
      <w:r w:rsidR="00403D1D">
        <w:rPr>
          <w:rFonts w:ascii="Times New Roman" w:eastAsia="MS Mincho" w:hAnsi="Times New Roman"/>
        </w:rPr>
        <w:t>,</w:t>
      </w:r>
      <w:r w:rsidR="005B6D67">
        <w:rPr>
          <w:rFonts w:ascii="Times New Roman" w:eastAsia="MS Mincho" w:hAnsi="Times New Roman"/>
        </w:rPr>
        <w:t>5</w:t>
      </w:r>
      <w:r w:rsidR="00403D1D">
        <w:rPr>
          <w:rFonts w:ascii="Times New Roman" w:eastAsia="MS Mincho" w:hAnsi="Times New Roman"/>
        </w:rPr>
        <w:t>00</w:t>
      </w:r>
      <w:r w:rsidR="00AC2F6E">
        <w:rPr>
          <w:rFonts w:ascii="Times New Roman" w:eastAsia="MS Mincho" w:hAnsi="Times New Roman"/>
        </w:rPr>
        <w:t xml:space="preserve"> hours of legal time.</w:t>
      </w:r>
      <w:r w:rsidR="00AC2F6E" w:rsidRPr="00AC2F6E">
        <w:rPr>
          <w:rStyle w:val="FootnoteReference"/>
          <w:rFonts w:ascii="Times New Roman" w:eastAsia="MS Mincho" w:hAnsi="Times New Roman"/>
          <w:vertAlign w:val="superscript"/>
        </w:rPr>
        <w:footnoteReference w:id="11"/>
      </w:r>
      <w:r w:rsidR="00AB533F">
        <w:rPr>
          <w:rFonts w:ascii="Times New Roman" w:eastAsia="MS Mincho" w:hAnsi="Times New Roman"/>
        </w:rPr>
        <w:t xml:space="preserve">  At an hourly wage rate of $1</w:t>
      </w:r>
      <w:r w:rsidR="00403D1D">
        <w:rPr>
          <w:rFonts w:ascii="Times New Roman" w:eastAsia="MS Mincho" w:hAnsi="Times New Roman"/>
        </w:rPr>
        <w:t>33.61</w:t>
      </w:r>
      <w:r w:rsidR="00AB533F">
        <w:rPr>
          <w:rFonts w:ascii="Times New Roman" w:eastAsia="MS Mincho" w:hAnsi="Times New Roman"/>
        </w:rPr>
        <w:t xml:space="preserve"> for in-house legal staff, this results in an equivalent cost of $</w:t>
      </w:r>
      <w:r w:rsidR="00403D1D">
        <w:rPr>
          <w:rFonts w:ascii="Times New Roman" w:eastAsia="MS Mincho" w:hAnsi="Times New Roman"/>
        </w:rPr>
        <w:t>3.1 million</w:t>
      </w:r>
      <w:r w:rsidR="00AB533F">
        <w:rPr>
          <w:rFonts w:ascii="Times New Roman" w:eastAsia="MS Mincho" w:hAnsi="Times New Roman"/>
        </w:rPr>
        <w:t>.</w:t>
      </w:r>
      <w:r w:rsidR="0014357A" w:rsidRPr="00277C52">
        <w:rPr>
          <w:rStyle w:val="FootnoteReference"/>
          <w:rFonts w:ascii="Times New Roman" w:eastAsia="MS Mincho" w:hAnsi="Times New Roman"/>
          <w:vertAlign w:val="superscript"/>
        </w:rPr>
        <w:footnoteReference w:id="12"/>
      </w:r>
    </w:p>
    <w:p w:rsidR="00AB533F" w:rsidRDefault="00AB533F" w:rsidP="006E2ADB">
      <w:pPr>
        <w:widowControl/>
        <w:ind w:left="720"/>
        <w:rPr>
          <w:rFonts w:ascii="Times New Roman" w:eastAsia="MS Mincho" w:hAnsi="Times New Roman"/>
        </w:rPr>
      </w:pPr>
    </w:p>
    <w:p w:rsidR="00194162" w:rsidRDefault="00194162" w:rsidP="006E2ADB">
      <w:pPr>
        <w:widowControl/>
        <w:ind w:left="720"/>
        <w:rPr>
          <w:rFonts w:ascii="Times New Roman" w:eastAsia="MS Mincho" w:hAnsi="Times New Roman"/>
          <w:u w:val="single"/>
        </w:rPr>
      </w:pPr>
      <w:r>
        <w:rPr>
          <w:rFonts w:ascii="Times New Roman" w:eastAsia="MS Mincho" w:hAnsi="Times New Roman"/>
          <w:u w:val="single"/>
        </w:rPr>
        <w:t>Swap Transactions</w:t>
      </w:r>
    </w:p>
    <w:p w:rsidR="00194162" w:rsidRDefault="00194162" w:rsidP="006E2ADB">
      <w:pPr>
        <w:widowControl/>
        <w:ind w:left="720"/>
        <w:rPr>
          <w:rFonts w:ascii="Times New Roman" w:eastAsia="MS Mincho" w:hAnsi="Times New Roman"/>
        </w:rPr>
      </w:pPr>
    </w:p>
    <w:p w:rsidR="00194162" w:rsidRPr="00CF43D6" w:rsidRDefault="00194162" w:rsidP="006E2ADB">
      <w:pPr>
        <w:widowControl/>
        <w:ind w:left="720"/>
        <w:rPr>
          <w:rFonts w:ascii="Times New Roman" w:eastAsia="MS Mincho" w:hAnsi="Times New Roman"/>
        </w:rPr>
      </w:pPr>
      <w:r w:rsidRPr="00194162">
        <w:rPr>
          <w:rFonts w:ascii="Times New Roman" w:eastAsia="MS Mincho" w:hAnsi="Times New Roman"/>
        </w:rPr>
        <w:t xml:space="preserve">Plan fiduciaries covered by the swap transactions provision must already make the required representation to the counterparty under the Dodd Frank Act provisions governing cleared swap transactions.  This rule adds a requirement that the representation be made to the clearing member and financial institution involved in the transaction.  The Department believes that the incremental burden of this additional requirement would be de </w:t>
      </w:r>
      <w:proofErr w:type="spellStart"/>
      <w:r w:rsidRPr="00194162">
        <w:rPr>
          <w:rFonts w:ascii="Times New Roman" w:eastAsia="MS Mincho" w:hAnsi="Times New Roman"/>
        </w:rPr>
        <w:t>minimis</w:t>
      </w:r>
      <w:proofErr w:type="spellEnd"/>
      <w:r w:rsidRPr="00194162">
        <w:rPr>
          <w:rFonts w:ascii="Times New Roman" w:eastAsia="MS Mincho" w:hAnsi="Times New Roman"/>
        </w:rPr>
        <w:t xml:space="preserve">.  Plan fiduciaries would be required to add a few words to the representations required under the Dodd Frank Act provisions reflecting the additional recipients of the representation.  Due to the sophisticated nature of the entities engaging in swap transactions, the Department believes that all of these representations are transmitted electronically; therefore, the incremental burden of transmitting this representation to two additional parties is de </w:t>
      </w:r>
      <w:proofErr w:type="spellStart"/>
      <w:r w:rsidRPr="00194162">
        <w:rPr>
          <w:rFonts w:ascii="Times New Roman" w:eastAsia="MS Mincho" w:hAnsi="Times New Roman"/>
        </w:rPr>
        <w:t>minimis</w:t>
      </w:r>
      <w:proofErr w:type="spellEnd"/>
      <w:r w:rsidRPr="00194162">
        <w:rPr>
          <w:rFonts w:ascii="Times New Roman" w:eastAsia="MS Mincho" w:hAnsi="Times New Roman"/>
        </w:rPr>
        <w:t>.  Further, keeping records that the representation had been received is a usual and customary business practice.  Accordingly, the Department has not associated any burden with this ICR.</w:t>
      </w:r>
    </w:p>
    <w:p w:rsidR="00194162" w:rsidRDefault="00194162" w:rsidP="006E2ADB">
      <w:pPr>
        <w:widowControl/>
        <w:ind w:left="720"/>
        <w:rPr>
          <w:rFonts w:ascii="Times New Roman" w:eastAsia="MS Mincho" w:hAnsi="Times New Roman"/>
          <w:u w:val="single"/>
        </w:rPr>
      </w:pPr>
    </w:p>
    <w:p w:rsidR="00AB533F" w:rsidRDefault="00AB533F" w:rsidP="006E2ADB">
      <w:pPr>
        <w:widowControl/>
        <w:ind w:left="720"/>
        <w:rPr>
          <w:rFonts w:ascii="Times New Roman" w:eastAsia="MS Mincho" w:hAnsi="Times New Roman"/>
          <w:u w:val="single"/>
        </w:rPr>
      </w:pPr>
      <w:r>
        <w:rPr>
          <w:rFonts w:ascii="Times New Roman" w:eastAsia="MS Mincho" w:hAnsi="Times New Roman"/>
          <w:u w:val="single"/>
        </w:rPr>
        <w:t>Summary</w:t>
      </w:r>
    </w:p>
    <w:p w:rsidR="0085090C" w:rsidRDefault="0085090C" w:rsidP="006E2ADB">
      <w:pPr>
        <w:widowControl/>
        <w:ind w:left="720"/>
        <w:rPr>
          <w:rFonts w:ascii="Times New Roman" w:eastAsia="MS Mincho" w:hAnsi="Times New Roman"/>
          <w:u w:val="single"/>
        </w:rPr>
      </w:pPr>
    </w:p>
    <w:p w:rsidR="00AB533F" w:rsidRDefault="00AB533F" w:rsidP="006E2ADB">
      <w:pPr>
        <w:widowControl/>
        <w:ind w:left="720"/>
        <w:rPr>
          <w:rFonts w:ascii="Times New Roman" w:eastAsia="MS Mincho" w:hAnsi="Times New Roman"/>
        </w:rPr>
      </w:pPr>
      <w:r>
        <w:rPr>
          <w:rFonts w:ascii="Times New Roman" w:eastAsia="MS Mincho" w:hAnsi="Times New Roman"/>
        </w:rPr>
        <w:t xml:space="preserve">In total, </w:t>
      </w:r>
      <w:r w:rsidR="007C539E">
        <w:rPr>
          <w:rFonts w:ascii="Times New Roman" w:eastAsia="MS Mincho" w:hAnsi="Times New Roman"/>
        </w:rPr>
        <w:t xml:space="preserve">as seen in the table below, </w:t>
      </w:r>
      <w:r>
        <w:rPr>
          <w:rFonts w:ascii="Times New Roman" w:eastAsia="MS Mincho" w:hAnsi="Times New Roman"/>
        </w:rPr>
        <w:t xml:space="preserve">the </w:t>
      </w:r>
      <w:r w:rsidR="000E518E">
        <w:rPr>
          <w:rFonts w:ascii="Times New Roman" w:eastAsia="MS Mincho" w:hAnsi="Times New Roman"/>
        </w:rPr>
        <w:t xml:space="preserve">Department estimates that the </w:t>
      </w:r>
      <w:r>
        <w:rPr>
          <w:rFonts w:ascii="Times New Roman" w:eastAsia="MS Mincho" w:hAnsi="Times New Roman"/>
        </w:rPr>
        <w:t xml:space="preserve">disclosures required by the </w:t>
      </w:r>
      <w:r w:rsidR="00194162">
        <w:rPr>
          <w:rFonts w:ascii="Times New Roman" w:eastAsia="MS Mincho" w:hAnsi="Times New Roman"/>
        </w:rPr>
        <w:t>four types of communications</w:t>
      </w:r>
      <w:r>
        <w:rPr>
          <w:rFonts w:ascii="Times New Roman" w:eastAsia="MS Mincho" w:hAnsi="Times New Roman"/>
        </w:rPr>
        <w:t xml:space="preserve"> will </w:t>
      </w:r>
      <w:r w:rsidR="000E518E">
        <w:rPr>
          <w:rFonts w:ascii="Times New Roman" w:eastAsia="MS Mincho" w:hAnsi="Times New Roman"/>
        </w:rPr>
        <w:t>require</w:t>
      </w:r>
      <w:r>
        <w:rPr>
          <w:rFonts w:ascii="Times New Roman" w:eastAsia="MS Mincho" w:hAnsi="Times New Roman"/>
        </w:rPr>
        <w:t xml:space="preserve"> </w:t>
      </w:r>
      <w:r w:rsidR="00194162">
        <w:rPr>
          <w:rFonts w:ascii="Times New Roman" w:eastAsia="MS Mincho" w:hAnsi="Times New Roman"/>
        </w:rPr>
        <w:t>5</w:t>
      </w:r>
      <w:r w:rsidR="00810C73">
        <w:rPr>
          <w:rFonts w:ascii="Times New Roman" w:eastAsia="MS Mincho" w:hAnsi="Times New Roman"/>
        </w:rPr>
        <w:t>6</w:t>
      </w:r>
      <w:r w:rsidR="005668BA">
        <w:rPr>
          <w:rFonts w:ascii="Times New Roman" w:eastAsia="MS Mincho" w:hAnsi="Times New Roman"/>
        </w:rPr>
        <w:t>,</w:t>
      </w:r>
      <w:r w:rsidR="00810C73">
        <w:rPr>
          <w:rFonts w:ascii="Times New Roman" w:eastAsia="MS Mincho" w:hAnsi="Times New Roman"/>
        </w:rPr>
        <w:t>8</w:t>
      </w:r>
      <w:r w:rsidR="00194162">
        <w:rPr>
          <w:rFonts w:ascii="Times New Roman" w:eastAsia="MS Mincho" w:hAnsi="Times New Roman"/>
        </w:rPr>
        <w:t>00</w:t>
      </w:r>
      <w:r>
        <w:rPr>
          <w:rFonts w:ascii="Times New Roman" w:eastAsia="MS Mincho" w:hAnsi="Times New Roman"/>
        </w:rPr>
        <w:t xml:space="preserve"> hours of burden annually at an equivalent cost of $6.</w:t>
      </w:r>
      <w:r w:rsidR="002C6805">
        <w:rPr>
          <w:rFonts w:ascii="Times New Roman" w:eastAsia="MS Mincho" w:hAnsi="Times New Roman"/>
        </w:rPr>
        <w:t>2</w:t>
      </w:r>
      <w:r>
        <w:rPr>
          <w:rFonts w:ascii="Times New Roman" w:eastAsia="MS Mincho" w:hAnsi="Times New Roman"/>
        </w:rPr>
        <w:t xml:space="preserve"> million.</w:t>
      </w:r>
    </w:p>
    <w:p w:rsidR="007C539E" w:rsidRDefault="007C539E" w:rsidP="006E2ADB">
      <w:pPr>
        <w:widowControl/>
        <w:ind w:left="720"/>
        <w:rPr>
          <w:rFonts w:ascii="Times New Roman" w:eastAsia="MS Mincho" w:hAnsi="Times New Roman"/>
        </w:rPr>
      </w:pPr>
    </w:p>
    <w:tbl>
      <w:tblPr>
        <w:tblStyle w:val="TableGrid"/>
        <w:tblW w:w="0" w:type="auto"/>
        <w:tblInd w:w="828" w:type="dxa"/>
        <w:tblLook w:val="04A0" w:firstRow="1" w:lastRow="0" w:firstColumn="1" w:lastColumn="0" w:noHBand="0" w:noVBand="1"/>
        <w:tblCaption w:val="Burden Table"/>
        <w:tblDescription w:val="Table is a template for calculating burden within an information collection.  "/>
      </w:tblPr>
      <w:tblGrid>
        <w:gridCol w:w="3870"/>
        <w:gridCol w:w="1769"/>
        <w:gridCol w:w="1021"/>
        <w:gridCol w:w="2088"/>
      </w:tblGrid>
      <w:tr w:rsidR="00A306B1" w:rsidRPr="008F47CB" w:rsidTr="000731D3">
        <w:tc>
          <w:tcPr>
            <w:tcW w:w="3870" w:type="dxa"/>
            <w:shd w:val="clear" w:color="auto" w:fill="auto"/>
          </w:tcPr>
          <w:p w:rsidR="00F45A77" w:rsidRPr="00A306B1" w:rsidRDefault="00F45A77" w:rsidP="006E2ADB">
            <w:pPr>
              <w:widowControl/>
              <w:jc w:val="center"/>
              <w:rPr>
                <w:rFonts w:ascii="Times New Roman" w:hAnsi="Times New Roman"/>
                <w:b/>
                <w:sz w:val="22"/>
                <w:szCs w:val="22"/>
              </w:rPr>
            </w:pPr>
            <w:r w:rsidRPr="00A306B1">
              <w:rPr>
                <w:rFonts w:ascii="Times New Roman" w:hAnsi="Times New Roman"/>
                <w:b/>
                <w:sz w:val="22"/>
                <w:szCs w:val="22"/>
              </w:rPr>
              <w:t>Activity</w:t>
            </w:r>
          </w:p>
        </w:tc>
        <w:tc>
          <w:tcPr>
            <w:tcW w:w="1769" w:type="dxa"/>
            <w:shd w:val="clear" w:color="auto" w:fill="auto"/>
          </w:tcPr>
          <w:p w:rsidR="00F45A77" w:rsidRPr="000731D3" w:rsidRDefault="00F45A77" w:rsidP="006E2ADB">
            <w:pPr>
              <w:widowControl/>
              <w:jc w:val="center"/>
              <w:rPr>
                <w:rFonts w:ascii="Times New Roman" w:hAnsi="Times New Roman"/>
                <w:b/>
                <w:sz w:val="22"/>
                <w:szCs w:val="22"/>
              </w:rPr>
            </w:pPr>
            <w:r w:rsidRPr="000731D3">
              <w:rPr>
                <w:rFonts w:ascii="Times New Roman" w:hAnsi="Times New Roman"/>
                <w:b/>
                <w:sz w:val="22"/>
                <w:szCs w:val="22"/>
              </w:rPr>
              <w:t>Total Annual Burden (Hours)</w:t>
            </w:r>
          </w:p>
        </w:tc>
        <w:tc>
          <w:tcPr>
            <w:tcW w:w="1021" w:type="dxa"/>
            <w:shd w:val="clear" w:color="auto" w:fill="auto"/>
          </w:tcPr>
          <w:p w:rsidR="00F45A77" w:rsidRPr="000731D3" w:rsidRDefault="00F45A77" w:rsidP="006E2ADB">
            <w:pPr>
              <w:widowControl/>
              <w:jc w:val="center"/>
              <w:rPr>
                <w:rFonts w:ascii="Times New Roman" w:hAnsi="Times New Roman"/>
                <w:b/>
                <w:sz w:val="22"/>
                <w:szCs w:val="22"/>
              </w:rPr>
            </w:pPr>
            <w:r w:rsidRPr="000731D3">
              <w:rPr>
                <w:rFonts w:ascii="Times New Roman" w:hAnsi="Times New Roman"/>
                <w:b/>
                <w:sz w:val="22"/>
                <w:szCs w:val="22"/>
              </w:rPr>
              <w:t>Hourly Rate</w:t>
            </w:r>
          </w:p>
        </w:tc>
        <w:tc>
          <w:tcPr>
            <w:tcW w:w="2088" w:type="dxa"/>
            <w:shd w:val="clear" w:color="auto" w:fill="auto"/>
          </w:tcPr>
          <w:p w:rsidR="00F45A77" w:rsidRPr="000731D3" w:rsidRDefault="00F45A77" w:rsidP="006E2ADB">
            <w:pPr>
              <w:widowControl/>
              <w:jc w:val="center"/>
              <w:rPr>
                <w:rFonts w:ascii="Times New Roman" w:hAnsi="Times New Roman"/>
                <w:b/>
                <w:sz w:val="22"/>
                <w:szCs w:val="22"/>
              </w:rPr>
            </w:pPr>
            <w:r w:rsidRPr="000731D3">
              <w:rPr>
                <w:rFonts w:ascii="Times New Roman" w:hAnsi="Times New Roman"/>
                <w:b/>
                <w:sz w:val="22"/>
                <w:szCs w:val="22"/>
              </w:rPr>
              <w:t>Monetized Value of Respondent Time</w:t>
            </w:r>
          </w:p>
        </w:tc>
      </w:tr>
      <w:tr w:rsidR="00A306B1" w:rsidRPr="008F47CB" w:rsidTr="000731D3">
        <w:tc>
          <w:tcPr>
            <w:tcW w:w="3870" w:type="dxa"/>
            <w:vAlign w:val="bottom"/>
          </w:tcPr>
          <w:p w:rsidR="00F45A77" w:rsidRPr="008F47CB" w:rsidRDefault="00246D58" w:rsidP="006E2ADB">
            <w:pPr>
              <w:widowControl/>
              <w:rPr>
                <w:rFonts w:ascii="Times New Roman" w:hAnsi="Times New Roman"/>
                <w:sz w:val="22"/>
                <w:szCs w:val="22"/>
              </w:rPr>
            </w:pPr>
            <w:r w:rsidRPr="00246D58">
              <w:rPr>
                <w:rFonts w:ascii="Times New Roman" w:hAnsi="Times New Roman"/>
                <w:sz w:val="22"/>
                <w:szCs w:val="22"/>
              </w:rPr>
              <w:t>Transactions Involving Independent Fiduciaries with Financial Expertise</w:t>
            </w:r>
            <w:r>
              <w:rPr>
                <w:rFonts w:ascii="Times New Roman" w:hAnsi="Times New Roman"/>
                <w:sz w:val="22"/>
                <w:szCs w:val="22"/>
              </w:rPr>
              <w:t xml:space="preserve"> </w:t>
            </w:r>
            <w:r w:rsidR="00CD2C9F">
              <w:rPr>
                <w:rFonts w:ascii="Times New Roman" w:hAnsi="Times New Roman"/>
                <w:sz w:val="22"/>
                <w:szCs w:val="22"/>
              </w:rPr>
              <w:t>Clerical</w:t>
            </w:r>
          </w:p>
        </w:tc>
        <w:tc>
          <w:tcPr>
            <w:tcW w:w="1769" w:type="dxa"/>
            <w:vAlign w:val="bottom"/>
          </w:tcPr>
          <w:p w:rsidR="00F45A77" w:rsidRPr="008F47CB" w:rsidRDefault="009C255F" w:rsidP="009C255F">
            <w:pPr>
              <w:widowControl/>
              <w:jc w:val="right"/>
              <w:rPr>
                <w:rFonts w:ascii="Times New Roman" w:hAnsi="Times New Roman"/>
                <w:sz w:val="22"/>
                <w:szCs w:val="22"/>
              </w:rPr>
            </w:pPr>
            <w:r>
              <w:rPr>
                <w:rFonts w:ascii="Times New Roman" w:hAnsi="Times New Roman"/>
                <w:sz w:val="22"/>
                <w:szCs w:val="22"/>
              </w:rPr>
              <w:t>18</w:t>
            </w:r>
            <w:r w:rsidR="00FC71FF">
              <w:rPr>
                <w:rFonts w:ascii="Times New Roman" w:hAnsi="Times New Roman"/>
                <w:sz w:val="22"/>
                <w:szCs w:val="22"/>
              </w:rPr>
              <w:t>,000</w:t>
            </w:r>
          </w:p>
        </w:tc>
        <w:tc>
          <w:tcPr>
            <w:tcW w:w="1021" w:type="dxa"/>
            <w:vAlign w:val="bottom"/>
          </w:tcPr>
          <w:p w:rsidR="00F45A77" w:rsidRPr="008F47CB" w:rsidRDefault="00FC71FF" w:rsidP="00246D58">
            <w:pPr>
              <w:widowControl/>
              <w:jc w:val="right"/>
              <w:rPr>
                <w:rFonts w:ascii="Times New Roman" w:hAnsi="Times New Roman"/>
                <w:sz w:val="22"/>
                <w:szCs w:val="22"/>
              </w:rPr>
            </w:pPr>
            <w:r>
              <w:rPr>
                <w:rFonts w:ascii="Times New Roman" w:hAnsi="Times New Roman"/>
                <w:sz w:val="22"/>
                <w:szCs w:val="22"/>
              </w:rPr>
              <w:t>$</w:t>
            </w:r>
            <w:r w:rsidR="00246D58">
              <w:rPr>
                <w:rFonts w:ascii="Times New Roman" w:hAnsi="Times New Roman"/>
                <w:sz w:val="22"/>
                <w:szCs w:val="22"/>
              </w:rPr>
              <w:t>55.21</w:t>
            </w:r>
          </w:p>
        </w:tc>
        <w:tc>
          <w:tcPr>
            <w:tcW w:w="2088" w:type="dxa"/>
            <w:vAlign w:val="bottom"/>
          </w:tcPr>
          <w:p w:rsidR="00F45A77" w:rsidRPr="008F47CB" w:rsidRDefault="00FC71FF" w:rsidP="005668BA">
            <w:pPr>
              <w:widowControl/>
              <w:jc w:val="right"/>
              <w:rPr>
                <w:rFonts w:ascii="Times New Roman" w:hAnsi="Times New Roman"/>
                <w:sz w:val="22"/>
                <w:szCs w:val="22"/>
              </w:rPr>
            </w:pPr>
            <w:r>
              <w:rPr>
                <w:rFonts w:ascii="Times New Roman" w:hAnsi="Times New Roman"/>
                <w:sz w:val="22"/>
                <w:szCs w:val="22"/>
              </w:rPr>
              <w:t>$</w:t>
            </w:r>
            <w:r w:rsidR="009C255F">
              <w:rPr>
                <w:rFonts w:ascii="Times New Roman" w:hAnsi="Times New Roman"/>
                <w:sz w:val="22"/>
                <w:szCs w:val="22"/>
              </w:rPr>
              <w:t>9</w:t>
            </w:r>
            <w:r w:rsidR="005668BA">
              <w:rPr>
                <w:rFonts w:ascii="Times New Roman" w:hAnsi="Times New Roman"/>
                <w:sz w:val="22"/>
                <w:szCs w:val="22"/>
              </w:rPr>
              <w:t>94</w:t>
            </w:r>
            <w:r>
              <w:rPr>
                <w:rFonts w:ascii="Times New Roman" w:hAnsi="Times New Roman"/>
                <w:sz w:val="22"/>
                <w:szCs w:val="22"/>
              </w:rPr>
              <w:t>,000</w:t>
            </w:r>
          </w:p>
        </w:tc>
      </w:tr>
      <w:tr w:rsidR="00CD2C9F" w:rsidRPr="008F47CB" w:rsidTr="000731D3">
        <w:tc>
          <w:tcPr>
            <w:tcW w:w="3870" w:type="dxa"/>
            <w:vAlign w:val="bottom"/>
          </w:tcPr>
          <w:p w:rsidR="00CD2C9F" w:rsidRPr="008F47CB" w:rsidRDefault="00246D58" w:rsidP="006E2ADB">
            <w:pPr>
              <w:widowControl/>
              <w:rPr>
                <w:rFonts w:ascii="Times New Roman" w:hAnsi="Times New Roman"/>
                <w:sz w:val="22"/>
                <w:szCs w:val="22"/>
              </w:rPr>
            </w:pPr>
            <w:r w:rsidRPr="00246D58">
              <w:rPr>
                <w:rFonts w:ascii="Times New Roman" w:hAnsi="Times New Roman"/>
                <w:sz w:val="22"/>
                <w:szCs w:val="22"/>
              </w:rPr>
              <w:t>Transactions Involving Independent Fiduciaries with Financial Expertise</w:t>
            </w:r>
            <w:r>
              <w:rPr>
                <w:rFonts w:ascii="Times New Roman" w:hAnsi="Times New Roman"/>
                <w:sz w:val="22"/>
                <w:szCs w:val="22"/>
              </w:rPr>
              <w:t xml:space="preserve"> </w:t>
            </w:r>
            <w:r w:rsidR="00CD2C9F">
              <w:rPr>
                <w:rFonts w:ascii="Times New Roman" w:hAnsi="Times New Roman"/>
                <w:sz w:val="22"/>
                <w:szCs w:val="22"/>
              </w:rPr>
              <w:t>Legal</w:t>
            </w:r>
          </w:p>
        </w:tc>
        <w:tc>
          <w:tcPr>
            <w:tcW w:w="1769" w:type="dxa"/>
            <w:vAlign w:val="bottom"/>
          </w:tcPr>
          <w:p w:rsidR="00CD2C9F" w:rsidRPr="008F47CB" w:rsidRDefault="009C255F" w:rsidP="009C255F">
            <w:pPr>
              <w:widowControl/>
              <w:jc w:val="right"/>
              <w:rPr>
                <w:rFonts w:ascii="Times New Roman" w:hAnsi="Times New Roman"/>
                <w:sz w:val="22"/>
                <w:szCs w:val="22"/>
              </w:rPr>
            </w:pPr>
            <w:r>
              <w:rPr>
                <w:rFonts w:ascii="Times New Roman" w:hAnsi="Times New Roman"/>
                <w:sz w:val="22"/>
                <w:szCs w:val="22"/>
              </w:rPr>
              <w:t>15</w:t>
            </w:r>
            <w:r w:rsidR="00244B4F">
              <w:rPr>
                <w:rFonts w:ascii="Times New Roman" w:hAnsi="Times New Roman"/>
                <w:sz w:val="22"/>
                <w:szCs w:val="22"/>
              </w:rPr>
              <w:t>,000</w:t>
            </w:r>
          </w:p>
        </w:tc>
        <w:tc>
          <w:tcPr>
            <w:tcW w:w="1021" w:type="dxa"/>
            <w:vAlign w:val="bottom"/>
          </w:tcPr>
          <w:p w:rsidR="00CD2C9F" w:rsidRPr="008F47CB" w:rsidRDefault="00FC71FF" w:rsidP="00246D58">
            <w:pPr>
              <w:widowControl/>
              <w:jc w:val="right"/>
              <w:rPr>
                <w:rFonts w:ascii="Times New Roman" w:hAnsi="Times New Roman"/>
                <w:sz w:val="22"/>
                <w:szCs w:val="22"/>
              </w:rPr>
            </w:pPr>
            <w:r>
              <w:rPr>
                <w:rFonts w:ascii="Times New Roman" w:hAnsi="Times New Roman"/>
                <w:sz w:val="22"/>
                <w:szCs w:val="22"/>
              </w:rPr>
              <w:t>$1</w:t>
            </w:r>
            <w:r w:rsidR="00246D58">
              <w:rPr>
                <w:rFonts w:ascii="Times New Roman" w:hAnsi="Times New Roman"/>
                <w:sz w:val="22"/>
                <w:szCs w:val="22"/>
              </w:rPr>
              <w:t>33.61</w:t>
            </w:r>
          </w:p>
        </w:tc>
        <w:tc>
          <w:tcPr>
            <w:tcW w:w="2088" w:type="dxa"/>
            <w:vAlign w:val="bottom"/>
          </w:tcPr>
          <w:p w:rsidR="00CD2C9F" w:rsidRPr="008F47CB" w:rsidRDefault="00244B4F" w:rsidP="009C255F">
            <w:pPr>
              <w:widowControl/>
              <w:jc w:val="right"/>
              <w:rPr>
                <w:rFonts w:ascii="Times New Roman" w:hAnsi="Times New Roman"/>
                <w:sz w:val="22"/>
                <w:szCs w:val="22"/>
              </w:rPr>
            </w:pPr>
            <w:r>
              <w:rPr>
                <w:rFonts w:ascii="Times New Roman" w:hAnsi="Times New Roman"/>
                <w:sz w:val="22"/>
                <w:szCs w:val="22"/>
              </w:rPr>
              <w:t>$</w:t>
            </w:r>
            <w:r w:rsidR="009C255F">
              <w:rPr>
                <w:rFonts w:ascii="Times New Roman" w:hAnsi="Times New Roman"/>
                <w:sz w:val="22"/>
                <w:szCs w:val="22"/>
              </w:rPr>
              <w:t>2.0</w:t>
            </w:r>
            <w:r>
              <w:rPr>
                <w:rFonts w:ascii="Times New Roman" w:hAnsi="Times New Roman"/>
                <w:sz w:val="22"/>
                <w:szCs w:val="22"/>
              </w:rPr>
              <w:t xml:space="preserve"> million</w:t>
            </w:r>
          </w:p>
        </w:tc>
      </w:tr>
      <w:tr w:rsidR="00A306B1" w:rsidRPr="008F47CB" w:rsidTr="000731D3">
        <w:tc>
          <w:tcPr>
            <w:tcW w:w="3870" w:type="dxa"/>
            <w:vAlign w:val="bottom"/>
          </w:tcPr>
          <w:p w:rsidR="00F45A77" w:rsidRPr="008F47CB" w:rsidRDefault="00CD2C9F" w:rsidP="00246D58">
            <w:pPr>
              <w:widowControl/>
              <w:rPr>
                <w:rFonts w:ascii="Times New Roman" w:hAnsi="Times New Roman"/>
                <w:sz w:val="22"/>
                <w:szCs w:val="22"/>
              </w:rPr>
            </w:pPr>
            <w:r>
              <w:rPr>
                <w:rFonts w:ascii="Times New Roman" w:hAnsi="Times New Roman"/>
                <w:sz w:val="22"/>
                <w:szCs w:val="22"/>
              </w:rPr>
              <w:lastRenderedPageBreak/>
              <w:t>Platform Provider Legal</w:t>
            </w:r>
          </w:p>
        </w:tc>
        <w:tc>
          <w:tcPr>
            <w:tcW w:w="1769" w:type="dxa"/>
            <w:vAlign w:val="bottom"/>
          </w:tcPr>
          <w:p w:rsidR="00F45A77" w:rsidRPr="008F47CB" w:rsidRDefault="00244B4F" w:rsidP="006E2ADB">
            <w:pPr>
              <w:widowControl/>
              <w:jc w:val="right"/>
              <w:rPr>
                <w:rFonts w:ascii="Times New Roman" w:hAnsi="Times New Roman"/>
                <w:sz w:val="22"/>
                <w:szCs w:val="22"/>
              </w:rPr>
            </w:pPr>
            <w:r>
              <w:rPr>
                <w:rFonts w:ascii="Times New Roman" w:hAnsi="Times New Roman"/>
                <w:sz w:val="22"/>
                <w:szCs w:val="22"/>
              </w:rPr>
              <w:t>300</w:t>
            </w:r>
          </w:p>
        </w:tc>
        <w:tc>
          <w:tcPr>
            <w:tcW w:w="1021" w:type="dxa"/>
            <w:vAlign w:val="bottom"/>
          </w:tcPr>
          <w:p w:rsidR="00F45A77" w:rsidRPr="008F47CB" w:rsidRDefault="00FC71FF" w:rsidP="00246D58">
            <w:pPr>
              <w:widowControl/>
              <w:jc w:val="right"/>
              <w:rPr>
                <w:rFonts w:ascii="Times New Roman" w:hAnsi="Times New Roman"/>
                <w:sz w:val="22"/>
                <w:szCs w:val="22"/>
              </w:rPr>
            </w:pPr>
            <w:r>
              <w:rPr>
                <w:rFonts w:ascii="Times New Roman" w:hAnsi="Times New Roman"/>
                <w:sz w:val="22"/>
                <w:szCs w:val="22"/>
              </w:rPr>
              <w:t>$1</w:t>
            </w:r>
            <w:r w:rsidR="00246D58">
              <w:rPr>
                <w:rFonts w:ascii="Times New Roman" w:hAnsi="Times New Roman"/>
                <w:sz w:val="22"/>
                <w:szCs w:val="22"/>
              </w:rPr>
              <w:t>33.61</w:t>
            </w:r>
          </w:p>
        </w:tc>
        <w:tc>
          <w:tcPr>
            <w:tcW w:w="2088" w:type="dxa"/>
            <w:vAlign w:val="bottom"/>
          </w:tcPr>
          <w:p w:rsidR="00F45A77" w:rsidRPr="008F47CB" w:rsidRDefault="00244B4F" w:rsidP="009C255F">
            <w:pPr>
              <w:widowControl/>
              <w:jc w:val="right"/>
              <w:rPr>
                <w:rFonts w:ascii="Times New Roman" w:hAnsi="Times New Roman"/>
                <w:sz w:val="22"/>
                <w:szCs w:val="22"/>
              </w:rPr>
            </w:pPr>
            <w:r>
              <w:rPr>
                <w:rFonts w:ascii="Times New Roman" w:hAnsi="Times New Roman"/>
                <w:sz w:val="22"/>
                <w:szCs w:val="22"/>
              </w:rPr>
              <w:t>$</w:t>
            </w:r>
            <w:r w:rsidR="009C255F">
              <w:rPr>
                <w:rFonts w:ascii="Times New Roman" w:hAnsi="Times New Roman"/>
                <w:sz w:val="22"/>
                <w:szCs w:val="22"/>
              </w:rPr>
              <w:t>45</w:t>
            </w:r>
            <w:r>
              <w:rPr>
                <w:rFonts w:ascii="Times New Roman" w:hAnsi="Times New Roman"/>
                <w:sz w:val="22"/>
                <w:szCs w:val="22"/>
              </w:rPr>
              <w:t>,000</w:t>
            </w:r>
          </w:p>
        </w:tc>
      </w:tr>
      <w:tr w:rsidR="00A306B1" w:rsidRPr="008F47CB" w:rsidTr="000731D3">
        <w:tc>
          <w:tcPr>
            <w:tcW w:w="3870" w:type="dxa"/>
            <w:vAlign w:val="bottom"/>
          </w:tcPr>
          <w:p w:rsidR="00F45A77" w:rsidRPr="008F47CB" w:rsidRDefault="00CD2C9F" w:rsidP="00246D58">
            <w:pPr>
              <w:widowControl/>
              <w:rPr>
                <w:rFonts w:ascii="Times New Roman" w:hAnsi="Times New Roman"/>
                <w:sz w:val="22"/>
                <w:szCs w:val="22"/>
              </w:rPr>
            </w:pPr>
            <w:r>
              <w:rPr>
                <w:rFonts w:ascii="Times New Roman" w:hAnsi="Times New Roman"/>
                <w:sz w:val="22"/>
                <w:szCs w:val="22"/>
              </w:rPr>
              <w:t>Investment Education Legal</w:t>
            </w:r>
          </w:p>
        </w:tc>
        <w:tc>
          <w:tcPr>
            <w:tcW w:w="1769" w:type="dxa"/>
            <w:vAlign w:val="bottom"/>
          </w:tcPr>
          <w:p w:rsidR="00F45A77" w:rsidRPr="008F47CB" w:rsidRDefault="009C255F" w:rsidP="00A02C36">
            <w:pPr>
              <w:widowControl/>
              <w:jc w:val="right"/>
              <w:rPr>
                <w:rFonts w:ascii="Times New Roman" w:hAnsi="Times New Roman"/>
                <w:sz w:val="22"/>
                <w:szCs w:val="22"/>
              </w:rPr>
            </w:pPr>
            <w:r>
              <w:rPr>
                <w:rFonts w:ascii="Times New Roman" w:hAnsi="Times New Roman"/>
                <w:sz w:val="22"/>
                <w:szCs w:val="22"/>
              </w:rPr>
              <w:t>2</w:t>
            </w:r>
            <w:r w:rsidR="00D22391">
              <w:rPr>
                <w:rFonts w:ascii="Times New Roman" w:hAnsi="Times New Roman"/>
                <w:sz w:val="22"/>
                <w:szCs w:val="22"/>
              </w:rPr>
              <w:t>3</w:t>
            </w:r>
            <w:r>
              <w:rPr>
                <w:rFonts w:ascii="Times New Roman" w:hAnsi="Times New Roman"/>
                <w:sz w:val="22"/>
                <w:szCs w:val="22"/>
              </w:rPr>
              <w:t>,</w:t>
            </w:r>
            <w:r w:rsidR="00A02C36">
              <w:rPr>
                <w:rFonts w:ascii="Times New Roman" w:hAnsi="Times New Roman"/>
                <w:sz w:val="22"/>
                <w:szCs w:val="22"/>
              </w:rPr>
              <w:t>5</w:t>
            </w:r>
            <w:r>
              <w:rPr>
                <w:rFonts w:ascii="Times New Roman" w:hAnsi="Times New Roman"/>
                <w:sz w:val="22"/>
                <w:szCs w:val="22"/>
              </w:rPr>
              <w:t>00</w:t>
            </w:r>
          </w:p>
        </w:tc>
        <w:tc>
          <w:tcPr>
            <w:tcW w:w="1021" w:type="dxa"/>
            <w:vAlign w:val="bottom"/>
          </w:tcPr>
          <w:p w:rsidR="00F45A77" w:rsidRPr="008F47CB" w:rsidRDefault="00FC71FF" w:rsidP="00246D58">
            <w:pPr>
              <w:widowControl/>
              <w:jc w:val="right"/>
              <w:rPr>
                <w:rFonts w:ascii="Times New Roman" w:hAnsi="Times New Roman"/>
                <w:sz w:val="22"/>
                <w:szCs w:val="22"/>
              </w:rPr>
            </w:pPr>
            <w:r>
              <w:rPr>
                <w:rFonts w:ascii="Times New Roman" w:hAnsi="Times New Roman"/>
                <w:sz w:val="22"/>
                <w:szCs w:val="22"/>
              </w:rPr>
              <w:t>$1</w:t>
            </w:r>
            <w:r w:rsidR="00246D58">
              <w:rPr>
                <w:rFonts w:ascii="Times New Roman" w:hAnsi="Times New Roman"/>
                <w:sz w:val="22"/>
                <w:szCs w:val="22"/>
              </w:rPr>
              <w:t>33.61</w:t>
            </w:r>
          </w:p>
        </w:tc>
        <w:tc>
          <w:tcPr>
            <w:tcW w:w="2088" w:type="dxa"/>
            <w:vAlign w:val="bottom"/>
          </w:tcPr>
          <w:p w:rsidR="00F45A77" w:rsidRPr="008F47CB" w:rsidRDefault="00244B4F" w:rsidP="009C255F">
            <w:pPr>
              <w:widowControl/>
              <w:jc w:val="right"/>
              <w:rPr>
                <w:rFonts w:ascii="Times New Roman" w:hAnsi="Times New Roman"/>
                <w:sz w:val="22"/>
                <w:szCs w:val="22"/>
              </w:rPr>
            </w:pPr>
            <w:r>
              <w:rPr>
                <w:rFonts w:ascii="Times New Roman" w:hAnsi="Times New Roman"/>
                <w:sz w:val="22"/>
                <w:szCs w:val="22"/>
              </w:rPr>
              <w:t>$</w:t>
            </w:r>
            <w:r w:rsidR="009C255F">
              <w:rPr>
                <w:rFonts w:ascii="Times New Roman" w:hAnsi="Times New Roman"/>
                <w:sz w:val="22"/>
                <w:szCs w:val="22"/>
              </w:rPr>
              <w:t>3.1 million</w:t>
            </w:r>
          </w:p>
        </w:tc>
      </w:tr>
      <w:tr w:rsidR="00246D58" w:rsidRPr="008F47CB" w:rsidTr="000731D3">
        <w:tc>
          <w:tcPr>
            <w:tcW w:w="3870" w:type="dxa"/>
            <w:vAlign w:val="bottom"/>
          </w:tcPr>
          <w:p w:rsidR="00246D58" w:rsidRDefault="00246D58" w:rsidP="00246D58">
            <w:pPr>
              <w:widowControl/>
              <w:rPr>
                <w:rFonts w:ascii="Times New Roman" w:hAnsi="Times New Roman"/>
                <w:sz w:val="22"/>
                <w:szCs w:val="22"/>
              </w:rPr>
            </w:pPr>
            <w:r>
              <w:rPr>
                <w:rFonts w:ascii="Times New Roman" w:hAnsi="Times New Roman"/>
                <w:sz w:val="22"/>
                <w:szCs w:val="22"/>
              </w:rPr>
              <w:t>Swap Transactions</w:t>
            </w:r>
          </w:p>
        </w:tc>
        <w:tc>
          <w:tcPr>
            <w:tcW w:w="1769" w:type="dxa"/>
            <w:vAlign w:val="bottom"/>
          </w:tcPr>
          <w:p w:rsidR="00246D58" w:rsidRDefault="009C255F" w:rsidP="006E2ADB">
            <w:pPr>
              <w:widowControl/>
              <w:jc w:val="right"/>
              <w:rPr>
                <w:rFonts w:ascii="Times New Roman" w:hAnsi="Times New Roman"/>
                <w:sz w:val="22"/>
                <w:szCs w:val="22"/>
              </w:rPr>
            </w:pPr>
            <w:r>
              <w:rPr>
                <w:rFonts w:ascii="Times New Roman" w:hAnsi="Times New Roman"/>
                <w:sz w:val="22"/>
                <w:szCs w:val="22"/>
              </w:rPr>
              <w:t>0</w:t>
            </w:r>
          </w:p>
        </w:tc>
        <w:tc>
          <w:tcPr>
            <w:tcW w:w="1021" w:type="dxa"/>
            <w:vAlign w:val="bottom"/>
          </w:tcPr>
          <w:p w:rsidR="00246D58" w:rsidRDefault="00246D58" w:rsidP="006E2ADB">
            <w:pPr>
              <w:widowControl/>
              <w:jc w:val="right"/>
              <w:rPr>
                <w:rFonts w:ascii="Times New Roman" w:hAnsi="Times New Roman"/>
                <w:sz w:val="22"/>
                <w:szCs w:val="22"/>
              </w:rPr>
            </w:pPr>
          </w:p>
        </w:tc>
        <w:tc>
          <w:tcPr>
            <w:tcW w:w="2088" w:type="dxa"/>
            <w:vAlign w:val="bottom"/>
          </w:tcPr>
          <w:p w:rsidR="00246D58" w:rsidRDefault="009C255F" w:rsidP="006E2ADB">
            <w:pPr>
              <w:widowControl/>
              <w:jc w:val="right"/>
              <w:rPr>
                <w:rFonts w:ascii="Times New Roman" w:hAnsi="Times New Roman"/>
                <w:sz w:val="22"/>
                <w:szCs w:val="22"/>
              </w:rPr>
            </w:pPr>
            <w:r>
              <w:rPr>
                <w:rFonts w:ascii="Times New Roman" w:hAnsi="Times New Roman"/>
                <w:sz w:val="22"/>
                <w:szCs w:val="22"/>
              </w:rPr>
              <w:t>$0</w:t>
            </w:r>
          </w:p>
        </w:tc>
      </w:tr>
      <w:tr w:rsidR="00A306B1" w:rsidRPr="008F47CB" w:rsidTr="000731D3">
        <w:tc>
          <w:tcPr>
            <w:tcW w:w="3870" w:type="dxa"/>
          </w:tcPr>
          <w:p w:rsidR="00F45A77" w:rsidRPr="008F47CB" w:rsidRDefault="00F45A77" w:rsidP="006E2ADB">
            <w:pPr>
              <w:widowControl/>
              <w:rPr>
                <w:rFonts w:ascii="Times New Roman" w:hAnsi="Times New Roman"/>
                <w:b/>
                <w:i/>
                <w:sz w:val="22"/>
                <w:szCs w:val="22"/>
              </w:rPr>
            </w:pPr>
            <w:r w:rsidRPr="008F47CB">
              <w:rPr>
                <w:rFonts w:ascii="Times New Roman" w:hAnsi="Times New Roman"/>
                <w:b/>
                <w:i/>
                <w:sz w:val="22"/>
                <w:szCs w:val="22"/>
              </w:rPr>
              <w:t>Unduplicated Totals</w:t>
            </w:r>
          </w:p>
        </w:tc>
        <w:tc>
          <w:tcPr>
            <w:tcW w:w="1769" w:type="dxa"/>
            <w:vAlign w:val="bottom"/>
          </w:tcPr>
          <w:p w:rsidR="00F45A77" w:rsidRPr="008F47CB" w:rsidRDefault="00D22391" w:rsidP="00810C73">
            <w:pPr>
              <w:widowControl/>
              <w:jc w:val="right"/>
              <w:rPr>
                <w:rFonts w:ascii="Times New Roman" w:hAnsi="Times New Roman"/>
                <w:b/>
                <w:i/>
                <w:sz w:val="22"/>
                <w:szCs w:val="22"/>
              </w:rPr>
            </w:pPr>
            <w:r>
              <w:rPr>
                <w:rFonts w:ascii="Times New Roman" w:hAnsi="Times New Roman"/>
                <w:b/>
                <w:i/>
                <w:sz w:val="22"/>
                <w:szCs w:val="22"/>
              </w:rPr>
              <w:t>5</w:t>
            </w:r>
            <w:r w:rsidR="00810C73">
              <w:rPr>
                <w:rFonts w:ascii="Times New Roman" w:hAnsi="Times New Roman"/>
                <w:b/>
                <w:i/>
                <w:sz w:val="22"/>
                <w:szCs w:val="22"/>
              </w:rPr>
              <w:t>6</w:t>
            </w:r>
            <w:r w:rsidR="009C255F">
              <w:rPr>
                <w:rFonts w:ascii="Times New Roman" w:hAnsi="Times New Roman"/>
                <w:b/>
                <w:i/>
                <w:sz w:val="22"/>
                <w:szCs w:val="22"/>
              </w:rPr>
              <w:t>,</w:t>
            </w:r>
            <w:r w:rsidR="00810C73">
              <w:rPr>
                <w:rFonts w:ascii="Times New Roman" w:hAnsi="Times New Roman"/>
                <w:b/>
                <w:i/>
                <w:sz w:val="22"/>
                <w:szCs w:val="22"/>
              </w:rPr>
              <w:t>8</w:t>
            </w:r>
            <w:r w:rsidR="009C255F">
              <w:rPr>
                <w:rFonts w:ascii="Times New Roman" w:hAnsi="Times New Roman"/>
                <w:b/>
                <w:i/>
                <w:sz w:val="22"/>
                <w:szCs w:val="22"/>
              </w:rPr>
              <w:t>00</w:t>
            </w:r>
          </w:p>
        </w:tc>
        <w:tc>
          <w:tcPr>
            <w:tcW w:w="1021" w:type="dxa"/>
            <w:vAlign w:val="bottom"/>
          </w:tcPr>
          <w:p w:rsidR="00F45A77" w:rsidRPr="008F47CB" w:rsidRDefault="00F45A77" w:rsidP="006E2ADB">
            <w:pPr>
              <w:widowControl/>
              <w:jc w:val="right"/>
              <w:rPr>
                <w:rFonts w:ascii="Times New Roman" w:hAnsi="Times New Roman"/>
                <w:b/>
                <w:i/>
                <w:sz w:val="22"/>
                <w:szCs w:val="22"/>
              </w:rPr>
            </w:pPr>
          </w:p>
        </w:tc>
        <w:tc>
          <w:tcPr>
            <w:tcW w:w="2088" w:type="dxa"/>
            <w:vAlign w:val="bottom"/>
          </w:tcPr>
          <w:p w:rsidR="00F45A77" w:rsidRPr="008F47CB" w:rsidRDefault="00881736" w:rsidP="002C6805">
            <w:pPr>
              <w:widowControl/>
              <w:jc w:val="right"/>
              <w:rPr>
                <w:rFonts w:ascii="Times New Roman" w:hAnsi="Times New Roman"/>
                <w:b/>
                <w:i/>
                <w:sz w:val="22"/>
                <w:szCs w:val="22"/>
              </w:rPr>
            </w:pPr>
            <w:r>
              <w:rPr>
                <w:rFonts w:ascii="Times New Roman" w:hAnsi="Times New Roman"/>
                <w:b/>
                <w:i/>
                <w:sz w:val="22"/>
                <w:szCs w:val="22"/>
              </w:rPr>
              <w:t>$6.</w:t>
            </w:r>
            <w:r w:rsidR="002C6805">
              <w:rPr>
                <w:rFonts w:ascii="Times New Roman" w:hAnsi="Times New Roman"/>
                <w:b/>
                <w:i/>
                <w:sz w:val="22"/>
                <w:szCs w:val="22"/>
              </w:rPr>
              <w:t>2</w:t>
            </w:r>
            <w:r>
              <w:rPr>
                <w:rFonts w:ascii="Times New Roman" w:hAnsi="Times New Roman"/>
                <w:b/>
                <w:i/>
                <w:sz w:val="22"/>
                <w:szCs w:val="22"/>
              </w:rPr>
              <w:t xml:space="preserve"> million</w:t>
            </w:r>
          </w:p>
        </w:tc>
      </w:tr>
    </w:tbl>
    <w:p w:rsidR="00F7495D" w:rsidRPr="00235B48" w:rsidRDefault="00F7495D" w:rsidP="006E2ADB">
      <w:pPr>
        <w:widowControl/>
        <w:ind w:left="720"/>
        <w:rPr>
          <w:rFonts w:ascii="Times New Roman" w:hAnsi="Times New Roman"/>
        </w:rPr>
      </w:pPr>
    </w:p>
    <w:p w:rsidR="00F3670F" w:rsidRPr="00235B48" w:rsidRDefault="00F3670F" w:rsidP="006E2ADB">
      <w:pPr>
        <w:pStyle w:val="Quick1"/>
        <w:widowControl/>
        <w:tabs>
          <w:tab w:val="left" w:pos="-1440"/>
          <w:tab w:val="num" w:pos="720"/>
        </w:tabs>
        <w:rPr>
          <w:rFonts w:ascii="Times New Roman" w:hAnsi="Times New Roman"/>
          <w:i/>
          <w:iCs/>
        </w:rPr>
      </w:pPr>
      <w:r w:rsidRPr="00235B48">
        <w:rPr>
          <w:rFonts w:ascii="Times New Roman" w:hAnsi="Times New Roman"/>
          <w:i/>
          <w:iCs/>
          <w:sz w:val="20"/>
          <w:szCs w:val="20"/>
        </w:rPr>
        <w:t xml:space="preserve">Provide an estimate of the total annual cost burden to respondents or </w:t>
      </w:r>
      <w:proofErr w:type="spellStart"/>
      <w:r w:rsidRPr="00235B48">
        <w:rPr>
          <w:rFonts w:ascii="Times New Roman" w:hAnsi="Times New Roman"/>
          <w:i/>
          <w:iCs/>
          <w:sz w:val="20"/>
          <w:szCs w:val="20"/>
        </w:rPr>
        <w:t>recordkeepers</w:t>
      </w:r>
      <w:proofErr w:type="spellEnd"/>
      <w:r w:rsidRPr="00235B48">
        <w:rPr>
          <w:rFonts w:ascii="Times New Roman" w:hAnsi="Times New Roman"/>
          <w:i/>
          <w:iCs/>
          <w:sz w:val="20"/>
          <w:szCs w:val="20"/>
        </w:rPr>
        <w:t xml:space="preserve"> resulting from the collection of information.  (Do not include the cost of any hour burden shown in Items 12 or 14).</w:t>
      </w:r>
    </w:p>
    <w:p w:rsidR="00F3670F" w:rsidRPr="00235B48" w:rsidRDefault="00F3670F" w:rsidP="006E2ADB">
      <w:pPr>
        <w:widowControl/>
        <w:ind w:left="720"/>
        <w:rPr>
          <w:rFonts w:ascii="Times New Roman" w:hAnsi="Times New Roman"/>
        </w:rPr>
      </w:pPr>
    </w:p>
    <w:p w:rsidR="00A246C4" w:rsidRDefault="00213639" w:rsidP="006E2ADB">
      <w:pPr>
        <w:widowControl/>
        <w:ind w:left="720"/>
        <w:rPr>
          <w:rFonts w:ascii="Times New Roman" w:hAnsi="Times New Roman"/>
        </w:rPr>
      </w:pPr>
      <w:r>
        <w:rPr>
          <w:rFonts w:ascii="Times New Roman" w:eastAsia="MS Mincho" w:hAnsi="Times New Roman"/>
        </w:rPr>
        <w:t xml:space="preserve">The Department estimates that </w:t>
      </w:r>
      <w:r w:rsidR="0063461F">
        <w:rPr>
          <w:rFonts w:ascii="Times New Roman" w:eastAsia="MS Mincho" w:hAnsi="Times New Roman"/>
        </w:rPr>
        <w:t xml:space="preserve">all </w:t>
      </w:r>
      <w:r w:rsidR="00783766">
        <w:rPr>
          <w:rFonts w:ascii="Times New Roman" w:eastAsia="MS Mincho" w:hAnsi="Times New Roman"/>
        </w:rPr>
        <w:t>disclosures</w:t>
      </w:r>
      <w:r w:rsidR="0063461F">
        <w:rPr>
          <w:rFonts w:ascii="Times New Roman" w:eastAsia="MS Mincho" w:hAnsi="Times New Roman"/>
        </w:rPr>
        <w:t xml:space="preserve"> will be transmitted electronically through regular means of communication</w:t>
      </w:r>
      <w:r w:rsidR="00A878B6">
        <w:rPr>
          <w:rFonts w:ascii="Times New Roman" w:eastAsia="MS Mincho" w:hAnsi="Times New Roman"/>
        </w:rPr>
        <w:t xml:space="preserve">, or else occupy </w:t>
      </w:r>
      <w:r w:rsidR="00783766">
        <w:rPr>
          <w:rFonts w:ascii="Times New Roman" w:eastAsia="MS Mincho" w:hAnsi="Times New Roman"/>
        </w:rPr>
        <w:t xml:space="preserve">very </w:t>
      </w:r>
      <w:r w:rsidR="00A878B6">
        <w:rPr>
          <w:rFonts w:ascii="Times New Roman" w:eastAsia="MS Mincho" w:hAnsi="Times New Roman"/>
        </w:rPr>
        <w:t>small amounts of space on existing paper document</w:t>
      </w:r>
      <w:r w:rsidR="00783766">
        <w:rPr>
          <w:rFonts w:ascii="Times New Roman" w:eastAsia="MS Mincho" w:hAnsi="Times New Roman"/>
        </w:rPr>
        <w:t>s</w:t>
      </w:r>
      <w:r w:rsidR="000E518E">
        <w:rPr>
          <w:rFonts w:ascii="Times New Roman" w:eastAsia="MS Mincho" w:hAnsi="Times New Roman"/>
        </w:rPr>
        <w:t xml:space="preserve">. </w:t>
      </w:r>
      <w:r w:rsidR="009E5302">
        <w:rPr>
          <w:rFonts w:ascii="Times New Roman" w:eastAsia="MS Mincho" w:hAnsi="Times New Roman"/>
        </w:rPr>
        <w:t xml:space="preserve"> </w:t>
      </w:r>
      <w:r w:rsidR="000E518E">
        <w:rPr>
          <w:rFonts w:ascii="Times New Roman" w:eastAsia="MS Mincho" w:hAnsi="Times New Roman"/>
        </w:rPr>
        <w:t xml:space="preserve">Therefore, </w:t>
      </w:r>
      <w:r w:rsidR="00A878B6">
        <w:rPr>
          <w:rFonts w:ascii="Times New Roman" w:eastAsia="MS Mincho" w:hAnsi="Times New Roman"/>
        </w:rPr>
        <w:t>the costs associated with these requirements are</w:t>
      </w:r>
      <w:r w:rsidR="0063461F">
        <w:rPr>
          <w:rFonts w:ascii="Times New Roman" w:eastAsia="MS Mincho" w:hAnsi="Times New Roman"/>
        </w:rPr>
        <w:t xml:space="preserve"> de </w:t>
      </w:r>
      <w:proofErr w:type="spellStart"/>
      <w:r w:rsidR="0063461F">
        <w:rPr>
          <w:rFonts w:ascii="Times New Roman" w:eastAsia="MS Mincho" w:hAnsi="Times New Roman"/>
        </w:rPr>
        <w:t>minimis</w:t>
      </w:r>
      <w:proofErr w:type="spellEnd"/>
      <w:r w:rsidR="0063461F">
        <w:rPr>
          <w:rFonts w:ascii="Times New Roman" w:eastAsia="MS Mincho" w:hAnsi="Times New Roman"/>
        </w:rPr>
        <w:t>.  No other cost burdens are associated with these information collections.</w:t>
      </w:r>
    </w:p>
    <w:p w:rsidR="00AF6A04" w:rsidRPr="00235B48" w:rsidRDefault="00AF6A04" w:rsidP="006E2ADB">
      <w:pPr>
        <w:widowControl/>
        <w:ind w:left="720"/>
        <w:rPr>
          <w:rFonts w:ascii="Times New Roman" w:hAnsi="Times New Roman"/>
        </w:rPr>
      </w:pPr>
    </w:p>
    <w:p w:rsidR="00F3670F" w:rsidRPr="00235B48" w:rsidRDefault="00F3670F" w:rsidP="006E2ADB">
      <w:pPr>
        <w:pStyle w:val="Quick1"/>
        <w:widowControl/>
        <w:tabs>
          <w:tab w:val="left" w:pos="-1440"/>
          <w:tab w:val="num" w:pos="720"/>
        </w:tabs>
        <w:rPr>
          <w:rFonts w:ascii="Times New Roman" w:hAnsi="Times New Roman"/>
          <w:i/>
          <w:iCs/>
          <w:sz w:val="20"/>
          <w:szCs w:val="20"/>
        </w:rPr>
      </w:pPr>
      <w:r w:rsidRPr="00235B48">
        <w:rPr>
          <w:rFonts w:ascii="Times New Roman" w:hAnsi="Times New Roman"/>
          <w:i/>
          <w:iCs/>
          <w:sz w:val="20"/>
          <w:szCs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97C13" w:rsidRPr="00235B48" w:rsidRDefault="00C97C13" w:rsidP="006E2ADB">
      <w:pPr>
        <w:pStyle w:val="Quick1"/>
        <w:widowControl/>
        <w:numPr>
          <w:ilvl w:val="0"/>
          <w:numId w:val="0"/>
        </w:numPr>
        <w:tabs>
          <w:tab w:val="left" w:pos="-1440"/>
        </w:tabs>
        <w:ind w:left="720"/>
        <w:rPr>
          <w:rFonts w:ascii="Times New Roman" w:hAnsi="Times New Roman"/>
          <w:i/>
          <w:iCs/>
          <w:sz w:val="20"/>
          <w:szCs w:val="20"/>
        </w:rPr>
      </w:pPr>
    </w:p>
    <w:p w:rsidR="00BE3D72" w:rsidRDefault="00DD0EA7" w:rsidP="006E2ADB">
      <w:pPr>
        <w:widowControl/>
        <w:ind w:left="720"/>
        <w:rPr>
          <w:rFonts w:ascii="Times New Roman" w:hAnsi="Times New Roman"/>
        </w:rPr>
      </w:pPr>
      <w:r>
        <w:rPr>
          <w:rFonts w:ascii="Times New Roman" w:hAnsi="Times New Roman"/>
        </w:rPr>
        <w:t>No cost to the Federal Government.</w:t>
      </w:r>
    </w:p>
    <w:p w:rsidR="003D5BAC" w:rsidRPr="00235B48" w:rsidRDefault="003D5BAC" w:rsidP="006E2ADB">
      <w:pPr>
        <w:widowControl/>
        <w:ind w:left="720"/>
        <w:rPr>
          <w:rFonts w:ascii="Times New Roman" w:hAnsi="Times New Roman"/>
        </w:rPr>
      </w:pPr>
    </w:p>
    <w:p w:rsidR="00F3670F" w:rsidRPr="00235B48" w:rsidRDefault="00F3670F" w:rsidP="006E2ADB">
      <w:pPr>
        <w:widowControl/>
        <w:tabs>
          <w:tab w:val="left" w:pos="-1440"/>
        </w:tabs>
        <w:ind w:left="720" w:hanging="720"/>
        <w:rPr>
          <w:rFonts w:ascii="Times New Roman" w:hAnsi="Times New Roman"/>
          <w:i/>
          <w:iCs/>
          <w:sz w:val="20"/>
          <w:szCs w:val="20"/>
        </w:rPr>
      </w:pPr>
      <w:r w:rsidRPr="00235B48">
        <w:rPr>
          <w:rFonts w:ascii="Times New Roman" w:hAnsi="Times New Roman"/>
        </w:rPr>
        <w:t>15.</w:t>
      </w:r>
      <w:r w:rsidRPr="00235B48">
        <w:rPr>
          <w:rFonts w:ascii="Times New Roman" w:hAnsi="Times New Roman"/>
        </w:rPr>
        <w:tab/>
      </w:r>
      <w:r w:rsidRPr="00235B48">
        <w:rPr>
          <w:rFonts w:ascii="Times New Roman" w:hAnsi="Times New Roman"/>
          <w:i/>
          <w:iCs/>
          <w:sz w:val="20"/>
          <w:szCs w:val="20"/>
        </w:rPr>
        <w:t>Explain the reasons for any program changes or adjustments reported in Items 13 or 14.</w:t>
      </w:r>
    </w:p>
    <w:p w:rsidR="00F3670F" w:rsidRPr="00235B48" w:rsidRDefault="00F3670F" w:rsidP="006E2ADB">
      <w:pPr>
        <w:widowControl/>
        <w:ind w:left="720"/>
        <w:rPr>
          <w:rFonts w:ascii="Times New Roman" w:hAnsi="Times New Roman"/>
        </w:rPr>
      </w:pPr>
    </w:p>
    <w:p w:rsidR="00BE3D72" w:rsidRDefault="003D5BAC" w:rsidP="006E2ADB">
      <w:pPr>
        <w:widowControl/>
        <w:ind w:left="720"/>
        <w:rPr>
          <w:rFonts w:ascii="Times New Roman" w:hAnsi="Times New Roman"/>
        </w:rPr>
      </w:pPr>
      <w:r>
        <w:rPr>
          <w:rFonts w:ascii="Times New Roman" w:hAnsi="Times New Roman"/>
        </w:rPr>
        <w:t>Not applicable.</w:t>
      </w:r>
    </w:p>
    <w:p w:rsidR="003D5BAC" w:rsidRPr="00235B48" w:rsidRDefault="003D5BAC" w:rsidP="006E2ADB">
      <w:pPr>
        <w:widowControl/>
        <w:ind w:left="720"/>
        <w:rPr>
          <w:rFonts w:ascii="Times New Roman" w:hAnsi="Times New Roman"/>
        </w:rPr>
      </w:pPr>
    </w:p>
    <w:p w:rsidR="00F3670F" w:rsidRPr="00235B48" w:rsidRDefault="00F3670F" w:rsidP="006E2ADB">
      <w:pPr>
        <w:widowControl/>
        <w:tabs>
          <w:tab w:val="left" w:pos="-1440"/>
        </w:tabs>
        <w:ind w:left="720" w:hanging="720"/>
        <w:rPr>
          <w:rFonts w:ascii="Times New Roman" w:hAnsi="Times New Roman"/>
          <w:i/>
          <w:iCs/>
          <w:sz w:val="20"/>
          <w:szCs w:val="20"/>
        </w:rPr>
      </w:pPr>
      <w:r w:rsidRPr="00235B48">
        <w:rPr>
          <w:rFonts w:ascii="Times New Roman" w:hAnsi="Times New Roman"/>
        </w:rPr>
        <w:t>16.</w:t>
      </w:r>
      <w:r w:rsidRPr="00235B48">
        <w:rPr>
          <w:rFonts w:ascii="Times New Roman" w:hAnsi="Times New Roman"/>
        </w:rPr>
        <w:tab/>
      </w:r>
      <w:r w:rsidRPr="00235B48">
        <w:rPr>
          <w:rFonts w:ascii="Times New Roman" w:hAnsi="Times New Roman"/>
          <w:i/>
          <w:iCs/>
          <w:sz w:val="20"/>
          <w:szCs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86B52" w:rsidRPr="00176829" w:rsidRDefault="00586B52" w:rsidP="006E2ADB">
      <w:pPr>
        <w:widowControl/>
        <w:ind w:left="720"/>
        <w:rPr>
          <w:rFonts w:ascii="Times New Roman" w:hAnsi="Times New Roman"/>
        </w:rPr>
      </w:pPr>
    </w:p>
    <w:p w:rsidR="00586B52" w:rsidRPr="00176829" w:rsidRDefault="00586B52" w:rsidP="006E2ADB">
      <w:pPr>
        <w:widowControl/>
        <w:ind w:left="720"/>
        <w:rPr>
          <w:rFonts w:ascii="Times New Roman" w:hAnsi="Times New Roman"/>
        </w:rPr>
      </w:pPr>
      <w:r w:rsidRPr="00176829">
        <w:rPr>
          <w:rFonts w:ascii="Times New Roman" w:hAnsi="Times New Roman"/>
        </w:rPr>
        <w:t>There are no plans to publish results of this information collection.</w:t>
      </w:r>
    </w:p>
    <w:p w:rsidR="00BE3D72" w:rsidRPr="00176829" w:rsidRDefault="00BE3D72" w:rsidP="006E2ADB">
      <w:pPr>
        <w:widowControl/>
        <w:ind w:left="720"/>
        <w:rPr>
          <w:rFonts w:ascii="Times New Roman" w:hAnsi="Times New Roman"/>
        </w:rPr>
      </w:pPr>
    </w:p>
    <w:p w:rsidR="00F3670F" w:rsidRPr="00235B48" w:rsidRDefault="00F3670F" w:rsidP="006E2ADB">
      <w:pPr>
        <w:widowControl/>
        <w:numPr>
          <w:ilvl w:val="0"/>
          <w:numId w:val="5"/>
        </w:numPr>
        <w:tabs>
          <w:tab w:val="clear" w:pos="720"/>
          <w:tab w:val="left" w:pos="-1440"/>
        </w:tabs>
        <w:ind w:hanging="630"/>
        <w:rPr>
          <w:rFonts w:ascii="Times New Roman" w:hAnsi="Times New Roman"/>
          <w:i/>
          <w:iCs/>
          <w:sz w:val="20"/>
          <w:szCs w:val="20"/>
        </w:rPr>
      </w:pPr>
      <w:r w:rsidRPr="00235B48">
        <w:rPr>
          <w:rFonts w:ascii="Times New Roman" w:hAnsi="Times New Roman"/>
          <w:i/>
          <w:iCs/>
          <w:sz w:val="20"/>
          <w:szCs w:val="20"/>
        </w:rPr>
        <w:t>If seeking approval to not display the expiration date for OMB approval of the information collection, explain the reasons that display would be inappropriate.</w:t>
      </w:r>
    </w:p>
    <w:p w:rsidR="00CC65B0" w:rsidRPr="00235B48" w:rsidRDefault="00CC65B0" w:rsidP="006E2ADB">
      <w:pPr>
        <w:widowControl/>
        <w:tabs>
          <w:tab w:val="left" w:pos="-1440"/>
        </w:tabs>
        <w:ind w:left="720"/>
        <w:rPr>
          <w:rFonts w:ascii="Times New Roman" w:hAnsi="Times New Roman"/>
          <w:i/>
          <w:iCs/>
          <w:sz w:val="20"/>
          <w:szCs w:val="20"/>
        </w:rPr>
      </w:pPr>
    </w:p>
    <w:p w:rsidR="0098013F" w:rsidRDefault="0098013F" w:rsidP="006E2ADB">
      <w:pPr>
        <w:widowControl/>
        <w:ind w:left="720"/>
        <w:rPr>
          <w:rFonts w:ascii="Times New Roman" w:hAnsi="Times New Roman"/>
        </w:rPr>
      </w:pPr>
      <w:r>
        <w:rPr>
          <w:rFonts w:ascii="Times New Roman" w:hAnsi="Times New Roman"/>
        </w:rPr>
        <w:t>The collection of information will display a currently valid OMB control number.</w:t>
      </w:r>
    </w:p>
    <w:p w:rsidR="00475204" w:rsidRPr="00235B48" w:rsidRDefault="00475204" w:rsidP="006E2ADB">
      <w:pPr>
        <w:widowControl/>
        <w:tabs>
          <w:tab w:val="left" w:pos="-1440"/>
        </w:tabs>
        <w:ind w:left="720"/>
        <w:rPr>
          <w:rFonts w:ascii="Times New Roman" w:hAnsi="Times New Roman"/>
          <w:i/>
          <w:iCs/>
          <w:sz w:val="20"/>
          <w:szCs w:val="20"/>
        </w:rPr>
      </w:pPr>
    </w:p>
    <w:p w:rsidR="00F3670F" w:rsidRPr="00235B48" w:rsidRDefault="00F3670F" w:rsidP="006E2ADB">
      <w:pPr>
        <w:widowControl/>
        <w:tabs>
          <w:tab w:val="left" w:pos="-1440"/>
        </w:tabs>
        <w:ind w:left="720" w:hanging="720"/>
        <w:rPr>
          <w:rFonts w:ascii="Times New Roman" w:hAnsi="Times New Roman"/>
          <w:i/>
          <w:iCs/>
        </w:rPr>
      </w:pPr>
      <w:r w:rsidRPr="00235B48">
        <w:rPr>
          <w:rFonts w:ascii="Times New Roman" w:hAnsi="Times New Roman"/>
        </w:rPr>
        <w:t>18.</w:t>
      </w:r>
      <w:r w:rsidRPr="00235B48">
        <w:rPr>
          <w:rFonts w:ascii="Times New Roman" w:hAnsi="Times New Roman"/>
        </w:rPr>
        <w:tab/>
      </w:r>
      <w:r w:rsidRPr="00235B48">
        <w:rPr>
          <w:rFonts w:ascii="Times New Roman" w:hAnsi="Times New Roman"/>
          <w:i/>
          <w:iCs/>
          <w:sz w:val="20"/>
          <w:szCs w:val="20"/>
        </w:rPr>
        <w:t>Explain each exception to the certification statement identified in Item 19, "Certification for Paperwork Reduction Act Submission</w:t>
      </w:r>
      <w:r w:rsidR="00390170">
        <w:rPr>
          <w:rFonts w:ascii="Times New Roman" w:hAnsi="Times New Roman"/>
          <w:i/>
          <w:iCs/>
          <w:sz w:val="20"/>
          <w:szCs w:val="20"/>
        </w:rPr>
        <w:t>.</w:t>
      </w:r>
      <w:r w:rsidRPr="00235B48">
        <w:rPr>
          <w:rFonts w:ascii="Times New Roman" w:hAnsi="Times New Roman"/>
          <w:i/>
          <w:iCs/>
          <w:sz w:val="20"/>
          <w:szCs w:val="20"/>
        </w:rPr>
        <w:t>"</w:t>
      </w:r>
    </w:p>
    <w:p w:rsidR="00F3670F" w:rsidRPr="00235B48" w:rsidRDefault="00F3670F" w:rsidP="006E2ADB">
      <w:pPr>
        <w:widowControl/>
        <w:ind w:left="720"/>
        <w:rPr>
          <w:rFonts w:ascii="Times New Roman" w:hAnsi="Times New Roman"/>
        </w:rPr>
      </w:pPr>
    </w:p>
    <w:p w:rsidR="00586B52" w:rsidRDefault="00586B52" w:rsidP="006E2ADB">
      <w:pPr>
        <w:widowControl/>
        <w:ind w:left="720"/>
        <w:rPr>
          <w:rFonts w:ascii="Times New Roman" w:hAnsi="Times New Roman"/>
        </w:rPr>
      </w:pPr>
      <w:proofErr w:type="gramStart"/>
      <w:r w:rsidRPr="00235B48">
        <w:rPr>
          <w:rFonts w:ascii="Times New Roman" w:hAnsi="Times New Roman"/>
        </w:rPr>
        <w:t>None.</w:t>
      </w:r>
      <w:proofErr w:type="gramEnd"/>
    </w:p>
    <w:p w:rsidR="00475204" w:rsidRDefault="00475204" w:rsidP="006E2ADB">
      <w:pPr>
        <w:widowControl/>
        <w:ind w:left="720"/>
        <w:rPr>
          <w:rFonts w:ascii="Times New Roman" w:hAnsi="Times New Roman"/>
        </w:rPr>
      </w:pPr>
    </w:p>
    <w:p w:rsidR="00475204" w:rsidRDefault="00475204" w:rsidP="006E2ADB">
      <w:pPr>
        <w:widowControl/>
        <w:outlineLvl w:val="0"/>
        <w:rPr>
          <w:rFonts w:ascii="Times New Roman" w:hAnsi="Times New Roman"/>
          <w:bCs/>
        </w:rPr>
      </w:pPr>
      <w:r>
        <w:rPr>
          <w:rFonts w:ascii="Times New Roman" w:hAnsi="Times New Roman"/>
          <w:b/>
          <w:bCs/>
        </w:rPr>
        <w:t>B</w:t>
      </w:r>
      <w:r w:rsidRPr="00235B48">
        <w:rPr>
          <w:rFonts w:ascii="Times New Roman" w:hAnsi="Times New Roman"/>
          <w:b/>
          <w:bCs/>
        </w:rPr>
        <w:t xml:space="preserve">.  </w:t>
      </w:r>
      <w:r>
        <w:rPr>
          <w:rFonts w:ascii="Times New Roman" w:hAnsi="Times New Roman"/>
          <w:b/>
          <w:bCs/>
        </w:rPr>
        <w:t>Statistical Methods</w:t>
      </w:r>
    </w:p>
    <w:p w:rsidR="00475204" w:rsidRDefault="00475204" w:rsidP="006E2ADB">
      <w:pPr>
        <w:widowControl/>
        <w:ind w:left="720"/>
        <w:outlineLvl w:val="0"/>
        <w:rPr>
          <w:rFonts w:ascii="Times New Roman" w:hAnsi="Times New Roman"/>
          <w:bCs/>
        </w:rPr>
      </w:pPr>
    </w:p>
    <w:p w:rsidR="00475204" w:rsidRPr="00475204" w:rsidRDefault="00475204" w:rsidP="006E2ADB">
      <w:pPr>
        <w:widowControl/>
        <w:ind w:left="720"/>
        <w:outlineLvl w:val="0"/>
        <w:rPr>
          <w:rFonts w:ascii="Times New Roman" w:hAnsi="Times New Roman"/>
        </w:rPr>
      </w:pPr>
      <w:r>
        <w:rPr>
          <w:rFonts w:ascii="Times New Roman" w:hAnsi="Times New Roman"/>
          <w:bCs/>
        </w:rPr>
        <w:t>This information collection does not employ statistical methods.</w:t>
      </w:r>
    </w:p>
    <w:p w:rsidR="00475204" w:rsidRPr="00235B48" w:rsidRDefault="00475204" w:rsidP="006E2ADB">
      <w:pPr>
        <w:widowControl/>
        <w:ind w:left="720"/>
        <w:rPr>
          <w:rFonts w:ascii="Times New Roman" w:hAnsi="Times New Roman"/>
        </w:rPr>
      </w:pPr>
    </w:p>
    <w:sectPr w:rsidR="00475204" w:rsidRPr="00235B48">
      <w:headerReference w:type="default" r:id="rId9"/>
      <w:footerReference w:type="default" r:id="rId10"/>
      <w:endnotePr>
        <w:numFmt w:val="decimal"/>
      </w:endnotePr>
      <w:type w:val="continuous"/>
      <w:pgSz w:w="12240" w:h="15840"/>
      <w:pgMar w:top="1354" w:right="1440" w:bottom="1440" w:left="1440" w:header="1354"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782" w:rsidRDefault="00A97782">
      <w:r>
        <w:separator/>
      </w:r>
    </w:p>
  </w:endnote>
  <w:endnote w:type="continuationSeparator" w:id="0">
    <w:p w:rsidR="00A97782" w:rsidRDefault="00A9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53D" w:rsidRDefault="0095653D" w:rsidP="00541F6D">
    <w:pPr>
      <w:pStyle w:val="Footer"/>
      <w:jc w:val="center"/>
    </w:pPr>
  </w:p>
  <w:p w:rsidR="00541F6D" w:rsidRDefault="00541F6D" w:rsidP="00541F6D">
    <w:pPr>
      <w:pStyle w:val="Footer"/>
      <w:jc w:val="center"/>
    </w:pPr>
    <w:r>
      <w:fldChar w:fldCharType="begin"/>
    </w:r>
    <w:r>
      <w:instrText xml:space="preserve"> PAGE   \* MERGEFORMAT </w:instrText>
    </w:r>
    <w:r>
      <w:fldChar w:fldCharType="separate"/>
    </w:r>
    <w:r w:rsidR="00B55A5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782" w:rsidRDefault="00A97782">
      <w:r>
        <w:separator/>
      </w:r>
    </w:p>
  </w:footnote>
  <w:footnote w:type="continuationSeparator" w:id="0">
    <w:p w:rsidR="00A97782" w:rsidRDefault="00A97782">
      <w:r>
        <w:continuationSeparator/>
      </w:r>
    </w:p>
  </w:footnote>
  <w:footnote w:id="1">
    <w:p w:rsidR="00CA759E" w:rsidRPr="00CF43D6" w:rsidRDefault="00CA759E">
      <w:pPr>
        <w:pStyle w:val="FootnoteText"/>
        <w:rPr>
          <w:rFonts w:ascii="Times New Roman" w:hAnsi="Times New Roman"/>
        </w:rPr>
      </w:pPr>
      <w:r w:rsidRPr="00CF43D6">
        <w:rPr>
          <w:rStyle w:val="FootnoteReference"/>
          <w:rFonts w:ascii="Times New Roman" w:hAnsi="Times New Roman"/>
          <w:vertAlign w:val="superscript"/>
        </w:rPr>
        <w:footnoteRef/>
      </w:r>
      <w:r w:rsidRPr="00CF43D6">
        <w:rPr>
          <w:rFonts w:ascii="Times New Roman" w:hAnsi="Times New Roman"/>
        </w:rPr>
        <w:t xml:space="preserve"> </w:t>
      </w:r>
      <w:r w:rsidR="00B06CAE" w:rsidRPr="00B06CAE">
        <w:rPr>
          <w:rFonts w:ascii="Times New Roman" w:hAnsi="Times New Roman"/>
        </w:rPr>
        <w:t>According to the "2015 Investment Management Compliance Testing Survey," Investment Adviser Association, cited in the regulatory impact analysis for the accompanying rule, 63 percent of Registered Investment Advisers (RIAs) service ERISA-covered plans and IRAs.  The Department conservatively interprets this to mean that all of the 113 large RIAs, 63 percent of the 3,021 medium RIAs (1,903), and 63 percent of the 24,475 small RIAs (15,419) work with ERISA-covered plans and IRAs.  The Department assumes that all of the 42 large broker-dealers, and similar shares of the 233 medium broker-dealers (147) and the 3,682 small broker-dealers (2,320) work with ERISA-covered plans and IRAs.  According to SEC and FINRA data, cited in the regulatory impact analysis, 18 percent of broker-dealers are also registered as RIAs.  Removing these firms from the RIA counts produces counts of 105 large RIAs, 1,877 medium RIAs, and 15,001 small RIAs that work with ERISA-covered plans and IRAs and are not also registered as broker-dealers.  SNL Financial data show that 398 life insurance companies reported receiving either individual or group annuity considerations in 2014.  The Department has used these data as the count of insurance companies working in the ERISA-covered plan and IRA markets.  Finally, 2013 Form 5500 data show 3,375 service providers to ERISA-covered plans that are not also broker-dealers, Registered Investment Advisers, or insurance companies.  Therefore, the Department estimates that approximately 23,265 broker-dealers, RIAs, insurance companies, and service providers work with ERISA-covered plans and IRAs.  Additionally, the Department is using plans with assets of $50 million or more as a proxy for other persons who managed $50 million or more in plan assets.  According to 2013 Form 5500 filings, 12,446 plans had assets of $50 million or more.  These categories total 35,711.  The Department rounded up to 36,000 to account for other entities that might produce the disclosure.</w:t>
      </w:r>
    </w:p>
  </w:footnote>
  <w:footnote w:id="2">
    <w:p w:rsidR="00F81CF5" w:rsidRPr="005D5F36" w:rsidRDefault="00F81CF5">
      <w:pPr>
        <w:pStyle w:val="FootnoteText"/>
        <w:rPr>
          <w:rFonts w:ascii="Times New Roman" w:hAnsi="Times New Roman"/>
        </w:rPr>
      </w:pPr>
      <w:r w:rsidRPr="00C246CC">
        <w:rPr>
          <w:rStyle w:val="FootnoteReference"/>
          <w:rFonts w:ascii="Times New Roman" w:hAnsi="Times New Roman"/>
          <w:vertAlign w:val="superscript"/>
        </w:rPr>
        <w:footnoteRef/>
      </w:r>
      <w:r w:rsidRPr="005D5F36">
        <w:rPr>
          <w:rFonts w:ascii="Times New Roman" w:hAnsi="Times New Roman"/>
        </w:rPr>
        <w:t xml:space="preserve"> </w:t>
      </w:r>
      <w:proofErr w:type="gramStart"/>
      <w:r w:rsidR="006F0620">
        <w:rPr>
          <w:rFonts w:ascii="Times New Roman" w:hAnsi="Times New Roman"/>
        </w:rPr>
        <w:t>3</w:t>
      </w:r>
      <w:r w:rsidR="00B06CAE">
        <w:rPr>
          <w:rFonts w:ascii="Times New Roman" w:hAnsi="Times New Roman"/>
        </w:rPr>
        <w:t>6,0</w:t>
      </w:r>
      <w:r w:rsidR="006F0620">
        <w:rPr>
          <w:rFonts w:ascii="Times New Roman" w:hAnsi="Times New Roman"/>
        </w:rPr>
        <w:t>00 independent fiduciaries with financial expertise x 25 minutes = 15,000 hours</w:t>
      </w:r>
      <w:r w:rsidRPr="005D5F36">
        <w:rPr>
          <w:rFonts w:ascii="Times New Roman" w:hAnsi="Times New Roman"/>
        </w:rPr>
        <w:t>.</w:t>
      </w:r>
      <w:proofErr w:type="gramEnd"/>
    </w:p>
  </w:footnote>
  <w:footnote w:id="3">
    <w:p w:rsidR="005766AF" w:rsidRPr="005B4716" w:rsidRDefault="005766AF" w:rsidP="005766AF">
      <w:pPr>
        <w:pStyle w:val="FootnoteText"/>
        <w:rPr>
          <w:rFonts w:ascii="Times New Roman" w:hAnsi="Times New Roman"/>
        </w:rPr>
      </w:pPr>
      <w:r w:rsidRPr="005B4716">
        <w:rPr>
          <w:rStyle w:val="FootnoteReference"/>
          <w:rFonts w:ascii="Times New Roman" w:hAnsi="Times New Roman"/>
          <w:vertAlign w:val="superscript"/>
        </w:rPr>
        <w:footnoteRef/>
      </w:r>
      <w:r w:rsidRPr="005B4716">
        <w:rPr>
          <w:rStyle w:val="FootnoteReference"/>
          <w:rFonts w:ascii="Times New Roman" w:hAnsi="Times New Roman"/>
          <w:vertAlign w:val="superscript"/>
        </w:rPr>
        <w:t xml:space="preserve"> </w:t>
      </w:r>
      <w:r w:rsidR="004D3320" w:rsidRPr="004D3320">
        <w:rPr>
          <w:rFonts w:ascii="Times New Roman" w:hAnsi="Times New Roman"/>
        </w:rPr>
        <w:t xml:space="preserve">For a description of the Department’s methodology for calculating wage rates, see </w:t>
      </w:r>
      <w:r w:rsidR="002D3AB2" w:rsidRPr="002D3AB2">
        <w:rPr>
          <w:rFonts w:ascii="Times New Roman" w:hAnsi="Times New Roman"/>
        </w:rPr>
        <w:t>http://www.dol.gov/ebsa/pdf/labor-cost-inputs-used-in-ebsa-opr-ria-and-pra-burden-calculations-march-2016.pdf</w:t>
      </w:r>
      <w:r w:rsidR="004D3320" w:rsidRPr="004D3320">
        <w:rPr>
          <w:rFonts w:ascii="Times New Roman" w:hAnsi="Times New Roman"/>
        </w:rPr>
        <w:t>.  The Department’s methodology for calculating the overhead cost input of its wage rates was adjusted from the proposed regulation to the final regulation.  In the proposed regulation, the Department based its overhead cost estimates on longstanding internal EBSA calculations for the cost of overhead.  In response to a public comment stating that the overhead cost estimates were too low and without any supporting evidence, the Department incorporated published US Census Bureau survey data on overhead costs into its wage rate estimates.</w:t>
      </w:r>
    </w:p>
  </w:footnote>
  <w:footnote w:id="4">
    <w:p w:rsidR="0069590B" w:rsidRPr="00DE0439" w:rsidRDefault="0069590B">
      <w:pPr>
        <w:pStyle w:val="FootnoteText"/>
        <w:rPr>
          <w:rFonts w:ascii="Times New Roman" w:hAnsi="Times New Roman"/>
        </w:rPr>
      </w:pPr>
      <w:r w:rsidRPr="00C246CC">
        <w:rPr>
          <w:rStyle w:val="FootnoteReference"/>
          <w:rFonts w:ascii="Times New Roman" w:hAnsi="Times New Roman"/>
          <w:vertAlign w:val="superscript"/>
        </w:rPr>
        <w:footnoteRef/>
      </w:r>
      <w:r w:rsidRPr="00DE0439">
        <w:rPr>
          <w:rFonts w:ascii="Times New Roman" w:hAnsi="Times New Roman"/>
        </w:rPr>
        <w:t xml:space="preserve"> </w:t>
      </w:r>
      <w:r w:rsidR="00F94CCE">
        <w:rPr>
          <w:rFonts w:ascii="Times New Roman" w:hAnsi="Times New Roman"/>
        </w:rPr>
        <w:t>15</w:t>
      </w:r>
      <w:r w:rsidRPr="00DE0439">
        <w:rPr>
          <w:rFonts w:ascii="Times New Roman" w:hAnsi="Times New Roman"/>
        </w:rPr>
        <w:t>,000 hours x $1</w:t>
      </w:r>
      <w:r w:rsidR="00F94CCE">
        <w:rPr>
          <w:rFonts w:ascii="Times New Roman" w:hAnsi="Times New Roman"/>
        </w:rPr>
        <w:t>33.61</w:t>
      </w:r>
      <w:r w:rsidRPr="00DE0439">
        <w:rPr>
          <w:rFonts w:ascii="Times New Roman" w:hAnsi="Times New Roman"/>
        </w:rPr>
        <w:t xml:space="preserve"> per hour = $</w:t>
      </w:r>
      <w:r w:rsidR="00F94CCE">
        <w:rPr>
          <w:rFonts w:ascii="Times New Roman" w:hAnsi="Times New Roman"/>
        </w:rPr>
        <w:t>2.0</w:t>
      </w:r>
      <w:r w:rsidRPr="00DE0439">
        <w:rPr>
          <w:rFonts w:ascii="Times New Roman" w:hAnsi="Times New Roman"/>
        </w:rPr>
        <w:t xml:space="preserve"> million.</w:t>
      </w:r>
    </w:p>
  </w:footnote>
  <w:footnote w:id="5">
    <w:p w:rsidR="00C91A7C" w:rsidRPr="00DE0439" w:rsidRDefault="00C91A7C">
      <w:pPr>
        <w:pStyle w:val="FootnoteText"/>
        <w:rPr>
          <w:rFonts w:ascii="Times New Roman" w:hAnsi="Times New Roman"/>
        </w:rPr>
      </w:pPr>
      <w:r w:rsidRPr="00C246CC">
        <w:rPr>
          <w:rStyle w:val="FootnoteReference"/>
          <w:rFonts w:ascii="Times New Roman" w:hAnsi="Times New Roman"/>
          <w:vertAlign w:val="superscript"/>
        </w:rPr>
        <w:footnoteRef/>
      </w:r>
      <w:r w:rsidRPr="00DE0439">
        <w:rPr>
          <w:rFonts w:ascii="Times New Roman" w:hAnsi="Times New Roman"/>
        </w:rPr>
        <w:t xml:space="preserve"> </w:t>
      </w:r>
      <w:proofErr w:type="gramStart"/>
      <w:r w:rsidR="00F94CCE">
        <w:rPr>
          <w:rFonts w:ascii="Times New Roman" w:hAnsi="Times New Roman"/>
        </w:rPr>
        <w:t>3</w:t>
      </w:r>
      <w:r w:rsidR="004D3320">
        <w:rPr>
          <w:rFonts w:ascii="Times New Roman" w:hAnsi="Times New Roman"/>
        </w:rPr>
        <w:t>6,0</w:t>
      </w:r>
      <w:r w:rsidR="008B0DB1">
        <w:rPr>
          <w:rFonts w:ascii="Times New Roman" w:hAnsi="Times New Roman"/>
        </w:rPr>
        <w:t>00</w:t>
      </w:r>
      <w:r w:rsidR="00F94CCE">
        <w:rPr>
          <w:rFonts w:ascii="Times New Roman" w:hAnsi="Times New Roman"/>
        </w:rPr>
        <w:t xml:space="preserve"> independent fiduciaries with financial expertise x </w:t>
      </w:r>
      <w:r w:rsidR="00F81CF5" w:rsidRPr="00DE0439">
        <w:rPr>
          <w:rFonts w:ascii="Times New Roman" w:hAnsi="Times New Roman"/>
        </w:rPr>
        <w:t xml:space="preserve">30 minutes = </w:t>
      </w:r>
      <w:r w:rsidR="00F94CCE">
        <w:rPr>
          <w:rFonts w:ascii="Times New Roman" w:hAnsi="Times New Roman"/>
        </w:rPr>
        <w:t>18</w:t>
      </w:r>
      <w:r w:rsidR="00F81CF5" w:rsidRPr="00DE0439">
        <w:rPr>
          <w:rFonts w:ascii="Times New Roman" w:hAnsi="Times New Roman"/>
        </w:rPr>
        <w:t>,000 hours</w:t>
      </w:r>
      <w:r w:rsidR="005D5F36" w:rsidRPr="00DE0439">
        <w:rPr>
          <w:rFonts w:ascii="Times New Roman" w:hAnsi="Times New Roman"/>
        </w:rPr>
        <w:t>.</w:t>
      </w:r>
      <w:proofErr w:type="gramEnd"/>
    </w:p>
  </w:footnote>
  <w:footnote w:id="6">
    <w:p w:rsidR="00742337" w:rsidRPr="008317AD" w:rsidRDefault="00742337">
      <w:pPr>
        <w:pStyle w:val="FootnoteText"/>
        <w:rPr>
          <w:rFonts w:ascii="Times New Roman" w:hAnsi="Times New Roman"/>
        </w:rPr>
      </w:pPr>
      <w:r w:rsidRPr="008317AD">
        <w:rPr>
          <w:rStyle w:val="FootnoteReference"/>
          <w:rFonts w:ascii="Times New Roman" w:hAnsi="Times New Roman"/>
          <w:vertAlign w:val="superscript"/>
        </w:rPr>
        <w:footnoteRef/>
      </w:r>
      <w:r w:rsidRPr="008317AD">
        <w:rPr>
          <w:rFonts w:ascii="Times New Roman" w:hAnsi="Times New Roman"/>
        </w:rPr>
        <w:t xml:space="preserve"> 18,000 hours x </w:t>
      </w:r>
      <w:r w:rsidR="00625CD9" w:rsidRPr="008317AD">
        <w:rPr>
          <w:rFonts w:ascii="Times New Roman" w:hAnsi="Times New Roman"/>
        </w:rPr>
        <w:t>$55.21 per hour = $9</w:t>
      </w:r>
      <w:r w:rsidR="004D3320">
        <w:rPr>
          <w:rFonts w:ascii="Times New Roman" w:hAnsi="Times New Roman"/>
        </w:rPr>
        <w:t>94</w:t>
      </w:r>
      <w:r w:rsidR="00625CD9" w:rsidRPr="008317AD">
        <w:rPr>
          <w:rFonts w:ascii="Times New Roman" w:hAnsi="Times New Roman"/>
        </w:rPr>
        <w:t>,000</w:t>
      </w:r>
      <w:r w:rsidR="00625CD9">
        <w:rPr>
          <w:rFonts w:ascii="Times New Roman" w:hAnsi="Times New Roman"/>
        </w:rPr>
        <w:t>.</w:t>
      </w:r>
    </w:p>
  </w:footnote>
  <w:footnote w:id="7">
    <w:p w:rsidR="009F28A4" w:rsidRPr="00DE0439" w:rsidRDefault="009F28A4">
      <w:pPr>
        <w:pStyle w:val="FootnoteText"/>
        <w:rPr>
          <w:rFonts w:ascii="Times New Roman" w:hAnsi="Times New Roman"/>
        </w:rPr>
      </w:pPr>
      <w:r w:rsidRPr="00C246CC">
        <w:rPr>
          <w:rStyle w:val="FootnoteReference"/>
          <w:rFonts w:ascii="Times New Roman" w:hAnsi="Times New Roman"/>
          <w:vertAlign w:val="superscript"/>
        </w:rPr>
        <w:footnoteRef/>
      </w:r>
      <w:r w:rsidRPr="00DE0439">
        <w:rPr>
          <w:rFonts w:ascii="Times New Roman" w:hAnsi="Times New Roman"/>
        </w:rPr>
        <w:t xml:space="preserve"> </w:t>
      </w:r>
      <w:r w:rsidR="00BF56C3" w:rsidRPr="00BF56C3">
        <w:rPr>
          <w:rFonts w:ascii="Times New Roman" w:hAnsi="Times New Roman"/>
        </w:rPr>
        <w:t xml:space="preserve">According to 2013 Form 5500 Schedule C filings, approximately 2,000 service providers provided recordkeeping services to plans.  The Department believes that considerable overlap exists between the recordkeeping market and the platform provider market and between the large plan service provider market and the small plan service provider market.  Therefore, the Department has chosen to use </w:t>
      </w:r>
      <w:proofErr w:type="spellStart"/>
      <w:r w:rsidR="00BF56C3" w:rsidRPr="00BF56C3">
        <w:rPr>
          <w:rFonts w:ascii="Times New Roman" w:hAnsi="Times New Roman"/>
        </w:rPr>
        <w:t>recordkeepers</w:t>
      </w:r>
      <w:proofErr w:type="spellEnd"/>
      <w:r w:rsidR="00BF56C3" w:rsidRPr="00BF56C3">
        <w:rPr>
          <w:rFonts w:ascii="Times New Roman" w:hAnsi="Times New Roman"/>
        </w:rPr>
        <w:t xml:space="preserve"> reported on the Schedule C as a proxy for platform providers due to data availability constraints.</w:t>
      </w:r>
    </w:p>
  </w:footnote>
  <w:footnote w:id="8">
    <w:p w:rsidR="004004F7" w:rsidRPr="00DE0439" w:rsidRDefault="004004F7">
      <w:pPr>
        <w:pStyle w:val="FootnoteText"/>
        <w:rPr>
          <w:rFonts w:ascii="Times New Roman" w:hAnsi="Times New Roman"/>
        </w:rPr>
      </w:pPr>
      <w:r w:rsidRPr="00C246CC">
        <w:rPr>
          <w:rStyle w:val="FootnoteReference"/>
          <w:rFonts w:ascii="Times New Roman" w:hAnsi="Times New Roman"/>
          <w:vertAlign w:val="superscript"/>
        </w:rPr>
        <w:footnoteRef/>
      </w:r>
      <w:r w:rsidRPr="00DE0439">
        <w:rPr>
          <w:rFonts w:ascii="Times New Roman" w:hAnsi="Times New Roman"/>
        </w:rPr>
        <w:t xml:space="preserve"> </w:t>
      </w:r>
      <w:proofErr w:type="gramStart"/>
      <w:r w:rsidR="0085188A">
        <w:rPr>
          <w:rFonts w:ascii="Times New Roman" w:hAnsi="Times New Roman"/>
        </w:rPr>
        <w:t>2,000</w:t>
      </w:r>
      <w:r w:rsidRPr="00DE0439">
        <w:rPr>
          <w:rFonts w:ascii="Times New Roman" w:hAnsi="Times New Roman"/>
        </w:rPr>
        <w:t xml:space="preserve"> service providers x 10 minutes = 300 hours.</w:t>
      </w:r>
      <w:proofErr w:type="gramEnd"/>
    </w:p>
  </w:footnote>
  <w:footnote w:id="9">
    <w:p w:rsidR="00DE0439" w:rsidRPr="00DE0439" w:rsidRDefault="00DE0439">
      <w:pPr>
        <w:pStyle w:val="FootnoteText"/>
        <w:rPr>
          <w:rFonts w:ascii="Times New Roman" w:hAnsi="Times New Roman"/>
        </w:rPr>
      </w:pPr>
      <w:r w:rsidRPr="00C246CC">
        <w:rPr>
          <w:rStyle w:val="FootnoteReference"/>
          <w:rFonts w:ascii="Times New Roman" w:hAnsi="Times New Roman"/>
          <w:vertAlign w:val="superscript"/>
        </w:rPr>
        <w:footnoteRef/>
      </w:r>
      <w:r w:rsidRPr="00DE0439">
        <w:rPr>
          <w:rFonts w:ascii="Times New Roman" w:hAnsi="Times New Roman"/>
        </w:rPr>
        <w:t xml:space="preserve"> 300 hours x $1</w:t>
      </w:r>
      <w:r w:rsidR="0085188A">
        <w:rPr>
          <w:rFonts w:ascii="Times New Roman" w:hAnsi="Times New Roman"/>
        </w:rPr>
        <w:t>33.61</w:t>
      </w:r>
      <w:r w:rsidRPr="00DE0439">
        <w:rPr>
          <w:rFonts w:ascii="Times New Roman" w:hAnsi="Times New Roman"/>
        </w:rPr>
        <w:t xml:space="preserve"> per hour = $</w:t>
      </w:r>
      <w:r w:rsidR="0085188A">
        <w:rPr>
          <w:rFonts w:ascii="Times New Roman" w:hAnsi="Times New Roman"/>
        </w:rPr>
        <w:t>45</w:t>
      </w:r>
      <w:r w:rsidRPr="00DE0439">
        <w:rPr>
          <w:rFonts w:ascii="Times New Roman" w:hAnsi="Times New Roman"/>
        </w:rPr>
        <w:t>,000</w:t>
      </w:r>
    </w:p>
  </w:footnote>
  <w:footnote w:id="10">
    <w:p w:rsidR="00307A1F" w:rsidRPr="00CF43D6" w:rsidRDefault="00307A1F">
      <w:pPr>
        <w:pStyle w:val="FootnoteText"/>
        <w:rPr>
          <w:rFonts w:ascii="Times New Roman" w:hAnsi="Times New Roman"/>
        </w:rPr>
      </w:pPr>
      <w:r w:rsidRPr="00CF43D6">
        <w:rPr>
          <w:rStyle w:val="FootnoteReference"/>
          <w:rFonts w:ascii="Times New Roman" w:hAnsi="Times New Roman"/>
          <w:vertAlign w:val="superscript"/>
        </w:rPr>
        <w:footnoteRef/>
      </w:r>
      <w:r w:rsidRPr="00CF43D6">
        <w:rPr>
          <w:rFonts w:ascii="Times New Roman" w:hAnsi="Times New Roman"/>
        </w:rPr>
        <w:t xml:space="preserve"> </w:t>
      </w:r>
      <w:r w:rsidR="005B6D67" w:rsidRPr="005B6D67">
        <w:rPr>
          <w:rFonts w:ascii="Times New Roman" w:hAnsi="Times New Roman"/>
        </w:rPr>
        <w:t>One commenter questioned the basis for the Department’s assumption regarding the number of financial institutions likely to provide investment education disclosures.  According to the "2015 Investment Management Compliance Testing Survey", Investment Adviser Association, cited in the regulatory impact analysis for the accompanying rule, 63 percent of Registered Investment Advisers service ERISA-covered plans and IRAs.  The Department conservatively interprets this to mean that all of the 113 large Registered Investment Advisers, 63 percent of the 3,021 medium Registered Investment Advisers (1,903), and 63 percent of the 24,475 small Registered Investment Advisers (RIAs) (15,419) work with ERISA-covered plans and IRAs.  The Department assumes that all of the 42 large broker-dealers, and similar shares of the 233 medium broker-dealers (147) and the 3,682 small broker-dealers (2,320) work with ERISA-covered plans and IRAs.  According to SEC and FINRA data, cited in the regulatory impact analysis, 18 percent of broker-dealers are also registered as RIAs.  Removing these firms from the RIA counts produces counts of 105 large RIAs, 1,877 medium RIAs, and 15,001 small RIAs that work with ERISA-covered plans and IRAs and are not also registered as broker-dealers.  SNL Financial data show that 398 life insurance companies reported receiving either individual or group annuity considerations in 2014.  The Department has used these data as the count of insurance companies working in the ERISA-covered plan and IRA markets.  Finally, 2013 Form 5500 data show 3,375 service providers to ERISA-covered plans that are not also broker-dealers, Registered Investment Advisers, or insurance companies.  Therefore, the Department estimates that approximately 23,265 broker-dealers, RIAs, insurance companies, and service providers work with ERISA-covered plans and IRAs.  The Department has rounded up to 23,500 to account for any other financial institutions that may provide covered investment education.</w:t>
      </w:r>
    </w:p>
  </w:footnote>
  <w:footnote w:id="11">
    <w:p w:rsidR="00AC2F6E" w:rsidRPr="00AC2F6E" w:rsidRDefault="00AC2F6E">
      <w:pPr>
        <w:pStyle w:val="FootnoteText"/>
        <w:rPr>
          <w:rFonts w:ascii="Times New Roman" w:hAnsi="Times New Roman"/>
        </w:rPr>
      </w:pPr>
      <w:r w:rsidRPr="00C246CC">
        <w:rPr>
          <w:rStyle w:val="FootnoteReference"/>
          <w:rFonts w:ascii="Times New Roman" w:hAnsi="Times New Roman"/>
          <w:vertAlign w:val="superscript"/>
        </w:rPr>
        <w:footnoteRef/>
      </w:r>
      <w:r w:rsidRPr="00AC2F6E">
        <w:rPr>
          <w:rFonts w:ascii="Times New Roman" w:hAnsi="Times New Roman"/>
        </w:rPr>
        <w:t xml:space="preserve"> </w:t>
      </w:r>
      <w:proofErr w:type="gramStart"/>
      <w:r w:rsidR="00403D1D">
        <w:rPr>
          <w:rFonts w:ascii="Times New Roman" w:hAnsi="Times New Roman"/>
        </w:rPr>
        <w:t>23,</w:t>
      </w:r>
      <w:r w:rsidR="005B6D67">
        <w:rPr>
          <w:rFonts w:ascii="Times New Roman" w:hAnsi="Times New Roman"/>
        </w:rPr>
        <w:t>5</w:t>
      </w:r>
      <w:r w:rsidR="00403D1D">
        <w:rPr>
          <w:rFonts w:ascii="Times New Roman" w:hAnsi="Times New Roman"/>
        </w:rPr>
        <w:t>00 financial institutions and service providers x 1 hour = 2</w:t>
      </w:r>
      <w:r w:rsidR="00E77A4C">
        <w:rPr>
          <w:rFonts w:ascii="Times New Roman" w:hAnsi="Times New Roman"/>
        </w:rPr>
        <w:t>3</w:t>
      </w:r>
      <w:r w:rsidR="00403D1D">
        <w:rPr>
          <w:rFonts w:ascii="Times New Roman" w:hAnsi="Times New Roman"/>
        </w:rPr>
        <w:t>,</w:t>
      </w:r>
      <w:r w:rsidR="005B6D67">
        <w:rPr>
          <w:rFonts w:ascii="Times New Roman" w:hAnsi="Times New Roman"/>
        </w:rPr>
        <w:t>5</w:t>
      </w:r>
      <w:r w:rsidR="00403D1D">
        <w:rPr>
          <w:rFonts w:ascii="Times New Roman" w:hAnsi="Times New Roman"/>
        </w:rPr>
        <w:t>00 hours</w:t>
      </w:r>
      <w:r w:rsidRPr="00AC2F6E">
        <w:rPr>
          <w:rFonts w:ascii="Times New Roman" w:hAnsi="Times New Roman"/>
        </w:rPr>
        <w:t>.</w:t>
      </w:r>
      <w:proofErr w:type="gramEnd"/>
    </w:p>
  </w:footnote>
  <w:footnote w:id="12">
    <w:p w:rsidR="0014357A" w:rsidRPr="0014357A" w:rsidRDefault="0014357A">
      <w:pPr>
        <w:pStyle w:val="FootnoteText"/>
        <w:rPr>
          <w:rFonts w:ascii="Times New Roman" w:hAnsi="Times New Roman"/>
        </w:rPr>
      </w:pPr>
      <w:r w:rsidRPr="00C246CC">
        <w:rPr>
          <w:rStyle w:val="FootnoteReference"/>
          <w:rFonts w:ascii="Times New Roman" w:hAnsi="Times New Roman"/>
          <w:vertAlign w:val="superscript"/>
        </w:rPr>
        <w:footnoteRef/>
      </w:r>
      <w:r w:rsidRPr="0014357A">
        <w:rPr>
          <w:rFonts w:ascii="Times New Roman" w:hAnsi="Times New Roman"/>
        </w:rPr>
        <w:t xml:space="preserve"> </w:t>
      </w:r>
      <w:r w:rsidR="00403D1D">
        <w:rPr>
          <w:rFonts w:ascii="Times New Roman" w:hAnsi="Times New Roman"/>
        </w:rPr>
        <w:t>2</w:t>
      </w:r>
      <w:r w:rsidR="00E77A4C">
        <w:rPr>
          <w:rFonts w:ascii="Times New Roman" w:hAnsi="Times New Roman"/>
        </w:rPr>
        <w:t>3</w:t>
      </w:r>
      <w:r w:rsidR="00403D1D">
        <w:rPr>
          <w:rFonts w:ascii="Times New Roman" w:hAnsi="Times New Roman"/>
        </w:rPr>
        <w:t>,</w:t>
      </w:r>
      <w:r w:rsidR="005B6D67">
        <w:rPr>
          <w:rFonts w:ascii="Times New Roman" w:hAnsi="Times New Roman"/>
        </w:rPr>
        <w:t>5</w:t>
      </w:r>
      <w:r w:rsidR="00403D1D">
        <w:rPr>
          <w:rFonts w:ascii="Times New Roman" w:hAnsi="Times New Roman"/>
        </w:rPr>
        <w:t>00</w:t>
      </w:r>
      <w:r w:rsidRPr="0014357A">
        <w:rPr>
          <w:rFonts w:ascii="Times New Roman" w:hAnsi="Times New Roman"/>
        </w:rPr>
        <w:t xml:space="preserve"> hours x $1</w:t>
      </w:r>
      <w:r w:rsidR="00403D1D">
        <w:rPr>
          <w:rFonts w:ascii="Times New Roman" w:hAnsi="Times New Roman"/>
        </w:rPr>
        <w:t>33.61</w:t>
      </w:r>
      <w:r w:rsidRPr="0014357A">
        <w:rPr>
          <w:rFonts w:ascii="Times New Roman" w:hAnsi="Times New Roman"/>
        </w:rPr>
        <w:t xml:space="preserve"> per hour = $</w:t>
      </w:r>
      <w:r w:rsidR="00403D1D">
        <w:rPr>
          <w:rFonts w:ascii="Times New Roman" w:hAnsi="Times New Roman"/>
        </w:rPr>
        <w:t>3.1 million</w:t>
      </w:r>
      <w:r w:rsidRPr="0014357A">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980" w:rsidRDefault="00F777C8">
    <w:pPr>
      <w:jc w:val="right"/>
      <w:rPr>
        <w:rFonts w:ascii="CG Times" w:hAnsi="CG Times"/>
        <w:b/>
        <w:bCs/>
        <w:sz w:val="20"/>
        <w:szCs w:val="20"/>
      </w:rPr>
    </w:pPr>
    <w:r>
      <w:rPr>
        <w:rFonts w:ascii="CG Times" w:hAnsi="CG Times"/>
        <w:b/>
        <w:bCs/>
        <w:sz w:val="20"/>
        <w:szCs w:val="20"/>
      </w:rPr>
      <w:t>C</w:t>
    </w:r>
    <w:r w:rsidR="00D05005">
      <w:rPr>
        <w:rFonts w:ascii="CG Times" w:hAnsi="CG Times"/>
        <w:b/>
        <w:bCs/>
        <w:sz w:val="20"/>
        <w:szCs w:val="20"/>
      </w:rPr>
      <w:t>onflicted Investment Advice Rule</w:t>
    </w:r>
  </w:p>
  <w:p w:rsidR="008658D1" w:rsidRDefault="008658D1">
    <w:pPr>
      <w:jc w:val="right"/>
      <w:rPr>
        <w:rFonts w:ascii="Times New Roman" w:hAnsi="Times New Roman"/>
        <w:sz w:val="20"/>
        <w:szCs w:val="20"/>
      </w:rPr>
    </w:pPr>
    <w:r>
      <w:rPr>
        <w:rFonts w:ascii="CG Times" w:hAnsi="CG Times"/>
        <w:b/>
        <w:bCs/>
        <w:sz w:val="20"/>
        <w:szCs w:val="20"/>
      </w:rPr>
      <w:t>1210-</w:t>
    </w:r>
    <w:r w:rsidR="008172C5">
      <w:rPr>
        <w:rFonts w:ascii="CG Times" w:hAnsi="CG Times"/>
        <w:b/>
        <w:bCs/>
        <w:sz w:val="20"/>
        <w:szCs w:val="20"/>
      </w:rPr>
      <w:t>0155</w:t>
    </w:r>
  </w:p>
  <w:p w:rsidR="00EF3642" w:rsidRPr="00AC2A80" w:rsidRDefault="00B92EF7" w:rsidP="008172C5">
    <w:pPr>
      <w:ind w:firstLine="7920"/>
      <w:jc w:val="right"/>
      <w:rPr>
        <w:rFonts w:ascii="Times New Roman" w:hAnsi="Times New Roman"/>
        <w:b/>
        <w:sz w:val="20"/>
        <w:szCs w:val="20"/>
      </w:rPr>
    </w:pPr>
    <w:r>
      <w:rPr>
        <w:rFonts w:ascii="Times New Roman" w:hAnsi="Times New Roman"/>
        <w:b/>
        <w:sz w:val="20"/>
        <w:szCs w:val="20"/>
      </w:rPr>
      <w:t>April</w:t>
    </w:r>
    <w:r w:rsidR="008172C5">
      <w:rPr>
        <w:rFonts w:ascii="Times New Roman" w:hAnsi="Times New Roman"/>
        <w:b/>
        <w:sz w:val="20"/>
        <w:szCs w:val="20"/>
      </w:rPr>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61FB2B07"/>
    <w:multiLevelType w:val="hybridMultilevel"/>
    <w:tmpl w:val="16309C42"/>
    <w:lvl w:ilvl="0" w:tplc="C5283C0C">
      <w:start w:val="17"/>
      <w:numFmt w:val="decimal"/>
      <w:lvlText w:val="%1."/>
      <w:lvlJc w:val="left"/>
      <w:pPr>
        <w:tabs>
          <w:tab w:val="num" w:pos="720"/>
        </w:tabs>
        <w:ind w:left="720" w:hanging="36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7"/>
      <w:lvl w:ilvl="0">
        <w:start w:val="7"/>
        <w:numFmt w:val="decimal"/>
        <w:pStyle w:val="Quick1"/>
        <w:lvlText w:val="%1."/>
        <w:lvlJc w:val="left"/>
      </w:lvl>
    </w:lvlOverride>
  </w:num>
  <w:num w:numId="3">
    <w:abstractNumId w:val="0"/>
    <w:lvlOverride w:ilvl="0">
      <w:startOverride w:val="9"/>
      <w:lvl w:ilvl="0">
        <w:start w:val="9"/>
        <w:numFmt w:val="decimal"/>
        <w:pStyle w:val="Quick1"/>
        <w:lvlText w:val="%1."/>
        <w:lvlJc w:val="left"/>
      </w:lvl>
    </w:lvlOverride>
  </w:num>
  <w:num w:numId="4">
    <w:abstractNumId w:val="0"/>
    <w:lvlOverride w:ilvl="0">
      <w:startOverride w:val="13"/>
      <w:lvl w:ilvl="0">
        <w:start w:val="13"/>
        <w:numFmt w:val="decimal"/>
        <w:pStyle w:val="Quick1"/>
        <w:lvlText w:val="%1."/>
        <w:lvlJc w:val="left"/>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2B2"/>
    <w:rsid w:val="00007B05"/>
    <w:rsid w:val="000104DA"/>
    <w:rsid w:val="00011926"/>
    <w:rsid w:val="000119A5"/>
    <w:rsid w:val="00015266"/>
    <w:rsid w:val="00024F20"/>
    <w:rsid w:val="00025932"/>
    <w:rsid w:val="00042AE8"/>
    <w:rsid w:val="00051F87"/>
    <w:rsid w:val="00056CFD"/>
    <w:rsid w:val="00060955"/>
    <w:rsid w:val="000731D3"/>
    <w:rsid w:val="000743D5"/>
    <w:rsid w:val="000746C8"/>
    <w:rsid w:val="0007492B"/>
    <w:rsid w:val="00074BF7"/>
    <w:rsid w:val="00081319"/>
    <w:rsid w:val="00081718"/>
    <w:rsid w:val="00086E08"/>
    <w:rsid w:val="0009166F"/>
    <w:rsid w:val="000930A5"/>
    <w:rsid w:val="00094534"/>
    <w:rsid w:val="000A745A"/>
    <w:rsid w:val="000B2A59"/>
    <w:rsid w:val="000C6C76"/>
    <w:rsid w:val="000D3ADA"/>
    <w:rsid w:val="000D4E21"/>
    <w:rsid w:val="000E1156"/>
    <w:rsid w:val="000E3E6A"/>
    <w:rsid w:val="000E518E"/>
    <w:rsid w:val="000F1E7F"/>
    <w:rsid w:val="000F27E6"/>
    <w:rsid w:val="000F7F3C"/>
    <w:rsid w:val="001002F4"/>
    <w:rsid w:val="00101C28"/>
    <w:rsid w:val="001022EF"/>
    <w:rsid w:val="00104FD7"/>
    <w:rsid w:val="00115A07"/>
    <w:rsid w:val="00120F59"/>
    <w:rsid w:val="00122D70"/>
    <w:rsid w:val="001261E4"/>
    <w:rsid w:val="00130F98"/>
    <w:rsid w:val="00135D3F"/>
    <w:rsid w:val="0014357A"/>
    <w:rsid w:val="00156EC5"/>
    <w:rsid w:val="00176829"/>
    <w:rsid w:val="00181389"/>
    <w:rsid w:val="00184544"/>
    <w:rsid w:val="001845AE"/>
    <w:rsid w:val="00190A4A"/>
    <w:rsid w:val="001938A5"/>
    <w:rsid w:val="00194162"/>
    <w:rsid w:val="001A083E"/>
    <w:rsid w:val="001A241A"/>
    <w:rsid w:val="001B1D9C"/>
    <w:rsid w:val="001C0621"/>
    <w:rsid w:val="001C184A"/>
    <w:rsid w:val="001D11ED"/>
    <w:rsid w:val="001D2253"/>
    <w:rsid w:val="001D41B6"/>
    <w:rsid w:val="001D69A5"/>
    <w:rsid w:val="001F0F84"/>
    <w:rsid w:val="001F6BF2"/>
    <w:rsid w:val="002043DF"/>
    <w:rsid w:val="00213639"/>
    <w:rsid w:val="0021698D"/>
    <w:rsid w:val="002250F1"/>
    <w:rsid w:val="00227F73"/>
    <w:rsid w:val="002310DB"/>
    <w:rsid w:val="00231511"/>
    <w:rsid w:val="00234C7A"/>
    <w:rsid w:val="00235B48"/>
    <w:rsid w:val="0024351B"/>
    <w:rsid w:val="00244B4F"/>
    <w:rsid w:val="00246D58"/>
    <w:rsid w:val="002545B7"/>
    <w:rsid w:val="00256A19"/>
    <w:rsid w:val="00261232"/>
    <w:rsid w:val="00262B40"/>
    <w:rsid w:val="00266850"/>
    <w:rsid w:val="0027458F"/>
    <w:rsid w:val="00274E41"/>
    <w:rsid w:val="00275929"/>
    <w:rsid w:val="00277C52"/>
    <w:rsid w:val="00281E9E"/>
    <w:rsid w:val="00283DF2"/>
    <w:rsid w:val="002A36A8"/>
    <w:rsid w:val="002A49B1"/>
    <w:rsid w:val="002B0A04"/>
    <w:rsid w:val="002B5479"/>
    <w:rsid w:val="002B65DD"/>
    <w:rsid w:val="002C6805"/>
    <w:rsid w:val="002D3AB2"/>
    <w:rsid w:val="002E0092"/>
    <w:rsid w:val="002E36D9"/>
    <w:rsid w:val="002E3719"/>
    <w:rsid w:val="002F68BF"/>
    <w:rsid w:val="00300D26"/>
    <w:rsid w:val="00307028"/>
    <w:rsid w:val="003079FF"/>
    <w:rsid w:val="00307A1F"/>
    <w:rsid w:val="00310B99"/>
    <w:rsid w:val="003173F9"/>
    <w:rsid w:val="00333A5F"/>
    <w:rsid w:val="00340E50"/>
    <w:rsid w:val="00341105"/>
    <w:rsid w:val="00343898"/>
    <w:rsid w:val="00346D15"/>
    <w:rsid w:val="0034754B"/>
    <w:rsid w:val="0034785F"/>
    <w:rsid w:val="00356F63"/>
    <w:rsid w:val="00360DC4"/>
    <w:rsid w:val="00367BDB"/>
    <w:rsid w:val="003838AE"/>
    <w:rsid w:val="0038552B"/>
    <w:rsid w:val="00385CFC"/>
    <w:rsid w:val="00386949"/>
    <w:rsid w:val="00390170"/>
    <w:rsid w:val="00392ADD"/>
    <w:rsid w:val="00395E66"/>
    <w:rsid w:val="003A7E06"/>
    <w:rsid w:val="003B178A"/>
    <w:rsid w:val="003B35C2"/>
    <w:rsid w:val="003B3904"/>
    <w:rsid w:val="003B7337"/>
    <w:rsid w:val="003C23D4"/>
    <w:rsid w:val="003C6011"/>
    <w:rsid w:val="003D128F"/>
    <w:rsid w:val="003D5BAC"/>
    <w:rsid w:val="003E0C6E"/>
    <w:rsid w:val="003E0FAC"/>
    <w:rsid w:val="003E28F6"/>
    <w:rsid w:val="003F1813"/>
    <w:rsid w:val="003F3113"/>
    <w:rsid w:val="003F39BE"/>
    <w:rsid w:val="004004F7"/>
    <w:rsid w:val="00403D1D"/>
    <w:rsid w:val="00405086"/>
    <w:rsid w:val="00410C54"/>
    <w:rsid w:val="004158FF"/>
    <w:rsid w:val="00423F2F"/>
    <w:rsid w:val="004275D4"/>
    <w:rsid w:val="00431EE1"/>
    <w:rsid w:val="0043451E"/>
    <w:rsid w:val="0045160B"/>
    <w:rsid w:val="004523CC"/>
    <w:rsid w:val="0046549A"/>
    <w:rsid w:val="00472E06"/>
    <w:rsid w:val="00475204"/>
    <w:rsid w:val="00476D19"/>
    <w:rsid w:val="00484B84"/>
    <w:rsid w:val="00491F77"/>
    <w:rsid w:val="0049266B"/>
    <w:rsid w:val="004A4CA8"/>
    <w:rsid w:val="004A57CF"/>
    <w:rsid w:val="004A6561"/>
    <w:rsid w:val="004A7ED5"/>
    <w:rsid w:val="004B0755"/>
    <w:rsid w:val="004C15EE"/>
    <w:rsid w:val="004C3FC5"/>
    <w:rsid w:val="004C426A"/>
    <w:rsid w:val="004C65CE"/>
    <w:rsid w:val="004C7172"/>
    <w:rsid w:val="004D1676"/>
    <w:rsid w:val="004D3320"/>
    <w:rsid w:val="004D4B58"/>
    <w:rsid w:val="004D6212"/>
    <w:rsid w:val="004E1232"/>
    <w:rsid w:val="004E3994"/>
    <w:rsid w:val="004E3DC1"/>
    <w:rsid w:val="004E6238"/>
    <w:rsid w:val="004F0204"/>
    <w:rsid w:val="004F3568"/>
    <w:rsid w:val="00500B6C"/>
    <w:rsid w:val="0050232D"/>
    <w:rsid w:val="005077F2"/>
    <w:rsid w:val="005222C3"/>
    <w:rsid w:val="00532368"/>
    <w:rsid w:val="005359E3"/>
    <w:rsid w:val="005374C1"/>
    <w:rsid w:val="005374C5"/>
    <w:rsid w:val="0053789C"/>
    <w:rsid w:val="00540DA6"/>
    <w:rsid w:val="00541F6D"/>
    <w:rsid w:val="005438AF"/>
    <w:rsid w:val="00546544"/>
    <w:rsid w:val="0055084B"/>
    <w:rsid w:val="0055576B"/>
    <w:rsid w:val="00565446"/>
    <w:rsid w:val="005657B3"/>
    <w:rsid w:val="005668BA"/>
    <w:rsid w:val="005766AF"/>
    <w:rsid w:val="00580764"/>
    <w:rsid w:val="005833BA"/>
    <w:rsid w:val="005863A7"/>
    <w:rsid w:val="00586B52"/>
    <w:rsid w:val="00586F18"/>
    <w:rsid w:val="0058745F"/>
    <w:rsid w:val="00595A80"/>
    <w:rsid w:val="00596F84"/>
    <w:rsid w:val="005A0FA1"/>
    <w:rsid w:val="005A567F"/>
    <w:rsid w:val="005B346F"/>
    <w:rsid w:val="005B6D67"/>
    <w:rsid w:val="005C24D3"/>
    <w:rsid w:val="005C6D5B"/>
    <w:rsid w:val="005D5F36"/>
    <w:rsid w:val="005E2587"/>
    <w:rsid w:val="005F1F4C"/>
    <w:rsid w:val="005F33D3"/>
    <w:rsid w:val="005F4B8B"/>
    <w:rsid w:val="005F5FB4"/>
    <w:rsid w:val="00604BF2"/>
    <w:rsid w:val="00606C09"/>
    <w:rsid w:val="00611C84"/>
    <w:rsid w:val="00622521"/>
    <w:rsid w:val="00625CD9"/>
    <w:rsid w:val="0063461F"/>
    <w:rsid w:val="00636752"/>
    <w:rsid w:val="00643355"/>
    <w:rsid w:val="00643B92"/>
    <w:rsid w:val="006440F3"/>
    <w:rsid w:val="006443A2"/>
    <w:rsid w:val="006464FA"/>
    <w:rsid w:val="00652808"/>
    <w:rsid w:val="00657E1F"/>
    <w:rsid w:val="00660CC0"/>
    <w:rsid w:val="006615E9"/>
    <w:rsid w:val="00675F93"/>
    <w:rsid w:val="00676AF1"/>
    <w:rsid w:val="00684362"/>
    <w:rsid w:val="00694421"/>
    <w:rsid w:val="0069590B"/>
    <w:rsid w:val="00696ED6"/>
    <w:rsid w:val="006A4D80"/>
    <w:rsid w:val="006B433B"/>
    <w:rsid w:val="006B7E28"/>
    <w:rsid w:val="006C4505"/>
    <w:rsid w:val="006D450E"/>
    <w:rsid w:val="006E2ADB"/>
    <w:rsid w:val="006E5AB3"/>
    <w:rsid w:val="006E6E49"/>
    <w:rsid w:val="006F0620"/>
    <w:rsid w:val="00704448"/>
    <w:rsid w:val="0070488A"/>
    <w:rsid w:val="007055BE"/>
    <w:rsid w:val="00734BC2"/>
    <w:rsid w:val="0074170C"/>
    <w:rsid w:val="00741980"/>
    <w:rsid w:val="00742337"/>
    <w:rsid w:val="00746709"/>
    <w:rsid w:val="00747506"/>
    <w:rsid w:val="00747797"/>
    <w:rsid w:val="00751E06"/>
    <w:rsid w:val="007629A4"/>
    <w:rsid w:val="00766E66"/>
    <w:rsid w:val="00767EF5"/>
    <w:rsid w:val="007717C0"/>
    <w:rsid w:val="00780942"/>
    <w:rsid w:val="0078299D"/>
    <w:rsid w:val="00783766"/>
    <w:rsid w:val="00797C8B"/>
    <w:rsid w:val="007A3257"/>
    <w:rsid w:val="007B525B"/>
    <w:rsid w:val="007C054E"/>
    <w:rsid w:val="007C2DF1"/>
    <w:rsid w:val="007C30F2"/>
    <w:rsid w:val="007C3945"/>
    <w:rsid w:val="007C539E"/>
    <w:rsid w:val="007D38E6"/>
    <w:rsid w:val="007D625F"/>
    <w:rsid w:val="007F13FC"/>
    <w:rsid w:val="007F2856"/>
    <w:rsid w:val="007F72A5"/>
    <w:rsid w:val="007F7B14"/>
    <w:rsid w:val="00803F5A"/>
    <w:rsid w:val="00810C73"/>
    <w:rsid w:val="00811927"/>
    <w:rsid w:val="0081683B"/>
    <w:rsid w:val="00816F97"/>
    <w:rsid w:val="008172C5"/>
    <w:rsid w:val="00817C13"/>
    <w:rsid w:val="0082305C"/>
    <w:rsid w:val="00826CC7"/>
    <w:rsid w:val="008317AD"/>
    <w:rsid w:val="008463FD"/>
    <w:rsid w:val="0085090C"/>
    <w:rsid w:val="0085188A"/>
    <w:rsid w:val="008652FF"/>
    <w:rsid w:val="008658D1"/>
    <w:rsid w:val="0087122A"/>
    <w:rsid w:val="00876A8A"/>
    <w:rsid w:val="00881736"/>
    <w:rsid w:val="00884E68"/>
    <w:rsid w:val="00892A6C"/>
    <w:rsid w:val="00895351"/>
    <w:rsid w:val="008A32B2"/>
    <w:rsid w:val="008A355B"/>
    <w:rsid w:val="008A3CC6"/>
    <w:rsid w:val="008A6DAD"/>
    <w:rsid w:val="008A7561"/>
    <w:rsid w:val="008B0DB1"/>
    <w:rsid w:val="008B2372"/>
    <w:rsid w:val="008C331B"/>
    <w:rsid w:val="008C5551"/>
    <w:rsid w:val="008C566B"/>
    <w:rsid w:val="008C7AA2"/>
    <w:rsid w:val="008D7ED8"/>
    <w:rsid w:val="008E6610"/>
    <w:rsid w:val="0090264B"/>
    <w:rsid w:val="009029D5"/>
    <w:rsid w:val="0090313C"/>
    <w:rsid w:val="009066F6"/>
    <w:rsid w:val="00911B00"/>
    <w:rsid w:val="00921DE7"/>
    <w:rsid w:val="009301AE"/>
    <w:rsid w:val="00930C60"/>
    <w:rsid w:val="00935F21"/>
    <w:rsid w:val="00936E77"/>
    <w:rsid w:val="00941BFC"/>
    <w:rsid w:val="00942A15"/>
    <w:rsid w:val="00943826"/>
    <w:rsid w:val="0095653D"/>
    <w:rsid w:val="009679A5"/>
    <w:rsid w:val="0097255B"/>
    <w:rsid w:val="00974027"/>
    <w:rsid w:val="00975067"/>
    <w:rsid w:val="0098013F"/>
    <w:rsid w:val="00984598"/>
    <w:rsid w:val="00987A35"/>
    <w:rsid w:val="00996C89"/>
    <w:rsid w:val="009A3D65"/>
    <w:rsid w:val="009A67B0"/>
    <w:rsid w:val="009B105A"/>
    <w:rsid w:val="009B385B"/>
    <w:rsid w:val="009C10CA"/>
    <w:rsid w:val="009C255F"/>
    <w:rsid w:val="009E5302"/>
    <w:rsid w:val="009F04F5"/>
    <w:rsid w:val="009F28A4"/>
    <w:rsid w:val="009F6B2C"/>
    <w:rsid w:val="00A02C36"/>
    <w:rsid w:val="00A04B29"/>
    <w:rsid w:val="00A153CF"/>
    <w:rsid w:val="00A246C4"/>
    <w:rsid w:val="00A251C4"/>
    <w:rsid w:val="00A251EB"/>
    <w:rsid w:val="00A26D30"/>
    <w:rsid w:val="00A306B1"/>
    <w:rsid w:val="00A3143A"/>
    <w:rsid w:val="00A3211B"/>
    <w:rsid w:val="00A34400"/>
    <w:rsid w:val="00A44B96"/>
    <w:rsid w:val="00A553F7"/>
    <w:rsid w:val="00A57917"/>
    <w:rsid w:val="00A6617D"/>
    <w:rsid w:val="00A70462"/>
    <w:rsid w:val="00A7150D"/>
    <w:rsid w:val="00A72BCB"/>
    <w:rsid w:val="00A84520"/>
    <w:rsid w:val="00A878B6"/>
    <w:rsid w:val="00A92417"/>
    <w:rsid w:val="00A924E1"/>
    <w:rsid w:val="00A97782"/>
    <w:rsid w:val="00AA0D37"/>
    <w:rsid w:val="00AA77B5"/>
    <w:rsid w:val="00AB05CE"/>
    <w:rsid w:val="00AB25C5"/>
    <w:rsid w:val="00AB5080"/>
    <w:rsid w:val="00AB533F"/>
    <w:rsid w:val="00AC2A80"/>
    <w:rsid w:val="00AC2F6E"/>
    <w:rsid w:val="00AD0D61"/>
    <w:rsid w:val="00AD3167"/>
    <w:rsid w:val="00AD4CF8"/>
    <w:rsid w:val="00AD64BE"/>
    <w:rsid w:val="00AD7FB5"/>
    <w:rsid w:val="00AF04B6"/>
    <w:rsid w:val="00AF6A04"/>
    <w:rsid w:val="00B023CE"/>
    <w:rsid w:val="00B0424E"/>
    <w:rsid w:val="00B049D4"/>
    <w:rsid w:val="00B052DC"/>
    <w:rsid w:val="00B06B58"/>
    <w:rsid w:val="00B06CAE"/>
    <w:rsid w:val="00B06E5F"/>
    <w:rsid w:val="00B12F80"/>
    <w:rsid w:val="00B16F95"/>
    <w:rsid w:val="00B212CF"/>
    <w:rsid w:val="00B30B53"/>
    <w:rsid w:val="00B30D8B"/>
    <w:rsid w:val="00B30F7E"/>
    <w:rsid w:val="00B32948"/>
    <w:rsid w:val="00B36996"/>
    <w:rsid w:val="00B4177A"/>
    <w:rsid w:val="00B41D75"/>
    <w:rsid w:val="00B41FAA"/>
    <w:rsid w:val="00B430C0"/>
    <w:rsid w:val="00B45447"/>
    <w:rsid w:val="00B478AB"/>
    <w:rsid w:val="00B55A5F"/>
    <w:rsid w:val="00B60120"/>
    <w:rsid w:val="00B6305C"/>
    <w:rsid w:val="00B677AF"/>
    <w:rsid w:val="00B70530"/>
    <w:rsid w:val="00B716D8"/>
    <w:rsid w:val="00B71905"/>
    <w:rsid w:val="00B726EC"/>
    <w:rsid w:val="00B82B09"/>
    <w:rsid w:val="00B876B7"/>
    <w:rsid w:val="00B92EF7"/>
    <w:rsid w:val="00B94333"/>
    <w:rsid w:val="00BB3E9A"/>
    <w:rsid w:val="00BB705E"/>
    <w:rsid w:val="00BB7EDC"/>
    <w:rsid w:val="00BC098D"/>
    <w:rsid w:val="00BC530F"/>
    <w:rsid w:val="00BE0F70"/>
    <w:rsid w:val="00BE3D72"/>
    <w:rsid w:val="00BF1CD2"/>
    <w:rsid w:val="00BF56C3"/>
    <w:rsid w:val="00C21020"/>
    <w:rsid w:val="00C21EBA"/>
    <w:rsid w:val="00C246CC"/>
    <w:rsid w:val="00C26293"/>
    <w:rsid w:val="00C3144F"/>
    <w:rsid w:val="00C31E44"/>
    <w:rsid w:val="00C46C5B"/>
    <w:rsid w:val="00C4718C"/>
    <w:rsid w:val="00C552B6"/>
    <w:rsid w:val="00C56486"/>
    <w:rsid w:val="00C63739"/>
    <w:rsid w:val="00C643A4"/>
    <w:rsid w:val="00C66585"/>
    <w:rsid w:val="00C72C15"/>
    <w:rsid w:val="00C766EF"/>
    <w:rsid w:val="00C908F6"/>
    <w:rsid w:val="00C91A7C"/>
    <w:rsid w:val="00C92B8E"/>
    <w:rsid w:val="00C941C4"/>
    <w:rsid w:val="00C96110"/>
    <w:rsid w:val="00C97C13"/>
    <w:rsid w:val="00CA03AF"/>
    <w:rsid w:val="00CA27E7"/>
    <w:rsid w:val="00CA3C66"/>
    <w:rsid w:val="00CA45BD"/>
    <w:rsid w:val="00CA759E"/>
    <w:rsid w:val="00CB27E1"/>
    <w:rsid w:val="00CC1D7C"/>
    <w:rsid w:val="00CC1DEE"/>
    <w:rsid w:val="00CC4651"/>
    <w:rsid w:val="00CC65B0"/>
    <w:rsid w:val="00CD2C9F"/>
    <w:rsid w:val="00CD2D02"/>
    <w:rsid w:val="00CD50B2"/>
    <w:rsid w:val="00CE12F8"/>
    <w:rsid w:val="00CF303B"/>
    <w:rsid w:val="00CF43D6"/>
    <w:rsid w:val="00D03332"/>
    <w:rsid w:val="00D03880"/>
    <w:rsid w:val="00D04E46"/>
    <w:rsid w:val="00D05005"/>
    <w:rsid w:val="00D07637"/>
    <w:rsid w:val="00D12278"/>
    <w:rsid w:val="00D203BF"/>
    <w:rsid w:val="00D22391"/>
    <w:rsid w:val="00D319C5"/>
    <w:rsid w:val="00D33206"/>
    <w:rsid w:val="00D51284"/>
    <w:rsid w:val="00D6315A"/>
    <w:rsid w:val="00D6678C"/>
    <w:rsid w:val="00D708CA"/>
    <w:rsid w:val="00D71EE1"/>
    <w:rsid w:val="00D80EE0"/>
    <w:rsid w:val="00D87BC0"/>
    <w:rsid w:val="00D901EB"/>
    <w:rsid w:val="00D958E5"/>
    <w:rsid w:val="00DA0512"/>
    <w:rsid w:val="00DA2152"/>
    <w:rsid w:val="00DB221D"/>
    <w:rsid w:val="00DB3464"/>
    <w:rsid w:val="00DC0931"/>
    <w:rsid w:val="00DC1D78"/>
    <w:rsid w:val="00DC5C00"/>
    <w:rsid w:val="00DD0EA7"/>
    <w:rsid w:val="00DE0439"/>
    <w:rsid w:val="00DE2ECC"/>
    <w:rsid w:val="00DE306F"/>
    <w:rsid w:val="00DF60C2"/>
    <w:rsid w:val="00DF78C8"/>
    <w:rsid w:val="00E00958"/>
    <w:rsid w:val="00E0308C"/>
    <w:rsid w:val="00E075CF"/>
    <w:rsid w:val="00E07A95"/>
    <w:rsid w:val="00E12855"/>
    <w:rsid w:val="00E36C58"/>
    <w:rsid w:val="00E43F00"/>
    <w:rsid w:val="00E44A3F"/>
    <w:rsid w:val="00E44D06"/>
    <w:rsid w:val="00E45C97"/>
    <w:rsid w:val="00E53D9F"/>
    <w:rsid w:val="00E5745F"/>
    <w:rsid w:val="00E60A1A"/>
    <w:rsid w:val="00E63497"/>
    <w:rsid w:val="00E640B0"/>
    <w:rsid w:val="00E6758C"/>
    <w:rsid w:val="00E67B4B"/>
    <w:rsid w:val="00E733BA"/>
    <w:rsid w:val="00E77A4C"/>
    <w:rsid w:val="00E84A6C"/>
    <w:rsid w:val="00E90E57"/>
    <w:rsid w:val="00E97172"/>
    <w:rsid w:val="00E97EE1"/>
    <w:rsid w:val="00E97FA3"/>
    <w:rsid w:val="00EA6BD3"/>
    <w:rsid w:val="00EB0931"/>
    <w:rsid w:val="00EB2188"/>
    <w:rsid w:val="00EB4577"/>
    <w:rsid w:val="00EC69FC"/>
    <w:rsid w:val="00EC7FE6"/>
    <w:rsid w:val="00ED1652"/>
    <w:rsid w:val="00EE2131"/>
    <w:rsid w:val="00EF3642"/>
    <w:rsid w:val="00EF459B"/>
    <w:rsid w:val="00F00FBA"/>
    <w:rsid w:val="00F0323A"/>
    <w:rsid w:val="00F068D3"/>
    <w:rsid w:val="00F134A0"/>
    <w:rsid w:val="00F17AFA"/>
    <w:rsid w:val="00F21885"/>
    <w:rsid w:val="00F24122"/>
    <w:rsid w:val="00F2439E"/>
    <w:rsid w:val="00F24D6C"/>
    <w:rsid w:val="00F26EAE"/>
    <w:rsid w:val="00F3670F"/>
    <w:rsid w:val="00F370BB"/>
    <w:rsid w:val="00F45A77"/>
    <w:rsid w:val="00F50B19"/>
    <w:rsid w:val="00F621D9"/>
    <w:rsid w:val="00F657AC"/>
    <w:rsid w:val="00F72121"/>
    <w:rsid w:val="00F73043"/>
    <w:rsid w:val="00F7495D"/>
    <w:rsid w:val="00F777C8"/>
    <w:rsid w:val="00F81CF5"/>
    <w:rsid w:val="00F82B08"/>
    <w:rsid w:val="00F84482"/>
    <w:rsid w:val="00F94CCE"/>
    <w:rsid w:val="00F96777"/>
    <w:rsid w:val="00FA372F"/>
    <w:rsid w:val="00FA43FE"/>
    <w:rsid w:val="00FA48D8"/>
    <w:rsid w:val="00FC0F2B"/>
    <w:rsid w:val="00FC71FF"/>
    <w:rsid w:val="00FD3378"/>
    <w:rsid w:val="00FD388C"/>
    <w:rsid w:val="00FD44BA"/>
    <w:rsid w:val="00FD5245"/>
    <w:rsid w:val="00FE3018"/>
    <w:rsid w:val="00FF7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qFormat/>
  </w:style>
  <w:style w:type="paragraph" w:customStyle="1" w:styleId="Quick1">
    <w:name w:val="Quick 1."/>
    <w:basedOn w:val="Normal"/>
    <w:pPr>
      <w:numPr>
        <w:numId w:val="4"/>
      </w:numPr>
      <w:ind w:left="720" w:hanging="720"/>
    </w:pPr>
  </w:style>
  <w:style w:type="paragraph" w:styleId="BodyTextIndent">
    <w:name w:val="Body Text Indent"/>
    <w:basedOn w:val="Normal"/>
    <w:pPr>
      <w:tabs>
        <w:tab w:val="left" w:pos="-1440"/>
      </w:tabs>
      <w:ind w:left="720"/>
    </w:pPr>
    <w:rPr>
      <w:rFonts w:ascii="Times New Roman" w:hAnsi="Times New Roman"/>
    </w:rPr>
  </w:style>
  <w:style w:type="paragraph" w:styleId="FootnoteText">
    <w:name w:val="footnote text"/>
    <w:basedOn w:val="Normal"/>
    <w:link w:val="FootnoteTextChar"/>
    <w:uiPriority w:val="99"/>
    <w:rPr>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1440"/>
      </w:tabs>
      <w:ind w:left="1440" w:hanging="720"/>
    </w:pPr>
    <w:rPr>
      <w:rFonts w:ascii="Times New Roman" w:hAnsi="Times New Roman"/>
      <w:i/>
      <w:iCs/>
      <w:sz w:val="20"/>
      <w:szCs w:val="20"/>
    </w:rPr>
  </w:style>
  <w:style w:type="character" w:styleId="Hyperlink">
    <w:name w:val="Hyperlink"/>
    <w:rsid w:val="00431EE1"/>
    <w:rPr>
      <w:color w:val="0000FF"/>
      <w:u w:val="single"/>
    </w:rPr>
  </w:style>
  <w:style w:type="paragraph" w:styleId="BalloonText">
    <w:name w:val="Balloon Text"/>
    <w:basedOn w:val="Normal"/>
    <w:semiHidden/>
    <w:rsid w:val="004275D4"/>
    <w:rPr>
      <w:rFonts w:ascii="Tahoma" w:hAnsi="Tahoma" w:cs="Tahoma"/>
      <w:sz w:val="16"/>
      <w:szCs w:val="16"/>
    </w:rPr>
  </w:style>
  <w:style w:type="paragraph" w:styleId="DocumentMap">
    <w:name w:val="Document Map"/>
    <w:basedOn w:val="Normal"/>
    <w:semiHidden/>
    <w:rsid w:val="00341105"/>
    <w:pPr>
      <w:shd w:val="clear" w:color="auto" w:fill="000080"/>
    </w:pPr>
    <w:rPr>
      <w:rFonts w:ascii="Tahoma" w:hAnsi="Tahoma" w:cs="Tahoma"/>
      <w:sz w:val="20"/>
      <w:szCs w:val="20"/>
    </w:rPr>
  </w:style>
  <w:style w:type="character" w:styleId="FollowedHyperlink">
    <w:name w:val="FollowedHyperlink"/>
    <w:rsid w:val="00B41D75"/>
    <w:rPr>
      <w:color w:val="800080"/>
      <w:u w:val="single"/>
    </w:rPr>
  </w:style>
  <w:style w:type="character" w:styleId="CommentReference">
    <w:name w:val="annotation reference"/>
    <w:rsid w:val="00E45C97"/>
    <w:rPr>
      <w:sz w:val="16"/>
      <w:szCs w:val="16"/>
    </w:rPr>
  </w:style>
  <w:style w:type="paragraph" w:styleId="CommentText">
    <w:name w:val="annotation text"/>
    <w:basedOn w:val="Normal"/>
    <w:link w:val="CommentTextChar"/>
    <w:uiPriority w:val="99"/>
    <w:rsid w:val="00E45C97"/>
    <w:rPr>
      <w:sz w:val="20"/>
      <w:szCs w:val="20"/>
    </w:rPr>
  </w:style>
  <w:style w:type="character" w:customStyle="1" w:styleId="CommentTextChar">
    <w:name w:val="Comment Text Char"/>
    <w:link w:val="CommentText"/>
    <w:rsid w:val="00E45C97"/>
    <w:rPr>
      <w:rFonts w:ascii="Courier" w:hAnsi="Courier"/>
    </w:rPr>
  </w:style>
  <w:style w:type="paragraph" w:styleId="CommentSubject">
    <w:name w:val="annotation subject"/>
    <w:basedOn w:val="CommentText"/>
    <w:next w:val="CommentText"/>
    <w:link w:val="CommentSubjectChar"/>
    <w:rsid w:val="00E45C97"/>
    <w:rPr>
      <w:b/>
      <w:bCs/>
    </w:rPr>
  </w:style>
  <w:style w:type="character" w:customStyle="1" w:styleId="CommentSubjectChar">
    <w:name w:val="Comment Subject Char"/>
    <w:link w:val="CommentSubject"/>
    <w:rsid w:val="00E45C97"/>
    <w:rPr>
      <w:rFonts w:ascii="Courier" w:hAnsi="Courier"/>
      <w:b/>
      <w:bCs/>
    </w:rPr>
  </w:style>
  <w:style w:type="character" w:customStyle="1" w:styleId="FooterChar">
    <w:name w:val="Footer Char"/>
    <w:link w:val="Footer"/>
    <w:uiPriority w:val="99"/>
    <w:rsid w:val="00541F6D"/>
    <w:rPr>
      <w:rFonts w:ascii="Courier" w:hAnsi="Courier"/>
      <w:sz w:val="24"/>
      <w:szCs w:val="24"/>
    </w:rPr>
  </w:style>
  <w:style w:type="character" w:customStyle="1" w:styleId="FootnoteTextChar">
    <w:name w:val="Footnote Text Char"/>
    <w:link w:val="FootnoteText"/>
    <w:uiPriority w:val="99"/>
    <w:rsid w:val="006B433B"/>
    <w:rPr>
      <w:rFonts w:ascii="Courier" w:hAnsi="Courier"/>
    </w:rPr>
  </w:style>
  <w:style w:type="table" w:styleId="TableGrid">
    <w:name w:val="Table Grid"/>
    <w:basedOn w:val="TableNormal"/>
    <w:uiPriority w:val="59"/>
    <w:rsid w:val="007C53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495D"/>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qFormat/>
  </w:style>
  <w:style w:type="paragraph" w:customStyle="1" w:styleId="Quick1">
    <w:name w:val="Quick 1."/>
    <w:basedOn w:val="Normal"/>
    <w:pPr>
      <w:numPr>
        <w:numId w:val="4"/>
      </w:numPr>
      <w:ind w:left="720" w:hanging="720"/>
    </w:pPr>
  </w:style>
  <w:style w:type="paragraph" w:styleId="BodyTextIndent">
    <w:name w:val="Body Text Indent"/>
    <w:basedOn w:val="Normal"/>
    <w:pPr>
      <w:tabs>
        <w:tab w:val="left" w:pos="-1440"/>
      </w:tabs>
      <w:ind w:left="720"/>
    </w:pPr>
    <w:rPr>
      <w:rFonts w:ascii="Times New Roman" w:hAnsi="Times New Roman"/>
    </w:rPr>
  </w:style>
  <w:style w:type="paragraph" w:styleId="FootnoteText">
    <w:name w:val="footnote text"/>
    <w:basedOn w:val="Normal"/>
    <w:link w:val="FootnoteTextChar"/>
    <w:uiPriority w:val="99"/>
    <w:rPr>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1440"/>
      </w:tabs>
      <w:ind w:left="1440" w:hanging="720"/>
    </w:pPr>
    <w:rPr>
      <w:rFonts w:ascii="Times New Roman" w:hAnsi="Times New Roman"/>
      <w:i/>
      <w:iCs/>
      <w:sz w:val="20"/>
      <w:szCs w:val="20"/>
    </w:rPr>
  </w:style>
  <w:style w:type="character" w:styleId="Hyperlink">
    <w:name w:val="Hyperlink"/>
    <w:rsid w:val="00431EE1"/>
    <w:rPr>
      <w:color w:val="0000FF"/>
      <w:u w:val="single"/>
    </w:rPr>
  </w:style>
  <w:style w:type="paragraph" w:styleId="BalloonText">
    <w:name w:val="Balloon Text"/>
    <w:basedOn w:val="Normal"/>
    <w:semiHidden/>
    <w:rsid w:val="004275D4"/>
    <w:rPr>
      <w:rFonts w:ascii="Tahoma" w:hAnsi="Tahoma" w:cs="Tahoma"/>
      <w:sz w:val="16"/>
      <w:szCs w:val="16"/>
    </w:rPr>
  </w:style>
  <w:style w:type="paragraph" w:styleId="DocumentMap">
    <w:name w:val="Document Map"/>
    <w:basedOn w:val="Normal"/>
    <w:semiHidden/>
    <w:rsid w:val="00341105"/>
    <w:pPr>
      <w:shd w:val="clear" w:color="auto" w:fill="000080"/>
    </w:pPr>
    <w:rPr>
      <w:rFonts w:ascii="Tahoma" w:hAnsi="Tahoma" w:cs="Tahoma"/>
      <w:sz w:val="20"/>
      <w:szCs w:val="20"/>
    </w:rPr>
  </w:style>
  <w:style w:type="character" w:styleId="FollowedHyperlink">
    <w:name w:val="FollowedHyperlink"/>
    <w:rsid w:val="00B41D75"/>
    <w:rPr>
      <w:color w:val="800080"/>
      <w:u w:val="single"/>
    </w:rPr>
  </w:style>
  <w:style w:type="character" w:styleId="CommentReference">
    <w:name w:val="annotation reference"/>
    <w:rsid w:val="00E45C97"/>
    <w:rPr>
      <w:sz w:val="16"/>
      <w:szCs w:val="16"/>
    </w:rPr>
  </w:style>
  <w:style w:type="paragraph" w:styleId="CommentText">
    <w:name w:val="annotation text"/>
    <w:basedOn w:val="Normal"/>
    <w:link w:val="CommentTextChar"/>
    <w:uiPriority w:val="99"/>
    <w:rsid w:val="00E45C97"/>
    <w:rPr>
      <w:sz w:val="20"/>
      <w:szCs w:val="20"/>
    </w:rPr>
  </w:style>
  <w:style w:type="character" w:customStyle="1" w:styleId="CommentTextChar">
    <w:name w:val="Comment Text Char"/>
    <w:link w:val="CommentText"/>
    <w:rsid w:val="00E45C97"/>
    <w:rPr>
      <w:rFonts w:ascii="Courier" w:hAnsi="Courier"/>
    </w:rPr>
  </w:style>
  <w:style w:type="paragraph" w:styleId="CommentSubject">
    <w:name w:val="annotation subject"/>
    <w:basedOn w:val="CommentText"/>
    <w:next w:val="CommentText"/>
    <w:link w:val="CommentSubjectChar"/>
    <w:rsid w:val="00E45C97"/>
    <w:rPr>
      <w:b/>
      <w:bCs/>
    </w:rPr>
  </w:style>
  <w:style w:type="character" w:customStyle="1" w:styleId="CommentSubjectChar">
    <w:name w:val="Comment Subject Char"/>
    <w:link w:val="CommentSubject"/>
    <w:rsid w:val="00E45C97"/>
    <w:rPr>
      <w:rFonts w:ascii="Courier" w:hAnsi="Courier"/>
      <w:b/>
      <w:bCs/>
    </w:rPr>
  </w:style>
  <w:style w:type="character" w:customStyle="1" w:styleId="FooterChar">
    <w:name w:val="Footer Char"/>
    <w:link w:val="Footer"/>
    <w:uiPriority w:val="99"/>
    <w:rsid w:val="00541F6D"/>
    <w:rPr>
      <w:rFonts w:ascii="Courier" w:hAnsi="Courier"/>
      <w:sz w:val="24"/>
      <w:szCs w:val="24"/>
    </w:rPr>
  </w:style>
  <w:style w:type="character" w:customStyle="1" w:styleId="FootnoteTextChar">
    <w:name w:val="Footnote Text Char"/>
    <w:link w:val="FootnoteText"/>
    <w:uiPriority w:val="99"/>
    <w:rsid w:val="006B433B"/>
    <w:rPr>
      <w:rFonts w:ascii="Courier" w:hAnsi="Courier"/>
    </w:rPr>
  </w:style>
  <w:style w:type="table" w:styleId="TableGrid">
    <w:name w:val="Table Grid"/>
    <w:basedOn w:val="TableNormal"/>
    <w:uiPriority w:val="59"/>
    <w:rsid w:val="007C53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495D"/>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50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A80D1-A69B-415B-9FB1-E975DA0B8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3390</Words>
  <Characters>19788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23132</CharactersWithSpaces>
  <SharedDoc>false</SharedDoc>
  <HLinks>
    <vt:vector size="6" baseType="variant">
      <vt:variant>
        <vt:i4>6946908</vt:i4>
      </vt:variant>
      <vt:variant>
        <vt:i4>0</vt:i4>
      </vt:variant>
      <vt:variant>
        <vt:i4>0</vt:i4>
      </vt:variant>
      <vt:variant>
        <vt:i4>5</vt:i4>
      </vt:variant>
      <vt:variant>
        <vt:lpwstr>http://www.bls.gov/news.release/archives/empsit_07032014.pdf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Beckmann, Allan - EBSA</dc:creator>
  <cp:lastModifiedBy>Beckmann, Allan - EBSA</cp:lastModifiedBy>
  <cp:revision>6</cp:revision>
  <dcterms:created xsi:type="dcterms:W3CDTF">2016-04-01T14:03:00Z</dcterms:created>
  <dcterms:modified xsi:type="dcterms:W3CDTF">2016-04-05T14:57:00Z</dcterms:modified>
</cp:coreProperties>
</file>