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75B22" w14:textId="6D124F9A" w:rsidR="005913E1" w:rsidRPr="00D47256" w:rsidRDefault="005913E1" w:rsidP="00C01F16">
      <w:pPr>
        <w:jc w:val="center"/>
        <w:outlineLvl w:val="0"/>
        <w:rPr>
          <w:szCs w:val="24"/>
        </w:rPr>
      </w:pPr>
      <w:r w:rsidRPr="00D47256">
        <w:rPr>
          <w:szCs w:val="24"/>
        </w:rPr>
        <w:t>Supporting Statement</w:t>
      </w:r>
      <w:r w:rsidR="00DC130C" w:rsidRPr="00D47256">
        <w:rPr>
          <w:szCs w:val="24"/>
        </w:rPr>
        <w:t xml:space="preserve"> – Part A</w:t>
      </w:r>
    </w:p>
    <w:p w14:paraId="45A75B23" w14:textId="4A281758" w:rsidR="005913E1" w:rsidRPr="00D47256" w:rsidRDefault="005913E1" w:rsidP="005913E1">
      <w:pPr>
        <w:jc w:val="center"/>
        <w:rPr>
          <w:szCs w:val="24"/>
        </w:rPr>
      </w:pPr>
      <w:r w:rsidRPr="00D47256">
        <w:rPr>
          <w:szCs w:val="24"/>
        </w:rPr>
        <w:t>Medicaid Drug Program</w:t>
      </w:r>
    </w:p>
    <w:p w14:paraId="45A75B24" w14:textId="77777777" w:rsidR="005913E1" w:rsidRPr="00D47256" w:rsidRDefault="005913E1" w:rsidP="00C01F16">
      <w:pPr>
        <w:jc w:val="center"/>
        <w:outlineLvl w:val="0"/>
        <w:rPr>
          <w:szCs w:val="24"/>
        </w:rPr>
      </w:pPr>
      <w:r w:rsidRPr="00D47256">
        <w:rPr>
          <w:szCs w:val="24"/>
        </w:rPr>
        <w:t>CMS-367a, 367b</w:t>
      </w:r>
      <w:r w:rsidR="00E43F02" w:rsidRPr="00D47256">
        <w:rPr>
          <w:szCs w:val="24"/>
        </w:rPr>
        <w:t>,</w:t>
      </w:r>
      <w:r w:rsidRPr="00D47256">
        <w:rPr>
          <w:szCs w:val="24"/>
        </w:rPr>
        <w:t xml:space="preserve"> 367c</w:t>
      </w:r>
      <w:r w:rsidR="00E43F02" w:rsidRPr="00D47256">
        <w:rPr>
          <w:szCs w:val="24"/>
        </w:rPr>
        <w:t>, and 367d</w:t>
      </w:r>
      <w:r w:rsidRPr="00D47256">
        <w:rPr>
          <w:szCs w:val="24"/>
        </w:rPr>
        <w:t xml:space="preserve"> </w:t>
      </w:r>
    </w:p>
    <w:p w14:paraId="45A75B25" w14:textId="2B7409A2" w:rsidR="005913E1" w:rsidRPr="00D47256" w:rsidRDefault="00DC130C" w:rsidP="00CE0C71">
      <w:pPr>
        <w:jc w:val="center"/>
        <w:rPr>
          <w:szCs w:val="24"/>
        </w:rPr>
      </w:pPr>
      <w:r w:rsidRPr="00D47256">
        <w:rPr>
          <w:szCs w:val="24"/>
        </w:rPr>
        <w:t xml:space="preserve">OMB </w:t>
      </w:r>
      <w:r w:rsidR="00CE0C71" w:rsidRPr="00D47256">
        <w:rPr>
          <w:szCs w:val="24"/>
        </w:rPr>
        <w:t>0938-0578</w:t>
      </w:r>
    </w:p>
    <w:p w14:paraId="66FC33C0" w14:textId="77777777" w:rsidR="006235D0" w:rsidRPr="00D47256" w:rsidRDefault="006235D0" w:rsidP="006676E1">
      <w:pPr>
        <w:outlineLvl w:val="0"/>
        <w:rPr>
          <w:szCs w:val="24"/>
        </w:rPr>
      </w:pPr>
    </w:p>
    <w:p w14:paraId="5AA922C2" w14:textId="77777777" w:rsidR="00611710" w:rsidRPr="00D47256" w:rsidRDefault="00611710" w:rsidP="00611710">
      <w:pPr>
        <w:outlineLvl w:val="0"/>
        <w:rPr>
          <w:szCs w:val="24"/>
        </w:rPr>
      </w:pPr>
      <w:r w:rsidRPr="00D47256">
        <w:rPr>
          <w:szCs w:val="24"/>
        </w:rPr>
        <w:t>This is a revised package which is associated with our “Medicaid Program; Covered Outpatient Drugs” final rule that published in the Federal Register on February 1, 2016 (81 FR 5170) (RIN 0938-AQ41; CMS-2345-FC).</w:t>
      </w:r>
    </w:p>
    <w:p w14:paraId="5934D3AB" w14:textId="77777777" w:rsidR="00611710" w:rsidRPr="00D47256" w:rsidRDefault="00611710" w:rsidP="00C0288B">
      <w:pPr>
        <w:outlineLvl w:val="0"/>
        <w:rPr>
          <w:szCs w:val="24"/>
        </w:rPr>
      </w:pPr>
    </w:p>
    <w:p w14:paraId="45A75B27" w14:textId="77777777" w:rsidR="005913E1" w:rsidRPr="00BF350C" w:rsidRDefault="005913E1" w:rsidP="00BF350C">
      <w:pPr>
        <w:outlineLvl w:val="0"/>
        <w:rPr>
          <w:b/>
        </w:rPr>
      </w:pPr>
      <w:r w:rsidRPr="00BF350C">
        <w:rPr>
          <w:b/>
        </w:rPr>
        <w:t>Background</w:t>
      </w:r>
    </w:p>
    <w:p w14:paraId="4C9AF629" w14:textId="77777777" w:rsidR="00611710" w:rsidRPr="00D47256" w:rsidRDefault="00611710" w:rsidP="00BF350C">
      <w:pPr>
        <w:rPr>
          <w:szCs w:val="24"/>
        </w:rPr>
      </w:pPr>
    </w:p>
    <w:p w14:paraId="45A75B2B" w14:textId="6C0F6B09" w:rsidR="006012DB" w:rsidRPr="00D47256" w:rsidRDefault="005913E1" w:rsidP="00BF350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 xml:space="preserve">Section 1927 of the Social Security Act (the Act) requires drug </w:t>
      </w:r>
      <w:r w:rsidR="00C27567" w:rsidRPr="00D47256">
        <w:rPr>
          <w:szCs w:val="24"/>
        </w:rPr>
        <w:t>labeler</w:t>
      </w:r>
      <w:r w:rsidRPr="00D47256">
        <w:rPr>
          <w:szCs w:val="24"/>
        </w:rPr>
        <w:t>s to enter into and have in effect a rebate agreement with the Federal government for States to receive funding for drugs dispensed to Medicaid recipients.</w:t>
      </w:r>
      <w:r w:rsidR="006012DB" w:rsidRPr="00D47256">
        <w:rPr>
          <w:szCs w:val="24"/>
        </w:rPr>
        <w:t xml:space="preserve">  In order for payment to be made under Medicaid, the drug labeler must complete and sign a drug rebate agreement and fill in the information on the related documents.  </w:t>
      </w:r>
      <w:r w:rsidR="000F2395" w:rsidRPr="00D47256">
        <w:rPr>
          <w:szCs w:val="24"/>
        </w:rPr>
        <w:t xml:space="preserve"> The drug manufacturer</w:t>
      </w:r>
      <w:r w:rsidR="006012DB" w:rsidRPr="00D47256">
        <w:rPr>
          <w:szCs w:val="24"/>
        </w:rPr>
        <w:t xml:space="preserve"> must</w:t>
      </w:r>
      <w:r w:rsidR="000F2395" w:rsidRPr="00D47256">
        <w:rPr>
          <w:szCs w:val="24"/>
        </w:rPr>
        <w:t xml:space="preserve"> also</w:t>
      </w:r>
      <w:r w:rsidR="006012DB" w:rsidRPr="00D47256">
        <w:rPr>
          <w:szCs w:val="24"/>
        </w:rPr>
        <w:t xml:space="preserve"> supply information within 30 days after the end of each calendar quarter and month on the average manufacturer price of the drugs. </w:t>
      </w:r>
    </w:p>
    <w:p w14:paraId="0C8DA9EA" w14:textId="77777777" w:rsidR="00D46BC1" w:rsidRDefault="00D46BC1" w:rsidP="00D46BC1">
      <w:pPr>
        <w:tabs>
          <w:tab w:val="left" w:pos="1440"/>
        </w:tabs>
        <w:rPr>
          <w:szCs w:val="24"/>
        </w:rPr>
      </w:pPr>
    </w:p>
    <w:p w14:paraId="604C0209" w14:textId="31BC1B66" w:rsidR="00D46BC1" w:rsidRDefault="00D46BC1" w:rsidP="00D46BC1">
      <w:pPr>
        <w:tabs>
          <w:tab w:val="left" w:pos="1440"/>
        </w:tabs>
        <w:rPr>
          <w:szCs w:val="24"/>
        </w:rPr>
      </w:pPr>
      <w:r w:rsidRPr="00D47256">
        <w:rPr>
          <w:szCs w:val="24"/>
        </w:rPr>
        <w:t>Under the Medicaid program, states may provide coverage of prescribed drugs as an optional service under section 1905(a)(12) of the Social Security Act (the Act).  Section 1903(a) of the Act provides for federal financial participation (FFP) in state expenditures for these drugs.  Section 1927 of the Act governs the Medicaid Drug Rebate (MDR) Program and payment for covered outpatient drugs (CODs), which are defined in section 1927(k)(2) of the Act.</w:t>
      </w:r>
    </w:p>
    <w:p w14:paraId="5EF7065C" w14:textId="77777777" w:rsidR="00D46BC1" w:rsidRPr="00D47256" w:rsidRDefault="00D46BC1" w:rsidP="00D46BC1">
      <w:pPr>
        <w:tabs>
          <w:tab w:val="left" w:pos="1440"/>
        </w:tabs>
        <w:rPr>
          <w:szCs w:val="24"/>
        </w:rPr>
      </w:pPr>
    </w:p>
    <w:p w14:paraId="45BBD143" w14:textId="77777777" w:rsidR="00D46BC1" w:rsidRPr="00D47256" w:rsidRDefault="00D46BC1" w:rsidP="00D46BC1">
      <w:pPr>
        <w:tabs>
          <w:tab w:val="left" w:pos="1440"/>
        </w:tabs>
        <w:rPr>
          <w:szCs w:val="24"/>
        </w:rPr>
      </w:pPr>
      <w:r w:rsidRPr="00D47256">
        <w:rPr>
          <w:szCs w:val="24"/>
        </w:rPr>
        <w:t xml:space="preserve">In general, for payment to be made available under section 1903(a) of the Act for CODs, manufacturers must enter into a National rebate agreement (agreement) as set forth in section 1927(a) of the Act.  Section 1927 of the Act provides specific requirements for rebate agreements, drug pricing submission and confidentiality requirements, the formulas for calculating rebate payments, and requirements for states for CODs. </w:t>
      </w:r>
    </w:p>
    <w:p w14:paraId="6C793C8B" w14:textId="13CF368C" w:rsidR="00FC18EA" w:rsidRPr="00D47256" w:rsidRDefault="00FC18EA" w:rsidP="00BF3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24" w14:textId="77777777" w:rsidR="005913E1" w:rsidRPr="00BF350C" w:rsidRDefault="005913E1" w:rsidP="00C01F1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b/>
        </w:rPr>
      </w:pPr>
      <w:r w:rsidRPr="00BF350C">
        <w:rPr>
          <w:b/>
        </w:rPr>
        <w:t>Justification</w:t>
      </w:r>
    </w:p>
    <w:p w14:paraId="45A75D25" w14:textId="77777777" w:rsidR="005913E1" w:rsidRPr="00D47256" w:rsidRDefault="005913E1" w:rsidP="00BF3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14:paraId="45A75D26" w14:textId="77777777" w:rsidR="005913E1" w:rsidRPr="00D47256" w:rsidRDefault="005913E1" w:rsidP="00BF3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w:t>
      </w:r>
      <w:r w:rsidRPr="00D47256">
        <w:rPr>
          <w:szCs w:val="24"/>
        </w:rPr>
        <w:tab/>
      </w:r>
      <w:r w:rsidRPr="00D47256">
        <w:rPr>
          <w:szCs w:val="24"/>
          <w:u w:val="single"/>
        </w:rPr>
        <w:t>Need and Legal Basis</w:t>
      </w:r>
    </w:p>
    <w:p w14:paraId="03B7573E" w14:textId="77777777" w:rsidR="003D5B42" w:rsidRPr="00D47256" w:rsidRDefault="003D5B42" w:rsidP="003D5B42">
      <w:pPr>
        <w:tabs>
          <w:tab w:val="left" w:pos="1440"/>
        </w:tabs>
        <w:rPr>
          <w:szCs w:val="24"/>
        </w:rPr>
      </w:pPr>
    </w:p>
    <w:p w14:paraId="42B208E0" w14:textId="098DC4EA" w:rsidR="003D5B42" w:rsidRPr="00D47256" w:rsidRDefault="003D5B42" w:rsidP="003D5B42">
      <w:pPr>
        <w:tabs>
          <w:tab w:val="left" w:pos="1440"/>
        </w:tabs>
        <w:rPr>
          <w:szCs w:val="24"/>
        </w:rPr>
      </w:pPr>
      <w:r w:rsidRPr="00D47256">
        <w:rPr>
          <w:szCs w:val="24"/>
        </w:rPr>
        <w:t>Th</w:t>
      </w:r>
      <w:r w:rsidR="0084585F" w:rsidRPr="00D47256">
        <w:rPr>
          <w:szCs w:val="24"/>
        </w:rPr>
        <w:t xml:space="preserve">e February 1, 2016, </w:t>
      </w:r>
      <w:r w:rsidRPr="00D47256">
        <w:rPr>
          <w:szCs w:val="24"/>
        </w:rPr>
        <w:t>final rule implements changes to section 1927 of the Act made by sections 2501, 2503, and 3301(d)(2) of the Patient Protection and Affordable Care Act of 2010 (Pub. L. 111-148, enacted on March 23, 2010), and sections 1101(c) and 1206 of the Health Care and Education Reconciliation Act of 2010 (HCERA) (Pub. L. 111-152, enacted on March 30, 2010) (collectively referred to as the Affordable Care Act).  It also implements changes to section 1927 of the Act as set forth in section 202 of the Education Jobs and Medicaid Assistance Act (Pub. L. 111-226, enacted on August 10, 2010).</w:t>
      </w:r>
    </w:p>
    <w:p w14:paraId="5EB4E944" w14:textId="77777777" w:rsidR="0084585F" w:rsidRPr="00D47256" w:rsidRDefault="0084585F" w:rsidP="0084585F">
      <w:pPr>
        <w:tabs>
          <w:tab w:val="left" w:pos="1440"/>
        </w:tabs>
        <w:rPr>
          <w:szCs w:val="24"/>
        </w:rPr>
      </w:pPr>
    </w:p>
    <w:p w14:paraId="5D65B8D5" w14:textId="5041220A" w:rsidR="0084585F" w:rsidRPr="00D47256" w:rsidRDefault="0084585F" w:rsidP="0084585F">
      <w:pPr>
        <w:tabs>
          <w:tab w:val="left" w:pos="1440"/>
        </w:tabs>
        <w:rPr>
          <w:szCs w:val="24"/>
        </w:rPr>
      </w:pPr>
      <w:r w:rsidRPr="00D47256">
        <w:rPr>
          <w:szCs w:val="24"/>
        </w:rPr>
        <w:t>Section 2501(d) of the Affordable Care Act added a new section 1927(c)(2)(C) of the Act effective for drugs paid for by a state on or after January 1, 2010.  This provision modifies the unit rebate amount (URA) calculation for a drug that is a line extension (new formulation) of a single source or innovator multiple source drug that is an oral solid dosage form.</w:t>
      </w:r>
    </w:p>
    <w:p w14:paraId="3EC1DDEF" w14:textId="77777777" w:rsidR="0084585F" w:rsidRPr="00D47256" w:rsidRDefault="0084585F" w:rsidP="0084585F">
      <w:pPr>
        <w:tabs>
          <w:tab w:val="left" w:pos="1440"/>
        </w:tabs>
        <w:rPr>
          <w:szCs w:val="24"/>
        </w:rPr>
      </w:pPr>
    </w:p>
    <w:p w14:paraId="7EA62FF8" w14:textId="05F18FD8" w:rsidR="0084585F" w:rsidRPr="00D47256" w:rsidRDefault="0084585F" w:rsidP="0084585F">
      <w:pPr>
        <w:tabs>
          <w:tab w:val="left" w:pos="1440"/>
        </w:tabs>
        <w:rPr>
          <w:szCs w:val="24"/>
        </w:rPr>
      </w:pPr>
      <w:r w:rsidRPr="00D47256">
        <w:rPr>
          <w:szCs w:val="24"/>
        </w:rPr>
        <w:t xml:space="preserve">Section 2503(a)(1) of the Affordable Care Act amended section 1927(e) of the Act by revising the Federal upper reimbursement limit (FUL) to be no less than 175 percent of the weighted average (determined on the basis of utilization) of the most recently reported monthly AMPs for pharmaceutically and therapeutically equivalent multiple source drug products that are available for purchase by retail community pharmacies on a nationwide basis.  Additionally, it specifies that the Secretary shall implement a smoothing process for AMP </w:t>
      </w:r>
      <w:r w:rsidRPr="00D47256">
        <w:rPr>
          <w:szCs w:val="24"/>
        </w:rPr>
        <w:lastRenderedPageBreak/>
        <w:t>which shall be similar to the smoothing process used in determining the average sales price (ASP) of a drug or biological product under Medicare Part B.  Section 2503(a)(2) of the Affordable Care Act amended section 1927(k) of the Act by revising the definition of AMP to now mean the average price paid to the manufacturer for the drug in the United States by wholesalers for drug distribution to retail community pharmacies and retail community pharmacies that purchase drugs directly from the manufacturer.</w:t>
      </w:r>
    </w:p>
    <w:p w14:paraId="1A2675E5" w14:textId="77777777" w:rsidR="0084585F" w:rsidRPr="00D47256" w:rsidRDefault="0084585F" w:rsidP="0084585F">
      <w:pPr>
        <w:tabs>
          <w:tab w:val="left" w:pos="1440"/>
        </w:tabs>
        <w:rPr>
          <w:szCs w:val="24"/>
        </w:rPr>
      </w:pPr>
    </w:p>
    <w:p w14:paraId="43D91F95" w14:textId="5085807F" w:rsidR="0084585F" w:rsidRPr="00D47256" w:rsidRDefault="0084585F" w:rsidP="0084585F">
      <w:pPr>
        <w:tabs>
          <w:tab w:val="left" w:pos="1440"/>
        </w:tabs>
        <w:rPr>
          <w:szCs w:val="24"/>
        </w:rPr>
      </w:pPr>
      <w:r w:rsidRPr="00D47256">
        <w:rPr>
          <w:szCs w:val="24"/>
        </w:rPr>
        <w:t>Section 3301(d)(2) of the Affordable Care Act included a conforming amendment to the definition of best price (BP) under Medicaid at section 1927(c)(1)(C)(i)(VI) of the Act.  This amendment provides that any discounts provided by manufacturers under the Medicare coverage gap discount program under section 1860D-14A of the Act are exempt from a manufacturer’s best price calculation, effective for drugs dispensed on or after July 1, 2010.</w:t>
      </w:r>
    </w:p>
    <w:p w14:paraId="38CF1FA4" w14:textId="77777777" w:rsidR="0084585F" w:rsidRPr="00D47256" w:rsidRDefault="0084585F" w:rsidP="0084585F">
      <w:pPr>
        <w:tabs>
          <w:tab w:val="left" w:pos="1440"/>
        </w:tabs>
        <w:rPr>
          <w:szCs w:val="24"/>
        </w:rPr>
      </w:pPr>
    </w:p>
    <w:p w14:paraId="1DC01FF6" w14:textId="7CFDA52D" w:rsidR="003D5B42" w:rsidRPr="00D47256" w:rsidRDefault="0084585F" w:rsidP="0084585F">
      <w:pPr>
        <w:tabs>
          <w:tab w:val="left" w:pos="1440"/>
        </w:tabs>
        <w:rPr>
          <w:szCs w:val="24"/>
        </w:rPr>
      </w:pPr>
      <w:r w:rsidRPr="00D47256">
        <w:rPr>
          <w:szCs w:val="24"/>
        </w:rPr>
        <w:t>Section 1101(c) of HCERA also includes a conforming amendment to the definition of AMP under Medicaid at section 1927(k)(1)(B)(i) of the Act by providing that discounts provided by manufacturers under the Medicare coverage gap discount program under section 1860D-14A are excluded from a manufacturer’s determination of AMP, effective March 30, 2010.</w:t>
      </w:r>
    </w:p>
    <w:p w14:paraId="030CA4E2" w14:textId="5ACF79F2" w:rsidR="003C687E" w:rsidRDefault="003C687E" w:rsidP="0084585F">
      <w:pPr>
        <w:tabs>
          <w:tab w:val="left" w:pos="1440"/>
        </w:tabs>
        <w:rPr>
          <w:szCs w:val="24"/>
        </w:rPr>
      </w:pPr>
    </w:p>
    <w:p w14:paraId="0FD1B193" w14:textId="10954371" w:rsidR="003C687E" w:rsidRPr="009F621E" w:rsidRDefault="003C687E" w:rsidP="00554566">
      <w:pPr>
        <w:widowControl/>
      </w:pPr>
      <w:r>
        <w:rPr>
          <w:szCs w:val="24"/>
        </w:rPr>
        <w:t>S</w:t>
      </w:r>
      <w:r w:rsidRPr="009F621E">
        <w:rPr>
          <w:szCs w:val="24"/>
        </w:rPr>
        <w:t xml:space="preserve">ection 202 of the Education, Jobs and Medicaid Assistance Act (Pub. L. 111-226), enacted on August 10, 2010 and effective on October 1, 2010, </w:t>
      </w:r>
      <w:r w:rsidRPr="009F621E">
        <w:t xml:space="preserve">amended the definition of AMP under section 1927(k)(1)(B)(i)(IV) of the Act to include sales for </w:t>
      </w:r>
      <w:r w:rsidRPr="009F621E">
        <w:rPr>
          <w:color w:val="000000"/>
        </w:rPr>
        <w:t>inhalation, infusion, instilled, implanted, or injectable drug</w:t>
      </w:r>
      <w:r w:rsidRPr="009F621E">
        <w:t xml:space="preserve">s that are not generally dispensed through retail community pharmacies.  </w:t>
      </w:r>
    </w:p>
    <w:p w14:paraId="3F452577" w14:textId="77777777" w:rsidR="003D5B42" w:rsidRPr="00D47256" w:rsidRDefault="003D5B42" w:rsidP="00FD79DF">
      <w:pPr>
        <w:tabs>
          <w:tab w:val="left" w:pos="1440"/>
        </w:tabs>
        <w:rPr>
          <w:szCs w:val="24"/>
        </w:rPr>
      </w:pPr>
    </w:p>
    <w:p w14:paraId="45A75D2A" w14:textId="77777777" w:rsidR="005913E1" w:rsidRPr="00D47256" w:rsidRDefault="005913E1" w:rsidP="00FD79DF">
      <w:pPr>
        <w:rPr>
          <w:szCs w:val="24"/>
        </w:rPr>
      </w:pPr>
      <w:r w:rsidRPr="00D47256">
        <w:rPr>
          <w:szCs w:val="24"/>
        </w:rPr>
        <w:t>2.</w:t>
      </w:r>
      <w:r w:rsidRPr="00D47256">
        <w:rPr>
          <w:szCs w:val="24"/>
        </w:rPr>
        <w:tab/>
      </w:r>
      <w:r w:rsidRPr="00D47256">
        <w:rPr>
          <w:szCs w:val="24"/>
          <w:u w:val="single"/>
        </w:rPr>
        <w:t>Information Users</w:t>
      </w:r>
    </w:p>
    <w:p w14:paraId="45A75D2B"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88CF30F" w14:textId="77777777" w:rsidR="00F7311F" w:rsidRPr="00D47256" w:rsidRDefault="00F7311F" w:rsidP="00F7311F">
      <w:pPr>
        <w:tabs>
          <w:tab w:val="left" w:pos="1440"/>
        </w:tabs>
        <w:rPr>
          <w:szCs w:val="24"/>
        </w:rPr>
      </w:pPr>
      <w:r w:rsidRPr="00D47256">
        <w:rPr>
          <w:szCs w:val="24"/>
        </w:rPr>
        <w:t>Labelers transmit drug</w:t>
      </w:r>
      <w:r>
        <w:rPr>
          <w:szCs w:val="24"/>
        </w:rPr>
        <w:t xml:space="preserve"> product</w:t>
      </w:r>
      <w:r w:rsidRPr="00D47256">
        <w:rPr>
          <w:szCs w:val="24"/>
        </w:rPr>
        <w:t xml:space="preserve"> </w:t>
      </w:r>
      <w:r>
        <w:rPr>
          <w:szCs w:val="24"/>
        </w:rPr>
        <w:t xml:space="preserve">and pricing </w:t>
      </w:r>
      <w:r w:rsidRPr="00D47256">
        <w:rPr>
          <w:szCs w:val="24"/>
        </w:rPr>
        <w:t xml:space="preserve">data to CMS within 30 days after the end of each calendar month and quarter.  CMS calculates the unit rebate amount (URA) </w:t>
      </w:r>
      <w:r>
        <w:rPr>
          <w:szCs w:val="24"/>
        </w:rPr>
        <w:t xml:space="preserve">and the unit rebate offset amount (UROA) </w:t>
      </w:r>
      <w:r w:rsidRPr="00D47256">
        <w:rPr>
          <w:szCs w:val="24"/>
        </w:rPr>
        <w:t>for each NDC and distributes to all State Medicaid agencies.  States use the URA to invoice the labeler for rebates</w:t>
      </w:r>
      <w:r>
        <w:rPr>
          <w:szCs w:val="24"/>
        </w:rPr>
        <w:t xml:space="preserve"> and the UROA to report onto the CMS-64</w:t>
      </w:r>
      <w:r w:rsidRPr="00D47256">
        <w:rPr>
          <w:szCs w:val="24"/>
        </w:rPr>
        <w:t>.  The monthly data is used to calculate Federal Upper Limit (FUL) prices for applicable drugs and for states that opt to use this data to establish their pharmacy reimbursement methodology.</w:t>
      </w:r>
    </w:p>
    <w:p w14:paraId="45A75D2D"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2E" w14:textId="173882AE" w:rsidR="005913E1" w:rsidRPr="00D47256" w:rsidRDefault="00FC18EA" w:rsidP="00FC18EA">
      <w:pPr>
        <w:tabs>
          <w:tab w:val="left" w:pos="720"/>
          <w:tab w:val="left" w:pos="2880"/>
        </w:tabs>
        <w:rPr>
          <w:szCs w:val="24"/>
        </w:rPr>
      </w:pPr>
      <w:r>
        <w:rPr>
          <w:szCs w:val="24"/>
        </w:rPr>
        <w:t xml:space="preserve">3. </w:t>
      </w:r>
      <w:r>
        <w:rPr>
          <w:szCs w:val="24"/>
        </w:rPr>
        <w:tab/>
      </w:r>
      <w:r w:rsidR="005913E1" w:rsidRPr="00D47256">
        <w:rPr>
          <w:szCs w:val="24"/>
          <w:u w:val="single"/>
        </w:rPr>
        <w:t>Improved Information Technology</w:t>
      </w:r>
    </w:p>
    <w:p w14:paraId="45A75D2F"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26D08FC" w14:textId="15AA9B8D" w:rsidR="00C71D81" w:rsidRPr="00D47256" w:rsidRDefault="002B2D09" w:rsidP="006676E1">
      <w:pPr>
        <w:tabs>
          <w:tab w:val="left" w:pos="1440"/>
        </w:tabs>
        <w:rPr>
          <w:szCs w:val="24"/>
        </w:rPr>
      </w:pPr>
      <w:r w:rsidRPr="00D47256">
        <w:rPr>
          <w:szCs w:val="24"/>
        </w:rPr>
        <w:t xml:space="preserve">CMS </w:t>
      </w:r>
      <w:r w:rsidR="005E29B0" w:rsidRPr="00D47256">
        <w:rPr>
          <w:szCs w:val="24"/>
        </w:rPr>
        <w:t>has</w:t>
      </w:r>
      <w:r w:rsidRPr="00D47256">
        <w:rPr>
          <w:szCs w:val="24"/>
        </w:rPr>
        <w:t xml:space="preserve"> develop</w:t>
      </w:r>
      <w:r w:rsidR="005E29B0" w:rsidRPr="00D47256">
        <w:rPr>
          <w:szCs w:val="24"/>
        </w:rPr>
        <w:t>ed</w:t>
      </w:r>
      <w:r w:rsidRPr="00D47256">
        <w:rPr>
          <w:szCs w:val="24"/>
        </w:rPr>
        <w:t xml:space="preserve"> a web-based application fo</w:t>
      </w:r>
      <w:r w:rsidR="005E29B0" w:rsidRPr="00D47256">
        <w:rPr>
          <w:szCs w:val="24"/>
        </w:rPr>
        <w:t>r all drug data collection.</w:t>
      </w:r>
      <w:r w:rsidRPr="00D47256">
        <w:rPr>
          <w:szCs w:val="24"/>
        </w:rPr>
        <w:t xml:space="preserve">  The application, Drug Data Reporting for Medicaid (DDR) </w:t>
      </w:r>
      <w:r w:rsidR="005E29B0" w:rsidRPr="00D47256">
        <w:rPr>
          <w:szCs w:val="24"/>
        </w:rPr>
        <w:t>is</w:t>
      </w:r>
      <w:r w:rsidRPr="00D47256">
        <w:rPr>
          <w:szCs w:val="24"/>
        </w:rPr>
        <w:t xml:space="preserve"> available at no charge to all participating labelers.  Labelers have two data reporting options within DDR:  first, they may key their data online on an </w:t>
      </w:r>
      <w:r w:rsidR="004C5694" w:rsidRPr="00D47256">
        <w:rPr>
          <w:szCs w:val="24"/>
        </w:rPr>
        <w:t xml:space="preserve">individual </w:t>
      </w:r>
      <w:r w:rsidRPr="00D47256">
        <w:rPr>
          <w:szCs w:val="24"/>
        </w:rPr>
        <w:t xml:space="preserve">NDC basis; second, </w:t>
      </w:r>
      <w:r w:rsidR="00DD304B" w:rsidRPr="00D47256">
        <w:rPr>
          <w:szCs w:val="24"/>
        </w:rPr>
        <w:t>they may transfer a saved file to DDR.</w:t>
      </w:r>
      <w:r w:rsidR="004B3BEA" w:rsidRPr="00D47256">
        <w:rPr>
          <w:szCs w:val="24"/>
        </w:rPr>
        <w:t xml:space="preserve">  </w:t>
      </w:r>
    </w:p>
    <w:p w14:paraId="66DE2E61" w14:textId="77777777" w:rsidR="00C71D81" w:rsidRPr="00D47256" w:rsidRDefault="00C71D81" w:rsidP="006676E1">
      <w:pPr>
        <w:tabs>
          <w:tab w:val="left" w:pos="1440"/>
        </w:tabs>
        <w:rPr>
          <w:szCs w:val="24"/>
        </w:rPr>
      </w:pPr>
    </w:p>
    <w:p w14:paraId="2021C2B4" w14:textId="3F7E68BA" w:rsidR="004B3BEA" w:rsidRPr="00D47256" w:rsidRDefault="004B3BEA" w:rsidP="00FD79DF">
      <w:pPr>
        <w:tabs>
          <w:tab w:val="left" w:pos="1440"/>
        </w:tabs>
        <w:rPr>
          <w:szCs w:val="24"/>
        </w:rPr>
      </w:pPr>
      <w:r w:rsidRPr="00D47256">
        <w:rPr>
          <w:szCs w:val="24"/>
        </w:rPr>
        <w:t xml:space="preserve">For additional information regarding the online </w:t>
      </w:r>
      <w:r w:rsidR="002466CB" w:rsidRPr="00D47256">
        <w:rPr>
          <w:szCs w:val="24"/>
        </w:rPr>
        <w:t xml:space="preserve">and file transfer </w:t>
      </w:r>
      <w:r w:rsidRPr="00D47256">
        <w:rPr>
          <w:szCs w:val="24"/>
        </w:rPr>
        <w:t>data transmission method</w:t>
      </w:r>
      <w:r w:rsidR="002466CB" w:rsidRPr="00D47256">
        <w:rPr>
          <w:szCs w:val="24"/>
        </w:rPr>
        <w:t>s</w:t>
      </w:r>
      <w:r w:rsidRPr="00D47256">
        <w:rPr>
          <w:szCs w:val="24"/>
        </w:rPr>
        <w:t xml:space="preserve"> in DDR, see the</w:t>
      </w:r>
      <w:r w:rsidR="00162290" w:rsidRPr="00D47256">
        <w:rPr>
          <w:szCs w:val="24"/>
        </w:rPr>
        <w:t xml:space="preserve"> attached</w:t>
      </w:r>
      <w:r w:rsidRPr="00D47256">
        <w:rPr>
          <w:szCs w:val="24"/>
        </w:rPr>
        <w:t xml:space="preserve"> screen shots</w:t>
      </w:r>
      <w:r w:rsidR="0003290A" w:rsidRPr="00D47256">
        <w:rPr>
          <w:szCs w:val="24"/>
        </w:rPr>
        <w:t xml:space="preserve">.  </w:t>
      </w:r>
      <w:r w:rsidR="0003290A" w:rsidRPr="00724085">
        <w:rPr>
          <w:szCs w:val="24"/>
        </w:rPr>
        <w:t xml:space="preserve">Please note that these screen shots </w:t>
      </w:r>
      <w:r w:rsidR="00865102">
        <w:rPr>
          <w:szCs w:val="24"/>
        </w:rPr>
        <w:t>are from the pre</w:t>
      </w:r>
      <w:r w:rsidR="00115FD4">
        <w:rPr>
          <w:szCs w:val="24"/>
        </w:rPr>
        <w:t>-prodcution test database and have</w:t>
      </w:r>
      <w:r w:rsidR="003D450A">
        <w:rPr>
          <w:szCs w:val="24"/>
        </w:rPr>
        <w:t xml:space="preserve"> </w:t>
      </w:r>
      <w:r w:rsidR="0003290A" w:rsidRPr="00724085">
        <w:rPr>
          <w:szCs w:val="24"/>
        </w:rPr>
        <w:t>been updated to</w:t>
      </w:r>
      <w:r w:rsidR="00A4319A">
        <w:rPr>
          <w:szCs w:val="24"/>
        </w:rPr>
        <w:t xml:space="preserve"> </w:t>
      </w:r>
      <w:r w:rsidR="0003290A" w:rsidRPr="00724085">
        <w:rPr>
          <w:szCs w:val="24"/>
        </w:rPr>
        <w:t>reflect the new data fields requested as part of this collection revision.</w:t>
      </w:r>
      <w:r w:rsidRPr="00D47256">
        <w:rPr>
          <w:szCs w:val="24"/>
        </w:rPr>
        <w:t xml:space="preserve"> </w:t>
      </w:r>
    </w:p>
    <w:p w14:paraId="45A75D31" w14:textId="77777777" w:rsidR="005913E1" w:rsidRPr="00D47256" w:rsidRDefault="005913E1" w:rsidP="00FD79DF">
      <w:pPr>
        <w:tabs>
          <w:tab w:val="left" w:pos="1440"/>
        </w:tabs>
        <w:rPr>
          <w:szCs w:val="24"/>
        </w:rPr>
      </w:pPr>
    </w:p>
    <w:p w14:paraId="45A75D32" w14:textId="2952DAD6" w:rsidR="005913E1" w:rsidRPr="00D47256" w:rsidRDefault="00FC18EA" w:rsidP="00FD79DF">
      <w:pPr>
        <w:rPr>
          <w:szCs w:val="24"/>
        </w:rPr>
      </w:pPr>
      <w:r>
        <w:rPr>
          <w:szCs w:val="24"/>
        </w:rPr>
        <w:t xml:space="preserve">4. </w:t>
      </w:r>
      <w:r>
        <w:rPr>
          <w:szCs w:val="24"/>
        </w:rPr>
        <w:tab/>
      </w:r>
      <w:r w:rsidR="005913E1" w:rsidRPr="00D47256">
        <w:rPr>
          <w:szCs w:val="24"/>
          <w:u w:val="single"/>
        </w:rPr>
        <w:t>Duplication Information</w:t>
      </w:r>
    </w:p>
    <w:p w14:paraId="45A75D33"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34" w14:textId="570C8FD9" w:rsidR="005913E1" w:rsidRPr="00D47256" w:rsidRDefault="005913E1" w:rsidP="00FC798D">
      <w:pPr>
        <w:tabs>
          <w:tab w:val="left" w:pos="1440"/>
        </w:tabs>
        <w:rPr>
          <w:szCs w:val="24"/>
        </w:rPr>
      </w:pPr>
      <w:r w:rsidRPr="00D47256">
        <w:rPr>
          <w:szCs w:val="24"/>
        </w:rPr>
        <w:t>CM</w:t>
      </w:r>
      <w:r w:rsidR="002D312C" w:rsidRPr="00D47256">
        <w:rPr>
          <w:szCs w:val="24"/>
        </w:rPr>
        <w:t>C</w:t>
      </w:r>
      <w:r w:rsidRPr="00D47256">
        <w:rPr>
          <w:szCs w:val="24"/>
        </w:rPr>
        <w:t xml:space="preserve">S is the only CMS component collecting drug data </w:t>
      </w:r>
      <w:r w:rsidR="00DD304B" w:rsidRPr="00D47256">
        <w:rPr>
          <w:szCs w:val="24"/>
        </w:rPr>
        <w:t>for purposes of</w:t>
      </w:r>
      <w:r w:rsidRPr="00D47256">
        <w:rPr>
          <w:szCs w:val="24"/>
        </w:rPr>
        <w:t xml:space="preserve"> the Medicaid program.  Therefore, </w:t>
      </w:r>
      <w:r w:rsidR="00DD304B" w:rsidRPr="00D47256">
        <w:rPr>
          <w:szCs w:val="24"/>
        </w:rPr>
        <w:t xml:space="preserve">this information collection does not duplicate any other effort and the information cannot be obtained from any other source. </w:t>
      </w:r>
    </w:p>
    <w:p w14:paraId="45A75D35"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36" w14:textId="6AA21F01" w:rsidR="005913E1" w:rsidRPr="00D47256" w:rsidRDefault="005913E1" w:rsidP="00FC18EA">
      <w:pPr>
        <w:tabs>
          <w:tab w:val="left" w:pos="720"/>
        </w:tabs>
        <w:rPr>
          <w:szCs w:val="24"/>
        </w:rPr>
      </w:pPr>
      <w:r w:rsidRPr="00D47256">
        <w:rPr>
          <w:szCs w:val="24"/>
        </w:rPr>
        <w:t>5.</w:t>
      </w:r>
      <w:r w:rsidR="00FC18EA">
        <w:rPr>
          <w:szCs w:val="24"/>
        </w:rPr>
        <w:t xml:space="preserve"> </w:t>
      </w:r>
      <w:r w:rsidR="00FC18EA">
        <w:rPr>
          <w:szCs w:val="24"/>
        </w:rPr>
        <w:tab/>
      </w:r>
      <w:r w:rsidRPr="00D47256">
        <w:rPr>
          <w:szCs w:val="24"/>
          <w:u w:val="single"/>
        </w:rPr>
        <w:t>Small Business</w:t>
      </w:r>
    </w:p>
    <w:p w14:paraId="45A75D37"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38" w14:textId="05E286B6" w:rsidR="005913E1" w:rsidRPr="00D47256" w:rsidRDefault="005913E1" w:rsidP="00FC798D">
      <w:pPr>
        <w:tabs>
          <w:tab w:val="left" w:pos="1440"/>
        </w:tabs>
        <w:rPr>
          <w:szCs w:val="24"/>
        </w:rPr>
      </w:pPr>
      <w:r w:rsidRPr="00D47256">
        <w:rPr>
          <w:szCs w:val="24"/>
        </w:rPr>
        <w:lastRenderedPageBreak/>
        <w:t>This collection of</w:t>
      </w:r>
      <w:r w:rsidR="005539BE" w:rsidRPr="00D47256">
        <w:rPr>
          <w:szCs w:val="24"/>
        </w:rPr>
        <w:t xml:space="preserve"> data</w:t>
      </w:r>
      <w:r w:rsidRPr="00D47256">
        <w:rPr>
          <w:szCs w:val="24"/>
        </w:rPr>
        <w:t xml:space="preserve"> </w:t>
      </w:r>
      <w:r w:rsidR="00DD304B" w:rsidRPr="00D47256">
        <w:rPr>
          <w:szCs w:val="24"/>
        </w:rPr>
        <w:t xml:space="preserve">may impact up to 100 small business entities that are currently in the </w:t>
      </w:r>
      <w:r w:rsidR="005539BE" w:rsidRPr="00D47256">
        <w:rPr>
          <w:szCs w:val="24"/>
        </w:rPr>
        <w:t xml:space="preserve">voluntary </w:t>
      </w:r>
      <w:r w:rsidR="00DD304B" w:rsidRPr="00D47256">
        <w:rPr>
          <w:szCs w:val="24"/>
        </w:rPr>
        <w:t xml:space="preserve">program.  </w:t>
      </w:r>
      <w:r w:rsidR="005539BE" w:rsidRPr="00D47256">
        <w:rPr>
          <w:szCs w:val="24"/>
        </w:rPr>
        <w:t>DDR help</w:t>
      </w:r>
      <w:r w:rsidR="005E29B0" w:rsidRPr="00D47256">
        <w:rPr>
          <w:szCs w:val="24"/>
        </w:rPr>
        <w:t>s</w:t>
      </w:r>
      <w:r w:rsidR="005539BE" w:rsidRPr="00D47256">
        <w:rPr>
          <w:szCs w:val="24"/>
        </w:rPr>
        <w:t xml:space="preserve"> these entities more easily and accurately report their data than was possible under the previous data collection method.  The DDR is free, and helps labelers detect and correct potential data errors for which they previously faced penalties and terminations from the program.</w:t>
      </w:r>
    </w:p>
    <w:p w14:paraId="45A75D39" w14:textId="77777777" w:rsidR="005913E1" w:rsidRPr="00D47256" w:rsidRDefault="005913E1" w:rsidP="00FC798D">
      <w:pPr>
        <w:tabs>
          <w:tab w:val="left" w:pos="1440"/>
        </w:tabs>
        <w:rPr>
          <w:szCs w:val="24"/>
        </w:rPr>
      </w:pPr>
    </w:p>
    <w:p w14:paraId="45A75D3A" w14:textId="580C3BBC" w:rsidR="005913E1" w:rsidRPr="00D47256" w:rsidRDefault="00FC18EA" w:rsidP="00FC798D">
      <w:pPr>
        <w:rPr>
          <w:szCs w:val="24"/>
        </w:rPr>
      </w:pPr>
      <w:r>
        <w:rPr>
          <w:szCs w:val="24"/>
        </w:rPr>
        <w:t xml:space="preserve">6. </w:t>
      </w:r>
      <w:r>
        <w:rPr>
          <w:szCs w:val="24"/>
        </w:rPr>
        <w:tab/>
      </w:r>
      <w:r w:rsidR="005913E1" w:rsidRPr="00D47256">
        <w:rPr>
          <w:szCs w:val="24"/>
          <w:u w:val="single"/>
        </w:rPr>
        <w:t>Less Frequent Collection</w:t>
      </w:r>
    </w:p>
    <w:p w14:paraId="45A75D3B" w14:textId="77777777" w:rsidR="005913E1" w:rsidRPr="00D47256" w:rsidRDefault="005913E1" w:rsidP="006676E1">
      <w:pPr>
        <w:tabs>
          <w:tab w:val="left" w:pos="2880"/>
        </w:tabs>
        <w:rPr>
          <w:szCs w:val="24"/>
        </w:rPr>
      </w:pPr>
    </w:p>
    <w:p w14:paraId="45A75D3C" w14:textId="6C58244F" w:rsidR="005913E1" w:rsidRPr="00D47256" w:rsidRDefault="005913E1" w:rsidP="00FC798D">
      <w:pPr>
        <w:tabs>
          <w:tab w:val="left" w:pos="1440"/>
        </w:tabs>
        <w:rPr>
          <w:szCs w:val="24"/>
        </w:rPr>
      </w:pPr>
      <w:r w:rsidRPr="00D47256">
        <w:rPr>
          <w:szCs w:val="24"/>
        </w:rPr>
        <w:t xml:space="preserve">Section 1927 of the Act requires </w:t>
      </w:r>
      <w:r w:rsidR="005539BE" w:rsidRPr="00D47256">
        <w:rPr>
          <w:szCs w:val="24"/>
        </w:rPr>
        <w:t>monthly and</w:t>
      </w:r>
      <w:r w:rsidRPr="00D47256">
        <w:rPr>
          <w:szCs w:val="24"/>
        </w:rPr>
        <w:t xml:space="preserve"> quarterly </w:t>
      </w:r>
      <w:r w:rsidR="005539BE" w:rsidRPr="00D47256">
        <w:rPr>
          <w:szCs w:val="24"/>
        </w:rPr>
        <w:t xml:space="preserve">drug data </w:t>
      </w:r>
      <w:r w:rsidRPr="00D47256">
        <w:rPr>
          <w:szCs w:val="24"/>
        </w:rPr>
        <w:t xml:space="preserve">reporting by </w:t>
      </w:r>
      <w:r w:rsidR="005539BE" w:rsidRPr="00D47256">
        <w:rPr>
          <w:szCs w:val="24"/>
        </w:rPr>
        <w:t>labelers</w:t>
      </w:r>
      <w:r w:rsidRPr="00D47256">
        <w:rPr>
          <w:szCs w:val="24"/>
        </w:rPr>
        <w:t>.</w:t>
      </w:r>
    </w:p>
    <w:p w14:paraId="45A75D3D" w14:textId="77777777" w:rsidR="00C51B5E" w:rsidRPr="00D47256" w:rsidRDefault="00C51B5E" w:rsidP="00FC798D">
      <w:pPr>
        <w:tabs>
          <w:tab w:val="left" w:pos="1440"/>
        </w:tabs>
        <w:rPr>
          <w:szCs w:val="24"/>
        </w:rPr>
      </w:pPr>
    </w:p>
    <w:p w14:paraId="45A75D3E" w14:textId="685C755C" w:rsidR="005913E1" w:rsidRPr="00D47256" w:rsidRDefault="00FC18EA" w:rsidP="00FC18EA">
      <w:pPr>
        <w:tabs>
          <w:tab w:val="left" w:pos="720"/>
          <w:tab w:val="left" w:pos="1440"/>
        </w:tabs>
        <w:rPr>
          <w:szCs w:val="24"/>
          <w:u w:val="single"/>
        </w:rPr>
      </w:pPr>
      <w:r>
        <w:rPr>
          <w:szCs w:val="24"/>
        </w:rPr>
        <w:t xml:space="preserve">7. </w:t>
      </w:r>
      <w:r>
        <w:rPr>
          <w:szCs w:val="24"/>
        </w:rPr>
        <w:tab/>
      </w:r>
      <w:r w:rsidR="005913E1" w:rsidRPr="00D47256">
        <w:rPr>
          <w:szCs w:val="24"/>
          <w:u w:val="single"/>
        </w:rPr>
        <w:t>Special Circumstances</w:t>
      </w:r>
    </w:p>
    <w:p w14:paraId="45A75D3F" w14:textId="77777777" w:rsidR="005913E1"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B4BF20E" w14:textId="43398201" w:rsidR="00742846" w:rsidRDefault="00742846"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742846">
        <w:rPr>
          <w:szCs w:val="24"/>
        </w:rPr>
        <w:t xml:space="preserve">We require respondents to report information to </w:t>
      </w:r>
      <w:r>
        <w:rPr>
          <w:szCs w:val="24"/>
        </w:rPr>
        <w:t xml:space="preserve">the agency </w:t>
      </w:r>
      <w:r w:rsidRPr="00742846">
        <w:rPr>
          <w:szCs w:val="24"/>
        </w:rPr>
        <w:t>more often than quarterly. Section 1927 of the Act requires monthly and quarterly drug data reporting by labelers.</w:t>
      </w:r>
    </w:p>
    <w:p w14:paraId="2B920769" w14:textId="77777777" w:rsidR="00742846" w:rsidRDefault="00742846"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D86F27F" w14:textId="15013692" w:rsidR="00513751" w:rsidRPr="00D47256" w:rsidRDefault="00742846"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Otherwise, t</w:t>
      </w:r>
      <w:r w:rsidR="00513751" w:rsidRPr="00D47256">
        <w:rPr>
          <w:szCs w:val="24"/>
        </w:rPr>
        <w:t>h</w:t>
      </w:r>
      <w:r>
        <w:rPr>
          <w:szCs w:val="24"/>
        </w:rPr>
        <w:t xml:space="preserve">is information collection request </w:t>
      </w:r>
      <w:r w:rsidR="006C1E17">
        <w:rPr>
          <w:szCs w:val="24"/>
        </w:rPr>
        <w:t xml:space="preserve">does not include any </w:t>
      </w:r>
      <w:r w:rsidR="0013039E">
        <w:rPr>
          <w:szCs w:val="24"/>
        </w:rPr>
        <w:t xml:space="preserve">other </w:t>
      </w:r>
      <w:r w:rsidR="00513751" w:rsidRPr="00D47256">
        <w:rPr>
          <w:szCs w:val="24"/>
        </w:rPr>
        <w:t xml:space="preserve">special circumstances. More specifically, this information collection does not do any of the following: </w:t>
      </w:r>
    </w:p>
    <w:p w14:paraId="3E8160E0" w14:textId="77777777" w:rsidR="00513751" w:rsidRPr="00D47256"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46E42D3" w14:textId="2395FE35"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-Require respondents to prepare a written response to a collection of information in fewer than 30 days after receipt of it;</w:t>
      </w:r>
    </w:p>
    <w:p w14:paraId="15065D24"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02FE24E"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-Require respondents to submit more than an original and two copies of any document;</w:t>
      </w:r>
    </w:p>
    <w:p w14:paraId="380994F7"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2A49E45" w14:textId="48A1F930" w:rsidR="00513751" w:rsidRPr="00045AB8" w:rsidRDefault="00513751" w:rsidP="008C53E1">
      <w:pPr>
        <w:rPr>
          <w:szCs w:val="24"/>
        </w:rPr>
      </w:pPr>
      <w:r w:rsidRPr="00045AB8">
        <w:rPr>
          <w:szCs w:val="24"/>
        </w:rPr>
        <w:t xml:space="preserve">-Require respondents to retain records, other than health, medical, government contract, grant-in-aid, or tax records for more than </w:t>
      </w:r>
      <w:r w:rsidR="00B11A0E">
        <w:rPr>
          <w:szCs w:val="24"/>
        </w:rPr>
        <w:t>three y</w:t>
      </w:r>
      <w:r w:rsidRPr="00045AB8">
        <w:rPr>
          <w:szCs w:val="24"/>
        </w:rPr>
        <w:t>ears</w:t>
      </w:r>
      <w:r w:rsidR="00045AB8" w:rsidRPr="00045AB8">
        <w:rPr>
          <w:szCs w:val="24"/>
        </w:rPr>
        <w:t>.</w:t>
      </w:r>
      <w:r w:rsidRPr="00045AB8">
        <w:rPr>
          <w:szCs w:val="24"/>
        </w:rPr>
        <w:t>;</w:t>
      </w:r>
      <w:r w:rsidR="00045AB8" w:rsidRPr="00045AB8">
        <w:rPr>
          <w:szCs w:val="24"/>
        </w:rPr>
        <w:t xml:space="preserve"> </w:t>
      </w:r>
    </w:p>
    <w:p w14:paraId="6058B566" w14:textId="77777777" w:rsidR="00513751" w:rsidRPr="00045AB8" w:rsidRDefault="00513751" w:rsidP="003A3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33FF51"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-Is connected with a statistical survey that is not designed to produce valid and reliable results that can be generalized to the universe of study,</w:t>
      </w:r>
    </w:p>
    <w:p w14:paraId="53D6AA87"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D58F0A8"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-Require the use of a statistical data classification that has not been reviewed and approved by OMB;</w:t>
      </w:r>
    </w:p>
    <w:p w14:paraId="0815414A"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27668DC"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3A18383"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63EE5EB" w14:textId="2F8C5351" w:rsidR="00513751" w:rsidRPr="00D47256"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 xml:space="preserve">-Require respondents to submit proprietary trade secret, or other confidential information unless the agency can demonstrate that it has instituted procedures to protect </w:t>
      </w:r>
      <w:r w:rsidR="00045AB8" w:rsidRPr="00045AB8">
        <w:rPr>
          <w:szCs w:val="24"/>
        </w:rPr>
        <w:t>the</w:t>
      </w:r>
      <w:r w:rsidRPr="00045AB8">
        <w:rPr>
          <w:szCs w:val="24"/>
        </w:rPr>
        <w:t xml:space="preserve"> information's confidentiality to the extent permitted by law.</w:t>
      </w:r>
    </w:p>
    <w:p w14:paraId="7BF0AE6F" w14:textId="77777777" w:rsidR="0099483B" w:rsidRPr="00D47256" w:rsidRDefault="0099483B" w:rsidP="006676E1">
      <w:pPr>
        <w:tabs>
          <w:tab w:val="left" w:pos="2880"/>
        </w:tabs>
        <w:rPr>
          <w:szCs w:val="24"/>
        </w:rPr>
      </w:pPr>
    </w:p>
    <w:p w14:paraId="45A75D42" w14:textId="6FDCC57F" w:rsidR="005913E1" w:rsidRPr="00D47256" w:rsidRDefault="005913E1" w:rsidP="00FC18EA">
      <w:pPr>
        <w:tabs>
          <w:tab w:val="left" w:pos="720"/>
        </w:tabs>
        <w:rPr>
          <w:szCs w:val="24"/>
        </w:rPr>
      </w:pPr>
      <w:r w:rsidRPr="00D47256">
        <w:rPr>
          <w:szCs w:val="24"/>
        </w:rPr>
        <w:t>8.</w:t>
      </w:r>
      <w:r w:rsidR="00FC18EA">
        <w:rPr>
          <w:szCs w:val="24"/>
        </w:rPr>
        <w:tab/>
      </w:r>
      <w:r w:rsidRPr="00D47256">
        <w:rPr>
          <w:szCs w:val="24"/>
          <w:u w:val="single"/>
        </w:rPr>
        <w:t>Federal Register Notice/Outside Consultations</w:t>
      </w:r>
    </w:p>
    <w:p w14:paraId="45A75D43"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44" w14:textId="35650C70" w:rsidR="007D7BD7" w:rsidRPr="00D47256" w:rsidRDefault="009738B5" w:rsidP="006676E1">
      <w:pPr>
        <w:pStyle w:val="BodyTextIndent"/>
        <w:ind w:left="0" w:firstLine="0"/>
        <w:rPr>
          <w:sz w:val="24"/>
          <w:szCs w:val="24"/>
        </w:rPr>
      </w:pPr>
      <w:r w:rsidRPr="00D47256">
        <w:rPr>
          <w:sz w:val="24"/>
          <w:szCs w:val="24"/>
        </w:rPr>
        <w:t xml:space="preserve">Serving as the 60-day </w:t>
      </w:r>
      <w:r w:rsidR="00373B95" w:rsidRPr="00D47256">
        <w:rPr>
          <w:sz w:val="24"/>
          <w:szCs w:val="24"/>
        </w:rPr>
        <w:t>notice</w:t>
      </w:r>
      <w:r w:rsidRPr="00D47256">
        <w:rPr>
          <w:sz w:val="24"/>
          <w:szCs w:val="24"/>
        </w:rPr>
        <w:t xml:space="preserve">, the NPRM </w:t>
      </w:r>
      <w:r w:rsidR="00D81F2C" w:rsidRPr="00D47256">
        <w:rPr>
          <w:sz w:val="24"/>
          <w:szCs w:val="24"/>
        </w:rPr>
        <w:t xml:space="preserve">(RIN 0938-AQ41; CMS-2345-P) </w:t>
      </w:r>
      <w:r w:rsidRPr="00D47256">
        <w:rPr>
          <w:sz w:val="24"/>
          <w:szCs w:val="24"/>
        </w:rPr>
        <w:t xml:space="preserve">published </w:t>
      </w:r>
      <w:r w:rsidR="00D81F2C" w:rsidRPr="00D47256">
        <w:rPr>
          <w:sz w:val="24"/>
          <w:szCs w:val="24"/>
        </w:rPr>
        <w:t xml:space="preserve">in the Federal Register </w:t>
      </w:r>
      <w:r w:rsidRPr="00D47256">
        <w:rPr>
          <w:sz w:val="24"/>
          <w:szCs w:val="24"/>
        </w:rPr>
        <w:t>on February 2, 2012</w:t>
      </w:r>
      <w:r w:rsidR="0003290A" w:rsidRPr="00D47256">
        <w:rPr>
          <w:sz w:val="24"/>
          <w:szCs w:val="24"/>
        </w:rPr>
        <w:t xml:space="preserve"> (77 FR 5317)</w:t>
      </w:r>
      <w:r w:rsidRPr="00D47256">
        <w:rPr>
          <w:sz w:val="24"/>
          <w:szCs w:val="24"/>
        </w:rPr>
        <w:t>. Comments were received. A summary of the comments along with our response is attached to this package.</w:t>
      </w:r>
      <w:r w:rsidR="00345C0E" w:rsidRPr="00D47256">
        <w:rPr>
          <w:sz w:val="24"/>
          <w:szCs w:val="24"/>
        </w:rPr>
        <w:t xml:space="preserve"> </w:t>
      </w:r>
      <w:r w:rsidR="003528B7" w:rsidRPr="00D47256">
        <w:rPr>
          <w:sz w:val="24"/>
          <w:szCs w:val="24"/>
        </w:rPr>
        <w:t>C</w:t>
      </w:r>
      <w:r w:rsidR="006A1EB6" w:rsidRPr="00D47256">
        <w:rPr>
          <w:sz w:val="24"/>
          <w:szCs w:val="24"/>
        </w:rPr>
        <w:t xml:space="preserve">hanges that were made </w:t>
      </w:r>
      <w:r w:rsidR="003D450A">
        <w:rPr>
          <w:sz w:val="24"/>
          <w:szCs w:val="24"/>
        </w:rPr>
        <w:t xml:space="preserve">from the NPRM to the Final Rule </w:t>
      </w:r>
      <w:r w:rsidR="006A1EB6" w:rsidRPr="00D47256">
        <w:rPr>
          <w:sz w:val="24"/>
          <w:szCs w:val="24"/>
        </w:rPr>
        <w:t xml:space="preserve"> are highlighted below:</w:t>
      </w:r>
    </w:p>
    <w:p w14:paraId="5801FC91" w14:textId="77777777" w:rsidR="00ED2F23" w:rsidRPr="00D47256" w:rsidRDefault="00ED2F23" w:rsidP="006676E1">
      <w:pPr>
        <w:pStyle w:val="BodyTextIndent"/>
        <w:ind w:left="0" w:firstLine="0"/>
        <w:rPr>
          <w:sz w:val="24"/>
          <w:szCs w:val="24"/>
        </w:rPr>
      </w:pPr>
    </w:p>
    <w:p w14:paraId="5515427A" w14:textId="76628DE5" w:rsidR="00ED2F23" w:rsidRPr="00D47256" w:rsidRDefault="00ED2F23" w:rsidP="006676E1">
      <w:pPr>
        <w:pStyle w:val="BodyTextIndent"/>
        <w:ind w:left="0" w:firstLine="0"/>
        <w:rPr>
          <w:sz w:val="24"/>
          <w:szCs w:val="24"/>
        </w:rPr>
      </w:pPr>
      <w:r w:rsidRPr="00D47256">
        <w:rPr>
          <w:sz w:val="24"/>
          <w:szCs w:val="24"/>
        </w:rPr>
        <w:t xml:space="preserve">With regard to our proposed changes to §447.507, several commenters noted that our </w:t>
      </w:r>
      <w:r w:rsidR="000F4826" w:rsidRPr="00D47256">
        <w:rPr>
          <w:sz w:val="24"/>
          <w:szCs w:val="24"/>
        </w:rPr>
        <w:t xml:space="preserve">20 hr </w:t>
      </w:r>
      <w:r w:rsidRPr="00D47256">
        <w:rPr>
          <w:sz w:val="24"/>
          <w:szCs w:val="24"/>
        </w:rPr>
        <w:t xml:space="preserve">estimate </w:t>
      </w:r>
      <w:r w:rsidR="000F4826" w:rsidRPr="00D47256">
        <w:rPr>
          <w:sz w:val="24"/>
          <w:szCs w:val="24"/>
        </w:rPr>
        <w:t>(</w:t>
      </w:r>
      <w:r w:rsidRPr="00D47256">
        <w:rPr>
          <w:sz w:val="24"/>
          <w:szCs w:val="24"/>
        </w:rPr>
        <w:t>associated with a drug manufacturer’s burden to identify 5i drugs and determine whether such drugs are not generally dispensed through retail community pharmacies</w:t>
      </w:r>
      <w:r w:rsidR="000F4826" w:rsidRPr="00D47256">
        <w:rPr>
          <w:sz w:val="24"/>
          <w:szCs w:val="24"/>
        </w:rPr>
        <w:t xml:space="preserve">) is </w:t>
      </w:r>
      <w:r w:rsidRPr="00D47256">
        <w:rPr>
          <w:sz w:val="24"/>
          <w:szCs w:val="24"/>
        </w:rPr>
        <w:t>low.</w:t>
      </w:r>
      <w:r w:rsidR="00247B83">
        <w:rPr>
          <w:sz w:val="24"/>
          <w:szCs w:val="24"/>
        </w:rPr>
        <w:t xml:space="preserve"> </w:t>
      </w:r>
      <w:r w:rsidR="00345C0E" w:rsidRPr="00D47256">
        <w:rPr>
          <w:color w:val="000000"/>
          <w:sz w:val="24"/>
          <w:szCs w:val="24"/>
        </w:rPr>
        <w:t>We received one specific comment estimating that it would take 40 hours per</w:t>
      </w:r>
      <w:r w:rsidR="00345C0E" w:rsidRPr="00D47256">
        <w:rPr>
          <w:sz w:val="24"/>
          <w:szCs w:val="24"/>
        </w:rPr>
        <w:t xml:space="preserve"> drug</w:t>
      </w:r>
      <w:r w:rsidR="00345C0E" w:rsidRPr="00D47256">
        <w:rPr>
          <w:color w:val="000000"/>
          <w:sz w:val="24"/>
          <w:szCs w:val="24"/>
        </w:rPr>
        <w:t xml:space="preserve"> manufacturer to perform the analysis for this requirement. </w:t>
      </w:r>
      <w:r w:rsidR="008E751C" w:rsidRPr="00D47256">
        <w:rPr>
          <w:color w:val="000000"/>
          <w:sz w:val="24"/>
          <w:szCs w:val="24"/>
        </w:rPr>
        <w:t xml:space="preserve">Upon considering the comment, </w:t>
      </w:r>
      <w:r w:rsidR="00345C0E" w:rsidRPr="00D47256">
        <w:rPr>
          <w:color w:val="000000"/>
          <w:sz w:val="24"/>
          <w:szCs w:val="24"/>
        </w:rPr>
        <w:t>we increase</w:t>
      </w:r>
      <w:r w:rsidR="008E751C" w:rsidRPr="00D47256">
        <w:rPr>
          <w:color w:val="000000"/>
          <w:sz w:val="24"/>
          <w:szCs w:val="24"/>
        </w:rPr>
        <w:t>d</w:t>
      </w:r>
      <w:r w:rsidR="00345C0E" w:rsidRPr="00D47256">
        <w:rPr>
          <w:color w:val="000000"/>
          <w:sz w:val="24"/>
          <w:szCs w:val="24"/>
        </w:rPr>
        <w:t xml:space="preserve"> our 20 </w:t>
      </w:r>
      <w:r w:rsidR="008E751C" w:rsidRPr="00D47256">
        <w:rPr>
          <w:color w:val="000000"/>
          <w:sz w:val="24"/>
          <w:szCs w:val="24"/>
        </w:rPr>
        <w:t xml:space="preserve">hour proposed estimate </w:t>
      </w:r>
      <w:r w:rsidR="00345C0E" w:rsidRPr="00D47256">
        <w:rPr>
          <w:color w:val="000000"/>
          <w:sz w:val="24"/>
          <w:szCs w:val="24"/>
        </w:rPr>
        <w:t xml:space="preserve">to 30 hours </w:t>
      </w:r>
      <w:r w:rsidR="008E751C" w:rsidRPr="00D47256">
        <w:rPr>
          <w:color w:val="000000"/>
          <w:sz w:val="24"/>
          <w:szCs w:val="24"/>
        </w:rPr>
        <w:t xml:space="preserve">per </w:t>
      </w:r>
      <w:r w:rsidR="00345C0E" w:rsidRPr="00D47256">
        <w:rPr>
          <w:color w:val="000000"/>
          <w:sz w:val="24"/>
          <w:szCs w:val="24"/>
        </w:rPr>
        <w:t xml:space="preserve">month per response </w:t>
      </w:r>
      <w:r w:rsidR="008E751C" w:rsidRPr="00D47256">
        <w:rPr>
          <w:color w:val="000000"/>
          <w:sz w:val="24"/>
          <w:szCs w:val="24"/>
        </w:rPr>
        <w:t xml:space="preserve">and added </w:t>
      </w:r>
      <w:r w:rsidR="00345C0E" w:rsidRPr="00D47256">
        <w:rPr>
          <w:sz w:val="24"/>
          <w:szCs w:val="24"/>
        </w:rPr>
        <w:t xml:space="preserve">1.0 hour </w:t>
      </w:r>
      <w:r w:rsidR="00345C0E" w:rsidRPr="00D47256">
        <w:rPr>
          <w:sz w:val="24"/>
          <w:szCs w:val="24"/>
        </w:rPr>
        <w:lastRenderedPageBreak/>
        <w:t>per month for drug manufacturers to report this information to CMS.</w:t>
      </w:r>
    </w:p>
    <w:p w14:paraId="2BA42BBF" w14:textId="77777777" w:rsidR="00ED2F23" w:rsidRPr="00D47256" w:rsidRDefault="00ED2F23" w:rsidP="00266F3D">
      <w:pPr>
        <w:pStyle w:val="BodyTextIndent"/>
        <w:ind w:left="0" w:firstLine="0"/>
        <w:rPr>
          <w:sz w:val="24"/>
          <w:szCs w:val="24"/>
        </w:rPr>
      </w:pPr>
    </w:p>
    <w:p w14:paraId="181A5CB5" w14:textId="78F2E094" w:rsidR="009139BE" w:rsidRPr="00D47256" w:rsidRDefault="009139BE" w:rsidP="009139BE">
      <w:pPr>
        <w:pStyle w:val="BodyTextIndent"/>
        <w:ind w:left="0" w:firstLine="0"/>
        <w:rPr>
          <w:color w:val="000000"/>
          <w:sz w:val="24"/>
          <w:szCs w:val="24"/>
        </w:rPr>
      </w:pPr>
      <w:r w:rsidRPr="00D47256">
        <w:rPr>
          <w:color w:val="000000"/>
          <w:sz w:val="24"/>
          <w:szCs w:val="24"/>
        </w:rPr>
        <w:t>W</w:t>
      </w:r>
      <w:r w:rsidR="00D60796">
        <w:rPr>
          <w:color w:val="000000"/>
          <w:sz w:val="24"/>
          <w:szCs w:val="24"/>
        </w:rPr>
        <w:t>e</w:t>
      </w:r>
      <w:r w:rsidRPr="00D47256">
        <w:rPr>
          <w:color w:val="000000"/>
          <w:sz w:val="24"/>
          <w:szCs w:val="24"/>
        </w:rPr>
        <w:t xml:space="preserve"> have also revised proposed §447.507(b)(2) by removing the reference to a quarterly basis. In accordance with §447.507(b)(1), the</w:t>
      </w:r>
      <w:r w:rsidRPr="00D47256">
        <w:rPr>
          <w:sz w:val="24"/>
          <w:szCs w:val="24"/>
        </w:rPr>
        <w:t xml:space="preserve"> drug</w:t>
      </w:r>
      <w:r w:rsidRPr="00D47256">
        <w:rPr>
          <w:color w:val="000000"/>
          <w:sz w:val="24"/>
          <w:szCs w:val="24"/>
        </w:rPr>
        <w:t xml:space="preserve"> manufacturer is required to determine whether the percentage of sales for the 5i drugs has met the threshold to be considered not generally dispensed through a retail community pharmacy on a monthly basis.</w:t>
      </w:r>
    </w:p>
    <w:p w14:paraId="02871675" w14:textId="77777777" w:rsidR="009139BE" w:rsidRPr="00D47256" w:rsidRDefault="009139BE" w:rsidP="00266F3D">
      <w:pPr>
        <w:pStyle w:val="BodyTextIndent"/>
        <w:ind w:left="0" w:firstLine="0"/>
        <w:rPr>
          <w:sz w:val="24"/>
          <w:szCs w:val="24"/>
        </w:rPr>
      </w:pPr>
    </w:p>
    <w:p w14:paraId="6DD53FAB" w14:textId="242A41BC" w:rsidR="00C77366" w:rsidRPr="00D47256" w:rsidRDefault="00D60796" w:rsidP="0036723E">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Pr>
          <w:szCs w:val="24"/>
        </w:rPr>
        <w:t>W</w:t>
      </w:r>
      <w:r w:rsidR="0091305C" w:rsidRPr="00D47256">
        <w:rPr>
          <w:szCs w:val="24"/>
        </w:rPr>
        <w:t xml:space="preserve">ith regard to </w:t>
      </w:r>
      <w:r w:rsidR="00C77366" w:rsidRPr="00D47256">
        <w:rPr>
          <w:szCs w:val="24"/>
        </w:rPr>
        <w:t xml:space="preserve">comments concerning </w:t>
      </w:r>
      <w:r w:rsidR="0091305C" w:rsidRPr="00D47256">
        <w:rPr>
          <w:szCs w:val="24"/>
        </w:rPr>
        <w:t>our proposed changes to §447.5</w:t>
      </w:r>
      <w:r w:rsidR="00266F3D" w:rsidRPr="00D47256">
        <w:rPr>
          <w:szCs w:val="24"/>
        </w:rPr>
        <w:t>10</w:t>
      </w:r>
      <w:r w:rsidR="0036723E" w:rsidRPr="00D47256">
        <w:rPr>
          <w:szCs w:val="24"/>
        </w:rPr>
        <w:t xml:space="preserve"> </w:t>
      </w:r>
      <w:r w:rsidR="0036723E" w:rsidRPr="00D47256">
        <w:rPr>
          <w:rFonts w:eastAsia="Calibri"/>
          <w:szCs w:val="24"/>
        </w:rPr>
        <w:t>we have revised our estimates pertaining to the implementation of the revised definitions of AMP and best price under the existing presumed inclusion approach. The revised estimate reflect</w:t>
      </w:r>
      <w:r w:rsidR="00C77366" w:rsidRPr="00D47256">
        <w:rPr>
          <w:rFonts w:eastAsia="Calibri"/>
          <w:szCs w:val="24"/>
        </w:rPr>
        <w:t>s</w:t>
      </w:r>
      <w:r w:rsidR="0036723E" w:rsidRPr="00D47256">
        <w:rPr>
          <w:rFonts w:eastAsia="Calibri"/>
          <w:szCs w:val="24"/>
        </w:rPr>
        <w:t xml:space="preserve"> that </w:t>
      </w:r>
      <w:r w:rsidR="0036723E" w:rsidRPr="00D47256">
        <w:rPr>
          <w:szCs w:val="24"/>
        </w:rPr>
        <w:t xml:space="preserve">reconfiguring the manufacturers’ pricing systems to implement the AMP and best price definitions will require 1,200 hours per drug manufacturer, for a one-time total of 732,000 hours with a one-time total cost of $67,175,884 for 610 participating drug manufacturers.  </w:t>
      </w:r>
    </w:p>
    <w:p w14:paraId="5DC21C47" w14:textId="77777777" w:rsidR="00C77366" w:rsidRPr="00D47256" w:rsidRDefault="00C77366" w:rsidP="0036723E">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14:paraId="0B8AFD27" w14:textId="1077DB2B" w:rsidR="003528B7" w:rsidRPr="006B37BC" w:rsidRDefault="00642DD8" w:rsidP="00642DD8">
      <w:pPr>
        <w:pStyle w:val="BodyTextIndent"/>
        <w:ind w:left="0" w:firstLine="0"/>
        <w:rPr>
          <w:sz w:val="24"/>
          <w:szCs w:val="24"/>
        </w:rPr>
      </w:pPr>
      <w:r w:rsidRPr="006B37BC">
        <w:rPr>
          <w:sz w:val="24"/>
          <w:szCs w:val="24"/>
        </w:rPr>
        <w:t>In addition to the one-time burden of reconfiguring pricing systems, based on comments received, we now estimate a one-time start-up cost to include the cost of training drug manufacturer staff on the new, reconfigured pricing systems.</w:t>
      </w:r>
    </w:p>
    <w:p w14:paraId="27C59A7E" w14:textId="7B677285" w:rsidR="003D450A" w:rsidRDefault="003D450A" w:rsidP="003D450A">
      <w:pPr>
        <w:pStyle w:val="BodyTextIndent"/>
        <w:ind w:left="0" w:firstLine="0"/>
        <w:rPr>
          <w:sz w:val="24"/>
          <w:szCs w:val="24"/>
        </w:rPr>
      </w:pPr>
    </w:p>
    <w:p w14:paraId="4BC5B96D" w14:textId="66A6AC2F" w:rsidR="003D450A" w:rsidRPr="006B37BC" w:rsidRDefault="003D450A" w:rsidP="00554566">
      <w:pPr>
        <w:rPr>
          <w:szCs w:val="24"/>
        </w:rPr>
      </w:pPr>
      <w:r>
        <w:t xml:space="preserve">With regard to the estimate we proposed for the calculation of the </w:t>
      </w:r>
      <w:r w:rsidRPr="009F621E">
        <w:t xml:space="preserve">alternative rebate for a line extension drug of a brand name </w:t>
      </w:r>
      <w:r>
        <w:t>that is</w:t>
      </w:r>
      <w:r w:rsidRPr="009F621E">
        <w:t xml:space="preserve"> an oral solid dosage form,</w:t>
      </w:r>
      <w:r w:rsidR="00485747">
        <w:t xml:space="preserve"> w</w:t>
      </w:r>
      <w:r w:rsidRPr="00CA1D3C">
        <w:rPr>
          <w:szCs w:val="24"/>
        </w:rPr>
        <w:t xml:space="preserve">e </w:t>
      </w:r>
      <w:r w:rsidR="00485747">
        <w:rPr>
          <w:szCs w:val="24"/>
        </w:rPr>
        <w:t>have revised our initial estimate from the NPRM to reflect not only the quarterly calculation and reporting requirements but the time burden required for the drug manufacturer to</w:t>
      </w:r>
      <w:r w:rsidR="00485747" w:rsidRPr="009F621E">
        <w:t xml:space="preserve"> identify the line extension drug and the initial brand name listed drug that has the highest additional rebate </w:t>
      </w:r>
      <w:r w:rsidR="00485747">
        <w:t xml:space="preserve">ratio </w:t>
      </w:r>
      <w:r w:rsidR="00485747" w:rsidRPr="009F621E">
        <w:t xml:space="preserve">(calculated as a percentage of AMP) for any strength of the initial brand name listed drug. </w:t>
      </w:r>
      <w:r w:rsidR="00485747">
        <w:t xml:space="preserve"> </w:t>
      </w:r>
      <w:r w:rsidRPr="00CA1D3C">
        <w:rPr>
          <w:szCs w:val="24"/>
        </w:rPr>
        <w:t xml:space="preserve">The one-time burden associated with the reporting of the Line Extension Drug Indicator is estimated to be 15,860 hours with a </w:t>
      </w:r>
      <w:r w:rsidR="00485747">
        <w:rPr>
          <w:szCs w:val="24"/>
        </w:rPr>
        <w:t xml:space="preserve">one-time total </w:t>
      </w:r>
      <w:r w:rsidRPr="00CA1D3C">
        <w:rPr>
          <w:szCs w:val="24"/>
        </w:rPr>
        <w:t>cost of $1,407,550.60</w:t>
      </w:r>
      <w:r w:rsidR="00485747">
        <w:rPr>
          <w:szCs w:val="24"/>
        </w:rPr>
        <w:t xml:space="preserve"> for 610 participating drug manufacturers</w:t>
      </w:r>
      <w:r w:rsidRPr="00CA1D3C">
        <w:rPr>
          <w:szCs w:val="24"/>
        </w:rPr>
        <w:t xml:space="preserve">.  </w:t>
      </w:r>
      <w:r>
        <w:t xml:space="preserve">In addition, for the drugs that have been determined to be a line extension product, </w:t>
      </w:r>
      <w:r w:rsidRPr="009F621E">
        <w:rPr>
          <w:rFonts w:eastAsia="Calibri"/>
        </w:rPr>
        <w:t xml:space="preserve"> </w:t>
      </w:r>
      <w:r w:rsidR="00485747">
        <w:rPr>
          <w:rFonts w:eastAsia="Calibri"/>
        </w:rPr>
        <w:t>we</w:t>
      </w:r>
      <w:r w:rsidRPr="007055E7">
        <w:rPr>
          <w:rFonts w:eastAsia="Calibri"/>
        </w:rPr>
        <w:t xml:space="preserve"> estimate </w:t>
      </w:r>
      <w:r w:rsidR="00485747">
        <w:rPr>
          <w:rFonts w:eastAsia="Calibri"/>
        </w:rPr>
        <w:t>t</w:t>
      </w:r>
      <w:r w:rsidRPr="007055E7">
        <w:rPr>
          <w:rFonts w:eastAsia="Calibri"/>
        </w:rPr>
        <w:t>he annual burden to be 48,800 hours with a cost of $</w:t>
      </w:r>
      <w:r>
        <w:rPr>
          <w:rFonts w:eastAsia="Calibri"/>
        </w:rPr>
        <w:t>4,675,528</w:t>
      </w:r>
      <w:r w:rsidR="00485747">
        <w:rPr>
          <w:rFonts w:eastAsia="Calibri"/>
        </w:rPr>
        <w:t xml:space="preserve"> for the 610 participating drug manufacturers</w:t>
      </w:r>
      <w:r w:rsidRPr="007055E7">
        <w:rPr>
          <w:rFonts w:eastAsia="Calibri"/>
        </w:rPr>
        <w:t xml:space="preserve">.  </w:t>
      </w:r>
    </w:p>
    <w:p w14:paraId="75E5DD42" w14:textId="77777777" w:rsidR="00ED2F23" w:rsidRPr="00D47256" w:rsidRDefault="00ED2F23" w:rsidP="006676E1">
      <w:pPr>
        <w:tabs>
          <w:tab w:val="left" w:pos="810"/>
        </w:tabs>
        <w:rPr>
          <w:szCs w:val="24"/>
        </w:rPr>
      </w:pPr>
    </w:p>
    <w:p w14:paraId="45A75D46" w14:textId="6BEA34C9" w:rsidR="005913E1" w:rsidRPr="00D47256" w:rsidRDefault="005913E1" w:rsidP="004E45E2">
      <w:pPr>
        <w:tabs>
          <w:tab w:val="left" w:pos="810"/>
        </w:tabs>
        <w:rPr>
          <w:szCs w:val="24"/>
        </w:rPr>
      </w:pPr>
      <w:r w:rsidRPr="00D47256">
        <w:rPr>
          <w:szCs w:val="24"/>
        </w:rPr>
        <w:t>9.</w:t>
      </w:r>
      <w:r w:rsidRPr="00D47256">
        <w:rPr>
          <w:szCs w:val="24"/>
        </w:rPr>
        <w:tab/>
      </w:r>
      <w:r w:rsidRPr="00D47256">
        <w:rPr>
          <w:szCs w:val="24"/>
          <w:u w:val="single"/>
        </w:rPr>
        <w:t>Payments or Gifts</w:t>
      </w:r>
    </w:p>
    <w:p w14:paraId="45A75D47"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48" w14:textId="37EC8A22" w:rsidR="005913E1" w:rsidRPr="00D47256" w:rsidRDefault="005913E1" w:rsidP="004E45E2">
      <w:pPr>
        <w:tabs>
          <w:tab w:val="left" w:pos="1440"/>
        </w:tabs>
        <w:rPr>
          <w:szCs w:val="24"/>
        </w:rPr>
      </w:pPr>
      <w:r w:rsidRPr="00D47256">
        <w:rPr>
          <w:szCs w:val="24"/>
        </w:rPr>
        <w:t>There is no provision for any payment or gift to respondents associated with this reporting requirement.</w:t>
      </w:r>
    </w:p>
    <w:p w14:paraId="45A75D49"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4A" w14:textId="4E8F7C65" w:rsidR="005913E1" w:rsidRPr="00D47256" w:rsidRDefault="005913E1" w:rsidP="004E45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10.</w:t>
      </w:r>
      <w:r w:rsidRPr="00D47256">
        <w:rPr>
          <w:szCs w:val="24"/>
        </w:rPr>
        <w:tab/>
      </w:r>
      <w:r w:rsidRPr="00D47256">
        <w:rPr>
          <w:szCs w:val="24"/>
          <w:u w:val="single"/>
        </w:rPr>
        <w:t>Confidentiality</w:t>
      </w:r>
    </w:p>
    <w:p w14:paraId="45A75D4B"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4C" w14:textId="71A41830" w:rsidR="005913E1" w:rsidRPr="00D47256" w:rsidRDefault="005913E1" w:rsidP="004E45E2">
      <w:pPr>
        <w:tabs>
          <w:tab w:val="left" w:pos="1440"/>
        </w:tabs>
        <w:rPr>
          <w:szCs w:val="24"/>
        </w:rPr>
      </w:pPr>
      <w:r w:rsidRPr="00D47256">
        <w:rPr>
          <w:szCs w:val="24"/>
        </w:rPr>
        <w:t>Confidentiality has been assured in accordance with section 1927(b)(3)(D) of the Act.</w:t>
      </w:r>
    </w:p>
    <w:p w14:paraId="45A75D4D" w14:textId="77777777" w:rsidR="005913E1" w:rsidRPr="00D47256" w:rsidRDefault="005913E1" w:rsidP="004E45E2">
      <w:pPr>
        <w:tabs>
          <w:tab w:val="left" w:pos="1440"/>
        </w:tabs>
        <w:rPr>
          <w:szCs w:val="24"/>
        </w:rPr>
      </w:pPr>
    </w:p>
    <w:p w14:paraId="45A75D4E" w14:textId="3F40E00D" w:rsidR="005913E1" w:rsidRPr="00D47256" w:rsidRDefault="005913E1" w:rsidP="004E45E2">
      <w:pPr>
        <w:tabs>
          <w:tab w:val="left" w:pos="810"/>
        </w:tabs>
        <w:rPr>
          <w:szCs w:val="24"/>
        </w:rPr>
      </w:pPr>
      <w:r w:rsidRPr="00D47256">
        <w:rPr>
          <w:szCs w:val="24"/>
        </w:rPr>
        <w:t>11.</w:t>
      </w:r>
      <w:r w:rsidRPr="00D47256">
        <w:rPr>
          <w:szCs w:val="24"/>
        </w:rPr>
        <w:tab/>
      </w:r>
      <w:r w:rsidRPr="00D47256">
        <w:rPr>
          <w:szCs w:val="24"/>
          <w:u w:val="single"/>
        </w:rPr>
        <w:t>Sensitive Questions</w:t>
      </w:r>
    </w:p>
    <w:p w14:paraId="45A75D4F"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50" w14:textId="36E01AE1" w:rsidR="005913E1" w:rsidRPr="00D47256" w:rsidRDefault="005913E1" w:rsidP="004E45E2">
      <w:pPr>
        <w:pStyle w:val="BodyTextIndent"/>
        <w:ind w:left="0" w:firstLine="0"/>
        <w:rPr>
          <w:sz w:val="24"/>
          <w:szCs w:val="24"/>
        </w:rPr>
      </w:pPr>
      <w:r w:rsidRPr="00D47256">
        <w:rPr>
          <w:sz w:val="24"/>
          <w:szCs w:val="24"/>
        </w:rPr>
        <w:t>There are no questions of a sensitive nature.</w:t>
      </w:r>
    </w:p>
    <w:p w14:paraId="45A75D51" w14:textId="77777777" w:rsidR="005913E1" w:rsidRPr="00D47256" w:rsidRDefault="005913E1" w:rsidP="004E45E2">
      <w:pPr>
        <w:pStyle w:val="BodyTextIndent"/>
        <w:ind w:left="0" w:firstLine="0"/>
        <w:rPr>
          <w:sz w:val="24"/>
          <w:szCs w:val="24"/>
        </w:rPr>
      </w:pPr>
    </w:p>
    <w:p w14:paraId="45A75D52" w14:textId="4E740081" w:rsidR="005913E1" w:rsidRPr="00D47256" w:rsidRDefault="005913E1" w:rsidP="004E45E2">
      <w:pPr>
        <w:tabs>
          <w:tab w:val="left" w:pos="810"/>
        </w:tabs>
        <w:rPr>
          <w:szCs w:val="24"/>
        </w:rPr>
      </w:pPr>
      <w:r w:rsidRPr="00D47256">
        <w:rPr>
          <w:szCs w:val="24"/>
        </w:rPr>
        <w:t>12.</w:t>
      </w:r>
      <w:r w:rsidRPr="00D47256">
        <w:rPr>
          <w:szCs w:val="24"/>
        </w:rPr>
        <w:tab/>
      </w:r>
      <w:r w:rsidRPr="00D47256">
        <w:rPr>
          <w:szCs w:val="24"/>
          <w:u w:val="single"/>
        </w:rPr>
        <w:t>Estimate of Burden and Costs to Respondents</w:t>
      </w:r>
    </w:p>
    <w:p w14:paraId="45A75D53"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54" w14:textId="7BB4AA8E" w:rsidR="005913E1" w:rsidRDefault="005913E1" w:rsidP="004E45E2">
      <w:pPr>
        <w:tabs>
          <w:tab w:val="left" w:pos="1440"/>
        </w:tabs>
        <w:rPr>
          <w:szCs w:val="24"/>
        </w:rPr>
      </w:pPr>
      <w:r w:rsidRPr="00D47256">
        <w:rPr>
          <w:szCs w:val="24"/>
        </w:rPr>
        <w:t xml:space="preserve">The burden associated with </w:t>
      </w:r>
      <w:r w:rsidR="00AB2DEB" w:rsidRPr="00D47256">
        <w:rPr>
          <w:szCs w:val="24"/>
        </w:rPr>
        <w:t>our CMS-</w:t>
      </w:r>
      <w:r w:rsidR="002D312C" w:rsidRPr="00D47256">
        <w:rPr>
          <w:szCs w:val="24"/>
        </w:rPr>
        <w:t>367(a-d) forms reflects the time used and cost incurred by labelers (respondents) when gathering and reporting Medicaid drug product and price information on a monthly and quarterly basis.</w:t>
      </w:r>
    </w:p>
    <w:p w14:paraId="536C5ED6" w14:textId="77777777" w:rsidR="0029281C" w:rsidRPr="00D47256" w:rsidRDefault="0029281C" w:rsidP="004E45E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0D7A6E3" w14:textId="77777777" w:rsidR="00FC18EA" w:rsidRPr="00D47256" w:rsidRDefault="00FC18EA" w:rsidP="00FC18EA">
      <w:pPr>
        <w:tabs>
          <w:tab w:val="left" w:pos="720"/>
        </w:tabs>
        <w:rPr>
          <w:szCs w:val="24"/>
        </w:rPr>
      </w:pPr>
      <w:r w:rsidRPr="0029281C">
        <w:rPr>
          <w:szCs w:val="24"/>
        </w:rPr>
        <w:t>To reduce the number of pages necessary for data submittal, CMS does not display the disclosure statement on the form itself.  Instructions to the labelers (attached) contain the required disclosure statement under its own heading.</w:t>
      </w:r>
    </w:p>
    <w:p w14:paraId="45A75D60" w14:textId="77777777" w:rsidR="00372736" w:rsidRPr="00D47256" w:rsidRDefault="00372736" w:rsidP="004E45E2">
      <w:pPr>
        <w:tabs>
          <w:tab w:val="left" w:pos="1440"/>
        </w:tabs>
        <w:rPr>
          <w:szCs w:val="24"/>
        </w:rPr>
      </w:pPr>
    </w:p>
    <w:p w14:paraId="45A75DB1" w14:textId="5D00152D" w:rsidR="00372736" w:rsidRPr="00D47256" w:rsidRDefault="006B77BC" w:rsidP="0066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 xml:space="preserve">The following provides a breakdown of the burden associated with </w:t>
      </w:r>
      <w:r w:rsidR="007F6F13" w:rsidRPr="00D47256">
        <w:rPr>
          <w:szCs w:val="24"/>
        </w:rPr>
        <w:t>this collection</w:t>
      </w:r>
      <w:r w:rsidR="00AB2DEB" w:rsidRPr="00D47256">
        <w:rPr>
          <w:szCs w:val="24"/>
        </w:rPr>
        <w:t>.</w:t>
      </w:r>
    </w:p>
    <w:p w14:paraId="45A75DB2" w14:textId="77777777" w:rsidR="006B77BC" w:rsidRPr="00D47256" w:rsidRDefault="006B77BC" w:rsidP="00E96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7ED0879" w14:textId="0FF35A6F" w:rsidR="00E962DB" w:rsidRPr="00D47256" w:rsidRDefault="00E962DB" w:rsidP="00E962DB">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b/>
          <w:szCs w:val="24"/>
          <w:u w:val="single"/>
        </w:rPr>
      </w:pPr>
      <w:r w:rsidRPr="00D47256">
        <w:rPr>
          <w:szCs w:val="24"/>
          <w:u w:val="single"/>
        </w:rPr>
        <w:t>Wage Estimates</w:t>
      </w:r>
    </w:p>
    <w:p w14:paraId="56993088" w14:textId="77777777" w:rsidR="00E962DB" w:rsidRPr="00D47256" w:rsidRDefault="00E962DB" w:rsidP="00E962DB">
      <w:pPr>
        <w:ind w:firstLine="720"/>
        <w:rPr>
          <w:szCs w:val="24"/>
        </w:rPr>
      </w:pPr>
    </w:p>
    <w:p w14:paraId="7B6AC260" w14:textId="77777777" w:rsidR="00E962DB" w:rsidRDefault="00E962DB" w:rsidP="00E962DB">
      <w:pPr>
        <w:rPr>
          <w:szCs w:val="24"/>
        </w:rPr>
      </w:pPr>
      <w:r w:rsidRPr="00D47256">
        <w:rPr>
          <w:szCs w:val="24"/>
        </w:rPr>
        <w:t>To derive average costs, we used data from the U.S. Bureau of Labor Statistics’ May 2014 National Occupational Employment and Wage Estimates for all salary estimates (</w:t>
      </w:r>
      <w:hyperlink r:id="rId12" w:history="1">
        <w:r w:rsidRPr="00D47256">
          <w:rPr>
            <w:color w:val="0000FF"/>
            <w:szCs w:val="24"/>
            <w:u w:val="single"/>
          </w:rPr>
          <w:t>http://www.bls.gov/oes/current/oes_nat.htm</w:t>
        </w:r>
      </w:hyperlink>
      <w:r w:rsidRPr="00D47256">
        <w:rPr>
          <w:szCs w:val="24"/>
        </w:rPr>
        <w:t>).  In this regard, Table 1 presents the mean hourly wage, the cost of fringe benefits (calculated at 100 percent of salary), and the adjusted hourly wage.</w:t>
      </w:r>
    </w:p>
    <w:p w14:paraId="7A0C2151" w14:textId="77777777" w:rsidR="00D47256" w:rsidRPr="00D47256" w:rsidRDefault="00D47256" w:rsidP="00E962DB">
      <w:pPr>
        <w:rPr>
          <w:szCs w:val="24"/>
        </w:rPr>
      </w:pPr>
    </w:p>
    <w:p w14:paraId="49AFD476" w14:textId="0AF8C43A" w:rsidR="00E962DB" w:rsidRPr="00D47256" w:rsidRDefault="00E962DB" w:rsidP="00E962DB">
      <w:pPr>
        <w:ind w:firstLine="720"/>
        <w:jc w:val="center"/>
        <w:rPr>
          <w:b/>
          <w:szCs w:val="24"/>
        </w:rPr>
      </w:pPr>
      <w:r w:rsidRPr="00D47256">
        <w:rPr>
          <w:b/>
          <w:szCs w:val="24"/>
        </w:rPr>
        <w:t>Hourly 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809"/>
        <w:gridCol w:w="1733"/>
        <w:gridCol w:w="1738"/>
        <w:gridCol w:w="1767"/>
      </w:tblGrid>
      <w:tr w:rsidR="00E962DB" w:rsidRPr="00D47256" w14:paraId="494A2DD7" w14:textId="77777777" w:rsidTr="00091C50">
        <w:trPr>
          <w:jc w:val="center"/>
        </w:trPr>
        <w:tc>
          <w:tcPr>
            <w:tcW w:w="2601" w:type="dxa"/>
            <w:shd w:val="clear" w:color="auto" w:fill="auto"/>
            <w:vAlign w:val="center"/>
          </w:tcPr>
          <w:p w14:paraId="797688CF" w14:textId="77777777" w:rsidR="00E962DB" w:rsidRPr="00D47256" w:rsidRDefault="00E962DB" w:rsidP="00091C50">
            <w:pPr>
              <w:jc w:val="center"/>
              <w:rPr>
                <w:b/>
                <w:sz w:val="20"/>
              </w:rPr>
            </w:pPr>
            <w:r w:rsidRPr="00D47256">
              <w:rPr>
                <w:b/>
                <w:sz w:val="20"/>
              </w:rPr>
              <w:t>Occupation Title</w:t>
            </w:r>
          </w:p>
        </w:tc>
        <w:tc>
          <w:tcPr>
            <w:tcW w:w="1809" w:type="dxa"/>
            <w:shd w:val="clear" w:color="auto" w:fill="auto"/>
            <w:vAlign w:val="center"/>
          </w:tcPr>
          <w:p w14:paraId="536B5426" w14:textId="77777777" w:rsidR="00E962DB" w:rsidRPr="00D47256" w:rsidRDefault="00E962DB" w:rsidP="00091C50">
            <w:pPr>
              <w:jc w:val="center"/>
              <w:rPr>
                <w:b/>
                <w:sz w:val="20"/>
              </w:rPr>
            </w:pPr>
            <w:r w:rsidRPr="00D47256">
              <w:rPr>
                <w:b/>
                <w:sz w:val="20"/>
              </w:rPr>
              <w:t>Occupation Code</w:t>
            </w:r>
          </w:p>
        </w:tc>
        <w:tc>
          <w:tcPr>
            <w:tcW w:w="1733" w:type="dxa"/>
            <w:shd w:val="clear" w:color="auto" w:fill="auto"/>
            <w:vAlign w:val="center"/>
          </w:tcPr>
          <w:p w14:paraId="578825D2" w14:textId="77777777" w:rsidR="00E962DB" w:rsidRPr="00D47256" w:rsidRDefault="00E962DB" w:rsidP="00091C50">
            <w:pPr>
              <w:jc w:val="center"/>
              <w:rPr>
                <w:b/>
                <w:sz w:val="20"/>
              </w:rPr>
            </w:pPr>
            <w:r w:rsidRPr="00D47256">
              <w:rPr>
                <w:b/>
                <w:sz w:val="20"/>
              </w:rPr>
              <w:t>Mean Hourly Wage ($/hr)</w:t>
            </w:r>
          </w:p>
        </w:tc>
        <w:tc>
          <w:tcPr>
            <w:tcW w:w="1738" w:type="dxa"/>
            <w:shd w:val="clear" w:color="auto" w:fill="auto"/>
            <w:vAlign w:val="center"/>
          </w:tcPr>
          <w:p w14:paraId="1D1FD856" w14:textId="77777777" w:rsidR="00E962DB" w:rsidRPr="00D47256" w:rsidRDefault="00E962DB" w:rsidP="00091C50">
            <w:pPr>
              <w:jc w:val="center"/>
              <w:rPr>
                <w:b/>
                <w:sz w:val="20"/>
              </w:rPr>
            </w:pPr>
            <w:r w:rsidRPr="00D47256">
              <w:rPr>
                <w:b/>
                <w:sz w:val="20"/>
              </w:rPr>
              <w:t>Fringe Benefit ($/hr)</w:t>
            </w:r>
          </w:p>
        </w:tc>
        <w:tc>
          <w:tcPr>
            <w:tcW w:w="1767" w:type="dxa"/>
            <w:shd w:val="clear" w:color="auto" w:fill="auto"/>
            <w:vAlign w:val="center"/>
          </w:tcPr>
          <w:p w14:paraId="69BB160F" w14:textId="77777777" w:rsidR="00E962DB" w:rsidRPr="00D47256" w:rsidRDefault="00E962DB" w:rsidP="00091C50">
            <w:pPr>
              <w:jc w:val="center"/>
              <w:rPr>
                <w:b/>
                <w:sz w:val="20"/>
              </w:rPr>
            </w:pPr>
            <w:r w:rsidRPr="00D47256">
              <w:rPr>
                <w:b/>
                <w:sz w:val="20"/>
              </w:rPr>
              <w:t>Adjusted Hourly Wage ($/hr)</w:t>
            </w:r>
          </w:p>
        </w:tc>
      </w:tr>
      <w:tr w:rsidR="00E962DB" w:rsidRPr="00D47256" w14:paraId="3AF21534" w14:textId="77777777" w:rsidTr="00091C50">
        <w:trPr>
          <w:jc w:val="center"/>
        </w:trPr>
        <w:tc>
          <w:tcPr>
            <w:tcW w:w="2601" w:type="dxa"/>
            <w:shd w:val="clear" w:color="auto" w:fill="auto"/>
            <w:vAlign w:val="center"/>
          </w:tcPr>
          <w:p w14:paraId="7AA23E54" w14:textId="77777777" w:rsidR="00E962DB" w:rsidRPr="00D47256" w:rsidRDefault="00E962DB" w:rsidP="00091C50">
            <w:pPr>
              <w:jc w:val="center"/>
              <w:rPr>
                <w:sz w:val="20"/>
              </w:rPr>
            </w:pPr>
            <w:r w:rsidRPr="00D47256">
              <w:rPr>
                <w:sz w:val="20"/>
              </w:rPr>
              <w:t>Computer System Analysts</w:t>
            </w:r>
          </w:p>
        </w:tc>
        <w:tc>
          <w:tcPr>
            <w:tcW w:w="1809" w:type="dxa"/>
            <w:shd w:val="clear" w:color="auto" w:fill="auto"/>
            <w:vAlign w:val="center"/>
          </w:tcPr>
          <w:p w14:paraId="3D3E0B1C" w14:textId="77777777" w:rsidR="00E962DB" w:rsidRPr="00D47256" w:rsidRDefault="00E962DB" w:rsidP="00091C50">
            <w:pPr>
              <w:jc w:val="center"/>
              <w:rPr>
                <w:sz w:val="20"/>
              </w:rPr>
            </w:pPr>
            <w:r w:rsidRPr="00D47256">
              <w:rPr>
                <w:sz w:val="20"/>
              </w:rPr>
              <w:t>15-1121</w:t>
            </w:r>
          </w:p>
        </w:tc>
        <w:tc>
          <w:tcPr>
            <w:tcW w:w="1733" w:type="dxa"/>
            <w:shd w:val="clear" w:color="auto" w:fill="auto"/>
            <w:vAlign w:val="center"/>
          </w:tcPr>
          <w:p w14:paraId="103D0EE9" w14:textId="77777777" w:rsidR="00E962DB" w:rsidRPr="00D47256" w:rsidRDefault="00E962DB" w:rsidP="00091C50">
            <w:pPr>
              <w:jc w:val="center"/>
              <w:rPr>
                <w:sz w:val="20"/>
              </w:rPr>
            </w:pPr>
            <w:r w:rsidRPr="00D47256">
              <w:rPr>
                <w:sz w:val="20"/>
              </w:rPr>
              <w:t>41.98</w:t>
            </w:r>
          </w:p>
        </w:tc>
        <w:tc>
          <w:tcPr>
            <w:tcW w:w="1738" w:type="dxa"/>
            <w:shd w:val="clear" w:color="auto" w:fill="auto"/>
            <w:vAlign w:val="center"/>
          </w:tcPr>
          <w:p w14:paraId="1171BD0A" w14:textId="77777777" w:rsidR="00E962DB" w:rsidRPr="00D47256" w:rsidRDefault="00E962DB" w:rsidP="00091C50">
            <w:pPr>
              <w:jc w:val="center"/>
              <w:rPr>
                <w:sz w:val="20"/>
              </w:rPr>
            </w:pPr>
            <w:r w:rsidRPr="00D47256">
              <w:rPr>
                <w:sz w:val="20"/>
              </w:rPr>
              <w:t>41.98</w:t>
            </w:r>
          </w:p>
        </w:tc>
        <w:tc>
          <w:tcPr>
            <w:tcW w:w="1767" w:type="dxa"/>
            <w:shd w:val="clear" w:color="auto" w:fill="auto"/>
            <w:vAlign w:val="center"/>
          </w:tcPr>
          <w:p w14:paraId="536DEB8B" w14:textId="77777777" w:rsidR="00E962DB" w:rsidRPr="00D47256" w:rsidRDefault="00E962DB" w:rsidP="00091C50">
            <w:pPr>
              <w:jc w:val="center"/>
              <w:rPr>
                <w:sz w:val="20"/>
              </w:rPr>
            </w:pPr>
            <w:r w:rsidRPr="00D47256">
              <w:rPr>
                <w:sz w:val="20"/>
              </w:rPr>
              <w:t>83.96</w:t>
            </w:r>
          </w:p>
        </w:tc>
      </w:tr>
      <w:tr w:rsidR="00E962DB" w:rsidRPr="00D47256" w14:paraId="101B6603" w14:textId="77777777" w:rsidTr="00091C50">
        <w:trPr>
          <w:jc w:val="center"/>
        </w:trPr>
        <w:tc>
          <w:tcPr>
            <w:tcW w:w="2601" w:type="dxa"/>
            <w:shd w:val="clear" w:color="auto" w:fill="auto"/>
            <w:vAlign w:val="center"/>
          </w:tcPr>
          <w:p w14:paraId="74244055" w14:textId="77777777" w:rsidR="00E962DB" w:rsidRPr="00D47256" w:rsidRDefault="00E962DB" w:rsidP="00091C50">
            <w:pPr>
              <w:jc w:val="center"/>
              <w:rPr>
                <w:sz w:val="20"/>
              </w:rPr>
            </w:pPr>
            <w:r w:rsidRPr="00D47256">
              <w:rPr>
                <w:sz w:val="20"/>
              </w:rPr>
              <w:t>General &amp; Operations Managers</w:t>
            </w:r>
          </w:p>
        </w:tc>
        <w:tc>
          <w:tcPr>
            <w:tcW w:w="1809" w:type="dxa"/>
            <w:shd w:val="clear" w:color="auto" w:fill="auto"/>
            <w:vAlign w:val="center"/>
          </w:tcPr>
          <w:p w14:paraId="2DC4F1EB" w14:textId="77777777" w:rsidR="00E962DB" w:rsidRPr="00D47256" w:rsidRDefault="00E962DB" w:rsidP="00091C50">
            <w:pPr>
              <w:jc w:val="center"/>
              <w:rPr>
                <w:sz w:val="20"/>
              </w:rPr>
            </w:pPr>
            <w:r w:rsidRPr="00D47256">
              <w:rPr>
                <w:sz w:val="20"/>
              </w:rPr>
              <w:t>11-1021</w:t>
            </w:r>
          </w:p>
        </w:tc>
        <w:tc>
          <w:tcPr>
            <w:tcW w:w="1733" w:type="dxa"/>
            <w:shd w:val="clear" w:color="auto" w:fill="auto"/>
            <w:vAlign w:val="center"/>
          </w:tcPr>
          <w:p w14:paraId="778193B8" w14:textId="77777777" w:rsidR="00E962DB" w:rsidRPr="00D47256" w:rsidRDefault="00E962DB" w:rsidP="00091C50">
            <w:pPr>
              <w:jc w:val="center"/>
              <w:rPr>
                <w:sz w:val="20"/>
              </w:rPr>
            </w:pPr>
            <w:r w:rsidRPr="00D47256">
              <w:rPr>
                <w:sz w:val="20"/>
              </w:rPr>
              <w:t>56.35</w:t>
            </w:r>
          </w:p>
        </w:tc>
        <w:tc>
          <w:tcPr>
            <w:tcW w:w="1738" w:type="dxa"/>
            <w:shd w:val="clear" w:color="auto" w:fill="auto"/>
            <w:vAlign w:val="center"/>
          </w:tcPr>
          <w:p w14:paraId="410CE165" w14:textId="77777777" w:rsidR="00E962DB" w:rsidRPr="00D47256" w:rsidRDefault="00E962DB" w:rsidP="00091C50">
            <w:pPr>
              <w:jc w:val="center"/>
              <w:rPr>
                <w:sz w:val="20"/>
              </w:rPr>
            </w:pPr>
            <w:r w:rsidRPr="00D47256">
              <w:rPr>
                <w:sz w:val="20"/>
              </w:rPr>
              <w:t>56.35</w:t>
            </w:r>
          </w:p>
        </w:tc>
        <w:tc>
          <w:tcPr>
            <w:tcW w:w="1767" w:type="dxa"/>
            <w:shd w:val="clear" w:color="auto" w:fill="auto"/>
            <w:vAlign w:val="center"/>
          </w:tcPr>
          <w:p w14:paraId="262FBABB" w14:textId="77777777" w:rsidR="00E962DB" w:rsidRPr="00D47256" w:rsidRDefault="00E962DB" w:rsidP="00091C50">
            <w:pPr>
              <w:jc w:val="center"/>
              <w:rPr>
                <w:sz w:val="20"/>
              </w:rPr>
            </w:pPr>
            <w:r w:rsidRPr="00D47256">
              <w:rPr>
                <w:sz w:val="20"/>
              </w:rPr>
              <w:t>112.70</w:t>
            </w:r>
          </w:p>
        </w:tc>
      </w:tr>
      <w:tr w:rsidR="00E962DB" w:rsidRPr="00D47256" w14:paraId="73162C67" w14:textId="77777777" w:rsidTr="00091C50">
        <w:trPr>
          <w:jc w:val="center"/>
        </w:trPr>
        <w:tc>
          <w:tcPr>
            <w:tcW w:w="2601" w:type="dxa"/>
            <w:shd w:val="clear" w:color="auto" w:fill="auto"/>
            <w:vAlign w:val="center"/>
          </w:tcPr>
          <w:p w14:paraId="06253EE9" w14:textId="77777777" w:rsidR="00E962DB" w:rsidRPr="00D47256" w:rsidRDefault="00E962DB" w:rsidP="00091C50">
            <w:pPr>
              <w:jc w:val="center"/>
              <w:rPr>
                <w:sz w:val="20"/>
              </w:rPr>
            </w:pPr>
            <w:r w:rsidRPr="00D47256">
              <w:rPr>
                <w:sz w:val="20"/>
              </w:rPr>
              <w:t>Lawyers</w:t>
            </w:r>
          </w:p>
        </w:tc>
        <w:tc>
          <w:tcPr>
            <w:tcW w:w="1809" w:type="dxa"/>
            <w:shd w:val="clear" w:color="auto" w:fill="auto"/>
            <w:vAlign w:val="center"/>
          </w:tcPr>
          <w:p w14:paraId="5DEB1E80" w14:textId="77777777" w:rsidR="00E962DB" w:rsidRPr="00D47256" w:rsidRDefault="00E962DB" w:rsidP="00091C50">
            <w:pPr>
              <w:jc w:val="center"/>
              <w:rPr>
                <w:sz w:val="20"/>
              </w:rPr>
            </w:pPr>
            <w:r w:rsidRPr="00D47256">
              <w:rPr>
                <w:sz w:val="20"/>
              </w:rPr>
              <w:t>23-1011</w:t>
            </w:r>
          </w:p>
        </w:tc>
        <w:tc>
          <w:tcPr>
            <w:tcW w:w="1733" w:type="dxa"/>
            <w:shd w:val="clear" w:color="auto" w:fill="auto"/>
            <w:vAlign w:val="center"/>
          </w:tcPr>
          <w:p w14:paraId="1FFDF4A3" w14:textId="77777777" w:rsidR="00E962DB" w:rsidRPr="00D47256" w:rsidRDefault="00E962DB" w:rsidP="00091C50">
            <w:pPr>
              <w:jc w:val="center"/>
              <w:rPr>
                <w:sz w:val="20"/>
              </w:rPr>
            </w:pPr>
            <w:r w:rsidRPr="00D47256">
              <w:rPr>
                <w:sz w:val="20"/>
              </w:rPr>
              <w:t>64.17</w:t>
            </w:r>
          </w:p>
        </w:tc>
        <w:tc>
          <w:tcPr>
            <w:tcW w:w="1738" w:type="dxa"/>
            <w:shd w:val="clear" w:color="auto" w:fill="auto"/>
            <w:vAlign w:val="center"/>
          </w:tcPr>
          <w:p w14:paraId="6C9EC669" w14:textId="77777777" w:rsidR="00E962DB" w:rsidRPr="00D47256" w:rsidRDefault="00E962DB" w:rsidP="00091C50">
            <w:pPr>
              <w:jc w:val="center"/>
              <w:rPr>
                <w:sz w:val="20"/>
              </w:rPr>
            </w:pPr>
            <w:r w:rsidRPr="00D47256">
              <w:rPr>
                <w:sz w:val="20"/>
              </w:rPr>
              <w:t>64.17</w:t>
            </w:r>
          </w:p>
        </w:tc>
        <w:tc>
          <w:tcPr>
            <w:tcW w:w="1767" w:type="dxa"/>
            <w:shd w:val="clear" w:color="auto" w:fill="auto"/>
            <w:vAlign w:val="center"/>
          </w:tcPr>
          <w:p w14:paraId="222EA900" w14:textId="77777777" w:rsidR="00E962DB" w:rsidRPr="00D47256" w:rsidRDefault="00E962DB" w:rsidP="00091C50">
            <w:pPr>
              <w:jc w:val="center"/>
              <w:rPr>
                <w:sz w:val="20"/>
              </w:rPr>
            </w:pPr>
            <w:r w:rsidRPr="00D47256">
              <w:rPr>
                <w:sz w:val="20"/>
              </w:rPr>
              <w:t>128.34</w:t>
            </w:r>
          </w:p>
        </w:tc>
      </w:tr>
      <w:tr w:rsidR="00E962DB" w:rsidRPr="00D47256" w14:paraId="2FD0353F" w14:textId="77777777" w:rsidTr="00091C50">
        <w:trPr>
          <w:jc w:val="center"/>
        </w:trPr>
        <w:tc>
          <w:tcPr>
            <w:tcW w:w="2601" w:type="dxa"/>
            <w:shd w:val="clear" w:color="auto" w:fill="auto"/>
            <w:vAlign w:val="center"/>
          </w:tcPr>
          <w:p w14:paraId="34B26F98" w14:textId="77777777" w:rsidR="00E962DB" w:rsidRPr="00D47256" w:rsidRDefault="00E962DB" w:rsidP="00091C50">
            <w:pPr>
              <w:jc w:val="center"/>
              <w:rPr>
                <w:sz w:val="20"/>
              </w:rPr>
            </w:pPr>
            <w:r w:rsidRPr="00D47256">
              <w:rPr>
                <w:sz w:val="20"/>
              </w:rPr>
              <w:t>Operations Research Analysts</w:t>
            </w:r>
          </w:p>
        </w:tc>
        <w:tc>
          <w:tcPr>
            <w:tcW w:w="1809" w:type="dxa"/>
            <w:shd w:val="clear" w:color="auto" w:fill="auto"/>
            <w:vAlign w:val="center"/>
          </w:tcPr>
          <w:p w14:paraId="3C6FDD94" w14:textId="77777777" w:rsidR="00E962DB" w:rsidRPr="00D47256" w:rsidRDefault="00E962DB" w:rsidP="00091C50">
            <w:pPr>
              <w:jc w:val="center"/>
              <w:rPr>
                <w:sz w:val="20"/>
              </w:rPr>
            </w:pPr>
            <w:r w:rsidRPr="00D47256">
              <w:rPr>
                <w:sz w:val="20"/>
              </w:rPr>
              <w:t>15-2031</w:t>
            </w:r>
          </w:p>
        </w:tc>
        <w:tc>
          <w:tcPr>
            <w:tcW w:w="1733" w:type="dxa"/>
            <w:shd w:val="clear" w:color="auto" w:fill="auto"/>
            <w:vAlign w:val="center"/>
          </w:tcPr>
          <w:p w14:paraId="2A945BEC" w14:textId="77777777" w:rsidR="00E962DB" w:rsidRPr="00D47256" w:rsidRDefault="00E962DB" w:rsidP="00091C50">
            <w:pPr>
              <w:jc w:val="center"/>
              <w:rPr>
                <w:sz w:val="20"/>
              </w:rPr>
            </w:pPr>
            <w:r w:rsidRPr="00D47256">
              <w:rPr>
                <w:sz w:val="20"/>
              </w:rPr>
              <w:t>39.88</w:t>
            </w:r>
          </w:p>
        </w:tc>
        <w:tc>
          <w:tcPr>
            <w:tcW w:w="1738" w:type="dxa"/>
            <w:shd w:val="clear" w:color="auto" w:fill="auto"/>
            <w:vAlign w:val="center"/>
          </w:tcPr>
          <w:p w14:paraId="18972874" w14:textId="77777777" w:rsidR="00E962DB" w:rsidRPr="00D47256" w:rsidRDefault="00E962DB" w:rsidP="00091C50">
            <w:pPr>
              <w:jc w:val="center"/>
              <w:rPr>
                <w:sz w:val="20"/>
              </w:rPr>
            </w:pPr>
            <w:r w:rsidRPr="00D47256">
              <w:rPr>
                <w:sz w:val="20"/>
              </w:rPr>
              <w:t>39.88</w:t>
            </w:r>
          </w:p>
        </w:tc>
        <w:tc>
          <w:tcPr>
            <w:tcW w:w="1767" w:type="dxa"/>
            <w:shd w:val="clear" w:color="auto" w:fill="auto"/>
            <w:vAlign w:val="center"/>
          </w:tcPr>
          <w:p w14:paraId="79F7BB0F" w14:textId="77777777" w:rsidR="00E962DB" w:rsidRPr="00D47256" w:rsidRDefault="00E962DB" w:rsidP="00091C50">
            <w:pPr>
              <w:jc w:val="center"/>
              <w:rPr>
                <w:sz w:val="20"/>
              </w:rPr>
            </w:pPr>
            <w:r w:rsidRPr="00D47256">
              <w:rPr>
                <w:sz w:val="20"/>
              </w:rPr>
              <w:t>79.76</w:t>
            </w:r>
          </w:p>
        </w:tc>
      </w:tr>
      <w:tr w:rsidR="00E962DB" w:rsidRPr="00D47256" w14:paraId="655A970D" w14:textId="77777777" w:rsidTr="00091C50">
        <w:trPr>
          <w:jc w:val="center"/>
        </w:trPr>
        <w:tc>
          <w:tcPr>
            <w:tcW w:w="2601" w:type="dxa"/>
            <w:shd w:val="clear" w:color="auto" w:fill="auto"/>
            <w:vAlign w:val="center"/>
          </w:tcPr>
          <w:p w14:paraId="61978308" w14:textId="77777777" w:rsidR="00E962DB" w:rsidRPr="00D47256" w:rsidRDefault="00E962DB" w:rsidP="00091C50">
            <w:pPr>
              <w:jc w:val="center"/>
              <w:rPr>
                <w:sz w:val="20"/>
              </w:rPr>
            </w:pPr>
            <w:r w:rsidRPr="00D47256">
              <w:rPr>
                <w:sz w:val="20"/>
              </w:rPr>
              <w:t>Training &amp; Development Managers</w:t>
            </w:r>
          </w:p>
        </w:tc>
        <w:tc>
          <w:tcPr>
            <w:tcW w:w="1809" w:type="dxa"/>
            <w:shd w:val="clear" w:color="auto" w:fill="auto"/>
            <w:vAlign w:val="center"/>
          </w:tcPr>
          <w:p w14:paraId="0C8ABF3F" w14:textId="77777777" w:rsidR="00E962DB" w:rsidRPr="00D47256" w:rsidRDefault="00E962DB" w:rsidP="00091C50">
            <w:pPr>
              <w:jc w:val="center"/>
              <w:rPr>
                <w:sz w:val="20"/>
              </w:rPr>
            </w:pPr>
            <w:r w:rsidRPr="00D47256">
              <w:rPr>
                <w:sz w:val="20"/>
              </w:rPr>
              <w:t>11-3131</w:t>
            </w:r>
          </w:p>
        </w:tc>
        <w:tc>
          <w:tcPr>
            <w:tcW w:w="1733" w:type="dxa"/>
            <w:shd w:val="clear" w:color="auto" w:fill="auto"/>
            <w:vAlign w:val="center"/>
          </w:tcPr>
          <w:p w14:paraId="41D79899" w14:textId="77777777" w:rsidR="00E962DB" w:rsidRPr="00D47256" w:rsidRDefault="00E962DB" w:rsidP="00091C50">
            <w:pPr>
              <w:jc w:val="center"/>
              <w:rPr>
                <w:sz w:val="20"/>
              </w:rPr>
            </w:pPr>
            <w:r w:rsidRPr="00D47256">
              <w:rPr>
                <w:sz w:val="20"/>
              </w:rPr>
              <w:t>53.38</w:t>
            </w:r>
          </w:p>
        </w:tc>
        <w:tc>
          <w:tcPr>
            <w:tcW w:w="1738" w:type="dxa"/>
            <w:shd w:val="clear" w:color="auto" w:fill="auto"/>
            <w:vAlign w:val="center"/>
          </w:tcPr>
          <w:p w14:paraId="0705EEB7" w14:textId="77777777" w:rsidR="00E962DB" w:rsidRPr="00D47256" w:rsidRDefault="00E962DB" w:rsidP="00091C50">
            <w:pPr>
              <w:jc w:val="center"/>
              <w:rPr>
                <w:sz w:val="20"/>
              </w:rPr>
            </w:pPr>
            <w:r w:rsidRPr="00D47256">
              <w:rPr>
                <w:sz w:val="20"/>
              </w:rPr>
              <w:t>53.38</w:t>
            </w:r>
          </w:p>
        </w:tc>
        <w:tc>
          <w:tcPr>
            <w:tcW w:w="1767" w:type="dxa"/>
            <w:shd w:val="clear" w:color="auto" w:fill="auto"/>
            <w:vAlign w:val="center"/>
          </w:tcPr>
          <w:p w14:paraId="09A3A0C0" w14:textId="77777777" w:rsidR="00E962DB" w:rsidRPr="00D47256" w:rsidRDefault="00E962DB" w:rsidP="00091C50">
            <w:pPr>
              <w:jc w:val="center"/>
              <w:rPr>
                <w:sz w:val="20"/>
              </w:rPr>
            </w:pPr>
            <w:r w:rsidRPr="00D47256">
              <w:rPr>
                <w:sz w:val="20"/>
              </w:rPr>
              <w:t>106.76</w:t>
            </w:r>
          </w:p>
        </w:tc>
      </w:tr>
    </w:tbl>
    <w:p w14:paraId="5F61BB7E" w14:textId="77777777" w:rsidR="00E962DB" w:rsidRPr="00D47256" w:rsidRDefault="00E962DB" w:rsidP="00E962DB">
      <w:pPr>
        <w:rPr>
          <w:szCs w:val="24"/>
        </w:rPr>
      </w:pPr>
    </w:p>
    <w:p w14:paraId="4362AE95" w14:textId="77777777" w:rsidR="00E962DB" w:rsidRPr="00D47256" w:rsidRDefault="00E962DB" w:rsidP="00E962DB">
      <w:pPr>
        <w:rPr>
          <w:szCs w:val="24"/>
        </w:rPr>
      </w:pPr>
      <w:r w:rsidRPr="00D4725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34C8106" w14:textId="77777777" w:rsidR="00AB2DEB" w:rsidRPr="00D47256" w:rsidRDefault="00AB2DEB" w:rsidP="00E96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FEC4E1" w14:textId="38A3CDC0" w:rsidR="00AB2DEB" w:rsidRPr="00D47256" w:rsidRDefault="002A68CF" w:rsidP="00E96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D47256">
        <w:rPr>
          <w:szCs w:val="24"/>
          <w:u w:val="single"/>
        </w:rPr>
        <w:t xml:space="preserve">Burden </w:t>
      </w:r>
      <w:r w:rsidR="0075557F" w:rsidRPr="00D47256">
        <w:rPr>
          <w:szCs w:val="24"/>
          <w:u w:val="single"/>
        </w:rPr>
        <w:t>Estimates</w:t>
      </w:r>
    </w:p>
    <w:p w14:paraId="40D3D5C3" w14:textId="77777777" w:rsidR="00AB2DEB" w:rsidRPr="00D47256" w:rsidRDefault="00AB2DEB" w:rsidP="0066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2A7CB0F" w14:textId="1BE74542" w:rsidR="00C6443C" w:rsidRDefault="00C6443C" w:rsidP="004E45E2">
      <w:pPr>
        <w:tabs>
          <w:tab w:val="left" w:pos="1440"/>
        </w:tabs>
        <w:rPr>
          <w:szCs w:val="24"/>
        </w:rPr>
      </w:pPr>
      <w:r w:rsidRPr="00D47256">
        <w:rPr>
          <w:szCs w:val="24"/>
        </w:rPr>
        <w:t xml:space="preserve">Currently, there are </w:t>
      </w:r>
      <w:r w:rsidR="0075557F" w:rsidRPr="00D47256">
        <w:rPr>
          <w:szCs w:val="24"/>
        </w:rPr>
        <w:t>approximately 610</w:t>
      </w:r>
      <w:r w:rsidRPr="00D47256">
        <w:rPr>
          <w:szCs w:val="24"/>
        </w:rPr>
        <w:t xml:space="preserve"> respondents reporting drug information to CMS. Of </w:t>
      </w:r>
      <w:r w:rsidR="0075557F" w:rsidRPr="00D47256">
        <w:rPr>
          <w:szCs w:val="24"/>
        </w:rPr>
        <w:t>the 610</w:t>
      </w:r>
      <w:r w:rsidRPr="00D47256">
        <w:rPr>
          <w:szCs w:val="24"/>
        </w:rPr>
        <w:t xml:space="preserve"> total respondents reporting, 100% will report data via the DDR web-based application.  Within DDR, there are two reporting options from which the respondents may choose (i.e., online and file transfer); however, there is no difference in the time burden associated with each option.  File transfer submissions and online submissions are both performed on the same reporting schedule (i.e., monthly and quarterly), and both require the submission of the same data fields with the exception of the Reactivation Date field which may only be entered online.</w:t>
      </w:r>
    </w:p>
    <w:p w14:paraId="13B3FB87" w14:textId="77777777" w:rsidR="00305929" w:rsidRPr="00D47256" w:rsidRDefault="00305929" w:rsidP="004E45E2">
      <w:pPr>
        <w:tabs>
          <w:tab w:val="left" w:pos="1440"/>
        </w:tabs>
        <w:rPr>
          <w:szCs w:val="24"/>
        </w:rPr>
      </w:pPr>
    </w:p>
    <w:p w14:paraId="27BF6AB6" w14:textId="77777777" w:rsidR="00FC18EA" w:rsidRPr="007443A9" w:rsidRDefault="00FC18EA"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7443A9">
        <w:rPr>
          <w:szCs w:val="24"/>
        </w:rPr>
        <w:t>CMS-367a - Quarterly Pricing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305929" w:rsidRPr="00F274C2" w14:paraId="68965528" w14:textId="77777777" w:rsidTr="00E84320">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5ED89AE3"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36BAE4A1"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3AE1C6E9"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0298AAFF"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35E49DA7"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1E80DF2C"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50FE5ABF"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8EC4154" w14:textId="3D7EDC05"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w:t>
            </w:r>
            <w:r w:rsidR="00611CEB" w:rsidRPr="007311FD">
              <w:rPr>
                <w:sz w:val="20"/>
              </w:rPr>
              <w:t xml:space="preserve">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2A931B98" w14:textId="46CB867B"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w:t>
            </w:r>
            <w:r w:rsidR="00611CEB" w:rsidRPr="007311FD">
              <w:rPr>
                <w:sz w:val="20"/>
              </w:rPr>
              <w:t xml:space="preserve"> ($)</w:t>
            </w:r>
          </w:p>
        </w:tc>
      </w:tr>
      <w:tr w:rsidR="007600A1" w:rsidRPr="00F274C2" w14:paraId="0A4069C6" w14:textId="77777777" w:rsidTr="00B11EC7">
        <w:tc>
          <w:tcPr>
            <w:tcW w:w="1620" w:type="dxa"/>
            <w:tcBorders>
              <w:top w:val="single" w:sz="4" w:space="0" w:color="auto"/>
              <w:left w:val="single" w:sz="4" w:space="0" w:color="auto"/>
              <w:bottom w:val="single" w:sz="4" w:space="0" w:color="auto"/>
              <w:right w:val="single" w:sz="4" w:space="0" w:color="auto"/>
            </w:tcBorders>
            <w:vAlign w:val="center"/>
          </w:tcPr>
          <w:p w14:paraId="46201CE7" w14:textId="0681CBBC" w:rsidR="007600A1" w:rsidRPr="007311FD" w:rsidRDefault="007600A1" w:rsidP="00A65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z w:val="20"/>
              </w:rPr>
              <w:t>Currently Approved Burden</w:t>
            </w:r>
          </w:p>
        </w:tc>
        <w:tc>
          <w:tcPr>
            <w:tcW w:w="1890" w:type="dxa"/>
            <w:vMerge w:val="restart"/>
            <w:tcBorders>
              <w:top w:val="single" w:sz="4" w:space="0" w:color="auto"/>
              <w:left w:val="single" w:sz="4" w:space="0" w:color="auto"/>
              <w:right w:val="single" w:sz="4" w:space="0" w:color="auto"/>
            </w:tcBorders>
          </w:tcPr>
          <w:p w14:paraId="504CA2F4"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27144BF9"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0B3676C"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901AB19"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610</w:t>
            </w:r>
          </w:p>
        </w:tc>
        <w:tc>
          <w:tcPr>
            <w:tcW w:w="1350" w:type="dxa"/>
            <w:vMerge w:val="restart"/>
            <w:tcBorders>
              <w:top w:val="single" w:sz="4" w:space="0" w:color="auto"/>
              <w:left w:val="single" w:sz="4" w:space="0" w:color="auto"/>
              <w:right w:val="single" w:sz="4" w:space="0" w:color="auto"/>
            </w:tcBorders>
          </w:tcPr>
          <w:p w14:paraId="0D937D85"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E42FE47"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300DCE7A" w14:textId="4C6C6729"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2,440</w:t>
            </w:r>
          </w:p>
          <w:p w14:paraId="1CB6E37B" w14:textId="75BE6E73" w:rsidR="007600A1" w:rsidRPr="007311FD" w:rsidRDefault="007600A1" w:rsidP="00305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(4 quarterly responses per year)</w:t>
            </w:r>
          </w:p>
        </w:tc>
        <w:tc>
          <w:tcPr>
            <w:tcW w:w="1260" w:type="dxa"/>
            <w:tcBorders>
              <w:top w:val="single" w:sz="4" w:space="0" w:color="auto"/>
              <w:left w:val="single" w:sz="4" w:space="0" w:color="auto"/>
              <w:bottom w:val="single" w:sz="4" w:space="0" w:color="auto"/>
              <w:right w:val="single" w:sz="4" w:space="0" w:color="auto"/>
            </w:tcBorders>
          </w:tcPr>
          <w:p w14:paraId="2F41B243"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14.8</w:t>
            </w:r>
          </w:p>
        </w:tc>
        <w:tc>
          <w:tcPr>
            <w:tcW w:w="1170" w:type="dxa"/>
            <w:tcBorders>
              <w:top w:val="single" w:sz="4" w:space="0" w:color="auto"/>
              <w:left w:val="single" w:sz="4" w:space="0" w:color="auto"/>
              <w:bottom w:val="single" w:sz="4" w:space="0" w:color="auto"/>
              <w:right w:val="single" w:sz="4" w:space="0" w:color="auto"/>
            </w:tcBorders>
          </w:tcPr>
          <w:p w14:paraId="0660803F" w14:textId="244F3114"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36,112</w:t>
            </w:r>
          </w:p>
        </w:tc>
        <w:tc>
          <w:tcPr>
            <w:tcW w:w="1260" w:type="dxa"/>
            <w:vMerge w:val="restart"/>
            <w:tcBorders>
              <w:top w:val="single" w:sz="4" w:space="0" w:color="auto"/>
              <w:left w:val="single" w:sz="4" w:space="0" w:color="auto"/>
              <w:right w:val="single" w:sz="4" w:space="0" w:color="auto"/>
            </w:tcBorders>
          </w:tcPr>
          <w:p w14:paraId="66B08CB2" w14:textId="77777777" w:rsidR="007600A1" w:rsidRPr="007311FD" w:rsidRDefault="007600A1" w:rsidP="003602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1E128918" w14:textId="77777777" w:rsidR="007600A1" w:rsidRPr="007311FD" w:rsidRDefault="007600A1" w:rsidP="003602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BC53553" w14:textId="383EBE11" w:rsidR="007600A1" w:rsidRPr="007311FD" w:rsidRDefault="007600A1" w:rsidP="003602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tcBorders>
              <w:top w:val="single" w:sz="4" w:space="0" w:color="auto"/>
              <w:left w:val="single" w:sz="4" w:space="0" w:color="auto"/>
              <w:bottom w:val="single" w:sz="4" w:space="0" w:color="auto"/>
              <w:right w:val="single" w:sz="4" w:space="0" w:color="auto"/>
            </w:tcBorders>
          </w:tcPr>
          <w:p w14:paraId="579BACC8" w14:textId="76CE151B" w:rsidR="007600A1" w:rsidRPr="007311FD" w:rsidRDefault="00B16333" w:rsidP="002C7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3,459,349</w:t>
            </w:r>
          </w:p>
        </w:tc>
      </w:tr>
      <w:tr w:rsidR="007600A1" w:rsidRPr="00F274C2" w14:paraId="030D319F" w14:textId="77777777" w:rsidTr="00290F1E">
        <w:tc>
          <w:tcPr>
            <w:tcW w:w="1620" w:type="dxa"/>
            <w:tcBorders>
              <w:top w:val="single" w:sz="4" w:space="0" w:color="auto"/>
              <w:left w:val="single" w:sz="4" w:space="0" w:color="auto"/>
              <w:bottom w:val="single" w:sz="4" w:space="0" w:color="auto"/>
              <w:right w:val="single" w:sz="4" w:space="0" w:color="auto"/>
            </w:tcBorders>
            <w:vAlign w:val="center"/>
          </w:tcPr>
          <w:p w14:paraId="342581CB" w14:textId="6318C0CB"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napToGrid/>
                <w:color w:val="000000"/>
                <w:sz w:val="20"/>
              </w:rPr>
              <w:t>Initial Drug Available for LE</w:t>
            </w:r>
            <w:r w:rsidR="00B35AA2" w:rsidRPr="007311FD">
              <w:rPr>
                <w:snapToGrid/>
                <w:color w:val="000000"/>
                <w:sz w:val="20"/>
              </w:rPr>
              <w:t>*</w:t>
            </w:r>
          </w:p>
        </w:tc>
        <w:tc>
          <w:tcPr>
            <w:tcW w:w="1890" w:type="dxa"/>
            <w:vMerge/>
            <w:tcBorders>
              <w:left w:val="single" w:sz="4" w:space="0" w:color="auto"/>
              <w:right w:val="single" w:sz="4" w:space="0" w:color="auto"/>
            </w:tcBorders>
          </w:tcPr>
          <w:p w14:paraId="427BB7B2" w14:textId="77777777"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vMerge/>
            <w:tcBorders>
              <w:left w:val="single" w:sz="4" w:space="0" w:color="auto"/>
              <w:right w:val="single" w:sz="4" w:space="0" w:color="auto"/>
            </w:tcBorders>
          </w:tcPr>
          <w:p w14:paraId="695E1ADE" w14:textId="3EA32657"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5A39AED5" w14:textId="2C9C5774"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w:t>
            </w:r>
          </w:p>
        </w:tc>
        <w:tc>
          <w:tcPr>
            <w:tcW w:w="1170" w:type="dxa"/>
            <w:tcBorders>
              <w:top w:val="single" w:sz="4" w:space="0" w:color="auto"/>
              <w:left w:val="single" w:sz="4" w:space="0" w:color="auto"/>
              <w:bottom w:val="single" w:sz="4" w:space="0" w:color="auto"/>
              <w:right w:val="single" w:sz="4" w:space="0" w:color="auto"/>
            </w:tcBorders>
          </w:tcPr>
          <w:p w14:paraId="71F508B4" w14:textId="38F6278D"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24,400</w:t>
            </w:r>
          </w:p>
        </w:tc>
        <w:tc>
          <w:tcPr>
            <w:tcW w:w="1260" w:type="dxa"/>
            <w:vMerge/>
            <w:tcBorders>
              <w:left w:val="single" w:sz="4" w:space="0" w:color="auto"/>
              <w:right w:val="single" w:sz="4" w:space="0" w:color="auto"/>
            </w:tcBorders>
          </w:tcPr>
          <w:p w14:paraId="3CF09850" w14:textId="324720B6"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vMerge w:val="restart"/>
            <w:tcBorders>
              <w:top w:val="single" w:sz="4" w:space="0" w:color="auto"/>
              <w:left w:val="single" w:sz="4" w:space="0" w:color="auto"/>
              <w:right w:val="single" w:sz="4" w:space="0" w:color="auto"/>
            </w:tcBorders>
          </w:tcPr>
          <w:p w14:paraId="1F6B0664" w14:textId="77777777"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51007EE" w14:textId="6530B1B3"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4,674,796</w:t>
            </w:r>
          </w:p>
        </w:tc>
      </w:tr>
      <w:tr w:rsidR="007600A1" w:rsidRPr="00F274C2" w14:paraId="08AF2B96" w14:textId="77777777" w:rsidTr="00290F1E">
        <w:tc>
          <w:tcPr>
            <w:tcW w:w="1620" w:type="dxa"/>
            <w:tcBorders>
              <w:top w:val="single" w:sz="4" w:space="0" w:color="auto"/>
              <w:left w:val="single" w:sz="4" w:space="0" w:color="auto"/>
              <w:bottom w:val="single" w:sz="4" w:space="0" w:color="auto"/>
              <w:right w:val="single" w:sz="4" w:space="0" w:color="auto"/>
            </w:tcBorders>
            <w:vAlign w:val="center"/>
          </w:tcPr>
          <w:p w14:paraId="69F8C18B" w14:textId="5B314DAD"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napToGrid/>
                <w:color w:val="000000"/>
                <w:sz w:val="20"/>
              </w:rPr>
              <w:t>Initial Drug</w:t>
            </w:r>
            <w:r w:rsidR="00B35AA2" w:rsidRPr="007311FD">
              <w:rPr>
                <w:snapToGrid/>
                <w:color w:val="000000"/>
                <w:sz w:val="20"/>
              </w:rPr>
              <w:t>*</w:t>
            </w:r>
          </w:p>
        </w:tc>
        <w:tc>
          <w:tcPr>
            <w:tcW w:w="1890" w:type="dxa"/>
            <w:vMerge/>
            <w:tcBorders>
              <w:left w:val="single" w:sz="4" w:space="0" w:color="auto"/>
              <w:bottom w:val="single" w:sz="4" w:space="0" w:color="auto"/>
              <w:right w:val="single" w:sz="4" w:space="0" w:color="auto"/>
            </w:tcBorders>
          </w:tcPr>
          <w:p w14:paraId="0725CFC2" w14:textId="76007B73"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vMerge/>
            <w:tcBorders>
              <w:left w:val="single" w:sz="4" w:space="0" w:color="auto"/>
              <w:bottom w:val="single" w:sz="4" w:space="0" w:color="auto"/>
              <w:right w:val="single" w:sz="4" w:space="0" w:color="auto"/>
            </w:tcBorders>
          </w:tcPr>
          <w:p w14:paraId="270418F3" w14:textId="1402B0FF"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633DE03E" w14:textId="6BB80786"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w:t>
            </w:r>
          </w:p>
        </w:tc>
        <w:tc>
          <w:tcPr>
            <w:tcW w:w="1170" w:type="dxa"/>
            <w:tcBorders>
              <w:top w:val="single" w:sz="4" w:space="0" w:color="auto"/>
              <w:left w:val="single" w:sz="4" w:space="0" w:color="auto"/>
              <w:bottom w:val="single" w:sz="4" w:space="0" w:color="auto"/>
              <w:right w:val="single" w:sz="4" w:space="0" w:color="auto"/>
            </w:tcBorders>
          </w:tcPr>
          <w:p w14:paraId="57D08CAE" w14:textId="07FF71D8"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24,400</w:t>
            </w:r>
          </w:p>
        </w:tc>
        <w:tc>
          <w:tcPr>
            <w:tcW w:w="1260" w:type="dxa"/>
            <w:vMerge/>
            <w:tcBorders>
              <w:left w:val="single" w:sz="4" w:space="0" w:color="auto"/>
              <w:bottom w:val="single" w:sz="4" w:space="0" w:color="auto"/>
              <w:right w:val="single" w:sz="4" w:space="0" w:color="auto"/>
            </w:tcBorders>
          </w:tcPr>
          <w:p w14:paraId="1D300CC2" w14:textId="6DBEA2BB"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vMerge/>
            <w:tcBorders>
              <w:left w:val="single" w:sz="4" w:space="0" w:color="auto"/>
              <w:bottom w:val="single" w:sz="4" w:space="0" w:color="auto"/>
              <w:right w:val="single" w:sz="4" w:space="0" w:color="auto"/>
            </w:tcBorders>
          </w:tcPr>
          <w:p w14:paraId="57663FEC" w14:textId="7D968257"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611CEB" w:rsidRPr="007311FD" w14:paraId="1F1B271D" w14:textId="77777777" w:rsidTr="00E84320">
        <w:tc>
          <w:tcPr>
            <w:tcW w:w="1620" w:type="dxa"/>
            <w:tcBorders>
              <w:top w:val="single" w:sz="4" w:space="0" w:color="auto"/>
              <w:left w:val="single" w:sz="4" w:space="0" w:color="auto"/>
              <w:bottom w:val="single" w:sz="4" w:space="0" w:color="auto"/>
              <w:right w:val="single" w:sz="4" w:space="0" w:color="auto"/>
            </w:tcBorders>
            <w:shd w:val="pct12" w:color="auto" w:fill="auto"/>
            <w:vAlign w:val="center"/>
          </w:tcPr>
          <w:p w14:paraId="6F791E78" w14:textId="3141A6A7" w:rsidR="00611CEB" w:rsidRPr="007311FD" w:rsidRDefault="00611CEB"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Total Burden</w:t>
            </w:r>
          </w:p>
        </w:tc>
        <w:tc>
          <w:tcPr>
            <w:tcW w:w="1890" w:type="dxa"/>
            <w:tcBorders>
              <w:top w:val="single" w:sz="4" w:space="0" w:color="auto"/>
              <w:left w:val="single" w:sz="4" w:space="0" w:color="auto"/>
              <w:bottom w:val="single" w:sz="4" w:space="0" w:color="auto"/>
              <w:right w:val="single" w:sz="4" w:space="0" w:color="auto"/>
            </w:tcBorders>
            <w:shd w:val="pct12" w:color="auto" w:fill="auto"/>
          </w:tcPr>
          <w:p w14:paraId="1492D6DC" w14:textId="77777777" w:rsidR="00611CEB" w:rsidRPr="007311FD" w:rsidRDefault="00611CEB"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610</w:t>
            </w:r>
          </w:p>
        </w:tc>
        <w:tc>
          <w:tcPr>
            <w:tcW w:w="1350" w:type="dxa"/>
            <w:tcBorders>
              <w:top w:val="single" w:sz="4" w:space="0" w:color="auto"/>
              <w:left w:val="single" w:sz="4" w:space="0" w:color="auto"/>
              <w:bottom w:val="single" w:sz="4" w:space="0" w:color="auto"/>
              <w:right w:val="single" w:sz="4" w:space="0" w:color="auto"/>
            </w:tcBorders>
            <w:shd w:val="pct12" w:color="auto" w:fill="auto"/>
          </w:tcPr>
          <w:p w14:paraId="604973BC" w14:textId="3DBD9225" w:rsidR="00611CEB" w:rsidRPr="007311FD" w:rsidRDefault="00611CEB"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2,440</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7CE9EDE0" w14:textId="0E059924" w:rsidR="00611CEB" w:rsidRPr="007311FD" w:rsidRDefault="00611CEB"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34.8</w:t>
            </w: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3557B0DF" w14:textId="29279267" w:rsidR="00611CEB"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84,912</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48225DC3" w14:textId="4C2C94E2" w:rsidR="00611CEB" w:rsidRPr="007311FD" w:rsidRDefault="00D765DA"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V</w:t>
            </w:r>
            <w:r w:rsidR="009144B7" w:rsidRPr="007311FD">
              <w:rPr>
                <w:b/>
                <w:sz w:val="20"/>
              </w:rPr>
              <w:t>aries</w:t>
            </w:r>
          </w:p>
        </w:tc>
        <w:tc>
          <w:tcPr>
            <w:tcW w:w="1620" w:type="dxa"/>
            <w:tcBorders>
              <w:top w:val="single" w:sz="4" w:space="0" w:color="auto"/>
              <w:left w:val="single" w:sz="4" w:space="0" w:color="auto"/>
              <w:bottom w:val="single" w:sz="4" w:space="0" w:color="auto"/>
              <w:right w:val="single" w:sz="4" w:space="0" w:color="auto"/>
            </w:tcBorders>
            <w:shd w:val="pct12" w:color="auto" w:fill="auto"/>
          </w:tcPr>
          <w:p w14:paraId="6973EB6A" w14:textId="0BFB8228" w:rsidR="00611CEB" w:rsidRPr="007311FD" w:rsidRDefault="003857E5" w:rsidP="00385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8</w:t>
            </w:r>
            <w:r w:rsidR="009144B7" w:rsidRPr="007311FD">
              <w:rPr>
                <w:b/>
                <w:sz w:val="20"/>
              </w:rPr>
              <w:t>,</w:t>
            </w:r>
            <w:r w:rsidRPr="007311FD">
              <w:rPr>
                <w:b/>
                <w:sz w:val="20"/>
              </w:rPr>
              <w:t>134</w:t>
            </w:r>
            <w:r w:rsidR="009144B7" w:rsidRPr="007311FD">
              <w:rPr>
                <w:b/>
                <w:sz w:val="20"/>
              </w:rPr>
              <w:t>,</w:t>
            </w:r>
            <w:r w:rsidRPr="007311FD">
              <w:rPr>
                <w:b/>
                <w:sz w:val="20"/>
              </w:rPr>
              <w:t>145</w:t>
            </w:r>
          </w:p>
        </w:tc>
      </w:tr>
    </w:tbl>
    <w:p w14:paraId="3E77DB1F" w14:textId="77777777" w:rsidR="00FC18EA" w:rsidRPr="007311FD" w:rsidRDefault="00FC18EA"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z w:val="20"/>
        </w:rPr>
        <w:t>*New requirement (see section 15 for details).</w:t>
      </w:r>
    </w:p>
    <w:p w14:paraId="73A5F46E" w14:textId="77777777" w:rsidR="00FC18EA" w:rsidRDefault="00FC18EA" w:rsidP="00FC18EA">
      <w:pPr>
        <w:widowControl/>
        <w:rPr>
          <w:i/>
          <w:szCs w:val="24"/>
        </w:rPr>
      </w:pPr>
    </w:p>
    <w:p w14:paraId="409F1287" w14:textId="503938AC" w:rsidR="00FC18EA" w:rsidRDefault="00FC18EA"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7443A9">
        <w:rPr>
          <w:szCs w:val="24"/>
        </w:rPr>
        <w:t>CMS-367b – Monthly Pricing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BA74EC" w:rsidRPr="007311FD" w14:paraId="5715A54F" w14:textId="77777777" w:rsidTr="00685467">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11A4670D"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6B1209DA"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2E10EFE0"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5ACF2BA1"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58C9B5B9"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D4D6C2C"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2E3BB864"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 xml:space="preserve">Total Annual Burden </w:t>
            </w:r>
            <w:r w:rsidRPr="007311FD">
              <w:rPr>
                <w:sz w:val="20"/>
              </w:rPr>
              <w:lastRenderedPageBreak/>
              <w:t>(hours)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41D9717"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lastRenderedPageBreak/>
              <w:t xml:space="preserve">Hourly labor cost of reporting </w:t>
            </w:r>
            <w:r w:rsidRPr="007311FD">
              <w:rPr>
                <w:sz w:val="20"/>
              </w:rPr>
              <w:lastRenderedPageBreak/>
              <w:t>($/hr)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3E3A2120"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lastRenderedPageBreak/>
              <w:t>Total Annual Cost ($)</w:t>
            </w:r>
          </w:p>
        </w:tc>
      </w:tr>
      <w:tr w:rsidR="00BA74EC" w:rsidRPr="007311FD" w14:paraId="3E5CA00A" w14:textId="77777777" w:rsidTr="00685467">
        <w:tc>
          <w:tcPr>
            <w:tcW w:w="1620" w:type="dxa"/>
            <w:tcBorders>
              <w:top w:val="single" w:sz="4" w:space="0" w:color="auto"/>
              <w:left w:val="single" w:sz="4" w:space="0" w:color="auto"/>
              <w:bottom w:val="single" w:sz="4" w:space="0" w:color="auto"/>
              <w:right w:val="single" w:sz="4" w:space="0" w:color="auto"/>
            </w:tcBorders>
            <w:vAlign w:val="center"/>
          </w:tcPr>
          <w:p w14:paraId="7473BBFC" w14:textId="77777777" w:rsidR="00BA74EC" w:rsidRPr="007311FD" w:rsidRDefault="00BA74EC" w:rsidP="00A65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z w:val="20"/>
              </w:rPr>
              <w:lastRenderedPageBreak/>
              <w:t>Currently Approved Burden</w:t>
            </w:r>
          </w:p>
        </w:tc>
        <w:tc>
          <w:tcPr>
            <w:tcW w:w="1890" w:type="dxa"/>
            <w:vMerge w:val="restart"/>
            <w:tcBorders>
              <w:top w:val="single" w:sz="4" w:space="0" w:color="auto"/>
              <w:left w:val="single" w:sz="4" w:space="0" w:color="auto"/>
              <w:right w:val="single" w:sz="4" w:space="0" w:color="auto"/>
            </w:tcBorders>
          </w:tcPr>
          <w:p w14:paraId="1B9EAABF"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31091982"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610</w:t>
            </w:r>
          </w:p>
        </w:tc>
        <w:tc>
          <w:tcPr>
            <w:tcW w:w="1350" w:type="dxa"/>
            <w:vMerge w:val="restart"/>
            <w:tcBorders>
              <w:top w:val="single" w:sz="4" w:space="0" w:color="auto"/>
              <w:left w:val="single" w:sz="4" w:space="0" w:color="auto"/>
              <w:right w:val="single" w:sz="4" w:space="0" w:color="auto"/>
            </w:tcBorders>
          </w:tcPr>
          <w:p w14:paraId="214DBC9E"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3E49B87D" w14:textId="5DAE3DE4"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7,320</w:t>
            </w:r>
          </w:p>
          <w:p w14:paraId="2D376B01" w14:textId="1179F340" w:rsidR="00BA74EC" w:rsidRPr="007311FD" w:rsidRDefault="00BA74EC"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w:t>
            </w:r>
            <w:r w:rsidRPr="007311FD">
              <w:rPr>
                <w:sz w:val="20"/>
              </w:rPr>
              <w:t>12</w:t>
            </w:r>
            <w:r w:rsidRPr="007311FD">
              <w:rPr>
                <w:sz w:val="20"/>
              </w:rPr>
              <w:t xml:space="preserve"> </w:t>
            </w:r>
            <w:r w:rsidRPr="007311FD">
              <w:rPr>
                <w:sz w:val="20"/>
              </w:rPr>
              <w:t>monthly</w:t>
            </w:r>
            <w:r w:rsidRPr="007311FD">
              <w:rPr>
                <w:sz w:val="20"/>
              </w:rPr>
              <w:t xml:space="preserve"> responses per year)</w:t>
            </w:r>
          </w:p>
        </w:tc>
        <w:tc>
          <w:tcPr>
            <w:tcW w:w="1260" w:type="dxa"/>
            <w:tcBorders>
              <w:top w:val="single" w:sz="4" w:space="0" w:color="auto"/>
              <w:left w:val="single" w:sz="4" w:space="0" w:color="auto"/>
              <w:bottom w:val="single" w:sz="4" w:space="0" w:color="auto"/>
              <w:right w:val="single" w:sz="4" w:space="0" w:color="auto"/>
            </w:tcBorders>
          </w:tcPr>
          <w:p w14:paraId="4210C5CD"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14.8</w:t>
            </w:r>
          </w:p>
        </w:tc>
        <w:tc>
          <w:tcPr>
            <w:tcW w:w="1170" w:type="dxa"/>
            <w:tcBorders>
              <w:top w:val="single" w:sz="4" w:space="0" w:color="auto"/>
              <w:left w:val="single" w:sz="4" w:space="0" w:color="auto"/>
              <w:bottom w:val="single" w:sz="4" w:space="0" w:color="auto"/>
              <w:right w:val="single" w:sz="4" w:space="0" w:color="auto"/>
            </w:tcBorders>
          </w:tcPr>
          <w:p w14:paraId="18812B68" w14:textId="29352300" w:rsidR="00BA74EC" w:rsidRPr="007311FD" w:rsidRDefault="00846C03"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108,336</w:t>
            </w:r>
          </w:p>
        </w:tc>
        <w:tc>
          <w:tcPr>
            <w:tcW w:w="1260" w:type="dxa"/>
            <w:vMerge w:val="restart"/>
            <w:tcBorders>
              <w:top w:val="single" w:sz="4" w:space="0" w:color="auto"/>
              <w:left w:val="single" w:sz="4" w:space="0" w:color="auto"/>
              <w:right w:val="single" w:sz="4" w:space="0" w:color="auto"/>
            </w:tcBorders>
          </w:tcPr>
          <w:p w14:paraId="2E6AF7C5"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8B002E0"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36B420F"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tcBorders>
              <w:top w:val="single" w:sz="4" w:space="0" w:color="auto"/>
              <w:left w:val="single" w:sz="4" w:space="0" w:color="auto"/>
              <w:bottom w:val="single" w:sz="4" w:space="0" w:color="auto"/>
              <w:right w:val="single" w:sz="4" w:space="0" w:color="auto"/>
            </w:tcBorders>
          </w:tcPr>
          <w:p w14:paraId="74D22EDC" w14:textId="5945C5C1" w:rsidR="00BA74EC" w:rsidRPr="007311FD" w:rsidRDefault="003745E7"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highlight w:val="yellow"/>
              </w:rPr>
            </w:pPr>
            <w:r w:rsidRPr="007311FD">
              <w:rPr>
                <w:sz w:val="20"/>
              </w:rPr>
              <w:t>10,286,503</w:t>
            </w:r>
          </w:p>
        </w:tc>
      </w:tr>
      <w:tr w:rsidR="00BA74EC" w:rsidRPr="007311FD" w14:paraId="7BCAA2BD" w14:textId="77777777" w:rsidTr="00685467">
        <w:tc>
          <w:tcPr>
            <w:tcW w:w="1620" w:type="dxa"/>
            <w:tcBorders>
              <w:top w:val="single" w:sz="4" w:space="0" w:color="auto"/>
              <w:left w:val="single" w:sz="4" w:space="0" w:color="auto"/>
              <w:bottom w:val="single" w:sz="4" w:space="0" w:color="auto"/>
              <w:right w:val="single" w:sz="4" w:space="0" w:color="auto"/>
            </w:tcBorders>
            <w:vAlign w:val="center"/>
          </w:tcPr>
          <w:p w14:paraId="02746BB0" w14:textId="49C88AA4" w:rsidR="00BA74EC" w:rsidRPr="007311FD" w:rsidRDefault="00A658A7"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napToGrid/>
                <w:color w:val="000000"/>
                <w:sz w:val="20"/>
              </w:rPr>
              <w:t>5i Threshold</w:t>
            </w:r>
            <w:r w:rsidR="00BA74EC" w:rsidRPr="007311FD">
              <w:rPr>
                <w:snapToGrid/>
                <w:color w:val="000000"/>
                <w:sz w:val="20"/>
              </w:rPr>
              <w:t>*</w:t>
            </w:r>
          </w:p>
        </w:tc>
        <w:tc>
          <w:tcPr>
            <w:tcW w:w="1890" w:type="dxa"/>
            <w:vMerge/>
            <w:tcBorders>
              <w:left w:val="single" w:sz="4" w:space="0" w:color="auto"/>
              <w:right w:val="single" w:sz="4" w:space="0" w:color="auto"/>
            </w:tcBorders>
          </w:tcPr>
          <w:p w14:paraId="4754006D"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vMerge/>
            <w:tcBorders>
              <w:left w:val="single" w:sz="4" w:space="0" w:color="auto"/>
              <w:right w:val="single" w:sz="4" w:space="0" w:color="auto"/>
            </w:tcBorders>
          </w:tcPr>
          <w:p w14:paraId="7CA125FF"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4D3B94A8" w14:textId="54D23D8A" w:rsidR="00BA74EC" w:rsidRPr="007311FD" w:rsidRDefault="008D72F9"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30</w:t>
            </w:r>
          </w:p>
        </w:tc>
        <w:tc>
          <w:tcPr>
            <w:tcW w:w="1170" w:type="dxa"/>
            <w:tcBorders>
              <w:top w:val="single" w:sz="4" w:space="0" w:color="auto"/>
              <w:left w:val="single" w:sz="4" w:space="0" w:color="auto"/>
              <w:bottom w:val="single" w:sz="4" w:space="0" w:color="auto"/>
              <w:right w:val="single" w:sz="4" w:space="0" w:color="auto"/>
            </w:tcBorders>
          </w:tcPr>
          <w:p w14:paraId="01C2D5F7" w14:textId="29492720" w:rsidR="00BA74EC" w:rsidRPr="007311FD" w:rsidRDefault="008D72F9"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219,600</w:t>
            </w:r>
          </w:p>
        </w:tc>
        <w:tc>
          <w:tcPr>
            <w:tcW w:w="1260" w:type="dxa"/>
            <w:vMerge/>
            <w:tcBorders>
              <w:left w:val="single" w:sz="4" w:space="0" w:color="auto"/>
              <w:right w:val="single" w:sz="4" w:space="0" w:color="auto"/>
            </w:tcBorders>
          </w:tcPr>
          <w:p w14:paraId="2A970B8C"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tcBorders>
              <w:top w:val="single" w:sz="4" w:space="0" w:color="auto"/>
              <w:left w:val="single" w:sz="4" w:space="0" w:color="auto"/>
              <w:right w:val="single" w:sz="4" w:space="0" w:color="auto"/>
            </w:tcBorders>
          </w:tcPr>
          <w:p w14:paraId="1F64DEF8" w14:textId="09D185AC" w:rsidR="00BA74EC" w:rsidRPr="007311FD" w:rsidRDefault="00FB1F97"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20,851,020</w:t>
            </w:r>
          </w:p>
        </w:tc>
      </w:tr>
      <w:tr w:rsidR="00BA74EC" w:rsidRPr="007311FD" w14:paraId="5CEF8B23" w14:textId="77777777" w:rsidTr="00685467">
        <w:tc>
          <w:tcPr>
            <w:tcW w:w="1620" w:type="dxa"/>
            <w:tcBorders>
              <w:top w:val="single" w:sz="4" w:space="0" w:color="auto"/>
              <w:left w:val="single" w:sz="4" w:space="0" w:color="auto"/>
              <w:bottom w:val="single" w:sz="4" w:space="0" w:color="auto"/>
              <w:right w:val="single" w:sz="4" w:space="0" w:color="auto"/>
            </w:tcBorders>
            <w:shd w:val="pct12" w:color="auto" w:fill="auto"/>
            <w:vAlign w:val="center"/>
          </w:tcPr>
          <w:p w14:paraId="1030E296"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Total Burden</w:t>
            </w:r>
          </w:p>
        </w:tc>
        <w:tc>
          <w:tcPr>
            <w:tcW w:w="1890" w:type="dxa"/>
            <w:tcBorders>
              <w:top w:val="single" w:sz="4" w:space="0" w:color="auto"/>
              <w:left w:val="single" w:sz="4" w:space="0" w:color="auto"/>
              <w:bottom w:val="single" w:sz="4" w:space="0" w:color="auto"/>
              <w:right w:val="single" w:sz="4" w:space="0" w:color="auto"/>
            </w:tcBorders>
            <w:shd w:val="pct12" w:color="auto" w:fill="auto"/>
          </w:tcPr>
          <w:p w14:paraId="3E7145DF" w14:textId="77777777" w:rsidR="00BA74EC" w:rsidRPr="007311FD" w:rsidRDefault="00BA74E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610</w:t>
            </w:r>
          </w:p>
        </w:tc>
        <w:tc>
          <w:tcPr>
            <w:tcW w:w="1350" w:type="dxa"/>
            <w:tcBorders>
              <w:top w:val="single" w:sz="4" w:space="0" w:color="auto"/>
              <w:left w:val="single" w:sz="4" w:space="0" w:color="auto"/>
              <w:bottom w:val="single" w:sz="4" w:space="0" w:color="auto"/>
              <w:right w:val="single" w:sz="4" w:space="0" w:color="auto"/>
            </w:tcBorders>
            <w:shd w:val="pct12" w:color="auto" w:fill="auto"/>
          </w:tcPr>
          <w:p w14:paraId="1A924A64" w14:textId="396E8D7B" w:rsidR="00BA74EC" w:rsidRPr="007311FD" w:rsidRDefault="000D14CE" w:rsidP="000D1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7</w:t>
            </w:r>
            <w:r w:rsidR="00BA74EC" w:rsidRPr="007311FD">
              <w:rPr>
                <w:b/>
                <w:sz w:val="20"/>
              </w:rPr>
              <w:t>,</w:t>
            </w:r>
            <w:r>
              <w:rPr>
                <w:b/>
                <w:sz w:val="20"/>
              </w:rPr>
              <w:t>320</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793C91A7" w14:textId="1E235D42" w:rsidR="00BA74EC" w:rsidRPr="007311FD" w:rsidRDefault="00C855DD"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4</w:t>
            </w:r>
            <w:r w:rsidR="00BA74EC" w:rsidRPr="007311FD">
              <w:rPr>
                <w:b/>
                <w:sz w:val="20"/>
              </w:rPr>
              <w:t>4.8</w:t>
            </w: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23AC9DC5" w14:textId="7F65154E" w:rsidR="00BA74EC" w:rsidRPr="007311FD" w:rsidRDefault="004E69F6" w:rsidP="004E6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327</w:t>
            </w:r>
            <w:r w:rsidR="00BA74EC" w:rsidRPr="007311FD">
              <w:rPr>
                <w:b/>
                <w:sz w:val="20"/>
              </w:rPr>
              <w:t>,9</w:t>
            </w:r>
            <w:r w:rsidRPr="007311FD">
              <w:rPr>
                <w:b/>
                <w:sz w:val="20"/>
              </w:rPr>
              <w:t>36</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302D49D6" w14:textId="11076229" w:rsidR="00BA74EC" w:rsidRPr="007311FD" w:rsidRDefault="00D765D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V</w:t>
            </w:r>
            <w:r w:rsidR="00BA74EC" w:rsidRPr="007311FD">
              <w:rPr>
                <w:b/>
                <w:sz w:val="20"/>
              </w:rPr>
              <w:t>aries</w:t>
            </w:r>
          </w:p>
        </w:tc>
        <w:tc>
          <w:tcPr>
            <w:tcW w:w="1620" w:type="dxa"/>
            <w:tcBorders>
              <w:top w:val="single" w:sz="4" w:space="0" w:color="auto"/>
              <w:left w:val="single" w:sz="4" w:space="0" w:color="auto"/>
              <w:bottom w:val="single" w:sz="4" w:space="0" w:color="auto"/>
              <w:right w:val="single" w:sz="4" w:space="0" w:color="auto"/>
            </w:tcBorders>
            <w:shd w:val="pct12" w:color="auto" w:fill="auto"/>
          </w:tcPr>
          <w:p w14:paraId="54766438" w14:textId="779CD473" w:rsidR="00BA74EC" w:rsidRPr="007311FD" w:rsidRDefault="008A3226" w:rsidP="00DA1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31</w:t>
            </w:r>
            <w:r w:rsidR="00BA74EC" w:rsidRPr="007311FD">
              <w:rPr>
                <w:b/>
                <w:sz w:val="20"/>
              </w:rPr>
              <w:t>,</w:t>
            </w:r>
            <w:r w:rsidRPr="007311FD">
              <w:rPr>
                <w:b/>
                <w:sz w:val="20"/>
              </w:rPr>
              <w:t>137</w:t>
            </w:r>
            <w:r w:rsidR="00BA74EC" w:rsidRPr="007311FD">
              <w:rPr>
                <w:b/>
                <w:sz w:val="20"/>
              </w:rPr>
              <w:t>,</w:t>
            </w:r>
            <w:r w:rsidR="00DA1AB3" w:rsidRPr="007311FD">
              <w:rPr>
                <w:b/>
                <w:sz w:val="20"/>
              </w:rPr>
              <w:t>523</w:t>
            </w:r>
          </w:p>
        </w:tc>
      </w:tr>
    </w:tbl>
    <w:p w14:paraId="6CB9B2E6" w14:textId="77777777" w:rsidR="00BA74EC" w:rsidRPr="007311FD" w:rsidRDefault="00BA74EC"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z w:val="20"/>
        </w:rPr>
        <w:t>*New requirement (see section 15 for details).</w:t>
      </w:r>
    </w:p>
    <w:p w14:paraId="03A0CB81" w14:textId="77777777" w:rsidR="00BA74EC" w:rsidRDefault="00BA74EC"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AABCBD6" w14:textId="2BA2F0F8" w:rsidR="00BA74EC" w:rsidRDefault="0075323A" w:rsidP="007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6A6A4C">
        <w:rPr>
          <w:bCs/>
          <w:snapToGrid/>
          <w:color w:val="000000"/>
          <w:szCs w:val="24"/>
        </w:rPr>
        <w:t>CMS-367c – Product</w:t>
      </w:r>
      <w:r w:rsidRPr="006A6A4C">
        <w:rPr>
          <w:szCs w:val="24"/>
        </w:rPr>
        <w:t xml:space="preserve">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75323A" w:rsidRPr="00F274C2" w14:paraId="0A976FC1" w14:textId="77777777" w:rsidTr="00685467">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26D10A11"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3C7BFA4E"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7B3E4ACA"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1FC81A07"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5A9B2EB8"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0E5C412F"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043D509D"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3F4A54C7"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21A3238C"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75323A" w:rsidRPr="00F274C2" w14:paraId="696AD7B6" w14:textId="77777777" w:rsidTr="00685467">
        <w:tc>
          <w:tcPr>
            <w:tcW w:w="1620" w:type="dxa"/>
            <w:tcBorders>
              <w:top w:val="single" w:sz="4" w:space="0" w:color="auto"/>
              <w:left w:val="single" w:sz="4" w:space="0" w:color="auto"/>
              <w:bottom w:val="single" w:sz="4" w:space="0" w:color="auto"/>
              <w:right w:val="single" w:sz="4" w:space="0" w:color="auto"/>
            </w:tcBorders>
            <w:vAlign w:val="center"/>
          </w:tcPr>
          <w:p w14:paraId="6EA6F3EF"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z w:val="20"/>
              </w:rPr>
              <w:t>Currently Approved Burden</w:t>
            </w:r>
          </w:p>
        </w:tc>
        <w:tc>
          <w:tcPr>
            <w:tcW w:w="1890" w:type="dxa"/>
            <w:vMerge w:val="restart"/>
            <w:tcBorders>
              <w:top w:val="single" w:sz="4" w:space="0" w:color="auto"/>
              <w:left w:val="single" w:sz="4" w:space="0" w:color="auto"/>
              <w:right w:val="single" w:sz="4" w:space="0" w:color="auto"/>
            </w:tcBorders>
          </w:tcPr>
          <w:p w14:paraId="15E91A34"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2A9EF277"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610</w:t>
            </w:r>
          </w:p>
        </w:tc>
        <w:tc>
          <w:tcPr>
            <w:tcW w:w="1350" w:type="dxa"/>
            <w:vMerge w:val="restart"/>
            <w:tcBorders>
              <w:top w:val="single" w:sz="4" w:space="0" w:color="auto"/>
              <w:left w:val="single" w:sz="4" w:space="0" w:color="auto"/>
              <w:right w:val="single" w:sz="4" w:space="0" w:color="auto"/>
            </w:tcBorders>
          </w:tcPr>
          <w:p w14:paraId="2EC89433"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FEA419E" w14:textId="0F04AF3A" w:rsidR="0075323A" w:rsidRPr="007311FD" w:rsidRDefault="00291C4D"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610</w:t>
            </w:r>
          </w:p>
          <w:p w14:paraId="38E4231D" w14:textId="6D4F826C" w:rsidR="0075323A" w:rsidRPr="007311FD" w:rsidRDefault="0075323A" w:rsidP="00291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 response per year)</w:t>
            </w:r>
          </w:p>
        </w:tc>
        <w:tc>
          <w:tcPr>
            <w:tcW w:w="1260" w:type="dxa"/>
            <w:tcBorders>
              <w:top w:val="single" w:sz="4" w:space="0" w:color="auto"/>
              <w:left w:val="single" w:sz="4" w:space="0" w:color="auto"/>
              <w:bottom w:val="single" w:sz="4" w:space="0" w:color="auto"/>
              <w:right w:val="single" w:sz="4" w:space="0" w:color="auto"/>
            </w:tcBorders>
          </w:tcPr>
          <w:p w14:paraId="2323EBC6" w14:textId="102B55B9" w:rsidR="0075323A" w:rsidRPr="007311FD" w:rsidRDefault="00C617F2"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17.5</w:t>
            </w:r>
          </w:p>
        </w:tc>
        <w:tc>
          <w:tcPr>
            <w:tcW w:w="1170" w:type="dxa"/>
            <w:tcBorders>
              <w:top w:val="single" w:sz="4" w:space="0" w:color="auto"/>
              <w:left w:val="single" w:sz="4" w:space="0" w:color="auto"/>
              <w:bottom w:val="single" w:sz="4" w:space="0" w:color="auto"/>
              <w:right w:val="single" w:sz="4" w:space="0" w:color="auto"/>
            </w:tcBorders>
          </w:tcPr>
          <w:p w14:paraId="3418D569" w14:textId="19536975" w:rsidR="0075323A" w:rsidRPr="007311FD" w:rsidRDefault="0075323A" w:rsidP="00C61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10,6</w:t>
            </w:r>
            <w:r w:rsidR="00C617F2" w:rsidRPr="007311FD">
              <w:rPr>
                <w:sz w:val="20"/>
              </w:rPr>
              <w:t>75</w:t>
            </w:r>
          </w:p>
        </w:tc>
        <w:tc>
          <w:tcPr>
            <w:tcW w:w="1260" w:type="dxa"/>
            <w:vMerge w:val="restart"/>
            <w:tcBorders>
              <w:top w:val="single" w:sz="4" w:space="0" w:color="auto"/>
              <w:left w:val="single" w:sz="4" w:space="0" w:color="auto"/>
              <w:right w:val="single" w:sz="4" w:space="0" w:color="auto"/>
            </w:tcBorders>
          </w:tcPr>
          <w:p w14:paraId="57DDD0F6"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3A661E1"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tcBorders>
              <w:top w:val="single" w:sz="4" w:space="0" w:color="auto"/>
              <w:left w:val="single" w:sz="4" w:space="0" w:color="auto"/>
              <w:bottom w:val="single" w:sz="4" w:space="0" w:color="auto"/>
              <w:right w:val="single" w:sz="4" w:space="0" w:color="auto"/>
            </w:tcBorders>
          </w:tcPr>
          <w:p w14:paraId="5105DFE3" w14:textId="16EDA9F1" w:rsidR="0075323A" w:rsidRPr="007311FD" w:rsidRDefault="0067174A" w:rsidP="00671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947,390</w:t>
            </w:r>
          </w:p>
        </w:tc>
      </w:tr>
      <w:tr w:rsidR="0075323A" w:rsidRPr="00F274C2" w14:paraId="01C09C8C" w14:textId="77777777" w:rsidTr="00685467">
        <w:tc>
          <w:tcPr>
            <w:tcW w:w="1620" w:type="dxa"/>
            <w:tcBorders>
              <w:top w:val="single" w:sz="4" w:space="0" w:color="auto"/>
              <w:left w:val="single" w:sz="4" w:space="0" w:color="auto"/>
              <w:bottom w:val="single" w:sz="4" w:space="0" w:color="auto"/>
              <w:right w:val="single" w:sz="4" w:space="0" w:color="auto"/>
            </w:tcBorders>
            <w:vAlign w:val="center"/>
          </w:tcPr>
          <w:p w14:paraId="42E24F90" w14:textId="0C20B08B" w:rsidR="0075323A" w:rsidRPr="007311FD" w:rsidRDefault="00605B6C"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napToGrid/>
                <w:color w:val="000000"/>
                <w:sz w:val="20"/>
              </w:rPr>
              <w:t>Line Extension Drug Indicator</w:t>
            </w:r>
            <w:r w:rsidR="0075323A" w:rsidRPr="007311FD">
              <w:rPr>
                <w:snapToGrid/>
                <w:color w:val="000000"/>
                <w:sz w:val="20"/>
              </w:rPr>
              <w:t>*</w:t>
            </w:r>
          </w:p>
        </w:tc>
        <w:tc>
          <w:tcPr>
            <w:tcW w:w="1890" w:type="dxa"/>
            <w:vMerge/>
            <w:tcBorders>
              <w:left w:val="single" w:sz="4" w:space="0" w:color="auto"/>
              <w:right w:val="single" w:sz="4" w:space="0" w:color="auto"/>
            </w:tcBorders>
          </w:tcPr>
          <w:p w14:paraId="7F13171C"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vMerge/>
            <w:tcBorders>
              <w:left w:val="single" w:sz="4" w:space="0" w:color="auto"/>
              <w:right w:val="single" w:sz="4" w:space="0" w:color="auto"/>
            </w:tcBorders>
          </w:tcPr>
          <w:p w14:paraId="1A6A782C"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0190F226" w14:textId="16C52D5B" w:rsidR="0075323A" w:rsidRPr="007311FD" w:rsidRDefault="002E3FAF"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26</w:t>
            </w:r>
          </w:p>
        </w:tc>
        <w:tc>
          <w:tcPr>
            <w:tcW w:w="1170" w:type="dxa"/>
            <w:tcBorders>
              <w:top w:val="single" w:sz="4" w:space="0" w:color="auto"/>
              <w:left w:val="single" w:sz="4" w:space="0" w:color="auto"/>
              <w:bottom w:val="single" w:sz="4" w:space="0" w:color="auto"/>
              <w:right w:val="single" w:sz="4" w:space="0" w:color="auto"/>
            </w:tcBorders>
          </w:tcPr>
          <w:p w14:paraId="30A65E31" w14:textId="62B24A25" w:rsidR="0075323A" w:rsidRPr="007311FD" w:rsidRDefault="002E3FAF"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15,860</w:t>
            </w:r>
          </w:p>
        </w:tc>
        <w:tc>
          <w:tcPr>
            <w:tcW w:w="1260" w:type="dxa"/>
            <w:vMerge/>
            <w:tcBorders>
              <w:left w:val="single" w:sz="4" w:space="0" w:color="auto"/>
              <w:right w:val="single" w:sz="4" w:space="0" w:color="auto"/>
            </w:tcBorders>
          </w:tcPr>
          <w:p w14:paraId="79785517"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tcBorders>
              <w:top w:val="single" w:sz="4" w:space="0" w:color="auto"/>
              <w:left w:val="single" w:sz="4" w:space="0" w:color="auto"/>
              <w:right w:val="single" w:sz="4" w:space="0" w:color="auto"/>
            </w:tcBorders>
          </w:tcPr>
          <w:p w14:paraId="18655027" w14:textId="6CD369D2" w:rsidR="0075323A" w:rsidRPr="007311FD" w:rsidRDefault="002E3FAF"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1,407,551</w:t>
            </w:r>
          </w:p>
        </w:tc>
      </w:tr>
      <w:tr w:rsidR="0075323A" w:rsidRPr="007311FD" w14:paraId="207AB86B" w14:textId="77777777" w:rsidTr="00685467">
        <w:tc>
          <w:tcPr>
            <w:tcW w:w="1620" w:type="dxa"/>
            <w:tcBorders>
              <w:top w:val="single" w:sz="4" w:space="0" w:color="auto"/>
              <w:left w:val="single" w:sz="4" w:space="0" w:color="auto"/>
              <w:bottom w:val="single" w:sz="4" w:space="0" w:color="auto"/>
              <w:right w:val="single" w:sz="4" w:space="0" w:color="auto"/>
            </w:tcBorders>
            <w:shd w:val="pct12" w:color="auto" w:fill="auto"/>
            <w:vAlign w:val="center"/>
          </w:tcPr>
          <w:p w14:paraId="5542590F"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Total Burden</w:t>
            </w:r>
          </w:p>
        </w:tc>
        <w:tc>
          <w:tcPr>
            <w:tcW w:w="1890" w:type="dxa"/>
            <w:tcBorders>
              <w:top w:val="single" w:sz="4" w:space="0" w:color="auto"/>
              <w:left w:val="single" w:sz="4" w:space="0" w:color="auto"/>
              <w:bottom w:val="single" w:sz="4" w:space="0" w:color="auto"/>
              <w:right w:val="single" w:sz="4" w:space="0" w:color="auto"/>
            </w:tcBorders>
            <w:shd w:val="pct12" w:color="auto" w:fill="auto"/>
          </w:tcPr>
          <w:p w14:paraId="6D5F891D"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610</w:t>
            </w:r>
          </w:p>
        </w:tc>
        <w:tc>
          <w:tcPr>
            <w:tcW w:w="1350" w:type="dxa"/>
            <w:tcBorders>
              <w:top w:val="single" w:sz="4" w:space="0" w:color="auto"/>
              <w:left w:val="single" w:sz="4" w:space="0" w:color="auto"/>
              <w:bottom w:val="single" w:sz="4" w:space="0" w:color="auto"/>
              <w:right w:val="single" w:sz="4" w:space="0" w:color="auto"/>
            </w:tcBorders>
            <w:shd w:val="pct12" w:color="auto" w:fill="auto"/>
          </w:tcPr>
          <w:p w14:paraId="051C0743" w14:textId="5E1A7EBA" w:rsidR="0075323A" w:rsidRPr="007311FD" w:rsidRDefault="00B168E2"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610</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1F4F5435" w14:textId="2C2518EE" w:rsidR="0075323A" w:rsidRPr="007311FD" w:rsidRDefault="0075323A" w:rsidP="00AB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4</w:t>
            </w:r>
            <w:r w:rsidR="00667CD9" w:rsidRPr="007311FD">
              <w:rPr>
                <w:b/>
                <w:sz w:val="20"/>
              </w:rPr>
              <w:t>3</w:t>
            </w:r>
            <w:r w:rsidRPr="007311FD">
              <w:rPr>
                <w:b/>
                <w:sz w:val="20"/>
              </w:rPr>
              <w:t>.</w:t>
            </w:r>
            <w:r w:rsidR="00AB2062" w:rsidRPr="007311FD">
              <w:rPr>
                <w:b/>
                <w:sz w:val="20"/>
              </w:rPr>
              <w:t>5</w:t>
            </w: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415E37F1" w14:textId="6A754828" w:rsidR="0075323A" w:rsidRPr="007311FD" w:rsidRDefault="00397CA3"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26,535</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5694E55A" w14:textId="77777777" w:rsidR="0075323A" w:rsidRPr="007311FD" w:rsidRDefault="0075323A" w:rsidP="00685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Varies</w:t>
            </w:r>
          </w:p>
        </w:tc>
        <w:tc>
          <w:tcPr>
            <w:tcW w:w="1620" w:type="dxa"/>
            <w:tcBorders>
              <w:top w:val="single" w:sz="4" w:space="0" w:color="auto"/>
              <w:left w:val="single" w:sz="4" w:space="0" w:color="auto"/>
              <w:bottom w:val="single" w:sz="4" w:space="0" w:color="auto"/>
              <w:right w:val="single" w:sz="4" w:space="0" w:color="auto"/>
            </w:tcBorders>
            <w:shd w:val="pct12" w:color="auto" w:fill="auto"/>
          </w:tcPr>
          <w:p w14:paraId="292F8E81" w14:textId="27F7E59E" w:rsidR="0075323A" w:rsidRPr="007311FD" w:rsidRDefault="0075323A" w:rsidP="008659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2,</w:t>
            </w:r>
            <w:r w:rsidR="0033230A" w:rsidRPr="007311FD">
              <w:rPr>
                <w:b/>
                <w:sz w:val="20"/>
              </w:rPr>
              <w:t>354</w:t>
            </w:r>
            <w:r w:rsidRPr="007311FD">
              <w:rPr>
                <w:b/>
                <w:sz w:val="20"/>
              </w:rPr>
              <w:t>,9</w:t>
            </w:r>
            <w:r w:rsidR="008659B3" w:rsidRPr="007311FD">
              <w:rPr>
                <w:b/>
                <w:sz w:val="20"/>
              </w:rPr>
              <w:t>4</w:t>
            </w:r>
            <w:r w:rsidRPr="007311FD">
              <w:rPr>
                <w:b/>
                <w:sz w:val="20"/>
              </w:rPr>
              <w:t>1</w:t>
            </w:r>
          </w:p>
        </w:tc>
      </w:tr>
    </w:tbl>
    <w:p w14:paraId="1F019446" w14:textId="77777777" w:rsidR="0075323A" w:rsidRPr="007311FD" w:rsidRDefault="0075323A" w:rsidP="007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z w:val="20"/>
        </w:rPr>
        <w:t>*New requirement (see section 15 for details).</w:t>
      </w:r>
    </w:p>
    <w:p w14:paraId="5F9FE999" w14:textId="77777777" w:rsidR="00FC18EA" w:rsidRPr="005A327D" w:rsidRDefault="00FC18EA"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4D18467" w14:textId="53F5CD02" w:rsidR="00FC18EA" w:rsidRPr="005A327D" w:rsidRDefault="00FC18EA" w:rsidP="00FC18EA">
      <w:pPr>
        <w:widowControl/>
        <w:rPr>
          <w:i/>
          <w:szCs w:val="24"/>
        </w:rPr>
      </w:pPr>
      <w:r w:rsidRPr="005A327D">
        <w:rPr>
          <w:bCs/>
          <w:i/>
          <w:snapToGrid/>
          <w:color w:val="000000"/>
          <w:szCs w:val="24"/>
        </w:rPr>
        <w:t xml:space="preserve">CMS-367d – </w:t>
      </w:r>
      <w:r w:rsidRPr="005A327D">
        <w:rPr>
          <w:i/>
          <w:szCs w:val="24"/>
        </w:rPr>
        <w:t>Supplemental Data Sheet</w:t>
      </w:r>
      <w:r w:rsidR="00650382">
        <w:rPr>
          <w:i/>
          <w:szCs w:val="24"/>
        </w:rPr>
        <w:t>*</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6A6A4C" w:rsidRPr="00F274C2" w14:paraId="18A46B48" w14:textId="77777777" w:rsidTr="00E84320">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17ABE225"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380F5DB7"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408AF8C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2E76556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0CB69D2C"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54B84B2B"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3D289493"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58D8B11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0C0E38C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6A6A4C" w:rsidRPr="00F274C2" w14:paraId="3F2DFD3F" w14:textId="77777777" w:rsidTr="00E84320">
        <w:tc>
          <w:tcPr>
            <w:tcW w:w="1620" w:type="dxa"/>
            <w:tcBorders>
              <w:top w:val="single" w:sz="4" w:space="0" w:color="auto"/>
              <w:left w:val="single" w:sz="4" w:space="0" w:color="auto"/>
              <w:bottom w:val="single" w:sz="4" w:space="0" w:color="auto"/>
              <w:right w:val="single" w:sz="4" w:space="0" w:color="auto"/>
            </w:tcBorders>
            <w:vAlign w:val="center"/>
          </w:tcPr>
          <w:p w14:paraId="76B465D8"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Currently Approved Burden</w:t>
            </w:r>
          </w:p>
        </w:tc>
        <w:tc>
          <w:tcPr>
            <w:tcW w:w="1890" w:type="dxa"/>
            <w:tcBorders>
              <w:top w:val="single" w:sz="4" w:space="0" w:color="auto"/>
              <w:left w:val="single" w:sz="4" w:space="0" w:color="auto"/>
              <w:bottom w:val="single" w:sz="4" w:space="0" w:color="auto"/>
              <w:right w:val="single" w:sz="4" w:space="0" w:color="auto"/>
            </w:tcBorders>
          </w:tcPr>
          <w:p w14:paraId="01B4149F"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610</w:t>
            </w:r>
          </w:p>
        </w:tc>
        <w:tc>
          <w:tcPr>
            <w:tcW w:w="1350" w:type="dxa"/>
            <w:tcBorders>
              <w:top w:val="single" w:sz="4" w:space="0" w:color="auto"/>
              <w:left w:val="single" w:sz="4" w:space="0" w:color="auto"/>
              <w:bottom w:val="single" w:sz="4" w:space="0" w:color="auto"/>
              <w:right w:val="single" w:sz="4" w:space="0" w:color="auto"/>
            </w:tcBorders>
          </w:tcPr>
          <w:p w14:paraId="7487C2B1" w14:textId="4051ED55"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1,220</w:t>
            </w:r>
          </w:p>
          <w:p w14:paraId="17450395" w14:textId="76BE604B" w:rsidR="006A6A4C" w:rsidRPr="007311FD" w:rsidRDefault="006A6A4C" w:rsidP="006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 responses per year)</w:t>
            </w:r>
          </w:p>
        </w:tc>
        <w:tc>
          <w:tcPr>
            <w:tcW w:w="1260" w:type="dxa"/>
            <w:tcBorders>
              <w:top w:val="single" w:sz="4" w:space="0" w:color="auto"/>
              <w:left w:val="single" w:sz="4" w:space="0" w:color="auto"/>
              <w:bottom w:val="single" w:sz="4" w:space="0" w:color="auto"/>
              <w:right w:val="single" w:sz="4" w:space="0" w:color="auto"/>
            </w:tcBorders>
          </w:tcPr>
          <w:p w14:paraId="4DA7184F" w14:textId="55540B00"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w:t>
            </w:r>
          </w:p>
        </w:tc>
        <w:tc>
          <w:tcPr>
            <w:tcW w:w="1170" w:type="dxa"/>
            <w:tcBorders>
              <w:top w:val="single" w:sz="4" w:space="0" w:color="auto"/>
              <w:left w:val="single" w:sz="4" w:space="0" w:color="auto"/>
              <w:bottom w:val="single" w:sz="4" w:space="0" w:color="auto"/>
              <w:right w:val="single" w:sz="4" w:space="0" w:color="auto"/>
            </w:tcBorders>
          </w:tcPr>
          <w:p w14:paraId="1E5C7CD9" w14:textId="1EFF2D02"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1,220</w:t>
            </w:r>
          </w:p>
        </w:tc>
        <w:tc>
          <w:tcPr>
            <w:tcW w:w="1260" w:type="dxa"/>
            <w:tcBorders>
              <w:top w:val="single" w:sz="4" w:space="0" w:color="auto"/>
              <w:left w:val="single" w:sz="4" w:space="0" w:color="auto"/>
              <w:bottom w:val="single" w:sz="4" w:space="0" w:color="auto"/>
              <w:right w:val="single" w:sz="4" w:space="0" w:color="auto"/>
            </w:tcBorders>
          </w:tcPr>
          <w:p w14:paraId="5D2E44C2"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83.96</w:t>
            </w:r>
          </w:p>
        </w:tc>
        <w:tc>
          <w:tcPr>
            <w:tcW w:w="1620" w:type="dxa"/>
            <w:tcBorders>
              <w:top w:val="single" w:sz="4" w:space="0" w:color="auto"/>
              <w:left w:val="single" w:sz="4" w:space="0" w:color="auto"/>
              <w:bottom w:val="single" w:sz="4" w:space="0" w:color="auto"/>
              <w:right w:val="single" w:sz="4" w:space="0" w:color="auto"/>
            </w:tcBorders>
          </w:tcPr>
          <w:p w14:paraId="53109B98" w14:textId="1C9B8811" w:rsidR="006A6A4C" w:rsidRPr="007311FD" w:rsidRDefault="00FC0269"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102,431</w:t>
            </w:r>
          </w:p>
        </w:tc>
      </w:tr>
    </w:tbl>
    <w:p w14:paraId="62592A5C" w14:textId="77777777" w:rsidR="006A6A4C" w:rsidRPr="007311FD" w:rsidRDefault="006A6A4C" w:rsidP="006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z w:val="20"/>
        </w:rPr>
        <w:t>*No changes.</w:t>
      </w:r>
    </w:p>
    <w:p w14:paraId="44D11386" w14:textId="77777777" w:rsidR="00FC18EA" w:rsidRDefault="00FC18EA" w:rsidP="00FC18EA">
      <w:pPr>
        <w:widowControl/>
        <w:rPr>
          <w:i/>
          <w:szCs w:val="24"/>
        </w:rPr>
      </w:pPr>
    </w:p>
    <w:p w14:paraId="6FA50B9B" w14:textId="77777777" w:rsidR="00C6443C" w:rsidRPr="00D47256" w:rsidRDefault="002D08C1" w:rsidP="00C64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D47256">
        <w:rPr>
          <w:i/>
          <w:szCs w:val="24"/>
        </w:rPr>
        <w:t xml:space="preserve">Other </w:t>
      </w:r>
      <w:r w:rsidR="0028689A" w:rsidRPr="00D47256">
        <w:rPr>
          <w:i/>
          <w:szCs w:val="24"/>
        </w:rPr>
        <w:t>Requirements/Burden</w:t>
      </w:r>
    </w:p>
    <w:p w14:paraId="29BB2E6C" w14:textId="77777777" w:rsidR="00967FF2" w:rsidRPr="00D47256" w:rsidRDefault="00967FF2" w:rsidP="00CE4A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CF0BB7B" w14:textId="0F8927ED" w:rsidR="00F7311F" w:rsidRPr="00D47256" w:rsidRDefault="00F7311F" w:rsidP="00F73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The following sets out requirements and burden which do not appear in any of the form CMS-367 data fields:</w:t>
      </w:r>
    </w:p>
    <w:p w14:paraId="69784010" w14:textId="36F1B386" w:rsidR="000F2D8D" w:rsidRPr="00D47256" w:rsidRDefault="000F2D8D" w:rsidP="000F2D8D">
      <w:pPr>
        <w:rPr>
          <w:szCs w:val="24"/>
        </w:rPr>
      </w:pPr>
    </w:p>
    <w:p w14:paraId="25B378AF" w14:textId="065AAD1D" w:rsidR="000F2D8D" w:rsidRPr="00D47256" w:rsidRDefault="000F2D8D" w:rsidP="000F2D8D">
      <w:pPr>
        <w:rPr>
          <w:szCs w:val="24"/>
        </w:rPr>
      </w:pPr>
      <w:r w:rsidRPr="00D47256">
        <w:rPr>
          <w:b/>
          <w:szCs w:val="24"/>
        </w:rPr>
        <w:t xml:space="preserve">Additional Burden Due to the One-Time Reconfiguration of Labeler Drug Pricing Systems:  </w:t>
      </w:r>
      <w:r w:rsidRPr="00D47256">
        <w:rPr>
          <w:szCs w:val="24"/>
        </w:rPr>
        <w:t xml:space="preserve">Consistent with §447.510 of the final rule, drug manufacturers currently must report (electronically) product and quarterly pricing information to CMS not later than 30 days after the end of the rebate period.  Monthly pricing and units are due no later than 30 days after the end of the month.  </w:t>
      </w:r>
    </w:p>
    <w:p w14:paraId="712995AE" w14:textId="77777777" w:rsidR="000F2D8D" w:rsidRPr="00D47256" w:rsidRDefault="000F2D8D" w:rsidP="000F2D8D">
      <w:pPr>
        <w:rPr>
          <w:szCs w:val="24"/>
        </w:rPr>
      </w:pPr>
    </w:p>
    <w:p w14:paraId="636038AF" w14:textId="0DF5507C" w:rsidR="000F2D8D" w:rsidRPr="00D47256" w:rsidRDefault="000F2D8D" w:rsidP="007C774B">
      <w:pPr>
        <w:rPr>
          <w:szCs w:val="24"/>
        </w:rPr>
      </w:pPr>
      <w:r w:rsidRPr="00D47256">
        <w:rPr>
          <w:szCs w:val="24"/>
        </w:rPr>
        <w:t>This final rule significantly revises the definitions of AMP and best price, which are both part of the pricing information submitted by manufacturers on a monthly and/or quarterly basis.  Consequently, drug manufacturers must reconfigure their pricing systems to correctly calculate AMP and best price</w:t>
      </w:r>
      <w:r w:rsidR="0075557F" w:rsidRPr="00D47256">
        <w:rPr>
          <w:szCs w:val="24"/>
        </w:rPr>
        <w:t>.</w:t>
      </w:r>
      <w:r w:rsidRPr="00D47256">
        <w:rPr>
          <w:szCs w:val="24"/>
        </w:rPr>
        <w:t xml:space="preserve">  Specifically, the burden associated with these new requirements is the time and effort it takes a drug manufacturer to reconfigure its pricing systems to correctly calculate AMP and best price, before it can submit the required data to CMS.  </w:t>
      </w:r>
    </w:p>
    <w:p w14:paraId="7D6B70CE" w14:textId="77777777" w:rsidR="000F2D8D" w:rsidRPr="00D47256" w:rsidRDefault="000F2D8D" w:rsidP="000F2D8D">
      <w:pPr>
        <w:rPr>
          <w:szCs w:val="24"/>
        </w:rPr>
      </w:pPr>
    </w:p>
    <w:p w14:paraId="1DD389DF" w14:textId="77777777" w:rsidR="000F2D8D" w:rsidRPr="00D47256" w:rsidRDefault="000F2D8D" w:rsidP="000F2D8D">
      <w:pPr>
        <w:rPr>
          <w:szCs w:val="24"/>
        </w:rPr>
      </w:pPr>
      <w:r w:rsidRPr="00D47256">
        <w:rPr>
          <w:szCs w:val="24"/>
        </w:rPr>
        <w:t xml:space="preserve">We estimate that these requirements affect the approximately 610 drug manufacturers in the MDR program.  We estimate it will take a Computer System Analyst 400 hours at $83.96/hr, a General and Operations Manager 180 hours at $112.70/hr, a Training and Development Manager 180 hours at $106.76/hr, a Lawyer 40 hours at $128.34/hr, and an Operations Research Analyst 400 hours at $79.76/hr (for a one-time total of $110,124.40 across all five positions) to update a manufacturer’s pricing system to incorporate the new requirements related to the changes to AMP and best price definitions.  The one-time total burden for the 610 drug manufacturers </w:t>
      </w:r>
      <w:r w:rsidRPr="00D47256">
        <w:rPr>
          <w:szCs w:val="24"/>
        </w:rPr>
        <w:lastRenderedPageBreak/>
        <w:t>participating in the MDR program is estimated to be 732,000 hours (610 drug manufacturers x 1,200 hr/ drug manufacturer) at a cost of $67,175,884.</w:t>
      </w:r>
    </w:p>
    <w:p w14:paraId="13856D9D" w14:textId="77777777" w:rsidR="00DA3E08" w:rsidRPr="00D47256" w:rsidRDefault="00DA3E08" w:rsidP="000F2D8D">
      <w:pPr>
        <w:rPr>
          <w:b/>
          <w:szCs w:val="24"/>
        </w:rPr>
      </w:pPr>
    </w:p>
    <w:p w14:paraId="66ED2EBB" w14:textId="799FF4C6" w:rsidR="00C5144F" w:rsidRPr="00D47256" w:rsidRDefault="00C5144F" w:rsidP="00C5144F">
      <w:pPr>
        <w:rPr>
          <w:szCs w:val="24"/>
        </w:rPr>
      </w:pPr>
      <w:r>
        <w:rPr>
          <w:szCs w:val="24"/>
        </w:rPr>
        <w:t xml:space="preserve">This information is not located on the CMS-367 forms. As indicated above this burden requirement is </w:t>
      </w:r>
      <w:r w:rsidRPr="00D47256">
        <w:rPr>
          <w:szCs w:val="24"/>
        </w:rPr>
        <w:t>to update a manufacturer’s pricing system to incorporate the new requirements related to the changes to AMP and best price definitio</w:t>
      </w:r>
      <w:r>
        <w:rPr>
          <w:szCs w:val="24"/>
        </w:rPr>
        <w:t xml:space="preserve">n so that AMP and best price data </w:t>
      </w:r>
      <w:r w:rsidR="00324248">
        <w:rPr>
          <w:szCs w:val="24"/>
        </w:rPr>
        <w:t xml:space="preserve">can be reported </w:t>
      </w:r>
      <w:r>
        <w:rPr>
          <w:szCs w:val="24"/>
        </w:rPr>
        <w:t>on the CMS-367 forms.</w:t>
      </w:r>
    </w:p>
    <w:p w14:paraId="230B7303" w14:textId="77777777" w:rsidR="000F2D8D" w:rsidRPr="00D47256" w:rsidRDefault="000F2D8D" w:rsidP="000F2D8D">
      <w:pPr>
        <w:rPr>
          <w:szCs w:val="24"/>
        </w:rPr>
      </w:pPr>
    </w:p>
    <w:p w14:paraId="2C17AFCF" w14:textId="77777777" w:rsidR="000F2D8D" w:rsidRPr="00D47256" w:rsidRDefault="000F2D8D" w:rsidP="000F2D8D">
      <w:pPr>
        <w:rPr>
          <w:b/>
          <w:szCs w:val="24"/>
        </w:rPr>
      </w:pPr>
      <w:r w:rsidRPr="00D47256">
        <w:rPr>
          <w:b/>
          <w:szCs w:val="24"/>
        </w:rPr>
        <w:t xml:space="preserve">Additional Burden Due to the One-Time Cost of Training Drug Manufacturer Staff:  </w:t>
      </w:r>
      <w:r w:rsidRPr="00D47256">
        <w:rPr>
          <w:szCs w:val="24"/>
        </w:rPr>
        <w:t>In addition to the one-time burden of reconfiguring pricing systems, we are also estimating a one-time cost to train drug manufacturer staff on the new, reconfigured pricing systems.  We are including this additional estimate based upon comments we received in response to the proposed rule.  To perform this training, we believe it will take a General and Operations Manager 600 hours at $112.70/hr, a Training and Development Manager 1,700 hours at $106.76/hr, and an Operations Research Analyst 1,700 hours at $79.76/hr (for a one-time total of $384,704 across all three positions).  The one-time total burden associated with this training is estimated to be 2,440,000 hours (610 drug manufacturers x 4,000 hr/ drug manufacturer) at a cost of $234,669,440.</w:t>
      </w:r>
    </w:p>
    <w:p w14:paraId="57CF722A" w14:textId="10ADD597" w:rsidR="00C5144F" w:rsidRPr="00D47256" w:rsidRDefault="00C5144F" w:rsidP="00C5144F">
      <w:pPr>
        <w:rPr>
          <w:szCs w:val="24"/>
        </w:rPr>
      </w:pPr>
      <w:r>
        <w:rPr>
          <w:szCs w:val="24"/>
        </w:rPr>
        <w:t xml:space="preserve">This information is not located on the CMS-367 forms. As indicated above this burden requirement is </w:t>
      </w:r>
      <w:r w:rsidRPr="00D47256">
        <w:rPr>
          <w:szCs w:val="24"/>
        </w:rPr>
        <w:t>to update a manufacturer’s pricing system to incorporate the new requirements related to the changes to AMP and best price definitio</w:t>
      </w:r>
      <w:r>
        <w:rPr>
          <w:szCs w:val="24"/>
        </w:rPr>
        <w:t>n so that AMP and best price data</w:t>
      </w:r>
      <w:r w:rsidR="00E37E13">
        <w:rPr>
          <w:szCs w:val="24"/>
        </w:rPr>
        <w:t xml:space="preserve"> can be reported</w:t>
      </w:r>
      <w:r>
        <w:rPr>
          <w:szCs w:val="24"/>
        </w:rPr>
        <w:t xml:space="preserve"> on the CMS-367 forms.</w:t>
      </w:r>
    </w:p>
    <w:p w14:paraId="48AF163D" w14:textId="77777777" w:rsidR="005B5C70" w:rsidRDefault="005B5C70" w:rsidP="007C774B">
      <w:pPr>
        <w:tabs>
          <w:tab w:val="left" w:pos="1440"/>
        </w:tabs>
        <w:rPr>
          <w:szCs w:val="24"/>
        </w:rPr>
      </w:pPr>
    </w:p>
    <w:p w14:paraId="74EFF85D" w14:textId="3C4FF22A" w:rsidR="005B5C70" w:rsidRPr="005B5C70" w:rsidRDefault="005B5C70" w:rsidP="005B5C70">
      <w:pPr>
        <w:tabs>
          <w:tab w:val="left" w:pos="1440"/>
        </w:tabs>
        <w:rPr>
          <w:i/>
          <w:szCs w:val="24"/>
        </w:rPr>
      </w:pPr>
      <w:r w:rsidRPr="005B5C70">
        <w:rPr>
          <w:i/>
          <w:szCs w:val="24"/>
        </w:rPr>
        <w:t>Summary of Burden</w:t>
      </w:r>
      <w:r>
        <w:rPr>
          <w:i/>
          <w:szCs w:val="24"/>
        </w:rPr>
        <w:t xml:space="preserve"> Estimates</w:t>
      </w:r>
    </w:p>
    <w:p w14:paraId="3517F03C" w14:textId="77777777" w:rsidR="005B5C70" w:rsidRPr="00D47256" w:rsidRDefault="005B5C70" w:rsidP="005B5C70">
      <w:pPr>
        <w:tabs>
          <w:tab w:val="left" w:pos="1440"/>
        </w:tabs>
        <w:rPr>
          <w:szCs w:val="24"/>
        </w:rPr>
      </w:pPr>
    </w:p>
    <w:tbl>
      <w:tblPr>
        <w:tblW w:w="12924" w:type="dxa"/>
        <w:jc w:val="center"/>
        <w:tblLook w:val="04A0" w:firstRow="1" w:lastRow="0" w:firstColumn="1" w:lastColumn="0" w:noHBand="0" w:noVBand="1"/>
      </w:tblPr>
      <w:tblGrid>
        <w:gridCol w:w="1211"/>
        <w:gridCol w:w="1571"/>
        <w:gridCol w:w="1261"/>
        <w:gridCol w:w="1306"/>
        <w:gridCol w:w="1094"/>
        <w:gridCol w:w="1017"/>
        <w:gridCol w:w="1016"/>
        <w:gridCol w:w="1216"/>
        <w:gridCol w:w="2016"/>
        <w:gridCol w:w="1216"/>
      </w:tblGrid>
      <w:tr w:rsidR="00C01480" w:rsidRPr="00D47256" w14:paraId="50BC5DD2" w14:textId="77777777" w:rsidTr="00603D7B">
        <w:trPr>
          <w:trHeight w:val="300"/>
          <w:jc w:val="center"/>
        </w:trPr>
        <w:tc>
          <w:tcPr>
            <w:tcW w:w="13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680FBA" w14:textId="77777777" w:rsidR="005B5C70" w:rsidRPr="000D0AA6" w:rsidRDefault="005B5C70" w:rsidP="00685467">
            <w:pPr>
              <w:widowControl/>
              <w:jc w:val="center"/>
              <w:rPr>
                <w:b/>
                <w:bCs/>
                <w:snapToGrid/>
                <w:color w:val="000000"/>
                <w:sz w:val="20"/>
              </w:rPr>
            </w:pPr>
            <w:r w:rsidRPr="000D0AA6">
              <w:rPr>
                <w:b/>
                <w:bCs/>
                <w:snapToGrid/>
                <w:color w:val="000000"/>
                <w:sz w:val="20"/>
              </w:rPr>
              <w:t>Regulation Section(s) in Title 42 of the CFR</w:t>
            </w:r>
          </w:p>
        </w:tc>
        <w:tc>
          <w:tcPr>
            <w:tcW w:w="16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303BEC" w14:textId="77777777" w:rsidR="005B5C70" w:rsidRPr="000D0AA6" w:rsidRDefault="005B5C70" w:rsidP="00685467">
            <w:pPr>
              <w:widowControl/>
              <w:jc w:val="center"/>
              <w:rPr>
                <w:b/>
                <w:bCs/>
                <w:snapToGrid/>
                <w:color w:val="000000"/>
                <w:sz w:val="20"/>
              </w:rPr>
            </w:pPr>
            <w:r w:rsidRPr="000D0AA6">
              <w:rPr>
                <w:b/>
                <w:bCs/>
                <w:snapToGrid/>
                <w:color w:val="000000"/>
                <w:sz w:val="20"/>
              </w:rPr>
              <w:t>Description</w:t>
            </w:r>
            <w:r>
              <w:rPr>
                <w:b/>
                <w:bCs/>
                <w:snapToGrid/>
                <w:color w:val="000000"/>
                <w:sz w:val="20"/>
              </w:rPr>
              <w:t xml:space="preserve"> / Form</w:t>
            </w:r>
          </w:p>
        </w:tc>
        <w:tc>
          <w:tcPr>
            <w:tcW w:w="1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778F32" w14:textId="77777777" w:rsidR="005B5C70" w:rsidRPr="000D0AA6" w:rsidRDefault="005B5C70" w:rsidP="00685467">
            <w:pPr>
              <w:widowControl/>
              <w:jc w:val="center"/>
              <w:rPr>
                <w:b/>
                <w:bCs/>
                <w:snapToGrid/>
                <w:color w:val="000000"/>
                <w:sz w:val="20"/>
              </w:rPr>
            </w:pPr>
            <w:r w:rsidRPr="000D0AA6">
              <w:rPr>
                <w:b/>
                <w:bCs/>
                <w:snapToGrid/>
                <w:color w:val="000000"/>
                <w:sz w:val="20"/>
              </w:rPr>
              <w:t>Frequency</w:t>
            </w:r>
          </w:p>
        </w:tc>
        <w:tc>
          <w:tcPr>
            <w:tcW w:w="13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BD4F6D" w14:textId="77777777" w:rsidR="005B5C70" w:rsidRPr="000D0AA6" w:rsidRDefault="005B5C70" w:rsidP="00685467">
            <w:pPr>
              <w:widowControl/>
              <w:jc w:val="center"/>
              <w:rPr>
                <w:b/>
                <w:bCs/>
                <w:snapToGrid/>
                <w:color w:val="000000"/>
                <w:sz w:val="20"/>
              </w:rPr>
            </w:pPr>
            <w:r w:rsidRPr="000D0AA6">
              <w:rPr>
                <w:b/>
                <w:bCs/>
                <w:snapToGrid/>
                <w:color w:val="000000"/>
                <w:sz w:val="20"/>
              </w:rPr>
              <w:t>Respondents</w:t>
            </w:r>
          </w:p>
        </w:tc>
        <w:tc>
          <w:tcPr>
            <w:tcW w:w="10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9CCF68" w14:textId="77777777" w:rsidR="005B5C70" w:rsidRPr="000D0AA6" w:rsidRDefault="005B5C70" w:rsidP="00685467">
            <w:pPr>
              <w:widowControl/>
              <w:jc w:val="center"/>
              <w:rPr>
                <w:b/>
                <w:bCs/>
                <w:snapToGrid/>
                <w:color w:val="000000"/>
                <w:sz w:val="20"/>
              </w:rPr>
            </w:pPr>
            <w:r w:rsidRPr="000D0AA6">
              <w:rPr>
                <w:b/>
                <w:bCs/>
                <w:snapToGrid/>
                <w:color w:val="000000"/>
                <w:sz w:val="20"/>
              </w:rPr>
              <w:t>Total Responses</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CD9535" w14:textId="77777777" w:rsidR="005B5C70" w:rsidRPr="000D0AA6" w:rsidRDefault="005B5C70" w:rsidP="00685467">
            <w:pPr>
              <w:widowControl/>
              <w:jc w:val="center"/>
              <w:rPr>
                <w:b/>
                <w:bCs/>
                <w:snapToGrid/>
                <w:color w:val="000000"/>
                <w:sz w:val="20"/>
              </w:rPr>
            </w:pPr>
            <w:r w:rsidRPr="000D0AA6">
              <w:rPr>
                <w:b/>
                <w:bCs/>
                <w:snapToGrid/>
                <w:color w:val="000000"/>
                <w:sz w:val="20"/>
              </w:rPr>
              <w:t>Burden per Response (hours)</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E1F695" w14:textId="77777777" w:rsidR="005B5C70" w:rsidRPr="000D0AA6" w:rsidRDefault="005B5C70" w:rsidP="00685467">
            <w:pPr>
              <w:widowControl/>
              <w:jc w:val="center"/>
              <w:rPr>
                <w:b/>
                <w:bCs/>
                <w:snapToGrid/>
                <w:color w:val="000000"/>
                <w:sz w:val="20"/>
              </w:rPr>
            </w:pPr>
            <w:r w:rsidRPr="000D0AA6">
              <w:rPr>
                <w:b/>
                <w:bCs/>
                <w:snapToGrid/>
                <w:color w:val="000000"/>
                <w:sz w:val="20"/>
              </w:rPr>
              <w:t>Total Annual Burden (hours)</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BD9448" w14:textId="77777777" w:rsidR="005B5C70" w:rsidRPr="000D0AA6" w:rsidRDefault="005B5C70" w:rsidP="00685467">
            <w:pPr>
              <w:widowControl/>
              <w:jc w:val="center"/>
              <w:rPr>
                <w:b/>
                <w:bCs/>
                <w:snapToGrid/>
                <w:color w:val="000000"/>
                <w:sz w:val="20"/>
              </w:rPr>
            </w:pPr>
            <w:r w:rsidRPr="000D0AA6">
              <w:rPr>
                <w:b/>
                <w:bCs/>
                <w:snapToGrid/>
                <w:color w:val="000000"/>
                <w:sz w:val="20"/>
              </w:rPr>
              <w:t>Total Labor Cost of Reporting ($)</w:t>
            </w:r>
          </w:p>
        </w:tc>
        <w:tc>
          <w:tcPr>
            <w:tcW w:w="2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EE8C69" w14:textId="77777777" w:rsidR="005B5C70" w:rsidRPr="000D0AA6" w:rsidRDefault="005B5C70" w:rsidP="00685467">
            <w:pPr>
              <w:widowControl/>
              <w:jc w:val="center"/>
              <w:rPr>
                <w:b/>
                <w:bCs/>
                <w:snapToGrid/>
                <w:color w:val="000000"/>
                <w:sz w:val="20"/>
              </w:rPr>
            </w:pPr>
            <w:r w:rsidRPr="000D0AA6">
              <w:rPr>
                <w:b/>
                <w:bCs/>
                <w:snapToGrid/>
                <w:color w:val="000000"/>
                <w:sz w:val="20"/>
              </w:rPr>
              <w:t>Total Capital/Maintenance Costs ($)</w:t>
            </w:r>
          </w:p>
        </w:tc>
        <w:tc>
          <w:tcPr>
            <w:tcW w:w="12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8D7488" w14:textId="77777777" w:rsidR="005B5C70" w:rsidRPr="000D0AA6" w:rsidRDefault="005B5C70" w:rsidP="00685467">
            <w:pPr>
              <w:widowControl/>
              <w:jc w:val="center"/>
              <w:rPr>
                <w:b/>
                <w:bCs/>
                <w:snapToGrid/>
                <w:color w:val="000000"/>
                <w:sz w:val="20"/>
              </w:rPr>
            </w:pPr>
            <w:r w:rsidRPr="000D0AA6">
              <w:rPr>
                <w:b/>
                <w:bCs/>
                <w:snapToGrid/>
                <w:color w:val="000000"/>
                <w:sz w:val="20"/>
              </w:rPr>
              <w:t>Total Cost ($)</w:t>
            </w:r>
          </w:p>
        </w:tc>
      </w:tr>
      <w:tr w:rsidR="00C01480" w:rsidRPr="00D47256" w14:paraId="4F2E8B6D" w14:textId="77777777" w:rsidTr="00603D7B">
        <w:trPr>
          <w:trHeight w:val="300"/>
          <w:jc w:val="center"/>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65682804" w14:textId="77777777" w:rsidR="005B5C70" w:rsidRPr="000D0AA6" w:rsidRDefault="005B5C70" w:rsidP="00685467">
            <w:pPr>
              <w:widowControl/>
              <w:rPr>
                <w:b/>
                <w:bCs/>
                <w:snapToGrid/>
                <w:color w:val="000000"/>
                <w:sz w:val="20"/>
              </w:rPr>
            </w:pPr>
          </w:p>
        </w:tc>
        <w:tc>
          <w:tcPr>
            <w:tcW w:w="1683" w:type="dxa"/>
            <w:vMerge/>
            <w:tcBorders>
              <w:top w:val="single" w:sz="8" w:space="0" w:color="auto"/>
              <w:left w:val="single" w:sz="8" w:space="0" w:color="auto"/>
              <w:bottom w:val="single" w:sz="8" w:space="0" w:color="000000"/>
              <w:right w:val="single" w:sz="8" w:space="0" w:color="auto"/>
            </w:tcBorders>
            <w:vAlign w:val="center"/>
            <w:hideMark/>
          </w:tcPr>
          <w:p w14:paraId="67D3FC6A" w14:textId="77777777" w:rsidR="005B5C70" w:rsidRPr="000D0AA6" w:rsidRDefault="005B5C70" w:rsidP="00685467">
            <w:pPr>
              <w:widowControl/>
              <w:rPr>
                <w:b/>
                <w:bCs/>
                <w:snapToGrid/>
                <w:color w:val="000000"/>
                <w:sz w:val="20"/>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14:paraId="4A875BFA" w14:textId="77777777" w:rsidR="005B5C70" w:rsidRPr="000D0AA6" w:rsidRDefault="005B5C70" w:rsidP="00685467">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45E06E1F" w14:textId="77777777" w:rsidR="005B5C70" w:rsidRPr="000D0AA6" w:rsidRDefault="005B5C70" w:rsidP="00685467">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4DED6F1B" w14:textId="77777777" w:rsidR="005B5C70" w:rsidRPr="000D0AA6" w:rsidRDefault="005B5C70" w:rsidP="00685467">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28CC4277" w14:textId="77777777" w:rsidR="005B5C70" w:rsidRPr="000D0AA6" w:rsidRDefault="005B5C70" w:rsidP="00685467">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3F1E9909" w14:textId="77777777" w:rsidR="005B5C70" w:rsidRPr="000D0AA6" w:rsidRDefault="005B5C70" w:rsidP="00685467">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13E1C4E4" w14:textId="77777777" w:rsidR="005B5C70" w:rsidRPr="000D0AA6" w:rsidRDefault="005B5C70" w:rsidP="00685467">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574B1167" w14:textId="77777777" w:rsidR="005B5C70" w:rsidRPr="000D0AA6" w:rsidRDefault="005B5C70" w:rsidP="00685467">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75E78D8F" w14:textId="77777777" w:rsidR="005B5C70" w:rsidRPr="000D0AA6" w:rsidRDefault="005B5C70" w:rsidP="00685467">
            <w:pPr>
              <w:widowControl/>
              <w:rPr>
                <w:b/>
                <w:bCs/>
                <w:snapToGrid/>
                <w:color w:val="000000"/>
                <w:sz w:val="20"/>
              </w:rPr>
            </w:pPr>
          </w:p>
        </w:tc>
      </w:tr>
      <w:tr w:rsidR="00C01480" w:rsidRPr="00D47256" w14:paraId="2F43D999" w14:textId="77777777" w:rsidTr="00603D7B">
        <w:trPr>
          <w:trHeight w:val="300"/>
          <w:jc w:val="center"/>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47A7C4C4" w14:textId="77777777" w:rsidR="005B5C70" w:rsidRPr="000D0AA6" w:rsidRDefault="005B5C70" w:rsidP="00685467">
            <w:pPr>
              <w:widowControl/>
              <w:rPr>
                <w:b/>
                <w:bCs/>
                <w:snapToGrid/>
                <w:color w:val="000000"/>
                <w:sz w:val="20"/>
              </w:rPr>
            </w:pPr>
          </w:p>
        </w:tc>
        <w:tc>
          <w:tcPr>
            <w:tcW w:w="1683" w:type="dxa"/>
            <w:vMerge/>
            <w:tcBorders>
              <w:top w:val="single" w:sz="8" w:space="0" w:color="auto"/>
              <w:left w:val="single" w:sz="8" w:space="0" w:color="auto"/>
              <w:bottom w:val="single" w:sz="8" w:space="0" w:color="000000"/>
              <w:right w:val="single" w:sz="8" w:space="0" w:color="auto"/>
            </w:tcBorders>
            <w:vAlign w:val="center"/>
            <w:hideMark/>
          </w:tcPr>
          <w:p w14:paraId="0A3469D3" w14:textId="77777777" w:rsidR="005B5C70" w:rsidRPr="000D0AA6" w:rsidRDefault="005B5C70" w:rsidP="00685467">
            <w:pPr>
              <w:widowControl/>
              <w:rPr>
                <w:b/>
                <w:bCs/>
                <w:snapToGrid/>
                <w:color w:val="000000"/>
                <w:sz w:val="20"/>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14:paraId="17CC763B" w14:textId="77777777" w:rsidR="005B5C70" w:rsidRPr="000D0AA6" w:rsidRDefault="005B5C70" w:rsidP="00685467">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9E08037" w14:textId="77777777" w:rsidR="005B5C70" w:rsidRPr="000D0AA6" w:rsidRDefault="005B5C70" w:rsidP="00685467">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54A37C18" w14:textId="77777777" w:rsidR="005B5C70" w:rsidRPr="000D0AA6" w:rsidRDefault="005B5C70" w:rsidP="00685467">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EDC94D0" w14:textId="77777777" w:rsidR="005B5C70" w:rsidRPr="000D0AA6" w:rsidRDefault="005B5C70" w:rsidP="00685467">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0F45BF37" w14:textId="77777777" w:rsidR="005B5C70" w:rsidRPr="000D0AA6" w:rsidRDefault="005B5C70" w:rsidP="00685467">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01C557AF" w14:textId="77777777" w:rsidR="005B5C70" w:rsidRPr="000D0AA6" w:rsidRDefault="005B5C70" w:rsidP="00685467">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0AC1789E" w14:textId="77777777" w:rsidR="005B5C70" w:rsidRPr="000D0AA6" w:rsidRDefault="005B5C70" w:rsidP="00685467">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3B3D070A" w14:textId="77777777" w:rsidR="005B5C70" w:rsidRPr="000D0AA6" w:rsidRDefault="005B5C70" w:rsidP="00685467">
            <w:pPr>
              <w:widowControl/>
              <w:rPr>
                <w:b/>
                <w:bCs/>
                <w:snapToGrid/>
                <w:color w:val="000000"/>
                <w:sz w:val="20"/>
              </w:rPr>
            </w:pPr>
          </w:p>
        </w:tc>
      </w:tr>
      <w:tr w:rsidR="00C01480" w:rsidRPr="00D47256" w14:paraId="0475819B" w14:textId="77777777" w:rsidTr="00603D7B">
        <w:trPr>
          <w:trHeight w:val="300"/>
          <w:jc w:val="center"/>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58FF9E5E" w14:textId="77777777" w:rsidR="005B5C70" w:rsidRPr="000D0AA6" w:rsidRDefault="005B5C70" w:rsidP="00685467">
            <w:pPr>
              <w:widowControl/>
              <w:rPr>
                <w:b/>
                <w:bCs/>
                <w:snapToGrid/>
                <w:color w:val="000000"/>
                <w:sz w:val="20"/>
              </w:rPr>
            </w:pPr>
          </w:p>
        </w:tc>
        <w:tc>
          <w:tcPr>
            <w:tcW w:w="1683" w:type="dxa"/>
            <w:vMerge/>
            <w:tcBorders>
              <w:top w:val="single" w:sz="8" w:space="0" w:color="auto"/>
              <w:left w:val="single" w:sz="8" w:space="0" w:color="auto"/>
              <w:bottom w:val="single" w:sz="8" w:space="0" w:color="000000"/>
              <w:right w:val="single" w:sz="8" w:space="0" w:color="auto"/>
            </w:tcBorders>
            <w:vAlign w:val="center"/>
            <w:hideMark/>
          </w:tcPr>
          <w:p w14:paraId="616B698B" w14:textId="77777777" w:rsidR="005B5C70" w:rsidRPr="000D0AA6" w:rsidRDefault="005B5C70" w:rsidP="00685467">
            <w:pPr>
              <w:widowControl/>
              <w:rPr>
                <w:b/>
                <w:bCs/>
                <w:snapToGrid/>
                <w:color w:val="000000"/>
                <w:sz w:val="20"/>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14:paraId="70BCDAD3" w14:textId="77777777" w:rsidR="005B5C70" w:rsidRPr="000D0AA6" w:rsidRDefault="005B5C70" w:rsidP="00685467">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823CEFC" w14:textId="77777777" w:rsidR="005B5C70" w:rsidRPr="000D0AA6" w:rsidRDefault="005B5C70" w:rsidP="00685467">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30C8569D" w14:textId="77777777" w:rsidR="005B5C70" w:rsidRPr="000D0AA6" w:rsidRDefault="005B5C70" w:rsidP="00685467">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0AFA04D" w14:textId="77777777" w:rsidR="005B5C70" w:rsidRPr="000D0AA6" w:rsidRDefault="005B5C70" w:rsidP="00685467">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3CA56697" w14:textId="77777777" w:rsidR="005B5C70" w:rsidRPr="000D0AA6" w:rsidRDefault="005B5C70" w:rsidP="00685467">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05D86AC" w14:textId="77777777" w:rsidR="005B5C70" w:rsidRPr="000D0AA6" w:rsidRDefault="005B5C70" w:rsidP="00685467">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0F0449D5" w14:textId="77777777" w:rsidR="005B5C70" w:rsidRPr="000D0AA6" w:rsidRDefault="005B5C70" w:rsidP="00685467">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32911F96" w14:textId="77777777" w:rsidR="005B5C70" w:rsidRPr="000D0AA6" w:rsidRDefault="005B5C70" w:rsidP="00685467">
            <w:pPr>
              <w:widowControl/>
              <w:rPr>
                <w:b/>
                <w:bCs/>
                <w:snapToGrid/>
                <w:color w:val="000000"/>
                <w:sz w:val="20"/>
              </w:rPr>
            </w:pPr>
          </w:p>
        </w:tc>
      </w:tr>
      <w:tr w:rsidR="00C01480" w:rsidRPr="00D47256" w14:paraId="695B13B3" w14:textId="77777777" w:rsidTr="00603D7B">
        <w:trPr>
          <w:trHeight w:val="315"/>
          <w:jc w:val="center"/>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2AF9CF0F" w14:textId="77777777" w:rsidR="005B5C70" w:rsidRPr="000D0AA6" w:rsidRDefault="005B5C70" w:rsidP="00685467">
            <w:pPr>
              <w:widowControl/>
              <w:rPr>
                <w:b/>
                <w:bCs/>
                <w:snapToGrid/>
                <w:color w:val="000000"/>
                <w:sz w:val="20"/>
              </w:rPr>
            </w:pPr>
          </w:p>
        </w:tc>
        <w:tc>
          <w:tcPr>
            <w:tcW w:w="1683" w:type="dxa"/>
            <w:vMerge/>
            <w:tcBorders>
              <w:top w:val="single" w:sz="8" w:space="0" w:color="auto"/>
              <w:left w:val="single" w:sz="8" w:space="0" w:color="auto"/>
              <w:bottom w:val="single" w:sz="8" w:space="0" w:color="000000"/>
              <w:right w:val="single" w:sz="8" w:space="0" w:color="auto"/>
            </w:tcBorders>
            <w:vAlign w:val="center"/>
            <w:hideMark/>
          </w:tcPr>
          <w:p w14:paraId="4C892B52" w14:textId="77777777" w:rsidR="005B5C70" w:rsidRPr="000D0AA6" w:rsidRDefault="005B5C70" w:rsidP="00685467">
            <w:pPr>
              <w:widowControl/>
              <w:rPr>
                <w:b/>
                <w:bCs/>
                <w:snapToGrid/>
                <w:color w:val="000000"/>
                <w:sz w:val="20"/>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14:paraId="454FBD75" w14:textId="77777777" w:rsidR="005B5C70" w:rsidRPr="000D0AA6" w:rsidRDefault="005B5C70" w:rsidP="00685467">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F241516" w14:textId="77777777" w:rsidR="005B5C70" w:rsidRPr="000D0AA6" w:rsidRDefault="005B5C70" w:rsidP="00685467">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4649AFD4" w14:textId="77777777" w:rsidR="005B5C70" w:rsidRPr="000D0AA6" w:rsidRDefault="005B5C70" w:rsidP="00685467">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3EB32C2" w14:textId="77777777" w:rsidR="005B5C70" w:rsidRPr="000D0AA6" w:rsidRDefault="005B5C70" w:rsidP="00685467">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4106EEAE" w14:textId="77777777" w:rsidR="005B5C70" w:rsidRPr="000D0AA6" w:rsidRDefault="005B5C70" w:rsidP="00685467">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41FF5783" w14:textId="77777777" w:rsidR="005B5C70" w:rsidRPr="000D0AA6" w:rsidRDefault="005B5C70" w:rsidP="00685467">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7BCD0F4F" w14:textId="77777777" w:rsidR="005B5C70" w:rsidRPr="000D0AA6" w:rsidRDefault="005B5C70" w:rsidP="00685467">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04D137EC" w14:textId="77777777" w:rsidR="005B5C70" w:rsidRPr="000D0AA6" w:rsidRDefault="005B5C70" w:rsidP="00685467">
            <w:pPr>
              <w:widowControl/>
              <w:rPr>
                <w:b/>
                <w:bCs/>
                <w:snapToGrid/>
                <w:color w:val="000000"/>
                <w:sz w:val="20"/>
              </w:rPr>
            </w:pPr>
          </w:p>
        </w:tc>
      </w:tr>
      <w:tr w:rsidR="00C01480" w:rsidRPr="00D47256" w14:paraId="5C523DF2" w14:textId="77777777" w:rsidTr="00603D7B">
        <w:trPr>
          <w:trHeight w:val="300"/>
          <w:jc w:val="center"/>
        </w:trPr>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14:paraId="660FB85B" w14:textId="54C00588" w:rsidR="00D32B69" w:rsidRPr="00603D7B" w:rsidRDefault="00D32B69" w:rsidP="00D32B69">
            <w:pPr>
              <w:widowControl/>
              <w:jc w:val="center"/>
              <w:rPr>
                <w:snapToGrid/>
                <w:color w:val="000000"/>
                <w:sz w:val="20"/>
              </w:rPr>
            </w:pP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68CFFCEE" w14:textId="66FF8B1C" w:rsidR="00D32B69" w:rsidRPr="00603D7B" w:rsidRDefault="00D32B69" w:rsidP="00D32B69">
            <w:pPr>
              <w:widowControl/>
              <w:jc w:val="center"/>
              <w:rPr>
                <w:snapToGrid/>
                <w:color w:val="000000"/>
                <w:sz w:val="20"/>
              </w:rPr>
            </w:pPr>
            <w:r w:rsidRPr="00603D7B">
              <w:rPr>
                <w:snapToGrid/>
                <w:color w:val="000000"/>
                <w:sz w:val="20"/>
              </w:rPr>
              <w:t>CMS-</w:t>
            </w:r>
            <w:r w:rsidRPr="00603D7B">
              <w:rPr>
                <w:snapToGrid/>
                <w:color w:val="000000"/>
                <w:sz w:val="20"/>
              </w:rPr>
              <w:t>367a</w:t>
            </w:r>
          </w:p>
        </w:tc>
        <w:tc>
          <w:tcPr>
            <w:tcW w:w="1127" w:type="dxa"/>
            <w:vMerge w:val="restart"/>
            <w:tcBorders>
              <w:top w:val="nil"/>
              <w:left w:val="single" w:sz="8" w:space="0" w:color="auto"/>
              <w:bottom w:val="single" w:sz="8" w:space="0" w:color="000000"/>
              <w:right w:val="single" w:sz="8" w:space="0" w:color="auto"/>
            </w:tcBorders>
            <w:shd w:val="clear" w:color="auto" w:fill="auto"/>
            <w:vAlign w:val="center"/>
            <w:hideMark/>
          </w:tcPr>
          <w:p w14:paraId="0E2721B0" w14:textId="5BB8567D" w:rsidR="00D32B69" w:rsidRPr="00603D7B" w:rsidRDefault="00D32B69" w:rsidP="00D32B69">
            <w:pPr>
              <w:widowControl/>
              <w:jc w:val="center"/>
              <w:rPr>
                <w:snapToGrid/>
                <w:color w:val="000000"/>
                <w:sz w:val="20"/>
              </w:rPr>
            </w:pPr>
            <w:r w:rsidRPr="00603D7B">
              <w:rPr>
                <w:snapToGrid/>
                <w:color w:val="000000"/>
                <w:sz w:val="20"/>
              </w:rPr>
              <w:t>Quarterly</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0E440DA5" w14:textId="6B8528CE" w:rsidR="00D32B69" w:rsidRPr="00603D7B" w:rsidRDefault="00D32B69" w:rsidP="00D32B69">
            <w:pPr>
              <w:widowControl/>
              <w:jc w:val="center"/>
              <w:rPr>
                <w:snapToGrid/>
                <w:color w:val="000000"/>
                <w:sz w:val="20"/>
              </w:rPr>
            </w:pPr>
            <w:r w:rsidRPr="00603D7B">
              <w:rPr>
                <w:snapToGrid/>
                <w:color w:val="000000"/>
                <w:sz w:val="20"/>
              </w:rPr>
              <w:t>610</w:t>
            </w:r>
          </w:p>
        </w:tc>
        <w:tc>
          <w:tcPr>
            <w:tcW w:w="1094" w:type="dxa"/>
            <w:vMerge w:val="restart"/>
            <w:tcBorders>
              <w:top w:val="nil"/>
              <w:left w:val="single" w:sz="8" w:space="0" w:color="auto"/>
              <w:bottom w:val="single" w:sz="8" w:space="0" w:color="000000"/>
              <w:right w:val="single" w:sz="8" w:space="0" w:color="auto"/>
            </w:tcBorders>
            <w:shd w:val="clear" w:color="auto" w:fill="auto"/>
            <w:vAlign w:val="center"/>
            <w:hideMark/>
          </w:tcPr>
          <w:p w14:paraId="63CC28F6" w14:textId="0FA29701" w:rsidR="00D32B69" w:rsidRPr="00603D7B" w:rsidRDefault="00D32B69" w:rsidP="00D32B69">
            <w:pPr>
              <w:widowControl/>
              <w:jc w:val="center"/>
              <w:rPr>
                <w:snapToGrid/>
                <w:color w:val="000000"/>
                <w:sz w:val="20"/>
              </w:rPr>
            </w:pPr>
            <w:r w:rsidRPr="00603D7B">
              <w:rPr>
                <w:snapToGrid/>
                <w:color w:val="000000"/>
                <w:sz w:val="20"/>
              </w:rPr>
              <w:t>2,440</w:t>
            </w:r>
          </w:p>
        </w:tc>
        <w:tc>
          <w:tcPr>
            <w:tcW w:w="1017" w:type="dxa"/>
            <w:vMerge w:val="restart"/>
            <w:tcBorders>
              <w:top w:val="nil"/>
              <w:left w:val="single" w:sz="8" w:space="0" w:color="auto"/>
              <w:bottom w:val="single" w:sz="8" w:space="0" w:color="000000"/>
              <w:right w:val="single" w:sz="8" w:space="0" w:color="auto"/>
            </w:tcBorders>
            <w:shd w:val="clear" w:color="auto" w:fill="auto"/>
            <w:hideMark/>
          </w:tcPr>
          <w:p w14:paraId="5F512242" w14:textId="77777777" w:rsidR="00603D7B" w:rsidRDefault="00603D7B" w:rsidP="00D32B69">
            <w:pPr>
              <w:widowControl/>
              <w:jc w:val="center"/>
              <w:rPr>
                <w:sz w:val="20"/>
              </w:rPr>
            </w:pPr>
          </w:p>
          <w:p w14:paraId="2A4C6426" w14:textId="03DA4D3D" w:rsidR="00D32B69" w:rsidRPr="00603D7B" w:rsidRDefault="00D32B69" w:rsidP="00D32B69">
            <w:pPr>
              <w:widowControl/>
              <w:jc w:val="center"/>
              <w:rPr>
                <w:snapToGrid/>
                <w:color w:val="000000"/>
                <w:sz w:val="20"/>
              </w:rPr>
            </w:pPr>
            <w:r w:rsidRPr="00603D7B">
              <w:rPr>
                <w:sz w:val="20"/>
              </w:rPr>
              <w:t>34.8</w:t>
            </w:r>
          </w:p>
        </w:tc>
        <w:tc>
          <w:tcPr>
            <w:tcW w:w="1016" w:type="dxa"/>
            <w:vMerge w:val="restart"/>
            <w:tcBorders>
              <w:top w:val="nil"/>
              <w:left w:val="single" w:sz="8" w:space="0" w:color="auto"/>
              <w:bottom w:val="single" w:sz="8" w:space="0" w:color="000000"/>
              <w:right w:val="single" w:sz="8" w:space="0" w:color="auto"/>
            </w:tcBorders>
            <w:shd w:val="clear" w:color="auto" w:fill="auto"/>
            <w:hideMark/>
          </w:tcPr>
          <w:p w14:paraId="707DB9BD" w14:textId="77777777" w:rsidR="00603D7B" w:rsidRDefault="00603D7B" w:rsidP="00D32B69">
            <w:pPr>
              <w:widowControl/>
              <w:jc w:val="center"/>
              <w:rPr>
                <w:sz w:val="20"/>
              </w:rPr>
            </w:pPr>
          </w:p>
          <w:p w14:paraId="4FAAC62B" w14:textId="532CBB2C" w:rsidR="00D32B69" w:rsidRPr="00603D7B" w:rsidRDefault="00D32B69" w:rsidP="00D32B69">
            <w:pPr>
              <w:widowControl/>
              <w:jc w:val="center"/>
              <w:rPr>
                <w:snapToGrid/>
                <w:color w:val="000000"/>
                <w:sz w:val="20"/>
              </w:rPr>
            </w:pPr>
            <w:r w:rsidRPr="00603D7B">
              <w:rPr>
                <w:sz w:val="20"/>
              </w:rPr>
              <w:t>84,912</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14:paraId="65813A95" w14:textId="53C1CF9E" w:rsidR="00D32B69" w:rsidRPr="00603D7B" w:rsidRDefault="00D32B69" w:rsidP="00D32B69">
            <w:pPr>
              <w:widowControl/>
              <w:jc w:val="center"/>
              <w:rPr>
                <w:snapToGrid/>
                <w:color w:val="000000"/>
                <w:sz w:val="20"/>
              </w:rPr>
            </w:pPr>
            <w:r w:rsidRPr="00603D7B">
              <w:rPr>
                <w:snapToGrid/>
                <w:color w:val="000000"/>
                <w:sz w:val="20"/>
              </w:rPr>
              <w:t>8,134,145</w:t>
            </w:r>
          </w:p>
        </w:tc>
        <w:tc>
          <w:tcPr>
            <w:tcW w:w="2016" w:type="dxa"/>
            <w:vMerge w:val="restart"/>
            <w:tcBorders>
              <w:top w:val="nil"/>
              <w:left w:val="single" w:sz="8" w:space="0" w:color="auto"/>
              <w:bottom w:val="single" w:sz="8" w:space="0" w:color="000000"/>
              <w:right w:val="single" w:sz="8" w:space="0" w:color="auto"/>
            </w:tcBorders>
            <w:shd w:val="clear" w:color="auto" w:fill="auto"/>
            <w:vAlign w:val="center"/>
            <w:hideMark/>
          </w:tcPr>
          <w:p w14:paraId="29B1539A" w14:textId="5CD1F0AD" w:rsidR="00D32B69" w:rsidRPr="00603D7B" w:rsidRDefault="00D32B69" w:rsidP="00D32B69">
            <w:pPr>
              <w:widowControl/>
              <w:jc w:val="center"/>
              <w:rPr>
                <w:snapToGrid/>
                <w:color w:val="000000"/>
                <w:sz w:val="20"/>
              </w:rPr>
            </w:pPr>
            <w:r w:rsidRPr="00603D7B">
              <w:rPr>
                <w:snapToGrid/>
                <w:color w:val="000000"/>
                <w:sz w:val="20"/>
              </w:rPr>
              <w:t>0</w:t>
            </w:r>
          </w:p>
        </w:tc>
        <w:tc>
          <w:tcPr>
            <w:tcW w:w="1216" w:type="dxa"/>
            <w:vMerge w:val="restart"/>
            <w:tcBorders>
              <w:top w:val="nil"/>
              <w:left w:val="single" w:sz="8" w:space="0" w:color="auto"/>
              <w:bottom w:val="single" w:sz="8" w:space="0" w:color="000000"/>
              <w:right w:val="single" w:sz="8" w:space="0" w:color="auto"/>
            </w:tcBorders>
            <w:shd w:val="clear" w:color="auto" w:fill="auto"/>
            <w:vAlign w:val="center"/>
            <w:hideMark/>
          </w:tcPr>
          <w:p w14:paraId="12E0FCE3" w14:textId="6AC9CBE9" w:rsidR="00D32B69" w:rsidRPr="00603D7B" w:rsidRDefault="00D32B69" w:rsidP="00D32B69">
            <w:pPr>
              <w:widowControl/>
              <w:jc w:val="center"/>
              <w:rPr>
                <w:snapToGrid/>
                <w:color w:val="000000"/>
                <w:sz w:val="20"/>
              </w:rPr>
            </w:pPr>
            <w:r w:rsidRPr="00603D7B">
              <w:rPr>
                <w:snapToGrid/>
                <w:color w:val="000000"/>
                <w:sz w:val="20"/>
              </w:rPr>
              <w:t>8,134,145</w:t>
            </w:r>
          </w:p>
        </w:tc>
      </w:tr>
      <w:tr w:rsidR="00C01480" w:rsidRPr="00D47256" w14:paraId="131FE62C" w14:textId="77777777" w:rsidTr="00603D7B">
        <w:trPr>
          <w:trHeight w:val="300"/>
          <w:jc w:val="center"/>
        </w:trPr>
        <w:tc>
          <w:tcPr>
            <w:tcW w:w="1333" w:type="dxa"/>
            <w:vMerge/>
            <w:tcBorders>
              <w:top w:val="nil"/>
              <w:left w:val="single" w:sz="8" w:space="0" w:color="auto"/>
              <w:bottom w:val="single" w:sz="8" w:space="0" w:color="000000"/>
              <w:right w:val="single" w:sz="8" w:space="0" w:color="auto"/>
            </w:tcBorders>
            <w:vAlign w:val="center"/>
          </w:tcPr>
          <w:p w14:paraId="5A1F5091" w14:textId="77777777" w:rsidR="005B5C70" w:rsidRPr="000D0AA6" w:rsidRDefault="005B5C70" w:rsidP="005B5C70">
            <w:pPr>
              <w:widowControl/>
              <w:rPr>
                <w:snapToGrid/>
                <w:color w:val="000000"/>
                <w:sz w:val="20"/>
              </w:rPr>
            </w:pPr>
          </w:p>
        </w:tc>
        <w:tc>
          <w:tcPr>
            <w:tcW w:w="1683" w:type="dxa"/>
            <w:vMerge/>
            <w:tcBorders>
              <w:top w:val="nil"/>
              <w:left w:val="single" w:sz="8" w:space="0" w:color="auto"/>
              <w:bottom w:val="single" w:sz="8" w:space="0" w:color="000000"/>
              <w:right w:val="single" w:sz="8" w:space="0" w:color="auto"/>
            </w:tcBorders>
            <w:vAlign w:val="center"/>
            <w:hideMark/>
          </w:tcPr>
          <w:p w14:paraId="7E62BAD7" w14:textId="77777777" w:rsidR="005B5C70" w:rsidRPr="000D0AA6" w:rsidRDefault="005B5C70" w:rsidP="005B5C70">
            <w:pPr>
              <w:widowControl/>
              <w:rPr>
                <w:snapToGrid/>
                <w:color w:val="000000"/>
                <w:sz w:val="20"/>
              </w:rPr>
            </w:pPr>
          </w:p>
        </w:tc>
        <w:tc>
          <w:tcPr>
            <w:tcW w:w="1127" w:type="dxa"/>
            <w:vMerge/>
            <w:tcBorders>
              <w:top w:val="nil"/>
              <w:left w:val="single" w:sz="8" w:space="0" w:color="auto"/>
              <w:bottom w:val="single" w:sz="8" w:space="0" w:color="000000"/>
              <w:right w:val="single" w:sz="8" w:space="0" w:color="auto"/>
            </w:tcBorders>
            <w:vAlign w:val="center"/>
            <w:hideMark/>
          </w:tcPr>
          <w:p w14:paraId="2CA6C716" w14:textId="77777777" w:rsidR="005B5C70" w:rsidRPr="000D0AA6" w:rsidRDefault="005B5C70" w:rsidP="005B5C70">
            <w:pPr>
              <w:widowControl/>
              <w:rPr>
                <w:snapToGrid/>
                <w:color w:val="000000"/>
                <w:sz w:val="20"/>
              </w:rPr>
            </w:pPr>
          </w:p>
        </w:tc>
        <w:tc>
          <w:tcPr>
            <w:tcW w:w="1306" w:type="dxa"/>
            <w:vMerge/>
            <w:tcBorders>
              <w:top w:val="nil"/>
              <w:left w:val="single" w:sz="8" w:space="0" w:color="auto"/>
              <w:bottom w:val="single" w:sz="8" w:space="0" w:color="000000"/>
              <w:right w:val="single" w:sz="8" w:space="0" w:color="auto"/>
            </w:tcBorders>
            <w:vAlign w:val="center"/>
            <w:hideMark/>
          </w:tcPr>
          <w:p w14:paraId="15306FEF" w14:textId="77777777" w:rsidR="005B5C70" w:rsidRPr="000D0AA6" w:rsidRDefault="005B5C70" w:rsidP="005B5C70">
            <w:pPr>
              <w:widowControl/>
              <w:rPr>
                <w:snapToGrid/>
                <w:color w:val="000000"/>
                <w:sz w:val="20"/>
              </w:rPr>
            </w:pPr>
          </w:p>
        </w:tc>
        <w:tc>
          <w:tcPr>
            <w:tcW w:w="1094" w:type="dxa"/>
            <w:vMerge/>
            <w:tcBorders>
              <w:top w:val="nil"/>
              <w:left w:val="single" w:sz="8" w:space="0" w:color="auto"/>
              <w:bottom w:val="single" w:sz="8" w:space="0" w:color="000000"/>
              <w:right w:val="single" w:sz="8" w:space="0" w:color="auto"/>
            </w:tcBorders>
            <w:vAlign w:val="center"/>
            <w:hideMark/>
          </w:tcPr>
          <w:p w14:paraId="7E42EE99" w14:textId="77777777" w:rsidR="005B5C70" w:rsidRPr="000D0AA6" w:rsidRDefault="005B5C70" w:rsidP="005B5C70">
            <w:pPr>
              <w:widowControl/>
              <w:rPr>
                <w:snapToGrid/>
                <w:color w:val="000000"/>
                <w:sz w:val="20"/>
              </w:rPr>
            </w:pPr>
          </w:p>
        </w:tc>
        <w:tc>
          <w:tcPr>
            <w:tcW w:w="1017" w:type="dxa"/>
            <w:vMerge/>
            <w:tcBorders>
              <w:top w:val="nil"/>
              <w:left w:val="single" w:sz="8" w:space="0" w:color="auto"/>
              <w:bottom w:val="single" w:sz="8" w:space="0" w:color="000000"/>
              <w:right w:val="single" w:sz="8" w:space="0" w:color="auto"/>
            </w:tcBorders>
            <w:vAlign w:val="center"/>
            <w:hideMark/>
          </w:tcPr>
          <w:p w14:paraId="68C86E6C" w14:textId="77777777" w:rsidR="005B5C70" w:rsidRPr="000D0AA6" w:rsidRDefault="005B5C70" w:rsidP="005B5C70">
            <w:pPr>
              <w:widowControl/>
              <w:rPr>
                <w:snapToGrid/>
                <w:color w:val="000000"/>
                <w:sz w:val="20"/>
              </w:rPr>
            </w:pPr>
          </w:p>
        </w:tc>
        <w:tc>
          <w:tcPr>
            <w:tcW w:w="1016" w:type="dxa"/>
            <w:vMerge/>
            <w:tcBorders>
              <w:top w:val="nil"/>
              <w:left w:val="single" w:sz="8" w:space="0" w:color="auto"/>
              <w:bottom w:val="single" w:sz="8" w:space="0" w:color="000000"/>
              <w:right w:val="single" w:sz="8" w:space="0" w:color="auto"/>
            </w:tcBorders>
            <w:vAlign w:val="center"/>
            <w:hideMark/>
          </w:tcPr>
          <w:p w14:paraId="6C411566" w14:textId="77777777" w:rsidR="005B5C70" w:rsidRPr="000D0AA6" w:rsidRDefault="005B5C70" w:rsidP="005B5C70">
            <w:pPr>
              <w:widowControl/>
              <w:rPr>
                <w:snapToGrid/>
                <w:color w:val="000000"/>
                <w:sz w:val="20"/>
              </w:rPr>
            </w:pPr>
          </w:p>
        </w:tc>
        <w:tc>
          <w:tcPr>
            <w:tcW w:w="1116" w:type="dxa"/>
            <w:vMerge/>
            <w:tcBorders>
              <w:top w:val="nil"/>
              <w:left w:val="single" w:sz="8" w:space="0" w:color="auto"/>
              <w:bottom w:val="single" w:sz="8" w:space="0" w:color="000000"/>
              <w:right w:val="single" w:sz="8" w:space="0" w:color="auto"/>
            </w:tcBorders>
            <w:vAlign w:val="center"/>
            <w:hideMark/>
          </w:tcPr>
          <w:p w14:paraId="17DEE70A" w14:textId="77777777" w:rsidR="005B5C70" w:rsidRPr="000D0AA6" w:rsidRDefault="005B5C70" w:rsidP="005B5C70">
            <w:pPr>
              <w:widowControl/>
              <w:rPr>
                <w:snapToGrid/>
                <w:color w:val="000000"/>
                <w:sz w:val="20"/>
              </w:rPr>
            </w:pPr>
          </w:p>
        </w:tc>
        <w:tc>
          <w:tcPr>
            <w:tcW w:w="2016" w:type="dxa"/>
            <w:vMerge/>
            <w:tcBorders>
              <w:top w:val="nil"/>
              <w:left w:val="single" w:sz="8" w:space="0" w:color="auto"/>
              <w:bottom w:val="single" w:sz="8" w:space="0" w:color="000000"/>
              <w:right w:val="single" w:sz="8" w:space="0" w:color="auto"/>
            </w:tcBorders>
            <w:vAlign w:val="center"/>
            <w:hideMark/>
          </w:tcPr>
          <w:p w14:paraId="5D521D35" w14:textId="77777777" w:rsidR="005B5C70" w:rsidRPr="000D0AA6" w:rsidRDefault="005B5C70" w:rsidP="005B5C70">
            <w:pPr>
              <w:widowControl/>
              <w:rPr>
                <w:snapToGrid/>
                <w:color w:val="000000"/>
                <w:sz w:val="20"/>
              </w:rPr>
            </w:pPr>
          </w:p>
        </w:tc>
        <w:tc>
          <w:tcPr>
            <w:tcW w:w="1216" w:type="dxa"/>
            <w:vMerge/>
            <w:tcBorders>
              <w:top w:val="nil"/>
              <w:left w:val="single" w:sz="8" w:space="0" w:color="auto"/>
              <w:bottom w:val="single" w:sz="8" w:space="0" w:color="000000"/>
              <w:right w:val="single" w:sz="8" w:space="0" w:color="auto"/>
            </w:tcBorders>
            <w:vAlign w:val="center"/>
            <w:hideMark/>
          </w:tcPr>
          <w:p w14:paraId="32376B66" w14:textId="77777777" w:rsidR="005B5C70" w:rsidRPr="000D0AA6" w:rsidRDefault="005B5C70" w:rsidP="005B5C70">
            <w:pPr>
              <w:widowControl/>
              <w:rPr>
                <w:snapToGrid/>
                <w:color w:val="000000"/>
                <w:sz w:val="20"/>
              </w:rPr>
            </w:pPr>
          </w:p>
        </w:tc>
      </w:tr>
      <w:tr w:rsidR="00C01480" w:rsidRPr="00D47256" w14:paraId="7E8484CB" w14:textId="77777777" w:rsidTr="00603D7B">
        <w:trPr>
          <w:trHeight w:val="315"/>
          <w:jc w:val="center"/>
        </w:trPr>
        <w:tc>
          <w:tcPr>
            <w:tcW w:w="1333" w:type="dxa"/>
            <w:vMerge/>
            <w:tcBorders>
              <w:top w:val="nil"/>
              <w:left w:val="single" w:sz="8" w:space="0" w:color="auto"/>
              <w:bottom w:val="single" w:sz="8" w:space="0" w:color="000000"/>
              <w:right w:val="single" w:sz="8" w:space="0" w:color="auto"/>
            </w:tcBorders>
            <w:vAlign w:val="center"/>
          </w:tcPr>
          <w:p w14:paraId="49CDEFB7" w14:textId="77777777" w:rsidR="005B5C70" w:rsidRPr="000D0AA6" w:rsidRDefault="005B5C70" w:rsidP="005B5C70">
            <w:pPr>
              <w:widowControl/>
              <w:rPr>
                <w:snapToGrid/>
                <w:color w:val="000000"/>
                <w:sz w:val="20"/>
              </w:rPr>
            </w:pPr>
          </w:p>
        </w:tc>
        <w:tc>
          <w:tcPr>
            <w:tcW w:w="1683" w:type="dxa"/>
            <w:vMerge/>
            <w:tcBorders>
              <w:top w:val="nil"/>
              <w:left w:val="single" w:sz="8" w:space="0" w:color="auto"/>
              <w:bottom w:val="single" w:sz="8" w:space="0" w:color="000000"/>
              <w:right w:val="single" w:sz="8" w:space="0" w:color="auto"/>
            </w:tcBorders>
            <w:vAlign w:val="center"/>
            <w:hideMark/>
          </w:tcPr>
          <w:p w14:paraId="7C720F20" w14:textId="77777777" w:rsidR="005B5C70" w:rsidRPr="000D0AA6" w:rsidRDefault="005B5C70" w:rsidP="005B5C70">
            <w:pPr>
              <w:widowControl/>
              <w:rPr>
                <w:snapToGrid/>
                <w:color w:val="000000"/>
                <w:sz w:val="20"/>
              </w:rPr>
            </w:pPr>
          </w:p>
        </w:tc>
        <w:tc>
          <w:tcPr>
            <w:tcW w:w="1127" w:type="dxa"/>
            <w:vMerge/>
            <w:tcBorders>
              <w:top w:val="nil"/>
              <w:left w:val="single" w:sz="8" w:space="0" w:color="auto"/>
              <w:bottom w:val="single" w:sz="8" w:space="0" w:color="000000"/>
              <w:right w:val="single" w:sz="8" w:space="0" w:color="auto"/>
            </w:tcBorders>
            <w:vAlign w:val="center"/>
            <w:hideMark/>
          </w:tcPr>
          <w:p w14:paraId="3EBB420D" w14:textId="77777777" w:rsidR="005B5C70" w:rsidRPr="000D0AA6" w:rsidRDefault="005B5C70" w:rsidP="005B5C70">
            <w:pPr>
              <w:widowControl/>
              <w:rPr>
                <w:snapToGrid/>
                <w:color w:val="000000"/>
                <w:sz w:val="20"/>
              </w:rPr>
            </w:pPr>
          </w:p>
        </w:tc>
        <w:tc>
          <w:tcPr>
            <w:tcW w:w="1306" w:type="dxa"/>
            <w:vMerge/>
            <w:tcBorders>
              <w:top w:val="nil"/>
              <w:left w:val="single" w:sz="8" w:space="0" w:color="auto"/>
              <w:bottom w:val="single" w:sz="8" w:space="0" w:color="000000"/>
              <w:right w:val="single" w:sz="8" w:space="0" w:color="auto"/>
            </w:tcBorders>
            <w:vAlign w:val="center"/>
            <w:hideMark/>
          </w:tcPr>
          <w:p w14:paraId="30E1B747" w14:textId="77777777" w:rsidR="005B5C70" w:rsidRPr="000D0AA6" w:rsidRDefault="005B5C70" w:rsidP="005B5C70">
            <w:pPr>
              <w:widowControl/>
              <w:rPr>
                <w:snapToGrid/>
                <w:color w:val="000000"/>
                <w:sz w:val="20"/>
              </w:rPr>
            </w:pPr>
          </w:p>
        </w:tc>
        <w:tc>
          <w:tcPr>
            <w:tcW w:w="1094" w:type="dxa"/>
            <w:vMerge/>
            <w:tcBorders>
              <w:top w:val="nil"/>
              <w:left w:val="single" w:sz="8" w:space="0" w:color="auto"/>
              <w:bottom w:val="single" w:sz="8" w:space="0" w:color="000000"/>
              <w:right w:val="single" w:sz="8" w:space="0" w:color="auto"/>
            </w:tcBorders>
            <w:vAlign w:val="center"/>
            <w:hideMark/>
          </w:tcPr>
          <w:p w14:paraId="5E40EE5E" w14:textId="77777777" w:rsidR="005B5C70" w:rsidRPr="000D0AA6" w:rsidRDefault="005B5C70" w:rsidP="005B5C70">
            <w:pPr>
              <w:widowControl/>
              <w:rPr>
                <w:snapToGrid/>
                <w:color w:val="000000"/>
                <w:sz w:val="20"/>
              </w:rPr>
            </w:pPr>
          </w:p>
        </w:tc>
        <w:tc>
          <w:tcPr>
            <w:tcW w:w="1017" w:type="dxa"/>
            <w:vMerge/>
            <w:tcBorders>
              <w:top w:val="nil"/>
              <w:left w:val="single" w:sz="8" w:space="0" w:color="auto"/>
              <w:bottom w:val="single" w:sz="8" w:space="0" w:color="000000"/>
              <w:right w:val="single" w:sz="8" w:space="0" w:color="auto"/>
            </w:tcBorders>
            <w:vAlign w:val="center"/>
            <w:hideMark/>
          </w:tcPr>
          <w:p w14:paraId="7C05623D" w14:textId="77777777" w:rsidR="005B5C70" w:rsidRPr="000D0AA6" w:rsidRDefault="005B5C70" w:rsidP="005B5C70">
            <w:pPr>
              <w:widowControl/>
              <w:rPr>
                <w:snapToGrid/>
                <w:color w:val="000000"/>
                <w:sz w:val="20"/>
              </w:rPr>
            </w:pPr>
          </w:p>
        </w:tc>
        <w:tc>
          <w:tcPr>
            <w:tcW w:w="1016" w:type="dxa"/>
            <w:vMerge/>
            <w:tcBorders>
              <w:top w:val="nil"/>
              <w:left w:val="single" w:sz="8" w:space="0" w:color="auto"/>
              <w:bottom w:val="single" w:sz="8" w:space="0" w:color="000000"/>
              <w:right w:val="single" w:sz="8" w:space="0" w:color="auto"/>
            </w:tcBorders>
            <w:vAlign w:val="center"/>
            <w:hideMark/>
          </w:tcPr>
          <w:p w14:paraId="7596B30C" w14:textId="77777777" w:rsidR="005B5C70" w:rsidRPr="000D0AA6" w:rsidRDefault="005B5C70" w:rsidP="005B5C70">
            <w:pPr>
              <w:widowControl/>
              <w:rPr>
                <w:snapToGrid/>
                <w:color w:val="000000"/>
                <w:sz w:val="20"/>
              </w:rPr>
            </w:pPr>
          </w:p>
        </w:tc>
        <w:tc>
          <w:tcPr>
            <w:tcW w:w="1116" w:type="dxa"/>
            <w:vMerge/>
            <w:tcBorders>
              <w:top w:val="nil"/>
              <w:left w:val="single" w:sz="8" w:space="0" w:color="auto"/>
              <w:bottom w:val="single" w:sz="8" w:space="0" w:color="000000"/>
              <w:right w:val="single" w:sz="8" w:space="0" w:color="auto"/>
            </w:tcBorders>
            <w:vAlign w:val="center"/>
            <w:hideMark/>
          </w:tcPr>
          <w:p w14:paraId="315FBAFD" w14:textId="77777777" w:rsidR="005B5C70" w:rsidRPr="000D0AA6" w:rsidRDefault="005B5C70" w:rsidP="005B5C70">
            <w:pPr>
              <w:widowControl/>
              <w:rPr>
                <w:snapToGrid/>
                <w:color w:val="000000"/>
                <w:sz w:val="20"/>
              </w:rPr>
            </w:pPr>
          </w:p>
        </w:tc>
        <w:tc>
          <w:tcPr>
            <w:tcW w:w="2016" w:type="dxa"/>
            <w:vMerge/>
            <w:tcBorders>
              <w:top w:val="nil"/>
              <w:left w:val="single" w:sz="8" w:space="0" w:color="auto"/>
              <w:bottom w:val="single" w:sz="8" w:space="0" w:color="000000"/>
              <w:right w:val="single" w:sz="8" w:space="0" w:color="auto"/>
            </w:tcBorders>
            <w:vAlign w:val="center"/>
            <w:hideMark/>
          </w:tcPr>
          <w:p w14:paraId="4095377A" w14:textId="77777777" w:rsidR="005B5C70" w:rsidRPr="000D0AA6" w:rsidRDefault="005B5C70" w:rsidP="005B5C70">
            <w:pPr>
              <w:widowControl/>
              <w:rPr>
                <w:snapToGrid/>
                <w:color w:val="000000"/>
                <w:sz w:val="20"/>
              </w:rPr>
            </w:pPr>
          </w:p>
        </w:tc>
        <w:tc>
          <w:tcPr>
            <w:tcW w:w="1216" w:type="dxa"/>
            <w:vMerge/>
            <w:tcBorders>
              <w:top w:val="nil"/>
              <w:left w:val="single" w:sz="8" w:space="0" w:color="auto"/>
              <w:bottom w:val="single" w:sz="8" w:space="0" w:color="000000"/>
              <w:right w:val="single" w:sz="8" w:space="0" w:color="auto"/>
            </w:tcBorders>
            <w:vAlign w:val="center"/>
            <w:hideMark/>
          </w:tcPr>
          <w:p w14:paraId="377E2CAC" w14:textId="77777777" w:rsidR="005B5C70" w:rsidRPr="000D0AA6" w:rsidRDefault="005B5C70" w:rsidP="005B5C70">
            <w:pPr>
              <w:widowControl/>
              <w:rPr>
                <w:snapToGrid/>
                <w:color w:val="000000"/>
                <w:sz w:val="20"/>
              </w:rPr>
            </w:pPr>
          </w:p>
        </w:tc>
      </w:tr>
      <w:tr w:rsidR="00C01480" w:rsidRPr="00D47256" w14:paraId="7A16732D" w14:textId="77777777" w:rsidTr="000C11FA">
        <w:trPr>
          <w:trHeight w:val="799"/>
          <w:jc w:val="center"/>
        </w:trPr>
        <w:tc>
          <w:tcPr>
            <w:tcW w:w="1333" w:type="dxa"/>
            <w:tcBorders>
              <w:top w:val="nil"/>
              <w:left w:val="single" w:sz="8" w:space="0" w:color="auto"/>
              <w:bottom w:val="single" w:sz="8" w:space="0" w:color="auto"/>
              <w:right w:val="single" w:sz="8" w:space="0" w:color="auto"/>
            </w:tcBorders>
            <w:shd w:val="clear" w:color="auto" w:fill="auto"/>
            <w:vAlign w:val="center"/>
          </w:tcPr>
          <w:p w14:paraId="3CE7566F" w14:textId="65A113F6" w:rsidR="00EE3F11" w:rsidRPr="00EE3F11" w:rsidRDefault="00EE3F11" w:rsidP="00EE3F11">
            <w:pPr>
              <w:widowControl/>
              <w:jc w:val="center"/>
              <w:rPr>
                <w:snapToGrid/>
                <w:color w:val="000000"/>
                <w:sz w:val="20"/>
              </w:rPr>
            </w:pPr>
          </w:p>
        </w:tc>
        <w:tc>
          <w:tcPr>
            <w:tcW w:w="1683" w:type="dxa"/>
            <w:tcBorders>
              <w:top w:val="nil"/>
              <w:left w:val="nil"/>
              <w:bottom w:val="single" w:sz="8" w:space="0" w:color="auto"/>
              <w:right w:val="single" w:sz="8" w:space="0" w:color="auto"/>
            </w:tcBorders>
            <w:shd w:val="clear" w:color="auto" w:fill="auto"/>
            <w:vAlign w:val="center"/>
            <w:hideMark/>
          </w:tcPr>
          <w:p w14:paraId="19B3C18E" w14:textId="0EE436C2" w:rsidR="00EE3F11" w:rsidRPr="00EE3F11" w:rsidRDefault="00EE3F11" w:rsidP="00EE3F11">
            <w:pPr>
              <w:widowControl/>
              <w:jc w:val="center"/>
              <w:rPr>
                <w:snapToGrid/>
                <w:color w:val="000000"/>
                <w:sz w:val="20"/>
              </w:rPr>
            </w:pPr>
            <w:r w:rsidRPr="00EE3F11">
              <w:rPr>
                <w:snapToGrid/>
                <w:color w:val="000000"/>
                <w:sz w:val="20"/>
              </w:rPr>
              <w:t>CMS-367b</w:t>
            </w:r>
          </w:p>
        </w:tc>
        <w:tc>
          <w:tcPr>
            <w:tcW w:w="1127" w:type="dxa"/>
            <w:tcBorders>
              <w:top w:val="nil"/>
              <w:left w:val="nil"/>
              <w:bottom w:val="single" w:sz="8" w:space="0" w:color="auto"/>
              <w:right w:val="single" w:sz="8" w:space="0" w:color="auto"/>
            </w:tcBorders>
            <w:shd w:val="clear" w:color="auto" w:fill="auto"/>
            <w:vAlign w:val="center"/>
            <w:hideMark/>
          </w:tcPr>
          <w:p w14:paraId="20152999" w14:textId="722DD9DB" w:rsidR="00EE3F11" w:rsidRPr="00EE3F11" w:rsidRDefault="00EE3F11" w:rsidP="00EE3F11">
            <w:pPr>
              <w:widowControl/>
              <w:jc w:val="center"/>
              <w:rPr>
                <w:snapToGrid/>
                <w:color w:val="000000"/>
                <w:sz w:val="20"/>
              </w:rPr>
            </w:pPr>
            <w:r w:rsidRPr="00EE3F11">
              <w:rPr>
                <w:snapToGrid/>
                <w:color w:val="000000"/>
                <w:sz w:val="20"/>
              </w:rPr>
              <w:t>Monthly</w:t>
            </w:r>
          </w:p>
        </w:tc>
        <w:tc>
          <w:tcPr>
            <w:tcW w:w="1306" w:type="dxa"/>
            <w:tcBorders>
              <w:top w:val="nil"/>
              <w:left w:val="nil"/>
              <w:bottom w:val="single" w:sz="8" w:space="0" w:color="auto"/>
              <w:right w:val="single" w:sz="8" w:space="0" w:color="auto"/>
            </w:tcBorders>
            <w:shd w:val="clear" w:color="auto" w:fill="auto"/>
            <w:vAlign w:val="center"/>
            <w:hideMark/>
          </w:tcPr>
          <w:p w14:paraId="66E99138" w14:textId="2EC9F000" w:rsidR="00EE3F11" w:rsidRPr="00EE3F11" w:rsidRDefault="00EE3F11" w:rsidP="00EE3F11">
            <w:pPr>
              <w:widowControl/>
              <w:jc w:val="center"/>
              <w:rPr>
                <w:snapToGrid/>
                <w:color w:val="000000"/>
                <w:sz w:val="20"/>
              </w:rPr>
            </w:pPr>
            <w:r w:rsidRPr="00EE3F11">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29750BDA" w14:textId="34EEA6C7" w:rsidR="00EE3F11" w:rsidRPr="00EE3F11" w:rsidRDefault="00EE3F11" w:rsidP="00EE3F11">
            <w:pPr>
              <w:widowControl/>
              <w:jc w:val="center"/>
              <w:rPr>
                <w:snapToGrid/>
                <w:color w:val="000000"/>
                <w:sz w:val="20"/>
              </w:rPr>
            </w:pPr>
            <w:r w:rsidRPr="00EE3F11">
              <w:rPr>
                <w:snapToGrid/>
                <w:color w:val="000000"/>
                <w:sz w:val="20"/>
              </w:rPr>
              <w:t>7,320</w:t>
            </w:r>
          </w:p>
        </w:tc>
        <w:tc>
          <w:tcPr>
            <w:tcW w:w="1017" w:type="dxa"/>
            <w:tcBorders>
              <w:top w:val="nil"/>
              <w:left w:val="nil"/>
              <w:bottom w:val="single" w:sz="8" w:space="0" w:color="auto"/>
              <w:right w:val="single" w:sz="8" w:space="0" w:color="auto"/>
            </w:tcBorders>
            <w:shd w:val="clear" w:color="auto" w:fill="auto"/>
            <w:hideMark/>
          </w:tcPr>
          <w:p w14:paraId="0D101177" w14:textId="77777777" w:rsidR="00EE3F11" w:rsidRDefault="00EE3F11" w:rsidP="00EE3F11">
            <w:pPr>
              <w:widowControl/>
              <w:jc w:val="center"/>
              <w:rPr>
                <w:sz w:val="20"/>
              </w:rPr>
            </w:pPr>
          </w:p>
          <w:p w14:paraId="0A54835D" w14:textId="3C328B58" w:rsidR="00EE3F11" w:rsidRPr="00EE3F11" w:rsidRDefault="00EE3F11" w:rsidP="00EE3F11">
            <w:pPr>
              <w:widowControl/>
              <w:jc w:val="center"/>
              <w:rPr>
                <w:snapToGrid/>
                <w:color w:val="000000"/>
                <w:sz w:val="20"/>
              </w:rPr>
            </w:pPr>
            <w:r w:rsidRPr="00EE3F11">
              <w:rPr>
                <w:sz w:val="20"/>
              </w:rPr>
              <w:t>44.8</w:t>
            </w:r>
          </w:p>
        </w:tc>
        <w:tc>
          <w:tcPr>
            <w:tcW w:w="1016" w:type="dxa"/>
            <w:tcBorders>
              <w:top w:val="nil"/>
              <w:left w:val="nil"/>
              <w:bottom w:val="single" w:sz="8" w:space="0" w:color="auto"/>
              <w:right w:val="single" w:sz="8" w:space="0" w:color="auto"/>
            </w:tcBorders>
            <w:shd w:val="clear" w:color="auto" w:fill="auto"/>
            <w:hideMark/>
          </w:tcPr>
          <w:p w14:paraId="3C7AADB0" w14:textId="77777777" w:rsidR="00EE3F11" w:rsidRDefault="00EE3F11" w:rsidP="00EE3F11">
            <w:pPr>
              <w:widowControl/>
              <w:jc w:val="center"/>
              <w:rPr>
                <w:sz w:val="20"/>
              </w:rPr>
            </w:pPr>
          </w:p>
          <w:p w14:paraId="6740401A" w14:textId="1A2B600A" w:rsidR="00EE3F11" w:rsidRPr="00EE3F11" w:rsidRDefault="00EE3F11" w:rsidP="00EE3F11">
            <w:pPr>
              <w:widowControl/>
              <w:jc w:val="center"/>
              <w:rPr>
                <w:snapToGrid/>
                <w:color w:val="000000"/>
                <w:sz w:val="20"/>
              </w:rPr>
            </w:pPr>
            <w:r w:rsidRPr="00EE3F11">
              <w:rPr>
                <w:sz w:val="20"/>
              </w:rPr>
              <w:t>327,936</w:t>
            </w:r>
          </w:p>
        </w:tc>
        <w:tc>
          <w:tcPr>
            <w:tcW w:w="1116" w:type="dxa"/>
            <w:tcBorders>
              <w:top w:val="nil"/>
              <w:left w:val="nil"/>
              <w:bottom w:val="single" w:sz="8" w:space="0" w:color="auto"/>
              <w:right w:val="single" w:sz="8" w:space="0" w:color="auto"/>
            </w:tcBorders>
            <w:shd w:val="clear" w:color="auto" w:fill="auto"/>
            <w:vAlign w:val="center"/>
            <w:hideMark/>
          </w:tcPr>
          <w:p w14:paraId="26E823ED" w14:textId="425C36F0" w:rsidR="00EE3F11" w:rsidRPr="000D0AA6" w:rsidRDefault="00D12384" w:rsidP="00EE3F11">
            <w:pPr>
              <w:widowControl/>
              <w:jc w:val="center"/>
              <w:rPr>
                <w:snapToGrid/>
                <w:color w:val="000000"/>
                <w:sz w:val="20"/>
              </w:rPr>
            </w:pPr>
            <w:r w:rsidRPr="00D12384">
              <w:rPr>
                <w:snapToGrid/>
                <w:color w:val="000000"/>
                <w:sz w:val="20"/>
              </w:rPr>
              <w:t>31,137,523</w:t>
            </w:r>
          </w:p>
        </w:tc>
        <w:tc>
          <w:tcPr>
            <w:tcW w:w="2016" w:type="dxa"/>
            <w:tcBorders>
              <w:top w:val="nil"/>
              <w:left w:val="nil"/>
              <w:bottom w:val="single" w:sz="8" w:space="0" w:color="auto"/>
              <w:right w:val="single" w:sz="8" w:space="0" w:color="auto"/>
            </w:tcBorders>
            <w:shd w:val="clear" w:color="auto" w:fill="auto"/>
            <w:vAlign w:val="center"/>
            <w:hideMark/>
          </w:tcPr>
          <w:p w14:paraId="32B705F4" w14:textId="77777777" w:rsidR="00EE3F11" w:rsidRPr="000D0AA6" w:rsidRDefault="00EE3F11" w:rsidP="00EE3F11">
            <w:pPr>
              <w:widowControl/>
              <w:jc w:val="center"/>
              <w:rPr>
                <w:snapToGrid/>
                <w:color w:val="000000"/>
                <w:sz w:val="20"/>
              </w:rPr>
            </w:pPr>
            <w:r w:rsidRPr="000D0AA6">
              <w:rPr>
                <w:snapToGrid/>
                <w:color w:val="000000"/>
                <w:sz w:val="20"/>
              </w:rPr>
              <w:t>0</w:t>
            </w:r>
          </w:p>
        </w:tc>
        <w:tc>
          <w:tcPr>
            <w:tcW w:w="1216" w:type="dxa"/>
            <w:tcBorders>
              <w:top w:val="nil"/>
              <w:left w:val="nil"/>
              <w:bottom w:val="single" w:sz="8" w:space="0" w:color="auto"/>
              <w:right w:val="single" w:sz="8" w:space="0" w:color="auto"/>
            </w:tcBorders>
            <w:shd w:val="clear" w:color="auto" w:fill="auto"/>
            <w:vAlign w:val="center"/>
            <w:hideMark/>
          </w:tcPr>
          <w:p w14:paraId="326C26BA" w14:textId="55F07D65" w:rsidR="00EE3F11" w:rsidRPr="000D0AA6" w:rsidRDefault="00D12384" w:rsidP="00EE3F11">
            <w:pPr>
              <w:widowControl/>
              <w:jc w:val="center"/>
              <w:rPr>
                <w:snapToGrid/>
                <w:color w:val="000000"/>
                <w:sz w:val="20"/>
              </w:rPr>
            </w:pPr>
            <w:r w:rsidRPr="00D12384">
              <w:rPr>
                <w:snapToGrid/>
                <w:color w:val="000000"/>
                <w:sz w:val="20"/>
              </w:rPr>
              <w:t>31,137,523</w:t>
            </w:r>
          </w:p>
        </w:tc>
      </w:tr>
      <w:tr w:rsidR="00C01480" w:rsidRPr="00D47256" w14:paraId="29E86B52" w14:textId="77777777" w:rsidTr="00C17C23">
        <w:trPr>
          <w:trHeight w:val="799"/>
          <w:jc w:val="center"/>
        </w:trPr>
        <w:tc>
          <w:tcPr>
            <w:tcW w:w="1333" w:type="dxa"/>
            <w:tcBorders>
              <w:top w:val="nil"/>
              <w:left w:val="single" w:sz="8" w:space="0" w:color="auto"/>
              <w:bottom w:val="single" w:sz="8" w:space="0" w:color="auto"/>
              <w:right w:val="single" w:sz="8" w:space="0" w:color="auto"/>
            </w:tcBorders>
            <w:shd w:val="clear" w:color="auto" w:fill="auto"/>
            <w:vAlign w:val="center"/>
          </w:tcPr>
          <w:p w14:paraId="4A4D7BBC" w14:textId="6F87B13C" w:rsidR="00631697" w:rsidRPr="00631697" w:rsidRDefault="00631697" w:rsidP="00631697">
            <w:pPr>
              <w:widowControl/>
              <w:jc w:val="center"/>
              <w:rPr>
                <w:snapToGrid/>
                <w:color w:val="000000"/>
                <w:sz w:val="20"/>
              </w:rPr>
            </w:pPr>
          </w:p>
        </w:tc>
        <w:tc>
          <w:tcPr>
            <w:tcW w:w="1683" w:type="dxa"/>
            <w:tcBorders>
              <w:top w:val="nil"/>
              <w:left w:val="nil"/>
              <w:bottom w:val="single" w:sz="8" w:space="0" w:color="auto"/>
              <w:right w:val="single" w:sz="8" w:space="0" w:color="auto"/>
            </w:tcBorders>
            <w:shd w:val="clear" w:color="auto" w:fill="auto"/>
            <w:vAlign w:val="center"/>
            <w:hideMark/>
          </w:tcPr>
          <w:p w14:paraId="5F7651E7" w14:textId="5B72369C" w:rsidR="00631697" w:rsidRPr="00631697" w:rsidRDefault="00631697" w:rsidP="00631697">
            <w:pPr>
              <w:widowControl/>
              <w:jc w:val="center"/>
              <w:rPr>
                <w:snapToGrid/>
                <w:color w:val="000000"/>
                <w:sz w:val="20"/>
              </w:rPr>
            </w:pPr>
            <w:r w:rsidRPr="00631697">
              <w:rPr>
                <w:snapToGrid/>
                <w:color w:val="000000"/>
                <w:sz w:val="20"/>
              </w:rPr>
              <w:t>CMS-</w:t>
            </w:r>
            <w:r w:rsidRPr="00631697">
              <w:rPr>
                <w:snapToGrid/>
                <w:color w:val="000000"/>
                <w:sz w:val="20"/>
              </w:rPr>
              <w:t>367c</w:t>
            </w:r>
          </w:p>
        </w:tc>
        <w:tc>
          <w:tcPr>
            <w:tcW w:w="1127" w:type="dxa"/>
            <w:tcBorders>
              <w:top w:val="nil"/>
              <w:left w:val="nil"/>
              <w:bottom w:val="single" w:sz="8" w:space="0" w:color="auto"/>
              <w:right w:val="single" w:sz="8" w:space="0" w:color="auto"/>
            </w:tcBorders>
            <w:shd w:val="clear" w:color="auto" w:fill="auto"/>
            <w:vAlign w:val="center"/>
            <w:hideMark/>
          </w:tcPr>
          <w:p w14:paraId="5930F4CA" w14:textId="3210BAD9" w:rsidR="00631697" w:rsidRPr="00631697" w:rsidRDefault="00BF4906" w:rsidP="00BF4906">
            <w:pPr>
              <w:widowControl/>
              <w:jc w:val="center"/>
              <w:rPr>
                <w:snapToGrid/>
                <w:color w:val="000000"/>
                <w:sz w:val="20"/>
              </w:rPr>
            </w:pPr>
            <w:r>
              <w:rPr>
                <w:snapToGrid/>
                <w:color w:val="000000"/>
                <w:sz w:val="20"/>
              </w:rPr>
              <w:t>Occasionally</w:t>
            </w:r>
          </w:p>
        </w:tc>
        <w:tc>
          <w:tcPr>
            <w:tcW w:w="1306" w:type="dxa"/>
            <w:tcBorders>
              <w:top w:val="nil"/>
              <w:left w:val="nil"/>
              <w:bottom w:val="single" w:sz="8" w:space="0" w:color="auto"/>
              <w:right w:val="single" w:sz="8" w:space="0" w:color="auto"/>
            </w:tcBorders>
            <w:shd w:val="clear" w:color="auto" w:fill="auto"/>
            <w:vAlign w:val="center"/>
            <w:hideMark/>
          </w:tcPr>
          <w:p w14:paraId="462BDC79" w14:textId="52403ACE" w:rsidR="00631697" w:rsidRPr="00631697" w:rsidRDefault="00631697" w:rsidP="00631697">
            <w:pPr>
              <w:widowControl/>
              <w:jc w:val="center"/>
              <w:rPr>
                <w:snapToGrid/>
                <w:color w:val="000000"/>
                <w:sz w:val="20"/>
              </w:rPr>
            </w:pPr>
            <w:r w:rsidRPr="00631697">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1BB5E7CC" w14:textId="40835363" w:rsidR="00631697" w:rsidRPr="00631697" w:rsidRDefault="00631697" w:rsidP="00631697">
            <w:pPr>
              <w:widowControl/>
              <w:jc w:val="center"/>
              <w:rPr>
                <w:snapToGrid/>
                <w:color w:val="000000"/>
                <w:sz w:val="20"/>
              </w:rPr>
            </w:pPr>
            <w:r w:rsidRPr="00631697">
              <w:rPr>
                <w:snapToGrid/>
                <w:color w:val="000000"/>
                <w:sz w:val="20"/>
              </w:rPr>
              <w:t>610</w:t>
            </w:r>
          </w:p>
        </w:tc>
        <w:tc>
          <w:tcPr>
            <w:tcW w:w="1017" w:type="dxa"/>
            <w:tcBorders>
              <w:top w:val="nil"/>
              <w:left w:val="nil"/>
              <w:bottom w:val="single" w:sz="8" w:space="0" w:color="auto"/>
              <w:right w:val="single" w:sz="8" w:space="0" w:color="auto"/>
            </w:tcBorders>
            <w:shd w:val="clear" w:color="auto" w:fill="auto"/>
            <w:hideMark/>
          </w:tcPr>
          <w:p w14:paraId="770F8EE0" w14:textId="77777777" w:rsidR="00631697" w:rsidRDefault="00631697" w:rsidP="00631697">
            <w:pPr>
              <w:widowControl/>
              <w:jc w:val="center"/>
              <w:rPr>
                <w:sz w:val="20"/>
              </w:rPr>
            </w:pPr>
          </w:p>
          <w:p w14:paraId="2C8A4EC8" w14:textId="31FB6709" w:rsidR="00631697" w:rsidRPr="00631697" w:rsidRDefault="00631697" w:rsidP="00631697">
            <w:pPr>
              <w:widowControl/>
              <w:jc w:val="center"/>
              <w:rPr>
                <w:snapToGrid/>
                <w:color w:val="000000"/>
                <w:sz w:val="20"/>
              </w:rPr>
            </w:pPr>
            <w:r w:rsidRPr="00631697">
              <w:rPr>
                <w:sz w:val="20"/>
              </w:rPr>
              <w:t>43.5</w:t>
            </w:r>
          </w:p>
        </w:tc>
        <w:tc>
          <w:tcPr>
            <w:tcW w:w="1016" w:type="dxa"/>
            <w:tcBorders>
              <w:top w:val="nil"/>
              <w:left w:val="nil"/>
              <w:bottom w:val="single" w:sz="8" w:space="0" w:color="auto"/>
              <w:right w:val="single" w:sz="8" w:space="0" w:color="auto"/>
            </w:tcBorders>
            <w:shd w:val="clear" w:color="auto" w:fill="auto"/>
            <w:hideMark/>
          </w:tcPr>
          <w:p w14:paraId="2AE910F3" w14:textId="77777777" w:rsidR="00631697" w:rsidRDefault="00631697" w:rsidP="00631697">
            <w:pPr>
              <w:widowControl/>
              <w:jc w:val="center"/>
              <w:rPr>
                <w:sz w:val="20"/>
              </w:rPr>
            </w:pPr>
          </w:p>
          <w:p w14:paraId="50FD280C" w14:textId="3600F970" w:rsidR="00631697" w:rsidRPr="00631697" w:rsidRDefault="005B2483" w:rsidP="00631697">
            <w:pPr>
              <w:widowControl/>
              <w:jc w:val="center"/>
              <w:rPr>
                <w:snapToGrid/>
                <w:color w:val="000000"/>
                <w:sz w:val="20"/>
              </w:rPr>
            </w:pPr>
            <w:r>
              <w:rPr>
                <w:sz w:val="20"/>
              </w:rPr>
              <w:t>26,535</w:t>
            </w:r>
          </w:p>
        </w:tc>
        <w:tc>
          <w:tcPr>
            <w:tcW w:w="1116" w:type="dxa"/>
            <w:tcBorders>
              <w:top w:val="nil"/>
              <w:left w:val="nil"/>
              <w:bottom w:val="single" w:sz="8" w:space="0" w:color="auto"/>
              <w:right w:val="single" w:sz="8" w:space="0" w:color="auto"/>
            </w:tcBorders>
            <w:shd w:val="clear" w:color="auto" w:fill="auto"/>
            <w:vAlign w:val="center"/>
            <w:hideMark/>
          </w:tcPr>
          <w:p w14:paraId="1AF62296" w14:textId="7CAB10C7" w:rsidR="00631697" w:rsidRPr="00631697" w:rsidRDefault="00E145A7" w:rsidP="00631697">
            <w:pPr>
              <w:widowControl/>
              <w:jc w:val="center"/>
              <w:rPr>
                <w:snapToGrid/>
                <w:color w:val="000000"/>
                <w:sz w:val="20"/>
              </w:rPr>
            </w:pPr>
            <w:r w:rsidRPr="00E145A7">
              <w:rPr>
                <w:snapToGrid/>
                <w:color w:val="000000"/>
                <w:sz w:val="20"/>
              </w:rPr>
              <w:t>1,407,551</w:t>
            </w:r>
          </w:p>
        </w:tc>
        <w:tc>
          <w:tcPr>
            <w:tcW w:w="2016" w:type="dxa"/>
            <w:tcBorders>
              <w:top w:val="nil"/>
              <w:left w:val="nil"/>
              <w:bottom w:val="single" w:sz="8" w:space="0" w:color="auto"/>
              <w:right w:val="single" w:sz="8" w:space="0" w:color="auto"/>
            </w:tcBorders>
            <w:shd w:val="clear" w:color="auto" w:fill="auto"/>
            <w:vAlign w:val="center"/>
            <w:hideMark/>
          </w:tcPr>
          <w:p w14:paraId="6F99A03E" w14:textId="6458C511" w:rsidR="00631697" w:rsidRPr="000D0AA6" w:rsidRDefault="00631697" w:rsidP="00631697">
            <w:pPr>
              <w:widowControl/>
              <w:jc w:val="center"/>
              <w:rPr>
                <w:snapToGrid/>
                <w:color w:val="000000"/>
                <w:sz w:val="20"/>
              </w:rPr>
            </w:pPr>
            <w:r w:rsidRPr="000D0AA6">
              <w:rPr>
                <w:snapToGrid/>
                <w:color w:val="000000"/>
                <w:sz w:val="20"/>
              </w:rPr>
              <w:t>0</w:t>
            </w:r>
          </w:p>
        </w:tc>
        <w:tc>
          <w:tcPr>
            <w:tcW w:w="1216" w:type="dxa"/>
            <w:tcBorders>
              <w:top w:val="nil"/>
              <w:left w:val="nil"/>
              <w:bottom w:val="single" w:sz="8" w:space="0" w:color="auto"/>
              <w:right w:val="single" w:sz="8" w:space="0" w:color="auto"/>
            </w:tcBorders>
            <w:shd w:val="clear" w:color="auto" w:fill="auto"/>
            <w:vAlign w:val="center"/>
            <w:hideMark/>
          </w:tcPr>
          <w:p w14:paraId="73A55CDC" w14:textId="408F9328" w:rsidR="00631697" w:rsidRPr="000D0AA6" w:rsidRDefault="00E145A7" w:rsidP="00631697">
            <w:pPr>
              <w:widowControl/>
              <w:jc w:val="center"/>
              <w:rPr>
                <w:snapToGrid/>
                <w:color w:val="000000"/>
                <w:sz w:val="20"/>
              </w:rPr>
            </w:pPr>
            <w:r w:rsidRPr="00E145A7">
              <w:rPr>
                <w:snapToGrid/>
                <w:color w:val="000000"/>
                <w:sz w:val="20"/>
              </w:rPr>
              <w:t>1,407,551</w:t>
            </w:r>
          </w:p>
        </w:tc>
      </w:tr>
      <w:tr w:rsidR="00397CA3" w:rsidRPr="00D47256" w14:paraId="7902D6E9" w14:textId="77777777" w:rsidTr="00603D7B">
        <w:trPr>
          <w:trHeight w:val="799"/>
          <w:jc w:val="center"/>
        </w:trPr>
        <w:tc>
          <w:tcPr>
            <w:tcW w:w="1333" w:type="dxa"/>
            <w:tcBorders>
              <w:top w:val="nil"/>
              <w:left w:val="single" w:sz="8" w:space="0" w:color="auto"/>
              <w:bottom w:val="single" w:sz="8" w:space="0" w:color="auto"/>
              <w:right w:val="single" w:sz="8" w:space="0" w:color="auto"/>
            </w:tcBorders>
            <w:shd w:val="clear" w:color="auto" w:fill="auto"/>
            <w:vAlign w:val="center"/>
          </w:tcPr>
          <w:p w14:paraId="3408A5DD" w14:textId="77777777" w:rsidR="005A1618" w:rsidRPr="000D0AA6" w:rsidRDefault="005A1618" w:rsidP="005A1618">
            <w:pPr>
              <w:widowControl/>
              <w:jc w:val="center"/>
              <w:rPr>
                <w:snapToGrid/>
                <w:color w:val="000000"/>
                <w:sz w:val="20"/>
              </w:rPr>
            </w:pPr>
          </w:p>
        </w:tc>
        <w:tc>
          <w:tcPr>
            <w:tcW w:w="1683" w:type="dxa"/>
            <w:tcBorders>
              <w:top w:val="nil"/>
              <w:left w:val="nil"/>
              <w:bottom w:val="single" w:sz="8" w:space="0" w:color="auto"/>
              <w:right w:val="single" w:sz="8" w:space="0" w:color="auto"/>
            </w:tcBorders>
            <w:shd w:val="clear" w:color="auto" w:fill="auto"/>
            <w:vAlign w:val="center"/>
          </w:tcPr>
          <w:p w14:paraId="4ACFDC50" w14:textId="4D7D234C" w:rsidR="005A1618" w:rsidRDefault="005A1618" w:rsidP="005A1618">
            <w:pPr>
              <w:widowControl/>
              <w:jc w:val="center"/>
              <w:rPr>
                <w:snapToGrid/>
                <w:color w:val="000000"/>
                <w:sz w:val="20"/>
              </w:rPr>
            </w:pPr>
            <w:r>
              <w:rPr>
                <w:snapToGrid/>
                <w:color w:val="000000"/>
                <w:sz w:val="20"/>
              </w:rPr>
              <w:t>CMS-</w:t>
            </w:r>
            <w:r>
              <w:rPr>
                <w:snapToGrid/>
                <w:color w:val="000000"/>
                <w:sz w:val="20"/>
              </w:rPr>
              <w:t>367</w:t>
            </w:r>
            <w:r>
              <w:rPr>
                <w:snapToGrid/>
                <w:color w:val="000000"/>
                <w:sz w:val="20"/>
              </w:rPr>
              <w:t>d</w:t>
            </w:r>
          </w:p>
        </w:tc>
        <w:tc>
          <w:tcPr>
            <w:tcW w:w="1127" w:type="dxa"/>
            <w:tcBorders>
              <w:top w:val="nil"/>
              <w:left w:val="nil"/>
              <w:bottom w:val="single" w:sz="8" w:space="0" w:color="auto"/>
              <w:right w:val="single" w:sz="8" w:space="0" w:color="auto"/>
            </w:tcBorders>
            <w:shd w:val="clear" w:color="auto" w:fill="auto"/>
            <w:vAlign w:val="center"/>
          </w:tcPr>
          <w:p w14:paraId="2343B86A" w14:textId="22DFD1C2" w:rsidR="005A1618" w:rsidRPr="000D0AA6" w:rsidRDefault="00352814" w:rsidP="00821622">
            <w:pPr>
              <w:widowControl/>
              <w:jc w:val="center"/>
              <w:rPr>
                <w:snapToGrid/>
                <w:color w:val="000000"/>
                <w:sz w:val="20"/>
              </w:rPr>
            </w:pPr>
            <w:r>
              <w:rPr>
                <w:snapToGrid/>
                <w:color w:val="000000"/>
                <w:sz w:val="20"/>
              </w:rPr>
              <w:t>Occasionally</w:t>
            </w:r>
          </w:p>
        </w:tc>
        <w:tc>
          <w:tcPr>
            <w:tcW w:w="1306" w:type="dxa"/>
            <w:tcBorders>
              <w:top w:val="nil"/>
              <w:left w:val="nil"/>
              <w:bottom w:val="single" w:sz="8" w:space="0" w:color="auto"/>
              <w:right w:val="single" w:sz="8" w:space="0" w:color="auto"/>
            </w:tcBorders>
            <w:shd w:val="clear" w:color="auto" w:fill="auto"/>
            <w:vAlign w:val="center"/>
          </w:tcPr>
          <w:p w14:paraId="78067BB1" w14:textId="4212A8EF" w:rsidR="005A1618" w:rsidRPr="000D0AA6" w:rsidRDefault="005A1618" w:rsidP="005A1618">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tcPr>
          <w:p w14:paraId="2BC4368E" w14:textId="51AD4136" w:rsidR="005A1618" w:rsidRPr="000D0AA6" w:rsidRDefault="0026634F" w:rsidP="005A1618">
            <w:pPr>
              <w:widowControl/>
              <w:jc w:val="center"/>
              <w:rPr>
                <w:snapToGrid/>
                <w:color w:val="000000"/>
                <w:sz w:val="20"/>
              </w:rPr>
            </w:pPr>
            <w:r>
              <w:rPr>
                <w:snapToGrid/>
                <w:color w:val="000000"/>
                <w:sz w:val="20"/>
              </w:rPr>
              <w:t>1</w:t>
            </w:r>
            <w:r w:rsidR="00E74514">
              <w:rPr>
                <w:snapToGrid/>
                <w:color w:val="000000"/>
                <w:sz w:val="20"/>
              </w:rPr>
              <w:t>,</w:t>
            </w:r>
            <w:r>
              <w:rPr>
                <w:snapToGrid/>
                <w:color w:val="000000"/>
                <w:sz w:val="20"/>
              </w:rPr>
              <w:t>220</w:t>
            </w:r>
          </w:p>
        </w:tc>
        <w:tc>
          <w:tcPr>
            <w:tcW w:w="1017" w:type="dxa"/>
            <w:tcBorders>
              <w:top w:val="nil"/>
              <w:left w:val="nil"/>
              <w:bottom w:val="single" w:sz="8" w:space="0" w:color="auto"/>
              <w:right w:val="single" w:sz="8" w:space="0" w:color="auto"/>
            </w:tcBorders>
            <w:shd w:val="clear" w:color="auto" w:fill="auto"/>
            <w:vAlign w:val="center"/>
          </w:tcPr>
          <w:p w14:paraId="216DA5CD" w14:textId="4E5640CD" w:rsidR="005A1618" w:rsidRPr="000D0AA6" w:rsidRDefault="0026634F" w:rsidP="005A1618">
            <w:pPr>
              <w:widowControl/>
              <w:jc w:val="center"/>
              <w:rPr>
                <w:snapToGrid/>
                <w:color w:val="000000"/>
                <w:sz w:val="20"/>
              </w:rPr>
            </w:pPr>
            <w:r>
              <w:rPr>
                <w:snapToGrid/>
                <w:color w:val="000000"/>
                <w:sz w:val="20"/>
              </w:rPr>
              <w:t>1</w:t>
            </w:r>
          </w:p>
        </w:tc>
        <w:tc>
          <w:tcPr>
            <w:tcW w:w="1016" w:type="dxa"/>
            <w:tcBorders>
              <w:top w:val="nil"/>
              <w:left w:val="nil"/>
              <w:bottom w:val="single" w:sz="8" w:space="0" w:color="auto"/>
              <w:right w:val="single" w:sz="8" w:space="0" w:color="auto"/>
            </w:tcBorders>
            <w:shd w:val="clear" w:color="auto" w:fill="auto"/>
            <w:vAlign w:val="center"/>
          </w:tcPr>
          <w:p w14:paraId="067E7681" w14:textId="3ABA9C8F" w:rsidR="005A1618" w:rsidRPr="000D0AA6" w:rsidRDefault="0026634F" w:rsidP="005A1618">
            <w:pPr>
              <w:widowControl/>
              <w:jc w:val="center"/>
              <w:rPr>
                <w:snapToGrid/>
                <w:color w:val="000000"/>
                <w:sz w:val="20"/>
              </w:rPr>
            </w:pPr>
            <w:r>
              <w:rPr>
                <w:snapToGrid/>
                <w:color w:val="000000"/>
                <w:sz w:val="20"/>
              </w:rPr>
              <w:t>1,220</w:t>
            </w:r>
          </w:p>
        </w:tc>
        <w:tc>
          <w:tcPr>
            <w:tcW w:w="1116" w:type="dxa"/>
            <w:tcBorders>
              <w:top w:val="nil"/>
              <w:left w:val="nil"/>
              <w:bottom w:val="single" w:sz="8" w:space="0" w:color="auto"/>
              <w:right w:val="single" w:sz="8" w:space="0" w:color="auto"/>
            </w:tcBorders>
            <w:shd w:val="clear" w:color="auto" w:fill="auto"/>
            <w:vAlign w:val="center"/>
          </w:tcPr>
          <w:p w14:paraId="3C94DBD9" w14:textId="434E5E0E" w:rsidR="005A1618" w:rsidRPr="000D0AA6" w:rsidRDefault="0026634F" w:rsidP="005A1618">
            <w:pPr>
              <w:widowControl/>
              <w:jc w:val="center"/>
              <w:rPr>
                <w:snapToGrid/>
                <w:color w:val="000000"/>
                <w:sz w:val="20"/>
              </w:rPr>
            </w:pPr>
            <w:r w:rsidRPr="0026634F">
              <w:rPr>
                <w:snapToGrid/>
                <w:color w:val="000000"/>
                <w:sz w:val="20"/>
              </w:rPr>
              <w:t>102,431</w:t>
            </w:r>
          </w:p>
        </w:tc>
        <w:tc>
          <w:tcPr>
            <w:tcW w:w="2016" w:type="dxa"/>
            <w:tcBorders>
              <w:top w:val="nil"/>
              <w:left w:val="nil"/>
              <w:bottom w:val="single" w:sz="8" w:space="0" w:color="auto"/>
              <w:right w:val="single" w:sz="8" w:space="0" w:color="auto"/>
            </w:tcBorders>
            <w:shd w:val="clear" w:color="auto" w:fill="auto"/>
            <w:vAlign w:val="center"/>
          </w:tcPr>
          <w:p w14:paraId="35C2FB62" w14:textId="77777777" w:rsidR="005A1618" w:rsidRPr="000D0AA6" w:rsidRDefault="005A1618" w:rsidP="005A1618">
            <w:pPr>
              <w:widowControl/>
              <w:jc w:val="center"/>
              <w:rPr>
                <w:snapToGrid/>
                <w:color w:val="000000"/>
                <w:sz w:val="20"/>
              </w:rPr>
            </w:pPr>
          </w:p>
        </w:tc>
        <w:tc>
          <w:tcPr>
            <w:tcW w:w="1216" w:type="dxa"/>
            <w:tcBorders>
              <w:top w:val="nil"/>
              <w:left w:val="nil"/>
              <w:bottom w:val="single" w:sz="8" w:space="0" w:color="auto"/>
              <w:right w:val="single" w:sz="8" w:space="0" w:color="auto"/>
            </w:tcBorders>
            <w:shd w:val="clear" w:color="auto" w:fill="auto"/>
            <w:vAlign w:val="center"/>
          </w:tcPr>
          <w:p w14:paraId="1432B97E" w14:textId="745C0B48" w:rsidR="005A1618" w:rsidRPr="000D0AA6" w:rsidRDefault="0026634F" w:rsidP="005A1618">
            <w:pPr>
              <w:widowControl/>
              <w:jc w:val="center"/>
              <w:rPr>
                <w:snapToGrid/>
                <w:color w:val="000000"/>
                <w:sz w:val="20"/>
              </w:rPr>
            </w:pPr>
            <w:r w:rsidRPr="0026634F">
              <w:rPr>
                <w:snapToGrid/>
                <w:color w:val="000000"/>
                <w:sz w:val="20"/>
              </w:rPr>
              <w:t>102,431</w:t>
            </w:r>
          </w:p>
        </w:tc>
      </w:tr>
      <w:tr w:rsidR="00C01480" w:rsidRPr="00D47256" w14:paraId="716FDC61" w14:textId="77777777" w:rsidTr="00603D7B">
        <w:trPr>
          <w:trHeight w:val="1002"/>
          <w:jc w:val="center"/>
        </w:trPr>
        <w:tc>
          <w:tcPr>
            <w:tcW w:w="1333" w:type="dxa"/>
            <w:tcBorders>
              <w:top w:val="nil"/>
              <w:left w:val="single" w:sz="8" w:space="0" w:color="auto"/>
              <w:bottom w:val="single" w:sz="8" w:space="0" w:color="auto"/>
              <w:right w:val="single" w:sz="8" w:space="0" w:color="auto"/>
            </w:tcBorders>
            <w:shd w:val="clear" w:color="auto" w:fill="auto"/>
            <w:vAlign w:val="center"/>
            <w:hideMark/>
          </w:tcPr>
          <w:p w14:paraId="5469E4F5" w14:textId="77777777" w:rsidR="005A1618" w:rsidRPr="000D0AA6" w:rsidRDefault="005A1618" w:rsidP="005A1618">
            <w:pPr>
              <w:widowControl/>
              <w:jc w:val="center"/>
              <w:rPr>
                <w:snapToGrid/>
                <w:color w:val="000000"/>
                <w:sz w:val="20"/>
              </w:rPr>
            </w:pPr>
            <w:r w:rsidRPr="000D0AA6">
              <w:rPr>
                <w:snapToGrid/>
                <w:color w:val="000000"/>
                <w:sz w:val="20"/>
              </w:rPr>
              <w:t>447.51</w:t>
            </w:r>
          </w:p>
        </w:tc>
        <w:tc>
          <w:tcPr>
            <w:tcW w:w="1683" w:type="dxa"/>
            <w:tcBorders>
              <w:top w:val="nil"/>
              <w:left w:val="nil"/>
              <w:bottom w:val="single" w:sz="8" w:space="0" w:color="auto"/>
              <w:right w:val="single" w:sz="8" w:space="0" w:color="auto"/>
            </w:tcBorders>
            <w:shd w:val="clear" w:color="auto" w:fill="auto"/>
            <w:vAlign w:val="center"/>
            <w:hideMark/>
          </w:tcPr>
          <w:p w14:paraId="7D815F5F" w14:textId="4C62B40E" w:rsidR="005A1618" w:rsidRPr="000D0AA6" w:rsidRDefault="00BD5276" w:rsidP="005A1618">
            <w:pPr>
              <w:widowControl/>
              <w:jc w:val="center"/>
              <w:rPr>
                <w:snapToGrid/>
                <w:color w:val="000000"/>
                <w:sz w:val="20"/>
              </w:rPr>
            </w:pPr>
            <w:r w:rsidRPr="00BD5276">
              <w:rPr>
                <w:snapToGrid/>
                <w:color w:val="000000"/>
                <w:sz w:val="20"/>
              </w:rPr>
              <w:t>One-Time Reconfiguration of Labeler Drug Pricing Systems</w:t>
            </w:r>
          </w:p>
        </w:tc>
        <w:tc>
          <w:tcPr>
            <w:tcW w:w="1127" w:type="dxa"/>
            <w:tcBorders>
              <w:top w:val="nil"/>
              <w:left w:val="nil"/>
              <w:bottom w:val="single" w:sz="8" w:space="0" w:color="auto"/>
              <w:right w:val="single" w:sz="8" w:space="0" w:color="auto"/>
            </w:tcBorders>
            <w:shd w:val="clear" w:color="auto" w:fill="auto"/>
            <w:vAlign w:val="center"/>
            <w:hideMark/>
          </w:tcPr>
          <w:p w14:paraId="6734AD94" w14:textId="2B143189" w:rsidR="005A1618" w:rsidRPr="000D0AA6" w:rsidRDefault="00352814" w:rsidP="005A1618">
            <w:pPr>
              <w:widowControl/>
              <w:jc w:val="center"/>
              <w:rPr>
                <w:snapToGrid/>
                <w:color w:val="000000"/>
                <w:sz w:val="20"/>
              </w:rPr>
            </w:pPr>
            <w:r>
              <w:rPr>
                <w:snapToGrid/>
                <w:color w:val="000000"/>
                <w:sz w:val="20"/>
              </w:rPr>
              <w:t>Once</w:t>
            </w:r>
          </w:p>
        </w:tc>
        <w:tc>
          <w:tcPr>
            <w:tcW w:w="1306" w:type="dxa"/>
            <w:tcBorders>
              <w:top w:val="nil"/>
              <w:left w:val="nil"/>
              <w:bottom w:val="single" w:sz="8" w:space="0" w:color="auto"/>
              <w:right w:val="single" w:sz="8" w:space="0" w:color="auto"/>
            </w:tcBorders>
            <w:shd w:val="clear" w:color="auto" w:fill="auto"/>
            <w:vAlign w:val="center"/>
            <w:hideMark/>
          </w:tcPr>
          <w:p w14:paraId="6AF40086" w14:textId="77777777" w:rsidR="005A1618" w:rsidRPr="000D0AA6" w:rsidRDefault="005A1618" w:rsidP="005A1618">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2DC4F4E4" w14:textId="2BD770B9" w:rsidR="005A1618" w:rsidRPr="000D0AA6" w:rsidRDefault="00892297" w:rsidP="005A1618">
            <w:pPr>
              <w:widowControl/>
              <w:jc w:val="center"/>
              <w:rPr>
                <w:snapToGrid/>
                <w:color w:val="000000"/>
                <w:sz w:val="20"/>
              </w:rPr>
            </w:pPr>
            <w:r>
              <w:rPr>
                <w:snapToGrid/>
                <w:color w:val="000000"/>
                <w:sz w:val="20"/>
              </w:rPr>
              <w:t>610</w:t>
            </w:r>
          </w:p>
        </w:tc>
        <w:tc>
          <w:tcPr>
            <w:tcW w:w="1017" w:type="dxa"/>
            <w:tcBorders>
              <w:top w:val="nil"/>
              <w:left w:val="nil"/>
              <w:bottom w:val="single" w:sz="8" w:space="0" w:color="auto"/>
              <w:right w:val="single" w:sz="8" w:space="0" w:color="auto"/>
            </w:tcBorders>
            <w:shd w:val="clear" w:color="auto" w:fill="auto"/>
            <w:vAlign w:val="center"/>
            <w:hideMark/>
          </w:tcPr>
          <w:p w14:paraId="77F38AFE" w14:textId="56B9E940" w:rsidR="005A1618" w:rsidRPr="000D0AA6" w:rsidRDefault="005E667F" w:rsidP="00821622">
            <w:pPr>
              <w:widowControl/>
              <w:jc w:val="center"/>
              <w:rPr>
                <w:snapToGrid/>
                <w:color w:val="000000"/>
                <w:sz w:val="20"/>
              </w:rPr>
            </w:pPr>
            <w:r>
              <w:rPr>
                <w:snapToGrid/>
                <w:color w:val="000000"/>
                <w:sz w:val="20"/>
              </w:rPr>
              <w:t>1,200</w:t>
            </w:r>
          </w:p>
        </w:tc>
        <w:tc>
          <w:tcPr>
            <w:tcW w:w="1016" w:type="dxa"/>
            <w:tcBorders>
              <w:top w:val="nil"/>
              <w:left w:val="nil"/>
              <w:bottom w:val="single" w:sz="8" w:space="0" w:color="auto"/>
              <w:right w:val="single" w:sz="8" w:space="0" w:color="auto"/>
            </w:tcBorders>
            <w:shd w:val="clear" w:color="auto" w:fill="auto"/>
            <w:vAlign w:val="center"/>
            <w:hideMark/>
          </w:tcPr>
          <w:p w14:paraId="55282D01" w14:textId="48916B2F" w:rsidR="005A1618" w:rsidRPr="000D0AA6" w:rsidRDefault="00697A4F" w:rsidP="005A1618">
            <w:pPr>
              <w:widowControl/>
              <w:jc w:val="center"/>
              <w:rPr>
                <w:snapToGrid/>
                <w:color w:val="000000"/>
                <w:sz w:val="20"/>
              </w:rPr>
            </w:pPr>
            <w:r>
              <w:rPr>
                <w:snapToGrid/>
                <w:color w:val="000000"/>
                <w:sz w:val="20"/>
              </w:rPr>
              <w:t>732,000</w:t>
            </w:r>
          </w:p>
        </w:tc>
        <w:tc>
          <w:tcPr>
            <w:tcW w:w="1116" w:type="dxa"/>
            <w:tcBorders>
              <w:top w:val="nil"/>
              <w:left w:val="nil"/>
              <w:bottom w:val="single" w:sz="8" w:space="0" w:color="auto"/>
              <w:right w:val="single" w:sz="8" w:space="0" w:color="auto"/>
            </w:tcBorders>
            <w:shd w:val="clear" w:color="auto" w:fill="auto"/>
            <w:vAlign w:val="center"/>
            <w:hideMark/>
          </w:tcPr>
          <w:p w14:paraId="01536D96" w14:textId="77777777" w:rsidR="005A1618" w:rsidRPr="000D0AA6" w:rsidRDefault="005A1618" w:rsidP="005A1618">
            <w:pPr>
              <w:widowControl/>
              <w:jc w:val="center"/>
              <w:rPr>
                <w:snapToGrid/>
                <w:color w:val="000000"/>
                <w:sz w:val="20"/>
              </w:rPr>
            </w:pPr>
            <w:r w:rsidRPr="000D0AA6">
              <w:rPr>
                <w:snapToGrid/>
                <w:color w:val="000000"/>
                <w:sz w:val="20"/>
              </w:rPr>
              <w:t>67,175,884</w:t>
            </w:r>
          </w:p>
        </w:tc>
        <w:tc>
          <w:tcPr>
            <w:tcW w:w="2016" w:type="dxa"/>
            <w:tcBorders>
              <w:top w:val="nil"/>
              <w:left w:val="nil"/>
              <w:bottom w:val="single" w:sz="8" w:space="0" w:color="auto"/>
              <w:right w:val="single" w:sz="8" w:space="0" w:color="auto"/>
            </w:tcBorders>
            <w:shd w:val="clear" w:color="auto" w:fill="auto"/>
            <w:vAlign w:val="center"/>
            <w:hideMark/>
          </w:tcPr>
          <w:p w14:paraId="789FCE62" w14:textId="77777777" w:rsidR="005A1618" w:rsidRPr="000D0AA6" w:rsidRDefault="005A1618" w:rsidP="005A1618">
            <w:pPr>
              <w:widowControl/>
              <w:jc w:val="center"/>
              <w:rPr>
                <w:snapToGrid/>
                <w:color w:val="000000"/>
                <w:sz w:val="20"/>
              </w:rPr>
            </w:pPr>
            <w:r w:rsidRPr="000D0AA6">
              <w:rPr>
                <w:snapToGrid/>
                <w:color w:val="000000"/>
                <w:sz w:val="20"/>
              </w:rPr>
              <w:t>0</w:t>
            </w:r>
          </w:p>
        </w:tc>
        <w:tc>
          <w:tcPr>
            <w:tcW w:w="1216" w:type="dxa"/>
            <w:tcBorders>
              <w:top w:val="nil"/>
              <w:left w:val="nil"/>
              <w:bottom w:val="single" w:sz="8" w:space="0" w:color="auto"/>
              <w:right w:val="single" w:sz="8" w:space="0" w:color="auto"/>
            </w:tcBorders>
            <w:shd w:val="clear" w:color="auto" w:fill="auto"/>
            <w:vAlign w:val="center"/>
            <w:hideMark/>
          </w:tcPr>
          <w:p w14:paraId="25BD7CF7" w14:textId="77777777" w:rsidR="005A1618" w:rsidRPr="000D0AA6" w:rsidRDefault="005A1618" w:rsidP="005A1618">
            <w:pPr>
              <w:widowControl/>
              <w:jc w:val="center"/>
              <w:rPr>
                <w:snapToGrid/>
                <w:color w:val="000000"/>
                <w:sz w:val="20"/>
              </w:rPr>
            </w:pPr>
            <w:r w:rsidRPr="000D0AA6">
              <w:rPr>
                <w:snapToGrid/>
                <w:color w:val="000000"/>
                <w:sz w:val="20"/>
              </w:rPr>
              <w:t>67,175,884</w:t>
            </w:r>
          </w:p>
        </w:tc>
      </w:tr>
      <w:tr w:rsidR="00C01480" w:rsidRPr="00D47256" w14:paraId="4FA8E25C" w14:textId="77777777" w:rsidTr="00603D7B">
        <w:trPr>
          <w:trHeight w:val="1002"/>
          <w:jc w:val="center"/>
        </w:trPr>
        <w:tc>
          <w:tcPr>
            <w:tcW w:w="1333" w:type="dxa"/>
            <w:tcBorders>
              <w:top w:val="nil"/>
              <w:left w:val="single" w:sz="8" w:space="0" w:color="auto"/>
              <w:bottom w:val="single" w:sz="8" w:space="0" w:color="auto"/>
              <w:right w:val="single" w:sz="8" w:space="0" w:color="auto"/>
            </w:tcBorders>
            <w:shd w:val="clear" w:color="auto" w:fill="auto"/>
            <w:vAlign w:val="center"/>
            <w:hideMark/>
          </w:tcPr>
          <w:p w14:paraId="6B666E78" w14:textId="77777777" w:rsidR="005A1618" w:rsidRPr="000D0AA6" w:rsidRDefault="005A1618" w:rsidP="005A1618">
            <w:pPr>
              <w:widowControl/>
              <w:jc w:val="center"/>
              <w:rPr>
                <w:snapToGrid/>
                <w:color w:val="000000"/>
                <w:sz w:val="20"/>
              </w:rPr>
            </w:pPr>
            <w:r w:rsidRPr="000D0AA6">
              <w:rPr>
                <w:snapToGrid/>
                <w:color w:val="000000"/>
                <w:sz w:val="20"/>
              </w:rPr>
              <w:t>447.51</w:t>
            </w:r>
          </w:p>
        </w:tc>
        <w:tc>
          <w:tcPr>
            <w:tcW w:w="1683" w:type="dxa"/>
            <w:tcBorders>
              <w:top w:val="nil"/>
              <w:left w:val="nil"/>
              <w:bottom w:val="single" w:sz="8" w:space="0" w:color="auto"/>
              <w:right w:val="single" w:sz="8" w:space="0" w:color="auto"/>
            </w:tcBorders>
            <w:shd w:val="clear" w:color="auto" w:fill="auto"/>
            <w:vAlign w:val="center"/>
            <w:hideMark/>
          </w:tcPr>
          <w:p w14:paraId="53A8EDE6" w14:textId="3E0B1009" w:rsidR="005A1618" w:rsidRPr="000D0AA6" w:rsidRDefault="00BD5276" w:rsidP="005A1618">
            <w:pPr>
              <w:widowControl/>
              <w:jc w:val="center"/>
              <w:rPr>
                <w:snapToGrid/>
                <w:color w:val="000000"/>
                <w:sz w:val="20"/>
              </w:rPr>
            </w:pPr>
            <w:r w:rsidRPr="00BD5276">
              <w:rPr>
                <w:snapToGrid/>
                <w:color w:val="000000"/>
                <w:sz w:val="20"/>
              </w:rPr>
              <w:t xml:space="preserve">One-Time Cost of Training Drug Manufacturer Staff </w:t>
            </w:r>
            <w:r w:rsidR="005A1618" w:rsidRPr="000D0AA6">
              <w:rPr>
                <w:snapToGrid/>
                <w:color w:val="000000"/>
                <w:sz w:val="20"/>
              </w:rPr>
              <w:t>s</w:t>
            </w:r>
          </w:p>
        </w:tc>
        <w:tc>
          <w:tcPr>
            <w:tcW w:w="1127" w:type="dxa"/>
            <w:tcBorders>
              <w:top w:val="nil"/>
              <w:left w:val="nil"/>
              <w:bottom w:val="single" w:sz="8" w:space="0" w:color="auto"/>
              <w:right w:val="single" w:sz="8" w:space="0" w:color="auto"/>
            </w:tcBorders>
            <w:shd w:val="clear" w:color="auto" w:fill="auto"/>
            <w:vAlign w:val="center"/>
            <w:hideMark/>
          </w:tcPr>
          <w:p w14:paraId="12BB7796" w14:textId="30427B6E" w:rsidR="005A1618" w:rsidRPr="000D0AA6" w:rsidRDefault="00352814" w:rsidP="005A1618">
            <w:pPr>
              <w:widowControl/>
              <w:jc w:val="center"/>
              <w:rPr>
                <w:snapToGrid/>
                <w:color w:val="000000"/>
                <w:sz w:val="20"/>
              </w:rPr>
            </w:pPr>
            <w:r>
              <w:rPr>
                <w:snapToGrid/>
                <w:color w:val="000000"/>
                <w:sz w:val="20"/>
              </w:rPr>
              <w:t>Once</w:t>
            </w:r>
          </w:p>
        </w:tc>
        <w:tc>
          <w:tcPr>
            <w:tcW w:w="1306" w:type="dxa"/>
            <w:tcBorders>
              <w:top w:val="nil"/>
              <w:left w:val="nil"/>
              <w:bottom w:val="single" w:sz="8" w:space="0" w:color="auto"/>
              <w:right w:val="single" w:sz="8" w:space="0" w:color="auto"/>
            </w:tcBorders>
            <w:shd w:val="clear" w:color="auto" w:fill="auto"/>
            <w:vAlign w:val="center"/>
            <w:hideMark/>
          </w:tcPr>
          <w:p w14:paraId="3CE75F9A" w14:textId="77777777" w:rsidR="005A1618" w:rsidRPr="000D0AA6" w:rsidRDefault="005A1618" w:rsidP="005A1618">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134B73EF" w14:textId="77777777" w:rsidR="005A1618" w:rsidRPr="000D0AA6" w:rsidRDefault="005A1618" w:rsidP="005A1618">
            <w:pPr>
              <w:widowControl/>
              <w:jc w:val="center"/>
              <w:rPr>
                <w:snapToGrid/>
                <w:color w:val="000000"/>
                <w:sz w:val="20"/>
              </w:rPr>
            </w:pPr>
            <w:r w:rsidRPr="000D0AA6">
              <w:rPr>
                <w:snapToGrid/>
                <w:color w:val="000000"/>
                <w:sz w:val="20"/>
              </w:rPr>
              <w:t>610</w:t>
            </w:r>
          </w:p>
        </w:tc>
        <w:tc>
          <w:tcPr>
            <w:tcW w:w="1017" w:type="dxa"/>
            <w:tcBorders>
              <w:top w:val="nil"/>
              <w:left w:val="nil"/>
              <w:bottom w:val="single" w:sz="8" w:space="0" w:color="auto"/>
              <w:right w:val="single" w:sz="8" w:space="0" w:color="auto"/>
            </w:tcBorders>
            <w:shd w:val="clear" w:color="auto" w:fill="auto"/>
            <w:vAlign w:val="center"/>
            <w:hideMark/>
          </w:tcPr>
          <w:p w14:paraId="50AB5B42" w14:textId="77777777" w:rsidR="005A1618" w:rsidRPr="000D0AA6" w:rsidRDefault="005A1618" w:rsidP="005A1618">
            <w:pPr>
              <w:widowControl/>
              <w:jc w:val="center"/>
              <w:rPr>
                <w:snapToGrid/>
                <w:color w:val="000000"/>
                <w:sz w:val="20"/>
              </w:rPr>
            </w:pPr>
            <w:r w:rsidRPr="000D0AA6">
              <w:rPr>
                <w:snapToGrid/>
                <w:color w:val="000000"/>
                <w:sz w:val="20"/>
              </w:rPr>
              <w:t>4,000</w:t>
            </w:r>
          </w:p>
        </w:tc>
        <w:tc>
          <w:tcPr>
            <w:tcW w:w="1016" w:type="dxa"/>
            <w:tcBorders>
              <w:top w:val="nil"/>
              <w:left w:val="nil"/>
              <w:bottom w:val="single" w:sz="8" w:space="0" w:color="auto"/>
              <w:right w:val="single" w:sz="8" w:space="0" w:color="auto"/>
            </w:tcBorders>
            <w:shd w:val="clear" w:color="auto" w:fill="auto"/>
            <w:vAlign w:val="center"/>
            <w:hideMark/>
          </w:tcPr>
          <w:p w14:paraId="58D8DF19" w14:textId="77777777" w:rsidR="005A1618" w:rsidRPr="000D0AA6" w:rsidRDefault="005A1618" w:rsidP="005A1618">
            <w:pPr>
              <w:widowControl/>
              <w:jc w:val="center"/>
              <w:rPr>
                <w:snapToGrid/>
                <w:color w:val="000000"/>
                <w:sz w:val="20"/>
              </w:rPr>
            </w:pPr>
            <w:r w:rsidRPr="000D0AA6">
              <w:rPr>
                <w:snapToGrid/>
                <w:color w:val="000000"/>
                <w:sz w:val="20"/>
              </w:rPr>
              <w:t>2,440,000</w:t>
            </w:r>
          </w:p>
        </w:tc>
        <w:tc>
          <w:tcPr>
            <w:tcW w:w="1116" w:type="dxa"/>
            <w:tcBorders>
              <w:top w:val="nil"/>
              <w:left w:val="nil"/>
              <w:bottom w:val="single" w:sz="8" w:space="0" w:color="auto"/>
              <w:right w:val="single" w:sz="8" w:space="0" w:color="auto"/>
            </w:tcBorders>
            <w:shd w:val="clear" w:color="auto" w:fill="auto"/>
            <w:vAlign w:val="center"/>
            <w:hideMark/>
          </w:tcPr>
          <w:p w14:paraId="12F3A00C" w14:textId="77777777" w:rsidR="005A1618" w:rsidRPr="000D0AA6" w:rsidRDefault="005A1618" w:rsidP="005A1618">
            <w:pPr>
              <w:widowControl/>
              <w:jc w:val="center"/>
              <w:rPr>
                <w:snapToGrid/>
                <w:color w:val="000000"/>
                <w:sz w:val="20"/>
              </w:rPr>
            </w:pPr>
            <w:r w:rsidRPr="000D0AA6">
              <w:rPr>
                <w:snapToGrid/>
                <w:color w:val="000000"/>
                <w:sz w:val="20"/>
              </w:rPr>
              <w:t>0</w:t>
            </w:r>
          </w:p>
        </w:tc>
        <w:tc>
          <w:tcPr>
            <w:tcW w:w="2016" w:type="dxa"/>
            <w:tcBorders>
              <w:top w:val="nil"/>
              <w:left w:val="nil"/>
              <w:bottom w:val="single" w:sz="8" w:space="0" w:color="auto"/>
              <w:right w:val="single" w:sz="8" w:space="0" w:color="auto"/>
            </w:tcBorders>
            <w:shd w:val="clear" w:color="auto" w:fill="auto"/>
            <w:vAlign w:val="center"/>
            <w:hideMark/>
          </w:tcPr>
          <w:p w14:paraId="274F974C" w14:textId="10D39AF8" w:rsidR="005A1618" w:rsidRPr="000D0AA6" w:rsidRDefault="005A1618" w:rsidP="00063C7C">
            <w:pPr>
              <w:widowControl/>
              <w:jc w:val="center"/>
              <w:rPr>
                <w:snapToGrid/>
                <w:color w:val="000000"/>
                <w:sz w:val="20"/>
              </w:rPr>
            </w:pPr>
            <w:r w:rsidRPr="000D0AA6">
              <w:rPr>
                <w:snapToGrid/>
                <w:color w:val="000000"/>
                <w:sz w:val="20"/>
              </w:rPr>
              <w:t>234,669,440</w:t>
            </w:r>
          </w:p>
        </w:tc>
        <w:tc>
          <w:tcPr>
            <w:tcW w:w="1216" w:type="dxa"/>
            <w:tcBorders>
              <w:top w:val="nil"/>
              <w:left w:val="nil"/>
              <w:bottom w:val="single" w:sz="8" w:space="0" w:color="auto"/>
              <w:right w:val="single" w:sz="8" w:space="0" w:color="auto"/>
            </w:tcBorders>
            <w:shd w:val="clear" w:color="auto" w:fill="auto"/>
            <w:vAlign w:val="center"/>
            <w:hideMark/>
          </w:tcPr>
          <w:p w14:paraId="336BF529" w14:textId="77777777" w:rsidR="005A1618" w:rsidRPr="000D0AA6" w:rsidRDefault="005A1618" w:rsidP="005A1618">
            <w:pPr>
              <w:widowControl/>
              <w:jc w:val="center"/>
              <w:rPr>
                <w:snapToGrid/>
                <w:color w:val="000000"/>
                <w:sz w:val="20"/>
              </w:rPr>
            </w:pPr>
            <w:bookmarkStart w:id="0" w:name="OLE_LINK1"/>
            <w:r w:rsidRPr="000D0AA6">
              <w:rPr>
                <w:snapToGrid/>
                <w:color w:val="000000"/>
                <w:sz w:val="20"/>
              </w:rPr>
              <w:t>234,669,440</w:t>
            </w:r>
            <w:bookmarkEnd w:id="0"/>
          </w:p>
        </w:tc>
      </w:tr>
      <w:tr w:rsidR="00C01480" w:rsidRPr="00D47256" w14:paraId="50E174C9" w14:textId="77777777" w:rsidTr="00603D7B">
        <w:trPr>
          <w:trHeight w:val="300"/>
          <w:jc w:val="center"/>
        </w:trPr>
        <w:tc>
          <w:tcPr>
            <w:tcW w:w="1333" w:type="dxa"/>
            <w:vMerge w:val="restart"/>
            <w:tcBorders>
              <w:top w:val="nil"/>
              <w:left w:val="single" w:sz="8" w:space="0" w:color="auto"/>
              <w:bottom w:val="single" w:sz="8" w:space="0" w:color="000000"/>
              <w:right w:val="single" w:sz="8" w:space="0" w:color="auto"/>
            </w:tcBorders>
            <w:shd w:val="clear" w:color="auto" w:fill="auto"/>
            <w:vAlign w:val="center"/>
            <w:hideMark/>
          </w:tcPr>
          <w:p w14:paraId="1D00D3AB" w14:textId="77777777" w:rsidR="005A1618" w:rsidRPr="000D0AA6" w:rsidRDefault="005A1618" w:rsidP="005A1618">
            <w:pPr>
              <w:widowControl/>
              <w:jc w:val="center"/>
              <w:rPr>
                <w:b/>
                <w:bCs/>
                <w:snapToGrid/>
                <w:color w:val="000000"/>
                <w:sz w:val="20"/>
              </w:rPr>
            </w:pPr>
            <w:r w:rsidRPr="000D0AA6">
              <w:rPr>
                <w:b/>
                <w:bCs/>
                <w:snapToGrid/>
                <w:color w:val="000000"/>
                <w:sz w:val="20"/>
              </w:rPr>
              <w:t>Total</w:t>
            </w: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43C4FE58" w14:textId="77777777" w:rsidR="005A1618" w:rsidRPr="000D0AA6" w:rsidRDefault="005A1618" w:rsidP="005A1618">
            <w:pPr>
              <w:widowControl/>
              <w:jc w:val="center"/>
              <w:rPr>
                <w:b/>
                <w:bCs/>
                <w:snapToGrid/>
                <w:color w:val="000000"/>
                <w:sz w:val="20"/>
              </w:rPr>
            </w:pPr>
            <w:r w:rsidRPr="000D0AA6">
              <w:rPr>
                <w:b/>
                <w:bCs/>
                <w:snapToGrid/>
                <w:color w:val="000000"/>
                <w:sz w:val="20"/>
              </w:rPr>
              <w:t>--</w:t>
            </w:r>
          </w:p>
        </w:tc>
        <w:tc>
          <w:tcPr>
            <w:tcW w:w="1127" w:type="dxa"/>
            <w:vMerge w:val="restart"/>
            <w:tcBorders>
              <w:top w:val="nil"/>
              <w:left w:val="single" w:sz="8" w:space="0" w:color="auto"/>
              <w:bottom w:val="single" w:sz="8" w:space="0" w:color="000000"/>
              <w:right w:val="single" w:sz="8" w:space="0" w:color="auto"/>
            </w:tcBorders>
            <w:shd w:val="clear" w:color="auto" w:fill="auto"/>
            <w:vAlign w:val="center"/>
            <w:hideMark/>
          </w:tcPr>
          <w:p w14:paraId="775E4AC9" w14:textId="77777777" w:rsidR="005A1618" w:rsidRPr="000D0AA6" w:rsidRDefault="005A1618" w:rsidP="005A1618">
            <w:pPr>
              <w:widowControl/>
              <w:jc w:val="center"/>
              <w:rPr>
                <w:b/>
                <w:bCs/>
                <w:snapToGrid/>
                <w:color w:val="000000"/>
                <w:sz w:val="20"/>
              </w:rPr>
            </w:pPr>
            <w:r w:rsidRPr="000D0AA6">
              <w:rPr>
                <w:b/>
                <w:bCs/>
                <w:snapToGrid/>
                <w:color w:val="000000"/>
                <w:sz w:val="20"/>
              </w:rPr>
              <w:t>--</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7767F288" w14:textId="77777777" w:rsidR="005A1618" w:rsidRPr="000D0AA6" w:rsidRDefault="005A1618" w:rsidP="005A1618">
            <w:pPr>
              <w:widowControl/>
              <w:jc w:val="center"/>
              <w:rPr>
                <w:b/>
                <w:bCs/>
                <w:snapToGrid/>
                <w:color w:val="000000"/>
                <w:sz w:val="20"/>
              </w:rPr>
            </w:pPr>
            <w:r w:rsidRPr="000D0AA6">
              <w:rPr>
                <w:b/>
                <w:bCs/>
                <w:snapToGrid/>
                <w:color w:val="000000"/>
                <w:sz w:val="20"/>
              </w:rPr>
              <w:t>610</w:t>
            </w:r>
          </w:p>
        </w:tc>
        <w:tc>
          <w:tcPr>
            <w:tcW w:w="1094" w:type="dxa"/>
            <w:vMerge w:val="restart"/>
            <w:tcBorders>
              <w:top w:val="nil"/>
              <w:left w:val="single" w:sz="8" w:space="0" w:color="auto"/>
              <w:bottom w:val="single" w:sz="8" w:space="0" w:color="000000"/>
              <w:right w:val="single" w:sz="8" w:space="0" w:color="auto"/>
            </w:tcBorders>
            <w:shd w:val="clear" w:color="auto" w:fill="auto"/>
            <w:vAlign w:val="center"/>
            <w:hideMark/>
          </w:tcPr>
          <w:p w14:paraId="69D052CD" w14:textId="5B31CE78" w:rsidR="005A1618" w:rsidRPr="000D0AA6" w:rsidRDefault="005A1618" w:rsidP="007C3C4F">
            <w:pPr>
              <w:widowControl/>
              <w:jc w:val="center"/>
              <w:rPr>
                <w:b/>
                <w:bCs/>
                <w:snapToGrid/>
                <w:color w:val="000000"/>
                <w:sz w:val="20"/>
              </w:rPr>
            </w:pPr>
            <w:r w:rsidRPr="000D0AA6">
              <w:rPr>
                <w:b/>
                <w:bCs/>
                <w:snapToGrid/>
                <w:color w:val="000000"/>
                <w:sz w:val="20"/>
              </w:rPr>
              <w:t>1</w:t>
            </w:r>
            <w:r w:rsidR="007C3C4F">
              <w:rPr>
                <w:b/>
                <w:bCs/>
                <w:snapToGrid/>
                <w:color w:val="000000"/>
                <w:sz w:val="20"/>
              </w:rPr>
              <w:t>2</w:t>
            </w:r>
            <w:r w:rsidRPr="000D0AA6">
              <w:rPr>
                <w:b/>
                <w:bCs/>
                <w:snapToGrid/>
                <w:color w:val="000000"/>
                <w:sz w:val="20"/>
              </w:rPr>
              <w:t>,</w:t>
            </w:r>
            <w:r w:rsidR="007C3C4F">
              <w:rPr>
                <w:b/>
                <w:bCs/>
                <w:snapToGrid/>
                <w:color w:val="000000"/>
                <w:sz w:val="20"/>
              </w:rPr>
              <w:t>810</w:t>
            </w:r>
          </w:p>
        </w:tc>
        <w:tc>
          <w:tcPr>
            <w:tcW w:w="1017" w:type="dxa"/>
            <w:vMerge w:val="restart"/>
            <w:tcBorders>
              <w:top w:val="nil"/>
              <w:left w:val="single" w:sz="8" w:space="0" w:color="auto"/>
              <w:bottom w:val="single" w:sz="8" w:space="0" w:color="000000"/>
              <w:right w:val="single" w:sz="8" w:space="0" w:color="auto"/>
            </w:tcBorders>
            <w:shd w:val="clear" w:color="auto" w:fill="auto"/>
            <w:vAlign w:val="center"/>
            <w:hideMark/>
          </w:tcPr>
          <w:p w14:paraId="78056500" w14:textId="77777777" w:rsidR="005A1618" w:rsidRPr="000D0AA6" w:rsidRDefault="005A1618" w:rsidP="005A1618">
            <w:pPr>
              <w:widowControl/>
              <w:jc w:val="center"/>
              <w:rPr>
                <w:b/>
                <w:bCs/>
                <w:snapToGrid/>
                <w:color w:val="000000"/>
                <w:sz w:val="20"/>
              </w:rPr>
            </w:pPr>
            <w:r w:rsidRPr="000D0AA6">
              <w:rPr>
                <w:b/>
                <w:bCs/>
                <w:snapToGrid/>
                <w:color w:val="000000"/>
                <w:sz w:val="20"/>
              </w:rPr>
              <w:t>--</w:t>
            </w:r>
          </w:p>
        </w:tc>
        <w:tc>
          <w:tcPr>
            <w:tcW w:w="1016" w:type="dxa"/>
            <w:vMerge w:val="restart"/>
            <w:tcBorders>
              <w:top w:val="nil"/>
              <w:left w:val="single" w:sz="8" w:space="0" w:color="auto"/>
              <w:bottom w:val="single" w:sz="8" w:space="0" w:color="000000"/>
              <w:right w:val="single" w:sz="8" w:space="0" w:color="auto"/>
            </w:tcBorders>
            <w:shd w:val="clear" w:color="auto" w:fill="auto"/>
            <w:vAlign w:val="center"/>
            <w:hideMark/>
          </w:tcPr>
          <w:p w14:paraId="0200ABBD" w14:textId="764F7FA0" w:rsidR="005A1618" w:rsidRPr="000D0AA6" w:rsidRDefault="00295299" w:rsidP="00A700DB">
            <w:pPr>
              <w:widowControl/>
              <w:jc w:val="center"/>
              <w:rPr>
                <w:b/>
                <w:bCs/>
                <w:snapToGrid/>
                <w:color w:val="000000"/>
                <w:sz w:val="20"/>
              </w:rPr>
            </w:pPr>
            <w:r>
              <w:rPr>
                <w:b/>
                <w:bCs/>
                <w:snapToGrid/>
                <w:color w:val="000000"/>
                <w:sz w:val="20"/>
              </w:rPr>
              <w:t>3,</w:t>
            </w:r>
            <w:r w:rsidR="00A700DB">
              <w:rPr>
                <w:b/>
                <w:bCs/>
                <w:snapToGrid/>
                <w:color w:val="000000"/>
                <w:sz w:val="20"/>
              </w:rPr>
              <w:t>612</w:t>
            </w:r>
            <w:r>
              <w:rPr>
                <w:b/>
                <w:bCs/>
                <w:snapToGrid/>
                <w:color w:val="000000"/>
                <w:sz w:val="20"/>
              </w:rPr>
              <w:t>,</w:t>
            </w:r>
            <w:r w:rsidR="00A700DB">
              <w:rPr>
                <w:b/>
                <w:bCs/>
                <w:snapToGrid/>
                <w:color w:val="000000"/>
                <w:sz w:val="20"/>
              </w:rPr>
              <w:t>6</w:t>
            </w:r>
            <w:r>
              <w:rPr>
                <w:b/>
                <w:bCs/>
                <w:snapToGrid/>
                <w:color w:val="000000"/>
                <w:sz w:val="20"/>
              </w:rPr>
              <w:t>0</w:t>
            </w:r>
            <w:r w:rsidR="00A700DB">
              <w:rPr>
                <w:b/>
                <w:bCs/>
                <w:snapToGrid/>
                <w:color w:val="000000"/>
                <w:sz w:val="20"/>
              </w:rPr>
              <w:t>3</w:t>
            </w:r>
            <w:bookmarkStart w:id="1" w:name="_GoBack"/>
            <w:bookmarkEnd w:id="1"/>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14:paraId="6EC91327" w14:textId="293702F8" w:rsidR="005A1618" w:rsidRPr="000D0AA6" w:rsidRDefault="00401416" w:rsidP="00401416">
            <w:pPr>
              <w:widowControl/>
              <w:jc w:val="center"/>
              <w:rPr>
                <w:b/>
                <w:bCs/>
                <w:snapToGrid/>
                <w:color w:val="000000"/>
                <w:sz w:val="20"/>
              </w:rPr>
            </w:pPr>
            <w:r>
              <w:rPr>
                <w:b/>
                <w:bCs/>
                <w:snapToGrid/>
                <w:color w:val="000000"/>
                <w:sz w:val="20"/>
              </w:rPr>
              <w:t>107,957</w:t>
            </w:r>
            <w:r w:rsidR="005A1618" w:rsidRPr="000D0AA6">
              <w:rPr>
                <w:b/>
                <w:bCs/>
                <w:snapToGrid/>
                <w:color w:val="000000"/>
                <w:sz w:val="20"/>
              </w:rPr>
              <w:t>,</w:t>
            </w:r>
            <w:r>
              <w:rPr>
                <w:b/>
                <w:bCs/>
                <w:snapToGrid/>
                <w:color w:val="000000"/>
                <w:sz w:val="20"/>
              </w:rPr>
              <w:t>534</w:t>
            </w:r>
          </w:p>
        </w:tc>
        <w:tc>
          <w:tcPr>
            <w:tcW w:w="2016" w:type="dxa"/>
            <w:vMerge w:val="restart"/>
            <w:tcBorders>
              <w:top w:val="nil"/>
              <w:left w:val="single" w:sz="8" w:space="0" w:color="auto"/>
              <w:bottom w:val="single" w:sz="8" w:space="0" w:color="000000"/>
              <w:right w:val="single" w:sz="8" w:space="0" w:color="auto"/>
            </w:tcBorders>
            <w:shd w:val="clear" w:color="auto" w:fill="auto"/>
            <w:vAlign w:val="center"/>
            <w:hideMark/>
          </w:tcPr>
          <w:p w14:paraId="32F0A06E" w14:textId="77777777" w:rsidR="005A1618" w:rsidRPr="000D0AA6" w:rsidRDefault="005A1618" w:rsidP="005A1618">
            <w:pPr>
              <w:widowControl/>
              <w:jc w:val="center"/>
              <w:rPr>
                <w:b/>
                <w:bCs/>
                <w:snapToGrid/>
                <w:color w:val="000000"/>
                <w:sz w:val="20"/>
              </w:rPr>
            </w:pPr>
            <w:r w:rsidRPr="000D0AA6">
              <w:rPr>
                <w:b/>
                <w:bCs/>
                <w:snapToGrid/>
                <w:color w:val="000000"/>
                <w:sz w:val="20"/>
              </w:rPr>
              <w:t>234,669,440</w:t>
            </w:r>
          </w:p>
        </w:tc>
        <w:tc>
          <w:tcPr>
            <w:tcW w:w="1216" w:type="dxa"/>
            <w:vMerge w:val="restart"/>
            <w:tcBorders>
              <w:top w:val="nil"/>
              <w:left w:val="single" w:sz="8" w:space="0" w:color="auto"/>
              <w:bottom w:val="single" w:sz="8" w:space="0" w:color="000000"/>
              <w:right w:val="single" w:sz="8" w:space="0" w:color="auto"/>
            </w:tcBorders>
            <w:shd w:val="clear" w:color="auto" w:fill="auto"/>
            <w:vAlign w:val="center"/>
            <w:hideMark/>
          </w:tcPr>
          <w:p w14:paraId="54475DAC" w14:textId="46013276" w:rsidR="005A1618" w:rsidRPr="000D0AA6" w:rsidRDefault="005A1618" w:rsidP="00C01480">
            <w:pPr>
              <w:widowControl/>
              <w:jc w:val="center"/>
              <w:rPr>
                <w:b/>
                <w:bCs/>
                <w:snapToGrid/>
                <w:color w:val="000000"/>
                <w:sz w:val="20"/>
              </w:rPr>
            </w:pPr>
            <w:r w:rsidRPr="000D0AA6">
              <w:rPr>
                <w:b/>
                <w:bCs/>
                <w:snapToGrid/>
                <w:color w:val="000000"/>
                <w:sz w:val="20"/>
              </w:rPr>
              <w:t>3</w:t>
            </w:r>
            <w:r w:rsidR="00C66CF8">
              <w:rPr>
                <w:b/>
                <w:bCs/>
                <w:snapToGrid/>
                <w:color w:val="000000"/>
                <w:sz w:val="20"/>
              </w:rPr>
              <w:t>4</w:t>
            </w:r>
            <w:r w:rsidRPr="000D0AA6">
              <w:rPr>
                <w:b/>
                <w:bCs/>
                <w:snapToGrid/>
                <w:color w:val="000000"/>
                <w:sz w:val="20"/>
              </w:rPr>
              <w:t>2,</w:t>
            </w:r>
            <w:r w:rsidR="00C423CD">
              <w:rPr>
                <w:b/>
                <w:bCs/>
                <w:snapToGrid/>
                <w:color w:val="000000"/>
                <w:sz w:val="20"/>
              </w:rPr>
              <w:t>626</w:t>
            </w:r>
            <w:r w:rsidRPr="000D0AA6">
              <w:rPr>
                <w:b/>
                <w:bCs/>
                <w:snapToGrid/>
                <w:color w:val="000000"/>
                <w:sz w:val="20"/>
              </w:rPr>
              <w:t>,</w:t>
            </w:r>
            <w:r w:rsidR="00C01480">
              <w:rPr>
                <w:b/>
                <w:bCs/>
                <w:snapToGrid/>
                <w:color w:val="000000"/>
                <w:sz w:val="20"/>
              </w:rPr>
              <w:t>974</w:t>
            </w:r>
          </w:p>
        </w:tc>
      </w:tr>
      <w:tr w:rsidR="00C01480" w:rsidRPr="00D47256" w14:paraId="1B8CED65" w14:textId="77777777" w:rsidTr="00603D7B">
        <w:trPr>
          <w:trHeight w:val="315"/>
          <w:jc w:val="center"/>
        </w:trPr>
        <w:tc>
          <w:tcPr>
            <w:tcW w:w="1333" w:type="dxa"/>
            <w:vMerge/>
            <w:tcBorders>
              <w:top w:val="nil"/>
              <w:left w:val="single" w:sz="8" w:space="0" w:color="auto"/>
              <w:bottom w:val="single" w:sz="8" w:space="0" w:color="000000"/>
              <w:right w:val="single" w:sz="8" w:space="0" w:color="auto"/>
            </w:tcBorders>
            <w:vAlign w:val="center"/>
            <w:hideMark/>
          </w:tcPr>
          <w:p w14:paraId="744A3309" w14:textId="77777777" w:rsidR="005A1618" w:rsidRPr="000D0AA6" w:rsidRDefault="005A1618" w:rsidP="005A1618">
            <w:pPr>
              <w:widowControl/>
              <w:rPr>
                <w:b/>
                <w:bCs/>
                <w:snapToGrid/>
                <w:color w:val="000000"/>
                <w:szCs w:val="24"/>
              </w:rPr>
            </w:pPr>
          </w:p>
        </w:tc>
        <w:tc>
          <w:tcPr>
            <w:tcW w:w="1683" w:type="dxa"/>
            <w:vMerge/>
            <w:tcBorders>
              <w:top w:val="nil"/>
              <w:left w:val="single" w:sz="8" w:space="0" w:color="auto"/>
              <w:bottom w:val="single" w:sz="8" w:space="0" w:color="000000"/>
              <w:right w:val="single" w:sz="8" w:space="0" w:color="auto"/>
            </w:tcBorders>
            <w:vAlign w:val="center"/>
            <w:hideMark/>
          </w:tcPr>
          <w:p w14:paraId="5D94CF50" w14:textId="77777777" w:rsidR="005A1618" w:rsidRPr="000D0AA6" w:rsidRDefault="005A1618" w:rsidP="005A1618">
            <w:pPr>
              <w:widowControl/>
              <w:rPr>
                <w:b/>
                <w:bCs/>
                <w:snapToGrid/>
                <w:color w:val="000000"/>
                <w:szCs w:val="24"/>
              </w:rPr>
            </w:pPr>
          </w:p>
        </w:tc>
        <w:tc>
          <w:tcPr>
            <w:tcW w:w="1127" w:type="dxa"/>
            <w:vMerge/>
            <w:tcBorders>
              <w:top w:val="nil"/>
              <w:left w:val="single" w:sz="8" w:space="0" w:color="auto"/>
              <w:bottom w:val="single" w:sz="8" w:space="0" w:color="000000"/>
              <w:right w:val="single" w:sz="8" w:space="0" w:color="auto"/>
            </w:tcBorders>
            <w:vAlign w:val="center"/>
            <w:hideMark/>
          </w:tcPr>
          <w:p w14:paraId="30E21165" w14:textId="77777777" w:rsidR="005A1618" w:rsidRPr="000D0AA6" w:rsidRDefault="005A1618" w:rsidP="005A1618">
            <w:pPr>
              <w:widowControl/>
              <w:rPr>
                <w:b/>
                <w:bCs/>
                <w:snapToGrid/>
                <w:color w:val="000000"/>
                <w:szCs w:val="24"/>
              </w:rPr>
            </w:pPr>
          </w:p>
        </w:tc>
        <w:tc>
          <w:tcPr>
            <w:tcW w:w="1306" w:type="dxa"/>
            <w:vMerge/>
            <w:tcBorders>
              <w:top w:val="nil"/>
              <w:left w:val="single" w:sz="8" w:space="0" w:color="auto"/>
              <w:bottom w:val="single" w:sz="8" w:space="0" w:color="000000"/>
              <w:right w:val="single" w:sz="8" w:space="0" w:color="auto"/>
            </w:tcBorders>
            <w:vAlign w:val="center"/>
            <w:hideMark/>
          </w:tcPr>
          <w:p w14:paraId="6BC227A8" w14:textId="77777777" w:rsidR="005A1618" w:rsidRPr="000D0AA6" w:rsidRDefault="005A1618" w:rsidP="005A1618">
            <w:pPr>
              <w:widowControl/>
              <w:rPr>
                <w:b/>
                <w:bCs/>
                <w:snapToGrid/>
                <w:color w:val="000000"/>
                <w:szCs w:val="24"/>
              </w:rPr>
            </w:pPr>
          </w:p>
        </w:tc>
        <w:tc>
          <w:tcPr>
            <w:tcW w:w="1094" w:type="dxa"/>
            <w:vMerge/>
            <w:tcBorders>
              <w:top w:val="nil"/>
              <w:left w:val="single" w:sz="8" w:space="0" w:color="auto"/>
              <w:bottom w:val="single" w:sz="8" w:space="0" w:color="000000"/>
              <w:right w:val="single" w:sz="8" w:space="0" w:color="auto"/>
            </w:tcBorders>
            <w:vAlign w:val="center"/>
            <w:hideMark/>
          </w:tcPr>
          <w:p w14:paraId="12783B50" w14:textId="77777777" w:rsidR="005A1618" w:rsidRPr="000D0AA6" w:rsidRDefault="005A1618" w:rsidP="005A1618">
            <w:pPr>
              <w:widowControl/>
              <w:rPr>
                <w:b/>
                <w:bCs/>
                <w:snapToGrid/>
                <w:color w:val="000000"/>
                <w:szCs w:val="24"/>
              </w:rPr>
            </w:pPr>
          </w:p>
        </w:tc>
        <w:tc>
          <w:tcPr>
            <w:tcW w:w="1017" w:type="dxa"/>
            <w:vMerge/>
            <w:tcBorders>
              <w:top w:val="nil"/>
              <w:left w:val="single" w:sz="8" w:space="0" w:color="auto"/>
              <w:bottom w:val="single" w:sz="8" w:space="0" w:color="000000"/>
              <w:right w:val="single" w:sz="8" w:space="0" w:color="auto"/>
            </w:tcBorders>
            <w:vAlign w:val="center"/>
            <w:hideMark/>
          </w:tcPr>
          <w:p w14:paraId="29883977" w14:textId="77777777" w:rsidR="005A1618" w:rsidRPr="000D0AA6" w:rsidRDefault="005A1618" w:rsidP="005A1618">
            <w:pPr>
              <w:widowControl/>
              <w:rPr>
                <w:b/>
                <w:bCs/>
                <w:snapToGrid/>
                <w:color w:val="000000"/>
                <w:szCs w:val="24"/>
              </w:rPr>
            </w:pPr>
          </w:p>
        </w:tc>
        <w:tc>
          <w:tcPr>
            <w:tcW w:w="1016" w:type="dxa"/>
            <w:vMerge/>
            <w:tcBorders>
              <w:top w:val="nil"/>
              <w:left w:val="single" w:sz="8" w:space="0" w:color="auto"/>
              <w:bottom w:val="single" w:sz="8" w:space="0" w:color="000000"/>
              <w:right w:val="single" w:sz="8" w:space="0" w:color="auto"/>
            </w:tcBorders>
            <w:vAlign w:val="center"/>
            <w:hideMark/>
          </w:tcPr>
          <w:p w14:paraId="6A11560E" w14:textId="77777777" w:rsidR="005A1618" w:rsidRPr="000D0AA6" w:rsidRDefault="005A1618" w:rsidP="005A1618">
            <w:pPr>
              <w:widowControl/>
              <w:rPr>
                <w:b/>
                <w:bCs/>
                <w:snapToGrid/>
                <w:color w:val="000000"/>
                <w:szCs w:val="24"/>
              </w:rPr>
            </w:pPr>
          </w:p>
        </w:tc>
        <w:tc>
          <w:tcPr>
            <w:tcW w:w="1116" w:type="dxa"/>
            <w:vMerge/>
            <w:tcBorders>
              <w:top w:val="nil"/>
              <w:left w:val="single" w:sz="8" w:space="0" w:color="auto"/>
              <w:bottom w:val="single" w:sz="8" w:space="0" w:color="000000"/>
              <w:right w:val="single" w:sz="8" w:space="0" w:color="auto"/>
            </w:tcBorders>
            <w:vAlign w:val="center"/>
            <w:hideMark/>
          </w:tcPr>
          <w:p w14:paraId="361F5065" w14:textId="77777777" w:rsidR="005A1618" w:rsidRPr="000D0AA6" w:rsidRDefault="005A1618" w:rsidP="005A1618">
            <w:pPr>
              <w:widowControl/>
              <w:rPr>
                <w:b/>
                <w:bCs/>
                <w:snapToGrid/>
                <w:color w:val="000000"/>
                <w:szCs w:val="24"/>
              </w:rPr>
            </w:pPr>
          </w:p>
        </w:tc>
        <w:tc>
          <w:tcPr>
            <w:tcW w:w="2016" w:type="dxa"/>
            <w:vMerge/>
            <w:tcBorders>
              <w:top w:val="nil"/>
              <w:left w:val="single" w:sz="8" w:space="0" w:color="auto"/>
              <w:bottom w:val="single" w:sz="8" w:space="0" w:color="000000"/>
              <w:right w:val="single" w:sz="8" w:space="0" w:color="auto"/>
            </w:tcBorders>
            <w:vAlign w:val="center"/>
            <w:hideMark/>
          </w:tcPr>
          <w:p w14:paraId="6A5C0F73" w14:textId="77777777" w:rsidR="005A1618" w:rsidRPr="000D0AA6" w:rsidRDefault="005A1618" w:rsidP="005A1618">
            <w:pPr>
              <w:widowControl/>
              <w:rPr>
                <w:b/>
                <w:bCs/>
                <w:snapToGrid/>
                <w:color w:val="000000"/>
                <w:szCs w:val="24"/>
              </w:rPr>
            </w:pPr>
          </w:p>
        </w:tc>
        <w:tc>
          <w:tcPr>
            <w:tcW w:w="1216" w:type="dxa"/>
            <w:vMerge/>
            <w:tcBorders>
              <w:top w:val="nil"/>
              <w:left w:val="single" w:sz="8" w:space="0" w:color="auto"/>
              <w:bottom w:val="single" w:sz="8" w:space="0" w:color="000000"/>
              <w:right w:val="single" w:sz="8" w:space="0" w:color="auto"/>
            </w:tcBorders>
            <w:vAlign w:val="center"/>
            <w:hideMark/>
          </w:tcPr>
          <w:p w14:paraId="68C9AA08" w14:textId="77777777" w:rsidR="005A1618" w:rsidRPr="000D0AA6" w:rsidRDefault="005A1618" w:rsidP="005A1618">
            <w:pPr>
              <w:widowControl/>
              <w:rPr>
                <w:b/>
                <w:bCs/>
                <w:snapToGrid/>
                <w:color w:val="000000"/>
                <w:szCs w:val="24"/>
              </w:rPr>
            </w:pPr>
          </w:p>
        </w:tc>
      </w:tr>
    </w:tbl>
    <w:p w14:paraId="48BBB5DA" w14:textId="77777777" w:rsidR="0085725A" w:rsidRPr="00D47256" w:rsidRDefault="0085725A" w:rsidP="007C774B">
      <w:pPr>
        <w:tabs>
          <w:tab w:val="left" w:pos="1440"/>
        </w:tabs>
        <w:rPr>
          <w:szCs w:val="24"/>
        </w:rPr>
      </w:pPr>
    </w:p>
    <w:p w14:paraId="45A75DFA" w14:textId="77777777" w:rsidR="005913E1" w:rsidRPr="00D47256" w:rsidRDefault="005913E1" w:rsidP="007C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13.</w:t>
      </w:r>
      <w:r w:rsidRPr="00D47256">
        <w:rPr>
          <w:szCs w:val="24"/>
        </w:rPr>
        <w:tab/>
      </w:r>
      <w:r w:rsidRPr="00D47256">
        <w:rPr>
          <w:szCs w:val="24"/>
          <w:u w:val="single"/>
        </w:rPr>
        <w:t>Total Costs as a Result of Data Collection</w:t>
      </w:r>
    </w:p>
    <w:p w14:paraId="45A75DFB"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FC" w14:textId="535BCF1A" w:rsidR="005913E1" w:rsidRPr="00D47256" w:rsidRDefault="00682DE6" w:rsidP="007C774B">
      <w:pPr>
        <w:tabs>
          <w:tab w:val="left" w:pos="1440"/>
        </w:tabs>
        <w:rPr>
          <w:szCs w:val="24"/>
        </w:rPr>
      </w:pPr>
      <w:r w:rsidRPr="00D47256">
        <w:rPr>
          <w:szCs w:val="24"/>
        </w:rPr>
        <w:t xml:space="preserve">The estimated annualized cost to labelers is </w:t>
      </w:r>
      <w:r w:rsidR="006B77BC" w:rsidRPr="00D47256">
        <w:rPr>
          <w:szCs w:val="24"/>
        </w:rPr>
        <w:t>$</w:t>
      </w:r>
      <w:r w:rsidR="00E86DB6" w:rsidRPr="00D47256">
        <w:rPr>
          <w:szCs w:val="24"/>
        </w:rPr>
        <w:t>328,778,690.60</w:t>
      </w:r>
      <w:r w:rsidRPr="00D47256">
        <w:rPr>
          <w:szCs w:val="24"/>
        </w:rPr>
        <w:t xml:space="preserve">.  This cost is based on </w:t>
      </w:r>
      <w:r w:rsidR="00E91536" w:rsidRPr="00D47256">
        <w:rPr>
          <w:szCs w:val="24"/>
        </w:rPr>
        <w:t xml:space="preserve">the average </w:t>
      </w:r>
      <w:r w:rsidRPr="00D47256">
        <w:rPr>
          <w:szCs w:val="24"/>
        </w:rPr>
        <w:t xml:space="preserve">private industry pay rate </w:t>
      </w:r>
      <w:r w:rsidR="00E91536" w:rsidRPr="00D47256">
        <w:rPr>
          <w:szCs w:val="24"/>
        </w:rPr>
        <w:t>for several positions within the pharmaceutical industry, including Computer Systems Analysts, General and Operations Managers, Operations Research Analysts, etc.</w:t>
      </w:r>
    </w:p>
    <w:p w14:paraId="45A75DFD"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FE" w14:textId="77777777" w:rsidR="005913E1" w:rsidRPr="00D47256" w:rsidRDefault="005913E1" w:rsidP="007C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14.</w:t>
      </w:r>
      <w:r w:rsidRPr="00D47256">
        <w:rPr>
          <w:szCs w:val="24"/>
        </w:rPr>
        <w:tab/>
      </w:r>
      <w:r w:rsidRPr="00D47256">
        <w:rPr>
          <w:szCs w:val="24"/>
          <w:u w:val="single"/>
        </w:rPr>
        <w:t>Federal Costs</w:t>
      </w:r>
    </w:p>
    <w:p w14:paraId="45A75DFF"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E00" w14:textId="6354717A" w:rsidR="00FE3743" w:rsidRPr="00D47256" w:rsidRDefault="006B77BC" w:rsidP="006676E1">
      <w:pPr>
        <w:tabs>
          <w:tab w:val="left" w:pos="1440"/>
        </w:tabs>
        <w:outlineLvl w:val="0"/>
        <w:rPr>
          <w:szCs w:val="24"/>
        </w:rPr>
      </w:pPr>
      <w:r w:rsidRPr="00D47256">
        <w:rPr>
          <w:szCs w:val="24"/>
        </w:rPr>
        <w:t xml:space="preserve">The estimated federal cost </w:t>
      </w:r>
      <w:r w:rsidR="00DE6B5E">
        <w:rPr>
          <w:szCs w:val="24"/>
        </w:rPr>
        <w:t>for our contractor</w:t>
      </w:r>
      <w:r w:rsidR="00F4639E">
        <w:rPr>
          <w:szCs w:val="24"/>
        </w:rPr>
        <w:t xml:space="preserve"> to</w:t>
      </w:r>
      <w:r w:rsidRPr="00D47256">
        <w:rPr>
          <w:szCs w:val="24"/>
        </w:rPr>
        <w:t xml:space="preserve"> implement these manufacturer requirements in the Drug Data Reporting for Medicaid (DDR) and Medicaid Drug Rebate (MDR) systems would be roughly $</w:t>
      </w:r>
      <w:r w:rsidR="004C5582" w:rsidRPr="00D47256">
        <w:rPr>
          <w:szCs w:val="24"/>
        </w:rPr>
        <w:t>500</w:t>
      </w:r>
      <w:r w:rsidRPr="00D47256">
        <w:rPr>
          <w:szCs w:val="24"/>
        </w:rPr>
        <w:t>,000.</w:t>
      </w:r>
    </w:p>
    <w:p w14:paraId="45A75E01" w14:textId="1755F8DE" w:rsidR="005913E1" w:rsidRPr="00D47256" w:rsidRDefault="005913E1" w:rsidP="006676E1">
      <w:pPr>
        <w:tabs>
          <w:tab w:val="left" w:pos="1440"/>
        </w:tabs>
        <w:rPr>
          <w:szCs w:val="24"/>
        </w:rPr>
      </w:pPr>
    </w:p>
    <w:p w14:paraId="45A75E02" w14:textId="77777777" w:rsidR="005913E1" w:rsidRPr="00D47256" w:rsidRDefault="005913E1" w:rsidP="00DA3E08">
      <w:pPr>
        <w:numPr>
          <w:ilvl w:val="0"/>
          <w:numId w:val="2"/>
        </w:numPr>
        <w:tabs>
          <w:tab w:val="clear" w:pos="1440"/>
          <w:tab w:val="num" w:pos="720"/>
        </w:tabs>
        <w:ind w:left="0" w:firstLine="0"/>
        <w:rPr>
          <w:szCs w:val="24"/>
          <w:u w:val="single"/>
        </w:rPr>
      </w:pPr>
      <w:r w:rsidRPr="00D47256">
        <w:rPr>
          <w:szCs w:val="24"/>
          <w:u w:val="single"/>
        </w:rPr>
        <w:t>Changes in Burden/Program</w:t>
      </w:r>
    </w:p>
    <w:p w14:paraId="609AA381" w14:textId="77777777" w:rsidR="00E74807" w:rsidRPr="00D47256" w:rsidRDefault="00E74807" w:rsidP="00E74807">
      <w:pPr>
        <w:tabs>
          <w:tab w:val="left" w:pos="1440"/>
        </w:tabs>
        <w:rPr>
          <w:szCs w:val="24"/>
        </w:rPr>
      </w:pPr>
    </w:p>
    <w:p w14:paraId="277F699A" w14:textId="399239E0" w:rsidR="00E74807" w:rsidRPr="00D47256" w:rsidRDefault="00E74807" w:rsidP="00E7480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 xml:space="preserve">In accordance with final rule CMS-2345-FC, CMS is amending the following requirements under this collection.  </w:t>
      </w:r>
    </w:p>
    <w:p w14:paraId="5E02F556" w14:textId="77777777" w:rsidR="00E74807" w:rsidRPr="00D47256" w:rsidRDefault="00E74807" w:rsidP="00E7480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EF09AF0" w14:textId="2C808B61" w:rsidR="00E74807" w:rsidRPr="00D47256" w:rsidRDefault="00E74807" w:rsidP="00E74807">
      <w:pPr>
        <w:rPr>
          <w:szCs w:val="24"/>
        </w:rPr>
      </w:pPr>
      <w:r w:rsidRPr="00D47256">
        <w:rPr>
          <w:b/>
          <w:szCs w:val="24"/>
        </w:rPr>
        <w:t xml:space="preserve">Additional Burden Due to Monthly 5i Threshold Determination:  </w:t>
      </w:r>
      <w:r w:rsidRPr="00D47256">
        <w:rPr>
          <w:szCs w:val="24"/>
        </w:rPr>
        <w:t>In accordance with §447.507(b)(1),  the drug manufacturer is required, on a monthly basis, to determine whether the percentage of sales for 5i drugs has met the threshold to be considered not generally dispensed through only a retail community pharmacy.  We estimate that it will take a Computer System Analyst 5 hours at $83.96/hr, a General and Operations Manager 5 hours at $112.70/hr, a Training and Development Manager 10 hours at $106.76/hr, and an Operations Research Analyst 10 hours at $79.76/hr (for a total of $2848.50 per month across all four positions) for each drug manufacturer to identify whether each 5i drug is or is not generally dispensed through a retail community pharmacy.  This equates to an annual burden of 360 additional hours (30 hr/response x 12 responses/year) per drug manufacturer.  In aggregate, we estimate 219,600 hours (610 drug manufacturers participating in the MDR program x 360 hr) at a cost of $20,851,020 (2848.50 per response x 12 responses/year x 610 manufacturers).</w:t>
      </w:r>
    </w:p>
    <w:p w14:paraId="77E7C69D" w14:textId="77777777" w:rsidR="00CC4953" w:rsidRPr="00D47256" w:rsidRDefault="00CC4953" w:rsidP="00CC4953">
      <w:pPr>
        <w:rPr>
          <w:szCs w:val="24"/>
        </w:rPr>
      </w:pPr>
    </w:p>
    <w:p w14:paraId="321FE3C0" w14:textId="65BC3B67" w:rsidR="009100CD" w:rsidRPr="00D47256" w:rsidRDefault="00EB68A5" w:rsidP="00CC4953">
      <w:pPr>
        <w:rPr>
          <w:szCs w:val="24"/>
        </w:rPr>
      </w:pPr>
      <w:r>
        <w:rPr>
          <w:szCs w:val="24"/>
        </w:rPr>
        <w:t>This field is included on</w:t>
      </w:r>
      <w:r w:rsidRPr="00D47256">
        <w:rPr>
          <w:szCs w:val="24"/>
        </w:rPr>
        <w:t xml:space="preserve"> form CMS-367</w:t>
      </w:r>
      <w:r>
        <w:rPr>
          <w:szCs w:val="24"/>
        </w:rPr>
        <w:t>b</w:t>
      </w:r>
      <w:r w:rsidRPr="00D47256">
        <w:rPr>
          <w:szCs w:val="24"/>
        </w:rPr>
        <w:t xml:space="preserve"> as a “</w:t>
      </w:r>
      <w:r>
        <w:rPr>
          <w:szCs w:val="24"/>
        </w:rPr>
        <w:t>5i Threshold</w:t>
      </w:r>
      <w:r w:rsidRPr="00D47256">
        <w:rPr>
          <w:szCs w:val="24"/>
        </w:rPr>
        <w:t>.”</w:t>
      </w:r>
    </w:p>
    <w:p w14:paraId="7FBAE802" w14:textId="77777777" w:rsidR="009100CD" w:rsidRPr="00D47256" w:rsidRDefault="009100CD" w:rsidP="00CC4953">
      <w:pPr>
        <w:rPr>
          <w:szCs w:val="24"/>
        </w:rPr>
      </w:pPr>
    </w:p>
    <w:p w14:paraId="11BB7DC8" w14:textId="013FD2DC" w:rsidR="00CC4953" w:rsidRPr="00D47256" w:rsidRDefault="00CC4953" w:rsidP="00CC4953">
      <w:pPr>
        <w:rPr>
          <w:szCs w:val="24"/>
        </w:rPr>
      </w:pPr>
      <w:r w:rsidRPr="00D47256">
        <w:rPr>
          <w:b/>
          <w:szCs w:val="24"/>
        </w:rPr>
        <w:t xml:space="preserve">Additional Burden Due to the New Line Extension Drug Indicator Field:  </w:t>
      </w:r>
      <w:r w:rsidRPr="00D47256">
        <w:rPr>
          <w:szCs w:val="24"/>
        </w:rPr>
        <w:t>Under §447.509(a)(4</w:t>
      </w:r>
      <w:r w:rsidR="00F7311F" w:rsidRPr="00D47256">
        <w:rPr>
          <w:szCs w:val="24"/>
        </w:rPr>
        <w:t>),</w:t>
      </w:r>
      <w:r w:rsidRPr="00D47256">
        <w:rPr>
          <w:szCs w:val="24"/>
        </w:rPr>
        <w:t xml:space="preserve"> drug manufacturers participating in the rebate program that have line extension drugs are required to compute a quarterly alternative rebate amount in addition to the traditional quarterly rebate amount.  To compute the alternative rebate calculation for a line extension drug of a brand name in an oral solid dosage form, the drug manufacturer must first perform a one-time identification of each line extension drug.  Consequently, we are adding a Line Extension Drug Indicator field to form CMS 367c (i.e., product data format) so that a manufacturer can identify whether or not each product is a line extension drug.  </w:t>
      </w:r>
    </w:p>
    <w:p w14:paraId="60D52829" w14:textId="77777777" w:rsidR="00CC4953" w:rsidRPr="00D47256" w:rsidRDefault="00CC4953" w:rsidP="00CC4953">
      <w:pPr>
        <w:widowControl/>
        <w:rPr>
          <w:szCs w:val="24"/>
        </w:rPr>
      </w:pPr>
    </w:p>
    <w:p w14:paraId="6C72AA2C" w14:textId="77777777" w:rsidR="00CC4953" w:rsidRPr="00D47256" w:rsidRDefault="00CC4953" w:rsidP="007C774B">
      <w:pPr>
        <w:widowControl/>
        <w:rPr>
          <w:szCs w:val="24"/>
        </w:rPr>
      </w:pPr>
      <w:r w:rsidRPr="00D47256">
        <w:rPr>
          <w:szCs w:val="24"/>
        </w:rPr>
        <w:t xml:space="preserve">We estimate that this requirement affects the approximately 610 drug manufacturers participating in the MDR program.  The one-time burden associated with the reporting of the Line Extension Drug Indicator is the time and effort it takes each drug manufacturer to identify whether each drug is a line extension product.  However, based upon the approval information that a drug manufacturer receives from the FDA, it is our understanding that each drug manufacturer should have some knowledge regarding which drugs are line extensions. </w:t>
      </w:r>
    </w:p>
    <w:p w14:paraId="05F74ECD" w14:textId="77777777" w:rsidR="00CC4953" w:rsidRPr="00D47256" w:rsidRDefault="00CC4953" w:rsidP="00CC4953">
      <w:pPr>
        <w:rPr>
          <w:szCs w:val="24"/>
        </w:rPr>
      </w:pPr>
    </w:p>
    <w:p w14:paraId="7B96C8D7" w14:textId="0F4D60BF" w:rsidR="00CC4953" w:rsidRPr="00D47256" w:rsidRDefault="00CC4953" w:rsidP="007C774B">
      <w:pPr>
        <w:rPr>
          <w:szCs w:val="24"/>
        </w:rPr>
      </w:pPr>
      <w:r w:rsidRPr="00D47256">
        <w:rPr>
          <w:szCs w:val="24"/>
        </w:rPr>
        <w:t>We estimate that it will take a Computer System Analyst 10 hours at $83.96/hr, a General and Operations Manager 5 hours at $112.70/hr, a Training and Development Manager 1 hour at $106.76/hr, and an Operations Research Analyst 10 hours at $79.76/hr (for a one-time total of $2</w:t>
      </w:r>
      <w:r w:rsidR="00B148FB">
        <w:rPr>
          <w:szCs w:val="24"/>
        </w:rPr>
        <w:t>,</w:t>
      </w:r>
      <w:r w:rsidRPr="00D47256">
        <w:rPr>
          <w:szCs w:val="24"/>
        </w:rPr>
        <w:t xml:space="preserve">307.46 across all four positions) to complete the reporting of the Line Extension Drug Indicator.  The annual burden for the 610 drug manufacturers </w:t>
      </w:r>
      <w:r w:rsidRPr="00D47256">
        <w:rPr>
          <w:szCs w:val="24"/>
        </w:rPr>
        <w:lastRenderedPageBreak/>
        <w:t xml:space="preserve">participating in the MDR program is estimated to be 15,860 hours (610 drug manufacturers x 1 response) with a cost of $1,407,550.60.  </w:t>
      </w:r>
    </w:p>
    <w:p w14:paraId="62A3CD0D" w14:textId="77777777" w:rsidR="00CC4953" w:rsidRPr="00D47256" w:rsidRDefault="00CC4953" w:rsidP="00CC4953">
      <w:pPr>
        <w:rPr>
          <w:b/>
          <w:szCs w:val="24"/>
        </w:rPr>
      </w:pPr>
    </w:p>
    <w:p w14:paraId="6713A410" w14:textId="77777777" w:rsidR="00E74807" w:rsidRPr="00D47256" w:rsidRDefault="00E74807" w:rsidP="00E7480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This field has been added to form CMS-367c as a “Line Extension Drug Indicator.”</w:t>
      </w:r>
    </w:p>
    <w:p w14:paraId="7789E315" w14:textId="77777777" w:rsidR="00E74807" w:rsidRPr="00D47256" w:rsidRDefault="00E74807" w:rsidP="00E74807">
      <w:pPr>
        <w:rPr>
          <w:b/>
          <w:szCs w:val="24"/>
        </w:rPr>
      </w:pPr>
    </w:p>
    <w:p w14:paraId="71D278EB" w14:textId="0888FFBE" w:rsidR="00E74807" w:rsidRPr="00D47256" w:rsidRDefault="00E74807" w:rsidP="00E74807">
      <w:pPr>
        <w:rPr>
          <w:szCs w:val="24"/>
        </w:rPr>
      </w:pPr>
      <w:r w:rsidRPr="00D47256">
        <w:rPr>
          <w:b/>
          <w:szCs w:val="24"/>
        </w:rPr>
        <w:t xml:space="preserve">Additional Burden Due to the New Line Extension Available for LE and Initial Drug Fields:  </w:t>
      </w:r>
      <w:r w:rsidRPr="00D47256">
        <w:rPr>
          <w:szCs w:val="24"/>
        </w:rPr>
        <w:t xml:space="preserve">For each drug identified as a line extension drug, manufacturers must identify an initial brand name listed drug each quarter that has the highest additional rebate (calculated as a percentage of AMP) for any strength of the initial brand name listed drug.  As a result, we are adding an Initial Drug Available for LE and an Initial Drug field to form CMS 367a (i.e., quarterly pricing format) so that a manufacturer can identify on a quarterly basis whether a line extension drug has an active initial drug, and then also report the initial drug itself.  However, it is our understanding that each drug manufacturer should have some knowledge regarding the drug from which each line extension product is derived.  </w:t>
      </w:r>
    </w:p>
    <w:p w14:paraId="3275CB3B" w14:textId="77777777" w:rsidR="00E74807" w:rsidRPr="00D47256" w:rsidRDefault="00E74807" w:rsidP="00E74807">
      <w:pPr>
        <w:rPr>
          <w:szCs w:val="24"/>
        </w:rPr>
      </w:pPr>
    </w:p>
    <w:p w14:paraId="6C0253A6" w14:textId="77777777" w:rsidR="00E74807" w:rsidRPr="00D47256" w:rsidRDefault="00E74807" w:rsidP="00E74807">
      <w:pPr>
        <w:rPr>
          <w:szCs w:val="24"/>
        </w:rPr>
      </w:pPr>
      <w:r w:rsidRPr="00D47256">
        <w:rPr>
          <w:szCs w:val="24"/>
        </w:rPr>
        <w:t xml:space="preserve">We estimate that these requirements affect the approximately 610 drug manufacturers participating in the MDR program.  The quarterly burden associated with the reporting of the Initial Drug information is the time and effort it takes to identify whether a line extension product has an initial drug for the quarter/year combination being reported, to report the initial drug (if applicable), and to calculate the alternative URA for each line extension drug.   </w:t>
      </w:r>
    </w:p>
    <w:p w14:paraId="0FDEA2D9" w14:textId="77777777" w:rsidR="00CC4953" w:rsidRPr="00D47256" w:rsidRDefault="00CC4953" w:rsidP="00CC4953">
      <w:pPr>
        <w:rPr>
          <w:szCs w:val="24"/>
        </w:rPr>
      </w:pPr>
    </w:p>
    <w:p w14:paraId="6B1A05DE" w14:textId="05BDA43B" w:rsidR="00CC4953" w:rsidRPr="00D47256" w:rsidRDefault="00CC4953" w:rsidP="00CC4953">
      <w:pPr>
        <w:rPr>
          <w:szCs w:val="24"/>
        </w:rPr>
      </w:pPr>
      <w:r w:rsidRPr="00D47256">
        <w:rPr>
          <w:szCs w:val="24"/>
        </w:rPr>
        <w:t>We estimate that it will take a Computer System Analyst 5 hours at $83.96/hr, a General and Operations Manager 5 hours at $112.70/hr, a Training and Development Manager 5 hours at $106.76/hr, and an Operations Research Analyst 5 hours at $79.76/hr (for a total of $1</w:t>
      </w:r>
      <w:r w:rsidR="00D74E6B" w:rsidRPr="00D47256">
        <w:rPr>
          <w:szCs w:val="24"/>
        </w:rPr>
        <w:t>,</w:t>
      </w:r>
      <w:r w:rsidRPr="00D47256">
        <w:rPr>
          <w:szCs w:val="24"/>
        </w:rPr>
        <w:t xml:space="preserve">915.90 per quarter across all four positions) to complete the reporting of the Line Extension and Initial Drug information, as well as perform the ongoing quarterly calculation of the alternative URA.  The annual burden for the 610 drug manufacturers participating in the MDR program is estimated to be 48,800 hours (610 drug manufacturers x 20 hr/response x 4 responses/year) with a cost of $4,674,796.  </w:t>
      </w:r>
    </w:p>
    <w:p w14:paraId="606007D6" w14:textId="77777777" w:rsidR="00CC4953" w:rsidRPr="00D47256" w:rsidRDefault="00CC4953" w:rsidP="00CC4953">
      <w:pPr>
        <w:rPr>
          <w:szCs w:val="24"/>
        </w:rPr>
      </w:pPr>
    </w:p>
    <w:p w14:paraId="3FC26F83" w14:textId="2D98A860" w:rsidR="00E74807" w:rsidRPr="00D47256" w:rsidRDefault="00E74807" w:rsidP="00E7480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 xml:space="preserve">As indicated above, the following fields have been added to form CMS-367a: (1) “Initial Drug Available for LE” and (2) “Initial Drug.” </w:t>
      </w:r>
    </w:p>
    <w:p w14:paraId="213CC2E4" w14:textId="77777777" w:rsidR="00E74807" w:rsidRPr="00D47256" w:rsidRDefault="00E74807" w:rsidP="00E74807">
      <w:pPr>
        <w:rPr>
          <w:szCs w:val="24"/>
        </w:rPr>
      </w:pPr>
    </w:p>
    <w:p w14:paraId="4E64F486" w14:textId="77777777" w:rsidR="00E74807" w:rsidRPr="00D47256" w:rsidRDefault="00E74807" w:rsidP="00E74807">
      <w:pPr>
        <w:rPr>
          <w:szCs w:val="24"/>
        </w:rPr>
      </w:pPr>
      <w:r w:rsidRPr="00D47256">
        <w:rPr>
          <w:b/>
          <w:szCs w:val="24"/>
        </w:rPr>
        <w:t xml:space="preserve">Additional Burden Due to the One-Time Reconfiguration of Labeler Drug Pricing Systems:  </w:t>
      </w:r>
    </w:p>
    <w:p w14:paraId="120589AE" w14:textId="70CE533E" w:rsidR="00E74807" w:rsidRPr="00D47256" w:rsidRDefault="00E74807" w:rsidP="00E74807">
      <w:pPr>
        <w:rPr>
          <w:szCs w:val="24"/>
        </w:rPr>
      </w:pPr>
      <w:r w:rsidRPr="00D47256">
        <w:rPr>
          <w:szCs w:val="24"/>
        </w:rPr>
        <w:t xml:space="preserve">Consistent with §447.510 of the final rule, drug manufacturers currently must report (electronically) product and quarterly pricing information to CMS not later than 30 days after the end of the rebate period.  Monthly pricing and units are due no later than 30 days after the end of the month.  </w:t>
      </w:r>
    </w:p>
    <w:p w14:paraId="1B0F62F1" w14:textId="77777777" w:rsidR="00CC4953" w:rsidRPr="00D47256" w:rsidRDefault="00CC4953" w:rsidP="00CC4953">
      <w:pPr>
        <w:rPr>
          <w:szCs w:val="24"/>
        </w:rPr>
      </w:pPr>
    </w:p>
    <w:p w14:paraId="385389BF" w14:textId="76292380" w:rsidR="00CC4953" w:rsidRPr="00D47256" w:rsidRDefault="00CC4953" w:rsidP="00CC4953">
      <w:pPr>
        <w:rPr>
          <w:szCs w:val="24"/>
        </w:rPr>
      </w:pPr>
      <w:r w:rsidRPr="00D47256">
        <w:rPr>
          <w:szCs w:val="24"/>
        </w:rPr>
        <w:t>This final rule significantly revises the definitions of AMP and best price, which are both part of the pricing information submitted by manufacturers on a monthly and/or quarterly basis.  Consequently, drug manufacturers must reconfigure their pricing systems to correctly calculate AMP and best price</w:t>
      </w:r>
      <w:r w:rsidR="0075557F" w:rsidRPr="00D47256">
        <w:rPr>
          <w:szCs w:val="24"/>
        </w:rPr>
        <w:t>.</w:t>
      </w:r>
      <w:r w:rsidRPr="00D47256">
        <w:rPr>
          <w:szCs w:val="24"/>
        </w:rPr>
        <w:t xml:space="preserve">  Specifically, the burden associated with these new requirements is the time and effort it takes a drug manufacturer to reconfigure its pricing systems to correctly calculate AMP and best price, before it can submit the required data to CMS.  </w:t>
      </w:r>
    </w:p>
    <w:p w14:paraId="77D84830" w14:textId="77777777" w:rsidR="00CC4953" w:rsidRPr="00D47256" w:rsidRDefault="00CC4953" w:rsidP="00CC4953">
      <w:pPr>
        <w:rPr>
          <w:szCs w:val="24"/>
        </w:rPr>
      </w:pPr>
    </w:p>
    <w:p w14:paraId="3F56578B" w14:textId="77777777" w:rsidR="00CC4953" w:rsidRPr="00D47256" w:rsidRDefault="00CC4953" w:rsidP="00CC4953">
      <w:pPr>
        <w:rPr>
          <w:szCs w:val="24"/>
        </w:rPr>
      </w:pPr>
      <w:r w:rsidRPr="00D47256">
        <w:rPr>
          <w:szCs w:val="24"/>
        </w:rPr>
        <w:t xml:space="preserve">We estimate that these requirements affect the approximately 610 drug manufacturers in the MDR program.  We estimate it will take a Computer System Analyst 400 hours at $83.96/hr, a General and Operations Manager 180 hours at $112.70/hr, a Training and Development Manager 180 hours at $106.76/hr, a Lawyer 40 hours at $128.34/hr, and an Operations Research Analyst 400 hours at $79.76/hr (for a one-time total of $110,124.40 across all five positions) to update a manufacturer’s pricing system to incorporate the new requirements related to the changes to AMP and best price definitions.  The one-time total burden for the 610 drug manufacturers participating in the MDR program is estimated to be 732,000 hours (610 drug manufacturers x 1,200 hr/ drug </w:t>
      </w:r>
      <w:r w:rsidRPr="00D47256">
        <w:rPr>
          <w:szCs w:val="24"/>
        </w:rPr>
        <w:lastRenderedPageBreak/>
        <w:t>manufacturer) at a cost of $67,175,884.</w:t>
      </w:r>
    </w:p>
    <w:p w14:paraId="6E693DF2" w14:textId="77777777" w:rsidR="00CC4953" w:rsidRPr="00D47256" w:rsidRDefault="00CC4953" w:rsidP="00CC4953">
      <w:pPr>
        <w:rPr>
          <w:b/>
          <w:szCs w:val="24"/>
        </w:rPr>
      </w:pPr>
    </w:p>
    <w:p w14:paraId="496E7818" w14:textId="12478C8C" w:rsidR="00FD55BE" w:rsidRPr="00D47256" w:rsidRDefault="00FD55BE" w:rsidP="00FD55BE">
      <w:pPr>
        <w:rPr>
          <w:szCs w:val="24"/>
        </w:rPr>
      </w:pPr>
      <w:r w:rsidRPr="00FD55BE">
        <w:rPr>
          <w:szCs w:val="24"/>
        </w:rPr>
        <w:t xml:space="preserve"> </w:t>
      </w:r>
      <w:r>
        <w:rPr>
          <w:szCs w:val="24"/>
        </w:rPr>
        <w:t xml:space="preserve">This information is not located on the CMS-367 forms. As indicated above this burden requirement is </w:t>
      </w:r>
      <w:r w:rsidRPr="00D47256">
        <w:rPr>
          <w:szCs w:val="24"/>
        </w:rPr>
        <w:t>to update a manufacturer’s pricing system to incorporate the new requirements related to the changes to AMP and best price definitio</w:t>
      </w:r>
      <w:r>
        <w:rPr>
          <w:szCs w:val="24"/>
        </w:rPr>
        <w:t>n so that AMP and best price data can be reported on the CMS-367 forms.</w:t>
      </w:r>
    </w:p>
    <w:p w14:paraId="4E817B7C" w14:textId="447A7C71" w:rsidR="00DE6148" w:rsidRPr="00D47256" w:rsidRDefault="00E34ED7" w:rsidP="00CC4953">
      <w:pPr>
        <w:rPr>
          <w:b/>
          <w:szCs w:val="24"/>
        </w:rPr>
      </w:pPr>
      <w:r>
        <w:rPr>
          <w:szCs w:val="24"/>
        </w:rPr>
        <w:t xml:space="preserve"> </w:t>
      </w:r>
    </w:p>
    <w:p w14:paraId="567A4D92" w14:textId="77777777" w:rsidR="00CC4953" w:rsidRPr="00D47256" w:rsidRDefault="00CC4953" w:rsidP="00CC4953">
      <w:pPr>
        <w:rPr>
          <w:b/>
          <w:szCs w:val="24"/>
        </w:rPr>
      </w:pPr>
      <w:r w:rsidRPr="00D47256">
        <w:rPr>
          <w:b/>
          <w:szCs w:val="24"/>
        </w:rPr>
        <w:t xml:space="preserve">Additional Burden Due to the One-Time Cost of Training Drug Manufacturer Staff:  </w:t>
      </w:r>
      <w:r w:rsidRPr="00D47256">
        <w:rPr>
          <w:szCs w:val="24"/>
        </w:rPr>
        <w:t>In addition to the one-time burden of reconfiguring pricing systems, we are also estimating a one-time cost to train drug manufacturer staff on the new, reconfigured pricing systems.  We are including this additional estimate based upon comments we received in response to the proposed rule.  To perform this training, we believe it will take a General and Operations Manager 600 hours at $112.70/hr, a Training and Development Manager 1,700 hours at $106.76/hr, and an Operations Research Analyst 1,700 hours at $79.76/hr (for a one-time total of $384,704 across all three positions).  The one-time total burden associated with this training is estimated to be 2,440,000 hours (610 drug manufacturers x 4,000 hr/ drug manufacturer) at a cost of $234,669,440.</w:t>
      </w:r>
    </w:p>
    <w:p w14:paraId="34A6D79C" w14:textId="159629F2" w:rsidR="00DE6148" w:rsidRPr="00D47256" w:rsidRDefault="00DE6148" w:rsidP="008C53E1">
      <w:pPr>
        <w:rPr>
          <w:szCs w:val="24"/>
        </w:rPr>
      </w:pPr>
    </w:p>
    <w:p w14:paraId="65017314" w14:textId="169EB7D2" w:rsidR="00FD55BE" w:rsidRPr="00D47256" w:rsidRDefault="00FD55BE" w:rsidP="00FD55BE">
      <w:pPr>
        <w:rPr>
          <w:szCs w:val="24"/>
        </w:rPr>
      </w:pPr>
      <w:r w:rsidRPr="00FD55BE">
        <w:rPr>
          <w:szCs w:val="24"/>
        </w:rPr>
        <w:t xml:space="preserve"> </w:t>
      </w:r>
      <w:r>
        <w:rPr>
          <w:szCs w:val="24"/>
        </w:rPr>
        <w:t xml:space="preserve">This information is not located on the CMS-367 forms. As indicated above this burden requirement is </w:t>
      </w:r>
      <w:r w:rsidRPr="00D47256">
        <w:rPr>
          <w:szCs w:val="24"/>
        </w:rPr>
        <w:t>to update a manufacturer’s pricing system to incorporate the new requirements related to the changes to AMP and best price definitio</w:t>
      </w:r>
      <w:r>
        <w:rPr>
          <w:szCs w:val="24"/>
        </w:rPr>
        <w:t>n so that AMP and best price data can be reported on the CMS-367 forms.</w:t>
      </w:r>
    </w:p>
    <w:p w14:paraId="419672B5" w14:textId="77777777" w:rsidR="00DE6148" w:rsidRPr="00D47256" w:rsidRDefault="00DE6148" w:rsidP="006676E1">
      <w:pPr>
        <w:tabs>
          <w:tab w:val="left" w:pos="1440"/>
        </w:tabs>
        <w:rPr>
          <w:szCs w:val="24"/>
        </w:rPr>
      </w:pPr>
    </w:p>
    <w:p w14:paraId="3DAC19E1" w14:textId="07649887" w:rsidR="00D37AFD" w:rsidRPr="006B7950" w:rsidRDefault="00091C50" w:rsidP="006676E1">
      <w:pPr>
        <w:tabs>
          <w:tab w:val="left" w:pos="1440"/>
        </w:tabs>
        <w:rPr>
          <w:b/>
          <w:szCs w:val="24"/>
        </w:rPr>
      </w:pPr>
      <w:r w:rsidRPr="006B7950">
        <w:rPr>
          <w:b/>
          <w:szCs w:val="24"/>
        </w:rPr>
        <w:t>Summary</w:t>
      </w:r>
      <w:r w:rsidRPr="00D47256">
        <w:rPr>
          <w:b/>
          <w:szCs w:val="24"/>
        </w:rPr>
        <w:t xml:space="preserve"> of Added Burden</w:t>
      </w:r>
    </w:p>
    <w:p w14:paraId="4D1FB5B8" w14:textId="77777777" w:rsidR="00D37AFD" w:rsidRPr="00D47256" w:rsidRDefault="00D37AFD" w:rsidP="006676E1">
      <w:pPr>
        <w:tabs>
          <w:tab w:val="left" w:pos="1440"/>
        </w:tabs>
        <w:rPr>
          <w:szCs w:val="24"/>
        </w:rPr>
      </w:pPr>
    </w:p>
    <w:tbl>
      <w:tblPr>
        <w:tblW w:w="12924" w:type="dxa"/>
        <w:tblInd w:w="108" w:type="dxa"/>
        <w:tblLook w:val="04A0" w:firstRow="1" w:lastRow="0" w:firstColumn="1" w:lastColumn="0" w:noHBand="0" w:noVBand="1"/>
      </w:tblPr>
      <w:tblGrid>
        <w:gridCol w:w="1333"/>
        <w:gridCol w:w="1449"/>
        <w:gridCol w:w="1361"/>
        <w:gridCol w:w="1306"/>
        <w:gridCol w:w="1094"/>
        <w:gridCol w:w="1017"/>
        <w:gridCol w:w="1016"/>
        <w:gridCol w:w="1116"/>
        <w:gridCol w:w="2016"/>
        <w:gridCol w:w="1216"/>
      </w:tblGrid>
      <w:tr w:rsidR="00892799" w:rsidRPr="00D47256" w14:paraId="595745C3" w14:textId="77777777" w:rsidTr="00D47256">
        <w:trPr>
          <w:trHeight w:val="300"/>
        </w:trPr>
        <w:tc>
          <w:tcPr>
            <w:tcW w:w="13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34603D" w14:textId="77777777" w:rsidR="000D0AA6" w:rsidRPr="000D0AA6" w:rsidRDefault="000D0AA6" w:rsidP="000D0AA6">
            <w:pPr>
              <w:widowControl/>
              <w:jc w:val="center"/>
              <w:rPr>
                <w:b/>
                <w:bCs/>
                <w:snapToGrid/>
                <w:color w:val="000000"/>
                <w:sz w:val="20"/>
              </w:rPr>
            </w:pPr>
            <w:r w:rsidRPr="000D0AA6">
              <w:rPr>
                <w:b/>
                <w:bCs/>
                <w:snapToGrid/>
                <w:color w:val="000000"/>
                <w:sz w:val="20"/>
              </w:rPr>
              <w:t>Regulation Section(s) in Title 42 of the CFR</w:t>
            </w:r>
          </w:p>
        </w:tc>
        <w:tc>
          <w:tcPr>
            <w:tcW w:w="16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5CF406" w14:textId="74ED24D7" w:rsidR="000D0AA6" w:rsidRPr="000D0AA6" w:rsidRDefault="000D0AA6" w:rsidP="000D0AA6">
            <w:pPr>
              <w:widowControl/>
              <w:jc w:val="center"/>
              <w:rPr>
                <w:b/>
                <w:bCs/>
                <w:snapToGrid/>
                <w:color w:val="000000"/>
                <w:sz w:val="20"/>
              </w:rPr>
            </w:pPr>
            <w:r w:rsidRPr="000D0AA6">
              <w:rPr>
                <w:b/>
                <w:bCs/>
                <w:snapToGrid/>
                <w:color w:val="000000"/>
                <w:sz w:val="20"/>
              </w:rPr>
              <w:t>Description</w:t>
            </w:r>
            <w:r w:rsidR="00E77D73">
              <w:rPr>
                <w:b/>
                <w:bCs/>
                <w:snapToGrid/>
                <w:color w:val="000000"/>
                <w:sz w:val="20"/>
              </w:rPr>
              <w:t xml:space="preserve"> / Form</w:t>
            </w:r>
          </w:p>
        </w:tc>
        <w:tc>
          <w:tcPr>
            <w:tcW w:w="1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0A91A6" w14:textId="77777777" w:rsidR="000D0AA6" w:rsidRPr="000D0AA6" w:rsidRDefault="000D0AA6" w:rsidP="000D0AA6">
            <w:pPr>
              <w:widowControl/>
              <w:jc w:val="center"/>
              <w:rPr>
                <w:b/>
                <w:bCs/>
                <w:snapToGrid/>
                <w:color w:val="000000"/>
                <w:sz w:val="20"/>
              </w:rPr>
            </w:pPr>
            <w:r w:rsidRPr="000D0AA6">
              <w:rPr>
                <w:b/>
                <w:bCs/>
                <w:snapToGrid/>
                <w:color w:val="000000"/>
                <w:sz w:val="20"/>
              </w:rPr>
              <w:t>Frequency</w:t>
            </w:r>
          </w:p>
        </w:tc>
        <w:tc>
          <w:tcPr>
            <w:tcW w:w="13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8276BA" w14:textId="77777777" w:rsidR="000D0AA6" w:rsidRPr="000D0AA6" w:rsidRDefault="000D0AA6" w:rsidP="000D0AA6">
            <w:pPr>
              <w:widowControl/>
              <w:jc w:val="center"/>
              <w:rPr>
                <w:b/>
                <w:bCs/>
                <w:snapToGrid/>
                <w:color w:val="000000"/>
                <w:sz w:val="20"/>
              </w:rPr>
            </w:pPr>
            <w:r w:rsidRPr="000D0AA6">
              <w:rPr>
                <w:b/>
                <w:bCs/>
                <w:snapToGrid/>
                <w:color w:val="000000"/>
                <w:sz w:val="20"/>
              </w:rPr>
              <w:t>Respondents</w:t>
            </w:r>
          </w:p>
        </w:tc>
        <w:tc>
          <w:tcPr>
            <w:tcW w:w="10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11AD36" w14:textId="77777777" w:rsidR="000D0AA6" w:rsidRPr="000D0AA6" w:rsidRDefault="000D0AA6" w:rsidP="000D0AA6">
            <w:pPr>
              <w:widowControl/>
              <w:jc w:val="center"/>
              <w:rPr>
                <w:b/>
                <w:bCs/>
                <w:snapToGrid/>
                <w:color w:val="000000"/>
                <w:sz w:val="20"/>
              </w:rPr>
            </w:pPr>
            <w:r w:rsidRPr="000D0AA6">
              <w:rPr>
                <w:b/>
                <w:bCs/>
                <w:snapToGrid/>
                <w:color w:val="000000"/>
                <w:sz w:val="20"/>
              </w:rPr>
              <w:t>Total Responses</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2EE32F" w14:textId="77777777" w:rsidR="000D0AA6" w:rsidRPr="000D0AA6" w:rsidRDefault="000D0AA6" w:rsidP="000D0AA6">
            <w:pPr>
              <w:widowControl/>
              <w:jc w:val="center"/>
              <w:rPr>
                <w:b/>
                <w:bCs/>
                <w:snapToGrid/>
                <w:color w:val="000000"/>
                <w:sz w:val="20"/>
              </w:rPr>
            </w:pPr>
            <w:r w:rsidRPr="000D0AA6">
              <w:rPr>
                <w:b/>
                <w:bCs/>
                <w:snapToGrid/>
                <w:color w:val="000000"/>
                <w:sz w:val="20"/>
              </w:rPr>
              <w:t>Burden per Response (hours)</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CE5193" w14:textId="77777777" w:rsidR="000D0AA6" w:rsidRPr="000D0AA6" w:rsidRDefault="000D0AA6" w:rsidP="000D0AA6">
            <w:pPr>
              <w:widowControl/>
              <w:jc w:val="center"/>
              <w:rPr>
                <w:b/>
                <w:bCs/>
                <w:snapToGrid/>
                <w:color w:val="000000"/>
                <w:sz w:val="20"/>
              </w:rPr>
            </w:pPr>
            <w:r w:rsidRPr="000D0AA6">
              <w:rPr>
                <w:b/>
                <w:bCs/>
                <w:snapToGrid/>
                <w:color w:val="000000"/>
                <w:sz w:val="20"/>
              </w:rPr>
              <w:t>Total Annual Burden (hours)</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1C4386" w14:textId="77777777" w:rsidR="000D0AA6" w:rsidRPr="000D0AA6" w:rsidRDefault="000D0AA6" w:rsidP="000D0AA6">
            <w:pPr>
              <w:widowControl/>
              <w:jc w:val="center"/>
              <w:rPr>
                <w:b/>
                <w:bCs/>
                <w:snapToGrid/>
                <w:color w:val="000000"/>
                <w:sz w:val="20"/>
              </w:rPr>
            </w:pPr>
            <w:r w:rsidRPr="000D0AA6">
              <w:rPr>
                <w:b/>
                <w:bCs/>
                <w:snapToGrid/>
                <w:color w:val="000000"/>
                <w:sz w:val="20"/>
              </w:rPr>
              <w:t>Total Labor Cost of Reporting ($)</w:t>
            </w:r>
          </w:p>
        </w:tc>
        <w:tc>
          <w:tcPr>
            <w:tcW w:w="2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5764B0" w14:textId="77777777" w:rsidR="000D0AA6" w:rsidRPr="000D0AA6" w:rsidRDefault="000D0AA6" w:rsidP="000D0AA6">
            <w:pPr>
              <w:widowControl/>
              <w:jc w:val="center"/>
              <w:rPr>
                <w:b/>
                <w:bCs/>
                <w:snapToGrid/>
                <w:color w:val="000000"/>
                <w:sz w:val="20"/>
              </w:rPr>
            </w:pPr>
            <w:r w:rsidRPr="000D0AA6">
              <w:rPr>
                <w:b/>
                <w:bCs/>
                <w:snapToGrid/>
                <w:color w:val="000000"/>
                <w:sz w:val="20"/>
              </w:rPr>
              <w:t>Total Capital/Maintenance Costs ($)</w:t>
            </w:r>
          </w:p>
        </w:tc>
        <w:tc>
          <w:tcPr>
            <w:tcW w:w="12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BE9B44" w14:textId="77777777" w:rsidR="000D0AA6" w:rsidRPr="000D0AA6" w:rsidRDefault="000D0AA6" w:rsidP="000D0AA6">
            <w:pPr>
              <w:widowControl/>
              <w:jc w:val="center"/>
              <w:rPr>
                <w:b/>
                <w:bCs/>
                <w:snapToGrid/>
                <w:color w:val="000000"/>
                <w:sz w:val="20"/>
              </w:rPr>
            </w:pPr>
            <w:r w:rsidRPr="000D0AA6">
              <w:rPr>
                <w:b/>
                <w:bCs/>
                <w:snapToGrid/>
                <w:color w:val="000000"/>
                <w:sz w:val="20"/>
              </w:rPr>
              <w:t>Total Cost ($)</w:t>
            </w:r>
          </w:p>
        </w:tc>
      </w:tr>
      <w:tr w:rsidR="00892799" w:rsidRPr="00D47256" w14:paraId="4F4F89AE" w14:textId="77777777" w:rsidTr="007B7EE1">
        <w:trPr>
          <w:trHeight w:val="300"/>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041C1D50" w14:textId="77777777" w:rsidR="000D0AA6" w:rsidRPr="000D0AA6" w:rsidRDefault="000D0AA6" w:rsidP="000D0AA6">
            <w:pPr>
              <w:widowControl/>
              <w:rPr>
                <w:b/>
                <w:bCs/>
                <w:snapToGrid/>
                <w:color w:val="000000"/>
                <w:sz w:val="20"/>
              </w:rPr>
            </w:pPr>
          </w:p>
        </w:tc>
        <w:tc>
          <w:tcPr>
            <w:tcW w:w="1683" w:type="dxa"/>
            <w:vMerge/>
            <w:tcBorders>
              <w:top w:val="single" w:sz="8" w:space="0" w:color="auto"/>
              <w:left w:val="single" w:sz="8" w:space="0" w:color="auto"/>
              <w:bottom w:val="single" w:sz="8" w:space="0" w:color="000000"/>
              <w:right w:val="single" w:sz="8" w:space="0" w:color="auto"/>
            </w:tcBorders>
            <w:vAlign w:val="center"/>
            <w:hideMark/>
          </w:tcPr>
          <w:p w14:paraId="459D46E0" w14:textId="77777777" w:rsidR="000D0AA6" w:rsidRPr="000D0AA6" w:rsidRDefault="000D0AA6" w:rsidP="000D0AA6">
            <w:pPr>
              <w:widowControl/>
              <w:rPr>
                <w:b/>
                <w:bCs/>
                <w:snapToGrid/>
                <w:color w:val="000000"/>
                <w:sz w:val="20"/>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14:paraId="3DB4DDC9" w14:textId="77777777" w:rsidR="000D0AA6" w:rsidRPr="000D0AA6" w:rsidRDefault="000D0AA6" w:rsidP="000D0AA6">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5EAD3CC3" w14:textId="77777777" w:rsidR="000D0AA6" w:rsidRPr="000D0AA6" w:rsidRDefault="000D0AA6" w:rsidP="000D0AA6">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3700EF64" w14:textId="77777777" w:rsidR="000D0AA6" w:rsidRPr="000D0AA6" w:rsidRDefault="000D0AA6" w:rsidP="000D0AA6">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39EC8E0B" w14:textId="77777777" w:rsidR="000D0AA6" w:rsidRPr="000D0AA6" w:rsidRDefault="000D0AA6" w:rsidP="000D0AA6">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4312171C" w14:textId="77777777" w:rsidR="000D0AA6" w:rsidRPr="000D0AA6" w:rsidRDefault="000D0AA6" w:rsidP="000D0AA6">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280D6238" w14:textId="77777777" w:rsidR="000D0AA6" w:rsidRPr="000D0AA6" w:rsidRDefault="000D0AA6" w:rsidP="000D0AA6">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247DB80A" w14:textId="77777777" w:rsidR="000D0AA6" w:rsidRPr="000D0AA6" w:rsidRDefault="000D0AA6" w:rsidP="000D0AA6">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060A2C3B" w14:textId="77777777" w:rsidR="000D0AA6" w:rsidRPr="000D0AA6" w:rsidRDefault="000D0AA6" w:rsidP="000D0AA6">
            <w:pPr>
              <w:widowControl/>
              <w:rPr>
                <w:b/>
                <w:bCs/>
                <w:snapToGrid/>
                <w:color w:val="000000"/>
                <w:sz w:val="20"/>
              </w:rPr>
            </w:pPr>
          </w:p>
        </w:tc>
      </w:tr>
      <w:tr w:rsidR="00892799" w:rsidRPr="00D47256" w14:paraId="63C0BBF8" w14:textId="77777777" w:rsidTr="007B7EE1">
        <w:trPr>
          <w:trHeight w:val="300"/>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3961C588" w14:textId="77777777" w:rsidR="000D0AA6" w:rsidRPr="000D0AA6" w:rsidRDefault="000D0AA6" w:rsidP="000D0AA6">
            <w:pPr>
              <w:widowControl/>
              <w:rPr>
                <w:b/>
                <w:bCs/>
                <w:snapToGrid/>
                <w:color w:val="000000"/>
                <w:sz w:val="20"/>
              </w:rPr>
            </w:pPr>
          </w:p>
        </w:tc>
        <w:tc>
          <w:tcPr>
            <w:tcW w:w="1683" w:type="dxa"/>
            <w:vMerge/>
            <w:tcBorders>
              <w:top w:val="single" w:sz="8" w:space="0" w:color="auto"/>
              <w:left w:val="single" w:sz="8" w:space="0" w:color="auto"/>
              <w:bottom w:val="single" w:sz="8" w:space="0" w:color="000000"/>
              <w:right w:val="single" w:sz="8" w:space="0" w:color="auto"/>
            </w:tcBorders>
            <w:vAlign w:val="center"/>
            <w:hideMark/>
          </w:tcPr>
          <w:p w14:paraId="76E3CCC4" w14:textId="77777777" w:rsidR="000D0AA6" w:rsidRPr="000D0AA6" w:rsidRDefault="000D0AA6" w:rsidP="000D0AA6">
            <w:pPr>
              <w:widowControl/>
              <w:rPr>
                <w:b/>
                <w:bCs/>
                <w:snapToGrid/>
                <w:color w:val="000000"/>
                <w:sz w:val="20"/>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14:paraId="1C337DA8" w14:textId="77777777" w:rsidR="000D0AA6" w:rsidRPr="000D0AA6" w:rsidRDefault="000D0AA6" w:rsidP="000D0AA6">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7E6852A5" w14:textId="77777777" w:rsidR="000D0AA6" w:rsidRPr="000D0AA6" w:rsidRDefault="000D0AA6" w:rsidP="000D0AA6">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03378220" w14:textId="77777777" w:rsidR="000D0AA6" w:rsidRPr="000D0AA6" w:rsidRDefault="000D0AA6" w:rsidP="000D0AA6">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0387B49C" w14:textId="77777777" w:rsidR="000D0AA6" w:rsidRPr="000D0AA6" w:rsidRDefault="000D0AA6" w:rsidP="000D0AA6">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082873E2" w14:textId="77777777" w:rsidR="000D0AA6" w:rsidRPr="000D0AA6" w:rsidRDefault="000D0AA6" w:rsidP="000D0AA6">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12F259D8" w14:textId="77777777" w:rsidR="000D0AA6" w:rsidRPr="000D0AA6" w:rsidRDefault="000D0AA6" w:rsidP="000D0AA6">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766D7941" w14:textId="77777777" w:rsidR="000D0AA6" w:rsidRPr="000D0AA6" w:rsidRDefault="000D0AA6" w:rsidP="000D0AA6">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60D197FD" w14:textId="77777777" w:rsidR="000D0AA6" w:rsidRPr="000D0AA6" w:rsidRDefault="000D0AA6" w:rsidP="000D0AA6">
            <w:pPr>
              <w:widowControl/>
              <w:rPr>
                <w:b/>
                <w:bCs/>
                <w:snapToGrid/>
                <w:color w:val="000000"/>
                <w:sz w:val="20"/>
              </w:rPr>
            </w:pPr>
          </w:p>
        </w:tc>
      </w:tr>
      <w:tr w:rsidR="00892799" w:rsidRPr="00D47256" w14:paraId="7C232090" w14:textId="77777777" w:rsidTr="007B7EE1">
        <w:trPr>
          <w:trHeight w:val="300"/>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73F80AFB" w14:textId="77777777" w:rsidR="000D0AA6" w:rsidRPr="000D0AA6" w:rsidRDefault="000D0AA6" w:rsidP="000D0AA6">
            <w:pPr>
              <w:widowControl/>
              <w:rPr>
                <w:b/>
                <w:bCs/>
                <w:snapToGrid/>
                <w:color w:val="000000"/>
                <w:sz w:val="20"/>
              </w:rPr>
            </w:pPr>
          </w:p>
        </w:tc>
        <w:tc>
          <w:tcPr>
            <w:tcW w:w="1683" w:type="dxa"/>
            <w:vMerge/>
            <w:tcBorders>
              <w:top w:val="single" w:sz="8" w:space="0" w:color="auto"/>
              <w:left w:val="single" w:sz="8" w:space="0" w:color="auto"/>
              <w:bottom w:val="single" w:sz="8" w:space="0" w:color="000000"/>
              <w:right w:val="single" w:sz="8" w:space="0" w:color="auto"/>
            </w:tcBorders>
            <w:vAlign w:val="center"/>
            <w:hideMark/>
          </w:tcPr>
          <w:p w14:paraId="0DCA42FC" w14:textId="77777777" w:rsidR="000D0AA6" w:rsidRPr="000D0AA6" w:rsidRDefault="000D0AA6" w:rsidP="000D0AA6">
            <w:pPr>
              <w:widowControl/>
              <w:rPr>
                <w:b/>
                <w:bCs/>
                <w:snapToGrid/>
                <w:color w:val="000000"/>
                <w:sz w:val="20"/>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14:paraId="23788482" w14:textId="77777777" w:rsidR="000D0AA6" w:rsidRPr="000D0AA6" w:rsidRDefault="000D0AA6" w:rsidP="000D0AA6">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6180233A" w14:textId="77777777" w:rsidR="000D0AA6" w:rsidRPr="000D0AA6" w:rsidRDefault="000D0AA6" w:rsidP="000D0AA6">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0BD44429" w14:textId="77777777" w:rsidR="000D0AA6" w:rsidRPr="000D0AA6" w:rsidRDefault="000D0AA6" w:rsidP="000D0AA6">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6947956F" w14:textId="77777777" w:rsidR="000D0AA6" w:rsidRPr="000D0AA6" w:rsidRDefault="000D0AA6" w:rsidP="000D0AA6">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7A3CBA88" w14:textId="77777777" w:rsidR="000D0AA6" w:rsidRPr="000D0AA6" w:rsidRDefault="000D0AA6" w:rsidP="000D0AA6">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06CCF33D" w14:textId="77777777" w:rsidR="000D0AA6" w:rsidRPr="000D0AA6" w:rsidRDefault="000D0AA6" w:rsidP="000D0AA6">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7F9C1A23" w14:textId="77777777" w:rsidR="000D0AA6" w:rsidRPr="000D0AA6" w:rsidRDefault="000D0AA6" w:rsidP="000D0AA6">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22A3ACA6" w14:textId="77777777" w:rsidR="000D0AA6" w:rsidRPr="000D0AA6" w:rsidRDefault="000D0AA6" w:rsidP="000D0AA6">
            <w:pPr>
              <w:widowControl/>
              <w:rPr>
                <w:b/>
                <w:bCs/>
                <w:snapToGrid/>
                <w:color w:val="000000"/>
                <w:sz w:val="20"/>
              </w:rPr>
            </w:pPr>
          </w:p>
        </w:tc>
      </w:tr>
      <w:tr w:rsidR="00892799" w:rsidRPr="00D47256" w14:paraId="6403C736" w14:textId="77777777" w:rsidTr="007B7EE1">
        <w:trPr>
          <w:trHeight w:val="315"/>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6AA5205B" w14:textId="77777777" w:rsidR="000D0AA6" w:rsidRPr="000D0AA6" w:rsidRDefault="000D0AA6" w:rsidP="000D0AA6">
            <w:pPr>
              <w:widowControl/>
              <w:rPr>
                <w:b/>
                <w:bCs/>
                <w:snapToGrid/>
                <w:color w:val="000000"/>
                <w:sz w:val="20"/>
              </w:rPr>
            </w:pPr>
          </w:p>
        </w:tc>
        <w:tc>
          <w:tcPr>
            <w:tcW w:w="1683" w:type="dxa"/>
            <w:vMerge/>
            <w:tcBorders>
              <w:top w:val="single" w:sz="8" w:space="0" w:color="auto"/>
              <w:left w:val="single" w:sz="8" w:space="0" w:color="auto"/>
              <w:bottom w:val="single" w:sz="8" w:space="0" w:color="000000"/>
              <w:right w:val="single" w:sz="8" w:space="0" w:color="auto"/>
            </w:tcBorders>
            <w:vAlign w:val="center"/>
            <w:hideMark/>
          </w:tcPr>
          <w:p w14:paraId="5BD74090" w14:textId="77777777" w:rsidR="000D0AA6" w:rsidRPr="000D0AA6" w:rsidRDefault="000D0AA6" w:rsidP="000D0AA6">
            <w:pPr>
              <w:widowControl/>
              <w:rPr>
                <w:b/>
                <w:bCs/>
                <w:snapToGrid/>
                <w:color w:val="000000"/>
                <w:sz w:val="20"/>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14:paraId="6BD4B7AA" w14:textId="77777777" w:rsidR="000D0AA6" w:rsidRPr="000D0AA6" w:rsidRDefault="000D0AA6" w:rsidP="000D0AA6">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5A96EF6A" w14:textId="77777777" w:rsidR="000D0AA6" w:rsidRPr="000D0AA6" w:rsidRDefault="000D0AA6" w:rsidP="000D0AA6">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6B6B9CAF" w14:textId="77777777" w:rsidR="000D0AA6" w:rsidRPr="000D0AA6" w:rsidRDefault="000D0AA6" w:rsidP="000D0AA6">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A66C3FD" w14:textId="77777777" w:rsidR="000D0AA6" w:rsidRPr="000D0AA6" w:rsidRDefault="000D0AA6" w:rsidP="000D0AA6">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73796F4A" w14:textId="77777777" w:rsidR="000D0AA6" w:rsidRPr="000D0AA6" w:rsidRDefault="000D0AA6" w:rsidP="000D0AA6">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14AF546F" w14:textId="77777777" w:rsidR="000D0AA6" w:rsidRPr="000D0AA6" w:rsidRDefault="000D0AA6" w:rsidP="000D0AA6">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2546E531" w14:textId="77777777" w:rsidR="000D0AA6" w:rsidRPr="000D0AA6" w:rsidRDefault="000D0AA6" w:rsidP="000D0AA6">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2BD34B7D" w14:textId="77777777" w:rsidR="000D0AA6" w:rsidRPr="000D0AA6" w:rsidRDefault="000D0AA6" w:rsidP="000D0AA6">
            <w:pPr>
              <w:widowControl/>
              <w:rPr>
                <w:b/>
                <w:bCs/>
                <w:snapToGrid/>
                <w:color w:val="000000"/>
                <w:sz w:val="20"/>
              </w:rPr>
            </w:pPr>
          </w:p>
        </w:tc>
      </w:tr>
      <w:tr w:rsidR="00892799" w:rsidRPr="00D47256" w14:paraId="2C04DA5F" w14:textId="77777777" w:rsidTr="00D47256">
        <w:trPr>
          <w:trHeight w:val="300"/>
        </w:trPr>
        <w:tc>
          <w:tcPr>
            <w:tcW w:w="1333" w:type="dxa"/>
            <w:vMerge w:val="restart"/>
            <w:tcBorders>
              <w:top w:val="nil"/>
              <w:left w:val="single" w:sz="8" w:space="0" w:color="auto"/>
              <w:bottom w:val="single" w:sz="8" w:space="0" w:color="000000"/>
              <w:right w:val="single" w:sz="8" w:space="0" w:color="auto"/>
            </w:tcBorders>
            <w:shd w:val="clear" w:color="auto" w:fill="auto"/>
            <w:vAlign w:val="center"/>
            <w:hideMark/>
          </w:tcPr>
          <w:p w14:paraId="7FFE436C" w14:textId="77777777" w:rsidR="000D0AA6" w:rsidRPr="000D0AA6" w:rsidRDefault="000D0AA6" w:rsidP="000D0AA6">
            <w:pPr>
              <w:widowControl/>
              <w:jc w:val="center"/>
              <w:rPr>
                <w:snapToGrid/>
                <w:color w:val="000000"/>
                <w:sz w:val="20"/>
              </w:rPr>
            </w:pPr>
            <w:r w:rsidRPr="000D0AA6">
              <w:rPr>
                <w:snapToGrid/>
                <w:color w:val="000000"/>
                <w:sz w:val="20"/>
              </w:rPr>
              <w:t>447.507(b)(4)</w:t>
            </w: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5A2DFC8E" w14:textId="77777777" w:rsidR="000D0AA6" w:rsidRDefault="000D0AA6" w:rsidP="000D0AA6">
            <w:pPr>
              <w:widowControl/>
              <w:jc w:val="center"/>
              <w:rPr>
                <w:snapToGrid/>
                <w:color w:val="000000"/>
                <w:sz w:val="20"/>
              </w:rPr>
            </w:pPr>
            <w:r w:rsidRPr="000D0AA6">
              <w:rPr>
                <w:snapToGrid/>
                <w:color w:val="000000"/>
                <w:sz w:val="20"/>
              </w:rPr>
              <w:t>5i Determination</w:t>
            </w:r>
          </w:p>
          <w:p w14:paraId="586D7A26" w14:textId="67929A39" w:rsidR="00E77D73" w:rsidRPr="000D0AA6" w:rsidRDefault="00E77D73" w:rsidP="000D0AA6">
            <w:pPr>
              <w:widowControl/>
              <w:jc w:val="center"/>
              <w:rPr>
                <w:snapToGrid/>
                <w:color w:val="000000"/>
                <w:sz w:val="20"/>
              </w:rPr>
            </w:pPr>
            <w:r>
              <w:rPr>
                <w:snapToGrid/>
                <w:color w:val="000000"/>
                <w:sz w:val="20"/>
              </w:rPr>
              <w:t>(Form -367b)</w:t>
            </w:r>
          </w:p>
        </w:tc>
        <w:tc>
          <w:tcPr>
            <w:tcW w:w="1127" w:type="dxa"/>
            <w:vMerge w:val="restart"/>
            <w:tcBorders>
              <w:top w:val="nil"/>
              <w:left w:val="single" w:sz="8" w:space="0" w:color="auto"/>
              <w:bottom w:val="single" w:sz="8" w:space="0" w:color="000000"/>
              <w:right w:val="single" w:sz="8" w:space="0" w:color="auto"/>
            </w:tcBorders>
            <w:shd w:val="clear" w:color="auto" w:fill="auto"/>
            <w:vAlign w:val="center"/>
            <w:hideMark/>
          </w:tcPr>
          <w:p w14:paraId="7AF3DDA4" w14:textId="77777777" w:rsidR="000D0AA6" w:rsidRPr="000D0AA6" w:rsidRDefault="000D0AA6" w:rsidP="000D0AA6">
            <w:pPr>
              <w:widowControl/>
              <w:jc w:val="center"/>
              <w:rPr>
                <w:snapToGrid/>
                <w:color w:val="000000"/>
                <w:sz w:val="20"/>
              </w:rPr>
            </w:pPr>
            <w:r w:rsidRPr="000D0AA6">
              <w:rPr>
                <w:snapToGrid/>
                <w:color w:val="000000"/>
                <w:sz w:val="20"/>
              </w:rPr>
              <w:t>Monthly</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788AD49C" w14:textId="77777777" w:rsidR="000D0AA6" w:rsidRPr="000D0AA6" w:rsidRDefault="000D0AA6" w:rsidP="000D0AA6">
            <w:pPr>
              <w:widowControl/>
              <w:jc w:val="center"/>
              <w:rPr>
                <w:snapToGrid/>
                <w:color w:val="000000"/>
                <w:sz w:val="20"/>
              </w:rPr>
            </w:pPr>
            <w:r w:rsidRPr="000D0AA6">
              <w:rPr>
                <w:snapToGrid/>
                <w:color w:val="000000"/>
                <w:sz w:val="20"/>
              </w:rPr>
              <w:t>610</w:t>
            </w:r>
          </w:p>
        </w:tc>
        <w:tc>
          <w:tcPr>
            <w:tcW w:w="1094" w:type="dxa"/>
            <w:vMerge w:val="restart"/>
            <w:tcBorders>
              <w:top w:val="nil"/>
              <w:left w:val="single" w:sz="8" w:space="0" w:color="auto"/>
              <w:bottom w:val="single" w:sz="8" w:space="0" w:color="000000"/>
              <w:right w:val="single" w:sz="8" w:space="0" w:color="auto"/>
            </w:tcBorders>
            <w:shd w:val="clear" w:color="auto" w:fill="auto"/>
            <w:vAlign w:val="center"/>
            <w:hideMark/>
          </w:tcPr>
          <w:p w14:paraId="010B6494" w14:textId="77777777" w:rsidR="000D0AA6" w:rsidRPr="000D0AA6" w:rsidRDefault="000D0AA6" w:rsidP="000D0AA6">
            <w:pPr>
              <w:widowControl/>
              <w:jc w:val="center"/>
              <w:rPr>
                <w:snapToGrid/>
                <w:color w:val="000000"/>
                <w:sz w:val="20"/>
              </w:rPr>
            </w:pPr>
            <w:r w:rsidRPr="000D0AA6">
              <w:rPr>
                <w:snapToGrid/>
                <w:color w:val="000000"/>
                <w:sz w:val="20"/>
              </w:rPr>
              <w:t>7,320</w:t>
            </w:r>
          </w:p>
        </w:tc>
        <w:tc>
          <w:tcPr>
            <w:tcW w:w="1017" w:type="dxa"/>
            <w:vMerge w:val="restart"/>
            <w:tcBorders>
              <w:top w:val="nil"/>
              <w:left w:val="single" w:sz="8" w:space="0" w:color="auto"/>
              <w:bottom w:val="single" w:sz="8" w:space="0" w:color="000000"/>
              <w:right w:val="single" w:sz="8" w:space="0" w:color="auto"/>
            </w:tcBorders>
            <w:shd w:val="clear" w:color="auto" w:fill="auto"/>
            <w:vAlign w:val="center"/>
            <w:hideMark/>
          </w:tcPr>
          <w:p w14:paraId="2D1E37A4" w14:textId="77777777" w:rsidR="000D0AA6" w:rsidRPr="000D0AA6" w:rsidRDefault="000D0AA6" w:rsidP="000D0AA6">
            <w:pPr>
              <w:widowControl/>
              <w:jc w:val="center"/>
              <w:rPr>
                <w:snapToGrid/>
                <w:color w:val="000000"/>
                <w:sz w:val="20"/>
              </w:rPr>
            </w:pPr>
            <w:r w:rsidRPr="000D0AA6">
              <w:rPr>
                <w:snapToGrid/>
                <w:color w:val="000000"/>
                <w:sz w:val="20"/>
              </w:rPr>
              <w:t>30</w:t>
            </w:r>
          </w:p>
        </w:tc>
        <w:tc>
          <w:tcPr>
            <w:tcW w:w="1016" w:type="dxa"/>
            <w:vMerge w:val="restart"/>
            <w:tcBorders>
              <w:top w:val="nil"/>
              <w:left w:val="single" w:sz="8" w:space="0" w:color="auto"/>
              <w:bottom w:val="single" w:sz="8" w:space="0" w:color="000000"/>
              <w:right w:val="single" w:sz="8" w:space="0" w:color="auto"/>
            </w:tcBorders>
            <w:shd w:val="clear" w:color="auto" w:fill="auto"/>
            <w:vAlign w:val="center"/>
            <w:hideMark/>
          </w:tcPr>
          <w:p w14:paraId="7B49590E" w14:textId="77777777" w:rsidR="000D0AA6" w:rsidRPr="000D0AA6" w:rsidRDefault="000D0AA6" w:rsidP="000D0AA6">
            <w:pPr>
              <w:widowControl/>
              <w:jc w:val="center"/>
              <w:rPr>
                <w:snapToGrid/>
                <w:color w:val="000000"/>
                <w:sz w:val="20"/>
              </w:rPr>
            </w:pPr>
            <w:r w:rsidRPr="000D0AA6">
              <w:rPr>
                <w:snapToGrid/>
                <w:color w:val="000000"/>
                <w:sz w:val="20"/>
              </w:rPr>
              <w:t>219,600</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14:paraId="47EA688E" w14:textId="77777777" w:rsidR="000D0AA6" w:rsidRPr="000D0AA6" w:rsidRDefault="000D0AA6" w:rsidP="000D0AA6">
            <w:pPr>
              <w:widowControl/>
              <w:jc w:val="center"/>
              <w:rPr>
                <w:snapToGrid/>
                <w:color w:val="000000"/>
                <w:sz w:val="20"/>
              </w:rPr>
            </w:pPr>
            <w:r w:rsidRPr="000D0AA6">
              <w:rPr>
                <w:snapToGrid/>
                <w:color w:val="000000"/>
                <w:sz w:val="20"/>
              </w:rPr>
              <w:t>20,851,020</w:t>
            </w:r>
          </w:p>
        </w:tc>
        <w:tc>
          <w:tcPr>
            <w:tcW w:w="2016" w:type="dxa"/>
            <w:vMerge w:val="restart"/>
            <w:tcBorders>
              <w:top w:val="nil"/>
              <w:left w:val="single" w:sz="8" w:space="0" w:color="auto"/>
              <w:bottom w:val="single" w:sz="8" w:space="0" w:color="000000"/>
              <w:right w:val="single" w:sz="8" w:space="0" w:color="auto"/>
            </w:tcBorders>
            <w:shd w:val="clear" w:color="auto" w:fill="auto"/>
            <w:vAlign w:val="center"/>
            <w:hideMark/>
          </w:tcPr>
          <w:p w14:paraId="06B9F890" w14:textId="77777777" w:rsidR="000D0AA6" w:rsidRPr="000D0AA6" w:rsidRDefault="000D0AA6" w:rsidP="000D0AA6">
            <w:pPr>
              <w:widowControl/>
              <w:jc w:val="center"/>
              <w:rPr>
                <w:snapToGrid/>
                <w:color w:val="000000"/>
                <w:sz w:val="20"/>
              </w:rPr>
            </w:pPr>
            <w:r w:rsidRPr="000D0AA6">
              <w:rPr>
                <w:snapToGrid/>
                <w:color w:val="000000"/>
                <w:sz w:val="20"/>
              </w:rPr>
              <w:t>0</w:t>
            </w:r>
          </w:p>
        </w:tc>
        <w:tc>
          <w:tcPr>
            <w:tcW w:w="1216" w:type="dxa"/>
            <w:vMerge w:val="restart"/>
            <w:tcBorders>
              <w:top w:val="nil"/>
              <w:left w:val="single" w:sz="8" w:space="0" w:color="auto"/>
              <w:bottom w:val="single" w:sz="8" w:space="0" w:color="000000"/>
              <w:right w:val="single" w:sz="8" w:space="0" w:color="auto"/>
            </w:tcBorders>
            <w:shd w:val="clear" w:color="auto" w:fill="auto"/>
            <w:vAlign w:val="center"/>
            <w:hideMark/>
          </w:tcPr>
          <w:p w14:paraId="27817226" w14:textId="77777777" w:rsidR="000D0AA6" w:rsidRPr="000D0AA6" w:rsidRDefault="000D0AA6" w:rsidP="000D0AA6">
            <w:pPr>
              <w:widowControl/>
              <w:jc w:val="center"/>
              <w:rPr>
                <w:snapToGrid/>
                <w:color w:val="000000"/>
                <w:sz w:val="20"/>
              </w:rPr>
            </w:pPr>
            <w:r w:rsidRPr="000D0AA6">
              <w:rPr>
                <w:snapToGrid/>
                <w:color w:val="000000"/>
                <w:sz w:val="20"/>
              </w:rPr>
              <w:t>20,851,020</w:t>
            </w:r>
          </w:p>
        </w:tc>
      </w:tr>
      <w:tr w:rsidR="00892799" w:rsidRPr="00D47256" w14:paraId="6AC2A3B6" w14:textId="77777777" w:rsidTr="007B7EE1">
        <w:trPr>
          <w:trHeight w:val="300"/>
        </w:trPr>
        <w:tc>
          <w:tcPr>
            <w:tcW w:w="1333" w:type="dxa"/>
            <w:vMerge/>
            <w:tcBorders>
              <w:top w:val="nil"/>
              <w:left w:val="single" w:sz="8" w:space="0" w:color="auto"/>
              <w:bottom w:val="single" w:sz="8" w:space="0" w:color="000000"/>
              <w:right w:val="single" w:sz="8" w:space="0" w:color="auto"/>
            </w:tcBorders>
            <w:vAlign w:val="center"/>
            <w:hideMark/>
          </w:tcPr>
          <w:p w14:paraId="513A3BB0" w14:textId="77777777" w:rsidR="000D0AA6" w:rsidRPr="000D0AA6" w:rsidRDefault="000D0AA6" w:rsidP="000D0AA6">
            <w:pPr>
              <w:widowControl/>
              <w:rPr>
                <w:snapToGrid/>
                <w:color w:val="000000"/>
                <w:sz w:val="20"/>
              </w:rPr>
            </w:pPr>
          </w:p>
        </w:tc>
        <w:tc>
          <w:tcPr>
            <w:tcW w:w="1683" w:type="dxa"/>
            <w:vMerge/>
            <w:tcBorders>
              <w:top w:val="nil"/>
              <w:left w:val="single" w:sz="8" w:space="0" w:color="auto"/>
              <w:bottom w:val="single" w:sz="8" w:space="0" w:color="000000"/>
              <w:right w:val="single" w:sz="8" w:space="0" w:color="auto"/>
            </w:tcBorders>
            <w:vAlign w:val="center"/>
            <w:hideMark/>
          </w:tcPr>
          <w:p w14:paraId="4210AC39" w14:textId="77777777" w:rsidR="000D0AA6" w:rsidRPr="000D0AA6" w:rsidRDefault="000D0AA6" w:rsidP="000D0AA6">
            <w:pPr>
              <w:widowControl/>
              <w:rPr>
                <w:snapToGrid/>
                <w:color w:val="000000"/>
                <w:sz w:val="20"/>
              </w:rPr>
            </w:pPr>
          </w:p>
        </w:tc>
        <w:tc>
          <w:tcPr>
            <w:tcW w:w="1127" w:type="dxa"/>
            <w:vMerge/>
            <w:tcBorders>
              <w:top w:val="nil"/>
              <w:left w:val="single" w:sz="8" w:space="0" w:color="auto"/>
              <w:bottom w:val="single" w:sz="8" w:space="0" w:color="000000"/>
              <w:right w:val="single" w:sz="8" w:space="0" w:color="auto"/>
            </w:tcBorders>
            <w:vAlign w:val="center"/>
            <w:hideMark/>
          </w:tcPr>
          <w:p w14:paraId="14ABE605" w14:textId="77777777" w:rsidR="000D0AA6" w:rsidRPr="000D0AA6" w:rsidRDefault="000D0AA6" w:rsidP="000D0AA6">
            <w:pPr>
              <w:widowControl/>
              <w:rPr>
                <w:snapToGrid/>
                <w:color w:val="000000"/>
                <w:sz w:val="20"/>
              </w:rPr>
            </w:pPr>
          </w:p>
        </w:tc>
        <w:tc>
          <w:tcPr>
            <w:tcW w:w="1306" w:type="dxa"/>
            <w:vMerge/>
            <w:tcBorders>
              <w:top w:val="nil"/>
              <w:left w:val="single" w:sz="8" w:space="0" w:color="auto"/>
              <w:bottom w:val="single" w:sz="8" w:space="0" w:color="000000"/>
              <w:right w:val="single" w:sz="8" w:space="0" w:color="auto"/>
            </w:tcBorders>
            <w:vAlign w:val="center"/>
            <w:hideMark/>
          </w:tcPr>
          <w:p w14:paraId="21A40318" w14:textId="77777777" w:rsidR="000D0AA6" w:rsidRPr="000D0AA6" w:rsidRDefault="000D0AA6" w:rsidP="000D0AA6">
            <w:pPr>
              <w:widowControl/>
              <w:rPr>
                <w:snapToGrid/>
                <w:color w:val="000000"/>
                <w:sz w:val="20"/>
              </w:rPr>
            </w:pPr>
          </w:p>
        </w:tc>
        <w:tc>
          <w:tcPr>
            <w:tcW w:w="1094" w:type="dxa"/>
            <w:vMerge/>
            <w:tcBorders>
              <w:top w:val="nil"/>
              <w:left w:val="single" w:sz="8" w:space="0" w:color="auto"/>
              <w:bottom w:val="single" w:sz="8" w:space="0" w:color="000000"/>
              <w:right w:val="single" w:sz="8" w:space="0" w:color="auto"/>
            </w:tcBorders>
            <w:vAlign w:val="center"/>
            <w:hideMark/>
          </w:tcPr>
          <w:p w14:paraId="2C1768D1" w14:textId="77777777" w:rsidR="000D0AA6" w:rsidRPr="000D0AA6" w:rsidRDefault="000D0AA6" w:rsidP="000D0AA6">
            <w:pPr>
              <w:widowControl/>
              <w:rPr>
                <w:snapToGrid/>
                <w:color w:val="000000"/>
                <w:sz w:val="20"/>
              </w:rPr>
            </w:pPr>
          </w:p>
        </w:tc>
        <w:tc>
          <w:tcPr>
            <w:tcW w:w="1017" w:type="dxa"/>
            <w:vMerge/>
            <w:tcBorders>
              <w:top w:val="nil"/>
              <w:left w:val="single" w:sz="8" w:space="0" w:color="auto"/>
              <w:bottom w:val="single" w:sz="8" w:space="0" w:color="000000"/>
              <w:right w:val="single" w:sz="8" w:space="0" w:color="auto"/>
            </w:tcBorders>
            <w:vAlign w:val="center"/>
            <w:hideMark/>
          </w:tcPr>
          <w:p w14:paraId="191CDD24" w14:textId="77777777" w:rsidR="000D0AA6" w:rsidRPr="000D0AA6" w:rsidRDefault="000D0AA6" w:rsidP="000D0AA6">
            <w:pPr>
              <w:widowControl/>
              <w:rPr>
                <w:snapToGrid/>
                <w:color w:val="000000"/>
                <w:sz w:val="20"/>
              </w:rPr>
            </w:pPr>
          </w:p>
        </w:tc>
        <w:tc>
          <w:tcPr>
            <w:tcW w:w="1016" w:type="dxa"/>
            <w:vMerge/>
            <w:tcBorders>
              <w:top w:val="nil"/>
              <w:left w:val="single" w:sz="8" w:space="0" w:color="auto"/>
              <w:bottom w:val="single" w:sz="8" w:space="0" w:color="000000"/>
              <w:right w:val="single" w:sz="8" w:space="0" w:color="auto"/>
            </w:tcBorders>
            <w:vAlign w:val="center"/>
            <w:hideMark/>
          </w:tcPr>
          <w:p w14:paraId="035C5EEF" w14:textId="77777777" w:rsidR="000D0AA6" w:rsidRPr="000D0AA6" w:rsidRDefault="000D0AA6" w:rsidP="000D0AA6">
            <w:pPr>
              <w:widowControl/>
              <w:rPr>
                <w:snapToGrid/>
                <w:color w:val="000000"/>
                <w:sz w:val="20"/>
              </w:rPr>
            </w:pPr>
          </w:p>
        </w:tc>
        <w:tc>
          <w:tcPr>
            <w:tcW w:w="1116" w:type="dxa"/>
            <w:vMerge/>
            <w:tcBorders>
              <w:top w:val="nil"/>
              <w:left w:val="single" w:sz="8" w:space="0" w:color="auto"/>
              <w:bottom w:val="single" w:sz="8" w:space="0" w:color="000000"/>
              <w:right w:val="single" w:sz="8" w:space="0" w:color="auto"/>
            </w:tcBorders>
            <w:vAlign w:val="center"/>
            <w:hideMark/>
          </w:tcPr>
          <w:p w14:paraId="09B2BACA" w14:textId="77777777" w:rsidR="000D0AA6" w:rsidRPr="000D0AA6" w:rsidRDefault="000D0AA6" w:rsidP="000D0AA6">
            <w:pPr>
              <w:widowControl/>
              <w:rPr>
                <w:snapToGrid/>
                <w:color w:val="000000"/>
                <w:sz w:val="20"/>
              </w:rPr>
            </w:pPr>
          </w:p>
        </w:tc>
        <w:tc>
          <w:tcPr>
            <w:tcW w:w="2016" w:type="dxa"/>
            <w:vMerge/>
            <w:tcBorders>
              <w:top w:val="nil"/>
              <w:left w:val="single" w:sz="8" w:space="0" w:color="auto"/>
              <w:bottom w:val="single" w:sz="8" w:space="0" w:color="000000"/>
              <w:right w:val="single" w:sz="8" w:space="0" w:color="auto"/>
            </w:tcBorders>
            <w:vAlign w:val="center"/>
            <w:hideMark/>
          </w:tcPr>
          <w:p w14:paraId="28B48132" w14:textId="77777777" w:rsidR="000D0AA6" w:rsidRPr="000D0AA6" w:rsidRDefault="000D0AA6" w:rsidP="000D0AA6">
            <w:pPr>
              <w:widowControl/>
              <w:rPr>
                <w:snapToGrid/>
                <w:color w:val="000000"/>
                <w:sz w:val="20"/>
              </w:rPr>
            </w:pPr>
          </w:p>
        </w:tc>
        <w:tc>
          <w:tcPr>
            <w:tcW w:w="1216" w:type="dxa"/>
            <w:vMerge/>
            <w:tcBorders>
              <w:top w:val="nil"/>
              <w:left w:val="single" w:sz="8" w:space="0" w:color="auto"/>
              <w:bottom w:val="single" w:sz="8" w:space="0" w:color="000000"/>
              <w:right w:val="single" w:sz="8" w:space="0" w:color="auto"/>
            </w:tcBorders>
            <w:vAlign w:val="center"/>
            <w:hideMark/>
          </w:tcPr>
          <w:p w14:paraId="2FCD1C47" w14:textId="77777777" w:rsidR="000D0AA6" w:rsidRPr="000D0AA6" w:rsidRDefault="000D0AA6" w:rsidP="000D0AA6">
            <w:pPr>
              <w:widowControl/>
              <w:rPr>
                <w:snapToGrid/>
                <w:color w:val="000000"/>
                <w:sz w:val="20"/>
              </w:rPr>
            </w:pPr>
          </w:p>
        </w:tc>
      </w:tr>
      <w:tr w:rsidR="00892799" w:rsidRPr="00D47256" w14:paraId="73F3AEF8" w14:textId="77777777" w:rsidTr="007B7EE1">
        <w:trPr>
          <w:trHeight w:val="315"/>
        </w:trPr>
        <w:tc>
          <w:tcPr>
            <w:tcW w:w="1333" w:type="dxa"/>
            <w:vMerge/>
            <w:tcBorders>
              <w:top w:val="nil"/>
              <w:left w:val="single" w:sz="8" w:space="0" w:color="auto"/>
              <w:bottom w:val="single" w:sz="8" w:space="0" w:color="000000"/>
              <w:right w:val="single" w:sz="8" w:space="0" w:color="auto"/>
            </w:tcBorders>
            <w:vAlign w:val="center"/>
            <w:hideMark/>
          </w:tcPr>
          <w:p w14:paraId="480F67BD" w14:textId="77777777" w:rsidR="000D0AA6" w:rsidRPr="000D0AA6" w:rsidRDefault="000D0AA6" w:rsidP="000D0AA6">
            <w:pPr>
              <w:widowControl/>
              <w:rPr>
                <w:snapToGrid/>
                <w:color w:val="000000"/>
                <w:sz w:val="20"/>
              </w:rPr>
            </w:pPr>
          </w:p>
        </w:tc>
        <w:tc>
          <w:tcPr>
            <w:tcW w:w="1683" w:type="dxa"/>
            <w:vMerge/>
            <w:tcBorders>
              <w:top w:val="nil"/>
              <w:left w:val="single" w:sz="8" w:space="0" w:color="auto"/>
              <w:bottom w:val="single" w:sz="8" w:space="0" w:color="000000"/>
              <w:right w:val="single" w:sz="8" w:space="0" w:color="auto"/>
            </w:tcBorders>
            <w:vAlign w:val="center"/>
            <w:hideMark/>
          </w:tcPr>
          <w:p w14:paraId="120BA9B6" w14:textId="77777777" w:rsidR="000D0AA6" w:rsidRPr="000D0AA6" w:rsidRDefault="000D0AA6" w:rsidP="000D0AA6">
            <w:pPr>
              <w:widowControl/>
              <w:rPr>
                <w:snapToGrid/>
                <w:color w:val="000000"/>
                <w:sz w:val="20"/>
              </w:rPr>
            </w:pPr>
          </w:p>
        </w:tc>
        <w:tc>
          <w:tcPr>
            <w:tcW w:w="1127" w:type="dxa"/>
            <w:vMerge/>
            <w:tcBorders>
              <w:top w:val="nil"/>
              <w:left w:val="single" w:sz="8" w:space="0" w:color="auto"/>
              <w:bottom w:val="single" w:sz="8" w:space="0" w:color="000000"/>
              <w:right w:val="single" w:sz="8" w:space="0" w:color="auto"/>
            </w:tcBorders>
            <w:vAlign w:val="center"/>
            <w:hideMark/>
          </w:tcPr>
          <w:p w14:paraId="647A5BBE" w14:textId="77777777" w:rsidR="000D0AA6" w:rsidRPr="000D0AA6" w:rsidRDefault="000D0AA6" w:rsidP="000D0AA6">
            <w:pPr>
              <w:widowControl/>
              <w:rPr>
                <w:snapToGrid/>
                <w:color w:val="000000"/>
                <w:sz w:val="20"/>
              </w:rPr>
            </w:pPr>
          </w:p>
        </w:tc>
        <w:tc>
          <w:tcPr>
            <w:tcW w:w="1306" w:type="dxa"/>
            <w:vMerge/>
            <w:tcBorders>
              <w:top w:val="nil"/>
              <w:left w:val="single" w:sz="8" w:space="0" w:color="auto"/>
              <w:bottom w:val="single" w:sz="8" w:space="0" w:color="000000"/>
              <w:right w:val="single" w:sz="8" w:space="0" w:color="auto"/>
            </w:tcBorders>
            <w:vAlign w:val="center"/>
            <w:hideMark/>
          </w:tcPr>
          <w:p w14:paraId="451E83CE" w14:textId="77777777" w:rsidR="000D0AA6" w:rsidRPr="000D0AA6" w:rsidRDefault="000D0AA6" w:rsidP="000D0AA6">
            <w:pPr>
              <w:widowControl/>
              <w:rPr>
                <w:snapToGrid/>
                <w:color w:val="000000"/>
                <w:sz w:val="20"/>
              </w:rPr>
            </w:pPr>
          </w:p>
        </w:tc>
        <w:tc>
          <w:tcPr>
            <w:tcW w:w="1094" w:type="dxa"/>
            <w:vMerge/>
            <w:tcBorders>
              <w:top w:val="nil"/>
              <w:left w:val="single" w:sz="8" w:space="0" w:color="auto"/>
              <w:bottom w:val="single" w:sz="8" w:space="0" w:color="000000"/>
              <w:right w:val="single" w:sz="8" w:space="0" w:color="auto"/>
            </w:tcBorders>
            <w:vAlign w:val="center"/>
            <w:hideMark/>
          </w:tcPr>
          <w:p w14:paraId="3EB3525F" w14:textId="77777777" w:rsidR="000D0AA6" w:rsidRPr="000D0AA6" w:rsidRDefault="000D0AA6" w:rsidP="000D0AA6">
            <w:pPr>
              <w:widowControl/>
              <w:rPr>
                <w:snapToGrid/>
                <w:color w:val="000000"/>
                <w:sz w:val="20"/>
              </w:rPr>
            </w:pPr>
          </w:p>
        </w:tc>
        <w:tc>
          <w:tcPr>
            <w:tcW w:w="1017" w:type="dxa"/>
            <w:vMerge/>
            <w:tcBorders>
              <w:top w:val="nil"/>
              <w:left w:val="single" w:sz="8" w:space="0" w:color="auto"/>
              <w:bottom w:val="single" w:sz="8" w:space="0" w:color="000000"/>
              <w:right w:val="single" w:sz="8" w:space="0" w:color="auto"/>
            </w:tcBorders>
            <w:vAlign w:val="center"/>
            <w:hideMark/>
          </w:tcPr>
          <w:p w14:paraId="006BECDE" w14:textId="77777777" w:rsidR="000D0AA6" w:rsidRPr="000D0AA6" w:rsidRDefault="000D0AA6" w:rsidP="000D0AA6">
            <w:pPr>
              <w:widowControl/>
              <w:rPr>
                <w:snapToGrid/>
                <w:color w:val="000000"/>
                <w:sz w:val="20"/>
              </w:rPr>
            </w:pPr>
          </w:p>
        </w:tc>
        <w:tc>
          <w:tcPr>
            <w:tcW w:w="1016" w:type="dxa"/>
            <w:vMerge/>
            <w:tcBorders>
              <w:top w:val="nil"/>
              <w:left w:val="single" w:sz="8" w:space="0" w:color="auto"/>
              <w:bottom w:val="single" w:sz="8" w:space="0" w:color="000000"/>
              <w:right w:val="single" w:sz="8" w:space="0" w:color="auto"/>
            </w:tcBorders>
            <w:vAlign w:val="center"/>
            <w:hideMark/>
          </w:tcPr>
          <w:p w14:paraId="476AB8C5" w14:textId="77777777" w:rsidR="000D0AA6" w:rsidRPr="000D0AA6" w:rsidRDefault="000D0AA6" w:rsidP="000D0AA6">
            <w:pPr>
              <w:widowControl/>
              <w:rPr>
                <w:snapToGrid/>
                <w:color w:val="000000"/>
                <w:sz w:val="20"/>
              </w:rPr>
            </w:pPr>
          </w:p>
        </w:tc>
        <w:tc>
          <w:tcPr>
            <w:tcW w:w="1116" w:type="dxa"/>
            <w:vMerge/>
            <w:tcBorders>
              <w:top w:val="nil"/>
              <w:left w:val="single" w:sz="8" w:space="0" w:color="auto"/>
              <w:bottom w:val="single" w:sz="8" w:space="0" w:color="000000"/>
              <w:right w:val="single" w:sz="8" w:space="0" w:color="auto"/>
            </w:tcBorders>
            <w:vAlign w:val="center"/>
            <w:hideMark/>
          </w:tcPr>
          <w:p w14:paraId="643F3947" w14:textId="77777777" w:rsidR="000D0AA6" w:rsidRPr="000D0AA6" w:rsidRDefault="000D0AA6" w:rsidP="000D0AA6">
            <w:pPr>
              <w:widowControl/>
              <w:rPr>
                <w:snapToGrid/>
                <w:color w:val="000000"/>
                <w:sz w:val="20"/>
              </w:rPr>
            </w:pPr>
          </w:p>
        </w:tc>
        <w:tc>
          <w:tcPr>
            <w:tcW w:w="2016" w:type="dxa"/>
            <w:vMerge/>
            <w:tcBorders>
              <w:top w:val="nil"/>
              <w:left w:val="single" w:sz="8" w:space="0" w:color="auto"/>
              <w:bottom w:val="single" w:sz="8" w:space="0" w:color="000000"/>
              <w:right w:val="single" w:sz="8" w:space="0" w:color="auto"/>
            </w:tcBorders>
            <w:vAlign w:val="center"/>
            <w:hideMark/>
          </w:tcPr>
          <w:p w14:paraId="68854AAF" w14:textId="77777777" w:rsidR="000D0AA6" w:rsidRPr="000D0AA6" w:rsidRDefault="000D0AA6" w:rsidP="000D0AA6">
            <w:pPr>
              <w:widowControl/>
              <w:rPr>
                <w:snapToGrid/>
                <w:color w:val="000000"/>
                <w:sz w:val="20"/>
              </w:rPr>
            </w:pPr>
          </w:p>
        </w:tc>
        <w:tc>
          <w:tcPr>
            <w:tcW w:w="1216" w:type="dxa"/>
            <w:vMerge/>
            <w:tcBorders>
              <w:top w:val="nil"/>
              <w:left w:val="single" w:sz="8" w:space="0" w:color="auto"/>
              <w:bottom w:val="single" w:sz="8" w:space="0" w:color="000000"/>
              <w:right w:val="single" w:sz="8" w:space="0" w:color="auto"/>
            </w:tcBorders>
            <w:vAlign w:val="center"/>
            <w:hideMark/>
          </w:tcPr>
          <w:p w14:paraId="5C8EF902" w14:textId="77777777" w:rsidR="000D0AA6" w:rsidRPr="000D0AA6" w:rsidRDefault="000D0AA6" w:rsidP="000D0AA6">
            <w:pPr>
              <w:widowControl/>
              <w:rPr>
                <w:snapToGrid/>
                <w:color w:val="000000"/>
                <w:sz w:val="20"/>
              </w:rPr>
            </w:pPr>
          </w:p>
        </w:tc>
      </w:tr>
      <w:tr w:rsidR="00892799" w:rsidRPr="00D47256" w14:paraId="2BFBAB54" w14:textId="77777777" w:rsidTr="00D47256">
        <w:trPr>
          <w:trHeight w:val="799"/>
        </w:trPr>
        <w:tc>
          <w:tcPr>
            <w:tcW w:w="1333" w:type="dxa"/>
            <w:tcBorders>
              <w:top w:val="nil"/>
              <w:left w:val="single" w:sz="8" w:space="0" w:color="auto"/>
              <w:bottom w:val="single" w:sz="8" w:space="0" w:color="auto"/>
              <w:right w:val="single" w:sz="8" w:space="0" w:color="auto"/>
            </w:tcBorders>
            <w:shd w:val="clear" w:color="auto" w:fill="auto"/>
            <w:vAlign w:val="center"/>
            <w:hideMark/>
          </w:tcPr>
          <w:p w14:paraId="668C59DA" w14:textId="77777777" w:rsidR="000D0AA6" w:rsidRPr="000D0AA6" w:rsidRDefault="000D0AA6" w:rsidP="000D0AA6">
            <w:pPr>
              <w:widowControl/>
              <w:jc w:val="center"/>
              <w:rPr>
                <w:snapToGrid/>
                <w:color w:val="000000"/>
                <w:sz w:val="20"/>
              </w:rPr>
            </w:pPr>
            <w:r w:rsidRPr="000D0AA6">
              <w:rPr>
                <w:snapToGrid/>
                <w:color w:val="000000"/>
                <w:sz w:val="20"/>
              </w:rPr>
              <w:t>447.509(a)(4)</w:t>
            </w:r>
          </w:p>
        </w:tc>
        <w:tc>
          <w:tcPr>
            <w:tcW w:w="1683" w:type="dxa"/>
            <w:tcBorders>
              <w:top w:val="nil"/>
              <w:left w:val="nil"/>
              <w:bottom w:val="single" w:sz="8" w:space="0" w:color="auto"/>
              <w:right w:val="single" w:sz="8" w:space="0" w:color="auto"/>
            </w:tcBorders>
            <w:shd w:val="clear" w:color="auto" w:fill="auto"/>
            <w:vAlign w:val="center"/>
            <w:hideMark/>
          </w:tcPr>
          <w:p w14:paraId="02B1B777" w14:textId="77777777" w:rsidR="000D0AA6" w:rsidRDefault="000D0AA6" w:rsidP="000D0AA6">
            <w:pPr>
              <w:widowControl/>
              <w:jc w:val="center"/>
              <w:rPr>
                <w:snapToGrid/>
                <w:color w:val="000000"/>
                <w:sz w:val="20"/>
              </w:rPr>
            </w:pPr>
            <w:r w:rsidRPr="000D0AA6">
              <w:rPr>
                <w:snapToGrid/>
                <w:color w:val="000000"/>
                <w:sz w:val="20"/>
              </w:rPr>
              <w:t>Line Extension Determination</w:t>
            </w:r>
          </w:p>
          <w:p w14:paraId="315FE07B" w14:textId="14F8EE9A" w:rsidR="00E77D73" w:rsidRPr="000D0AA6" w:rsidRDefault="00E77D73" w:rsidP="000D0AA6">
            <w:pPr>
              <w:widowControl/>
              <w:jc w:val="center"/>
              <w:rPr>
                <w:snapToGrid/>
                <w:color w:val="000000"/>
                <w:sz w:val="20"/>
              </w:rPr>
            </w:pPr>
            <w:r>
              <w:rPr>
                <w:snapToGrid/>
                <w:color w:val="000000"/>
                <w:sz w:val="20"/>
              </w:rPr>
              <w:t>(Form - 367c)</w:t>
            </w:r>
          </w:p>
        </w:tc>
        <w:tc>
          <w:tcPr>
            <w:tcW w:w="1127" w:type="dxa"/>
            <w:tcBorders>
              <w:top w:val="nil"/>
              <w:left w:val="nil"/>
              <w:bottom w:val="single" w:sz="8" w:space="0" w:color="auto"/>
              <w:right w:val="single" w:sz="8" w:space="0" w:color="auto"/>
            </w:tcBorders>
            <w:shd w:val="clear" w:color="auto" w:fill="auto"/>
            <w:vAlign w:val="center"/>
            <w:hideMark/>
          </w:tcPr>
          <w:p w14:paraId="463391D2" w14:textId="724C1AFF" w:rsidR="000D0AA6" w:rsidRPr="000D0AA6" w:rsidRDefault="000D0AA6" w:rsidP="005726EB">
            <w:pPr>
              <w:widowControl/>
              <w:jc w:val="center"/>
              <w:rPr>
                <w:snapToGrid/>
                <w:color w:val="000000"/>
                <w:sz w:val="20"/>
              </w:rPr>
            </w:pPr>
            <w:r w:rsidRPr="000D0AA6">
              <w:rPr>
                <w:snapToGrid/>
                <w:color w:val="000000"/>
                <w:sz w:val="20"/>
              </w:rPr>
              <w:t>O</w:t>
            </w:r>
            <w:r w:rsidR="005726EB">
              <w:rPr>
                <w:snapToGrid/>
                <w:color w:val="000000"/>
                <w:sz w:val="20"/>
              </w:rPr>
              <w:t>ccasionally</w:t>
            </w:r>
            <w:r w:rsidRPr="000D0AA6">
              <w:rPr>
                <w:snapToGrid/>
                <w:color w:val="000000"/>
                <w:sz w:val="20"/>
              </w:rPr>
              <w:t>*</w:t>
            </w:r>
          </w:p>
        </w:tc>
        <w:tc>
          <w:tcPr>
            <w:tcW w:w="1306" w:type="dxa"/>
            <w:tcBorders>
              <w:top w:val="nil"/>
              <w:left w:val="nil"/>
              <w:bottom w:val="single" w:sz="8" w:space="0" w:color="auto"/>
              <w:right w:val="single" w:sz="8" w:space="0" w:color="auto"/>
            </w:tcBorders>
            <w:shd w:val="clear" w:color="auto" w:fill="auto"/>
            <w:vAlign w:val="center"/>
            <w:hideMark/>
          </w:tcPr>
          <w:p w14:paraId="436DF58A" w14:textId="77777777" w:rsidR="000D0AA6" w:rsidRPr="000D0AA6" w:rsidRDefault="000D0AA6" w:rsidP="000D0AA6">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6C717736" w14:textId="77777777" w:rsidR="000D0AA6" w:rsidRPr="000D0AA6" w:rsidRDefault="000D0AA6" w:rsidP="000D0AA6">
            <w:pPr>
              <w:widowControl/>
              <w:jc w:val="center"/>
              <w:rPr>
                <w:snapToGrid/>
                <w:color w:val="000000"/>
                <w:sz w:val="20"/>
              </w:rPr>
            </w:pPr>
            <w:r w:rsidRPr="000D0AA6">
              <w:rPr>
                <w:snapToGrid/>
                <w:color w:val="000000"/>
                <w:sz w:val="20"/>
              </w:rPr>
              <w:t>610</w:t>
            </w:r>
          </w:p>
        </w:tc>
        <w:tc>
          <w:tcPr>
            <w:tcW w:w="1017" w:type="dxa"/>
            <w:tcBorders>
              <w:top w:val="nil"/>
              <w:left w:val="nil"/>
              <w:bottom w:val="single" w:sz="8" w:space="0" w:color="auto"/>
              <w:right w:val="single" w:sz="8" w:space="0" w:color="auto"/>
            </w:tcBorders>
            <w:shd w:val="clear" w:color="auto" w:fill="auto"/>
            <w:vAlign w:val="center"/>
            <w:hideMark/>
          </w:tcPr>
          <w:p w14:paraId="57F748C7" w14:textId="77777777" w:rsidR="000D0AA6" w:rsidRPr="000D0AA6" w:rsidRDefault="000D0AA6" w:rsidP="000D0AA6">
            <w:pPr>
              <w:widowControl/>
              <w:jc w:val="center"/>
              <w:rPr>
                <w:snapToGrid/>
                <w:color w:val="000000"/>
                <w:sz w:val="20"/>
              </w:rPr>
            </w:pPr>
            <w:r w:rsidRPr="000D0AA6">
              <w:rPr>
                <w:snapToGrid/>
                <w:color w:val="000000"/>
                <w:sz w:val="20"/>
              </w:rPr>
              <w:t>26</w:t>
            </w:r>
          </w:p>
        </w:tc>
        <w:tc>
          <w:tcPr>
            <w:tcW w:w="1016" w:type="dxa"/>
            <w:tcBorders>
              <w:top w:val="nil"/>
              <w:left w:val="nil"/>
              <w:bottom w:val="single" w:sz="8" w:space="0" w:color="auto"/>
              <w:right w:val="single" w:sz="8" w:space="0" w:color="auto"/>
            </w:tcBorders>
            <w:shd w:val="clear" w:color="auto" w:fill="auto"/>
            <w:vAlign w:val="center"/>
            <w:hideMark/>
          </w:tcPr>
          <w:p w14:paraId="44AFE55E" w14:textId="77777777" w:rsidR="000D0AA6" w:rsidRPr="000D0AA6" w:rsidRDefault="000D0AA6" w:rsidP="000D0AA6">
            <w:pPr>
              <w:widowControl/>
              <w:jc w:val="center"/>
              <w:rPr>
                <w:snapToGrid/>
                <w:color w:val="000000"/>
                <w:sz w:val="20"/>
              </w:rPr>
            </w:pPr>
            <w:r w:rsidRPr="000D0AA6">
              <w:rPr>
                <w:snapToGrid/>
                <w:color w:val="000000"/>
                <w:sz w:val="20"/>
              </w:rPr>
              <w:t>15,860</w:t>
            </w:r>
          </w:p>
        </w:tc>
        <w:tc>
          <w:tcPr>
            <w:tcW w:w="1116" w:type="dxa"/>
            <w:tcBorders>
              <w:top w:val="nil"/>
              <w:left w:val="nil"/>
              <w:bottom w:val="single" w:sz="8" w:space="0" w:color="auto"/>
              <w:right w:val="single" w:sz="8" w:space="0" w:color="auto"/>
            </w:tcBorders>
            <w:shd w:val="clear" w:color="auto" w:fill="auto"/>
            <w:vAlign w:val="center"/>
            <w:hideMark/>
          </w:tcPr>
          <w:p w14:paraId="2AFF1048" w14:textId="77777777" w:rsidR="000D0AA6" w:rsidRPr="000D0AA6" w:rsidRDefault="000D0AA6" w:rsidP="000D0AA6">
            <w:pPr>
              <w:widowControl/>
              <w:jc w:val="center"/>
              <w:rPr>
                <w:snapToGrid/>
                <w:color w:val="000000"/>
                <w:sz w:val="20"/>
              </w:rPr>
            </w:pPr>
            <w:r w:rsidRPr="000D0AA6">
              <w:rPr>
                <w:snapToGrid/>
                <w:color w:val="000000"/>
                <w:sz w:val="20"/>
              </w:rPr>
              <w:t>1,407,551</w:t>
            </w:r>
          </w:p>
        </w:tc>
        <w:tc>
          <w:tcPr>
            <w:tcW w:w="2016" w:type="dxa"/>
            <w:tcBorders>
              <w:top w:val="nil"/>
              <w:left w:val="nil"/>
              <w:bottom w:val="single" w:sz="8" w:space="0" w:color="auto"/>
              <w:right w:val="single" w:sz="8" w:space="0" w:color="auto"/>
            </w:tcBorders>
            <w:shd w:val="clear" w:color="auto" w:fill="auto"/>
            <w:vAlign w:val="center"/>
            <w:hideMark/>
          </w:tcPr>
          <w:p w14:paraId="1620586D" w14:textId="77777777" w:rsidR="000D0AA6" w:rsidRPr="000D0AA6" w:rsidRDefault="000D0AA6" w:rsidP="000D0AA6">
            <w:pPr>
              <w:widowControl/>
              <w:jc w:val="center"/>
              <w:rPr>
                <w:snapToGrid/>
                <w:color w:val="000000"/>
                <w:sz w:val="20"/>
              </w:rPr>
            </w:pPr>
            <w:r w:rsidRPr="000D0AA6">
              <w:rPr>
                <w:snapToGrid/>
                <w:color w:val="000000"/>
                <w:sz w:val="20"/>
              </w:rPr>
              <w:t>0</w:t>
            </w:r>
          </w:p>
        </w:tc>
        <w:tc>
          <w:tcPr>
            <w:tcW w:w="1216" w:type="dxa"/>
            <w:tcBorders>
              <w:top w:val="nil"/>
              <w:left w:val="nil"/>
              <w:bottom w:val="single" w:sz="8" w:space="0" w:color="auto"/>
              <w:right w:val="single" w:sz="8" w:space="0" w:color="auto"/>
            </w:tcBorders>
            <w:shd w:val="clear" w:color="auto" w:fill="auto"/>
            <w:vAlign w:val="center"/>
            <w:hideMark/>
          </w:tcPr>
          <w:p w14:paraId="71ECFEE6" w14:textId="77777777" w:rsidR="000D0AA6" w:rsidRPr="000D0AA6" w:rsidRDefault="000D0AA6" w:rsidP="000D0AA6">
            <w:pPr>
              <w:widowControl/>
              <w:jc w:val="center"/>
              <w:rPr>
                <w:snapToGrid/>
                <w:color w:val="000000"/>
                <w:sz w:val="20"/>
              </w:rPr>
            </w:pPr>
            <w:r w:rsidRPr="000D0AA6">
              <w:rPr>
                <w:snapToGrid/>
                <w:color w:val="000000"/>
                <w:sz w:val="20"/>
              </w:rPr>
              <w:t>1,407,551</w:t>
            </w:r>
          </w:p>
        </w:tc>
      </w:tr>
      <w:tr w:rsidR="00892799" w:rsidRPr="00D47256" w14:paraId="51D10F47" w14:textId="77777777" w:rsidTr="00D47256">
        <w:trPr>
          <w:trHeight w:val="799"/>
        </w:trPr>
        <w:tc>
          <w:tcPr>
            <w:tcW w:w="1333" w:type="dxa"/>
            <w:tcBorders>
              <w:top w:val="nil"/>
              <w:left w:val="single" w:sz="8" w:space="0" w:color="auto"/>
              <w:bottom w:val="single" w:sz="8" w:space="0" w:color="auto"/>
              <w:right w:val="single" w:sz="8" w:space="0" w:color="auto"/>
            </w:tcBorders>
            <w:shd w:val="clear" w:color="auto" w:fill="auto"/>
            <w:vAlign w:val="center"/>
            <w:hideMark/>
          </w:tcPr>
          <w:p w14:paraId="70E86D09" w14:textId="77777777" w:rsidR="000D0AA6" w:rsidRPr="000D0AA6" w:rsidRDefault="000D0AA6" w:rsidP="000D0AA6">
            <w:pPr>
              <w:widowControl/>
              <w:jc w:val="center"/>
              <w:rPr>
                <w:snapToGrid/>
                <w:color w:val="000000"/>
                <w:sz w:val="20"/>
              </w:rPr>
            </w:pPr>
            <w:r w:rsidRPr="000D0AA6">
              <w:rPr>
                <w:snapToGrid/>
                <w:color w:val="000000"/>
                <w:sz w:val="20"/>
              </w:rPr>
              <w:t>447.509(a)(4)</w:t>
            </w:r>
          </w:p>
        </w:tc>
        <w:tc>
          <w:tcPr>
            <w:tcW w:w="1683" w:type="dxa"/>
            <w:tcBorders>
              <w:top w:val="nil"/>
              <w:left w:val="nil"/>
              <w:bottom w:val="single" w:sz="8" w:space="0" w:color="auto"/>
              <w:right w:val="single" w:sz="8" w:space="0" w:color="auto"/>
            </w:tcBorders>
            <w:shd w:val="clear" w:color="auto" w:fill="auto"/>
            <w:vAlign w:val="center"/>
            <w:hideMark/>
          </w:tcPr>
          <w:p w14:paraId="74A2D813" w14:textId="77777777" w:rsidR="000D0AA6" w:rsidRDefault="000D0AA6" w:rsidP="000D0AA6">
            <w:pPr>
              <w:widowControl/>
              <w:jc w:val="center"/>
              <w:rPr>
                <w:snapToGrid/>
                <w:color w:val="000000"/>
                <w:sz w:val="20"/>
              </w:rPr>
            </w:pPr>
            <w:r w:rsidRPr="000D0AA6">
              <w:rPr>
                <w:snapToGrid/>
                <w:color w:val="000000"/>
                <w:sz w:val="20"/>
              </w:rPr>
              <w:t>Line Extension Reporting</w:t>
            </w:r>
          </w:p>
          <w:p w14:paraId="1FABE2F7" w14:textId="1698B7E0" w:rsidR="00E77D73" w:rsidRPr="000D0AA6" w:rsidRDefault="00E77D73" w:rsidP="000D0AA6">
            <w:pPr>
              <w:widowControl/>
              <w:jc w:val="center"/>
              <w:rPr>
                <w:snapToGrid/>
                <w:color w:val="000000"/>
                <w:sz w:val="20"/>
              </w:rPr>
            </w:pPr>
            <w:r>
              <w:rPr>
                <w:snapToGrid/>
                <w:color w:val="000000"/>
                <w:sz w:val="20"/>
              </w:rPr>
              <w:t>(Form - 367a)</w:t>
            </w:r>
          </w:p>
        </w:tc>
        <w:tc>
          <w:tcPr>
            <w:tcW w:w="1127" w:type="dxa"/>
            <w:tcBorders>
              <w:top w:val="nil"/>
              <w:left w:val="nil"/>
              <w:bottom w:val="single" w:sz="8" w:space="0" w:color="auto"/>
              <w:right w:val="single" w:sz="8" w:space="0" w:color="auto"/>
            </w:tcBorders>
            <w:shd w:val="clear" w:color="auto" w:fill="auto"/>
            <w:vAlign w:val="center"/>
            <w:hideMark/>
          </w:tcPr>
          <w:p w14:paraId="202ED867" w14:textId="77777777" w:rsidR="000D0AA6" w:rsidRPr="000D0AA6" w:rsidRDefault="000D0AA6" w:rsidP="000D0AA6">
            <w:pPr>
              <w:widowControl/>
              <w:jc w:val="center"/>
              <w:rPr>
                <w:snapToGrid/>
                <w:color w:val="000000"/>
                <w:sz w:val="20"/>
              </w:rPr>
            </w:pPr>
            <w:r w:rsidRPr="000D0AA6">
              <w:rPr>
                <w:snapToGrid/>
                <w:color w:val="000000"/>
                <w:sz w:val="20"/>
              </w:rPr>
              <w:t>Quarterly</w:t>
            </w:r>
          </w:p>
        </w:tc>
        <w:tc>
          <w:tcPr>
            <w:tcW w:w="1306" w:type="dxa"/>
            <w:tcBorders>
              <w:top w:val="nil"/>
              <w:left w:val="nil"/>
              <w:bottom w:val="single" w:sz="8" w:space="0" w:color="auto"/>
              <w:right w:val="single" w:sz="8" w:space="0" w:color="auto"/>
            </w:tcBorders>
            <w:shd w:val="clear" w:color="auto" w:fill="auto"/>
            <w:vAlign w:val="center"/>
            <w:hideMark/>
          </w:tcPr>
          <w:p w14:paraId="4030A383" w14:textId="77777777" w:rsidR="000D0AA6" w:rsidRPr="000D0AA6" w:rsidRDefault="000D0AA6" w:rsidP="000D0AA6">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24FDA5FE" w14:textId="77777777" w:rsidR="000D0AA6" w:rsidRPr="000D0AA6" w:rsidRDefault="000D0AA6" w:rsidP="000D0AA6">
            <w:pPr>
              <w:widowControl/>
              <w:jc w:val="center"/>
              <w:rPr>
                <w:snapToGrid/>
                <w:color w:val="000000"/>
                <w:sz w:val="20"/>
              </w:rPr>
            </w:pPr>
            <w:r w:rsidRPr="000D0AA6">
              <w:rPr>
                <w:snapToGrid/>
                <w:color w:val="000000"/>
                <w:sz w:val="20"/>
              </w:rPr>
              <w:t>2,440</w:t>
            </w:r>
          </w:p>
        </w:tc>
        <w:tc>
          <w:tcPr>
            <w:tcW w:w="1017" w:type="dxa"/>
            <w:tcBorders>
              <w:top w:val="nil"/>
              <w:left w:val="nil"/>
              <w:bottom w:val="single" w:sz="8" w:space="0" w:color="auto"/>
              <w:right w:val="single" w:sz="8" w:space="0" w:color="auto"/>
            </w:tcBorders>
            <w:shd w:val="clear" w:color="auto" w:fill="auto"/>
            <w:vAlign w:val="center"/>
            <w:hideMark/>
          </w:tcPr>
          <w:p w14:paraId="31D5CD1A" w14:textId="77777777" w:rsidR="000D0AA6" w:rsidRPr="000D0AA6" w:rsidRDefault="000D0AA6" w:rsidP="000D0AA6">
            <w:pPr>
              <w:widowControl/>
              <w:jc w:val="center"/>
              <w:rPr>
                <w:snapToGrid/>
                <w:color w:val="000000"/>
                <w:sz w:val="20"/>
              </w:rPr>
            </w:pPr>
            <w:r w:rsidRPr="000D0AA6">
              <w:rPr>
                <w:snapToGrid/>
                <w:color w:val="000000"/>
                <w:sz w:val="20"/>
              </w:rPr>
              <w:t>20</w:t>
            </w:r>
          </w:p>
        </w:tc>
        <w:tc>
          <w:tcPr>
            <w:tcW w:w="1016" w:type="dxa"/>
            <w:tcBorders>
              <w:top w:val="nil"/>
              <w:left w:val="nil"/>
              <w:bottom w:val="single" w:sz="8" w:space="0" w:color="auto"/>
              <w:right w:val="single" w:sz="8" w:space="0" w:color="auto"/>
            </w:tcBorders>
            <w:shd w:val="clear" w:color="auto" w:fill="auto"/>
            <w:vAlign w:val="center"/>
            <w:hideMark/>
          </w:tcPr>
          <w:p w14:paraId="722A3163" w14:textId="77777777" w:rsidR="000D0AA6" w:rsidRPr="000D0AA6" w:rsidRDefault="000D0AA6" w:rsidP="000D0AA6">
            <w:pPr>
              <w:widowControl/>
              <w:jc w:val="center"/>
              <w:rPr>
                <w:snapToGrid/>
                <w:color w:val="000000"/>
                <w:sz w:val="20"/>
              </w:rPr>
            </w:pPr>
            <w:r w:rsidRPr="000D0AA6">
              <w:rPr>
                <w:snapToGrid/>
                <w:color w:val="000000"/>
                <w:sz w:val="20"/>
              </w:rPr>
              <w:t>48,800</w:t>
            </w:r>
          </w:p>
        </w:tc>
        <w:tc>
          <w:tcPr>
            <w:tcW w:w="1116" w:type="dxa"/>
            <w:tcBorders>
              <w:top w:val="nil"/>
              <w:left w:val="nil"/>
              <w:bottom w:val="single" w:sz="8" w:space="0" w:color="auto"/>
              <w:right w:val="single" w:sz="8" w:space="0" w:color="auto"/>
            </w:tcBorders>
            <w:shd w:val="clear" w:color="auto" w:fill="auto"/>
            <w:vAlign w:val="center"/>
            <w:hideMark/>
          </w:tcPr>
          <w:p w14:paraId="57B5A617" w14:textId="5CA734F6" w:rsidR="000D0AA6" w:rsidRPr="000D0AA6" w:rsidRDefault="000D0AA6" w:rsidP="004E77F2">
            <w:pPr>
              <w:widowControl/>
              <w:jc w:val="center"/>
              <w:rPr>
                <w:snapToGrid/>
                <w:color w:val="000000"/>
                <w:sz w:val="20"/>
              </w:rPr>
            </w:pPr>
            <w:r w:rsidRPr="000D0AA6">
              <w:rPr>
                <w:snapToGrid/>
                <w:color w:val="000000"/>
                <w:sz w:val="20"/>
              </w:rPr>
              <w:t>4,67</w:t>
            </w:r>
            <w:r w:rsidR="004E77F2" w:rsidRPr="00D47256">
              <w:rPr>
                <w:snapToGrid/>
                <w:color w:val="000000"/>
                <w:sz w:val="20"/>
              </w:rPr>
              <w:t>4</w:t>
            </w:r>
            <w:r w:rsidRPr="000D0AA6">
              <w:rPr>
                <w:snapToGrid/>
                <w:color w:val="000000"/>
                <w:sz w:val="20"/>
              </w:rPr>
              <w:t>,</w:t>
            </w:r>
            <w:r w:rsidR="004E77F2" w:rsidRPr="00D47256">
              <w:rPr>
                <w:snapToGrid/>
                <w:color w:val="000000"/>
                <w:sz w:val="20"/>
              </w:rPr>
              <w:t>796</w:t>
            </w:r>
          </w:p>
        </w:tc>
        <w:tc>
          <w:tcPr>
            <w:tcW w:w="2016" w:type="dxa"/>
            <w:tcBorders>
              <w:top w:val="nil"/>
              <w:left w:val="nil"/>
              <w:bottom w:val="single" w:sz="8" w:space="0" w:color="auto"/>
              <w:right w:val="single" w:sz="8" w:space="0" w:color="auto"/>
            </w:tcBorders>
            <w:shd w:val="clear" w:color="auto" w:fill="auto"/>
            <w:vAlign w:val="center"/>
            <w:hideMark/>
          </w:tcPr>
          <w:p w14:paraId="6EB19566" w14:textId="77777777" w:rsidR="000D0AA6" w:rsidRPr="000D0AA6" w:rsidRDefault="000D0AA6" w:rsidP="000D0AA6">
            <w:pPr>
              <w:widowControl/>
              <w:jc w:val="center"/>
              <w:rPr>
                <w:snapToGrid/>
                <w:color w:val="000000"/>
                <w:sz w:val="20"/>
              </w:rPr>
            </w:pPr>
            <w:r w:rsidRPr="000D0AA6">
              <w:rPr>
                <w:snapToGrid/>
                <w:color w:val="000000"/>
                <w:sz w:val="20"/>
              </w:rPr>
              <w:t>0</w:t>
            </w:r>
          </w:p>
        </w:tc>
        <w:tc>
          <w:tcPr>
            <w:tcW w:w="1216" w:type="dxa"/>
            <w:tcBorders>
              <w:top w:val="nil"/>
              <w:left w:val="nil"/>
              <w:bottom w:val="single" w:sz="8" w:space="0" w:color="auto"/>
              <w:right w:val="single" w:sz="8" w:space="0" w:color="auto"/>
            </w:tcBorders>
            <w:shd w:val="clear" w:color="auto" w:fill="auto"/>
            <w:vAlign w:val="center"/>
            <w:hideMark/>
          </w:tcPr>
          <w:p w14:paraId="2DBD4A1D" w14:textId="5206981C" w:rsidR="000D0AA6" w:rsidRPr="000D0AA6" w:rsidRDefault="000D0AA6" w:rsidP="004E77F2">
            <w:pPr>
              <w:widowControl/>
              <w:jc w:val="center"/>
              <w:rPr>
                <w:snapToGrid/>
                <w:color w:val="000000"/>
                <w:sz w:val="20"/>
              </w:rPr>
            </w:pPr>
            <w:r w:rsidRPr="000D0AA6">
              <w:rPr>
                <w:snapToGrid/>
                <w:color w:val="000000"/>
                <w:sz w:val="20"/>
              </w:rPr>
              <w:t>4,67</w:t>
            </w:r>
            <w:r w:rsidR="004E77F2" w:rsidRPr="00D47256">
              <w:rPr>
                <w:snapToGrid/>
                <w:color w:val="000000"/>
                <w:sz w:val="20"/>
              </w:rPr>
              <w:t>4</w:t>
            </w:r>
            <w:r w:rsidRPr="000D0AA6">
              <w:rPr>
                <w:snapToGrid/>
                <w:color w:val="000000"/>
                <w:sz w:val="20"/>
              </w:rPr>
              <w:t>,</w:t>
            </w:r>
            <w:r w:rsidR="004E77F2" w:rsidRPr="00D47256">
              <w:rPr>
                <w:snapToGrid/>
                <w:color w:val="000000"/>
                <w:sz w:val="20"/>
              </w:rPr>
              <w:t>796</w:t>
            </w:r>
          </w:p>
        </w:tc>
      </w:tr>
      <w:tr w:rsidR="00FC18EA" w:rsidRPr="00D47256" w14:paraId="05D54BA8" w14:textId="77777777" w:rsidTr="00E74807">
        <w:trPr>
          <w:trHeight w:val="1002"/>
        </w:trPr>
        <w:tc>
          <w:tcPr>
            <w:tcW w:w="1333" w:type="dxa"/>
            <w:tcBorders>
              <w:top w:val="nil"/>
              <w:left w:val="single" w:sz="8" w:space="0" w:color="auto"/>
              <w:bottom w:val="single" w:sz="8" w:space="0" w:color="auto"/>
              <w:right w:val="single" w:sz="8" w:space="0" w:color="auto"/>
            </w:tcBorders>
            <w:shd w:val="clear" w:color="auto" w:fill="auto"/>
            <w:vAlign w:val="center"/>
            <w:hideMark/>
          </w:tcPr>
          <w:p w14:paraId="5C440157" w14:textId="77777777" w:rsidR="000D0AA6" w:rsidRPr="000D0AA6" w:rsidRDefault="000D0AA6" w:rsidP="000D0AA6">
            <w:pPr>
              <w:widowControl/>
              <w:jc w:val="center"/>
              <w:rPr>
                <w:snapToGrid/>
                <w:color w:val="000000"/>
                <w:sz w:val="20"/>
              </w:rPr>
            </w:pPr>
            <w:r w:rsidRPr="000D0AA6">
              <w:rPr>
                <w:snapToGrid/>
                <w:color w:val="000000"/>
                <w:sz w:val="20"/>
              </w:rPr>
              <w:t>447.51</w:t>
            </w:r>
          </w:p>
        </w:tc>
        <w:tc>
          <w:tcPr>
            <w:tcW w:w="1683" w:type="dxa"/>
            <w:tcBorders>
              <w:top w:val="nil"/>
              <w:left w:val="nil"/>
              <w:bottom w:val="single" w:sz="8" w:space="0" w:color="auto"/>
              <w:right w:val="single" w:sz="8" w:space="0" w:color="auto"/>
            </w:tcBorders>
            <w:shd w:val="clear" w:color="auto" w:fill="auto"/>
            <w:vAlign w:val="center"/>
            <w:hideMark/>
          </w:tcPr>
          <w:p w14:paraId="37F44BAF" w14:textId="77777777" w:rsidR="000D0AA6" w:rsidRPr="000D0AA6" w:rsidRDefault="000D0AA6" w:rsidP="000D0AA6">
            <w:pPr>
              <w:widowControl/>
              <w:jc w:val="center"/>
              <w:rPr>
                <w:snapToGrid/>
                <w:color w:val="000000"/>
                <w:sz w:val="20"/>
              </w:rPr>
            </w:pPr>
            <w:r w:rsidRPr="000D0AA6">
              <w:rPr>
                <w:snapToGrid/>
                <w:color w:val="000000"/>
                <w:sz w:val="20"/>
              </w:rPr>
              <w:t>AMP/BP Reconfiguring Pricing System</w:t>
            </w:r>
          </w:p>
        </w:tc>
        <w:tc>
          <w:tcPr>
            <w:tcW w:w="1127" w:type="dxa"/>
            <w:tcBorders>
              <w:top w:val="nil"/>
              <w:left w:val="nil"/>
              <w:bottom w:val="single" w:sz="8" w:space="0" w:color="auto"/>
              <w:right w:val="single" w:sz="8" w:space="0" w:color="auto"/>
            </w:tcBorders>
            <w:shd w:val="clear" w:color="auto" w:fill="auto"/>
            <w:vAlign w:val="center"/>
            <w:hideMark/>
          </w:tcPr>
          <w:p w14:paraId="320853B0" w14:textId="77777777" w:rsidR="000D0AA6" w:rsidRPr="000D0AA6" w:rsidRDefault="000D0AA6" w:rsidP="000D0AA6">
            <w:pPr>
              <w:widowControl/>
              <w:jc w:val="center"/>
              <w:rPr>
                <w:snapToGrid/>
                <w:color w:val="000000"/>
                <w:sz w:val="20"/>
              </w:rPr>
            </w:pPr>
            <w:r w:rsidRPr="000D0AA6">
              <w:rPr>
                <w:snapToGrid/>
                <w:color w:val="000000"/>
                <w:sz w:val="20"/>
              </w:rPr>
              <w:t>Once*</w:t>
            </w:r>
          </w:p>
        </w:tc>
        <w:tc>
          <w:tcPr>
            <w:tcW w:w="1306" w:type="dxa"/>
            <w:tcBorders>
              <w:top w:val="nil"/>
              <w:left w:val="nil"/>
              <w:bottom w:val="single" w:sz="8" w:space="0" w:color="auto"/>
              <w:right w:val="single" w:sz="8" w:space="0" w:color="auto"/>
            </w:tcBorders>
            <w:shd w:val="clear" w:color="auto" w:fill="auto"/>
            <w:vAlign w:val="center"/>
            <w:hideMark/>
          </w:tcPr>
          <w:p w14:paraId="047F5BFC" w14:textId="77777777" w:rsidR="000D0AA6" w:rsidRPr="000D0AA6" w:rsidRDefault="000D0AA6" w:rsidP="000D0AA6">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24F88C3E" w14:textId="77777777" w:rsidR="000D0AA6" w:rsidRPr="000D0AA6" w:rsidRDefault="000D0AA6" w:rsidP="000D0AA6">
            <w:pPr>
              <w:widowControl/>
              <w:jc w:val="center"/>
              <w:rPr>
                <w:snapToGrid/>
                <w:color w:val="000000"/>
                <w:sz w:val="20"/>
              </w:rPr>
            </w:pPr>
            <w:r w:rsidRPr="000D0AA6">
              <w:rPr>
                <w:snapToGrid/>
                <w:color w:val="000000"/>
                <w:sz w:val="20"/>
              </w:rPr>
              <w:t>610</w:t>
            </w:r>
          </w:p>
        </w:tc>
        <w:tc>
          <w:tcPr>
            <w:tcW w:w="1017" w:type="dxa"/>
            <w:tcBorders>
              <w:top w:val="nil"/>
              <w:left w:val="nil"/>
              <w:bottom w:val="single" w:sz="8" w:space="0" w:color="auto"/>
              <w:right w:val="single" w:sz="8" w:space="0" w:color="auto"/>
            </w:tcBorders>
            <w:shd w:val="clear" w:color="auto" w:fill="auto"/>
            <w:vAlign w:val="center"/>
            <w:hideMark/>
          </w:tcPr>
          <w:p w14:paraId="6E28FB1D" w14:textId="77777777" w:rsidR="000D0AA6" w:rsidRPr="000D0AA6" w:rsidRDefault="000D0AA6" w:rsidP="000D0AA6">
            <w:pPr>
              <w:widowControl/>
              <w:jc w:val="center"/>
              <w:rPr>
                <w:snapToGrid/>
                <w:color w:val="000000"/>
                <w:sz w:val="20"/>
              </w:rPr>
            </w:pPr>
            <w:r w:rsidRPr="000D0AA6">
              <w:rPr>
                <w:snapToGrid/>
                <w:color w:val="000000"/>
                <w:sz w:val="20"/>
              </w:rPr>
              <w:t>1,200</w:t>
            </w:r>
          </w:p>
        </w:tc>
        <w:tc>
          <w:tcPr>
            <w:tcW w:w="1016" w:type="dxa"/>
            <w:tcBorders>
              <w:top w:val="nil"/>
              <w:left w:val="nil"/>
              <w:bottom w:val="single" w:sz="8" w:space="0" w:color="auto"/>
              <w:right w:val="single" w:sz="8" w:space="0" w:color="auto"/>
            </w:tcBorders>
            <w:shd w:val="clear" w:color="auto" w:fill="auto"/>
            <w:vAlign w:val="center"/>
            <w:hideMark/>
          </w:tcPr>
          <w:p w14:paraId="35368A83" w14:textId="77777777" w:rsidR="000D0AA6" w:rsidRPr="000D0AA6" w:rsidRDefault="000D0AA6" w:rsidP="000D0AA6">
            <w:pPr>
              <w:widowControl/>
              <w:jc w:val="center"/>
              <w:rPr>
                <w:snapToGrid/>
                <w:color w:val="000000"/>
                <w:sz w:val="20"/>
              </w:rPr>
            </w:pPr>
            <w:r w:rsidRPr="000D0AA6">
              <w:rPr>
                <w:snapToGrid/>
                <w:color w:val="000000"/>
                <w:sz w:val="20"/>
              </w:rPr>
              <w:t>732,000</w:t>
            </w:r>
          </w:p>
        </w:tc>
        <w:tc>
          <w:tcPr>
            <w:tcW w:w="1116" w:type="dxa"/>
            <w:tcBorders>
              <w:top w:val="nil"/>
              <w:left w:val="nil"/>
              <w:bottom w:val="single" w:sz="8" w:space="0" w:color="auto"/>
              <w:right w:val="single" w:sz="8" w:space="0" w:color="auto"/>
            </w:tcBorders>
            <w:shd w:val="clear" w:color="auto" w:fill="auto"/>
            <w:vAlign w:val="center"/>
            <w:hideMark/>
          </w:tcPr>
          <w:p w14:paraId="086C8A8D" w14:textId="77777777" w:rsidR="000D0AA6" w:rsidRPr="000D0AA6" w:rsidRDefault="000D0AA6" w:rsidP="000D0AA6">
            <w:pPr>
              <w:widowControl/>
              <w:jc w:val="center"/>
              <w:rPr>
                <w:snapToGrid/>
                <w:color w:val="000000"/>
                <w:sz w:val="20"/>
              </w:rPr>
            </w:pPr>
            <w:r w:rsidRPr="000D0AA6">
              <w:rPr>
                <w:snapToGrid/>
                <w:color w:val="000000"/>
                <w:sz w:val="20"/>
              </w:rPr>
              <w:t>67,175,884</w:t>
            </w:r>
          </w:p>
        </w:tc>
        <w:tc>
          <w:tcPr>
            <w:tcW w:w="2016" w:type="dxa"/>
            <w:tcBorders>
              <w:top w:val="nil"/>
              <w:left w:val="nil"/>
              <w:bottom w:val="single" w:sz="8" w:space="0" w:color="auto"/>
              <w:right w:val="single" w:sz="8" w:space="0" w:color="auto"/>
            </w:tcBorders>
            <w:shd w:val="clear" w:color="auto" w:fill="auto"/>
            <w:vAlign w:val="center"/>
            <w:hideMark/>
          </w:tcPr>
          <w:p w14:paraId="470BF739" w14:textId="77777777" w:rsidR="000D0AA6" w:rsidRPr="000D0AA6" w:rsidRDefault="000D0AA6" w:rsidP="000D0AA6">
            <w:pPr>
              <w:widowControl/>
              <w:jc w:val="center"/>
              <w:rPr>
                <w:snapToGrid/>
                <w:color w:val="000000"/>
                <w:sz w:val="20"/>
              </w:rPr>
            </w:pPr>
            <w:r w:rsidRPr="000D0AA6">
              <w:rPr>
                <w:snapToGrid/>
                <w:color w:val="000000"/>
                <w:sz w:val="20"/>
              </w:rPr>
              <w:t>0</w:t>
            </w:r>
          </w:p>
        </w:tc>
        <w:tc>
          <w:tcPr>
            <w:tcW w:w="1216" w:type="dxa"/>
            <w:tcBorders>
              <w:top w:val="nil"/>
              <w:left w:val="nil"/>
              <w:bottom w:val="single" w:sz="8" w:space="0" w:color="auto"/>
              <w:right w:val="single" w:sz="8" w:space="0" w:color="auto"/>
            </w:tcBorders>
            <w:shd w:val="clear" w:color="auto" w:fill="auto"/>
            <w:vAlign w:val="center"/>
            <w:hideMark/>
          </w:tcPr>
          <w:p w14:paraId="311821CC" w14:textId="77777777" w:rsidR="000D0AA6" w:rsidRPr="000D0AA6" w:rsidRDefault="000D0AA6" w:rsidP="000D0AA6">
            <w:pPr>
              <w:widowControl/>
              <w:jc w:val="center"/>
              <w:rPr>
                <w:snapToGrid/>
                <w:color w:val="000000"/>
                <w:sz w:val="20"/>
              </w:rPr>
            </w:pPr>
            <w:r w:rsidRPr="000D0AA6">
              <w:rPr>
                <w:snapToGrid/>
                <w:color w:val="000000"/>
                <w:sz w:val="20"/>
              </w:rPr>
              <w:t>67,175,884</w:t>
            </w:r>
          </w:p>
        </w:tc>
      </w:tr>
      <w:tr w:rsidR="00FC18EA" w:rsidRPr="00D47256" w14:paraId="25694707" w14:textId="77777777" w:rsidTr="00E74807">
        <w:trPr>
          <w:trHeight w:val="1002"/>
        </w:trPr>
        <w:tc>
          <w:tcPr>
            <w:tcW w:w="1333" w:type="dxa"/>
            <w:tcBorders>
              <w:top w:val="nil"/>
              <w:left w:val="single" w:sz="8" w:space="0" w:color="auto"/>
              <w:bottom w:val="single" w:sz="8" w:space="0" w:color="auto"/>
              <w:right w:val="single" w:sz="8" w:space="0" w:color="auto"/>
            </w:tcBorders>
            <w:shd w:val="clear" w:color="auto" w:fill="auto"/>
            <w:vAlign w:val="center"/>
            <w:hideMark/>
          </w:tcPr>
          <w:p w14:paraId="62C41684" w14:textId="77777777" w:rsidR="000D0AA6" w:rsidRPr="000D0AA6" w:rsidRDefault="000D0AA6" w:rsidP="000D0AA6">
            <w:pPr>
              <w:widowControl/>
              <w:jc w:val="center"/>
              <w:rPr>
                <w:snapToGrid/>
                <w:color w:val="000000"/>
                <w:sz w:val="20"/>
              </w:rPr>
            </w:pPr>
            <w:r w:rsidRPr="000D0AA6">
              <w:rPr>
                <w:snapToGrid/>
                <w:color w:val="000000"/>
                <w:sz w:val="20"/>
              </w:rPr>
              <w:t>447.51</w:t>
            </w:r>
          </w:p>
        </w:tc>
        <w:tc>
          <w:tcPr>
            <w:tcW w:w="1683" w:type="dxa"/>
            <w:tcBorders>
              <w:top w:val="nil"/>
              <w:left w:val="nil"/>
              <w:bottom w:val="single" w:sz="8" w:space="0" w:color="auto"/>
              <w:right w:val="single" w:sz="8" w:space="0" w:color="auto"/>
            </w:tcBorders>
            <w:shd w:val="clear" w:color="auto" w:fill="auto"/>
            <w:vAlign w:val="center"/>
            <w:hideMark/>
          </w:tcPr>
          <w:p w14:paraId="17A09F6C" w14:textId="77777777" w:rsidR="000D0AA6" w:rsidRPr="000D0AA6" w:rsidRDefault="000D0AA6" w:rsidP="000D0AA6">
            <w:pPr>
              <w:widowControl/>
              <w:jc w:val="center"/>
              <w:rPr>
                <w:snapToGrid/>
                <w:color w:val="000000"/>
                <w:sz w:val="20"/>
              </w:rPr>
            </w:pPr>
            <w:r w:rsidRPr="000D0AA6">
              <w:rPr>
                <w:snapToGrid/>
                <w:color w:val="000000"/>
                <w:sz w:val="20"/>
              </w:rPr>
              <w:t>AMP/BP Training / Start-up Costs</w:t>
            </w:r>
          </w:p>
        </w:tc>
        <w:tc>
          <w:tcPr>
            <w:tcW w:w="1127" w:type="dxa"/>
            <w:tcBorders>
              <w:top w:val="nil"/>
              <w:left w:val="nil"/>
              <w:bottom w:val="single" w:sz="8" w:space="0" w:color="auto"/>
              <w:right w:val="single" w:sz="8" w:space="0" w:color="auto"/>
            </w:tcBorders>
            <w:shd w:val="clear" w:color="auto" w:fill="auto"/>
            <w:vAlign w:val="center"/>
            <w:hideMark/>
          </w:tcPr>
          <w:p w14:paraId="0810A111" w14:textId="77777777" w:rsidR="000D0AA6" w:rsidRPr="000D0AA6" w:rsidRDefault="000D0AA6" w:rsidP="000D0AA6">
            <w:pPr>
              <w:widowControl/>
              <w:jc w:val="center"/>
              <w:rPr>
                <w:snapToGrid/>
                <w:color w:val="000000"/>
                <w:sz w:val="20"/>
              </w:rPr>
            </w:pPr>
            <w:r w:rsidRPr="000D0AA6">
              <w:rPr>
                <w:snapToGrid/>
                <w:color w:val="000000"/>
                <w:sz w:val="20"/>
              </w:rPr>
              <w:t>Once*</w:t>
            </w:r>
          </w:p>
        </w:tc>
        <w:tc>
          <w:tcPr>
            <w:tcW w:w="1306" w:type="dxa"/>
            <w:tcBorders>
              <w:top w:val="nil"/>
              <w:left w:val="nil"/>
              <w:bottom w:val="single" w:sz="8" w:space="0" w:color="auto"/>
              <w:right w:val="single" w:sz="8" w:space="0" w:color="auto"/>
            </w:tcBorders>
            <w:shd w:val="clear" w:color="auto" w:fill="auto"/>
            <w:vAlign w:val="center"/>
            <w:hideMark/>
          </w:tcPr>
          <w:p w14:paraId="00FFD0D0" w14:textId="77777777" w:rsidR="000D0AA6" w:rsidRPr="000D0AA6" w:rsidRDefault="000D0AA6" w:rsidP="000D0AA6">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70FA618C" w14:textId="77777777" w:rsidR="000D0AA6" w:rsidRPr="000D0AA6" w:rsidRDefault="000D0AA6" w:rsidP="000D0AA6">
            <w:pPr>
              <w:widowControl/>
              <w:jc w:val="center"/>
              <w:rPr>
                <w:snapToGrid/>
                <w:color w:val="000000"/>
                <w:sz w:val="20"/>
              </w:rPr>
            </w:pPr>
            <w:r w:rsidRPr="000D0AA6">
              <w:rPr>
                <w:snapToGrid/>
                <w:color w:val="000000"/>
                <w:sz w:val="20"/>
              </w:rPr>
              <w:t>610</w:t>
            </w:r>
          </w:p>
        </w:tc>
        <w:tc>
          <w:tcPr>
            <w:tcW w:w="1017" w:type="dxa"/>
            <w:tcBorders>
              <w:top w:val="nil"/>
              <w:left w:val="nil"/>
              <w:bottom w:val="single" w:sz="8" w:space="0" w:color="auto"/>
              <w:right w:val="single" w:sz="8" w:space="0" w:color="auto"/>
            </w:tcBorders>
            <w:shd w:val="clear" w:color="auto" w:fill="auto"/>
            <w:vAlign w:val="center"/>
            <w:hideMark/>
          </w:tcPr>
          <w:p w14:paraId="507D3B95" w14:textId="77777777" w:rsidR="000D0AA6" w:rsidRPr="000D0AA6" w:rsidRDefault="000D0AA6" w:rsidP="000D0AA6">
            <w:pPr>
              <w:widowControl/>
              <w:jc w:val="center"/>
              <w:rPr>
                <w:snapToGrid/>
                <w:color w:val="000000"/>
                <w:sz w:val="20"/>
              </w:rPr>
            </w:pPr>
            <w:r w:rsidRPr="000D0AA6">
              <w:rPr>
                <w:snapToGrid/>
                <w:color w:val="000000"/>
                <w:sz w:val="20"/>
              </w:rPr>
              <w:t>4,000</w:t>
            </w:r>
          </w:p>
        </w:tc>
        <w:tc>
          <w:tcPr>
            <w:tcW w:w="1016" w:type="dxa"/>
            <w:tcBorders>
              <w:top w:val="nil"/>
              <w:left w:val="nil"/>
              <w:bottom w:val="single" w:sz="8" w:space="0" w:color="auto"/>
              <w:right w:val="single" w:sz="8" w:space="0" w:color="auto"/>
            </w:tcBorders>
            <w:shd w:val="clear" w:color="auto" w:fill="auto"/>
            <w:vAlign w:val="center"/>
            <w:hideMark/>
          </w:tcPr>
          <w:p w14:paraId="6F63B4F1" w14:textId="77777777" w:rsidR="000D0AA6" w:rsidRPr="000D0AA6" w:rsidRDefault="000D0AA6" w:rsidP="000D0AA6">
            <w:pPr>
              <w:widowControl/>
              <w:jc w:val="center"/>
              <w:rPr>
                <w:snapToGrid/>
                <w:color w:val="000000"/>
                <w:sz w:val="20"/>
              </w:rPr>
            </w:pPr>
            <w:r w:rsidRPr="000D0AA6">
              <w:rPr>
                <w:snapToGrid/>
                <w:color w:val="000000"/>
                <w:sz w:val="20"/>
              </w:rPr>
              <w:t>2,440,000</w:t>
            </w:r>
          </w:p>
        </w:tc>
        <w:tc>
          <w:tcPr>
            <w:tcW w:w="1116" w:type="dxa"/>
            <w:tcBorders>
              <w:top w:val="nil"/>
              <w:left w:val="nil"/>
              <w:bottom w:val="single" w:sz="8" w:space="0" w:color="auto"/>
              <w:right w:val="single" w:sz="8" w:space="0" w:color="auto"/>
            </w:tcBorders>
            <w:shd w:val="clear" w:color="auto" w:fill="auto"/>
            <w:vAlign w:val="center"/>
            <w:hideMark/>
          </w:tcPr>
          <w:p w14:paraId="5F217E61" w14:textId="77777777" w:rsidR="000D0AA6" w:rsidRPr="000D0AA6" w:rsidRDefault="000D0AA6" w:rsidP="000D0AA6">
            <w:pPr>
              <w:widowControl/>
              <w:jc w:val="center"/>
              <w:rPr>
                <w:snapToGrid/>
                <w:color w:val="000000"/>
                <w:sz w:val="20"/>
              </w:rPr>
            </w:pPr>
            <w:r w:rsidRPr="000D0AA6">
              <w:rPr>
                <w:snapToGrid/>
                <w:color w:val="000000"/>
                <w:sz w:val="20"/>
              </w:rPr>
              <w:t>0</w:t>
            </w:r>
          </w:p>
        </w:tc>
        <w:tc>
          <w:tcPr>
            <w:tcW w:w="2016" w:type="dxa"/>
            <w:tcBorders>
              <w:top w:val="nil"/>
              <w:left w:val="nil"/>
              <w:bottom w:val="single" w:sz="8" w:space="0" w:color="auto"/>
              <w:right w:val="single" w:sz="8" w:space="0" w:color="auto"/>
            </w:tcBorders>
            <w:shd w:val="clear" w:color="auto" w:fill="auto"/>
            <w:vAlign w:val="center"/>
            <w:hideMark/>
          </w:tcPr>
          <w:p w14:paraId="22FA40C2" w14:textId="77777777" w:rsidR="000D0AA6" w:rsidRPr="000D0AA6" w:rsidRDefault="000D0AA6" w:rsidP="000D0AA6">
            <w:pPr>
              <w:widowControl/>
              <w:jc w:val="center"/>
              <w:rPr>
                <w:snapToGrid/>
                <w:color w:val="000000"/>
                <w:sz w:val="20"/>
              </w:rPr>
            </w:pPr>
            <w:r w:rsidRPr="000D0AA6">
              <w:rPr>
                <w:snapToGrid/>
                <w:color w:val="000000"/>
                <w:sz w:val="20"/>
              </w:rPr>
              <w:t>234,669,440**</w:t>
            </w:r>
          </w:p>
        </w:tc>
        <w:tc>
          <w:tcPr>
            <w:tcW w:w="1216" w:type="dxa"/>
            <w:tcBorders>
              <w:top w:val="nil"/>
              <w:left w:val="nil"/>
              <w:bottom w:val="single" w:sz="8" w:space="0" w:color="auto"/>
              <w:right w:val="single" w:sz="8" w:space="0" w:color="auto"/>
            </w:tcBorders>
            <w:shd w:val="clear" w:color="auto" w:fill="auto"/>
            <w:vAlign w:val="center"/>
            <w:hideMark/>
          </w:tcPr>
          <w:p w14:paraId="75930D11" w14:textId="77777777" w:rsidR="000D0AA6" w:rsidRPr="000D0AA6" w:rsidRDefault="000D0AA6" w:rsidP="000D0AA6">
            <w:pPr>
              <w:widowControl/>
              <w:jc w:val="center"/>
              <w:rPr>
                <w:snapToGrid/>
                <w:color w:val="000000"/>
                <w:sz w:val="20"/>
              </w:rPr>
            </w:pPr>
            <w:r w:rsidRPr="000D0AA6">
              <w:rPr>
                <w:snapToGrid/>
                <w:color w:val="000000"/>
                <w:sz w:val="20"/>
              </w:rPr>
              <w:t>234,669,440</w:t>
            </w:r>
          </w:p>
        </w:tc>
      </w:tr>
      <w:tr w:rsidR="00FC18EA" w:rsidRPr="00D47256" w14:paraId="2931D35C" w14:textId="77777777" w:rsidTr="00E74807">
        <w:trPr>
          <w:trHeight w:val="300"/>
        </w:trPr>
        <w:tc>
          <w:tcPr>
            <w:tcW w:w="1333" w:type="dxa"/>
            <w:vMerge w:val="restart"/>
            <w:tcBorders>
              <w:top w:val="nil"/>
              <w:left w:val="single" w:sz="8" w:space="0" w:color="auto"/>
              <w:bottom w:val="single" w:sz="8" w:space="0" w:color="000000"/>
              <w:right w:val="single" w:sz="8" w:space="0" w:color="auto"/>
            </w:tcBorders>
            <w:shd w:val="clear" w:color="auto" w:fill="auto"/>
            <w:vAlign w:val="center"/>
            <w:hideMark/>
          </w:tcPr>
          <w:p w14:paraId="52D6A924" w14:textId="77777777" w:rsidR="000D0AA6" w:rsidRPr="000D0AA6" w:rsidRDefault="000D0AA6" w:rsidP="000D0AA6">
            <w:pPr>
              <w:widowControl/>
              <w:jc w:val="center"/>
              <w:rPr>
                <w:b/>
                <w:bCs/>
                <w:snapToGrid/>
                <w:color w:val="000000"/>
                <w:sz w:val="20"/>
              </w:rPr>
            </w:pPr>
            <w:r w:rsidRPr="000D0AA6">
              <w:rPr>
                <w:b/>
                <w:bCs/>
                <w:snapToGrid/>
                <w:color w:val="000000"/>
                <w:sz w:val="20"/>
              </w:rPr>
              <w:t>Total</w:t>
            </w: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10239C81" w14:textId="77777777" w:rsidR="000D0AA6" w:rsidRPr="000D0AA6" w:rsidRDefault="000D0AA6" w:rsidP="000D0AA6">
            <w:pPr>
              <w:widowControl/>
              <w:jc w:val="center"/>
              <w:rPr>
                <w:b/>
                <w:bCs/>
                <w:snapToGrid/>
                <w:color w:val="000000"/>
                <w:sz w:val="20"/>
              </w:rPr>
            </w:pPr>
            <w:r w:rsidRPr="000D0AA6">
              <w:rPr>
                <w:b/>
                <w:bCs/>
                <w:snapToGrid/>
                <w:color w:val="000000"/>
                <w:sz w:val="20"/>
              </w:rPr>
              <w:t>--</w:t>
            </w:r>
          </w:p>
        </w:tc>
        <w:tc>
          <w:tcPr>
            <w:tcW w:w="1127" w:type="dxa"/>
            <w:vMerge w:val="restart"/>
            <w:tcBorders>
              <w:top w:val="nil"/>
              <w:left w:val="single" w:sz="8" w:space="0" w:color="auto"/>
              <w:bottom w:val="single" w:sz="8" w:space="0" w:color="000000"/>
              <w:right w:val="single" w:sz="8" w:space="0" w:color="auto"/>
            </w:tcBorders>
            <w:shd w:val="clear" w:color="auto" w:fill="auto"/>
            <w:vAlign w:val="center"/>
            <w:hideMark/>
          </w:tcPr>
          <w:p w14:paraId="4137ACD9" w14:textId="77777777" w:rsidR="000D0AA6" w:rsidRPr="000D0AA6" w:rsidRDefault="000D0AA6" w:rsidP="000D0AA6">
            <w:pPr>
              <w:widowControl/>
              <w:jc w:val="center"/>
              <w:rPr>
                <w:b/>
                <w:bCs/>
                <w:snapToGrid/>
                <w:color w:val="000000"/>
                <w:sz w:val="20"/>
              </w:rPr>
            </w:pPr>
            <w:r w:rsidRPr="000D0AA6">
              <w:rPr>
                <w:b/>
                <w:bCs/>
                <w:snapToGrid/>
                <w:color w:val="000000"/>
                <w:sz w:val="20"/>
              </w:rPr>
              <w:t>--</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0FEECC37" w14:textId="77777777" w:rsidR="000D0AA6" w:rsidRPr="000D0AA6" w:rsidRDefault="000D0AA6" w:rsidP="000D0AA6">
            <w:pPr>
              <w:widowControl/>
              <w:jc w:val="center"/>
              <w:rPr>
                <w:b/>
                <w:bCs/>
                <w:snapToGrid/>
                <w:color w:val="000000"/>
                <w:sz w:val="20"/>
              </w:rPr>
            </w:pPr>
            <w:r w:rsidRPr="000D0AA6">
              <w:rPr>
                <w:b/>
                <w:bCs/>
                <w:snapToGrid/>
                <w:color w:val="000000"/>
                <w:sz w:val="20"/>
              </w:rPr>
              <w:t>610</w:t>
            </w:r>
          </w:p>
        </w:tc>
        <w:tc>
          <w:tcPr>
            <w:tcW w:w="1094" w:type="dxa"/>
            <w:vMerge w:val="restart"/>
            <w:tcBorders>
              <w:top w:val="nil"/>
              <w:left w:val="single" w:sz="8" w:space="0" w:color="auto"/>
              <w:bottom w:val="single" w:sz="8" w:space="0" w:color="000000"/>
              <w:right w:val="single" w:sz="8" w:space="0" w:color="auto"/>
            </w:tcBorders>
            <w:shd w:val="clear" w:color="auto" w:fill="auto"/>
            <w:vAlign w:val="center"/>
            <w:hideMark/>
          </w:tcPr>
          <w:p w14:paraId="571D031D" w14:textId="77777777" w:rsidR="000D0AA6" w:rsidRPr="000D0AA6" w:rsidRDefault="000D0AA6" w:rsidP="000D0AA6">
            <w:pPr>
              <w:widowControl/>
              <w:jc w:val="center"/>
              <w:rPr>
                <w:b/>
                <w:bCs/>
                <w:snapToGrid/>
                <w:color w:val="000000"/>
                <w:sz w:val="20"/>
              </w:rPr>
            </w:pPr>
            <w:r w:rsidRPr="000D0AA6">
              <w:rPr>
                <w:b/>
                <w:bCs/>
                <w:snapToGrid/>
                <w:color w:val="000000"/>
                <w:sz w:val="20"/>
              </w:rPr>
              <w:t>11,590</w:t>
            </w:r>
          </w:p>
        </w:tc>
        <w:tc>
          <w:tcPr>
            <w:tcW w:w="1017" w:type="dxa"/>
            <w:vMerge w:val="restart"/>
            <w:tcBorders>
              <w:top w:val="nil"/>
              <w:left w:val="single" w:sz="8" w:space="0" w:color="auto"/>
              <w:bottom w:val="single" w:sz="8" w:space="0" w:color="000000"/>
              <w:right w:val="single" w:sz="8" w:space="0" w:color="auto"/>
            </w:tcBorders>
            <w:shd w:val="clear" w:color="auto" w:fill="auto"/>
            <w:vAlign w:val="center"/>
            <w:hideMark/>
          </w:tcPr>
          <w:p w14:paraId="0F0D6507" w14:textId="77777777" w:rsidR="000D0AA6" w:rsidRPr="000D0AA6" w:rsidRDefault="000D0AA6" w:rsidP="000D0AA6">
            <w:pPr>
              <w:widowControl/>
              <w:jc w:val="center"/>
              <w:rPr>
                <w:b/>
                <w:bCs/>
                <w:snapToGrid/>
                <w:color w:val="000000"/>
                <w:sz w:val="20"/>
              </w:rPr>
            </w:pPr>
            <w:r w:rsidRPr="000D0AA6">
              <w:rPr>
                <w:b/>
                <w:bCs/>
                <w:snapToGrid/>
                <w:color w:val="000000"/>
                <w:sz w:val="20"/>
              </w:rPr>
              <w:t>--</w:t>
            </w:r>
          </w:p>
        </w:tc>
        <w:tc>
          <w:tcPr>
            <w:tcW w:w="1016" w:type="dxa"/>
            <w:vMerge w:val="restart"/>
            <w:tcBorders>
              <w:top w:val="nil"/>
              <w:left w:val="single" w:sz="8" w:space="0" w:color="auto"/>
              <w:bottom w:val="single" w:sz="8" w:space="0" w:color="000000"/>
              <w:right w:val="single" w:sz="8" w:space="0" w:color="auto"/>
            </w:tcBorders>
            <w:shd w:val="clear" w:color="auto" w:fill="auto"/>
            <w:vAlign w:val="center"/>
            <w:hideMark/>
          </w:tcPr>
          <w:p w14:paraId="0FE969D4" w14:textId="77777777" w:rsidR="000D0AA6" w:rsidRPr="000D0AA6" w:rsidRDefault="000D0AA6" w:rsidP="000D0AA6">
            <w:pPr>
              <w:widowControl/>
              <w:jc w:val="center"/>
              <w:rPr>
                <w:b/>
                <w:bCs/>
                <w:snapToGrid/>
                <w:color w:val="000000"/>
                <w:sz w:val="20"/>
              </w:rPr>
            </w:pPr>
            <w:r w:rsidRPr="000D0AA6">
              <w:rPr>
                <w:b/>
                <w:bCs/>
                <w:snapToGrid/>
                <w:color w:val="000000"/>
                <w:sz w:val="20"/>
              </w:rPr>
              <w:t>3,456,260</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14:paraId="088DAAE8" w14:textId="4DAE33F0" w:rsidR="000D0AA6" w:rsidRPr="000D0AA6" w:rsidRDefault="000D0AA6" w:rsidP="004E77F2">
            <w:pPr>
              <w:widowControl/>
              <w:jc w:val="center"/>
              <w:rPr>
                <w:b/>
                <w:bCs/>
                <w:snapToGrid/>
                <w:color w:val="000000"/>
                <w:sz w:val="20"/>
              </w:rPr>
            </w:pPr>
            <w:r w:rsidRPr="000D0AA6">
              <w:rPr>
                <w:b/>
                <w:bCs/>
                <w:snapToGrid/>
                <w:color w:val="000000"/>
                <w:sz w:val="20"/>
              </w:rPr>
              <w:t>94,109,</w:t>
            </w:r>
            <w:r w:rsidR="004E77F2" w:rsidRPr="00D47256">
              <w:rPr>
                <w:b/>
                <w:bCs/>
                <w:snapToGrid/>
                <w:color w:val="000000"/>
                <w:sz w:val="20"/>
              </w:rPr>
              <w:t>251</w:t>
            </w:r>
          </w:p>
        </w:tc>
        <w:tc>
          <w:tcPr>
            <w:tcW w:w="2016" w:type="dxa"/>
            <w:vMerge w:val="restart"/>
            <w:tcBorders>
              <w:top w:val="nil"/>
              <w:left w:val="single" w:sz="8" w:space="0" w:color="auto"/>
              <w:bottom w:val="single" w:sz="8" w:space="0" w:color="000000"/>
              <w:right w:val="single" w:sz="8" w:space="0" w:color="auto"/>
            </w:tcBorders>
            <w:shd w:val="clear" w:color="auto" w:fill="auto"/>
            <w:vAlign w:val="center"/>
            <w:hideMark/>
          </w:tcPr>
          <w:p w14:paraId="3DE2454C" w14:textId="77777777" w:rsidR="000D0AA6" w:rsidRPr="000D0AA6" w:rsidRDefault="000D0AA6" w:rsidP="000D0AA6">
            <w:pPr>
              <w:widowControl/>
              <w:jc w:val="center"/>
              <w:rPr>
                <w:b/>
                <w:bCs/>
                <w:snapToGrid/>
                <w:color w:val="000000"/>
                <w:sz w:val="20"/>
              </w:rPr>
            </w:pPr>
            <w:r w:rsidRPr="000D0AA6">
              <w:rPr>
                <w:b/>
                <w:bCs/>
                <w:snapToGrid/>
                <w:color w:val="000000"/>
                <w:sz w:val="20"/>
              </w:rPr>
              <w:t>234,669,440</w:t>
            </w:r>
          </w:p>
        </w:tc>
        <w:tc>
          <w:tcPr>
            <w:tcW w:w="1216" w:type="dxa"/>
            <w:vMerge w:val="restart"/>
            <w:tcBorders>
              <w:top w:val="nil"/>
              <w:left w:val="single" w:sz="8" w:space="0" w:color="auto"/>
              <w:bottom w:val="single" w:sz="8" w:space="0" w:color="000000"/>
              <w:right w:val="single" w:sz="8" w:space="0" w:color="auto"/>
            </w:tcBorders>
            <w:shd w:val="clear" w:color="auto" w:fill="auto"/>
            <w:vAlign w:val="center"/>
            <w:hideMark/>
          </w:tcPr>
          <w:p w14:paraId="2C89453C" w14:textId="30D5A84A" w:rsidR="000D0AA6" w:rsidRPr="000D0AA6" w:rsidRDefault="000D0AA6" w:rsidP="004E77F2">
            <w:pPr>
              <w:widowControl/>
              <w:jc w:val="center"/>
              <w:rPr>
                <w:b/>
                <w:bCs/>
                <w:snapToGrid/>
                <w:color w:val="000000"/>
                <w:sz w:val="20"/>
              </w:rPr>
            </w:pPr>
            <w:r w:rsidRPr="000D0AA6">
              <w:rPr>
                <w:b/>
                <w:bCs/>
                <w:snapToGrid/>
                <w:color w:val="000000"/>
                <w:sz w:val="20"/>
              </w:rPr>
              <w:t>328,77</w:t>
            </w:r>
            <w:r w:rsidR="004E77F2" w:rsidRPr="00D47256">
              <w:rPr>
                <w:b/>
                <w:bCs/>
                <w:snapToGrid/>
                <w:color w:val="000000"/>
                <w:sz w:val="20"/>
              </w:rPr>
              <w:t>8</w:t>
            </w:r>
            <w:r w:rsidRPr="000D0AA6">
              <w:rPr>
                <w:b/>
                <w:bCs/>
                <w:snapToGrid/>
                <w:color w:val="000000"/>
                <w:sz w:val="20"/>
              </w:rPr>
              <w:t>,</w:t>
            </w:r>
            <w:r w:rsidR="004E77F2" w:rsidRPr="00D47256">
              <w:rPr>
                <w:b/>
                <w:bCs/>
                <w:snapToGrid/>
                <w:color w:val="000000"/>
                <w:sz w:val="20"/>
              </w:rPr>
              <w:t>691</w:t>
            </w:r>
          </w:p>
        </w:tc>
      </w:tr>
      <w:tr w:rsidR="00892799" w:rsidRPr="00D47256" w14:paraId="1A60B887" w14:textId="77777777" w:rsidTr="007B7EE1">
        <w:trPr>
          <w:trHeight w:val="315"/>
        </w:trPr>
        <w:tc>
          <w:tcPr>
            <w:tcW w:w="1333" w:type="dxa"/>
            <w:vMerge/>
            <w:tcBorders>
              <w:top w:val="nil"/>
              <w:left w:val="single" w:sz="8" w:space="0" w:color="auto"/>
              <w:bottom w:val="single" w:sz="8" w:space="0" w:color="000000"/>
              <w:right w:val="single" w:sz="8" w:space="0" w:color="auto"/>
            </w:tcBorders>
            <w:vAlign w:val="center"/>
            <w:hideMark/>
          </w:tcPr>
          <w:p w14:paraId="77862B9D" w14:textId="77777777" w:rsidR="000D0AA6" w:rsidRPr="000D0AA6" w:rsidRDefault="000D0AA6" w:rsidP="000D0AA6">
            <w:pPr>
              <w:widowControl/>
              <w:rPr>
                <w:b/>
                <w:bCs/>
                <w:snapToGrid/>
                <w:color w:val="000000"/>
                <w:szCs w:val="24"/>
              </w:rPr>
            </w:pPr>
          </w:p>
        </w:tc>
        <w:tc>
          <w:tcPr>
            <w:tcW w:w="1683" w:type="dxa"/>
            <w:vMerge/>
            <w:tcBorders>
              <w:top w:val="nil"/>
              <w:left w:val="single" w:sz="8" w:space="0" w:color="auto"/>
              <w:bottom w:val="single" w:sz="8" w:space="0" w:color="000000"/>
              <w:right w:val="single" w:sz="8" w:space="0" w:color="auto"/>
            </w:tcBorders>
            <w:vAlign w:val="center"/>
            <w:hideMark/>
          </w:tcPr>
          <w:p w14:paraId="714412E7" w14:textId="77777777" w:rsidR="000D0AA6" w:rsidRPr="000D0AA6" w:rsidRDefault="000D0AA6" w:rsidP="000D0AA6">
            <w:pPr>
              <w:widowControl/>
              <w:rPr>
                <w:b/>
                <w:bCs/>
                <w:snapToGrid/>
                <w:color w:val="000000"/>
                <w:szCs w:val="24"/>
              </w:rPr>
            </w:pPr>
          </w:p>
        </w:tc>
        <w:tc>
          <w:tcPr>
            <w:tcW w:w="1127" w:type="dxa"/>
            <w:vMerge/>
            <w:tcBorders>
              <w:top w:val="nil"/>
              <w:left w:val="single" w:sz="8" w:space="0" w:color="auto"/>
              <w:bottom w:val="single" w:sz="8" w:space="0" w:color="000000"/>
              <w:right w:val="single" w:sz="8" w:space="0" w:color="auto"/>
            </w:tcBorders>
            <w:vAlign w:val="center"/>
            <w:hideMark/>
          </w:tcPr>
          <w:p w14:paraId="5B962546" w14:textId="77777777" w:rsidR="000D0AA6" w:rsidRPr="000D0AA6" w:rsidRDefault="000D0AA6" w:rsidP="000D0AA6">
            <w:pPr>
              <w:widowControl/>
              <w:rPr>
                <w:b/>
                <w:bCs/>
                <w:snapToGrid/>
                <w:color w:val="000000"/>
                <w:szCs w:val="24"/>
              </w:rPr>
            </w:pPr>
          </w:p>
        </w:tc>
        <w:tc>
          <w:tcPr>
            <w:tcW w:w="1306" w:type="dxa"/>
            <w:vMerge/>
            <w:tcBorders>
              <w:top w:val="nil"/>
              <w:left w:val="single" w:sz="8" w:space="0" w:color="auto"/>
              <w:bottom w:val="single" w:sz="8" w:space="0" w:color="000000"/>
              <w:right w:val="single" w:sz="8" w:space="0" w:color="auto"/>
            </w:tcBorders>
            <w:vAlign w:val="center"/>
            <w:hideMark/>
          </w:tcPr>
          <w:p w14:paraId="2A20C3ED" w14:textId="77777777" w:rsidR="000D0AA6" w:rsidRPr="000D0AA6" w:rsidRDefault="000D0AA6" w:rsidP="000D0AA6">
            <w:pPr>
              <w:widowControl/>
              <w:rPr>
                <w:b/>
                <w:bCs/>
                <w:snapToGrid/>
                <w:color w:val="000000"/>
                <w:szCs w:val="24"/>
              </w:rPr>
            </w:pPr>
          </w:p>
        </w:tc>
        <w:tc>
          <w:tcPr>
            <w:tcW w:w="1094" w:type="dxa"/>
            <w:vMerge/>
            <w:tcBorders>
              <w:top w:val="nil"/>
              <w:left w:val="single" w:sz="8" w:space="0" w:color="auto"/>
              <w:bottom w:val="single" w:sz="8" w:space="0" w:color="000000"/>
              <w:right w:val="single" w:sz="8" w:space="0" w:color="auto"/>
            </w:tcBorders>
            <w:vAlign w:val="center"/>
            <w:hideMark/>
          </w:tcPr>
          <w:p w14:paraId="4609183D" w14:textId="77777777" w:rsidR="000D0AA6" w:rsidRPr="000D0AA6" w:rsidRDefault="000D0AA6" w:rsidP="000D0AA6">
            <w:pPr>
              <w:widowControl/>
              <w:rPr>
                <w:b/>
                <w:bCs/>
                <w:snapToGrid/>
                <w:color w:val="000000"/>
                <w:szCs w:val="24"/>
              </w:rPr>
            </w:pPr>
          </w:p>
        </w:tc>
        <w:tc>
          <w:tcPr>
            <w:tcW w:w="1017" w:type="dxa"/>
            <w:vMerge/>
            <w:tcBorders>
              <w:top w:val="nil"/>
              <w:left w:val="single" w:sz="8" w:space="0" w:color="auto"/>
              <w:bottom w:val="single" w:sz="8" w:space="0" w:color="000000"/>
              <w:right w:val="single" w:sz="8" w:space="0" w:color="auto"/>
            </w:tcBorders>
            <w:vAlign w:val="center"/>
            <w:hideMark/>
          </w:tcPr>
          <w:p w14:paraId="65F3BE64" w14:textId="77777777" w:rsidR="000D0AA6" w:rsidRPr="000D0AA6" w:rsidRDefault="000D0AA6" w:rsidP="000D0AA6">
            <w:pPr>
              <w:widowControl/>
              <w:rPr>
                <w:b/>
                <w:bCs/>
                <w:snapToGrid/>
                <w:color w:val="000000"/>
                <w:szCs w:val="24"/>
              </w:rPr>
            </w:pPr>
          </w:p>
        </w:tc>
        <w:tc>
          <w:tcPr>
            <w:tcW w:w="1016" w:type="dxa"/>
            <w:vMerge/>
            <w:tcBorders>
              <w:top w:val="nil"/>
              <w:left w:val="single" w:sz="8" w:space="0" w:color="auto"/>
              <w:bottom w:val="single" w:sz="8" w:space="0" w:color="000000"/>
              <w:right w:val="single" w:sz="8" w:space="0" w:color="auto"/>
            </w:tcBorders>
            <w:vAlign w:val="center"/>
            <w:hideMark/>
          </w:tcPr>
          <w:p w14:paraId="52DBE130" w14:textId="77777777" w:rsidR="000D0AA6" w:rsidRPr="000D0AA6" w:rsidRDefault="000D0AA6" w:rsidP="000D0AA6">
            <w:pPr>
              <w:widowControl/>
              <w:rPr>
                <w:b/>
                <w:bCs/>
                <w:snapToGrid/>
                <w:color w:val="000000"/>
                <w:szCs w:val="24"/>
              </w:rPr>
            </w:pPr>
          </w:p>
        </w:tc>
        <w:tc>
          <w:tcPr>
            <w:tcW w:w="1116" w:type="dxa"/>
            <w:vMerge/>
            <w:tcBorders>
              <w:top w:val="nil"/>
              <w:left w:val="single" w:sz="8" w:space="0" w:color="auto"/>
              <w:bottom w:val="single" w:sz="8" w:space="0" w:color="000000"/>
              <w:right w:val="single" w:sz="8" w:space="0" w:color="auto"/>
            </w:tcBorders>
            <w:vAlign w:val="center"/>
            <w:hideMark/>
          </w:tcPr>
          <w:p w14:paraId="585AC6A0" w14:textId="77777777" w:rsidR="000D0AA6" w:rsidRPr="000D0AA6" w:rsidRDefault="000D0AA6" w:rsidP="000D0AA6">
            <w:pPr>
              <w:widowControl/>
              <w:rPr>
                <w:b/>
                <w:bCs/>
                <w:snapToGrid/>
                <w:color w:val="000000"/>
                <w:szCs w:val="24"/>
              </w:rPr>
            </w:pPr>
          </w:p>
        </w:tc>
        <w:tc>
          <w:tcPr>
            <w:tcW w:w="2016" w:type="dxa"/>
            <w:vMerge/>
            <w:tcBorders>
              <w:top w:val="nil"/>
              <w:left w:val="single" w:sz="8" w:space="0" w:color="auto"/>
              <w:bottom w:val="single" w:sz="8" w:space="0" w:color="000000"/>
              <w:right w:val="single" w:sz="8" w:space="0" w:color="auto"/>
            </w:tcBorders>
            <w:vAlign w:val="center"/>
            <w:hideMark/>
          </w:tcPr>
          <w:p w14:paraId="2D82E050" w14:textId="77777777" w:rsidR="000D0AA6" w:rsidRPr="000D0AA6" w:rsidRDefault="000D0AA6" w:rsidP="000D0AA6">
            <w:pPr>
              <w:widowControl/>
              <w:rPr>
                <w:b/>
                <w:bCs/>
                <w:snapToGrid/>
                <w:color w:val="000000"/>
                <w:szCs w:val="24"/>
              </w:rPr>
            </w:pPr>
          </w:p>
        </w:tc>
        <w:tc>
          <w:tcPr>
            <w:tcW w:w="1216" w:type="dxa"/>
            <w:vMerge/>
            <w:tcBorders>
              <w:top w:val="nil"/>
              <w:left w:val="single" w:sz="8" w:space="0" w:color="auto"/>
              <w:bottom w:val="single" w:sz="8" w:space="0" w:color="000000"/>
              <w:right w:val="single" w:sz="8" w:space="0" w:color="auto"/>
            </w:tcBorders>
            <w:vAlign w:val="center"/>
            <w:hideMark/>
          </w:tcPr>
          <w:p w14:paraId="10E41E07" w14:textId="77777777" w:rsidR="000D0AA6" w:rsidRPr="000D0AA6" w:rsidRDefault="000D0AA6" w:rsidP="000D0AA6">
            <w:pPr>
              <w:widowControl/>
              <w:rPr>
                <w:b/>
                <w:bCs/>
                <w:snapToGrid/>
                <w:color w:val="000000"/>
                <w:szCs w:val="24"/>
              </w:rPr>
            </w:pPr>
          </w:p>
        </w:tc>
      </w:tr>
    </w:tbl>
    <w:p w14:paraId="75FD9CAB" w14:textId="77777777" w:rsidR="00D37AFD" w:rsidRPr="00D47256" w:rsidRDefault="00D37AFD" w:rsidP="006676E1">
      <w:pPr>
        <w:tabs>
          <w:tab w:val="left" w:pos="1440"/>
        </w:tabs>
        <w:rPr>
          <w:szCs w:val="24"/>
        </w:rPr>
      </w:pPr>
    </w:p>
    <w:p w14:paraId="583F2536" w14:textId="77777777" w:rsidR="00E74807" w:rsidRPr="00D47256" w:rsidRDefault="00E74807" w:rsidP="00E74807">
      <w:pPr>
        <w:tabs>
          <w:tab w:val="left" w:pos="1440"/>
        </w:tabs>
        <w:rPr>
          <w:szCs w:val="24"/>
        </w:rPr>
      </w:pPr>
      <w:r w:rsidRPr="00D47256">
        <w:rPr>
          <w:szCs w:val="24"/>
        </w:rPr>
        <w:t>156,343 hours</w:t>
      </w:r>
      <w:r w:rsidRPr="00D47256">
        <w:rPr>
          <w:szCs w:val="24"/>
        </w:rPr>
        <w:tab/>
      </w:r>
      <w:r w:rsidRPr="00D47256">
        <w:rPr>
          <w:szCs w:val="24"/>
        </w:rPr>
        <w:tab/>
        <w:t>Currently approved burden (see 6/13/2014 Notice of Action)</w:t>
      </w:r>
    </w:p>
    <w:p w14:paraId="09835FC3" w14:textId="77777777" w:rsidR="00E74807" w:rsidRPr="00D47256" w:rsidRDefault="00E74807" w:rsidP="00E74807">
      <w:pPr>
        <w:tabs>
          <w:tab w:val="left" w:pos="1440"/>
        </w:tabs>
        <w:rPr>
          <w:szCs w:val="24"/>
        </w:rPr>
      </w:pPr>
      <w:r w:rsidRPr="00D47256">
        <w:rPr>
          <w:szCs w:val="24"/>
          <w:u w:val="single"/>
        </w:rPr>
        <w:t xml:space="preserve">+ </w:t>
      </w:r>
      <w:r w:rsidRPr="008C53E1">
        <w:rPr>
          <w:szCs w:val="24"/>
          <w:u w:val="single"/>
        </w:rPr>
        <w:t>3,456,260 hours</w:t>
      </w:r>
      <w:r w:rsidRPr="00D47256">
        <w:rPr>
          <w:szCs w:val="24"/>
        </w:rPr>
        <w:t xml:space="preserve"> </w:t>
      </w:r>
      <w:r w:rsidRPr="00D47256">
        <w:rPr>
          <w:szCs w:val="24"/>
        </w:rPr>
        <w:tab/>
        <w:t>Burden added under CMS-2345-FC</w:t>
      </w:r>
    </w:p>
    <w:p w14:paraId="0FFD78D6" w14:textId="77777777" w:rsidR="00E74807" w:rsidRPr="00D47256" w:rsidRDefault="00E74807" w:rsidP="00E74807">
      <w:pPr>
        <w:tabs>
          <w:tab w:val="left" w:pos="1440"/>
        </w:tabs>
        <w:rPr>
          <w:szCs w:val="24"/>
        </w:rPr>
      </w:pPr>
      <w:r w:rsidRPr="00D47256">
        <w:rPr>
          <w:szCs w:val="24"/>
        </w:rPr>
        <w:t>3,612,603 hours</w:t>
      </w:r>
      <w:r w:rsidRPr="00D47256">
        <w:rPr>
          <w:szCs w:val="24"/>
        </w:rPr>
        <w:tab/>
        <w:t>Revised burden estimate</w:t>
      </w:r>
    </w:p>
    <w:p w14:paraId="6926A507" w14:textId="77777777" w:rsidR="00BE32A7" w:rsidRPr="00D47256" w:rsidRDefault="00BE32A7" w:rsidP="006676E1">
      <w:pPr>
        <w:tabs>
          <w:tab w:val="left" w:pos="1440"/>
        </w:tabs>
        <w:rPr>
          <w:szCs w:val="24"/>
        </w:rPr>
      </w:pPr>
    </w:p>
    <w:p w14:paraId="45A75E09" w14:textId="6FB93681" w:rsidR="005913E1" w:rsidRPr="00D47256" w:rsidRDefault="005913E1" w:rsidP="00F356D8">
      <w:pPr>
        <w:tabs>
          <w:tab w:val="left" w:pos="810"/>
        </w:tabs>
        <w:rPr>
          <w:szCs w:val="24"/>
        </w:rPr>
      </w:pPr>
      <w:r w:rsidRPr="00D47256">
        <w:rPr>
          <w:szCs w:val="24"/>
        </w:rPr>
        <w:t>16.</w:t>
      </w:r>
      <w:r w:rsidRPr="00D47256">
        <w:rPr>
          <w:szCs w:val="24"/>
        </w:rPr>
        <w:tab/>
      </w:r>
      <w:r w:rsidRPr="00D47256">
        <w:rPr>
          <w:szCs w:val="24"/>
          <w:u w:val="single"/>
        </w:rPr>
        <w:t>Publication and Tabulation Data</w:t>
      </w:r>
    </w:p>
    <w:p w14:paraId="45A75E0A"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3B679EF" w14:textId="61FEC329" w:rsidR="00E74807" w:rsidRPr="00D47256" w:rsidRDefault="00E74807" w:rsidP="00E74807">
      <w:pPr>
        <w:tabs>
          <w:tab w:val="left" w:pos="1440"/>
        </w:tabs>
        <w:rPr>
          <w:szCs w:val="24"/>
        </w:rPr>
      </w:pPr>
      <w:r w:rsidRPr="00D47256">
        <w:rPr>
          <w:szCs w:val="24"/>
        </w:rPr>
        <w:t>There are no plans to publish the collected information.</w:t>
      </w:r>
    </w:p>
    <w:p w14:paraId="45A75E0C" w14:textId="77777777" w:rsidR="007D7BD7" w:rsidRPr="00D47256" w:rsidRDefault="007D7BD7" w:rsidP="00F356D8">
      <w:pPr>
        <w:tabs>
          <w:tab w:val="left" w:pos="1440"/>
        </w:tabs>
        <w:rPr>
          <w:szCs w:val="24"/>
        </w:rPr>
      </w:pPr>
    </w:p>
    <w:p w14:paraId="45A75E0D" w14:textId="6A906EE6" w:rsidR="005913E1" w:rsidRPr="00D47256" w:rsidRDefault="005913E1" w:rsidP="006676E1">
      <w:pPr>
        <w:tabs>
          <w:tab w:val="left" w:pos="720"/>
          <w:tab w:val="left" w:pos="1440"/>
        </w:tabs>
        <w:rPr>
          <w:szCs w:val="24"/>
        </w:rPr>
      </w:pPr>
      <w:r w:rsidRPr="00D47256">
        <w:rPr>
          <w:szCs w:val="24"/>
        </w:rPr>
        <w:t>17.</w:t>
      </w:r>
      <w:r w:rsidR="007D7BD7" w:rsidRPr="00D47256">
        <w:rPr>
          <w:szCs w:val="24"/>
        </w:rPr>
        <w:tab/>
      </w:r>
      <w:r w:rsidRPr="00D47256">
        <w:rPr>
          <w:szCs w:val="24"/>
          <w:u w:val="single"/>
        </w:rPr>
        <w:t>Display of Expiration Date</w:t>
      </w:r>
    </w:p>
    <w:p w14:paraId="45A75E0E"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8D37974" w14:textId="37F65A47" w:rsidR="00E74807" w:rsidRPr="00D47256" w:rsidRDefault="00E74807" w:rsidP="00E74807">
      <w:pPr>
        <w:tabs>
          <w:tab w:val="left" w:pos="1440"/>
        </w:tabs>
        <w:outlineLvl w:val="0"/>
        <w:rPr>
          <w:szCs w:val="24"/>
        </w:rPr>
      </w:pPr>
      <w:r w:rsidRPr="00D47256">
        <w:rPr>
          <w:szCs w:val="24"/>
        </w:rPr>
        <w:t>CMS will display the expiration date for OMB approval.</w:t>
      </w:r>
    </w:p>
    <w:p w14:paraId="33E715EE" w14:textId="77777777" w:rsidR="00E74807" w:rsidRPr="00D47256" w:rsidRDefault="00E74807" w:rsidP="00E74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3412D8B" w14:textId="77777777" w:rsidR="00E74807" w:rsidRPr="00D47256" w:rsidRDefault="00E74807" w:rsidP="00E74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18.</w:t>
      </w:r>
      <w:r w:rsidRPr="00D47256">
        <w:rPr>
          <w:szCs w:val="24"/>
        </w:rPr>
        <w:tab/>
      </w:r>
      <w:r w:rsidRPr="00D47256">
        <w:rPr>
          <w:szCs w:val="24"/>
          <w:u w:val="single"/>
        </w:rPr>
        <w:t>Exception to Certification Statement</w:t>
      </w:r>
    </w:p>
    <w:p w14:paraId="521602D6" w14:textId="77777777" w:rsidR="00DA3E08" w:rsidRPr="00D47256" w:rsidRDefault="00DA3E08" w:rsidP="00E74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FC2484E" w14:textId="77777777" w:rsidR="00E74807" w:rsidRPr="00D47256" w:rsidRDefault="00E74807" w:rsidP="00E74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We certify that this information collection complies with 5 CFR 1320.9. We do not seek any exemptions.</w:t>
      </w:r>
    </w:p>
    <w:p w14:paraId="7B5C88BC" w14:textId="77777777" w:rsidR="00E74807" w:rsidRPr="00D47256" w:rsidRDefault="00E74807" w:rsidP="00E74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7F6A18A" w14:textId="77777777" w:rsidR="00E74807" w:rsidRPr="00D47256" w:rsidRDefault="00E74807" w:rsidP="00E74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D47256">
        <w:rPr>
          <w:b/>
          <w:szCs w:val="24"/>
        </w:rPr>
        <w:t>B.</w:t>
      </w:r>
      <w:r w:rsidRPr="00D47256">
        <w:rPr>
          <w:b/>
          <w:szCs w:val="24"/>
        </w:rPr>
        <w:tab/>
        <w:t>Collections of Information Employing Statistical Methods</w:t>
      </w:r>
    </w:p>
    <w:p w14:paraId="3B9FEDBF" w14:textId="77777777" w:rsidR="00E74807" w:rsidRPr="00D47256" w:rsidRDefault="00E74807" w:rsidP="00E74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1707E39" w14:textId="5F7F64CD" w:rsidR="00E74807" w:rsidRPr="00D47256" w:rsidRDefault="00E74807" w:rsidP="00E74807">
      <w:pPr>
        <w:tabs>
          <w:tab w:val="left" w:pos="720"/>
        </w:tabs>
        <w:rPr>
          <w:szCs w:val="24"/>
        </w:rPr>
      </w:pPr>
      <w:r w:rsidRPr="00D47256">
        <w:rPr>
          <w:szCs w:val="24"/>
        </w:rPr>
        <w:t>CMS does not intend to employ statistical methods to the collected information.</w:t>
      </w:r>
    </w:p>
    <w:p w14:paraId="45A75E18" w14:textId="77777777" w:rsidR="005913E1" w:rsidRPr="00D47256" w:rsidRDefault="005913E1" w:rsidP="00E74807">
      <w:pPr>
        <w:tabs>
          <w:tab w:val="left" w:pos="1440"/>
        </w:tabs>
        <w:outlineLvl w:val="0"/>
        <w:rPr>
          <w:szCs w:val="24"/>
        </w:rPr>
      </w:pPr>
    </w:p>
    <w:sectPr w:rsidR="005913E1" w:rsidRPr="00D47256" w:rsidSect="00C0288B">
      <w:footerReference w:type="default" r:id="rId13"/>
      <w:endnotePr>
        <w:numFmt w:val="decimal"/>
      </w:endnotePr>
      <w:pgSz w:w="12240" w:h="15840"/>
      <w:pgMar w:top="720" w:right="720" w:bottom="720" w:left="720" w:header="1008"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069E0" w14:textId="77777777" w:rsidR="00E84320" w:rsidRDefault="00E84320" w:rsidP="00671CED">
      <w:r>
        <w:separator/>
      </w:r>
    </w:p>
  </w:endnote>
  <w:endnote w:type="continuationSeparator" w:id="0">
    <w:p w14:paraId="47F066F3" w14:textId="77777777" w:rsidR="00E84320" w:rsidRDefault="00E84320" w:rsidP="00671CED">
      <w:r>
        <w:continuationSeparator/>
      </w:r>
    </w:p>
  </w:endnote>
  <w:endnote w:type="continuationNotice" w:id="1">
    <w:p w14:paraId="5FD1DB67" w14:textId="77777777" w:rsidR="00E84320" w:rsidRDefault="00E84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97294"/>
      <w:docPartObj>
        <w:docPartGallery w:val="Page Numbers (Bottom of Page)"/>
        <w:docPartUnique/>
      </w:docPartObj>
    </w:sdtPr>
    <w:sdtEndPr>
      <w:rPr>
        <w:noProof/>
      </w:rPr>
    </w:sdtEndPr>
    <w:sdtContent>
      <w:p w14:paraId="23139DCE" w14:textId="19E53DDE" w:rsidR="00E84320" w:rsidRDefault="00E84320">
        <w:pPr>
          <w:pStyle w:val="Footer"/>
          <w:jc w:val="center"/>
        </w:pPr>
        <w:r>
          <w:fldChar w:fldCharType="begin"/>
        </w:r>
        <w:r>
          <w:instrText xml:space="preserve"> PAGE   \* MERGEFORMAT </w:instrText>
        </w:r>
        <w:r>
          <w:fldChar w:fldCharType="separate"/>
        </w:r>
        <w:r w:rsidR="00A700DB">
          <w:rPr>
            <w:noProof/>
          </w:rPr>
          <w:t>7</w:t>
        </w:r>
        <w:r>
          <w:rPr>
            <w:noProof/>
          </w:rPr>
          <w:fldChar w:fldCharType="end"/>
        </w:r>
      </w:p>
    </w:sdtContent>
  </w:sdt>
  <w:p w14:paraId="64BF3580" w14:textId="77777777" w:rsidR="00E84320" w:rsidRDefault="00E84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F396E" w14:textId="77777777" w:rsidR="00E84320" w:rsidRDefault="00E84320" w:rsidP="00671CED">
      <w:r>
        <w:separator/>
      </w:r>
    </w:p>
  </w:footnote>
  <w:footnote w:type="continuationSeparator" w:id="0">
    <w:p w14:paraId="6C8AFF8A" w14:textId="77777777" w:rsidR="00E84320" w:rsidRDefault="00E84320" w:rsidP="00671CED">
      <w:r>
        <w:continuationSeparator/>
      </w:r>
    </w:p>
  </w:footnote>
  <w:footnote w:type="continuationNotice" w:id="1">
    <w:p w14:paraId="0F24A6CE" w14:textId="77777777" w:rsidR="00E84320" w:rsidRDefault="00E8432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2786"/>
    <w:multiLevelType w:val="multilevel"/>
    <w:tmpl w:val="4B7C3C20"/>
    <w:lvl w:ilvl="0">
      <w:start w:val="1"/>
      <w:numFmt w:val="decimal"/>
      <w:pStyle w:val="Heading1"/>
      <w:lvlText w:val="C-%1"/>
      <w:lvlJc w:val="left"/>
      <w:pPr>
        <w:ind w:left="432" w:hanging="432"/>
      </w:pPr>
      <w:rPr>
        <w:rFonts w:hint="default"/>
      </w:rPr>
    </w:lvl>
    <w:lvl w:ilvl="1">
      <w:start w:val="1"/>
      <w:numFmt w:val="decimal"/>
      <w:pStyle w:val="Heading2"/>
      <w:lvlText w:val="C-%1.%2"/>
      <w:lvlJc w:val="left"/>
      <w:pPr>
        <w:ind w:left="576" w:hanging="576"/>
      </w:pPr>
      <w:rPr>
        <w:rFonts w:hint="default"/>
      </w:rPr>
    </w:lvl>
    <w:lvl w:ilvl="2">
      <w:start w:val="1"/>
      <w:numFmt w:val="decimal"/>
      <w:pStyle w:val="Heading3"/>
      <w:lvlText w:val="C-%1.%2.%3"/>
      <w:lvlJc w:val="left"/>
      <w:pPr>
        <w:ind w:left="720" w:hanging="720"/>
      </w:pPr>
      <w:rPr>
        <w:rFonts w:hint="default"/>
      </w:rPr>
    </w:lvl>
    <w:lvl w:ilvl="3">
      <w:start w:val="1"/>
      <w:numFmt w:val="decimal"/>
      <w:pStyle w:val="Heading4"/>
      <w:lvlText w:val="C-%1.%2.%3.%4"/>
      <w:lvlJc w:val="left"/>
      <w:pPr>
        <w:ind w:left="864" w:hanging="864"/>
      </w:pPr>
      <w:rPr>
        <w:rFonts w:hint="default"/>
      </w:rPr>
    </w:lvl>
    <w:lvl w:ilvl="4">
      <w:start w:val="1"/>
      <w:numFmt w:val="decimal"/>
      <w:pStyle w:val="Heading5"/>
      <w:lvlText w:val="C-%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4F5324B"/>
    <w:multiLevelType w:val="hybridMultilevel"/>
    <w:tmpl w:val="268AD8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A5708C"/>
    <w:multiLevelType w:val="hybridMultilevel"/>
    <w:tmpl w:val="6E7869C8"/>
    <w:lvl w:ilvl="0" w:tplc="7D768D8A">
      <w:start w:val="15"/>
      <w:numFmt w:val="decimal"/>
      <w:lvlText w:val="%1."/>
      <w:lvlJc w:val="left"/>
      <w:pPr>
        <w:tabs>
          <w:tab w:val="num" w:pos="1440"/>
        </w:tabs>
        <w:ind w:left="1440" w:hanging="6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15:restartNumberingAfterBreak="0">
    <w:nsid w:val="2026167D"/>
    <w:multiLevelType w:val="hybridMultilevel"/>
    <w:tmpl w:val="7F12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8723E5"/>
    <w:multiLevelType w:val="hybridMultilevel"/>
    <w:tmpl w:val="DEBA4A2A"/>
    <w:lvl w:ilvl="0" w:tplc="04090001">
      <w:start w:val="7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B746D"/>
    <w:multiLevelType w:val="singleLevel"/>
    <w:tmpl w:val="8B3CFE50"/>
    <w:lvl w:ilvl="0">
      <w:start w:val="1"/>
      <w:numFmt w:val="upperLetter"/>
      <w:lvlText w:val="%1."/>
      <w:lvlJc w:val="left"/>
      <w:pPr>
        <w:tabs>
          <w:tab w:val="num" w:pos="720"/>
        </w:tabs>
        <w:ind w:left="720" w:hanging="720"/>
      </w:pPr>
      <w:rPr>
        <w:rFonts w:hint="default"/>
        <w:u w:val="none"/>
      </w:rPr>
    </w:lvl>
  </w:abstractNum>
  <w:num w:numId="1">
    <w:abstractNumId w:val="5"/>
  </w:num>
  <w:num w:numId="2">
    <w:abstractNumId w:val="2"/>
  </w:num>
  <w:num w:numId="3">
    <w:abstractNumId w:val="1"/>
  </w:num>
  <w:num w:numId="4">
    <w:abstractNumId w:val="0"/>
  </w:num>
  <w:num w:numId="5">
    <w:abstractNumId w:val="0"/>
    <w:lvlOverride w:ilvl="0">
      <w:lvl w:ilvl="0">
        <w:start w:val="1"/>
        <w:numFmt w:val="decimal"/>
        <w:pStyle w:val="Heading1"/>
        <w:lvlText w:val="C-%1"/>
        <w:lvlJc w:val="left"/>
        <w:pPr>
          <w:ind w:left="432" w:hanging="432"/>
        </w:pPr>
        <w:rPr>
          <w:rFonts w:hint="default"/>
        </w:rPr>
      </w:lvl>
    </w:lvlOverride>
    <w:lvlOverride w:ilvl="1">
      <w:lvl w:ilvl="1">
        <w:start w:val="1"/>
        <w:numFmt w:val="decimal"/>
        <w:pStyle w:val="Heading2"/>
        <w:lvlText w:val="C-%1.%2"/>
        <w:lvlJc w:val="left"/>
        <w:pPr>
          <w:ind w:left="576" w:hanging="576"/>
        </w:pPr>
        <w:rPr>
          <w:rFonts w:hint="default"/>
        </w:rPr>
      </w:lvl>
    </w:lvlOverride>
    <w:lvlOverride w:ilvl="2">
      <w:lvl w:ilvl="2">
        <w:start w:val="1"/>
        <w:numFmt w:val="decimal"/>
        <w:pStyle w:val="Heading3"/>
        <w:lvlText w:val="C-%1.%2.%3"/>
        <w:lvlJc w:val="left"/>
        <w:pPr>
          <w:ind w:left="720" w:hanging="720"/>
        </w:pPr>
        <w:rPr>
          <w:rFonts w:hint="default"/>
        </w:rPr>
      </w:lvl>
    </w:lvlOverride>
    <w:lvlOverride w:ilvl="3">
      <w:lvl w:ilvl="3">
        <w:start w:val="1"/>
        <w:numFmt w:val="decimal"/>
        <w:pStyle w:val="Heading4"/>
        <w:lvlText w:val="C-%1.%2.%3.%4"/>
        <w:lvlJc w:val="left"/>
        <w:pPr>
          <w:ind w:left="864" w:hanging="864"/>
        </w:pPr>
        <w:rPr>
          <w:rFonts w:hint="default"/>
        </w:rPr>
      </w:lvl>
    </w:lvlOverride>
    <w:lvlOverride w:ilvl="4">
      <w:lvl w:ilvl="4">
        <w:start w:val="1"/>
        <w:numFmt w:val="decimal"/>
        <w:pStyle w:val="Heading5"/>
        <w:lvlText w:val="C-%1.%2.%3.%4.%5"/>
        <w:lvlJc w:val="left"/>
        <w:pPr>
          <w:ind w:left="1008" w:hanging="1008"/>
        </w:pPr>
        <w:rPr>
          <w:rFonts w:hint="default"/>
        </w:rPr>
      </w:lvl>
    </w:lvlOverride>
    <w:lvlOverride w:ilvl="5">
      <w:lvl w:ilvl="5">
        <w:start w:val="1"/>
        <w:numFmt w:val="decimal"/>
        <w:pStyle w:val="Heading6"/>
        <w:lvlText w:val="C-%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E1"/>
    <w:rsid w:val="00002112"/>
    <w:rsid w:val="00006D5A"/>
    <w:rsid w:val="0001610C"/>
    <w:rsid w:val="00021331"/>
    <w:rsid w:val="0003290A"/>
    <w:rsid w:val="00036D67"/>
    <w:rsid w:val="0003739A"/>
    <w:rsid w:val="00040D36"/>
    <w:rsid w:val="00045AB8"/>
    <w:rsid w:val="00047F32"/>
    <w:rsid w:val="00054E66"/>
    <w:rsid w:val="00057999"/>
    <w:rsid w:val="000622E1"/>
    <w:rsid w:val="00063B13"/>
    <w:rsid w:val="00063C7C"/>
    <w:rsid w:val="00066336"/>
    <w:rsid w:val="0007100E"/>
    <w:rsid w:val="00072A9F"/>
    <w:rsid w:val="00072E00"/>
    <w:rsid w:val="0007588A"/>
    <w:rsid w:val="00083F73"/>
    <w:rsid w:val="00090D16"/>
    <w:rsid w:val="000919F7"/>
    <w:rsid w:val="00091C50"/>
    <w:rsid w:val="00095BCC"/>
    <w:rsid w:val="000975DF"/>
    <w:rsid w:val="000A0527"/>
    <w:rsid w:val="000A32E6"/>
    <w:rsid w:val="000A35B1"/>
    <w:rsid w:val="000B0744"/>
    <w:rsid w:val="000B4192"/>
    <w:rsid w:val="000B41CF"/>
    <w:rsid w:val="000C3241"/>
    <w:rsid w:val="000C62FE"/>
    <w:rsid w:val="000D0AA6"/>
    <w:rsid w:val="000D1370"/>
    <w:rsid w:val="000D14CE"/>
    <w:rsid w:val="000D77F9"/>
    <w:rsid w:val="000E5866"/>
    <w:rsid w:val="000F0032"/>
    <w:rsid w:val="000F02F3"/>
    <w:rsid w:val="000F04D0"/>
    <w:rsid w:val="000F2395"/>
    <w:rsid w:val="000F2D8D"/>
    <w:rsid w:val="000F4826"/>
    <w:rsid w:val="00100CD6"/>
    <w:rsid w:val="001032FF"/>
    <w:rsid w:val="001045BD"/>
    <w:rsid w:val="001100E0"/>
    <w:rsid w:val="00115FD4"/>
    <w:rsid w:val="00123832"/>
    <w:rsid w:val="00125BFC"/>
    <w:rsid w:val="0013039E"/>
    <w:rsid w:val="0013371A"/>
    <w:rsid w:val="001364CA"/>
    <w:rsid w:val="00153AF5"/>
    <w:rsid w:val="00154067"/>
    <w:rsid w:val="00155E38"/>
    <w:rsid w:val="0015646D"/>
    <w:rsid w:val="00162290"/>
    <w:rsid w:val="00171E5B"/>
    <w:rsid w:val="001728C8"/>
    <w:rsid w:val="001729A1"/>
    <w:rsid w:val="00175C39"/>
    <w:rsid w:val="00175FB3"/>
    <w:rsid w:val="00177296"/>
    <w:rsid w:val="00193557"/>
    <w:rsid w:val="001A28B7"/>
    <w:rsid w:val="001A565C"/>
    <w:rsid w:val="001C00A2"/>
    <w:rsid w:val="001C4191"/>
    <w:rsid w:val="001D3040"/>
    <w:rsid w:val="001D4443"/>
    <w:rsid w:val="001D4EE2"/>
    <w:rsid w:val="001D669F"/>
    <w:rsid w:val="001E45EC"/>
    <w:rsid w:val="001E49CF"/>
    <w:rsid w:val="001F063B"/>
    <w:rsid w:val="001F41B8"/>
    <w:rsid w:val="001F500A"/>
    <w:rsid w:val="00200D1A"/>
    <w:rsid w:val="00200F08"/>
    <w:rsid w:val="002108BE"/>
    <w:rsid w:val="00211D7B"/>
    <w:rsid w:val="00212151"/>
    <w:rsid w:val="00221218"/>
    <w:rsid w:val="002217B5"/>
    <w:rsid w:val="00224730"/>
    <w:rsid w:val="00225955"/>
    <w:rsid w:val="002276B0"/>
    <w:rsid w:val="00227940"/>
    <w:rsid w:val="00237321"/>
    <w:rsid w:val="002374BB"/>
    <w:rsid w:val="002415B3"/>
    <w:rsid w:val="00244B22"/>
    <w:rsid w:val="0024563D"/>
    <w:rsid w:val="002466CB"/>
    <w:rsid w:val="0024797E"/>
    <w:rsid w:val="00247B83"/>
    <w:rsid w:val="0025233B"/>
    <w:rsid w:val="002535EE"/>
    <w:rsid w:val="00265DB4"/>
    <w:rsid w:val="0026634F"/>
    <w:rsid w:val="00266F3D"/>
    <w:rsid w:val="00267633"/>
    <w:rsid w:val="00273872"/>
    <w:rsid w:val="002746F4"/>
    <w:rsid w:val="0028689A"/>
    <w:rsid w:val="0028700E"/>
    <w:rsid w:val="0029117C"/>
    <w:rsid w:val="00291390"/>
    <w:rsid w:val="00291C4D"/>
    <w:rsid w:val="0029281C"/>
    <w:rsid w:val="00292DC7"/>
    <w:rsid w:val="00295299"/>
    <w:rsid w:val="002959E4"/>
    <w:rsid w:val="00296BD1"/>
    <w:rsid w:val="00296C1B"/>
    <w:rsid w:val="002A2819"/>
    <w:rsid w:val="002A52CA"/>
    <w:rsid w:val="002A68CF"/>
    <w:rsid w:val="002B1098"/>
    <w:rsid w:val="002B2D09"/>
    <w:rsid w:val="002B2FCC"/>
    <w:rsid w:val="002B3D46"/>
    <w:rsid w:val="002B4E02"/>
    <w:rsid w:val="002C00E4"/>
    <w:rsid w:val="002C24E1"/>
    <w:rsid w:val="002C25D1"/>
    <w:rsid w:val="002C26E2"/>
    <w:rsid w:val="002C70CA"/>
    <w:rsid w:val="002D08C1"/>
    <w:rsid w:val="002D2894"/>
    <w:rsid w:val="002D312C"/>
    <w:rsid w:val="002E3FAF"/>
    <w:rsid w:val="002E3FCB"/>
    <w:rsid w:val="002E4CE4"/>
    <w:rsid w:val="002F0BA6"/>
    <w:rsid w:val="002F311C"/>
    <w:rsid w:val="00304DD3"/>
    <w:rsid w:val="00305929"/>
    <w:rsid w:val="003067F4"/>
    <w:rsid w:val="0031219B"/>
    <w:rsid w:val="003123CB"/>
    <w:rsid w:val="00315918"/>
    <w:rsid w:val="00316520"/>
    <w:rsid w:val="00320E9E"/>
    <w:rsid w:val="00324248"/>
    <w:rsid w:val="00324D35"/>
    <w:rsid w:val="0033230A"/>
    <w:rsid w:val="003364B1"/>
    <w:rsid w:val="003379C9"/>
    <w:rsid w:val="0034512C"/>
    <w:rsid w:val="00345C0E"/>
    <w:rsid w:val="0034630F"/>
    <w:rsid w:val="0034727E"/>
    <w:rsid w:val="003476AE"/>
    <w:rsid w:val="00352814"/>
    <w:rsid w:val="003528B7"/>
    <w:rsid w:val="00353000"/>
    <w:rsid w:val="00356765"/>
    <w:rsid w:val="0036024F"/>
    <w:rsid w:val="0036565C"/>
    <w:rsid w:val="0036723E"/>
    <w:rsid w:val="00370D01"/>
    <w:rsid w:val="00372736"/>
    <w:rsid w:val="00372B1E"/>
    <w:rsid w:val="00373070"/>
    <w:rsid w:val="00373B95"/>
    <w:rsid w:val="003745E7"/>
    <w:rsid w:val="0037740E"/>
    <w:rsid w:val="003857E5"/>
    <w:rsid w:val="00393953"/>
    <w:rsid w:val="003949A0"/>
    <w:rsid w:val="00397CA3"/>
    <w:rsid w:val="003A220D"/>
    <w:rsid w:val="003A31D1"/>
    <w:rsid w:val="003A6BD8"/>
    <w:rsid w:val="003B5423"/>
    <w:rsid w:val="003B63CA"/>
    <w:rsid w:val="003B70A0"/>
    <w:rsid w:val="003B7484"/>
    <w:rsid w:val="003C406F"/>
    <w:rsid w:val="003C5787"/>
    <w:rsid w:val="003C687E"/>
    <w:rsid w:val="003D3520"/>
    <w:rsid w:val="003D450A"/>
    <w:rsid w:val="003D5B42"/>
    <w:rsid w:val="003D7310"/>
    <w:rsid w:val="003E0733"/>
    <w:rsid w:val="003E25FF"/>
    <w:rsid w:val="003F6113"/>
    <w:rsid w:val="00401416"/>
    <w:rsid w:val="00403CBD"/>
    <w:rsid w:val="004066EE"/>
    <w:rsid w:val="00406ABB"/>
    <w:rsid w:val="00411F55"/>
    <w:rsid w:val="00415212"/>
    <w:rsid w:val="00422574"/>
    <w:rsid w:val="0042267F"/>
    <w:rsid w:val="004255BA"/>
    <w:rsid w:val="00427820"/>
    <w:rsid w:val="0043552A"/>
    <w:rsid w:val="004462CE"/>
    <w:rsid w:val="00447D7A"/>
    <w:rsid w:val="00450655"/>
    <w:rsid w:val="0045295C"/>
    <w:rsid w:val="00456788"/>
    <w:rsid w:val="0046077F"/>
    <w:rsid w:val="00460F7D"/>
    <w:rsid w:val="00461F4E"/>
    <w:rsid w:val="00471A1C"/>
    <w:rsid w:val="00472137"/>
    <w:rsid w:val="00476023"/>
    <w:rsid w:val="00477AB8"/>
    <w:rsid w:val="0048145A"/>
    <w:rsid w:val="00485747"/>
    <w:rsid w:val="004932A5"/>
    <w:rsid w:val="00497BBE"/>
    <w:rsid w:val="004A0705"/>
    <w:rsid w:val="004A3035"/>
    <w:rsid w:val="004B2B29"/>
    <w:rsid w:val="004B34A5"/>
    <w:rsid w:val="004B3BEA"/>
    <w:rsid w:val="004B4FBE"/>
    <w:rsid w:val="004C10FD"/>
    <w:rsid w:val="004C5582"/>
    <w:rsid w:val="004C5694"/>
    <w:rsid w:val="004C6C75"/>
    <w:rsid w:val="004D032E"/>
    <w:rsid w:val="004D1FD0"/>
    <w:rsid w:val="004D3D1E"/>
    <w:rsid w:val="004D3FFA"/>
    <w:rsid w:val="004D4A1E"/>
    <w:rsid w:val="004E014F"/>
    <w:rsid w:val="004E45E2"/>
    <w:rsid w:val="004E4746"/>
    <w:rsid w:val="004E69F6"/>
    <w:rsid w:val="004E6FF3"/>
    <w:rsid w:val="004E77F2"/>
    <w:rsid w:val="004E7E6C"/>
    <w:rsid w:val="004F2B35"/>
    <w:rsid w:val="00501182"/>
    <w:rsid w:val="00503477"/>
    <w:rsid w:val="00505783"/>
    <w:rsid w:val="0050631C"/>
    <w:rsid w:val="00512548"/>
    <w:rsid w:val="00513751"/>
    <w:rsid w:val="00513C8D"/>
    <w:rsid w:val="00521E9E"/>
    <w:rsid w:val="0052207D"/>
    <w:rsid w:val="0052353D"/>
    <w:rsid w:val="00525CCC"/>
    <w:rsid w:val="005333CD"/>
    <w:rsid w:val="005417B5"/>
    <w:rsid w:val="00545361"/>
    <w:rsid w:val="00546AC0"/>
    <w:rsid w:val="00550DAE"/>
    <w:rsid w:val="005528F6"/>
    <w:rsid w:val="005539BE"/>
    <w:rsid w:val="00554566"/>
    <w:rsid w:val="00557A40"/>
    <w:rsid w:val="005627A5"/>
    <w:rsid w:val="005726EB"/>
    <w:rsid w:val="0058081C"/>
    <w:rsid w:val="00583DFA"/>
    <w:rsid w:val="00587C1E"/>
    <w:rsid w:val="005907AC"/>
    <w:rsid w:val="005913E1"/>
    <w:rsid w:val="00596A16"/>
    <w:rsid w:val="005A093A"/>
    <w:rsid w:val="005A1618"/>
    <w:rsid w:val="005A327D"/>
    <w:rsid w:val="005A4650"/>
    <w:rsid w:val="005B05AF"/>
    <w:rsid w:val="005B172D"/>
    <w:rsid w:val="005B2252"/>
    <w:rsid w:val="005B2483"/>
    <w:rsid w:val="005B4904"/>
    <w:rsid w:val="005B584E"/>
    <w:rsid w:val="005B5C70"/>
    <w:rsid w:val="005C2463"/>
    <w:rsid w:val="005C34B0"/>
    <w:rsid w:val="005C4B75"/>
    <w:rsid w:val="005D0D4F"/>
    <w:rsid w:val="005D3396"/>
    <w:rsid w:val="005D54D2"/>
    <w:rsid w:val="005D7098"/>
    <w:rsid w:val="005E29B0"/>
    <w:rsid w:val="005E4492"/>
    <w:rsid w:val="005E667F"/>
    <w:rsid w:val="005F2860"/>
    <w:rsid w:val="005F3C7A"/>
    <w:rsid w:val="005F438E"/>
    <w:rsid w:val="006012DB"/>
    <w:rsid w:val="00603D7B"/>
    <w:rsid w:val="0060481E"/>
    <w:rsid w:val="00605B6C"/>
    <w:rsid w:val="00611710"/>
    <w:rsid w:val="00611CEB"/>
    <w:rsid w:val="00615D41"/>
    <w:rsid w:val="006167D9"/>
    <w:rsid w:val="006171EA"/>
    <w:rsid w:val="00620EB4"/>
    <w:rsid w:val="006235D0"/>
    <w:rsid w:val="006260B6"/>
    <w:rsid w:val="00631697"/>
    <w:rsid w:val="006360A4"/>
    <w:rsid w:val="00636A49"/>
    <w:rsid w:val="00642DD8"/>
    <w:rsid w:val="00650382"/>
    <w:rsid w:val="0065311F"/>
    <w:rsid w:val="006539C3"/>
    <w:rsid w:val="00656DC8"/>
    <w:rsid w:val="006578C7"/>
    <w:rsid w:val="00665646"/>
    <w:rsid w:val="0066639F"/>
    <w:rsid w:val="006676E1"/>
    <w:rsid w:val="00667CD9"/>
    <w:rsid w:val="006712DA"/>
    <w:rsid w:val="0067174A"/>
    <w:rsid w:val="00671CED"/>
    <w:rsid w:val="006729D7"/>
    <w:rsid w:val="00672F89"/>
    <w:rsid w:val="0067515F"/>
    <w:rsid w:val="00682DE6"/>
    <w:rsid w:val="006905AB"/>
    <w:rsid w:val="0069372F"/>
    <w:rsid w:val="00697A4F"/>
    <w:rsid w:val="006A1EB6"/>
    <w:rsid w:val="006A6A4C"/>
    <w:rsid w:val="006B37BC"/>
    <w:rsid w:val="006B77BC"/>
    <w:rsid w:val="006B7950"/>
    <w:rsid w:val="006C1E17"/>
    <w:rsid w:val="006C2E33"/>
    <w:rsid w:val="006C344A"/>
    <w:rsid w:val="006C39B8"/>
    <w:rsid w:val="006C549F"/>
    <w:rsid w:val="006E08E5"/>
    <w:rsid w:val="006E260D"/>
    <w:rsid w:val="006E5BF8"/>
    <w:rsid w:val="006E6518"/>
    <w:rsid w:val="006E7A0E"/>
    <w:rsid w:val="006F0FC9"/>
    <w:rsid w:val="006F34D5"/>
    <w:rsid w:val="00713A23"/>
    <w:rsid w:val="0071476A"/>
    <w:rsid w:val="00721919"/>
    <w:rsid w:val="00724085"/>
    <w:rsid w:val="00730405"/>
    <w:rsid w:val="007311FD"/>
    <w:rsid w:val="00731B70"/>
    <w:rsid w:val="007376D6"/>
    <w:rsid w:val="00740DC9"/>
    <w:rsid w:val="007427A1"/>
    <w:rsid w:val="00742846"/>
    <w:rsid w:val="007443A9"/>
    <w:rsid w:val="00744EEA"/>
    <w:rsid w:val="0075323A"/>
    <w:rsid w:val="007547C0"/>
    <w:rsid w:val="0075557F"/>
    <w:rsid w:val="007600A1"/>
    <w:rsid w:val="00762307"/>
    <w:rsid w:val="00773A33"/>
    <w:rsid w:val="00777103"/>
    <w:rsid w:val="00784AF6"/>
    <w:rsid w:val="00785138"/>
    <w:rsid w:val="007879EA"/>
    <w:rsid w:val="00791AD3"/>
    <w:rsid w:val="0079440F"/>
    <w:rsid w:val="00795654"/>
    <w:rsid w:val="007A00DD"/>
    <w:rsid w:val="007A2DFD"/>
    <w:rsid w:val="007A5811"/>
    <w:rsid w:val="007A7E00"/>
    <w:rsid w:val="007B5CF1"/>
    <w:rsid w:val="007B7EE1"/>
    <w:rsid w:val="007C1987"/>
    <w:rsid w:val="007C3C4F"/>
    <w:rsid w:val="007C4D74"/>
    <w:rsid w:val="007C5641"/>
    <w:rsid w:val="007C758F"/>
    <w:rsid w:val="007C774B"/>
    <w:rsid w:val="007D0371"/>
    <w:rsid w:val="007D7BD7"/>
    <w:rsid w:val="007E29C6"/>
    <w:rsid w:val="007E38EA"/>
    <w:rsid w:val="007E5118"/>
    <w:rsid w:val="007F5BAD"/>
    <w:rsid w:val="007F6CA8"/>
    <w:rsid w:val="007F6F13"/>
    <w:rsid w:val="008053BE"/>
    <w:rsid w:val="008138CD"/>
    <w:rsid w:val="00820DE2"/>
    <w:rsid w:val="00820E0F"/>
    <w:rsid w:val="00821622"/>
    <w:rsid w:val="0082575D"/>
    <w:rsid w:val="00831366"/>
    <w:rsid w:val="008361CC"/>
    <w:rsid w:val="008366C1"/>
    <w:rsid w:val="00840F55"/>
    <w:rsid w:val="0084585F"/>
    <w:rsid w:val="00846C03"/>
    <w:rsid w:val="00846C13"/>
    <w:rsid w:val="00846C38"/>
    <w:rsid w:val="0085725A"/>
    <w:rsid w:val="008644E7"/>
    <w:rsid w:val="00865102"/>
    <w:rsid w:val="008659B3"/>
    <w:rsid w:val="00873800"/>
    <w:rsid w:val="00881D48"/>
    <w:rsid w:val="00886B3A"/>
    <w:rsid w:val="00886B6B"/>
    <w:rsid w:val="00887BE4"/>
    <w:rsid w:val="00892297"/>
    <w:rsid w:val="00892799"/>
    <w:rsid w:val="0089733D"/>
    <w:rsid w:val="008A1DE2"/>
    <w:rsid w:val="008A3226"/>
    <w:rsid w:val="008B1A77"/>
    <w:rsid w:val="008B2449"/>
    <w:rsid w:val="008B2A44"/>
    <w:rsid w:val="008C2DC8"/>
    <w:rsid w:val="008C53E1"/>
    <w:rsid w:val="008C54BB"/>
    <w:rsid w:val="008C6FAF"/>
    <w:rsid w:val="008D7273"/>
    <w:rsid w:val="008D72F9"/>
    <w:rsid w:val="008E32C8"/>
    <w:rsid w:val="008E751C"/>
    <w:rsid w:val="008F0DF0"/>
    <w:rsid w:val="008F1A5A"/>
    <w:rsid w:val="008F4041"/>
    <w:rsid w:val="008F4F87"/>
    <w:rsid w:val="0090420E"/>
    <w:rsid w:val="009100CD"/>
    <w:rsid w:val="009105F2"/>
    <w:rsid w:val="0091305C"/>
    <w:rsid w:val="009139BE"/>
    <w:rsid w:val="009144B7"/>
    <w:rsid w:val="00914FE3"/>
    <w:rsid w:val="00917259"/>
    <w:rsid w:val="00922B0E"/>
    <w:rsid w:val="00936639"/>
    <w:rsid w:val="00943134"/>
    <w:rsid w:val="009479C6"/>
    <w:rsid w:val="00947B24"/>
    <w:rsid w:val="009507C2"/>
    <w:rsid w:val="009544A4"/>
    <w:rsid w:val="00954651"/>
    <w:rsid w:val="009564D8"/>
    <w:rsid w:val="00957CC6"/>
    <w:rsid w:val="00957DA6"/>
    <w:rsid w:val="009617FA"/>
    <w:rsid w:val="00961F04"/>
    <w:rsid w:val="00967FF2"/>
    <w:rsid w:val="009738B5"/>
    <w:rsid w:val="009742F8"/>
    <w:rsid w:val="009873C7"/>
    <w:rsid w:val="0099483B"/>
    <w:rsid w:val="00996F94"/>
    <w:rsid w:val="0099753D"/>
    <w:rsid w:val="009A457B"/>
    <w:rsid w:val="009B41DF"/>
    <w:rsid w:val="009B5CBF"/>
    <w:rsid w:val="009B662F"/>
    <w:rsid w:val="009C44B3"/>
    <w:rsid w:val="009C570C"/>
    <w:rsid w:val="009D05DD"/>
    <w:rsid w:val="009D062B"/>
    <w:rsid w:val="009D111A"/>
    <w:rsid w:val="009D4405"/>
    <w:rsid w:val="009D7ACB"/>
    <w:rsid w:val="009D7CCB"/>
    <w:rsid w:val="009E1A30"/>
    <w:rsid w:val="009E1AB3"/>
    <w:rsid w:val="009E5BA3"/>
    <w:rsid w:val="009E6B0C"/>
    <w:rsid w:val="009F4770"/>
    <w:rsid w:val="009F5090"/>
    <w:rsid w:val="00A02334"/>
    <w:rsid w:val="00A1038B"/>
    <w:rsid w:val="00A106B3"/>
    <w:rsid w:val="00A11C5C"/>
    <w:rsid w:val="00A14893"/>
    <w:rsid w:val="00A14E0D"/>
    <w:rsid w:val="00A20E61"/>
    <w:rsid w:val="00A24E06"/>
    <w:rsid w:val="00A25531"/>
    <w:rsid w:val="00A27AB6"/>
    <w:rsid w:val="00A35352"/>
    <w:rsid w:val="00A4319A"/>
    <w:rsid w:val="00A437D2"/>
    <w:rsid w:val="00A44689"/>
    <w:rsid w:val="00A45162"/>
    <w:rsid w:val="00A469FF"/>
    <w:rsid w:val="00A529C3"/>
    <w:rsid w:val="00A55D84"/>
    <w:rsid w:val="00A60042"/>
    <w:rsid w:val="00A6391F"/>
    <w:rsid w:val="00A63D64"/>
    <w:rsid w:val="00A658A7"/>
    <w:rsid w:val="00A7006B"/>
    <w:rsid w:val="00A700DB"/>
    <w:rsid w:val="00A70176"/>
    <w:rsid w:val="00A711BF"/>
    <w:rsid w:val="00A723E1"/>
    <w:rsid w:val="00A768E6"/>
    <w:rsid w:val="00A82768"/>
    <w:rsid w:val="00A9696B"/>
    <w:rsid w:val="00AA19D0"/>
    <w:rsid w:val="00AA2C8D"/>
    <w:rsid w:val="00AA36D8"/>
    <w:rsid w:val="00AA5FAC"/>
    <w:rsid w:val="00AB1F07"/>
    <w:rsid w:val="00AB2062"/>
    <w:rsid w:val="00AB2DEB"/>
    <w:rsid w:val="00AB3164"/>
    <w:rsid w:val="00AC7354"/>
    <w:rsid w:val="00AC773A"/>
    <w:rsid w:val="00AC780C"/>
    <w:rsid w:val="00AD2CC7"/>
    <w:rsid w:val="00AE052D"/>
    <w:rsid w:val="00AE130E"/>
    <w:rsid w:val="00AE65A1"/>
    <w:rsid w:val="00AE74CF"/>
    <w:rsid w:val="00AE7614"/>
    <w:rsid w:val="00AF1F64"/>
    <w:rsid w:val="00AF5810"/>
    <w:rsid w:val="00B0071A"/>
    <w:rsid w:val="00B01B4A"/>
    <w:rsid w:val="00B04B55"/>
    <w:rsid w:val="00B11A0E"/>
    <w:rsid w:val="00B12585"/>
    <w:rsid w:val="00B128C6"/>
    <w:rsid w:val="00B1298A"/>
    <w:rsid w:val="00B148FB"/>
    <w:rsid w:val="00B16333"/>
    <w:rsid w:val="00B168E2"/>
    <w:rsid w:val="00B2279D"/>
    <w:rsid w:val="00B2445C"/>
    <w:rsid w:val="00B31DC9"/>
    <w:rsid w:val="00B323D8"/>
    <w:rsid w:val="00B32C27"/>
    <w:rsid w:val="00B35AA2"/>
    <w:rsid w:val="00B473F8"/>
    <w:rsid w:val="00B479D6"/>
    <w:rsid w:val="00B504C6"/>
    <w:rsid w:val="00B57022"/>
    <w:rsid w:val="00B72897"/>
    <w:rsid w:val="00B736B0"/>
    <w:rsid w:val="00B77542"/>
    <w:rsid w:val="00B8380B"/>
    <w:rsid w:val="00B84574"/>
    <w:rsid w:val="00B8661F"/>
    <w:rsid w:val="00B87BCA"/>
    <w:rsid w:val="00B87EE0"/>
    <w:rsid w:val="00B9051B"/>
    <w:rsid w:val="00B94912"/>
    <w:rsid w:val="00B96FC1"/>
    <w:rsid w:val="00B97B20"/>
    <w:rsid w:val="00BA5B72"/>
    <w:rsid w:val="00BA652C"/>
    <w:rsid w:val="00BA74EC"/>
    <w:rsid w:val="00BB0ED8"/>
    <w:rsid w:val="00BC295F"/>
    <w:rsid w:val="00BD5276"/>
    <w:rsid w:val="00BE1BC8"/>
    <w:rsid w:val="00BE2B73"/>
    <w:rsid w:val="00BE32A7"/>
    <w:rsid w:val="00BE3560"/>
    <w:rsid w:val="00BE4268"/>
    <w:rsid w:val="00BF28E7"/>
    <w:rsid w:val="00BF350C"/>
    <w:rsid w:val="00BF3576"/>
    <w:rsid w:val="00BF4906"/>
    <w:rsid w:val="00BF56A2"/>
    <w:rsid w:val="00BF6251"/>
    <w:rsid w:val="00C01480"/>
    <w:rsid w:val="00C01F16"/>
    <w:rsid w:val="00C02279"/>
    <w:rsid w:val="00C022E9"/>
    <w:rsid w:val="00C0288B"/>
    <w:rsid w:val="00C03FD3"/>
    <w:rsid w:val="00C06B86"/>
    <w:rsid w:val="00C16B96"/>
    <w:rsid w:val="00C17493"/>
    <w:rsid w:val="00C20D9C"/>
    <w:rsid w:val="00C218A4"/>
    <w:rsid w:val="00C27567"/>
    <w:rsid w:val="00C30A6F"/>
    <w:rsid w:val="00C3311A"/>
    <w:rsid w:val="00C423CD"/>
    <w:rsid w:val="00C5144F"/>
    <w:rsid w:val="00C51B5E"/>
    <w:rsid w:val="00C529C0"/>
    <w:rsid w:val="00C54D7D"/>
    <w:rsid w:val="00C566B4"/>
    <w:rsid w:val="00C617F2"/>
    <w:rsid w:val="00C6348B"/>
    <w:rsid w:val="00C6443C"/>
    <w:rsid w:val="00C66CF8"/>
    <w:rsid w:val="00C718C4"/>
    <w:rsid w:val="00C71D81"/>
    <w:rsid w:val="00C72450"/>
    <w:rsid w:val="00C7295F"/>
    <w:rsid w:val="00C76AD7"/>
    <w:rsid w:val="00C77366"/>
    <w:rsid w:val="00C855DD"/>
    <w:rsid w:val="00CA2AA4"/>
    <w:rsid w:val="00CA719C"/>
    <w:rsid w:val="00CC2EDE"/>
    <w:rsid w:val="00CC4953"/>
    <w:rsid w:val="00CC4B14"/>
    <w:rsid w:val="00CD4298"/>
    <w:rsid w:val="00CD4EAA"/>
    <w:rsid w:val="00CD50B1"/>
    <w:rsid w:val="00CD6E62"/>
    <w:rsid w:val="00CE0C71"/>
    <w:rsid w:val="00CE140F"/>
    <w:rsid w:val="00CE32CB"/>
    <w:rsid w:val="00CE4A24"/>
    <w:rsid w:val="00CE4C7C"/>
    <w:rsid w:val="00CF1260"/>
    <w:rsid w:val="00CF2893"/>
    <w:rsid w:val="00D01336"/>
    <w:rsid w:val="00D02CA1"/>
    <w:rsid w:val="00D036EC"/>
    <w:rsid w:val="00D0732F"/>
    <w:rsid w:val="00D1143E"/>
    <w:rsid w:val="00D12384"/>
    <w:rsid w:val="00D13EF5"/>
    <w:rsid w:val="00D14025"/>
    <w:rsid w:val="00D14981"/>
    <w:rsid w:val="00D152A5"/>
    <w:rsid w:val="00D20738"/>
    <w:rsid w:val="00D31322"/>
    <w:rsid w:val="00D32B69"/>
    <w:rsid w:val="00D35AC5"/>
    <w:rsid w:val="00D37AFD"/>
    <w:rsid w:val="00D46691"/>
    <w:rsid w:val="00D46BC1"/>
    <w:rsid w:val="00D47256"/>
    <w:rsid w:val="00D51383"/>
    <w:rsid w:val="00D51D7E"/>
    <w:rsid w:val="00D567E6"/>
    <w:rsid w:val="00D56EE9"/>
    <w:rsid w:val="00D60398"/>
    <w:rsid w:val="00D60796"/>
    <w:rsid w:val="00D74E6B"/>
    <w:rsid w:val="00D765DA"/>
    <w:rsid w:val="00D7692E"/>
    <w:rsid w:val="00D81F2C"/>
    <w:rsid w:val="00D86EB4"/>
    <w:rsid w:val="00D920D1"/>
    <w:rsid w:val="00DA1AB3"/>
    <w:rsid w:val="00DA2A29"/>
    <w:rsid w:val="00DA3E08"/>
    <w:rsid w:val="00DB0494"/>
    <w:rsid w:val="00DB0A8C"/>
    <w:rsid w:val="00DB13AF"/>
    <w:rsid w:val="00DB19CA"/>
    <w:rsid w:val="00DB24D1"/>
    <w:rsid w:val="00DC03CD"/>
    <w:rsid w:val="00DC130C"/>
    <w:rsid w:val="00DC305F"/>
    <w:rsid w:val="00DC6422"/>
    <w:rsid w:val="00DD304B"/>
    <w:rsid w:val="00DD686B"/>
    <w:rsid w:val="00DE0014"/>
    <w:rsid w:val="00DE35A8"/>
    <w:rsid w:val="00DE5270"/>
    <w:rsid w:val="00DE6148"/>
    <w:rsid w:val="00DE6B5E"/>
    <w:rsid w:val="00DF0782"/>
    <w:rsid w:val="00DF271C"/>
    <w:rsid w:val="00DF45D3"/>
    <w:rsid w:val="00DF4A58"/>
    <w:rsid w:val="00DF6B56"/>
    <w:rsid w:val="00E02264"/>
    <w:rsid w:val="00E02B3D"/>
    <w:rsid w:val="00E1073A"/>
    <w:rsid w:val="00E14087"/>
    <w:rsid w:val="00E145A7"/>
    <w:rsid w:val="00E22CE4"/>
    <w:rsid w:val="00E24D4E"/>
    <w:rsid w:val="00E267C2"/>
    <w:rsid w:val="00E3374C"/>
    <w:rsid w:val="00E34ED7"/>
    <w:rsid w:val="00E3660B"/>
    <w:rsid w:val="00E37E13"/>
    <w:rsid w:val="00E37EA6"/>
    <w:rsid w:val="00E422E5"/>
    <w:rsid w:val="00E43F02"/>
    <w:rsid w:val="00E4479A"/>
    <w:rsid w:val="00E46346"/>
    <w:rsid w:val="00E50532"/>
    <w:rsid w:val="00E549C0"/>
    <w:rsid w:val="00E569AD"/>
    <w:rsid w:val="00E622B2"/>
    <w:rsid w:val="00E717F0"/>
    <w:rsid w:val="00E72390"/>
    <w:rsid w:val="00E74514"/>
    <w:rsid w:val="00E74807"/>
    <w:rsid w:val="00E77D73"/>
    <w:rsid w:val="00E8065D"/>
    <w:rsid w:val="00E84320"/>
    <w:rsid w:val="00E86DB6"/>
    <w:rsid w:val="00E87C08"/>
    <w:rsid w:val="00E908E9"/>
    <w:rsid w:val="00E91536"/>
    <w:rsid w:val="00E92B4E"/>
    <w:rsid w:val="00E9344F"/>
    <w:rsid w:val="00E94B0E"/>
    <w:rsid w:val="00E962DB"/>
    <w:rsid w:val="00EA1602"/>
    <w:rsid w:val="00EA6FD0"/>
    <w:rsid w:val="00EB245A"/>
    <w:rsid w:val="00EB68A5"/>
    <w:rsid w:val="00EC6FEF"/>
    <w:rsid w:val="00EC7A0C"/>
    <w:rsid w:val="00ED19DD"/>
    <w:rsid w:val="00ED2CF7"/>
    <w:rsid w:val="00ED2F23"/>
    <w:rsid w:val="00ED7076"/>
    <w:rsid w:val="00ED7D60"/>
    <w:rsid w:val="00EE181B"/>
    <w:rsid w:val="00EE3F11"/>
    <w:rsid w:val="00EE553D"/>
    <w:rsid w:val="00EF1A62"/>
    <w:rsid w:val="00EF2181"/>
    <w:rsid w:val="00F00F52"/>
    <w:rsid w:val="00F057D5"/>
    <w:rsid w:val="00F07EE2"/>
    <w:rsid w:val="00F159DB"/>
    <w:rsid w:val="00F177B3"/>
    <w:rsid w:val="00F22450"/>
    <w:rsid w:val="00F24C8F"/>
    <w:rsid w:val="00F33F12"/>
    <w:rsid w:val="00F356D8"/>
    <w:rsid w:val="00F37914"/>
    <w:rsid w:val="00F43F24"/>
    <w:rsid w:val="00F4639E"/>
    <w:rsid w:val="00F51D72"/>
    <w:rsid w:val="00F54986"/>
    <w:rsid w:val="00F632AC"/>
    <w:rsid w:val="00F65CAE"/>
    <w:rsid w:val="00F728A7"/>
    <w:rsid w:val="00F7311F"/>
    <w:rsid w:val="00F7400E"/>
    <w:rsid w:val="00F811C9"/>
    <w:rsid w:val="00FA2CAF"/>
    <w:rsid w:val="00FB1F97"/>
    <w:rsid w:val="00FB27AD"/>
    <w:rsid w:val="00FB2B72"/>
    <w:rsid w:val="00FC0269"/>
    <w:rsid w:val="00FC18EA"/>
    <w:rsid w:val="00FC798D"/>
    <w:rsid w:val="00FD30DB"/>
    <w:rsid w:val="00FD55BE"/>
    <w:rsid w:val="00FD63FC"/>
    <w:rsid w:val="00FD7678"/>
    <w:rsid w:val="00FD77C7"/>
    <w:rsid w:val="00FD79DF"/>
    <w:rsid w:val="00FE3743"/>
    <w:rsid w:val="00FF7653"/>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A7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E1"/>
    <w:pPr>
      <w:widowControl w:val="0"/>
    </w:pPr>
    <w:rPr>
      <w:snapToGrid w:val="0"/>
      <w:sz w:val="24"/>
    </w:rPr>
  </w:style>
  <w:style w:type="paragraph" w:styleId="Heading1">
    <w:name w:val="heading 1"/>
    <w:basedOn w:val="Normal"/>
    <w:next w:val="Normal"/>
    <w:link w:val="Heading1Char"/>
    <w:uiPriority w:val="9"/>
    <w:qFormat/>
    <w:rsid w:val="00F43F24"/>
    <w:pPr>
      <w:keepNext/>
      <w:keepLines/>
      <w:pageBreakBefore/>
      <w:widowControl/>
      <w:numPr>
        <w:numId w:val="4"/>
      </w:numPr>
      <w:spacing w:before="480"/>
      <w:jc w:val="center"/>
      <w:outlineLvl w:val="0"/>
    </w:pPr>
    <w:rPr>
      <w:rFonts w:ascii="Arial" w:eastAsiaTheme="majorEastAsia" w:hAnsi="Arial" w:cs="Arial"/>
      <w:b/>
      <w:bCs/>
      <w:snapToGrid/>
      <w:color w:val="17365D" w:themeColor="text2" w:themeShade="BF"/>
      <w:sz w:val="28"/>
      <w:szCs w:val="28"/>
    </w:rPr>
  </w:style>
  <w:style w:type="paragraph" w:styleId="Heading2">
    <w:name w:val="heading 2"/>
    <w:basedOn w:val="Heading3"/>
    <w:next w:val="Normal"/>
    <w:link w:val="Heading2Char"/>
    <w:uiPriority w:val="9"/>
    <w:unhideWhenUsed/>
    <w:qFormat/>
    <w:rsid w:val="00F43F24"/>
    <w:pPr>
      <w:numPr>
        <w:ilvl w:val="1"/>
      </w:numPr>
      <w:outlineLvl w:val="1"/>
    </w:pPr>
  </w:style>
  <w:style w:type="paragraph" w:styleId="Heading3">
    <w:name w:val="heading 3"/>
    <w:basedOn w:val="Normal"/>
    <w:next w:val="Normal"/>
    <w:link w:val="Heading3Char"/>
    <w:uiPriority w:val="9"/>
    <w:unhideWhenUsed/>
    <w:qFormat/>
    <w:rsid w:val="00F43F24"/>
    <w:pPr>
      <w:numPr>
        <w:ilvl w:val="2"/>
        <w:numId w:val="4"/>
      </w:numPr>
      <w:spacing w:before="240" w:after="120"/>
      <w:ind w:left="1267"/>
      <w:outlineLvl w:val="2"/>
    </w:pPr>
    <w:rPr>
      <w:rFonts w:ascii="Arial" w:eastAsiaTheme="majorEastAsia" w:hAnsi="Arial" w:cs="Arial"/>
      <w:bCs/>
      <w:snapToGrid/>
      <w:sz w:val="20"/>
    </w:rPr>
  </w:style>
  <w:style w:type="paragraph" w:styleId="Heading4">
    <w:name w:val="heading 4"/>
    <w:basedOn w:val="Normal"/>
    <w:next w:val="Normal"/>
    <w:link w:val="Heading4Char"/>
    <w:uiPriority w:val="9"/>
    <w:unhideWhenUsed/>
    <w:qFormat/>
    <w:rsid w:val="00F43F24"/>
    <w:pPr>
      <w:numPr>
        <w:ilvl w:val="3"/>
        <w:numId w:val="4"/>
      </w:numPr>
      <w:spacing w:before="120"/>
      <w:ind w:left="2340" w:hanging="1044"/>
      <w:outlineLvl w:val="3"/>
    </w:pPr>
    <w:rPr>
      <w:rFonts w:ascii="Arial" w:eastAsiaTheme="majorEastAsia" w:hAnsi="Arial" w:cs="Arial"/>
      <w:bCs/>
      <w:iCs/>
      <w:snapToGrid/>
      <w:sz w:val="20"/>
    </w:rPr>
  </w:style>
  <w:style w:type="paragraph" w:styleId="Heading5">
    <w:name w:val="heading 5"/>
    <w:basedOn w:val="Normal"/>
    <w:next w:val="Normal"/>
    <w:link w:val="Heading5Char"/>
    <w:uiPriority w:val="9"/>
    <w:unhideWhenUsed/>
    <w:qFormat/>
    <w:rsid w:val="00F43F24"/>
    <w:pPr>
      <w:numPr>
        <w:ilvl w:val="4"/>
        <w:numId w:val="4"/>
      </w:numPr>
      <w:spacing w:before="60"/>
      <w:ind w:left="3510" w:hanging="1170"/>
      <w:outlineLvl w:val="4"/>
    </w:pPr>
    <w:rPr>
      <w:rFonts w:ascii="Arial" w:eastAsiaTheme="majorEastAsia" w:hAnsi="Arial" w:cs="Arial"/>
      <w:snapToGrid/>
      <w:sz w:val="20"/>
    </w:rPr>
  </w:style>
  <w:style w:type="paragraph" w:styleId="Heading6">
    <w:name w:val="heading 6"/>
    <w:basedOn w:val="Normal"/>
    <w:next w:val="Normal"/>
    <w:link w:val="Heading6Char"/>
    <w:uiPriority w:val="9"/>
    <w:unhideWhenUsed/>
    <w:qFormat/>
    <w:rsid w:val="00F43F24"/>
    <w:pPr>
      <w:numPr>
        <w:ilvl w:val="5"/>
        <w:numId w:val="4"/>
      </w:numPr>
      <w:spacing w:before="200"/>
      <w:ind w:left="4950" w:hanging="1440"/>
      <w:outlineLvl w:val="5"/>
    </w:pPr>
    <w:rPr>
      <w:rFonts w:ascii="Arial" w:eastAsiaTheme="majorEastAsia" w:hAnsi="Arial" w:cs="Arial"/>
      <w:iCs/>
      <w:snapToGrid/>
      <w:sz w:val="20"/>
      <w:szCs w:val="24"/>
    </w:rPr>
  </w:style>
  <w:style w:type="paragraph" w:styleId="Heading7">
    <w:name w:val="heading 7"/>
    <w:basedOn w:val="Normal"/>
    <w:next w:val="Normal"/>
    <w:link w:val="Heading7Char"/>
    <w:uiPriority w:val="9"/>
    <w:unhideWhenUsed/>
    <w:qFormat/>
    <w:rsid w:val="00F43F24"/>
    <w:pPr>
      <w:keepNext/>
      <w:keepLines/>
      <w:widowControl/>
      <w:numPr>
        <w:ilvl w:val="6"/>
        <w:numId w:val="4"/>
      </w:numPr>
      <w:spacing w:before="200"/>
      <w:outlineLvl w:val="6"/>
    </w:pPr>
    <w:rPr>
      <w:rFonts w:asciiTheme="majorHAnsi" w:eastAsiaTheme="majorEastAsia" w:hAnsiTheme="majorHAnsi" w:cstheme="majorBidi"/>
      <w:i/>
      <w:iCs/>
      <w:snapToGrid/>
      <w:color w:val="404040" w:themeColor="text1" w:themeTint="BF"/>
      <w:sz w:val="20"/>
      <w:szCs w:val="24"/>
    </w:rPr>
  </w:style>
  <w:style w:type="paragraph" w:styleId="Heading8">
    <w:name w:val="heading 8"/>
    <w:basedOn w:val="Normal"/>
    <w:next w:val="Normal"/>
    <w:link w:val="Heading8Char"/>
    <w:uiPriority w:val="9"/>
    <w:semiHidden/>
    <w:unhideWhenUsed/>
    <w:qFormat/>
    <w:rsid w:val="00F43F24"/>
    <w:pPr>
      <w:keepNext/>
      <w:keepLines/>
      <w:widowControl/>
      <w:numPr>
        <w:ilvl w:val="7"/>
        <w:numId w:val="4"/>
      </w:numPr>
      <w:spacing w:before="200"/>
      <w:outlineLvl w:val="7"/>
    </w:pPr>
    <w:rPr>
      <w:rFonts w:asciiTheme="majorHAnsi" w:eastAsiaTheme="majorEastAsia" w:hAnsiTheme="majorHAnsi" w:cstheme="majorBidi"/>
      <w:snapToGrid/>
      <w:color w:val="404040" w:themeColor="text1" w:themeTint="BF"/>
      <w:sz w:val="20"/>
    </w:rPr>
  </w:style>
  <w:style w:type="paragraph" w:styleId="Heading9">
    <w:name w:val="heading 9"/>
    <w:basedOn w:val="Normal"/>
    <w:next w:val="Normal"/>
    <w:link w:val="Heading9Char"/>
    <w:uiPriority w:val="9"/>
    <w:semiHidden/>
    <w:unhideWhenUsed/>
    <w:qFormat/>
    <w:rsid w:val="00F43F24"/>
    <w:pPr>
      <w:keepNext/>
      <w:keepLines/>
      <w:widowControl/>
      <w:numPr>
        <w:ilvl w:val="8"/>
        <w:numId w:val="4"/>
      </w:numPr>
      <w:spacing w:before="20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34"/>
    <w:qFormat/>
    <w:rsid w:val="007D7BD7"/>
    <w:pPr>
      <w:ind w:left="720"/>
      <w:contextualSpacing/>
    </w:pPr>
  </w:style>
  <w:style w:type="character" w:customStyle="1" w:styleId="Heading1Char">
    <w:name w:val="Heading 1 Char"/>
    <w:basedOn w:val="DefaultParagraphFont"/>
    <w:link w:val="Heading1"/>
    <w:uiPriority w:val="9"/>
    <w:rsid w:val="00F43F24"/>
    <w:rPr>
      <w:rFonts w:ascii="Arial" w:eastAsiaTheme="majorEastAsia" w:hAnsi="Arial" w:cs="Arial"/>
      <w:b/>
      <w:bCs/>
      <w:color w:val="17365D" w:themeColor="text2" w:themeShade="BF"/>
      <w:sz w:val="28"/>
      <w:szCs w:val="28"/>
    </w:rPr>
  </w:style>
  <w:style w:type="character" w:customStyle="1" w:styleId="Heading2Char">
    <w:name w:val="Heading 2 Char"/>
    <w:basedOn w:val="DefaultParagraphFont"/>
    <w:link w:val="Heading2"/>
    <w:uiPriority w:val="9"/>
    <w:rsid w:val="00F43F24"/>
    <w:rPr>
      <w:rFonts w:ascii="Arial" w:eastAsiaTheme="majorEastAsia" w:hAnsi="Arial" w:cs="Arial"/>
      <w:bCs/>
    </w:rPr>
  </w:style>
  <w:style w:type="character" w:customStyle="1" w:styleId="Heading3Char">
    <w:name w:val="Heading 3 Char"/>
    <w:basedOn w:val="DefaultParagraphFont"/>
    <w:link w:val="Heading3"/>
    <w:uiPriority w:val="9"/>
    <w:rsid w:val="00F43F24"/>
    <w:rPr>
      <w:rFonts w:ascii="Arial" w:eastAsiaTheme="majorEastAsia" w:hAnsi="Arial" w:cs="Arial"/>
      <w:bCs/>
    </w:rPr>
  </w:style>
  <w:style w:type="character" w:customStyle="1" w:styleId="Heading4Char">
    <w:name w:val="Heading 4 Char"/>
    <w:basedOn w:val="DefaultParagraphFont"/>
    <w:link w:val="Heading4"/>
    <w:uiPriority w:val="9"/>
    <w:rsid w:val="00F43F24"/>
    <w:rPr>
      <w:rFonts w:ascii="Arial" w:eastAsiaTheme="majorEastAsia" w:hAnsi="Arial" w:cs="Arial"/>
      <w:bCs/>
      <w:iCs/>
    </w:rPr>
  </w:style>
  <w:style w:type="character" w:customStyle="1" w:styleId="Heading5Char">
    <w:name w:val="Heading 5 Char"/>
    <w:basedOn w:val="DefaultParagraphFont"/>
    <w:link w:val="Heading5"/>
    <w:uiPriority w:val="9"/>
    <w:rsid w:val="00F43F24"/>
    <w:rPr>
      <w:rFonts w:ascii="Arial" w:eastAsiaTheme="majorEastAsia" w:hAnsi="Arial" w:cs="Arial"/>
    </w:rPr>
  </w:style>
  <w:style w:type="character" w:customStyle="1" w:styleId="Heading6Char">
    <w:name w:val="Heading 6 Char"/>
    <w:basedOn w:val="DefaultParagraphFont"/>
    <w:link w:val="Heading6"/>
    <w:uiPriority w:val="9"/>
    <w:rsid w:val="00F43F24"/>
    <w:rPr>
      <w:rFonts w:ascii="Arial" w:eastAsiaTheme="majorEastAsia" w:hAnsi="Arial" w:cs="Arial"/>
      <w:iCs/>
      <w:szCs w:val="24"/>
    </w:rPr>
  </w:style>
  <w:style w:type="character" w:customStyle="1" w:styleId="Heading7Char">
    <w:name w:val="Heading 7 Char"/>
    <w:basedOn w:val="DefaultParagraphFont"/>
    <w:link w:val="Heading7"/>
    <w:uiPriority w:val="9"/>
    <w:rsid w:val="00F43F24"/>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F43F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3F2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rsid w:val="00E37EA6"/>
    <w:rPr>
      <w:sz w:val="16"/>
      <w:szCs w:val="16"/>
    </w:rPr>
  </w:style>
  <w:style w:type="paragraph" w:styleId="CommentText">
    <w:name w:val="annotation text"/>
    <w:basedOn w:val="Normal"/>
    <w:link w:val="CommentTextChar"/>
    <w:uiPriority w:val="99"/>
    <w:rsid w:val="00E37EA6"/>
    <w:rPr>
      <w:sz w:val="20"/>
    </w:rPr>
  </w:style>
  <w:style w:type="character" w:customStyle="1" w:styleId="CommentTextChar">
    <w:name w:val="Comment Text Char"/>
    <w:basedOn w:val="DefaultParagraphFont"/>
    <w:link w:val="CommentText"/>
    <w:uiPriority w:val="99"/>
    <w:rsid w:val="00E37EA6"/>
    <w:rPr>
      <w:snapToGrid w:val="0"/>
    </w:rPr>
  </w:style>
  <w:style w:type="paragraph" w:styleId="CommentSubject">
    <w:name w:val="annotation subject"/>
    <w:basedOn w:val="CommentText"/>
    <w:next w:val="CommentText"/>
    <w:link w:val="CommentSubjectChar"/>
    <w:rsid w:val="00E37EA6"/>
    <w:rPr>
      <w:b/>
      <w:bCs/>
    </w:rPr>
  </w:style>
  <w:style w:type="character" w:customStyle="1" w:styleId="CommentSubjectChar">
    <w:name w:val="Comment Subject Char"/>
    <w:basedOn w:val="CommentTextChar"/>
    <w:link w:val="CommentSubject"/>
    <w:rsid w:val="00E37EA6"/>
    <w:rPr>
      <w:b/>
      <w:bCs/>
      <w:snapToGrid w:val="0"/>
    </w:rPr>
  </w:style>
  <w:style w:type="table" w:styleId="TableGrid">
    <w:name w:val="Table Grid"/>
    <w:basedOn w:val="TableNormal"/>
    <w:rsid w:val="00954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71CED"/>
    <w:pPr>
      <w:tabs>
        <w:tab w:val="center" w:pos="4680"/>
        <w:tab w:val="right" w:pos="9360"/>
      </w:tabs>
    </w:pPr>
  </w:style>
  <w:style w:type="character" w:customStyle="1" w:styleId="HeaderChar">
    <w:name w:val="Header Char"/>
    <w:basedOn w:val="DefaultParagraphFont"/>
    <w:link w:val="Header"/>
    <w:rsid w:val="00671CED"/>
    <w:rPr>
      <w:snapToGrid w:val="0"/>
      <w:sz w:val="24"/>
    </w:rPr>
  </w:style>
  <w:style w:type="paragraph" w:styleId="Footer">
    <w:name w:val="footer"/>
    <w:basedOn w:val="Normal"/>
    <w:link w:val="FooterChar"/>
    <w:uiPriority w:val="99"/>
    <w:rsid w:val="00671CED"/>
    <w:pPr>
      <w:tabs>
        <w:tab w:val="center" w:pos="4680"/>
        <w:tab w:val="right" w:pos="9360"/>
      </w:tabs>
    </w:pPr>
  </w:style>
  <w:style w:type="character" w:customStyle="1" w:styleId="FooterChar">
    <w:name w:val="Footer Char"/>
    <w:basedOn w:val="DefaultParagraphFont"/>
    <w:link w:val="Footer"/>
    <w:uiPriority w:val="99"/>
    <w:rsid w:val="00671CED"/>
    <w:rPr>
      <w:snapToGrid w:val="0"/>
      <w:sz w:val="24"/>
    </w:rPr>
  </w:style>
  <w:style w:type="paragraph" w:styleId="Revision">
    <w:name w:val="Revision"/>
    <w:hidden/>
    <w:uiPriority w:val="99"/>
    <w:semiHidden/>
    <w:rsid w:val="005E4492"/>
    <w:rPr>
      <w:snapToGrid w:val="0"/>
      <w:sz w:val="24"/>
    </w:rPr>
  </w:style>
  <w:style w:type="paragraph" w:customStyle="1" w:styleId="Body2">
    <w:name w:val="Body2"/>
    <w:basedOn w:val="Normal"/>
    <w:qFormat/>
    <w:rsid w:val="0099483B"/>
    <w:pPr>
      <w:widowControl/>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7963">
      <w:bodyDiv w:val="1"/>
      <w:marLeft w:val="0"/>
      <w:marRight w:val="0"/>
      <w:marTop w:val="0"/>
      <w:marBottom w:val="0"/>
      <w:divBdr>
        <w:top w:val="none" w:sz="0" w:space="0" w:color="auto"/>
        <w:left w:val="none" w:sz="0" w:space="0" w:color="auto"/>
        <w:bottom w:val="none" w:sz="0" w:space="0" w:color="auto"/>
        <w:right w:val="none" w:sz="0" w:space="0" w:color="auto"/>
      </w:divBdr>
    </w:div>
    <w:div w:id="155845130">
      <w:bodyDiv w:val="1"/>
      <w:marLeft w:val="0"/>
      <w:marRight w:val="0"/>
      <w:marTop w:val="0"/>
      <w:marBottom w:val="0"/>
      <w:divBdr>
        <w:top w:val="none" w:sz="0" w:space="0" w:color="auto"/>
        <w:left w:val="none" w:sz="0" w:space="0" w:color="auto"/>
        <w:bottom w:val="none" w:sz="0" w:space="0" w:color="auto"/>
        <w:right w:val="none" w:sz="0" w:space="0" w:color="auto"/>
      </w:divBdr>
    </w:div>
    <w:div w:id="244845253">
      <w:bodyDiv w:val="1"/>
      <w:marLeft w:val="0"/>
      <w:marRight w:val="0"/>
      <w:marTop w:val="0"/>
      <w:marBottom w:val="0"/>
      <w:divBdr>
        <w:top w:val="none" w:sz="0" w:space="0" w:color="auto"/>
        <w:left w:val="none" w:sz="0" w:space="0" w:color="auto"/>
        <w:bottom w:val="none" w:sz="0" w:space="0" w:color="auto"/>
        <w:right w:val="none" w:sz="0" w:space="0" w:color="auto"/>
      </w:divBdr>
    </w:div>
    <w:div w:id="664631780">
      <w:bodyDiv w:val="1"/>
      <w:marLeft w:val="0"/>
      <w:marRight w:val="0"/>
      <w:marTop w:val="0"/>
      <w:marBottom w:val="0"/>
      <w:divBdr>
        <w:top w:val="none" w:sz="0" w:space="0" w:color="auto"/>
        <w:left w:val="none" w:sz="0" w:space="0" w:color="auto"/>
        <w:bottom w:val="none" w:sz="0" w:space="0" w:color="auto"/>
        <w:right w:val="none" w:sz="0" w:space="0" w:color="auto"/>
      </w:divBdr>
    </w:div>
    <w:div w:id="726804989">
      <w:bodyDiv w:val="1"/>
      <w:marLeft w:val="0"/>
      <w:marRight w:val="0"/>
      <w:marTop w:val="0"/>
      <w:marBottom w:val="0"/>
      <w:divBdr>
        <w:top w:val="none" w:sz="0" w:space="0" w:color="auto"/>
        <w:left w:val="none" w:sz="0" w:space="0" w:color="auto"/>
        <w:bottom w:val="none" w:sz="0" w:space="0" w:color="auto"/>
        <w:right w:val="none" w:sz="0" w:space="0" w:color="auto"/>
      </w:divBdr>
    </w:div>
    <w:div w:id="1025978593">
      <w:bodyDiv w:val="1"/>
      <w:marLeft w:val="0"/>
      <w:marRight w:val="0"/>
      <w:marTop w:val="0"/>
      <w:marBottom w:val="0"/>
      <w:divBdr>
        <w:top w:val="none" w:sz="0" w:space="0" w:color="auto"/>
        <w:left w:val="none" w:sz="0" w:space="0" w:color="auto"/>
        <w:bottom w:val="none" w:sz="0" w:space="0" w:color="auto"/>
        <w:right w:val="none" w:sz="0" w:space="0" w:color="auto"/>
      </w:divBdr>
    </w:div>
    <w:div w:id="1144275680">
      <w:bodyDiv w:val="1"/>
      <w:marLeft w:val="0"/>
      <w:marRight w:val="0"/>
      <w:marTop w:val="0"/>
      <w:marBottom w:val="0"/>
      <w:divBdr>
        <w:top w:val="none" w:sz="0" w:space="0" w:color="auto"/>
        <w:left w:val="none" w:sz="0" w:space="0" w:color="auto"/>
        <w:bottom w:val="none" w:sz="0" w:space="0" w:color="auto"/>
        <w:right w:val="none" w:sz="0" w:space="0" w:color="auto"/>
      </w:divBdr>
    </w:div>
    <w:div w:id="1271862604">
      <w:bodyDiv w:val="1"/>
      <w:marLeft w:val="0"/>
      <w:marRight w:val="0"/>
      <w:marTop w:val="0"/>
      <w:marBottom w:val="0"/>
      <w:divBdr>
        <w:top w:val="none" w:sz="0" w:space="0" w:color="auto"/>
        <w:left w:val="none" w:sz="0" w:space="0" w:color="auto"/>
        <w:bottom w:val="none" w:sz="0" w:space="0" w:color="auto"/>
        <w:right w:val="none" w:sz="0" w:space="0" w:color="auto"/>
      </w:divBdr>
    </w:div>
    <w:div w:id="15084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cb50569-38ec-4ee8-9514-5036089bc8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 ma:contentTypeDescription="Create a new document." ma:contentTypeScope="" ma:versionID="601d8315000a8eef391f102d7bbf7c77">
  <xsd:schema xmlns:xsd="http://www.w3.org/2001/XMLSchema" xmlns:xs="http://www.w3.org/2001/XMLSchema" xmlns:p="http://schemas.microsoft.com/office/2006/metadata/properties" xmlns:ns2="4d2e7db1-a13e-4c3b-82b8-47e2855d24f1" targetNamespace="http://schemas.microsoft.com/office/2006/metadata/properties" ma:root="true" ma:fieldsID="0a4b0595cfd1f197566dfee96dfc23cd" ns2:_="">
    <xsd:import namespace="4d2e7db1-a13e-4c3b-82b8-47e2855d24f1"/>
    <xsd:element name="properties">
      <xsd:complexType>
        <xsd:sequence>
          <xsd:element name="documentManagement">
            <xsd:complexType>
              <xsd:all>
                <xsd:element ref="ns2:Notes0" minOccurs="0"/>
                <xsd:element ref="ns2:Version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Version_x0020__x0023_" ma:index="9" nillable="true" ma:displayName="Version #" ma:internalName="Version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C4DCBB7CE6C0C4CB98FE5360E97A9BF" ma:contentTypeVersion="1" ma:contentTypeDescription="Create a new document." ma:contentTypeScope="" ma:versionID="e95b6d30b84ae59907ee55cc9885be9f">
  <xsd:schema xmlns:xsd="http://www.w3.org/2001/XMLSchema" xmlns:xs="http://www.w3.org/2001/XMLSchema" xmlns:p="http://schemas.microsoft.com/office/2006/metadata/properties" xmlns:ns2="0cb50569-38ec-4ee8-9514-5036089bc8e6" targetNamespace="http://schemas.microsoft.com/office/2006/metadata/properties" ma:root="true" ma:fieldsID="83e0042f7ee98438d908039922d1ab55" ns2:_="">
    <xsd:import namespace="0cb50569-38ec-4ee8-9514-5036089bc8e6"/>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0569-38ec-4ee8-9514-5036089bc8e6"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21B5-72BA-4B6D-9160-221651152621}">
  <ds:schemaRefs>
    <ds:schemaRef ds:uri="http://schemas.microsoft.com/office/2006/documentManagement/types"/>
    <ds:schemaRef ds:uri="http://schemas.microsoft.com/office/infopath/2007/PartnerControls"/>
    <ds:schemaRef ds:uri="0cb50569-38ec-4ee8-9514-5036089bc8e6"/>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44C8F9D-9C8B-4874-B40B-0612CF638C6B}">
  <ds:schemaRefs>
    <ds:schemaRef ds:uri="http://schemas.microsoft.com/sharepoint/v3/contenttype/forms"/>
  </ds:schemaRefs>
</ds:datastoreItem>
</file>

<file path=customXml/itemProps3.xml><?xml version="1.0" encoding="utf-8"?>
<ds:datastoreItem xmlns:ds="http://schemas.openxmlformats.org/officeDocument/2006/customXml" ds:itemID="{F7C739A3-F084-416F-9F9D-5C088A48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3C7F4-A34E-4A4E-80DD-6E6F90ECC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0569-38ec-4ee8-9514-5036089b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CD02BF-462B-4623-9F9D-4551B5CA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2016-03-21T10:46:00Z</dcterms:created>
  <dcterms:modified xsi:type="dcterms:W3CDTF">2016-03-21T15:23:00Z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0x010100FC4DCBB7CE6C0C4CB98FE5360E97A9BF</vt:lpwstr>
  </property>
  <property fmtid="{D5CDD505-2E9C-101B-9397-08002B2CF9AE}" pid="3" name="_AdHocReviewCycleID">
    <vt:i4>-456523262</vt:i4>
  </property>
  <property fmtid="{D5CDD505-2E9C-101B-9397-08002B2CF9AE}" pid="4" name="_NewReviewCycle">
    <vt:lpwstr/>
  </property>
  <property fmtid="{D5CDD505-2E9C-101B-9397-08002B2CF9AE}" pid="5" name="_PreviousAdHocReviewCycleID">
    <vt:i4>-211220370</vt:i4>
  </property>
</Properties>
</file>