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BFBBF" w14:textId="77777777" w:rsidR="00E27338" w:rsidRPr="008F445B" w:rsidRDefault="00E27338" w:rsidP="00F320D1">
      <w:pPr>
        <w:tabs>
          <w:tab w:val="center" w:pos="4680"/>
        </w:tabs>
        <w:jc w:val="center"/>
        <w:outlineLvl w:val="0"/>
        <w:rPr>
          <w:b/>
          <w:bCs/>
          <w:sz w:val="32"/>
          <w:szCs w:val="32"/>
          <w:u w:val="single"/>
        </w:rPr>
      </w:pPr>
      <w:r w:rsidRPr="008F445B">
        <w:rPr>
          <w:b/>
          <w:bCs/>
          <w:sz w:val="32"/>
          <w:szCs w:val="32"/>
          <w:u w:val="single"/>
        </w:rPr>
        <w:t>Supporting Statement</w:t>
      </w:r>
    </w:p>
    <w:p w14:paraId="0B65A0BD" w14:textId="77777777" w:rsidR="00E27338" w:rsidRDefault="00E27338" w:rsidP="00E27338">
      <w:pPr>
        <w:tabs>
          <w:tab w:val="center" w:pos="4680"/>
        </w:tabs>
        <w:jc w:val="center"/>
        <w:rPr>
          <w:b/>
          <w:bCs/>
          <w:sz w:val="32"/>
          <w:szCs w:val="32"/>
        </w:rPr>
      </w:pPr>
    </w:p>
    <w:p w14:paraId="54D417AC" w14:textId="77777777" w:rsidR="00C235F7" w:rsidRDefault="002C577D" w:rsidP="002C57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rPr>
      </w:pPr>
      <w:r>
        <w:rPr>
          <w:b/>
          <w:sz w:val="24"/>
        </w:rPr>
        <w:t xml:space="preserve">                                 </w:t>
      </w:r>
      <w:r w:rsidR="00C235F7" w:rsidRPr="00C235F7">
        <w:rPr>
          <w:b/>
          <w:sz w:val="24"/>
        </w:rPr>
        <w:t>Medicare and Medicaid Program; Program Integrity</w:t>
      </w:r>
    </w:p>
    <w:p w14:paraId="679D1758" w14:textId="77777777" w:rsidR="00D24B75" w:rsidRDefault="002C577D" w:rsidP="002C57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rPr>
      </w:pPr>
      <w:r>
        <w:rPr>
          <w:b/>
          <w:sz w:val="24"/>
        </w:rPr>
        <w:t xml:space="preserve">                                   </w:t>
      </w:r>
      <w:r w:rsidR="00C235F7" w:rsidRPr="00C235F7">
        <w:rPr>
          <w:b/>
          <w:sz w:val="24"/>
        </w:rPr>
        <w:t>Enhancements to the Provider Enrollment Process</w:t>
      </w:r>
    </w:p>
    <w:p w14:paraId="10958076" w14:textId="77777777" w:rsidR="00C235F7" w:rsidRPr="00C235F7" w:rsidRDefault="002C577D" w:rsidP="002C57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rPr>
      </w:pPr>
      <w:r>
        <w:rPr>
          <w:b/>
          <w:sz w:val="24"/>
        </w:rPr>
        <w:t xml:space="preserve">                                                                  </w:t>
      </w:r>
      <w:r w:rsidR="00D24B75">
        <w:rPr>
          <w:b/>
          <w:sz w:val="24"/>
        </w:rPr>
        <w:t>CMS-10576</w:t>
      </w:r>
    </w:p>
    <w:p w14:paraId="526DDB26" w14:textId="77777777" w:rsidR="00E27338" w:rsidRPr="008F445B" w:rsidRDefault="00E27338" w:rsidP="00F320D1">
      <w:pPr>
        <w:tabs>
          <w:tab w:val="left" w:pos="3150"/>
          <w:tab w:val="left" w:pos="3330"/>
          <w:tab w:val="left" w:pos="3780"/>
          <w:tab w:val="center" w:pos="4680"/>
        </w:tabs>
        <w:outlineLvl w:val="0"/>
        <w:rPr>
          <w:b/>
          <w:bCs/>
          <w:i/>
          <w:sz w:val="24"/>
        </w:rPr>
      </w:pPr>
    </w:p>
    <w:p w14:paraId="5B7D280E" w14:textId="77777777" w:rsidR="00E27338" w:rsidRDefault="00E27338" w:rsidP="00E27338">
      <w:pPr>
        <w:rPr>
          <w:b/>
          <w:bCs/>
          <w:sz w:val="24"/>
        </w:rPr>
      </w:pPr>
    </w:p>
    <w:p w14:paraId="6B768676" w14:textId="77777777" w:rsidR="00E27338" w:rsidRDefault="00E27338" w:rsidP="00F320D1">
      <w:pPr>
        <w:numPr>
          <w:ilvl w:val="0"/>
          <w:numId w:val="25"/>
        </w:numPr>
        <w:outlineLvl w:val="1"/>
        <w:rPr>
          <w:b/>
          <w:bCs/>
          <w:sz w:val="24"/>
        </w:rPr>
      </w:pPr>
      <w:r>
        <w:rPr>
          <w:b/>
          <w:bCs/>
          <w:sz w:val="24"/>
        </w:rPr>
        <w:t>BACKGROUND</w:t>
      </w:r>
    </w:p>
    <w:p w14:paraId="3D1153DB" w14:textId="77777777" w:rsidR="00E27338" w:rsidRDefault="00E27338" w:rsidP="00E27338">
      <w:pPr>
        <w:rPr>
          <w:sz w:val="24"/>
        </w:rPr>
      </w:pPr>
    </w:p>
    <w:p w14:paraId="5CCABD1E" w14:textId="77777777" w:rsidR="007B491B" w:rsidRPr="00F54476" w:rsidRDefault="007B491B" w:rsidP="007B491B">
      <w:pPr>
        <w:rPr>
          <w:sz w:val="24"/>
        </w:rPr>
      </w:pPr>
      <w:r w:rsidRPr="00F54476">
        <w:rPr>
          <w:sz w:val="24"/>
        </w:rPr>
        <w:t>On April 21, 2006, CMS published a final rule that set forth requirement</w:t>
      </w:r>
      <w:r w:rsidR="00F54476" w:rsidRPr="00F54476">
        <w:rPr>
          <w:sz w:val="24"/>
        </w:rPr>
        <w:t xml:space="preserve">s in 42 CFR Part 424, subpart P that </w:t>
      </w:r>
      <w:r w:rsidRPr="00F54476">
        <w:rPr>
          <w:sz w:val="24"/>
        </w:rPr>
        <w:t xml:space="preserve">providers and suppliers must meet in order to obtain and maintain Medicare </w:t>
      </w:r>
      <w:r w:rsidR="00F320D1">
        <w:rPr>
          <w:sz w:val="24"/>
        </w:rPr>
        <w:t xml:space="preserve">enrollment.  </w:t>
      </w:r>
      <w:r w:rsidRPr="00F54476">
        <w:rPr>
          <w:sz w:val="24"/>
        </w:rPr>
        <w:t xml:space="preserve">Since its establishment in April 2006, subpart P has been updated several times to address various enrollment issues. </w:t>
      </w:r>
      <w:r w:rsidR="00C235F7" w:rsidRPr="00F54476">
        <w:rPr>
          <w:sz w:val="24"/>
        </w:rPr>
        <w:t xml:space="preserve"> CMS-6058</w:t>
      </w:r>
      <w:r w:rsidRPr="00F54476">
        <w:rPr>
          <w:sz w:val="24"/>
        </w:rPr>
        <w:t>-P</w:t>
      </w:r>
      <w:r w:rsidR="008C0D18" w:rsidRPr="00F54476">
        <w:rPr>
          <w:sz w:val="24"/>
        </w:rPr>
        <w:t xml:space="preserve"> </w:t>
      </w:r>
      <w:r w:rsidR="00C235F7" w:rsidRPr="00F54476">
        <w:rPr>
          <w:sz w:val="24"/>
        </w:rPr>
        <w:t>would make additional revisions to subpart P</w:t>
      </w:r>
      <w:r w:rsidR="00F320D1">
        <w:rPr>
          <w:sz w:val="24"/>
        </w:rPr>
        <w:t>.</w:t>
      </w:r>
    </w:p>
    <w:p w14:paraId="68C60974" w14:textId="77777777" w:rsidR="007B491B" w:rsidRPr="00F54476" w:rsidRDefault="007B491B" w:rsidP="00E27338">
      <w:pPr>
        <w:rPr>
          <w:sz w:val="24"/>
        </w:rPr>
      </w:pPr>
    </w:p>
    <w:p w14:paraId="10659404" w14:textId="77777777" w:rsidR="00F54476" w:rsidRPr="008A5E4C" w:rsidRDefault="00AD099B" w:rsidP="00E27338">
      <w:pPr>
        <w:rPr>
          <w:sz w:val="24"/>
        </w:rPr>
      </w:pPr>
      <w:r w:rsidRPr="008A5E4C">
        <w:rPr>
          <w:sz w:val="24"/>
        </w:rPr>
        <w:t>Of t</w:t>
      </w:r>
      <w:r w:rsidR="003E35CE">
        <w:rPr>
          <w:sz w:val="24"/>
        </w:rPr>
        <w:t>he elements of CMS-6058-P, two</w:t>
      </w:r>
      <w:r w:rsidRPr="008A5E4C">
        <w:rPr>
          <w:sz w:val="24"/>
        </w:rPr>
        <w:t xml:space="preserve"> are </w:t>
      </w:r>
      <w:r w:rsidR="008A5E4C" w:rsidRPr="008A5E4C">
        <w:rPr>
          <w:sz w:val="24"/>
        </w:rPr>
        <w:t>identified in the ICR section as having reasonably quantifiable burden estimates:</w:t>
      </w:r>
    </w:p>
    <w:p w14:paraId="23EC0E02" w14:textId="77777777" w:rsidR="00AD099B" w:rsidRDefault="00AD099B" w:rsidP="00E27338">
      <w:pPr>
        <w:rPr>
          <w:b/>
          <w:sz w:val="24"/>
        </w:rPr>
      </w:pPr>
    </w:p>
    <w:p w14:paraId="31E2312D" w14:textId="77777777" w:rsidR="00322110" w:rsidRDefault="008A5E4C" w:rsidP="008A5E4C">
      <w:pPr>
        <w:numPr>
          <w:ilvl w:val="0"/>
          <w:numId w:val="18"/>
        </w:numPr>
        <w:rPr>
          <w:sz w:val="24"/>
        </w:rPr>
      </w:pPr>
      <w:r>
        <w:rPr>
          <w:b/>
          <w:sz w:val="24"/>
        </w:rPr>
        <w:t xml:space="preserve">Disclosure of Affiliations (§§ 424.519 and 455.107) – </w:t>
      </w:r>
      <w:r>
        <w:rPr>
          <w:sz w:val="24"/>
        </w:rPr>
        <w:t xml:space="preserve">Newly enrolling and revalidating Medicare, Medicaid, and Children’s Health Insurance Program (CHIP) </w:t>
      </w:r>
      <w:r w:rsidRPr="008A5E4C">
        <w:rPr>
          <w:sz w:val="24"/>
        </w:rPr>
        <w:t>providers and suppliers would be</w:t>
      </w:r>
      <w:r>
        <w:rPr>
          <w:sz w:val="24"/>
        </w:rPr>
        <w:t xml:space="preserve"> required to disclose certain affiliations w</w:t>
      </w:r>
      <w:r w:rsidR="008D2650">
        <w:rPr>
          <w:sz w:val="24"/>
        </w:rPr>
        <w:t>ith other Medicare, Medicaid, and</w:t>
      </w:r>
      <w:r>
        <w:rPr>
          <w:sz w:val="24"/>
        </w:rPr>
        <w:t xml:space="preserve"> CHIP providers and suppliers.  The burden would involve the time and effort needed for the provider or supplier to </w:t>
      </w:r>
      <w:r w:rsidR="008D2650">
        <w:rPr>
          <w:sz w:val="24"/>
        </w:rPr>
        <w:t xml:space="preserve">prepare and </w:t>
      </w:r>
      <w:r>
        <w:rPr>
          <w:sz w:val="24"/>
        </w:rPr>
        <w:t xml:space="preserve">submit </w:t>
      </w:r>
      <w:r w:rsidR="00322110">
        <w:rPr>
          <w:sz w:val="24"/>
        </w:rPr>
        <w:t>this information.</w:t>
      </w:r>
    </w:p>
    <w:p w14:paraId="4D856C01" w14:textId="77777777" w:rsidR="00322110" w:rsidRDefault="00322110" w:rsidP="00322110">
      <w:pPr>
        <w:ind w:left="720"/>
        <w:rPr>
          <w:sz w:val="24"/>
        </w:rPr>
      </w:pPr>
    </w:p>
    <w:p w14:paraId="128D4858" w14:textId="77777777" w:rsidR="00AD099B" w:rsidRDefault="008D2650" w:rsidP="008A5E4C">
      <w:pPr>
        <w:numPr>
          <w:ilvl w:val="0"/>
          <w:numId w:val="18"/>
        </w:numPr>
        <w:rPr>
          <w:sz w:val="24"/>
        </w:rPr>
      </w:pPr>
      <w:r>
        <w:rPr>
          <w:b/>
          <w:sz w:val="24"/>
        </w:rPr>
        <w:t>Part A and</w:t>
      </w:r>
      <w:r w:rsidR="00322110" w:rsidRPr="00322110">
        <w:rPr>
          <w:b/>
          <w:sz w:val="24"/>
        </w:rPr>
        <w:t xml:space="preserve"> B Ordering/Certifying/Referring/Prescribing (§ 424.507) </w:t>
      </w:r>
      <w:r>
        <w:rPr>
          <w:sz w:val="24"/>
        </w:rPr>
        <w:t xml:space="preserve">– To </w:t>
      </w:r>
      <w:r w:rsidR="00322110" w:rsidRPr="00322110">
        <w:rPr>
          <w:sz w:val="24"/>
        </w:rPr>
        <w:t>order, certify, refer, or prescribe any Part A or B service, item, or</w:t>
      </w:r>
      <w:r>
        <w:rPr>
          <w:sz w:val="24"/>
        </w:rPr>
        <w:t xml:space="preserve"> drug, a physician or </w:t>
      </w:r>
      <w:r w:rsidR="00322110" w:rsidRPr="00322110">
        <w:rPr>
          <w:sz w:val="24"/>
        </w:rPr>
        <w:t xml:space="preserve">eligible professional would have to be to enrolled in or validly opted out of Medicare.  The burden would be the time and effort needed </w:t>
      </w:r>
      <w:r>
        <w:rPr>
          <w:sz w:val="24"/>
        </w:rPr>
        <w:t xml:space="preserve">for the individual </w:t>
      </w:r>
      <w:r w:rsidR="00322110" w:rsidRPr="00322110">
        <w:rPr>
          <w:sz w:val="24"/>
        </w:rPr>
        <w:t xml:space="preserve">to complete the applicable Medicare enrollment form or opt-out affidavit.  </w:t>
      </w:r>
      <w:r w:rsidR="008A5E4C" w:rsidRPr="00322110">
        <w:rPr>
          <w:sz w:val="24"/>
        </w:rPr>
        <w:t xml:space="preserve"> </w:t>
      </w:r>
    </w:p>
    <w:p w14:paraId="511D139C" w14:textId="77777777" w:rsidR="00322110" w:rsidRDefault="00322110" w:rsidP="00322110">
      <w:pPr>
        <w:pStyle w:val="ListParagraph"/>
      </w:pPr>
    </w:p>
    <w:p w14:paraId="638637FD" w14:textId="77777777" w:rsidR="00322110" w:rsidRPr="00322110" w:rsidRDefault="00322110" w:rsidP="00322110">
      <w:pPr>
        <w:ind w:left="720"/>
        <w:rPr>
          <w:sz w:val="24"/>
        </w:rPr>
      </w:pPr>
    </w:p>
    <w:p w14:paraId="2F1EC977" w14:textId="77777777" w:rsidR="00231943" w:rsidRDefault="00231943" w:rsidP="00E27338">
      <w:pPr>
        <w:rPr>
          <w:b/>
          <w:sz w:val="24"/>
        </w:rPr>
      </w:pPr>
    </w:p>
    <w:p w14:paraId="4B23AAEE" w14:textId="77777777" w:rsidR="00E27338" w:rsidRPr="00B675A9" w:rsidRDefault="00F320D1" w:rsidP="00F320D1">
      <w:pPr>
        <w:numPr>
          <w:ilvl w:val="0"/>
          <w:numId w:val="25"/>
        </w:numPr>
        <w:rPr>
          <w:b/>
          <w:sz w:val="24"/>
        </w:rPr>
      </w:pPr>
      <w:r>
        <w:rPr>
          <w:b/>
          <w:sz w:val="24"/>
        </w:rPr>
        <w:t>J</w:t>
      </w:r>
      <w:r w:rsidR="00E27338">
        <w:rPr>
          <w:b/>
          <w:sz w:val="24"/>
        </w:rPr>
        <w:t>USTIFICATION</w:t>
      </w:r>
    </w:p>
    <w:p w14:paraId="326137FD" w14:textId="77777777" w:rsidR="00E27338" w:rsidRDefault="00E27338" w:rsidP="00E27338"/>
    <w:p w14:paraId="56ADC258" w14:textId="77777777" w:rsidR="00E27338" w:rsidRPr="00B675A9" w:rsidRDefault="00E27338" w:rsidP="003E35CE">
      <w:pPr>
        <w:numPr>
          <w:ilvl w:val="0"/>
          <w:numId w:val="26"/>
        </w:numPr>
        <w:ind w:left="360"/>
        <w:rPr>
          <w:sz w:val="24"/>
        </w:rPr>
      </w:pPr>
      <w:r w:rsidRPr="00B675A9">
        <w:rPr>
          <w:sz w:val="24"/>
          <w:u w:val="single"/>
        </w:rPr>
        <w:t>Need and Legal Basis</w:t>
      </w:r>
      <w:r w:rsidRPr="00B675A9">
        <w:rPr>
          <w:sz w:val="24"/>
        </w:rPr>
        <w:t xml:space="preserve"> </w:t>
      </w:r>
    </w:p>
    <w:p w14:paraId="63059736" w14:textId="77777777" w:rsidR="00E27338" w:rsidRDefault="00E27338" w:rsidP="00E27338"/>
    <w:p w14:paraId="6886EC60" w14:textId="77777777" w:rsidR="00F54476" w:rsidRDefault="00231943" w:rsidP="00C235F7">
      <w:pPr>
        <w:tabs>
          <w:tab w:val="left" w:pos="-2160"/>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bCs/>
          <w:sz w:val="24"/>
        </w:rPr>
        <w:t>As indicated above, t</w:t>
      </w:r>
      <w:r w:rsidR="00C235F7" w:rsidRPr="00C235F7">
        <w:rPr>
          <w:bCs/>
          <w:sz w:val="24"/>
        </w:rPr>
        <w:t xml:space="preserve">his proposed rule would </w:t>
      </w:r>
      <w:r w:rsidR="00C235F7" w:rsidRPr="00C235F7">
        <w:rPr>
          <w:rStyle w:val="Emphasis"/>
          <w:i w:val="0"/>
          <w:sz w:val="24"/>
        </w:rPr>
        <w:t xml:space="preserve">implement sections of the Affordable Care Act that require Medicare, Medicaid, and Children's Health Insurance Program providers and suppliers to disclose any current or previous direct or indirect affiliation with a </w:t>
      </w:r>
      <w:r w:rsidR="008D2650">
        <w:rPr>
          <w:rStyle w:val="Emphasis"/>
          <w:i w:val="0"/>
          <w:sz w:val="24"/>
        </w:rPr>
        <w:t xml:space="preserve">currently or formerly enrolled </w:t>
      </w:r>
      <w:r w:rsidR="00C235F7" w:rsidRPr="00C235F7">
        <w:rPr>
          <w:rStyle w:val="Emphasis"/>
          <w:i w:val="0"/>
          <w:sz w:val="24"/>
        </w:rPr>
        <w:t xml:space="preserve">provider or supplier that has (1) uncollected debt; (2) been subject to a payment suspension under a federal health care program; (3) been excluded from Medicare, Medicaid, or CHIP; or (4) had its Medicare, Medicaid, or CHIP enrollment denied, revoked, or terminated.  Also, in order to address other program integrity concerns, this proposed rule would revise various </w:t>
      </w:r>
      <w:r w:rsidR="00C235F7" w:rsidRPr="00C235F7">
        <w:rPr>
          <w:sz w:val="24"/>
        </w:rPr>
        <w:t>provider enrollment provisions in Part 4</w:t>
      </w:r>
      <w:r w:rsidR="006453E4">
        <w:rPr>
          <w:sz w:val="24"/>
        </w:rPr>
        <w:t xml:space="preserve">24, subpart P.  </w:t>
      </w:r>
      <w:r w:rsidR="008D2650">
        <w:rPr>
          <w:sz w:val="24"/>
        </w:rPr>
        <w:t>T</w:t>
      </w:r>
      <w:r w:rsidR="00C235F7" w:rsidRPr="00C235F7">
        <w:rPr>
          <w:sz w:val="24"/>
        </w:rPr>
        <w:t xml:space="preserve">hese changes </w:t>
      </w:r>
      <w:r w:rsidR="008D2650">
        <w:rPr>
          <w:sz w:val="24"/>
        </w:rPr>
        <w:t>are necessary</w:t>
      </w:r>
      <w:r w:rsidR="00C235F7" w:rsidRPr="00C235F7">
        <w:rPr>
          <w:sz w:val="24"/>
        </w:rPr>
        <w:t xml:space="preserve"> to </w:t>
      </w:r>
      <w:r w:rsidR="008D2650">
        <w:rPr>
          <w:sz w:val="24"/>
        </w:rPr>
        <w:t xml:space="preserve">help </w:t>
      </w:r>
      <w:r w:rsidR="00C235F7" w:rsidRPr="00C235F7">
        <w:rPr>
          <w:sz w:val="24"/>
        </w:rPr>
        <w:t xml:space="preserve">keep </w:t>
      </w:r>
      <w:r w:rsidR="00C235F7" w:rsidRPr="00C235F7">
        <w:rPr>
          <w:sz w:val="24"/>
        </w:rPr>
        <w:lastRenderedPageBreak/>
        <w:t xml:space="preserve">unqualified and potentially fraudulent entities and individuals out of the Medicare program, thus protecting Medicare beneficiaries and the Medicare Trust Funds.  </w:t>
      </w:r>
      <w:r w:rsidR="00C235F7">
        <w:rPr>
          <w:sz w:val="24"/>
        </w:rPr>
        <w:tab/>
      </w:r>
      <w:r w:rsidR="00C235F7">
        <w:rPr>
          <w:sz w:val="24"/>
        </w:rPr>
        <w:tab/>
      </w:r>
      <w:r w:rsidR="00C235F7">
        <w:rPr>
          <w:sz w:val="24"/>
        </w:rPr>
        <w:tab/>
      </w:r>
      <w:r w:rsidR="00C235F7">
        <w:rPr>
          <w:sz w:val="24"/>
        </w:rPr>
        <w:tab/>
      </w:r>
      <w:r w:rsidR="00C235F7">
        <w:rPr>
          <w:sz w:val="24"/>
        </w:rPr>
        <w:tab/>
      </w:r>
    </w:p>
    <w:p w14:paraId="1B26FF16" w14:textId="77777777" w:rsidR="00F54476" w:rsidRDefault="00F54476" w:rsidP="00C235F7">
      <w:pPr>
        <w:tabs>
          <w:tab w:val="left" w:pos="-2160"/>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214AB29" w14:textId="77777777" w:rsidR="00C235F7" w:rsidRDefault="00C235F7" w:rsidP="00C235F7">
      <w:pPr>
        <w:tabs>
          <w:tab w:val="left" w:pos="-2160"/>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C235F7">
        <w:rPr>
          <w:sz w:val="24"/>
        </w:rPr>
        <w:t xml:space="preserve">The following are the six principal legal authorities for our proposed provisions:  </w:t>
      </w:r>
    </w:p>
    <w:p w14:paraId="2DF71844" w14:textId="77777777" w:rsidR="00F54476" w:rsidRDefault="00F54476" w:rsidP="00C235F7">
      <w:pPr>
        <w:tabs>
          <w:tab w:val="left" w:pos="-2160"/>
          <w:tab w:val="left" w:pos="-1440"/>
          <w:tab w:val="left" w:pos="-72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B6AB068" w14:textId="77777777" w:rsidR="00F54476" w:rsidRDefault="00C235F7" w:rsidP="00F54476">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C235F7">
        <w:rPr>
          <w:sz w:val="24"/>
        </w:rPr>
        <w:t>Sections 1102 and 1871 of the Social Security Act (the Act), which provide general authority for the Secretary to prescribe regulations for the efficient administration of the Medicare program.</w:t>
      </w:r>
    </w:p>
    <w:p w14:paraId="46FE7F77" w14:textId="77777777" w:rsidR="00C235F7" w:rsidRDefault="00C235F7" w:rsidP="00F320D1">
      <w:pPr>
        <w:tabs>
          <w:tab w:val="left" w:pos="-21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C6CD179" w14:textId="77777777" w:rsidR="00C235F7" w:rsidRDefault="00C235F7" w:rsidP="00F54476">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C235F7">
        <w:rPr>
          <w:sz w:val="24"/>
        </w:rPr>
        <w:t>Section 1866(j) of the Act, which provides specific authority with respect to the enrollment process for providers and suppliers.</w:t>
      </w:r>
    </w:p>
    <w:p w14:paraId="65ACCF3E" w14:textId="77777777" w:rsidR="00F54476" w:rsidRDefault="00F54476" w:rsidP="00F54476">
      <w:pPr>
        <w:tabs>
          <w:tab w:val="left" w:pos="-21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19777E2" w14:textId="77777777" w:rsidR="00F320D1" w:rsidRDefault="00C235F7" w:rsidP="00F320D1">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C235F7">
        <w:rPr>
          <w:sz w:val="24"/>
        </w:rPr>
        <w:t xml:space="preserve">Section 1866(j)(5) of the Act, as amended by section 6401(a)(3) of the Affordable Care Act, which states that a provider or supplier that submits a Medicare, Medicaid, or CHIP application for enrollment or a revalidation application must disclose any current or previous affiliation (direct or indirect) with a provider or supplier that (1) </w:t>
      </w:r>
      <w:r w:rsidRPr="00C235F7">
        <w:rPr>
          <w:color w:val="000000"/>
          <w:sz w:val="24"/>
        </w:rPr>
        <w:t>has</w:t>
      </w:r>
      <w:r w:rsidRPr="00C235F7">
        <w:rPr>
          <w:sz w:val="24"/>
        </w:rPr>
        <w:t xml:space="preserve"> </w:t>
      </w:r>
      <w:r w:rsidRPr="00C235F7">
        <w:rPr>
          <w:color w:val="000000"/>
          <w:sz w:val="24"/>
        </w:rPr>
        <w:t>uncollected debt; (2) has been or is subject to a payment</w:t>
      </w:r>
      <w:r w:rsidRPr="00C235F7">
        <w:rPr>
          <w:sz w:val="24"/>
        </w:rPr>
        <w:t xml:space="preserve"> </w:t>
      </w:r>
      <w:r w:rsidRPr="00C235F7">
        <w:rPr>
          <w:color w:val="000000"/>
          <w:sz w:val="24"/>
        </w:rPr>
        <w:t>suspension under a federal health care program; (3) has been excluded from participation</w:t>
      </w:r>
      <w:r w:rsidRPr="00C235F7">
        <w:rPr>
          <w:sz w:val="24"/>
        </w:rPr>
        <w:t xml:space="preserve"> in Medicare, Medicaid, or CHIP; or (4) </w:t>
      </w:r>
      <w:r w:rsidRPr="00C235F7">
        <w:rPr>
          <w:color w:val="000000"/>
          <w:sz w:val="24"/>
        </w:rPr>
        <w:t>has had its billing privileges denied or revoked.</w:t>
      </w:r>
    </w:p>
    <w:p w14:paraId="1ADEE455" w14:textId="77777777" w:rsidR="00F320D1" w:rsidRDefault="00F320D1" w:rsidP="00F320D1">
      <w:pPr>
        <w:pStyle w:val="ListParagraph"/>
        <w:rPr>
          <w:color w:val="000000"/>
        </w:rPr>
      </w:pPr>
    </w:p>
    <w:p w14:paraId="73EA5270" w14:textId="77777777" w:rsidR="00F320D1" w:rsidRPr="00F320D1" w:rsidRDefault="00C235F7" w:rsidP="00F320D1">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F320D1">
        <w:rPr>
          <w:color w:val="000000"/>
          <w:sz w:val="24"/>
        </w:rPr>
        <w:t>Section 1903(</w:t>
      </w:r>
      <w:proofErr w:type="spellStart"/>
      <w:r w:rsidRPr="00F320D1">
        <w:rPr>
          <w:color w:val="000000"/>
          <w:sz w:val="24"/>
        </w:rPr>
        <w:t>kk</w:t>
      </w:r>
      <w:proofErr w:type="spellEnd"/>
      <w:r w:rsidRPr="00F320D1">
        <w:rPr>
          <w:color w:val="000000"/>
          <w:sz w:val="24"/>
        </w:rPr>
        <w:t>)(3) of the Act, as amended by section 6401(b) of the Affordable Care Act, which mandates that states require providers and suppliers to comply with the same disclosure requirements established by the Secretary under section 1866(j)(5) of the Act.</w:t>
      </w:r>
    </w:p>
    <w:p w14:paraId="7F69906A" w14:textId="77777777" w:rsidR="00F320D1" w:rsidRDefault="00F320D1" w:rsidP="00F320D1">
      <w:pPr>
        <w:pStyle w:val="ListParagraph"/>
      </w:pPr>
    </w:p>
    <w:p w14:paraId="0FD62AEC" w14:textId="77777777" w:rsidR="00F320D1" w:rsidRDefault="00C235F7" w:rsidP="00F320D1">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F320D1">
        <w:rPr>
          <w:sz w:val="24"/>
        </w:rPr>
        <w:t>Section 1866(j</w:t>
      </w:r>
      <w:proofErr w:type="gramStart"/>
      <w:r w:rsidRPr="00F320D1">
        <w:rPr>
          <w:sz w:val="24"/>
        </w:rPr>
        <w:t>)(</w:t>
      </w:r>
      <w:proofErr w:type="gramEnd"/>
      <w:r w:rsidRPr="00F320D1">
        <w:rPr>
          <w:sz w:val="24"/>
        </w:rPr>
        <w:t>2)(C) of the Act, which required the Secretary to impose a fee on each "institutional provider of medical or other items or services or supplier" to cover the cost of Medicare provider and supplier screening and other program integrity efforts under sections 1866(j) and 1128J of the Act.  Under section 1902(</w:t>
      </w:r>
      <w:proofErr w:type="spellStart"/>
      <w:r w:rsidRPr="00F320D1">
        <w:rPr>
          <w:sz w:val="24"/>
        </w:rPr>
        <w:t>kk</w:t>
      </w:r>
      <w:proofErr w:type="spellEnd"/>
      <w:r w:rsidRPr="00F320D1">
        <w:rPr>
          <w:sz w:val="24"/>
        </w:rPr>
        <w:t>) of the Act, the fee requirement in section 1866(j</w:t>
      </w:r>
      <w:proofErr w:type="gramStart"/>
      <w:r w:rsidRPr="00F320D1">
        <w:rPr>
          <w:sz w:val="24"/>
        </w:rPr>
        <w:t>)(</w:t>
      </w:r>
      <w:proofErr w:type="gramEnd"/>
      <w:r w:rsidRPr="00F320D1">
        <w:rPr>
          <w:sz w:val="24"/>
        </w:rPr>
        <w:t>2) of the Act is also applicable to Medicaid and CHIP.</w:t>
      </w:r>
    </w:p>
    <w:p w14:paraId="26394F51" w14:textId="77777777" w:rsidR="00F320D1" w:rsidRDefault="00F320D1" w:rsidP="00F320D1">
      <w:pPr>
        <w:pStyle w:val="ListParagraph"/>
      </w:pPr>
    </w:p>
    <w:p w14:paraId="7FA49703" w14:textId="77777777" w:rsidR="00C235F7" w:rsidRPr="00F320D1" w:rsidRDefault="00C235F7" w:rsidP="00F320D1">
      <w:pPr>
        <w:numPr>
          <w:ilvl w:val="0"/>
          <w:numId w:val="16"/>
        </w:numPr>
        <w:tabs>
          <w:tab w:val="left" w:pos="-2160"/>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F320D1">
        <w:rPr>
          <w:sz w:val="24"/>
        </w:rPr>
        <w:t xml:space="preserve">Section 6401(a) of the Affordable Care Act, as amended by section 10603 of the Affordable Care Act, which amended section 1866(j) of the Act to add a new paragraph (2).  </w:t>
      </w:r>
      <w:r w:rsidRPr="00F320D1">
        <w:rPr>
          <w:color w:val="000000"/>
          <w:sz w:val="24"/>
        </w:rPr>
        <w:t>Section 6401(c) of the Affordable Care Act amended section 2107(e</w:t>
      </w:r>
      <w:proofErr w:type="gramStart"/>
      <w:r w:rsidRPr="00F320D1">
        <w:rPr>
          <w:color w:val="000000"/>
          <w:sz w:val="24"/>
        </w:rPr>
        <w:t>)(</w:t>
      </w:r>
      <w:proofErr w:type="gramEnd"/>
      <w:r w:rsidRPr="00F320D1">
        <w:rPr>
          <w:color w:val="000000"/>
          <w:sz w:val="24"/>
        </w:rPr>
        <w:t>1) of the Act to make the requirements of section 1902(</w:t>
      </w:r>
      <w:proofErr w:type="spellStart"/>
      <w:r w:rsidRPr="00F320D1">
        <w:rPr>
          <w:color w:val="000000"/>
          <w:sz w:val="24"/>
        </w:rPr>
        <w:t>kk</w:t>
      </w:r>
      <w:proofErr w:type="spellEnd"/>
      <w:r w:rsidRPr="00F320D1">
        <w:rPr>
          <w:color w:val="000000"/>
          <w:sz w:val="24"/>
        </w:rPr>
        <w:t xml:space="preserve">) of the Act, including the disclosure requirements, applicable to CHIP. </w:t>
      </w:r>
    </w:p>
    <w:p w14:paraId="68423DF5" w14:textId="77777777" w:rsidR="00C235F7" w:rsidRPr="00F320D1" w:rsidRDefault="00C235F7"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4FC12F"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EB3187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2.</w:t>
      </w:r>
      <w:r>
        <w:rPr>
          <w:sz w:val="24"/>
        </w:rPr>
        <w:tab/>
      </w:r>
      <w:r>
        <w:rPr>
          <w:sz w:val="24"/>
          <w:u w:val="single"/>
        </w:rPr>
        <w:t>Information Users</w:t>
      </w:r>
    </w:p>
    <w:p w14:paraId="57BE78C0"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12B50B1" w14:textId="77777777" w:rsidR="00E27338" w:rsidRDefault="00E27338" w:rsidP="00E27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CMS and/</w:t>
      </w:r>
      <w:r w:rsidR="00FD391F">
        <w:rPr>
          <w:sz w:val="24"/>
        </w:rPr>
        <w:t>o</w:t>
      </w:r>
      <w:r w:rsidR="00F54476">
        <w:rPr>
          <w:sz w:val="24"/>
        </w:rPr>
        <w:t xml:space="preserve">r its Medicare contractors would use the </w:t>
      </w:r>
      <w:r w:rsidR="00231943">
        <w:rPr>
          <w:sz w:val="24"/>
        </w:rPr>
        <w:t>applicable CMS-855 form</w:t>
      </w:r>
      <w:r w:rsidR="00B11CD6">
        <w:rPr>
          <w:sz w:val="24"/>
        </w:rPr>
        <w:t xml:space="preserve"> or</w:t>
      </w:r>
      <w:r w:rsidR="00231943">
        <w:rPr>
          <w:sz w:val="24"/>
        </w:rPr>
        <w:t xml:space="preserve"> opt-out affidavit to collect the information described in this Summary Statement.   For Medicaid and CHIP, </w:t>
      </w:r>
      <w:r w:rsidR="00F320D1">
        <w:rPr>
          <w:sz w:val="24"/>
        </w:rPr>
        <w:t xml:space="preserve">the states would collect </w:t>
      </w:r>
      <w:r w:rsidR="00231943">
        <w:rPr>
          <w:sz w:val="24"/>
        </w:rPr>
        <w:t>affiliation information via their state-specific forms</w:t>
      </w:r>
      <w:r w:rsidR="00F320D1">
        <w:rPr>
          <w:sz w:val="24"/>
        </w:rPr>
        <w:t>.</w:t>
      </w:r>
    </w:p>
    <w:p w14:paraId="35C36234" w14:textId="77777777" w:rsidR="00E27338" w:rsidRDefault="00E27338" w:rsidP="00E273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39B3ECE"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C53D7B" w14:textId="77777777" w:rsidR="00F320D1" w:rsidRDefault="00F320D1"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D4469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4CA4DD74"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D099BC" w14:textId="77777777" w:rsidR="00E27338" w:rsidRDefault="006453E4" w:rsidP="002052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and/or its contractors would</w:t>
      </w:r>
      <w:r w:rsidR="00FD391F">
        <w:rPr>
          <w:sz w:val="24"/>
        </w:rPr>
        <w:t xml:space="preserve"> </w:t>
      </w:r>
      <w:r>
        <w:rPr>
          <w:sz w:val="24"/>
        </w:rPr>
        <w:t xml:space="preserve">collect </w:t>
      </w:r>
      <w:r w:rsidR="008D2650">
        <w:rPr>
          <w:sz w:val="24"/>
        </w:rPr>
        <w:t xml:space="preserve">much of </w:t>
      </w:r>
      <w:r>
        <w:rPr>
          <w:sz w:val="24"/>
        </w:rPr>
        <w:t>the information submitted pursuant to this rule via the Provider Enrollment, Chain and Ownership System</w:t>
      </w:r>
      <w:r w:rsidR="00F54476">
        <w:rPr>
          <w:sz w:val="24"/>
        </w:rPr>
        <w:t xml:space="preserve"> (PECOS)</w:t>
      </w:r>
      <w:r>
        <w:rPr>
          <w:sz w:val="24"/>
        </w:rPr>
        <w:t xml:space="preserve">.  </w:t>
      </w:r>
      <w:r w:rsidR="00FD391F">
        <w:rPr>
          <w:sz w:val="24"/>
        </w:rPr>
        <w:t xml:space="preserve"> </w:t>
      </w:r>
      <w:r w:rsidR="00231943">
        <w:rPr>
          <w:sz w:val="24"/>
        </w:rPr>
        <w:t>For Medicaid and CHIP, the u</w:t>
      </w:r>
      <w:r w:rsidR="008D2650">
        <w:rPr>
          <w:sz w:val="24"/>
        </w:rPr>
        <w:t>se of information technology would</w:t>
      </w:r>
      <w:r w:rsidR="00F320D1">
        <w:rPr>
          <w:sz w:val="24"/>
        </w:rPr>
        <w:t xml:space="preserve"> vary by state.</w:t>
      </w:r>
    </w:p>
    <w:p w14:paraId="3CA69F08" w14:textId="77777777" w:rsidR="00205245" w:rsidRDefault="00205245" w:rsidP="00F320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2FD8BC" w14:textId="77777777" w:rsidR="007B491B" w:rsidRDefault="007B491B" w:rsidP="001C7B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9A948A"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4A414FB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9C1AAA" w14:textId="77777777" w:rsidR="00E27338" w:rsidRDefault="00E27338" w:rsidP="00E27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information collection does not duplicate any other effort and the information cannot be obtained from any other source.</w:t>
      </w:r>
    </w:p>
    <w:p w14:paraId="6DB7B6E9"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F0E99A"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3E949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0FD6F79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51F11" w14:textId="77777777" w:rsidR="00E27338" w:rsidRDefault="00AD099B"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Each of the data collections described </w:t>
      </w:r>
      <w:r w:rsidR="00231943">
        <w:rPr>
          <w:sz w:val="24"/>
        </w:rPr>
        <w:t xml:space="preserve">in this Summary Statement </w:t>
      </w:r>
      <w:r>
        <w:rPr>
          <w:sz w:val="24"/>
        </w:rPr>
        <w:t>would impact some small businesses.  However, because of the relative infrequency with which the information would need to be submitted and the fairly minimal time involved in most of the data collections, we believe that the overall impact on small businesses would be negligible.</w:t>
      </w:r>
    </w:p>
    <w:p w14:paraId="24E5A665" w14:textId="77777777" w:rsidR="00F54476" w:rsidRDefault="00F54476"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2D34A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49BAD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591B19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567520" w14:textId="77777777" w:rsidR="00E27338" w:rsidRDefault="00630AB4" w:rsidP="00630AB4">
      <w:pPr>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0AB4">
        <w:rPr>
          <w:b/>
          <w:sz w:val="24"/>
        </w:rPr>
        <w:t>Disclosure of Affiliation</w:t>
      </w:r>
      <w:r>
        <w:rPr>
          <w:sz w:val="24"/>
        </w:rPr>
        <w:t xml:space="preserve"> – In general, this data would be submitted once every 3-5 years.</w:t>
      </w:r>
    </w:p>
    <w:p w14:paraId="2CD817DB" w14:textId="77777777" w:rsidR="00630AB4" w:rsidRDefault="00630AB4" w:rsidP="00630AB4">
      <w:pPr>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0AB4">
        <w:rPr>
          <w:b/>
          <w:sz w:val="24"/>
        </w:rPr>
        <w:t>Part</w:t>
      </w:r>
      <w:r w:rsidR="00F320D1">
        <w:rPr>
          <w:b/>
          <w:sz w:val="24"/>
        </w:rPr>
        <w:t>s</w:t>
      </w:r>
      <w:r w:rsidRPr="00630AB4">
        <w:rPr>
          <w:b/>
          <w:sz w:val="24"/>
        </w:rPr>
        <w:t xml:space="preserve"> A/B Ordering/Certifying</w:t>
      </w:r>
      <w:r>
        <w:rPr>
          <w:sz w:val="24"/>
        </w:rPr>
        <w:t xml:space="preserve"> – In general, this data would be submitted once every five years.</w:t>
      </w:r>
    </w:p>
    <w:p w14:paraId="7917EE1E" w14:textId="77777777" w:rsidR="00630AB4" w:rsidRDefault="00630AB4"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16F2A1" w14:textId="77777777" w:rsidR="00630AB4" w:rsidRPr="001736B5" w:rsidRDefault="00630AB4"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66DC89"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5A2749A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40D23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associated with this information collection request.</w:t>
      </w:r>
    </w:p>
    <w:p w14:paraId="41CCBC2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5B04E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D7D880"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0F99846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8944C" w14:textId="2CFB4B7A" w:rsidR="00E27338" w:rsidRPr="00A7781E" w:rsidRDefault="000C2902" w:rsidP="00A778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0C2902">
        <w:rPr>
          <w:sz w:val="24"/>
        </w:rPr>
        <w:t xml:space="preserve">A Notice of Proposed Rulemaking </w:t>
      </w:r>
      <w:r w:rsidR="00903BEF">
        <w:rPr>
          <w:sz w:val="24"/>
        </w:rPr>
        <w:t>published March 1, 2016 (81 FR 10719)</w:t>
      </w:r>
      <w:r w:rsidRPr="000C2902">
        <w:rPr>
          <w:sz w:val="24"/>
        </w:rPr>
        <w:t>, providing the public with a 60-day period</w:t>
      </w:r>
      <w:r w:rsidR="00A7781E">
        <w:rPr>
          <w:sz w:val="24"/>
        </w:rPr>
        <w:t xml:space="preserve"> </w:t>
      </w:r>
      <w:r w:rsidRPr="000C2902">
        <w:rPr>
          <w:sz w:val="24"/>
        </w:rPr>
        <w:t xml:space="preserve">to submit written comments on the </w:t>
      </w:r>
      <w:r w:rsidR="00903BEF">
        <w:rPr>
          <w:sz w:val="24"/>
        </w:rPr>
        <w:t>information collection request (</w:t>
      </w:r>
      <w:r w:rsidRPr="000C2902">
        <w:rPr>
          <w:sz w:val="24"/>
        </w:rPr>
        <w:t>ICR</w:t>
      </w:r>
      <w:r w:rsidR="00903BEF">
        <w:rPr>
          <w:sz w:val="24"/>
        </w:rPr>
        <w:t>)</w:t>
      </w:r>
      <w:bookmarkStart w:id="0" w:name="_GoBack"/>
      <w:bookmarkEnd w:id="0"/>
      <w:r w:rsidRPr="000C2902">
        <w:rPr>
          <w:sz w:val="24"/>
        </w:rPr>
        <w:t>.</w:t>
      </w:r>
    </w:p>
    <w:p w14:paraId="1FDDE24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3EA040" w14:textId="77777777" w:rsidR="00A7781E" w:rsidRDefault="00A7781E"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9684A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206BC67F"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AC915"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Not applicable.</w:t>
      </w:r>
    </w:p>
    <w:p w14:paraId="6FF1076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B55C3A"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9FC8E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20EB29BA"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8AC75F2"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and its Medicare contractors will comply with all Federal and State laws – including, but not limited to, the Federal Privacy Act and Freedom of Information Act – that apply to this collection.  Privileged or confidential commercial or financial information is protected from public disclosure by Federal law 5 U.S.C. 522(b</w:t>
      </w:r>
      <w:proofErr w:type="gramStart"/>
      <w:r>
        <w:rPr>
          <w:sz w:val="24"/>
        </w:rPr>
        <w:t>)</w:t>
      </w:r>
      <w:r w:rsidR="00F320D1">
        <w:rPr>
          <w:sz w:val="24"/>
        </w:rPr>
        <w:t>(</w:t>
      </w:r>
      <w:proofErr w:type="gramEnd"/>
      <w:r w:rsidR="00F320D1">
        <w:rPr>
          <w:sz w:val="24"/>
        </w:rPr>
        <w:t>4) and Executive Order 12600.</w:t>
      </w:r>
    </w:p>
    <w:p w14:paraId="0B35B9A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201582"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E5EDE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53E469F1"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C1372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sensitive questions associated with this collection.</w:t>
      </w:r>
    </w:p>
    <w:p w14:paraId="1B6D2BD5"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37566E"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FBA1D0"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14:paraId="777B78F5"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6DC4B62" w14:textId="77777777" w:rsidR="003B673F" w:rsidRDefault="003B673F" w:rsidP="00F320D1">
      <w:pPr>
        <w:numPr>
          <w:ilvl w:val="0"/>
          <w:numId w:val="2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Disclosure of Affiliations</w:t>
      </w:r>
    </w:p>
    <w:p w14:paraId="5C44DC85" w14:textId="77777777" w:rsidR="003B673F" w:rsidRDefault="003B673F" w:rsidP="003B673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8CCC610" w14:textId="77777777" w:rsidR="009D2482" w:rsidRPr="009D2482" w:rsidRDefault="00641630" w:rsidP="009D2482">
      <w:pPr>
        <w:keepNext/>
        <w:rPr>
          <w:sz w:val="24"/>
        </w:rPr>
      </w:pPr>
      <w:proofErr w:type="spellStart"/>
      <w:r>
        <w:rPr>
          <w:sz w:val="24"/>
        </w:rPr>
        <w:t>i</w:t>
      </w:r>
      <w:proofErr w:type="spellEnd"/>
      <w:r w:rsidR="009D2482" w:rsidRPr="009D2482">
        <w:rPr>
          <w:sz w:val="24"/>
        </w:rPr>
        <w:t xml:space="preserve">.  </w:t>
      </w:r>
      <w:r w:rsidR="00805D82">
        <w:rPr>
          <w:sz w:val="24"/>
        </w:rPr>
        <w:t xml:space="preserve">  </w:t>
      </w:r>
      <w:r>
        <w:rPr>
          <w:sz w:val="24"/>
        </w:rPr>
        <w:t xml:space="preserve"> </w:t>
      </w:r>
      <w:r w:rsidR="009D2482" w:rsidRPr="009D2482">
        <w:rPr>
          <w:sz w:val="24"/>
        </w:rPr>
        <w:t>Medicare</w:t>
      </w:r>
    </w:p>
    <w:p w14:paraId="42D7354B" w14:textId="77777777" w:rsidR="009D2482" w:rsidRDefault="009D2482" w:rsidP="009D2482">
      <w:pPr>
        <w:keepNext/>
        <w:rPr>
          <w:sz w:val="24"/>
        </w:rPr>
      </w:pPr>
    </w:p>
    <w:p w14:paraId="55246426" w14:textId="77777777" w:rsidR="009D2482" w:rsidRPr="00641630" w:rsidRDefault="009D2482" w:rsidP="00641630">
      <w:pPr>
        <w:keepNext/>
        <w:numPr>
          <w:ilvl w:val="0"/>
          <w:numId w:val="22"/>
        </w:numPr>
        <w:ind w:left="360"/>
        <w:rPr>
          <w:sz w:val="24"/>
        </w:rPr>
      </w:pPr>
      <w:r w:rsidRPr="00641630">
        <w:rPr>
          <w:sz w:val="24"/>
        </w:rPr>
        <w:t>Initially Enrolling Providers and Suppliers (§ 424.519(b))</w:t>
      </w:r>
    </w:p>
    <w:p w14:paraId="7022E0D7" w14:textId="77777777" w:rsidR="009D2482" w:rsidRDefault="009D2482" w:rsidP="009D2482">
      <w:pPr>
        <w:rPr>
          <w:sz w:val="24"/>
        </w:rPr>
      </w:pPr>
    </w:p>
    <w:p w14:paraId="05188C8C" w14:textId="77777777" w:rsidR="00F320D1" w:rsidRDefault="009D2482" w:rsidP="00F320D1">
      <w:pPr>
        <w:ind w:left="360"/>
        <w:rPr>
          <w:sz w:val="24"/>
        </w:rPr>
      </w:pPr>
      <w:r w:rsidRPr="009D2482">
        <w:rPr>
          <w:sz w:val="24"/>
        </w:rPr>
        <w:t>Based on CMS data, an average of approximately 70,000 providers and suppliers seek to initially enroll in the Medicare program in any given 12</w:t>
      </w:r>
      <w:r w:rsidRPr="009D2482">
        <w:rPr>
          <w:sz w:val="24"/>
        </w:rPr>
        <w:noBreakHyphen/>
        <w:t>month period.  Each of these providers and suppliers would be required to furnish the information described in § 424.519 on the appropriate Form CMS</w:t>
      </w:r>
      <w:r w:rsidRPr="009D2482">
        <w:rPr>
          <w:sz w:val="24"/>
        </w:rPr>
        <w:noBreakHyphen/>
        <w:t xml:space="preserve">855 enrollment application. </w:t>
      </w:r>
      <w:r>
        <w:rPr>
          <w:sz w:val="24"/>
        </w:rPr>
        <w:t xml:space="preserve"> </w:t>
      </w:r>
      <w:r w:rsidRPr="009D2482">
        <w:rPr>
          <w:sz w:val="24"/>
        </w:rPr>
        <w:t>We estimate that it would take each provider or supplier an average of 10 hours to obtain and furnish this information.  With a 10</w:t>
      </w:r>
      <w:r w:rsidRPr="009D2482">
        <w:rPr>
          <w:sz w:val="24"/>
        </w:rPr>
        <w:noBreakHyphen/>
        <w:t>hour burden for 70,000 providers and suppliers, we estimate that the annual hourly burden for compliance with § 4</w:t>
      </w:r>
      <w:r w:rsidR="00F320D1">
        <w:rPr>
          <w:sz w:val="24"/>
        </w:rPr>
        <w:t>24.519 would be 700,000 hours.</w:t>
      </w:r>
    </w:p>
    <w:p w14:paraId="19D494D4" w14:textId="77777777" w:rsidR="00F320D1" w:rsidRDefault="00F320D1" w:rsidP="00F320D1">
      <w:pPr>
        <w:ind w:left="360"/>
        <w:rPr>
          <w:sz w:val="24"/>
        </w:rPr>
      </w:pPr>
    </w:p>
    <w:p w14:paraId="0B5E44D0" w14:textId="77777777" w:rsidR="009D2482" w:rsidRDefault="009D2482" w:rsidP="00F320D1">
      <w:pPr>
        <w:ind w:left="360"/>
        <w:rPr>
          <w:sz w:val="24"/>
        </w:rPr>
      </w:pPr>
      <w:r w:rsidRPr="009D2482">
        <w:rPr>
          <w:sz w:val="24"/>
        </w:rPr>
        <w:t xml:space="preserve">Based on our experience, we believe that the reporting provider's or </w:t>
      </w:r>
      <w:proofErr w:type="gramStart"/>
      <w:r w:rsidRPr="009D2482">
        <w:rPr>
          <w:sz w:val="24"/>
        </w:rPr>
        <w:t>supplier's</w:t>
      </w:r>
      <w:proofErr w:type="gramEnd"/>
      <w:r w:rsidRPr="009D2482">
        <w:rPr>
          <w:sz w:val="24"/>
        </w:rPr>
        <w:t xml:space="preserve"> administrative staff (for example, officer managers and support staff) would be responsible for securing and listing affiliation data on the Form CMS</w:t>
      </w:r>
      <w:r w:rsidRPr="009D2482">
        <w:rPr>
          <w:sz w:val="24"/>
        </w:rPr>
        <w:noBreakHyphen/>
        <w:t xml:space="preserve">855.  According to the most recent wage data provided by the Bureau of Labor Statistics (BLS) for May 2014, the mean hourly wage for the general category of "Office and Administrative Support Occupations" is $17.08 per hour (see </w:t>
      </w:r>
      <w:hyperlink r:id="rId8" w:anchor="43-0000" w:history="1">
        <w:r w:rsidRPr="009D2482">
          <w:rPr>
            <w:rStyle w:val="Hyperlink"/>
            <w:sz w:val="24"/>
          </w:rPr>
          <w:t>http://www.bls.gov/oes/current/oes_nat.htm#43-0000</w:t>
        </w:r>
      </w:hyperlink>
      <w:r w:rsidRPr="009D2482">
        <w:rPr>
          <w:sz w:val="24"/>
        </w:rPr>
        <w:t xml:space="preserve">   With fringe benefits and overhead, the per hour rate is $</w:t>
      </w:r>
      <w:r w:rsidR="002504BC">
        <w:rPr>
          <w:sz w:val="24"/>
        </w:rPr>
        <w:t>34.16</w:t>
      </w:r>
      <w:r w:rsidRPr="009D2482">
        <w:rPr>
          <w:sz w:val="24"/>
        </w:rPr>
        <w:t xml:space="preserve">.  </w:t>
      </w:r>
      <w:r w:rsidR="00641630">
        <w:rPr>
          <w:sz w:val="24"/>
        </w:rPr>
        <w:t xml:space="preserve"> </w:t>
      </w:r>
      <w:r w:rsidRPr="009D2482">
        <w:rPr>
          <w:sz w:val="24"/>
        </w:rPr>
        <w:t>Using this per hour rate, we estimate the annual ICR cost burden for initially enrolling provi</w:t>
      </w:r>
      <w:r w:rsidR="002504BC">
        <w:rPr>
          <w:sz w:val="24"/>
        </w:rPr>
        <w:t>ders and suppliers to be $23,912,000 (700,000 hours x $34.16</w:t>
      </w:r>
      <w:r w:rsidRPr="009D2482">
        <w:rPr>
          <w:sz w:val="24"/>
        </w:rPr>
        <w:t>).</w:t>
      </w:r>
    </w:p>
    <w:p w14:paraId="3A829117" w14:textId="77777777" w:rsidR="00CE5BAF" w:rsidRPr="009D2482" w:rsidRDefault="00CE5BAF" w:rsidP="00641630">
      <w:pPr>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rPr>
      </w:pPr>
    </w:p>
    <w:p w14:paraId="3E04FBAB" w14:textId="77777777" w:rsidR="009D2482" w:rsidRPr="00641630" w:rsidRDefault="009D2482" w:rsidP="009D2482">
      <w:pPr>
        <w:numPr>
          <w:ilvl w:val="0"/>
          <w:numId w:val="22"/>
        </w:numPr>
        <w:ind w:left="360"/>
        <w:rPr>
          <w:sz w:val="24"/>
        </w:rPr>
      </w:pPr>
      <w:r w:rsidRPr="00641630">
        <w:rPr>
          <w:sz w:val="24"/>
        </w:rPr>
        <w:t>Revalidating Providers and Suppliers (§ 424.519(b))</w:t>
      </w:r>
    </w:p>
    <w:p w14:paraId="6037A091" w14:textId="77777777" w:rsidR="009D2482" w:rsidRDefault="009D2482" w:rsidP="009D2482">
      <w:pPr>
        <w:rPr>
          <w:sz w:val="24"/>
        </w:rPr>
      </w:pPr>
    </w:p>
    <w:p w14:paraId="5117C586" w14:textId="77777777" w:rsidR="009D2482" w:rsidRPr="009D2482" w:rsidRDefault="009D2482" w:rsidP="00641630">
      <w:pPr>
        <w:ind w:left="360"/>
        <w:rPr>
          <w:sz w:val="24"/>
        </w:rPr>
      </w:pPr>
      <w:r w:rsidRPr="009D2482">
        <w:rPr>
          <w:sz w:val="24"/>
        </w:rPr>
        <w:t>M</w:t>
      </w:r>
      <w:r w:rsidR="00641630">
        <w:rPr>
          <w:sz w:val="24"/>
        </w:rPr>
        <w:t>edicare providers and suppliers---other than DMEPOS suppliers---</w:t>
      </w:r>
      <w:r w:rsidRPr="009D2482">
        <w:rPr>
          <w:sz w:val="24"/>
        </w:rPr>
        <w:t xml:space="preserve">are required to revalidate their Medicare enrollment every 5 years.  (DMEPOS suppliers must revalidate every 3 years.)  There are approximately 1.5 million providers and suppliers enrolled in </w:t>
      </w:r>
      <w:r w:rsidR="00641630">
        <w:rPr>
          <w:sz w:val="24"/>
        </w:rPr>
        <w:t>Medicare</w:t>
      </w:r>
      <w:r w:rsidRPr="009D2482">
        <w:rPr>
          <w:sz w:val="24"/>
        </w:rPr>
        <w:t xml:space="preserve">; of this figure, roughly 87,000 are DMEPOS suppliers.  </w:t>
      </w:r>
      <w:r>
        <w:rPr>
          <w:sz w:val="24"/>
        </w:rPr>
        <w:t>For purposes of our</w:t>
      </w:r>
      <w:r w:rsidRPr="009D2482">
        <w:rPr>
          <w:sz w:val="24"/>
        </w:rPr>
        <w:t xml:space="preserve"> ICR </w:t>
      </w:r>
      <w:r>
        <w:rPr>
          <w:sz w:val="24"/>
        </w:rPr>
        <w:t>estimates only</w:t>
      </w:r>
      <w:r w:rsidRPr="009D2482">
        <w:rPr>
          <w:sz w:val="24"/>
        </w:rPr>
        <w:t>, we project that future revalidations will be performed in relativ</w:t>
      </w:r>
      <w:r>
        <w:rPr>
          <w:sz w:val="24"/>
        </w:rPr>
        <w:t>e accordance with the aforementioned</w:t>
      </w:r>
      <w:r w:rsidRPr="009D2482">
        <w:rPr>
          <w:sz w:val="24"/>
        </w:rPr>
        <w:t xml:space="preserve"> 5</w:t>
      </w:r>
      <w:r w:rsidRPr="009D2482">
        <w:rPr>
          <w:sz w:val="24"/>
        </w:rPr>
        <w:noBreakHyphen/>
        <w:t>year and 3</w:t>
      </w:r>
      <w:r w:rsidRPr="009D2482">
        <w:rPr>
          <w:sz w:val="24"/>
        </w:rPr>
        <w:noBreakHyphen/>
        <w:t xml:space="preserve">year periods. </w:t>
      </w:r>
    </w:p>
    <w:p w14:paraId="18018045" w14:textId="77777777" w:rsidR="009D2482" w:rsidRDefault="009D2482" w:rsidP="009D2482">
      <w:pPr>
        <w:keepNext/>
        <w:keepLines/>
        <w:jc w:val="center"/>
        <w:rPr>
          <w:b/>
          <w:sz w:val="24"/>
          <w:highlight w:val="yellow"/>
        </w:rPr>
      </w:pPr>
    </w:p>
    <w:p w14:paraId="0CA2A1B3" w14:textId="77777777" w:rsidR="009D2482" w:rsidRPr="009D2482" w:rsidRDefault="009D2482" w:rsidP="009D2482">
      <w:pPr>
        <w:keepNext/>
        <w:keepLines/>
        <w:jc w:val="center"/>
        <w:rPr>
          <w:b/>
          <w:sz w:val="24"/>
        </w:rPr>
      </w:pPr>
      <w:r w:rsidRPr="009D2482">
        <w:rPr>
          <w:b/>
          <w:sz w:val="24"/>
        </w:rPr>
        <w:t>Table 1:</w:t>
      </w:r>
      <w:r>
        <w:rPr>
          <w:b/>
          <w:sz w:val="24"/>
        </w:rPr>
        <w:t xml:space="preserve">  Estimated Number of Non</w:t>
      </w:r>
      <w:r w:rsidRPr="009D2482">
        <w:rPr>
          <w:b/>
          <w:sz w:val="24"/>
        </w:rPr>
        <w:noBreakHyphen/>
        <w:t xml:space="preserve">DMEPOS </w:t>
      </w:r>
    </w:p>
    <w:p w14:paraId="56220035" w14:textId="77777777" w:rsidR="009D2482" w:rsidRPr="009D2482" w:rsidRDefault="009D2482" w:rsidP="009D2482">
      <w:pPr>
        <w:keepNext/>
        <w:keepLines/>
        <w:jc w:val="center"/>
        <w:rPr>
          <w:b/>
          <w:sz w:val="24"/>
        </w:rPr>
      </w:pPr>
      <w:r>
        <w:rPr>
          <w:b/>
          <w:sz w:val="24"/>
        </w:rPr>
        <w:t>Supplier Revalidations</w:t>
      </w:r>
      <w:r w:rsidRPr="009D2482">
        <w:rPr>
          <w:b/>
          <w:sz w:val="24"/>
        </w:rPr>
        <w:t>: 2017</w:t>
      </w:r>
      <w:r w:rsidRPr="009D2482">
        <w:rPr>
          <w:b/>
          <w:sz w:val="24"/>
        </w:rPr>
        <w:noBreakHyphen/>
        <w:t>2021</w:t>
      </w:r>
    </w:p>
    <w:p w14:paraId="716EC339" w14:textId="77777777" w:rsidR="009D2482" w:rsidRPr="009D2482" w:rsidRDefault="009D2482" w:rsidP="009D2482">
      <w:pPr>
        <w:keepNext/>
        <w:keepLines/>
        <w:jc w:val="center"/>
        <w:rPr>
          <w:b/>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555"/>
      </w:tblGrid>
      <w:tr w:rsidR="009D2482" w:rsidRPr="009D2482" w14:paraId="467FEDA6" w14:textId="77777777" w:rsidTr="0063641F">
        <w:tc>
          <w:tcPr>
            <w:tcW w:w="3195" w:type="dxa"/>
          </w:tcPr>
          <w:p w14:paraId="414456F8" w14:textId="77777777" w:rsidR="009D2482" w:rsidRPr="009D2482" w:rsidRDefault="009D2482" w:rsidP="009D2482">
            <w:pPr>
              <w:keepNext/>
              <w:keepLines/>
              <w:jc w:val="center"/>
              <w:rPr>
                <w:b/>
                <w:sz w:val="24"/>
              </w:rPr>
            </w:pPr>
            <w:r w:rsidRPr="009D2482">
              <w:rPr>
                <w:b/>
                <w:sz w:val="24"/>
              </w:rPr>
              <w:t>Calendar</w:t>
            </w:r>
            <w:r>
              <w:rPr>
                <w:b/>
                <w:sz w:val="24"/>
              </w:rPr>
              <w:t> Y</w:t>
            </w:r>
            <w:r w:rsidRPr="009D2482">
              <w:rPr>
                <w:b/>
                <w:sz w:val="24"/>
              </w:rPr>
              <w:t>ear</w:t>
            </w:r>
          </w:p>
        </w:tc>
        <w:tc>
          <w:tcPr>
            <w:tcW w:w="3555" w:type="dxa"/>
          </w:tcPr>
          <w:p w14:paraId="75C94C45" w14:textId="77777777" w:rsidR="009D2482" w:rsidRPr="009D2482" w:rsidRDefault="009D2482" w:rsidP="009D2482">
            <w:pPr>
              <w:keepNext/>
              <w:keepLines/>
              <w:jc w:val="center"/>
              <w:rPr>
                <w:b/>
                <w:sz w:val="24"/>
              </w:rPr>
            </w:pPr>
            <w:r w:rsidRPr="009D2482">
              <w:rPr>
                <w:b/>
                <w:sz w:val="24"/>
              </w:rPr>
              <w:t>Number of Revalidations</w:t>
            </w:r>
          </w:p>
        </w:tc>
      </w:tr>
      <w:tr w:rsidR="009D2482" w:rsidRPr="009D2482" w14:paraId="733E64BD" w14:textId="77777777" w:rsidTr="0063641F">
        <w:tc>
          <w:tcPr>
            <w:tcW w:w="3195" w:type="dxa"/>
          </w:tcPr>
          <w:p w14:paraId="34CCD970" w14:textId="77777777" w:rsidR="009D2482" w:rsidRPr="009D2482" w:rsidRDefault="009D2482" w:rsidP="009D2482">
            <w:pPr>
              <w:keepNext/>
              <w:keepLines/>
              <w:jc w:val="center"/>
              <w:rPr>
                <w:sz w:val="24"/>
              </w:rPr>
            </w:pPr>
            <w:r w:rsidRPr="009D2482">
              <w:rPr>
                <w:sz w:val="24"/>
              </w:rPr>
              <w:t>2017</w:t>
            </w:r>
          </w:p>
        </w:tc>
        <w:tc>
          <w:tcPr>
            <w:tcW w:w="3555" w:type="dxa"/>
          </w:tcPr>
          <w:p w14:paraId="31BE7940" w14:textId="77777777" w:rsidR="009D2482" w:rsidRPr="009D2482" w:rsidRDefault="009D2482" w:rsidP="009D2482">
            <w:pPr>
              <w:keepNext/>
              <w:keepLines/>
              <w:jc w:val="center"/>
              <w:rPr>
                <w:sz w:val="24"/>
              </w:rPr>
            </w:pPr>
            <w:r w:rsidRPr="009D2482">
              <w:rPr>
                <w:sz w:val="24"/>
              </w:rPr>
              <w:t>300,000</w:t>
            </w:r>
          </w:p>
        </w:tc>
      </w:tr>
      <w:tr w:rsidR="009D2482" w:rsidRPr="009D2482" w14:paraId="53BE8E66" w14:textId="77777777" w:rsidTr="0063641F">
        <w:tc>
          <w:tcPr>
            <w:tcW w:w="3195" w:type="dxa"/>
          </w:tcPr>
          <w:p w14:paraId="3BAB945B" w14:textId="77777777" w:rsidR="009D2482" w:rsidRPr="009D2482" w:rsidRDefault="009D2482" w:rsidP="009D2482">
            <w:pPr>
              <w:keepNext/>
              <w:keepLines/>
              <w:jc w:val="center"/>
              <w:rPr>
                <w:sz w:val="24"/>
              </w:rPr>
            </w:pPr>
            <w:r w:rsidRPr="009D2482">
              <w:rPr>
                <w:sz w:val="24"/>
              </w:rPr>
              <w:t>2018</w:t>
            </w:r>
          </w:p>
        </w:tc>
        <w:tc>
          <w:tcPr>
            <w:tcW w:w="3555" w:type="dxa"/>
          </w:tcPr>
          <w:p w14:paraId="40673DE7" w14:textId="77777777" w:rsidR="009D2482" w:rsidRPr="009D2482" w:rsidRDefault="009D2482" w:rsidP="009D2482">
            <w:pPr>
              <w:keepNext/>
              <w:keepLines/>
              <w:jc w:val="center"/>
              <w:rPr>
                <w:sz w:val="24"/>
              </w:rPr>
            </w:pPr>
            <w:r w:rsidRPr="009D2482">
              <w:rPr>
                <w:sz w:val="24"/>
              </w:rPr>
              <w:t>300,000</w:t>
            </w:r>
          </w:p>
        </w:tc>
      </w:tr>
      <w:tr w:rsidR="009D2482" w:rsidRPr="009D2482" w14:paraId="565B2DB6" w14:textId="77777777" w:rsidTr="0063641F">
        <w:tc>
          <w:tcPr>
            <w:tcW w:w="3195" w:type="dxa"/>
          </w:tcPr>
          <w:p w14:paraId="5069C3D5" w14:textId="77777777" w:rsidR="009D2482" w:rsidRPr="009D2482" w:rsidRDefault="009D2482" w:rsidP="009D2482">
            <w:pPr>
              <w:jc w:val="center"/>
              <w:rPr>
                <w:sz w:val="24"/>
              </w:rPr>
            </w:pPr>
            <w:r w:rsidRPr="009D2482">
              <w:rPr>
                <w:sz w:val="24"/>
              </w:rPr>
              <w:t>2019</w:t>
            </w:r>
          </w:p>
        </w:tc>
        <w:tc>
          <w:tcPr>
            <w:tcW w:w="3555" w:type="dxa"/>
          </w:tcPr>
          <w:p w14:paraId="048AA7FC" w14:textId="77777777" w:rsidR="009D2482" w:rsidRPr="009D2482" w:rsidRDefault="009D2482" w:rsidP="009D2482">
            <w:pPr>
              <w:jc w:val="center"/>
              <w:rPr>
                <w:sz w:val="24"/>
              </w:rPr>
            </w:pPr>
            <w:r w:rsidRPr="009D2482">
              <w:rPr>
                <w:sz w:val="24"/>
              </w:rPr>
              <w:t>300,000</w:t>
            </w:r>
          </w:p>
        </w:tc>
      </w:tr>
      <w:tr w:rsidR="009D2482" w:rsidRPr="009D2482" w14:paraId="0DFC755B" w14:textId="77777777" w:rsidTr="0063641F">
        <w:tc>
          <w:tcPr>
            <w:tcW w:w="3195" w:type="dxa"/>
          </w:tcPr>
          <w:p w14:paraId="02F57DAE" w14:textId="77777777" w:rsidR="009D2482" w:rsidRPr="009D2482" w:rsidRDefault="009D2482" w:rsidP="009D2482">
            <w:pPr>
              <w:keepNext/>
              <w:keepLines/>
              <w:jc w:val="center"/>
              <w:rPr>
                <w:sz w:val="24"/>
              </w:rPr>
            </w:pPr>
            <w:r w:rsidRPr="009D2482">
              <w:rPr>
                <w:sz w:val="24"/>
              </w:rPr>
              <w:t>2020</w:t>
            </w:r>
          </w:p>
        </w:tc>
        <w:tc>
          <w:tcPr>
            <w:tcW w:w="3555" w:type="dxa"/>
          </w:tcPr>
          <w:p w14:paraId="1EE33888" w14:textId="77777777" w:rsidR="009D2482" w:rsidRPr="009D2482" w:rsidRDefault="009D2482" w:rsidP="009D2482">
            <w:pPr>
              <w:jc w:val="center"/>
              <w:rPr>
                <w:sz w:val="24"/>
              </w:rPr>
            </w:pPr>
            <w:r w:rsidRPr="009D2482">
              <w:rPr>
                <w:sz w:val="24"/>
              </w:rPr>
              <w:t>300,000</w:t>
            </w:r>
          </w:p>
        </w:tc>
      </w:tr>
      <w:tr w:rsidR="009D2482" w:rsidRPr="009D2482" w14:paraId="5A924F5C" w14:textId="77777777" w:rsidTr="0063641F">
        <w:tc>
          <w:tcPr>
            <w:tcW w:w="3195" w:type="dxa"/>
          </w:tcPr>
          <w:p w14:paraId="292ED42A" w14:textId="77777777" w:rsidR="009D2482" w:rsidRPr="009D2482" w:rsidRDefault="009D2482" w:rsidP="009D2482">
            <w:pPr>
              <w:jc w:val="center"/>
              <w:rPr>
                <w:sz w:val="24"/>
              </w:rPr>
            </w:pPr>
            <w:r w:rsidRPr="009D2482">
              <w:rPr>
                <w:sz w:val="24"/>
              </w:rPr>
              <w:t>2021</w:t>
            </w:r>
          </w:p>
        </w:tc>
        <w:tc>
          <w:tcPr>
            <w:tcW w:w="3555" w:type="dxa"/>
          </w:tcPr>
          <w:p w14:paraId="048E1A44" w14:textId="77777777" w:rsidR="009D2482" w:rsidRPr="009D2482" w:rsidRDefault="009D2482" w:rsidP="009D2482">
            <w:pPr>
              <w:jc w:val="center"/>
              <w:rPr>
                <w:sz w:val="24"/>
              </w:rPr>
            </w:pPr>
            <w:r w:rsidRPr="009D2482">
              <w:rPr>
                <w:sz w:val="24"/>
              </w:rPr>
              <w:t>300,000</w:t>
            </w:r>
          </w:p>
        </w:tc>
      </w:tr>
    </w:tbl>
    <w:p w14:paraId="39FB6027" w14:textId="77777777" w:rsidR="009D2482" w:rsidRPr="009D2482" w:rsidRDefault="009D2482" w:rsidP="009D2482">
      <w:pPr>
        <w:jc w:val="center"/>
        <w:rPr>
          <w:b/>
          <w:sz w:val="24"/>
        </w:rPr>
      </w:pPr>
    </w:p>
    <w:p w14:paraId="7BA488F0" w14:textId="77777777" w:rsidR="009D2482" w:rsidRPr="009D2482" w:rsidRDefault="009D2482" w:rsidP="009D2482">
      <w:pPr>
        <w:keepNext/>
        <w:jc w:val="center"/>
        <w:rPr>
          <w:b/>
          <w:sz w:val="24"/>
        </w:rPr>
      </w:pPr>
      <w:r w:rsidRPr="009D2482">
        <w:rPr>
          <w:b/>
          <w:sz w:val="24"/>
        </w:rPr>
        <w:t>Ta</w:t>
      </w:r>
      <w:r>
        <w:rPr>
          <w:b/>
          <w:sz w:val="24"/>
        </w:rPr>
        <w:t>ble 2:  Estimated Number of DMEPOS Supplier Revalidations</w:t>
      </w:r>
      <w:r w:rsidRPr="009D2482">
        <w:rPr>
          <w:b/>
          <w:sz w:val="24"/>
        </w:rPr>
        <w:t>: 2017</w:t>
      </w:r>
      <w:r w:rsidRPr="009D2482">
        <w:rPr>
          <w:b/>
          <w:sz w:val="24"/>
        </w:rPr>
        <w:noBreakHyphen/>
        <w:t>2021</w:t>
      </w:r>
    </w:p>
    <w:p w14:paraId="7226580B" w14:textId="77777777" w:rsidR="009D2482" w:rsidRPr="009D2482" w:rsidRDefault="009D2482" w:rsidP="009D2482">
      <w:pPr>
        <w:keepNex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80"/>
      </w:tblGrid>
      <w:tr w:rsidR="009D2482" w:rsidRPr="009D2482" w14:paraId="05F1CE73" w14:textId="77777777" w:rsidTr="0063641F">
        <w:trPr>
          <w:jc w:val="center"/>
        </w:trPr>
        <w:tc>
          <w:tcPr>
            <w:tcW w:w="2160" w:type="dxa"/>
          </w:tcPr>
          <w:p w14:paraId="440C9DC0" w14:textId="77777777" w:rsidR="009D2482" w:rsidRPr="009D2482" w:rsidRDefault="009D2482" w:rsidP="009D2482">
            <w:pPr>
              <w:keepNext/>
              <w:jc w:val="center"/>
              <w:rPr>
                <w:b/>
                <w:sz w:val="24"/>
              </w:rPr>
            </w:pPr>
            <w:r w:rsidRPr="009D2482">
              <w:rPr>
                <w:b/>
                <w:sz w:val="24"/>
              </w:rPr>
              <w:t>Calendar year</w:t>
            </w:r>
          </w:p>
        </w:tc>
        <w:tc>
          <w:tcPr>
            <w:tcW w:w="2880" w:type="dxa"/>
          </w:tcPr>
          <w:p w14:paraId="330C9D0D" w14:textId="77777777" w:rsidR="009D2482" w:rsidRPr="009D2482" w:rsidRDefault="009D2482" w:rsidP="009D2482">
            <w:pPr>
              <w:keepNext/>
              <w:jc w:val="center"/>
              <w:rPr>
                <w:b/>
                <w:sz w:val="24"/>
              </w:rPr>
            </w:pPr>
            <w:r w:rsidRPr="009D2482">
              <w:rPr>
                <w:b/>
                <w:sz w:val="24"/>
              </w:rPr>
              <w:t>Number of Revalidations</w:t>
            </w:r>
          </w:p>
        </w:tc>
      </w:tr>
      <w:tr w:rsidR="009D2482" w:rsidRPr="009D2482" w14:paraId="6F1D2426" w14:textId="77777777" w:rsidTr="0063641F">
        <w:trPr>
          <w:jc w:val="center"/>
        </w:trPr>
        <w:tc>
          <w:tcPr>
            <w:tcW w:w="2160" w:type="dxa"/>
          </w:tcPr>
          <w:p w14:paraId="2889B346" w14:textId="77777777" w:rsidR="009D2482" w:rsidRPr="009D2482" w:rsidRDefault="009D2482" w:rsidP="009D2482">
            <w:pPr>
              <w:jc w:val="center"/>
              <w:rPr>
                <w:sz w:val="24"/>
              </w:rPr>
            </w:pPr>
            <w:r w:rsidRPr="009D2482">
              <w:rPr>
                <w:sz w:val="24"/>
              </w:rPr>
              <w:t>2017</w:t>
            </w:r>
          </w:p>
        </w:tc>
        <w:tc>
          <w:tcPr>
            <w:tcW w:w="2880" w:type="dxa"/>
          </w:tcPr>
          <w:p w14:paraId="45AF3F53" w14:textId="77777777" w:rsidR="009D2482" w:rsidRPr="009D2482" w:rsidRDefault="009D2482" w:rsidP="009D2482">
            <w:pPr>
              <w:jc w:val="center"/>
              <w:rPr>
                <w:sz w:val="24"/>
              </w:rPr>
            </w:pPr>
            <w:r w:rsidRPr="009D2482">
              <w:rPr>
                <w:sz w:val="24"/>
              </w:rPr>
              <w:t>29,000</w:t>
            </w:r>
          </w:p>
        </w:tc>
      </w:tr>
      <w:tr w:rsidR="009D2482" w:rsidRPr="009D2482" w14:paraId="451294A2" w14:textId="77777777" w:rsidTr="0063641F">
        <w:trPr>
          <w:jc w:val="center"/>
        </w:trPr>
        <w:tc>
          <w:tcPr>
            <w:tcW w:w="2160" w:type="dxa"/>
          </w:tcPr>
          <w:p w14:paraId="4C00AD35" w14:textId="77777777" w:rsidR="009D2482" w:rsidRPr="009D2482" w:rsidRDefault="009D2482" w:rsidP="009D2482">
            <w:pPr>
              <w:jc w:val="center"/>
              <w:rPr>
                <w:sz w:val="24"/>
              </w:rPr>
            </w:pPr>
            <w:r w:rsidRPr="009D2482">
              <w:rPr>
                <w:sz w:val="24"/>
              </w:rPr>
              <w:t>2018</w:t>
            </w:r>
          </w:p>
        </w:tc>
        <w:tc>
          <w:tcPr>
            <w:tcW w:w="2880" w:type="dxa"/>
          </w:tcPr>
          <w:p w14:paraId="51019734" w14:textId="77777777" w:rsidR="009D2482" w:rsidRPr="009D2482" w:rsidRDefault="009D2482" w:rsidP="009D2482">
            <w:pPr>
              <w:jc w:val="center"/>
              <w:rPr>
                <w:sz w:val="24"/>
              </w:rPr>
            </w:pPr>
            <w:r w:rsidRPr="009D2482">
              <w:rPr>
                <w:sz w:val="24"/>
              </w:rPr>
              <w:t>29,000</w:t>
            </w:r>
          </w:p>
        </w:tc>
      </w:tr>
      <w:tr w:rsidR="009D2482" w:rsidRPr="009D2482" w14:paraId="46A03AD3" w14:textId="77777777" w:rsidTr="0063641F">
        <w:trPr>
          <w:jc w:val="center"/>
        </w:trPr>
        <w:tc>
          <w:tcPr>
            <w:tcW w:w="2160" w:type="dxa"/>
          </w:tcPr>
          <w:p w14:paraId="74DCF685" w14:textId="77777777" w:rsidR="009D2482" w:rsidRPr="009D2482" w:rsidRDefault="009D2482" w:rsidP="009D2482">
            <w:pPr>
              <w:jc w:val="center"/>
              <w:rPr>
                <w:sz w:val="24"/>
              </w:rPr>
            </w:pPr>
            <w:r w:rsidRPr="009D2482">
              <w:rPr>
                <w:sz w:val="24"/>
              </w:rPr>
              <w:t>2019</w:t>
            </w:r>
          </w:p>
        </w:tc>
        <w:tc>
          <w:tcPr>
            <w:tcW w:w="2880" w:type="dxa"/>
          </w:tcPr>
          <w:p w14:paraId="5BEA4D31" w14:textId="77777777" w:rsidR="009D2482" w:rsidRPr="009D2482" w:rsidRDefault="009D2482" w:rsidP="009D2482">
            <w:pPr>
              <w:jc w:val="center"/>
              <w:rPr>
                <w:sz w:val="24"/>
              </w:rPr>
            </w:pPr>
            <w:r w:rsidRPr="009D2482">
              <w:rPr>
                <w:sz w:val="24"/>
              </w:rPr>
              <w:t>29,000</w:t>
            </w:r>
          </w:p>
        </w:tc>
      </w:tr>
      <w:tr w:rsidR="009D2482" w:rsidRPr="009D2482" w14:paraId="762DDC99" w14:textId="77777777" w:rsidTr="0063641F">
        <w:trPr>
          <w:jc w:val="center"/>
        </w:trPr>
        <w:tc>
          <w:tcPr>
            <w:tcW w:w="2160" w:type="dxa"/>
          </w:tcPr>
          <w:p w14:paraId="0BFD8B52" w14:textId="77777777" w:rsidR="009D2482" w:rsidRPr="009D2482" w:rsidRDefault="009D2482" w:rsidP="009D2482">
            <w:pPr>
              <w:jc w:val="center"/>
              <w:rPr>
                <w:sz w:val="24"/>
              </w:rPr>
            </w:pPr>
            <w:r w:rsidRPr="009D2482">
              <w:rPr>
                <w:sz w:val="24"/>
              </w:rPr>
              <w:t>2020</w:t>
            </w:r>
          </w:p>
        </w:tc>
        <w:tc>
          <w:tcPr>
            <w:tcW w:w="2880" w:type="dxa"/>
          </w:tcPr>
          <w:p w14:paraId="18D67407" w14:textId="77777777" w:rsidR="009D2482" w:rsidRPr="009D2482" w:rsidRDefault="009D2482" w:rsidP="009D2482">
            <w:pPr>
              <w:jc w:val="center"/>
              <w:rPr>
                <w:sz w:val="24"/>
              </w:rPr>
            </w:pPr>
            <w:r w:rsidRPr="009D2482">
              <w:rPr>
                <w:sz w:val="24"/>
              </w:rPr>
              <w:t>29,000</w:t>
            </w:r>
          </w:p>
        </w:tc>
      </w:tr>
      <w:tr w:rsidR="009D2482" w:rsidRPr="009D2482" w14:paraId="64D5737E" w14:textId="77777777" w:rsidTr="0063641F">
        <w:trPr>
          <w:jc w:val="center"/>
        </w:trPr>
        <w:tc>
          <w:tcPr>
            <w:tcW w:w="2160" w:type="dxa"/>
          </w:tcPr>
          <w:p w14:paraId="5874D24A" w14:textId="77777777" w:rsidR="009D2482" w:rsidRPr="009D2482" w:rsidRDefault="009D2482" w:rsidP="009D2482">
            <w:pPr>
              <w:jc w:val="center"/>
              <w:rPr>
                <w:sz w:val="24"/>
              </w:rPr>
            </w:pPr>
            <w:r w:rsidRPr="009D2482">
              <w:rPr>
                <w:sz w:val="24"/>
              </w:rPr>
              <w:t>2021</w:t>
            </w:r>
          </w:p>
        </w:tc>
        <w:tc>
          <w:tcPr>
            <w:tcW w:w="2880" w:type="dxa"/>
          </w:tcPr>
          <w:p w14:paraId="14B452B4" w14:textId="77777777" w:rsidR="009D2482" w:rsidRPr="009D2482" w:rsidRDefault="009D2482" w:rsidP="009D2482">
            <w:pPr>
              <w:jc w:val="center"/>
              <w:rPr>
                <w:sz w:val="24"/>
              </w:rPr>
            </w:pPr>
            <w:r w:rsidRPr="009D2482">
              <w:rPr>
                <w:sz w:val="24"/>
              </w:rPr>
              <w:t>29,000</w:t>
            </w:r>
          </w:p>
        </w:tc>
      </w:tr>
    </w:tbl>
    <w:p w14:paraId="6BBC9A23" w14:textId="77777777" w:rsidR="009D2482" w:rsidRDefault="009D2482" w:rsidP="009D2482">
      <w:pPr>
        <w:tabs>
          <w:tab w:val="left" w:pos="0"/>
        </w:tabs>
        <w:ind w:firstLine="720"/>
        <w:rPr>
          <w:sz w:val="24"/>
        </w:rPr>
      </w:pPr>
    </w:p>
    <w:p w14:paraId="3D722A19" w14:textId="77777777" w:rsidR="009D2482" w:rsidRPr="009D2482" w:rsidRDefault="009D2482" w:rsidP="009D2482">
      <w:pPr>
        <w:tabs>
          <w:tab w:val="left" w:pos="0"/>
        </w:tabs>
        <w:ind w:firstLine="720"/>
        <w:rPr>
          <w:sz w:val="24"/>
        </w:rPr>
      </w:pPr>
    </w:p>
    <w:p w14:paraId="5FC5E4CF" w14:textId="77777777" w:rsidR="009D2482" w:rsidRPr="009D2482" w:rsidRDefault="00641630" w:rsidP="009D2482">
      <w:pPr>
        <w:keepNext/>
        <w:keepLines/>
        <w:jc w:val="center"/>
        <w:rPr>
          <w:b/>
          <w:sz w:val="24"/>
        </w:rPr>
      </w:pPr>
      <w:r>
        <w:rPr>
          <w:b/>
          <w:sz w:val="24"/>
        </w:rPr>
        <w:t>Table 3</w:t>
      </w:r>
      <w:r w:rsidR="009D2482" w:rsidRPr="009D2482">
        <w:rPr>
          <w:b/>
          <w:sz w:val="24"/>
        </w:rPr>
        <w:t xml:space="preserve">:  </w:t>
      </w:r>
      <w:r>
        <w:rPr>
          <w:b/>
          <w:sz w:val="24"/>
        </w:rPr>
        <w:t xml:space="preserve">Estimated Number of Revalidations: </w:t>
      </w:r>
      <w:r w:rsidR="009D2482" w:rsidRPr="009D2482">
        <w:rPr>
          <w:b/>
          <w:sz w:val="24"/>
        </w:rPr>
        <w:t>2017</w:t>
      </w:r>
      <w:r w:rsidR="009D2482" w:rsidRPr="009D2482">
        <w:rPr>
          <w:b/>
          <w:sz w:val="24"/>
        </w:rPr>
        <w:noBreakHyphen/>
        <w:t>2021*</w:t>
      </w:r>
    </w:p>
    <w:p w14:paraId="45E7D056" w14:textId="77777777" w:rsidR="009D2482" w:rsidRPr="009D2482" w:rsidRDefault="009D2482" w:rsidP="009D2482">
      <w:pPr>
        <w:keepNext/>
        <w:keepLines/>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105"/>
      </w:tblGrid>
      <w:tr w:rsidR="009D2482" w:rsidRPr="009D2482" w14:paraId="4A600A14" w14:textId="77777777" w:rsidTr="0063641F">
        <w:trPr>
          <w:jc w:val="center"/>
        </w:trPr>
        <w:tc>
          <w:tcPr>
            <w:tcW w:w="1845" w:type="dxa"/>
          </w:tcPr>
          <w:p w14:paraId="693045BC" w14:textId="77777777" w:rsidR="009D2482" w:rsidRPr="009D2482" w:rsidRDefault="009D2482" w:rsidP="009D2482">
            <w:pPr>
              <w:keepNext/>
              <w:keepLines/>
              <w:jc w:val="center"/>
              <w:rPr>
                <w:b/>
                <w:sz w:val="24"/>
              </w:rPr>
            </w:pPr>
            <w:r w:rsidRPr="009D2482">
              <w:rPr>
                <w:b/>
                <w:sz w:val="24"/>
              </w:rPr>
              <w:t>Calendar</w:t>
            </w:r>
            <w:r w:rsidR="00805D82">
              <w:rPr>
                <w:b/>
                <w:sz w:val="24"/>
              </w:rPr>
              <w:t> Y</w:t>
            </w:r>
            <w:r w:rsidRPr="009D2482">
              <w:rPr>
                <w:b/>
                <w:sz w:val="24"/>
              </w:rPr>
              <w:t>ear</w:t>
            </w:r>
          </w:p>
        </w:tc>
        <w:tc>
          <w:tcPr>
            <w:tcW w:w="3105" w:type="dxa"/>
          </w:tcPr>
          <w:p w14:paraId="7BF03CF9" w14:textId="77777777" w:rsidR="009D2482" w:rsidRPr="009D2482" w:rsidRDefault="009D2482" w:rsidP="009D2482">
            <w:pPr>
              <w:keepNext/>
              <w:keepLines/>
              <w:jc w:val="center"/>
              <w:rPr>
                <w:b/>
                <w:sz w:val="24"/>
              </w:rPr>
            </w:pPr>
            <w:r w:rsidRPr="009D2482">
              <w:rPr>
                <w:b/>
                <w:sz w:val="24"/>
              </w:rPr>
              <w:t>Number of Revalidations</w:t>
            </w:r>
          </w:p>
        </w:tc>
      </w:tr>
      <w:tr w:rsidR="009D2482" w:rsidRPr="009D2482" w14:paraId="28158A82" w14:textId="77777777" w:rsidTr="0063641F">
        <w:trPr>
          <w:jc w:val="center"/>
        </w:trPr>
        <w:tc>
          <w:tcPr>
            <w:tcW w:w="1845" w:type="dxa"/>
          </w:tcPr>
          <w:p w14:paraId="616F7136" w14:textId="77777777" w:rsidR="009D2482" w:rsidRPr="009D2482" w:rsidRDefault="009D2482" w:rsidP="009D2482">
            <w:pPr>
              <w:keepNext/>
              <w:keepLines/>
              <w:jc w:val="center"/>
              <w:rPr>
                <w:sz w:val="24"/>
              </w:rPr>
            </w:pPr>
            <w:r w:rsidRPr="009D2482">
              <w:rPr>
                <w:sz w:val="24"/>
              </w:rPr>
              <w:t>2017</w:t>
            </w:r>
          </w:p>
        </w:tc>
        <w:tc>
          <w:tcPr>
            <w:tcW w:w="3105" w:type="dxa"/>
          </w:tcPr>
          <w:p w14:paraId="0B571D8E" w14:textId="77777777" w:rsidR="009D2482" w:rsidRPr="009D2482" w:rsidRDefault="009D2482" w:rsidP="009D2482">
            <w:pPr>
              <w:keepNext/>
              <w:keepLines/>
              <w:jc w:val="center"/>
              <w:rPr>
                <w:sz w:val="24"/>
              </w:rPr>
            </w:pPr>
            <w:r w:rsidRPr="009D2482">
              <w:rPr>
                <w:sz w:val="24"/>
              </w:rPr>
              <w:t>329,000</w:t>
            </w:r>
          </w:p>
        </w:tc>
      </w:tr>
      <w:tr w:rsidR="009D2482" w:rsidRPr="009D2482" w14:paraId="2298415A" w14:textId="77777777" w:rsidTr="0063641F">
        <w:trPr>
          <w:jc w:val="center"/>
        </w:trPr>
        <w:tc>
          <w:tcPr>
            <w:tcW w:w="1845" w:type="dxa"/>
          </w:tcPr>
          <w:p w14:paraId="5D6F605C" w14:textId="77777777" w:rsidR="009D2482" w:rsidRPr="009D2482" w:rsidRDefault="009D2482" w:rsidP="009D2482">
            <w:pPr>
              <w:keepNext/>
              <w:keepLines/>
              <w:jc w:val="center"/>
              <w:rPr>
                <w:sz w:val="24"/>
              </w:rPr>
            </w:pPr>
            <w:r w:rsidRPr="009D2482">
              <w:rPr>
                <w:sz w:val="24"/>
              </w:rPr>
              <w:t>2018</w:t>
            </w:r>
          </w:p>
        </w:tc>
        <w:tc>
          <w:tcPr>
            <w:tcW w:w="3105" w:type="dxa"/>
          </w:tcPr>
          <w:p w14:paraId="14D0A009" w14:textId="77777777" w:rsidR="009D2482" w:rsidRPr="009D2482" w:rsidRDefault="009D2482" w:rsidP="009D2482">
            <w:pPr>
              <w:keepNext/>
              <w:keepLines/>
              <w:jc w:val="center"/>
              <w:rPr>
                <w:sz w:val="24"/>
              </w:rPr>
            </w:pPr>
            <w:r w:rsidRPr="009D2482">
              <w:rPr>
                <w:sz w:val="24"/>
              </w:rPr>
              <w:t>329,000</w:t>
            </w:r>
          </w:p>
        </w:tc>
      </w:tr>
      <w:tr w:rsidR="009D2482" w:rsidRPr="009D2482" w14:paraId="46827B17" w14:textId="77777777" w:rsidTr="0063641F">
        <w:trPr>
          <w:jc w:val="center"/>
        </w:trPr>
        <w:tc>
          <w:tcPr>
            <w:tcW w:w="1845" w:type="dxa"/>
          </w:tcPr>
          <w:p w14:paraId="460FE97E" w14:textId="77777777" w:rsidR="009D2482" w:rsidRPr="009D2482" w:rsidRDefault="009D2482" w:rsidP="009D2482">
            <w:pPr>
              <w:jc w:val="center"/>
              <w:rPr>
                <w:sz w:val="24"/>
              </w:rPr>
            </w:pPr>
            <w:r w:rsidRPr="009D2482">
              <w:rPr>
                <w:sz w:val="24"/>
              </w:rPr>
              <w:t>2019</w:t>
            </w:r>
          </w:p>
        </w:tc>
        <w:tc>
          <w:tcPr>
            <w:tcW w:w="3105" w:type="dxa"/>
          </w:tcPr>
          <w:p w14:paraId="6B7D71C5" w14:textId="77777777" w:rsidR="009D2482" w:rsidRPr="009D2482" w:rsidRDefault="009D2482" w:rsidP="009D2482">
            <w:pPr>
              <w:jc w:val="center"/>
              <w:rPr>
                <w:sz w:val="24"/>
              </w:rPr>
            </w:pPr>
            <w:r w:rsidRPr="009D2482">
              <w:rPr>
                <w:sz w:val="24"/>
              </w:rPr>
              <w:t>329,000</w:t>
            </w:r>
          </w:p>
        </w:tc>
      </w:tr>
      <w:tr w:rsidR="009D2482" w:rsidRPr="009D2482" w14:paraId="49D66B44" w14:textId="77777777" w:rsidTr="0063641F">
        <w:trPr>
          <w:jc w:val="center"/>
        </w:trPr>
        <w:tc>
          <w:tcPr>
            <w:tcW w:w="1845" w:type="dxa"/>
          </w:tcPr>
          <w:p w14:paraId="16B90A2F" w14:textId="77777777" w:rsidR="009D2482" w:rsidRPr="009D2482" w:rsidRDefault="009D2482" w:rsidP="009D2482">
            <w:pPr>
              <w:jc w:val="center"/>
              <w:rPr>
                <w:sz w:val="24"/>
              </w:rPr>
            </w:pPr>
            <w:r w:rsidRPr="009D2482">
              <w:rPr>
                <w:sz w:val="24"/>
              </w:rPr>
              <w:t>2020</w:t>
            </w:r>
          </w:p>
        </w:tc>
        <w:tc>
          <w:tcPr>
            <w:tcW w:w="3105" w:type="dxa"/>
          </w:tcPr>
          <w:p w14:paraId="53C864F8" w14:textId="77777777" w:rsidR="009D2482" w:rsidRPr="009D2482" w:rsidRDefault="009D2482" w:rsidP="009D2482">
            <w:pPr>
              <w:jc w:val="center"/>
              <w:rPr>
                <w:sz w:val="24"/>
              </w:rPr>
            </w:pPr>
            <w:r w:rsidRPr="009D2482">
              <w:rPr>
                <w:sz w:val="24"/>
              </w:rPr>
              <w:t>329,000</w:t>
            </w:r>
          </w:p>
        </w:tc>
      </w:tr>
      <w:tr w:rsidR="009D2482" w:rsidRPr="009D2482" w14:paraId="3CF57F95" w14:textId="77777777" w:rsidTr="0063641F">
        <w:trPr>
          <w:jc w:val="center"/>
        </w:trPr>
        <w:tc>
          <w:tcPr>
            <w:tcW w:w="1845" w:type="dxa"/>
          </w:tcPr>
          <w:p w14:paraId="41DDDC21" w14:textId="77777777" w:rsidR="009D2482" w:rsidRPr="009D2482" w:rsidRDefault="009D2482" w:rsidP="009D2482">
            <w:pPr>
              <w:jc w:val="center"/>
              <w:rPr>
                <w:sz w:val="24"/>
              </w:rPr>
            </w:pPr>
            <w:r w:rsidRPr="009D2482">
              <w:rPr>
                <w:sz w:val="24"/>
              </w:rPr>
              <w:t>2021</w:t>
            </w:r>
          </w:p>
        </w:tc>
        <w:tc>
          <w:tcPr>
            <w:tcW w:w="3105" w:type="dxa"/>
          </w:tcPr>
          <w:p w14:paraId="7752C250" w14:textId="77777777" w:rsidR="009D2482" w:rsidRPr="009D2482" w:rsidRDefault="009D2482" w:rsidP="009D2482">
            <w:pPr>
              <w:jc w:val="center"/>
              <w:rPr>
                <w:sz w:val="24"/>
              </w:rPr>
            </w:pPr>
            <w:r w:rsidRPr="009D2482">
              <w:rPr>
                <w:sz w:val="24"/>
              </w:rPr>
              <w:t>329,000</w:t>
            </w:r>
          </w:p>
        </w:tc>
      </w:tr>
    </w:tbl>
    <w:p w14:paraId="312C4F2C" w14:textId="77777777" w:rsidR="009D2482" w:rsidRPr="009D2482" w:rsidRDefault="009D2482" w:rsidP="009D2482">
      <w:pPr>
        <w:tabs>
          <w:tab w:val="left" w:pos="0"/>
          <w:tab w:val="left" w:pos="720"/>
          <w:tab w:val="left" w:pos="1800"/>
        </w:tabs>
        <w:ind w:firstLine="720"/>
        <w:rPr>
          <w:szCs w:val="20"/>
        </w:rPr>
      </w:pPr>
      <w:r w:rsidRPr="009D2482">
        <w:rPr>
          <w:sz w:val="24"/>
        </w:rPr>
        <w:tab/>
      </w:r>
      <w:r w:rsidRPr="009D2482">
        <w:rPr>
          <w:sz w:val="24"/>
        </w:rPr>
        <w:tab/>
      </w:r>
      <w:r>
        <w:rPr>
          <w:szCs w:val="20"/>
        </w:rPr>
        <w:t xml:space="preserve">* </w:t>
      </w:r>
      <w:r w:rsidR="00641630">
        <w:rPr>
          <w:szCs w:val="20"/>
        </w:rPr>
        <w:t>Table 3</w:t>
      </w:r>
      <w:r w:rsidRPr="009D2482">
        <w:rPr>
          <w:szCs w:val="20"/>
        </w:rPr>
        <w:t xml:space="preserve"> </w:t>
      </w:r>
      <w:r w:rsidR="00641630">
        <w:rPr>
          <w:szCs w:val="20"/>
        </w:rPr>
        <w:t>combines the figures in Tables 1 and 2</w:t>
      </w:r>
      <w:r w:rsidRPr="009D2482">
        <w:rPr>
          <w:szCs w:val="20"/>
        </w:rPr>
        <w:t>.</w:t>
      </w:r>
    </w:p>
    <w:p w14:paraId="0BE60EDF" w14:textId="77777777" w:rsidR="009D2482" w:rsidRPr="009D2482" w:rsidRDefault="009D2482" w:rsidP="009D2482">
      <w:pPr>
        <w:tabs>
          <w:tab w:val="left" w:pos="0"/>
          <w:tab w:val="left" w:pos="720"/>
          <w:tab w:val="left" w:pos="1800"/>
        </w:tabs>
        <w:ind w:firstLine="720"/>
        <w:rPr>
          <w:sz w:val="24"/>
        </w:rPr>
      </w:pPr>
    </w:p>
    <w:p w14:paraId="13D54A38" w14:textId="77777777" w:rsidR="009D2482" w:rsidRPr="009D2482" w:rsidRDefault="009D2482" w:rsidP="009D2482">
      <w:pPr>
        <w:rPr>
          <w:sz w:val="24"/>
        </w:rPr>
      </w:pPr>
      <w:r w:rsidRPr="009D2482">
        <w:rPr>
          <w:sz w:val="24"/>
        </w:rPr>
        <w:t>Using our estimate of 329,000 affected providers and suppliers each year, we project an annual ICR cost burden of $</w:t>
      </w:r>
      <w:r w:rsidR="002504BC">
        <w:rPr>
          <w:sz w:val="24"/>
        </w:rPr>
        <w:t>112,386,4</w:t>
      </w:r>
      <w:r w:rsidRPr="009D2482">
        <w:rPr>
          <w:sz w:val="24"/>
        </w:rPr>
        <w:t>00 (329,000 x 10 hours x $</w:t>
      </w:r>
      <w:r w:rsidR="002504BC">
        <w:rPr>
          <w:sz w:val="24"/>
        </w:rPr>
        <w:t>34.16</w:t>
      </w:r>
      <w:r w:rsidRPr="009D2482">
        <w:rPr>
          <w:sz w:val="24"/>
        </w:rPr>
        <w:t xml:space="preserve">).  </w:t>
      </w:r>
    </w:p>
    <w:p w14:paraId="788D0B93" w14:textId="77777777" w:rsidR="00805D82" w:rsidRDefault="00805D82" w:rsidP="009D2482">
      <w:pPr>
        <w:rPr>
          <w:sz w:val="24"/>
        </w:rPr>
      </w:pPr>
    </w:p>
    <w:p w14:paraId="5602004F" w14:textId="77777777" w:rsidR="009D2482" w:rsidRPr="00641630" w:rsidRDefault="009D2482" w:rsidP="009D2482">
      <w:pPr>
        <w:numPr>
          <w:ilvl w:val="0"/>
          <w:numId w:val="22"/>
        </w:numPr>
        <w:ind w:left="360"/>
        <w:rPr>
          <w:sz w:val="24"/>
        </w:rPr>
      </w:pPr>
      <w:r w:rsidRPr="00641630">
        <w:rPr>
          <w:sz w:val="24"/>
        </w:rPr>
        <w:t>New and Changed Affiliations (§ 424.519(h))</w:t>
      </w:r>
    </w:p>
    <w:p w14:paraId="25D2C4EC" w14:textId="77777777" w:rsidR="00805D82" w:rsidRDefault="00805D82" w:rsidP="009D2482">
      <w:pPr>
        <w:rPr>
          <w:sz w:val="24"/>
        </w:rPr>
      </w:pPr>
    </w:p>
    <w:p w14:paraId="21D94CA1" w14:textId="77777777" w:rsidR="009D2482" w:rsidRPr="009D2482" w:rsidRDefault="009D2482" w:rsidP="00641630">
      <w:pPr>
        <w:ind w:left="360"/>
        <w:rPr>
          <w:sz w:val="24"/>
        </w:rPr>
      </w:pPr>
      <w:r w:rsidRPr="009D2482">
        <w:rPr>
          <w:sz w:val="24"/>
        </w:rPr>
        <w:t>Generally speaking, the Form CMS</w:t>
      </w:r>
      <w:r w:rsidRPr="009D2482">
        <w:rPr>
          <w:sz w:val="24"/>
        </w:rPr>
        <w:noBreakHyphen/>
        <w:t>855 does not presently collect information regarding the provider's or supplier's (or the provider's or supplier's owning or managing individuals' and organizations') interests in other Medicare providers and suppliers.  As such, we cannot reasonably estimate the number of providers and suppliers that would submit Form CMS</w:t>
      </w:r>
      <w:r w:rsidRPr="009D2482">
        <w:rPr>
          <w:sz w:val="24"/>
        </w:rPr>
        <w:noBreakHyphen/>
        <w:t>855 change of information applications reporting a new or changed affiliation.  We have no historical data on which to base such a projection.</w:t>
      </w:r>
    </w:p>
    <w:p w14:paraId="285D8D7D" w14:textId="77777777" w:rsidR="00805D82" w:rsidRDefault="00805D82" w:rsidP="009D2482">
      <w:pPr>
        <w:rPr>
          <w:sz w:val="24"/>
        </w:rPr>
      </w:pPr>
    </w:p>
    <w:p w14:paraId="2809B573" w14:textId="77777777" w:rsidR="00641630" w:rsidRPr="00641630" w:rsidRDefault="00641630" w:rsidP="009D2482">
      <w:pPr>
        <w:numPr>
          <w:ilvl w:val="0"/>
          <w:numId w:val="22"/>
        </w:numPr>
        <w:ind w:left="360"/>
        <w:rPr>
          <w:sz w:val="24"/>
        </w:rPr>
      </w:pPr>
      <w:r>
        <w:rPr>
          <w:sz w:val="24"/>
        </w:rPr>
        <w:t>M</w:t>
      </w:r>
      <w:r w:rsidRPr="00641630">
        <w:rPr>
          <w:sz w:val="24"/>
        </w:rPr>
        <w:t xml:space="preserve">edicare </w:t>
      </w:r>
      <w:r>
        <w:rPr>
          <w:sz w:val="24"/>
        </w:rPr>
        <w:t>--</w:t>
      </w:r>
      <w:r w:rsidRPr="00641630">
        <w:rPr>
          <w:sz w:val="24"/>
        </w:rPr>
        <w:t>- Totals</w:t>
      </w:r>
    </w:p>
    <w:p w14:paraId="1782C9BB" w14:textId="77777777" w:rsidR="00641630" w:rsidRDefault="00641630" w:rsidP="009D2482">
      <w:pPr>
        <w:rPr>
          <w:sz w:val="24"/>
        </w:rPr>
      </w:pPr>
    </w:p>
    <w:p w14:paraId="0F81D351" w14:textId="77777777" w:rsidR="009D2482" w:rsidRPr="009D2482" w:rsidRDefault="009D2482" w:rsidP="00641630">
      <w:pPr>
        <w:ind w:left="360"/>
        <w:rPr>
          <w:i/>
          <w:sz w:val="24"/>
        </w:rPr>
      </w:pPr>
      <w:r w:rsidRPr="009D2482">
        <w:rPr>
          <w:sz w:val="24"/>
        </w:rPr>
        <w:t>We estim</w:t>
      </w:r>
      <w:r w:rsidR="00641630">
        <w:rPr>
          <w:sz w:val="24"/>
        </w:rPr>
        <w:t>ate a total annual ICR burden for</w:t>
      </w:r>
      <w:r w:rsidRPr="009D2482">
        <w:rPr>
          <w:sz w:val="24"/>
        </w:rPr>
        <w:t xml:space="preserve"> Medicare providers and suppliers from § 424.519 of 3,990,000 hours (700,000 + 3,290,000) at a cost of $</w:t>
      </w:r>
      <w:r w:rsidR="002504BC">
        <w:rPr>
          <w:sz w:val="24"/>
        </w:rPr>
        <w:t>136,298,400</w:t>
      </w:r>
      <w:r w:rsidRPr="009D2482">
        <w:rPr>
          <w:sz w:val="24"/>
        </w:rPr>
        <w:t xml:space="preserve"> ($</w:t>
      </w:r>
      <w:r w:rsidR="002504BC">
        <w:rPr>
          <w:sz w:val="24"/>
        </w:rPr>
        <w:t>23,912</w:t>
      </w:r>
      <w:r w:rsidRPr="009D2482">
        <w:rPr>
          <w:sz w:val="24"/>
        </w:rPr>
        <w:t>,000 + $</w:t>
      </w:r>
      <w:r w:rsidR="002504BC">
        <w:rPr>
          <w:sz w:val="24"/>
        </w:rPr>
        <w:t>112,386,400</w:t>
      </w:r>
      <w:r w:rsidRPr="009D2482">
        <w:rPr>
          <w:sz w:val="24"/>
        </w:rPr>
        <w:t>).  We recognize that this figure would be higher if an estimate of the § 424.519(h) impact were possible.</w:t>
      </w:r>
    </w:p>
    <w:p w14:paraId="02948FBD" w14:textId="77777777" w:rsidR="00805D82" w:rsidRDefault="00805D82" w:rsidP="009D2482">
      <w:pPr>
        <w:rPr>
          <w:sz w:val="24"/>
        </w:rPr>
      </w:pPr>
    </w:p>
    <w:p w14:paraId="185AF9D0" w14:textId="77777777" w:rsidR="00641630" w:rsidRDefault="00641630" w:rsidP="009D2482">
      <w:pPr>
        <w:rPr>
          <w:sz w:val="24"/>
        </w:rPr>
      </w:pPr>
    </w:p>
    <w:p w14:paraId="752E6439" w14:textId="77777777" w:rsidR="009D2482" w:rsidRDefault="00641630" w:rsidP="009D2482">
      <w:pPr>
        <w:rPr>
          <w:sz w:val="24"/>
        </w:rPr>
      </w:pPr>
      <w:r>
        <w:rPr>
          <w:sz w:val="24"/>
        </w:rPr>
        <w:t>ii</w:t>
      </w:r>
      <w:r w:rsidR="009D2482" w:rsidRPr="009D2482">
        <w:rPr>
          <w:sz w:val="24"/>
        </w:rPr>
        <w:t xml:space="preserve">.  </w:t>
      </w:r>
      <w:r>
        <w:rPr>
          <w:sz w:val="24"/>
        </w:rPr>
        <w:t xml:space="preserve"> </w:t>
      </w:r>
      <w:r w:rsidR="009D2482" w:rsidRPr="009D2482">
        <w:rPr>
          <w:sz w:val="24"/>
        </w:rPr>
        <w:t>Medicaid and CHIP</w:t>
      </w:r>
    </w:p>
    <w:p w14:paraId="0FC7D060" w14:textId="77777777" w:rsidR="00805D82" w:rsidRPr="009D2482" w:rsidRDefault="00805D82" w:rsidP="009D2482">
      <w:pPr>
        <w:rPr>
          <w:sz w:val="24"/>
        </w:rPr>
      </w:pPr>
    </w:p>
    <w:p w14:paraId="7F91BB7A" w14:textId="77777777" w:rsidR="009D2482" w:rsidRPr="009D2482" w:rsidRDefault="009D2482" w:rsidP="00641630">
      <w:pPr>
        <w:numPr>
          <w:ilvl w:val="0"/>
          <w:numId w:val="22"/>
        </w:numPr>
        <w:ind w:left="360"/>
        <w:rPr>
          <w:sz w:val="24"/>
        </w:rPr>
      </w:pPr>
      <w:r w:rsidRPr="009D2482">
        <w:rPr>
          <w:sz w:val="24"/>
        </w:rPr>
        <w:t>Initially Enrolling Providers (§ 455.107(b))</w:t>
      </w:r>
    </w:p>
    <w:p w14:paraId="14D237E6" w14:textId="77777777" w:rsidR="00805D82" w:rsidRDefault="00805D82" w:rsidP="00805D82">
      <w:pPr>
        <w:tabs>
          <w:tab w:val="left" w:pos="0"/>
        </w:tabs>
        <w:rPr>
          <w:sz w:val="24"/>
        </w:rPr>
      </w:pPr>
    </w:p>
    <w:p w14:paraId="5FB740B4" w14:textId="77777777" w:rsidR="009D2482" w:rsidRPr="009D2482" w:rsidRDefault="009D2482" w:rsidP="00641630">
      <w:pPr>
        <w:tabs>
          <w:tab w:val="left" w:pos="360"/>
        </w:tabs>
        <w:ind w:left="360"/>
        <w:rPr>
          <w:sz w:val="24"/>
        </w:rPr>
      </w:pPr>
      <w:r w:rsidRPr="009D2482">
        <w:rPr>
          <w:sz w:val="24"/>
        </w:rPr>
        <w:t>Based on existing data, we estimate that 56,250 providers in a given 12</w:t>
      </w:r>
      <w:r w:rsidRPr="009D2482">
        <w:rPr>
          <w:sz w:val="24"/>
        </w:rPr>
        <w:noBreakHyphen/>
        <w:t xml:space="preserve">month period seek to enroll in Medicaid or CHIP.  </w:t>
      </w:r>
      <w:r w:rsidR="00B47934">
        <w:rPr>
          <w:sz w:val="24"/>
        </w:rPr>
        <w:t>T</w:t>
      </w:r>
      <w:r w:rsidRPr="009D2482">
        <w:rPr>
          <w:sz w:val="24"/>
        </w:rPr>
        <w:t>he mechanism for collecting the data required under § 455.107 would lie within the state's discretion.  Regardless of the specific collection vehicle, we estimate it would take each provider an average of 10 hours to obtain and furnish this information, similar to our estimate for Medicare providers and suppliers.  This would result in an annual ICR hour burden of 562,500 hours.  At a per hour rate of $</w:t>
      </w:r>
      <w:r w:rsidR="002504BC">
        <w:rPr>
          <w:sz w:val="24"/>
        </w:rPr>
        <w:t>34.16</w:t>
      </w:r>
      <w:r w:rsidRPr="009D2482">
        <w:rPr>
          <w:sz w:val="24"/>
        </w:rPr>
        <w:t>, we estimate the annual cost burden to be $1</w:t>
      </w:r>
      <w:r w:rsidR="002504BC">
        <w:rPr>
          <w:sz w:val="24"/>
        </w:rPr>
        <w:t>9,215,000 (562,500 hours x $34.16</w:t>
      </w:r>
      <w:r w:rsidRPr="009D2482">
        <w:rPr>
          <w:sz w:val="24"/>
        </w:rPr>
        <w:t>).</w:t>
      </w:r>
    </w:p>
    <w:p w14:paraId="143A248B" w14:textId="77777777" w:rsidR="00805D82" w:rsidRDefault="00805D82" w:rsidP="009D2482">
      <w:pPr>
        <w:rPr>
          <w:sz w:val="24"/>
        </w:rPr>
      </w:pPr>
    </w:p>
    <w:p w14:paraId="1598923C" w14:textId="77777777" w:rsidR="009D2482" w:rsidRPr="009D2482" w:rsidRDefault="009D2482" w:rsidP="00B47934">
      <w:pPr>
        <w:numPr>
          <w:ilvl w:val="0"/>
          <w:numId w:val="22"/>
        </w:numPr>
        <w:ind w:left="360"/>
        <w:rPr>
          <w:sz w:val="24"/>
        </w:rPr>
      </w:pPr>
      <w:r w:rsidRPr="009D2482">
        <w:rPr>
          <w:sz w:val="24"/>
        </w:rPr>
        <w:t>Revalidating Providers (§ 455.107(b))</w:t>
      </w:r>
    </w:p>
    <w:p w14:paraId="192EC1F2" w14:textId="77777777" w:rsidR="00805D82" w:rsidRDefault="00805D82" w:rsidP="00805D82">
      <w:pPr>
        <w:tabs>
          <w:tab w:val="left" w:pos="0"/>
        </w:tabs>
        <w:rPr>
          <w:sz w:val="24"/>
        </w:rPr>
      </w:pPr>
    </w:p>
    <w:p w14:paraId="31D31298" w14:textId="77777777" w:rsidR="009D2482" w:rsidRPr="009D2482" w:rsidRDefault="009D2482" w:rsidP="00B47934">
      <w:pPr>
        <w:tabs>
          <w:tab w:val="left" w:pos="360"/>
        </w:tabs>
        <w:ind w:left="360"/>
        <w:rPr>
          <w:sz w:val="24"/>
        </w:rPr>
      </w:pPr>
      <w:r w:rsidRPr="009D2482">
        <w:rPr>
          <w:sz w:val="24"/>
        </w:rPr>
        <w:t>According to State Program Integrity Assessment data, there are approximately 1.9 million Medicaid</w:t>
      </w:r>
      <w:r w:rsidRPr="009D2482">
        <w:rPr>
          <w:sz w:val="24"/>
        </w:rPr>
        <w:noBreakHyphen/>
        <w:t>enrolled and CHIP</w:t>
      </w:r>
      <w:r w:rsidRPr="009D2482">
        <w:rPr>
          <w:sz w:val="24"/>
        </w:rPr>
        <w:noBreakHyphen/>
        <w:t>enrolled providers nationwide.  These providers must revalidate their enrollments every 5 years pursuant to § 455.414.  For purposes of</w:t>
      </w:r>
      <w:r w:rsidR="00B47934">
        <w:rPr>
          <w:sz w:val="24"/>
        </w:rPr>
        <w:t xml:space="preserve"> our</w:t>
      </w:r>
      <w:r w:rsidRPr="009D2482">
        <w:rPr>
          <w:sz w:val="24"/>
        </w:rPr>
        <w:t xml:space="preserve"> ICR </w:t>
      </w:r>
      <w:r w:rsidR="00B47934">
        <w:rPr>
          <w:sz w:val="24"/>
        </w:rPr>
        <w:t>estimates only</w:t>
      </w:r>
      <w:r w:rsidRPr="009D2482">
        <w:rPr>
          <w:sz w:val="24"/>
        </w:rPr>
        <w:t>, we project that an average of one</w:t>
      </w:r>
      <w:r w:rsidRPr="009D2482">
        <w:rPr>
          <w:sz w:val="24"/>
        </w:rPr>
        <w:noBreakHyphen/>
        <w:t xml:space="preserve">fifth or 380,000 (1.9 million x .20), of existing Medicaid and CHIP providers </w:t>
      </w:r>
      <w:r w:rsidR="00B47934">
        <w:rPr>
          <w:sz w:val="24"/>
        </w:rPr>
        <w:t xml:space="preserve">would be required to </w:t>
      </w:r>
      <w:r w:rsidRPr="009D2482">
        <w:rPr>
          <w:sz w:val="24"/>
        </w:rPr>
        <w:t>revalidate their enrollment each year and, consequently, furnish the information required under § 455.107(b).  This would result in an annual ICR hour burden of 3,800,000 hours.  Using an hourly rate of $</w:t>
      </w:r>
      <w:r w:rsidR="001F51BD">
        <w:rPr>
          <w:sz w:val="24"/>
        </w:rPr>
        <w:t>34.16</w:t>
      </w:r>
      <w:r w:rsidRPr="009D2482">
        <w:rPr>
          <w:sz w:val="24"/>
        </w:rPr>
        <w:t>, we estimate the annual ICR cost burden for revalidating Medicaid and CHIP providers to be $</w:t>
      </w:r>
      <w:r w:rsidR="002504BC">
        <w:rPr>
          <w:sz w:val="24"/>
        </w:rPr>
        <w:t>129,808</w:t>
      </w:r>
      <w:r w:rsidRPr="009D2482">
        <w:rPr>
          <w:sz w:val="24"/>
        </w:rPr>
        <w:t>,000 (3,800,000 hours x $</w:t>
      </w:r>
      <w:r w:rsidR="002504BC">
        <w:rPr>
          <w:sz w:val="24"/>
        </w:rPr>
        <w:t>34.16</w:t>
      </w:r>
      <w:r w:rsidRPr="009D2482">
        <w:rPr>
          <w:sz w:val="24"/>
        </w:rPr>
        <w:t>).</w:t>
      </w:r>
    </w:p>
    <w:p w14:paraId="097D151C" w14:textId="77777777" w:rsidR="00805D82" w:rsidRDefault="00805D82" w:rsidP="009D2482">
      <w:pPr>
        <w:rPr>
          <w:sz w:val="24"/>
        </w:rPr>
      </w:pPr>
    </w:p>
    <w:p w14:paraId="1E9F7604" w14:textId="77777777" w:rsidR="009D2482" w:rsidRPr="00B47934" w:rsidRDefault="009D2482" w:rsidP="009D2482">
      <w:pPr>
        <w:numPr>
          <w:ilvl w:val="0"/>
          <w:numId w:val="22"/>
        </w:numPr>
        <w:ind w:left="360"/>
        <w:rPr>
          <w:sz w:val="24"/>
        </w:rPr>
      </w:pPr>
      <w:r w:rsidRPr="00B47934">
        <w:rPr>
          <w:sz w:val="24"/>
        </w:rPr>
        <w:t>New and Changed Affiliations (§ 455.107(h))</w:t>
      </w:r>
    </w:p>
    <w:p w14:paraId="667F3CAF" w14:textId="77777777" w:rsidR="00805D82" w:rsidRDefault="00805D82" w:rsidP="009D2482">
      <w:pPr>
        <w:rPr>
          <w:sz w:val="24"/>
        </w:rPr>
      </w:pPr>
    </w:p>
    <w:p w14:paraId="3A47FF7C" w14:textId="77777777" w:rsidR="009D2482" w:rsidRPr="009D2482" w:rsidRDefault="009D2482" w:rsidP="00B47934">
      <w:pPr>
        <w:ind w:left="360"/>
        <w:rPr>
          <w:sz w:val="24"/>
        </w:rPr>
      </w:pPr>
      <w:r w:rsidRPr="009D2482">
        <w:rPr>
          <w:sz w:val="24"/>
        </w:rPr>
        <w:t xml:space="preserve">Some states do not collect information regarding the provider's (or the provider's owning or managing individuals' and organizations') interests in other Medicaid or CHIP providers or </w:t>
      </w:r>
      <w:r w:rsidR="00B47934">
        <w:rPr>
          <w:sz w:val="24"/>
        </w:rPr>
        <w:t xml:space="preserve">in </w:t>
      </w:r>
      <w:r w:rsidRPr="009D2482">
        <w:rPr>
          <w:sz w:val="24"/>
        </w:rPr>
        <w:t xml:space="preserve">Medicare providers or suppliers.  Therefore, we cannot reasonably estimate the number of Medicare and CHIP providers </w:t>
      </w:r>
      <w:r w:rsidR="00B47934">
        <w:rPr>
          <w:sz w:val="24"/>
        </w:rPr>
        <w:t>t</w:t>
      </w:r>
      <w:r w:rsidRPr="009D2482">
        <w:rPr>
          <w:sz w:val="24"/>
        </w:rPr>
        <w:t>hat would report data regarding new or changed affiliations.  We have no past data on which to base such a projection.</w:t>
      </w:r>
    </w:p>
    <w:p w14:paraId="7720FFD3" w14:textId="77777777" w:rsidR="00805D82" w:rsidRDefault="00805D82" w:rsidP="009D2482">
      <w:pPr>
        <w:rPr>
          <w:sz w:val="24"/>
        </w:rPr>
      </w:pPr>
    </w:p>
    <w:p w14:paraId="4803424E" w14:textId="77777777" w:rsidR="00B47934" w:rsidRDefault="00B47934" w:rsidP="00B47934">
      <w:pPr>
        <w:numPr>
          <w:ilvl w:val="0"/>
          <w:numId w:val="22"/>
        </w:numPr>
        <w:ind w:left="360"/>
        <w:rPr>
          <w:sz w:val="24"/>
        </w:rPr>
      </w:pPr>
      <w:r>
        <w:rPr>
          <w:sz w:val="24"/>
        </w:rPr>
        <w:t>Medicaid/CHIP ---- Totals</w:t>
      </w:r>
    </w:p>
    <w:p w14:paraId="40137F88" w14:textId="77777777" w:rsidR="00B47934" w:rsidRDefault="00B47934" w:rsidP="009D2482">
      <w:pPr>
        <w:rPr>
          <w:sz w:val="24"/>
        </w:rPr>
      </w:pPr>
    </w:p>
    <w:p w14:paraId="47104C0A" w14:textId="77777777" w:rsidR="009D2482" w:rsidRPr="009D2482" w:rsidRDefault="009D2482" w:rsidP="00B47934">
      <w:pPr>
        <w:ind w:left="360"/>
        <w:rPr>
          <w:sz w:val="24"/>
        </w:rPr>
      </w:pPr>
      <w:r w:rsidRPr="009D2482">
        <w:rPr>
          <w:sz w:val="24"/>
        </w:rPr>
        <w:t>We estimate a total ann</w:t>
      </w:r>
      <w:r w:rsidR="00B47934">
        <w:rPr>
          <w:sz w:val="24"/>
        </w:rPr>
        <w:t>ual ICR burden for</w:t>
      </w:r>
      <w:r w:rsidRPr="009D2482">
        <w:rPr>
          <w:sz w:val="24"/>
        </w:rPr>
        <w:t xml:space="preserve"> Medicaid and CHIP providers from § 455.107 of 4,362,500 hours at a cost of $1</w:t>
      </w:r>
      <w:r w:rsidR="002504BC">
        <w:rPr>
          <w:sz w:val="24"/>
        </w:rPr>
        <w:t>49,023,000</w:t>
      </w:r>
      <w:r w:rsidRPr="009D2482">
        <w:rPr>
          <w:sz w:val="24"/>
        </w:rPr>
        <w:t xml:space="preserve"> ($1</w:t>
      </w:r>
      <w:r w:rsidR="002504BC">
        <w:rPr>
          <w:sz w:val="24"/>
        </w:rPr>
        <w:t>9,215,000</w:t>
      </w:r>
      <w:r w:rsidRPr="009D2482">
        <w:rPr>
          <w:sz w:val="24"/>
        </w:rPr>
        <w:t xml:space="preserve"> + $</w:t>
      </w:r>
      <w:r w:rsidR="002504BC">
        <w:rPr>
          <w:sz w:val="24"/>
        </w:rPr>
        <w:t>129,808,000</w:t>
      </w:r>
      <w:r w:rsidRPr="009D2482">
        <w:rPr>
          <w:sz w:val="24"/>
        </w:rPr>
        <w:t xml:space="preserve">).   </w:t>
      </w:r>
    </w:p>
    <w:p w14:paraId="5741E7FC" w14:textId="77777777" w:rsidR="00805D82" w:rsidRDefault="00805D82" w:rsidP="009D2482">
      <w:pPr>
        <w:rPr>
          <w:sz w:val="24"/>
        </w:rPr>
      </w:pPr>
    </w:p>
    <w:p w14:paraId="166D8BE9" w14:textId="77777777" w:rsidR="00B47934" w:rsidRDefault="00B47934" w:rsidP="009D2482">
      <w:pPr>
        <w:rPr>
          <w:sz w:val="24"/>
        </w:rPr>
      </w:pPr>
    </w:p>
    <w:p w14:paraId="039D2990" w14:textId="77777777" w:rsidR="00805D82" w:rsidRDefault="00B47934" w:rsidP="009D2482">
      <w:pPr>
        <w:rPr>
          <w:sz w:val="24"/>
        </w:rPr>
      </w:pPr>
      <w:r>
        <w:rPr>
          <w:sz w:val="24"/>
        </w:rPr>
        <w:t>iii</w:t>
      </w:r>
      <w:r w:rsidR="00805D82">
        <w:rPr>
          <w:sz w:val="24"/>
        </w:rPr>
        <w:t>.   Total</w:t>
      </w:r>
      <w:r>
        <w:rPr>
          <w:sz w:val="24"/>
        </w:rPr>
        <w:t xml:space="preserve"> --- Disclosure of Affiliations</w:t>
      </w:r>
    </w:p>
    <w:p w14:paraId="3F502A77" w14:textId="77777777" w:rsidR="00805D82" w:rsidRDefault="00805D82" w:rsidP="009D2482">
      <w:pPr>
        <w:rPr>
          <w:sz w:val="24"/>
        </w:rPr>
      </w:pPr>
    </w:p>
    <w:p w14:paraId="0179F711" w14:textId="77777777" w:rsidR="009D2482" w:rsidRPr="009D2482" w:rsidRDefault="009D2482" w:rsidP="009D2482">
      <w:pPr>
        <w:rPr>
          <w:sz w:val="24"/>
        </w:rPr>
      </w:pPr>
      <w:r w:rsidRPr="009D2482">
        <w:rPr>
          <w:sz w:val="24"/>
        </w:rPr>
        <w:t>We estimate the total annual ICR hour burden on Medicare, Medicaid, and CHIP providers and suppliers from our proposal of 8,352,500</w:t>
      </w:r>
      <w:r w:rsidR="001F51BD">
        <w:rPr>
          <w:sz w:val="24"/>
        </w:rPr>
        <w:t> hours at a cost of $285,321,400</w:t>
      </w:r>
      <w:r w:rsidRPr="009D2482">
        <w:rPr>
          <w:sz w:val="24"/>
        </w:rPr>
        <w:t>.</w:t>
      </w:r>
    </w:p>
    <w:p w14:paraId="3F0806DD" w14:textId="77777777" w:rsidR="003B673F" w:rsidRPr="00420F26" w:rsidRDefault="003B673F" w:rsidP="00E27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1FC3543" w14:textId="77777777" w:rsidR="00FA2C6C" w:rsidRDefault="00FA2C6C" w:rsidP="00776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3941CA3" w14:textId="77777777" w:rsidR="00805D82" w:rsidRDefault="00B47934" w:rsidP="0080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b</w:t>
      </w:r>
      <w:r w:rsidR="00805D82">
        <w:rPr>
          <w:b/>
          <w:sz w:val="24"/>
        </w:rPr>
        <w:t>.   Part A/B Ordering/Certifying</w:t>
      </w:r>
    </w:p>
    <w:p w14:paraId="541B7620" w14:textId="77777777" w:rsidR="00805D82" w:rsidRDefault="00805D82" w:rsidP="00776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C8F8C75" w14:textId="77777777" w:rsidR="00805D82" w:rsidRDefault="00805D82" w:rsidP="00805D82">
      <w:pPr>
        <w:pStyle w:val="Header"/>
        <w:tabs>
          <w:tab w:val="left" w:pos="720"/>
        </w:tabs>
      </w:pPr>
      <w:r>
        <w:t>Based on CMS statistics, we estimate that approximately 200,000 non</w:t>
      </w:r>
      <w:r>
        <w:noBreakHyphen/>
        <w:t>enrolled an</w:t>
      </w:r>
      <w:r w:rsidR="00B47934">
        <w:t>d non</w:t>
      </w:r>
      <w:r w:rsidR="00B47934">
        <w:noBreakHyphen/>
        <w:t>opted out physicians and eligible professionals</w:t>
      </w:r>
      <w:r>
        <w:t xml:space="preserve"> are ordering, certifying, referring or prescribing Part A or B services, items, or drugs.  Per revised § 424.507, these individuals would be required to enroll in or opt</w:t>
      </w:r>
      <w:r>
        <w:noBreakHyphen/>
        <w:t>out of Medicare by January 1, 2018.</w:t>
      </w:r>
      <w:r>
        <w:rPr>
          <w:u w:val="single"/>
        </w:rPr>
        <w:t xml:space="preserve">   </w:t>
      </w:r>
    </w:p>
    <w:p w14:paraId="6A0C2E62" w14:textId="77777777" w:rsidR="00805D82" w:rsidRDefault="00805D82" w:rsidP="00805D82">
      <w:pPr>
        <w:pStyle w:val="Header"/>
        <w:tabs>
          <w:tab w:val="left" w:pos="720"/>
        </w:tabs>
      </w:pPr>
    </w:p>
    <w:p w14:paraId="705C432F" w14:textId="77777777" w:rsidR="00805D82" w:rsidRDefault="00805D82" w:rsidP="00805D82">
      <w:pPr>
        <w:pStyle w:val="Header"/>
        <w:tabs>
          <w:tab w:val="left" w:pos="720"/>
        </w:tabs>
      </w:pPr>
      <w:r>
        <w:t>We believe that these persons, assuming they do not opt</w:t>
      </w:r>
      <w:r>
        <w:noBreakHyphen/>
        <w:t>out, would complete the Form CMS</w:t>
      </w:r>
      <w:r>
        <w:noBreakHyphen/>
        <w:t>855O in lieu of the Form CMS</w:t>
      </w:r>
      <w:r>
        <w:noBreakHyphen/>
        <w:t>855I because the former application is shorter and the applicants are not seeking Medicare Part B billing privileges.  As we are unable to precisely determine the percentage of the 200,000</w:t>
      </w:r>
      <w:r>
        <w:noBreakHyphen/>
        <w:t>individual universe that consists of physicians as opposed to non</w:t>
      </w:r>
      <w:r>
        <w:noBreakHyphen/>
        <w:t>physician practitioners, we will assume that 100,000 physicians and 100,000 non</w:t>
      </w:r>
      <w:r>
        <w:noBreakHyphen/>
        <w:t xml:space="preserve">physician practitioners would be affected, though we welcome comments on this estimate.  </w:t>
      </w:r>
    </w:p>
    <w:p w14:paraId="1E8A5D42" w14:textId="77777777" w:rsidR="00805D82" w:rsidRDefault="00805D82" w:rsidP="00805D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D287821" w14:textId="77777777" w:rsidR="00805D82" w:rsidRPr="00805D82" w:rsidRDefault="00805D82" w:rsidP="00805D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05D82">
        <w:rPr>
          <w:sz w:val="24"/>
        </w:rPr>
        <w:t xml:space="preserve">According to the most recent wage data provided by the Bureau of Labor Statistics (BLS) for May 2014 (see </w:t>
      </w:r>
      <w:hyperlink r:id="rId9" w:anchor="43-0000" w:history="1">
        <w:r w:rsidRPr="00805D82">
          <w:rPr>
            <w:rStyle w:val="Hyperlink"/>
            <w:sz w:val="24"/>
          </w:rPr>
          <w:t>http://www.bls.gov/oes/current/oes_nat.htm#43-0000</w:t>
        </w:r>
      </w:hyperlink>
      <w:r w:rsidRPr="00805D82">
        <w:rPr>
          <w:sz w:val="24"/>
        </w:rPr>
        <w:t xml:space="preserve">), the mean hourly wage for the general category of "Physicians and Surgeons" is $93.74, and the mean hourly wage for the general BLS category of "Health Diagnosing and Treating Practitioners, All Other" is $40.89.  With fringe benefits and overhead, the respective per hour </w:t>
      </w:r>
      <w:r w:rsidR="001F51BD">
        <w:rPr>
          <w:sz w:val="24"/>
        </w:rPr>
        <w:t>rates are $187.48 and $81.78</w:t>
      </w:r>
      <w:r w:rsidRPr="00805D82">
        <w:rPr>
          <w:sz w:val="24"/>
        </w:rPr>
        <w:t xml:space="preserve">.  </w:t>
      </w:r>
    </w:p>
    <w:p w14:paraId="54956AF2" w14:textId="77777777" w:rsidR="00805D82" w:rsidRDefault="00805D82" w:rsidP="00805D82">
      <w:pPr>
        <w:pStyle w:val="Header"/>
        <w:tabs>
          <w:tab w:val="left" w:pos="720"/>
        </w:tabs>
      </w:pPr>
    </w:p>
    <w:p w14:paraId="0334A168" w14:textId="77777777" w:rsidR="00805D82" w:rsidRDefault="00805D82" w:rsidP="00805D82">
      <w:pPr>
        <w:pStyle w:val="Header"/>
        <w:tabs>
          <w:tab w:val="left" w:pos="720"/>
        </w:tabs>
      </w:pPr>
      <w:r>
        <w:t>On average, we project that it t</w:t>
      </w:r>
      <w:r w:rsidR="00861108">
        <w:t>akes individuals approximately 0.5</w:t>
      </w:r>
      <w:r>
        <w:t> hours to complete and submit the Form CMS</w:t>
      </w:r>
      <w:r>
        <w:noBreakHyphen/>
        <w:t>855O or an opt</w:t>
      </w:r>
      <w:r>
        <w:noBreakHyphen/>
        <w:t>out affidavit.  This results in an ICR burden for physicians of $</w:t>
      </w:r>
      <w:r w:rsidR="00861108">
        <w:t>9,374</w:t>
      </w:r>
      <w:r w:rsidR="001F51BD">
        <w:t xml:space="preserve">,000 </w:t>
      </w:r>
      <w:r w:rsidR="00861108">
        <w:t>(5</w:t>
      </w:r>
      <w:r>
        <w:t>0,000 hours x $1</w:t>
      </w:r>
      <w:r w:rsidR="001F51BD">
        <w:t>87.48</w:t>
      </w:r>
      <w:r>
        <w:t>); the burden for non</w:t>
      </w:r>
      <w:r>
        <w:noBreakHyphen/>
        <w:t>physician practitioners would be $</w:t>
      </w:r>
      <w:r w:rsidR="00861108">
        <w:t>4,089,000 (5</w:t>
      </w:r>
      <w:r>
        <w:t>0,000 hours x $</w:t>
      </w:r>
      <w:r w:rsidR="001F51BD">
        <w:t>81.78</w:t>
      </w:r>
      <w:r>
        <w:t xml:space="preserve">).  </w:t>
      </w:r>
    </w:p>
    <w:p w14:paraId="1520BDF1" w14:textId="77777777" w:rsidR="00805D82" w:rsidRDefault="00805D82" w:rsidP="00805D82">
      <w:pPr>
        <w:pStyle w:val="Header"/>
        <w:tabs>
          <w:tab w:val="left" w:pos="720"/>
        </w:tabs>
      </w:pPr>
    </w:p>
    <w:p w14:paraId="24239202" w14:textId="77777777" w:rsidR="00805D82" w:rsidRDefault="00805D82" w:rsidP="00805D82">
      <w:pPr>
        <w:pStyle w:val="Header"/>
        <w:tabs>
          <w:tab w:val="left" w:pos="720"/>
        </w:tabs>
      </w:pPr>
      <w:r>
        <w:t xml:space="preserve">The </w:t>
      </w:r>
      <w:r w:rsidR="00861108">
        <w:t>total ICR burden would thus be 1</w:t>
      </w:r>
      <w:r>
        <w:t>00,000 hours at a cost of $</w:t>
      </w:r>
      <w:r w:rsidR="00861108">
        <w:t>13,463,000</w:t>
      </w:r>
      <w:r>
        <w:t>.  We believe this burden would generally be incurred in 2017, prior to the January 1, 2018 effective date.</w:t>
      </w:r>
    </w:p>
    <w:p w14:paraId="03A51DD6" w14:textId="77777777" w:rsidR="00805D82" w:rsidRDefault="00805D82" w:rsidP="0080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0765CAD" w14:textId="77777777" w:rsidR="00805D82" w:rsidRDefault="00805D82" w:rsidP="0080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7CE530F" w14:textId="77777777" w:rsidR="00460F00" w:rsidRDefault="00460F00" w:rsidP="0080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c.    Proposed Regulatory Provisions for Which Estimates Could Not Be Made</w:t>
      </w:r>
    </w:p>
    <w:p w14:paraId="115523D2" w14:textId="77777777" w:rsidR="00460F00" w:rsidRDefault="00460F00" w:rsidP="0080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A4BD9B4" w14:textId="77777777" w:rsidR="00460F00" w:rsidRPr="009D51D1" w:rsidRDefault="00460F00" w:rsidP="00A7781E">
      <w:pPr>
        <w:pStyle w:val="Header"/>
        <w:tabs>
          <w:tab w:val="left" w:pos="360"/>
        </w:tabs>
        <w:ind w:left="360" w:hanging="360"/>
        <w:rPr>
          <w:i/>
        </w:rPr>
      </w:pPr>
      <w:proofErr w:type="spellStart"/>
      <w:r w:rsidRPr="00A7781E">
        <w:rPr>
          <w:i/>
        </w:rPr>
        <w:t>i</w:t>
      </w:r>
      <w:proofErr w:type="spellEnd"/>
      <w:r w:rsidRPr="00A7781E">
        <w:rPr>
          <w:i/>
        </w:rPr>
        <w:t xml:space="preserve">.    </w:t>
      </w:r>
      <w:r w:rsidRPr="009D51D1">
        <w:rPr>
          <w:i/>
        </w:rPr>
        <w:t xml:space="preserve">ICRs Related to </w:t>
      </w:r>
      <w:r w:rsidR="007914BC" w:rsidRPr="009D51D1">
        <w:rPr>
          <w:i/>
        </w:rPr>
        <w:t xml:space="preserve">Denying/Revoking Provider/Supplier under </w:t>
      </w:r>
      <w:r w:rsidRPr="009D51D1">
        <w:rPr>
          <w:i/>
        </w:rPr>
        <w:t>Different Name, Numerical Identifier, or Business Identity (§§ 424.530(a</w:t>
      </w:r>
      <w:proofErr w:type="gramStart"/>
      <w:r w:rsidRPr="009D51D1">
        <w:rPr>
          <w:i/>
        </w:rPr>
        <w:t>)(</w:t>
      </w:r>
      <w:proofErr w:type="gramEnd"/>
      <w:r w:rsidRPr="009D51D1">
        <w:rPr>
          <w:i/>
        </w:rPr>
        <w:t xml:space="preserve">12) and 424.535(a)(18))  </w:t>
      </w:r>
    </w:p>
    <w:p w14:paraId="1AEB7A87" w14:textId="77777777" w:rsidR="00460F00" w:rsidRPr="009D51D1" w:rsidRDefault="00460F00" w:rsidP="00460F00">
      <w:pPr>
        <w:pStyle w:val="Header"/>
        <w:tabs>
          <w:tab w:val="left" w:pos="720"/>
        </w:tabs>
      </w:pPr>
    </w:p>
    <w:p w14:paraId="56C83FFE" w14:textId="77777777" w:rsidR="002C73AD" w:rsidRPr="009D51D1" w:rsidRDefault="002C73AD" w:rsidP="00A7781E">
      <w:pPr>
        <w:keepNext/>
        <w:tabs>
          <w:tab w:val="left" w:pos="-90"/>
          <w:tab w:val="left" w:pos="1080"/>
        </w:tabs>
        <w:ind w:left="351" w:hanging="351"/>
        <w:rPr>
          <w:i/>
          <w:sz w:val="24"/>
        </w:rPr>
      </w:pPr>
    </w:p>
    <w:p w14:paraId="5B4BE0E4" w14:textId="77777777" w:rsidR="007D240C" w:rsidRPr="009D51D1" w:rsidRDefault="007D240C" w:rsidP="00092618">
      <w:pPr>
        <w:pStyle w:val="Header"/>
        <w:tabs>
          <w:tab w:val="left" w:pos="720"/>
        </w:tabs>
      </w:pPr>
      <w:r w:rsidRPr="009D51D1">
        <w:t xml:space="preserve">We do not have historical data to predict the number of instances in which we would determine that a revoked provider or supplier is attempting to enroll in Medicare or is enrolled under a different name, numerical identifier or business identity.  Since evidence of these activities are confined to the results of unique investigations, we believe the examples cited in the preamble text cannot form the basis of a representative sample from which to inform projections.  Consequently, we cannot estimate the ICR burden that may result from such denials and revocations, which would primarily involve the submission of Form CMS-855 applications following denials or following the expiration of reenrollment bars.  </w:t>
      </w:r>
      <w:r w:rsidRPr="009D51D1">
        <w:tab/>
        <w:t>To enhance our ability to formulate an estimate of the ICR burden associated with this provision, we are soliciting comment on-- (1) whether an annual figure of 8,000 potentially affected providers and suppliers could serve as a reasonable approximation; and (2) the potential cost burden to providers and suppliers.  However, we stress that this is not an estimate because we do not have sufficient data to provide an estimate at this time.</w:t>
      </w:r>
    </w:p>
    <w:p w14:paraId="08FF8112" w14:textId="77777777" w:rsidR="007D240C" w:rsidRPr="009D51D1" w:rsidRDefault="007D240C" w:rsidP="00A7781E">
      <w:pPr>
        <w:keepNext/>
        <w:tabs>
          <w:tab w:val="left" w:pos="-90"/>
          <w:tab w:val="left" w:pos="1080"/>
        </w:tabs>
        <w:ind w:left="351" w:hanging="351"/>
        <w:rPr>
          <w:i/>
          <w:sz w:val="24"/>
        </w:rPr>
      </w:pPr>
    </w:p>
    <w:p w14:paraId="4D0734C7" w14:textId="77777777" w:rsidR="007D240C" w:rsidRPr="009D51D1" w:rsidRDefault="007D240C" w:rsidP="00A7781E">
      <w:pPr>
        <w:keepNext/>
        <w:tabs>
          <w:tab w:val="left" w:pos="-90"/>
          <w:tab w:val="left" w:pos="1080"/>
        </w:tabs>
        <w:ind w:left="351" w:hanging="351"/>
        <w:rPr>
          <w:i/>
          <w:sz w:val="24"/>
        </w:rPr>
      </w:pPr>
    </w:p>
    <w:p w14:paraId="28809AB3" w14:textId="77777777" w:rsidR="00460F00" w:rsidRPr="009D51D1" w:rsidRDefault="00460F00" w:rsidP="00A7781E">
      <w:pPr>
        <w:keepNext/>
        <w:tabs>
          <w:tab w:val="left" w:pos="-90"/>
          <w:tab w:val="left" w:pos="1080"/>
        </w:tabs>
        <w:ind w:left="351" w:hanging="351"/>
        <w:rPr>
          <w:i/>
          <w:sz w:val="24"/>
        </w:rPr>
      </w:pPr>
      <w:r w:rsidRPr="009D51D1">
        <w:rPr>
          <w:i/>
          <w:sz w:val="24"/>
        </w:rPr>
        <w:t xml:space="preserve">ii.   ICRs Related to </w:t>
      </w:r>
      <w:r w:rsidR="007914BC" w:rsidRPr="009D51D1">
        <w:rPr>
          <w:i/>
          <w:sz w:val="24"/>
        </w:rPr>
        <w:t xml:space="preserve">Terminating Additional Provider/Supplier Locations if Provider/Supplier Bills for </w:t>
      </w:r>
      <w:r w:rsidRPr="009D51D1">
        <w:rPr>
          <w:i/>
          <w:sz w:val="24"/>
        </w:rPr>
        <w:t>Non</w:t>
      </w:r>
      <w:r w:rsidRPr="009D51D1">
        <w:rPr>
          <w:i/>
          <w:sz w:val="24"/>
        </w:rPr>
        <w:noBreakHyphen/>
        <w:t>Compliant Location (§ 424.535(a</w:t>
      </w:r>
      <w:proofErr w:type="gramStart"/>
      <w:r w:rsidRPr="009D51D1">
        <w:rPr>
          <w:i/>
          <w:sz w:val="24"/>
        </w:rPr>
        <w:t>)(</w:t>
      </w:r>
      <w:proofErr w:type="gramEnd"/>
      <w:r w:rsidRPr="009D51D1">
        <w:rPr>
          <w:i/>
          <w:sz w:val="24"/>
        </w:rPr>
        <w:t>20))</w:t>
      </w:r>
    </w:p>
    <w:p w14:paraId="68BB87C9" w14:textId="77777777" w:rsidR="00460F00" w:rsidRPr="009D51D1" w:rsidRDefault="00460F00" w:rsidP="00460F00">
      <w:pPr>
        <w:keepNext/>
        <w:tabs>
          <w:tab w:val="left" w:pos="-90"/>
          <w:tab w:val="left" w:pos="720"/>
        </w:tabs>
        <w:rPr>
          <w:sz w:val="24"/>
        </w:rPr>
      </w:pPr>
    </w:p>
    <w:p w14:paraId="7D552426" w14:textId="77777777" w:rsidR="00861108" w:rsidRPr="009D51D1" w:rsidRDefault="00861108" w:rsidP="00861108">
      <w:pPr>
        <w:pStyle w:val="Header"/>
        <w:tabs>
          <w:tab w:val="left" w:pos="720"/>
        </w:tabs>
      </w:pPr>
      <w:r w:rsidRPr="009D51D1">
        <w:t>We do not have sufficient historical data to form an estimate of the potential ICR burden of this proposal, which would primarily involve the submission of Form CMS-855applications following the expiration of reenrollment bars.  While there is data concerning the number of locations that are terminated from Medicare for non</w:t>
      </w:r>
      <w:r w:rsidRPr="009D51D1">
        <w:noBreakHyphen/>
        <w:t>compliance each year, we cannot predict the number of "additional" locations that would be terminated due to § 424.535(a</w:t>
      </w:r>
      <w:proofErr w:type="gramStart"/>
      <w:r w:rsidRPr="009D51D1">
        <w:t>)(</w:t>
      </w:r>
      <w:proofErr w:type="gramEnd"/>
      <w:r w:rsidRPr="009D51D1">
        <w:t>20).  In other words, if a provider or supplier has five locations and one is terminated for non</w:t>
      </w:r>
      <w:r w:rsidRPr="009D51D1">
        <w:noBreakHyphen/>
        <w:t>compliance, we have no way to predict whether any or all of the remaining four locations would be terminated.  This is because each provider's and supplier's circumst</w:t>
      </w:r>
      <w:r w:rsidR="00F6016B" w:rsidRPr="009D51D1">
        <w:t>ances are different.  According</w:t>
      </w:r>
      <w:r w:rsidRPr="009D51D1">
        <w:t xml:space="preserve">ly, we are unable to project the total number of terminated locations.   </w:t>
      </w:r>
    </w:p>
    <w:p w14:paraId="4658C8DB" w14:textId="77777777" w:rsidR="00861108" w:rsidRPr="009D51D1" w:rsidRDefault="00861108" w:rsidP="00460F00">
      <w:pPr>
        <w:tabs>
          <w:tab w:val="left" w:pos="-90"/>
          <w:tab w:val="left" w:pos="1080"/>
        </w:tabs>
        <w:rPr>
          <w:sz w:val="24"/>
          <w:u w:val="single"/>
        </w:rPr>
      </w:pPr>
    </w:p>
    <w:p w14:paraId="571E478F" w14:textId="77777777" w:rsidR="00460F00" w:rsidRPr="009D51D1" w:rsidRDefault="00460F00" w:rsidP="00A7781E">
      <w:pPr>
        <w:tabs>
          <w:tab w:val="left" w:pos="-90"/>
          <w:tab w:val="left" w:pos="1080"/>
        </w:tabs>
        <w:ind w:left="360" w:hanging="360"/>
        <w:rPr>
          <w:i/>
          <w:sz w:val="24"/>
        </w:rPr>
      </w:pPr>
      <w:r w:rsidRPr="009D51D1">
        <w:rPr>
          <w:i/>
          <w:sz w:val="24"/>
        </w:rPr>
        <w:t xml:space="preserve">iii.  ICRs Related to </w:t>
      </w:r>
      <w:r w:rsidR="007914BC" w:rsidRPr="009D51D1">
        <w:rPr>
          <w:i/>
          <w:sz w:val="24"/>
        </w:rPr>
        <w:t xml:space="preserve">Revoking Provider/Supplier for </w:t>
      </w:r>
      <w:r w:rsidRPr="009D51D1">
        <w:rPr>
          <w:i/>
          <w:sz w:val="24"/>
        </w:rPr>
        <w:t>Abusive Ordering, Certifying, Referring or Prescribing of Part A or B Services, Items, or Drugs (§ 424.535(a)(21))</w:t>
      </w:r>
    </w:p>
    <w:p w14:paraId="3FAC1629" w14:textId="77777777" w:rsidR="00460F00" w:rsidRPr="009D51D1" w:rsidRDefault="00460F00" w:rsidP="00460F00">
      <w:pPr>
        <w:pStyle w:val="Header"/>
        <w:tabs>
          <w:tab w:val="left" w:pos="720"/>
        </w:tabs>
      </w:pPr>
    </w:p>
    <w:p w14:paraId="47DAFB3C" w14:textId="77777777" w:rsidR="007D240C" w:rsidRPr="009D51D1" w:rsidRDefault="007D240C" w:rsidP="00092618">
      <w:pPr>
        <w:pStyle w:val="Header"/>
        <w:tabs>
          <w:tab w:val="left" w:pos="720"/>
        </w:tabs>
      </w:pPr>
      <w:r w:rsidRPr="009D51D1">
        <w:t>As this is a new provision for which there is no historical data, we cannot project the number of instances in which we would revoke enrollment under § 424.535(a</w:t>
      </w:r>
      <w:proofErr w:type="gramStart"/>
      <w:r w:rsidRPr="009D51D1">
        <w:t>)(</w:t>
      </w:r>
      <w:proofErr w:type="gramEnd"/>
      <w:r w:rsidRPr="009D51D1">
        <w:t xml:space="preserve">21).  Therefore, we are unable to estimate the total potential ICR burden associated with this proposal, which would primarily involve the submission of Form CMS-855 applications following the expiration of reenrollment bars.  To enhance our ability to formulate an estimate of the ICR burden associated with this provision, we are soliciting comment on--(1) whether an annual figure of 4,000 potentially affected physicians and eligible professionals could serve as a reasonable approximation; and (2) the potential cost burden to physicians and eligible professionals.  </w:t>
      </w:r>
      <w:r w:rsidRPr="00092618">
        <w:rPr>
          <w:bCs/>
        </w:rPr>
        <w:t>However, we stress that this is not an estimate since we do not have sufficient data on which to make an estimate at this time.  </w:t>
      </w:r>
    </w:p>
    <w:p w14:paraId="36E50C8E" w14:textId="77777777" w:rsidR="007D240C" w:rsidRPr="009D51D1" w:rsidRDefault="007D240C" w:rsidP="00460F00">
      <w:pPr>
        <w:pStyle w:val="Header"/>
        <w:tabs>
          <w:tab w:val="left" w:pos="720"/>
        </w:tabs>
      </w:pPr>
    </w:p>
    <w:p w14:paraId="0C1F82AC" w14:textId="77777777" w:rsidR="00460F00" w:rsidRPr="009D51D1" w:rsidRDefault="00460F00" w:rsidP="00460F00">
      <w:pPr>
        <w:pStyle w:val="Header"/>
        <w:tabs>
          <w:tab w:val="left" w:pos="720"/>
        </w:tabs>
        <w:rPr>
          <w:u w:val="single"/>
        </w:rPr>
      </w:pPr>
    </w:p>
    <w:p w14:paraId="2FE4C738" w14:textId="77777777" w:rsidR="00460F00" w:rsidRPr="009D51D1" w:rsidRDefault="00460F00" w:rsidP="00A7781E">
      <w:pPr>
        <w:pStyle w:val="Header"/>
        <w:tabs>
          <w:tab w:val="left" w:pos="720"/>
        </w:tabs>
        <w:ind w:left="360" w:hanging="360"/>
        <w:rPr>
          <w:i/>
        </w:rPr>
      </w:pPr>
      <w:r w:rsidRPr="009D51D1">
        <w:rPr>
          <w:i/>
        </w:rPr>
        <w:t>iv</w:t>
      </w:r>
      <w:proofErr w:type="gramStart"/>
      <w:r w:rsidR="007914BC" w:rsidRPr="009D51D1">
        <w:rPr>
          <w:i/>
        </w:rPr>
        <w:t>.  ICRs</w:t>
      </w:r>
      <w:proofErr w:type="gramEnd"/>
      <w:r w:rsidR="007914BC" w:rsidRPr="009D51D1">
        <w:rPr>
          <w:i/>
        </w:rPr>
        <w:t xml:space="preserve"> Related to Revoking Provider/Supplier</w:t>
      </w:r>
      <w:r w:rsidRPr="009D51D1">
        <w:rPr>
          <w:i/>
        </w:rPr>
        <w:t xml:space="preserve"> for Referral of Debt to the United States Department of Treasury (§ 424.535(a)(17))  </w:t>
      </w:r>
    </w:p>
    <w:p w14:paraId="76BB74CD" w14:textId="77777777" w:rsidR="00460F00" w:rsidRPr="009D51D1" w:rsidRDefault="00460F00" w:rsidP="00460F00">
      <w:pPr>
        <w:pStyle w:val="Header"/>
        <w:tabs>
          <w:tab w:val="left" w:pos="720"/>
        </w:tabs>
      </w:pPr>
    </w:p>
    <w:p w14:paraId="107CC4ED" w14:textId="77777777" w:rsidR="007D240C" w:rsidRPr="009D51D1" w:rsidRDefault="007D240C" w:rsidP="002C73AD">
      <w:pPr>
        <w:pStyle w:val="Header"/>
        <w:tabs>
          <w:tab w:val="left" w:pos="720"/>
        </w:tabs>
      </w:pPr>
    </w:p>
    <w:p w14:paraId="1D9B73AB" w14:textId="77777777" w:rsidR="007D240C" w:rsidRPr="009D51D1" w:rsidRDefault="007D240C" w:rsidP="00092618">
      <w:pPr>
        <w:pStyle w:val="Header"/>
        <w:tabs>
          <w:tab w:val="left" w:pos="720"/>
        </w:tabs>
      </w:pPr>
      <w:r w:rsidRPr="009D51D1">
        <w:t>Each year on average, roughly 2,000 Medicare providers and suppliers have debts that are referred to the Department of Treasury.  However, we are unable to predict the number of revocations that would result from our proposal because the circumstances of each case would be different.  We believe that any ICR burden associated with this proposal would principally involve the submission of Form CMS-855 applications following the expiration of reenrollment bars.  We note that as with several of our other proposals, § 424.535(a</w:t>
      </w:r>
      <w:proofErr w:type="gramStart"/>
      <w:r w:rsidRPr="009D51D1">
        <w:t>)(</w:t>
      </w:r>
      <w:proofErr w:type="gramEnd"/>
      <w:r w:rsidRPr="009D51D1">
        <w:t xml:space="preserve">17) is a new provision for which there is no historical data, and it cannot be assumed that all 2,000 providers and suppliers would have their Medicare enrollments revoked.  Therefore, to enhance our ability to formulate an estimate of the ICR burden associated with this provision, we are soliciting comment on--(1) whether 2,000 potentially impacted providers and suppliers could serve as a reasonable approximation; and (2) the potential cost burden on providers and suppliers.  </w:t>
      </w:r>
      <w:r w:rsidRPr="00092618">
        <w:rPr>
          <w:bCs/>
        </w:rPr>
        <w:t>However, we stress that this is not an estimate since we do not have sufficient data on which to make an estimate at this time.</w:t>
      </w:r>
    </w:p>
    <w:p w14:paraId="6FB12A1B" w14:textId="77777777" w:rsidR="007D240C" w:rsidRPr="009D51D1" w:rsidRDefault="007D240C" w:rsidP="002C73AD">
      <w:pPr>
        <w:pStyle w:val="Header"/>
        <w:tabs>
          <w:tab w:val="left" w:pos="720"/>
        </w:tabs>
      </w:pPr>
    </w:p>
    <w:p w14:paraId="7AA9367B" w14:textId="77777777" w:rsidR="00460F00" w:rsidRPr="009D51D1" w:rsidRDefault="00460F00" w:rsidP="00460F00">
      <w:pPr>
        <w:pStyle w:val="Header"/>
        <w:keepNext/>
        <w:tabs>
          <w:tab w:val="left" w:pos="720"/>
        </w:tabs>
        <w:rPr>
          <w:u w:val="single"/>
        </w:rPr>
      </w:pPr>
    </w:p>
    <w:p w14:paraId="489C0372" w14:textId="77777777" w:rsidR="00460F00" w:rsidRPr="009D51D1" w:rsidRDefault="00EF7056" w:rsidP="00A7781E">
      <w:pPr>
        <w:pStyle w:val="Header"/>
        <w:keepNext/>
        <w:tabs>
          <w:tab w:val="left" w:pos="720"/>
        </w:tabs>
        <w:ind w:left="360" w:hanging="360"/>
        <w:rPr>
          <w:i/>
        </w:rPr>
      </w:pPr>
      <w:r w:rsidRPr="009D51D1">
        <w:rPr>
          <w:i/>
        </w:rPr>
        <w:t>v</w:t>
      </w:r>
      <w:r w:rsidR="00460F00" w:rsidRPr="009D51D1">
        <w:rPr>
          <w:i/>
        </w:rPr>
        <w:t xml:space="preserve">.  </w:t>
      </w:r>
      <w:r w:rsidR="00A7781E" w:rsidRPr="009D51D1">
        <w:rPr>
          <w:i/>
        </w:rPr>
        <w:t xml:space="preserve"> </w:t>
      </w:r>
      <w:r w:rsidR="00460F00" w:rsidRPr="009D51D1">
        <w:rPr>
          <w:i/>
        </w:rPr>
        <w:t xml:space="preserve">ICRs Related to </w:t>
      </w:r>
      <w:r w:rsidRPr="009D51D1">
        <w:rPr>
          <w:i/>
        </w:rPr>
        <w:t xml:space="preserve">Revoking Provider/Supplier for Failure to Report New/Changed Enrollment Information </w:t>
      </w:r>
      <w:r w:rsidR="00460F00" w:rsidRPr="009D51D1">
        <w:rPr>
          <w:i/>
        </w:rPr>
        <w:t>(§ 424.535(a</w:t>
      </w:r>
      <w:proofErr w:type="gramStart"/>
      <w:r w:rsidR="00460F00" w:rsidRPr="009D51D1">
        <w:rPr>
          <w:i/>
        </w:rPr>
        <w:t>)(</w:t>
      </w:r>
      <w:proofErr w:type="gramEnd"/>
      <w:r w:rsidR="00460F00" w:rsidRPr="009D51D1">
        <w:rPr>
          <w:i/>
        </w:rPr>
        <w:t>9)) </w:t>
      </w:r>
    </w:p>
    <w:p w14:paraId="243D0282" w14:textId="77777777" w:rsidR="00460F00" w:rsidRPr="009D51D1" w:rsidRDefault="00460F00" w:rsidP="00460F00">
      <w:pPr>
        <w:keepNext/>
        <w:tabs>
          <w:tab w:val="left" w:pos="-90"/>
          <w:tab w:val="left" w:pos="720"/>
          <w:tab w:val="left" w:pos="1080"/>
        </w:tabs>
        <w:rPr>
          <w:sz w:val="24"/>
        </w:rPr>
      </w:pPr>
    </w:p>
    <w:p w14:paraId="539603C0" w14:textId="77777777" w:rsidR="007D240C" w:rsidRPr="00092618" w:rsidRDefault="007D240C" w:rsidP="00092618">
      <w:pPr>
        <w:keepNext/>
        <w:tabs>
          <w:tab w:val="left" w:pos="-90"/>
          <w:tab w:val="left" w:pos="720"/>
          <w:tab w:val="left" w:pos="1080"/>
        </w:tabs>
        <w:rPr>
          <w:sz w:val="24"/>
        </w:rPr>
      </w:pPr>
      <w:r w:rsidRPr="00092618">
        <w:rPr>
          <w:sz w:val="24"/>
        </w:rPr>
        <w:t>We believe there would be an increase in the number of revoked providers and suppliers resulting from our expansion of § 424.535(a</w:t>
      </w:r>
      <w:proofErr w:type="gramStart"/>
      <w:r w:rsidRPr="00092618">
        <w:rPr>
          <w:sz w:val="24"/>
        </w:rPr>
        <w:t>)(</w:t>
      </w:r>
      <w:proofErr w:type="gramEnd"/>
      <w:r w:rsidRPr="00092618">
        <w:rPr>
          <w:sz w:val="24"/>
        </w:rPr>
        <w:t xml:space="preserve">9).  However, we cannot estimate this number, for the specific facts of each case would be different.  As such, we cannot project the potential collection burden associated with this proposal, which would primarily involve the submission of Form CMS-855 applications following the expiration of reenrollment bars.  To enhance our ability to formulate a projection of potential collection burden associated with this proposal, we are soliciting comment on-- (1) whether an annual figure of 10,000 potentially impacted providers and suppliers could serve as a reasonable approximation; and (2) the potential cost burden to providers and suppliers.  </w:t>
      </w:r>
    </w:p>
    <w:p w14:paraId="3D1AC460" w14:textId="77777777" w:rsidR="007D240C" w:rsidRPr="009D51D1" w:rsidRDefault="007D240C" w:rsidP="00460F00">
      <w:pPr>
        <w:keepNext/>
        <w:tabs>
          <w:tab w:val="left" w:pos="-90"/>
          <w:tab w:val="left" w:pos="720"/>
          <w:tab w:val="left" w:pos="1080"/>
        </w:tabs>
        <w:rPr>
          <w:sz w:val="24"/>
        </w:rPr>
      </w:pPr>
    </w:p>
    <w:p w14:paraId="46EC78BB" w14:textId="77777777" w:rsidR="00460F00" w:rsidRPr="009D51D1" w:rsidRDefault="00460F00" w:rsidP="00460F00">
      <w:pPr>
        <w:tabs>
          <w:tab w:val="left" w:pos="-90"/>
          <w:tab w:val="left" w:pos="0"/>
          <w:tab w:val="left" w:pos="1080"/>
        </w:tabs>
        <w:rPr>
          <w:sz w:val="24"/>
          <w:u w:val="single"/>
        </w:rPr>
      </w:pPr>
    </w:p>
    <w:p w14:paraId="78E08050" w14:textId="77777777" w:rsidR="00460F00" w:rsidRPr="009D51D1" w:rsidRDefault="00EF7056" w:rsidP="00460F00">
      <w:pPr>
        <w:tabs>
          <w:tab w:val="left" w:pos="-90"/>
          <w:tab w:val="left" w:pos="0"/>
          <w:tab w:val="left" w:pos="1080"/>
        </w:tabs>
        <w:rPr>
          <w:i/>
          <w:sz w:val="24"/>
        </w:rPr>
      </w:pPr>
      <w:r w:rsidRPr="009D51D1">
        <w:rPr>
          <w:i/>
          <w:sz w:val="24"/>
        </w:rPr>
        <w:t>vi.</w:t>
      </w:r>
      <w:r w:rsidR="00A7781E" w:rsidRPr="009D51D1">
        <w:rPr>
          <w:i/>
          <w:sz w:val="24"/>
        </w:rPr>
        <w:t xml:space="preserve">   </w:t>
      </w:r>
      <w:r w:rsidR="00460F00" w:rsidRPr="009D51D1">
        <w:rPr>
          <w:i/>
          <w:sz w:val="24"/>
        </w:rPr>
        <w:t>ICRs Related to Payment Suspensions (§ 424.530(a</w:t>
      </w:r>
      <w:proofErr w:type="gramStart"/>
      <w:r w:rsidR="00460F00" w:rsidRPr="009D51D1">
        <w:rPr>
          <w:i/>
          <w:sz w:val="24"/>
        </w:rPr>
        <w:t>)(</w:t>
      </w:r>
      <w:proofErr w:type="gramEnd"/>
      <w:r w:rsidR="00460F00" w:rsidRPr="009D51D1">
        <w:rPr>
          <w:i/>
          <w:sz w:val="24"/>
        </w:rPr>
        <w:t>7) and § 405.371)</w:t>
      </w:r>
    </w:p>
    <w:p w14:paraId="57A769DB" w14:textId="77777777" w:rsidR="00460F00" w:rsidRPr="009D51D1" w:rsidRDefault="00460F00" w:rsidP="00460F00">
      <w:pPr>
        <w:tabs>
          <w:tab w:val="left" w:pos="-90"/>
          <w:tab w:val="left" w:pos="720"/>
        </w:tabs>
        <w:rPr>
          <w:sz w:val="24"/>
        </w:rPr>
      </w:pPr>
    </w:p>
    <w:p w14:paraId="4C94ECDF" w14:textId="77777777" w:rsidR="00460F00" w:rsidRPr="009D51D1" w:rsidRDefault="00460F00" w:rsidP="00460F00">
      <w:pPr>
        <w:tabs>
          <w:tab w:val="left" w:pos="-90"/>
          <w:tab w:val="left" w:pos="0"/>
          <w:tab w:val="left" w:pos="1080"/>
        </w:tabs>
        <w:rPr>
          <w:sz w:val="24"/>
        </w:rPr>
      </w:pPr>
    </w:p>
    <w:p w14:paraId="084FF996" w14:textId="77777777" w:rsidR="009D51D1" w:rsidRPr="009D51D1" w:rsidRDefault="009D51D1" w:rsidP="00092618">
      <w:pPr>
        <w:pStyle w:val="Header"/>
        <w:tabs>
          <w:tab w:val="left" w:pos="720"/>
        </w:tabs>
      </w:pPr>
      <w:r w:rsidRPr="009D51D1">
        <w:t>We are unable to estimate the total ICR burden of these provisions, for we cannot predict the number of instances in which we would deny enrollment under § 424.530(a</w:t>
      </w:r>
      <w:proofErr w:type="gramStart"/>
      <w:r w:rsidRPr="009D51D1">
        <w:t>)(</w:t>
      </w:r>
      <w:proofErr w:type="gramEnd"/>
      <w:r w:rsidRPr="009D51D1">
        <w:t xml:space="preserve">7) or suspend payment under § 405.371.  Nor do we have sufficient historical data on which we can estimate the burden of payment suspensions, which would consist mostly of potential lost payments the amount of which we are unable to quantify; the principal ICR burden associated with § 424.530(a)(7) would be the submission of Form CMS-855 applications following denials.  To enhance our ability to formulate an estimate of the burden associated with this provision, we are soliciting comment on--(1) whether an annual figure of 1,000 potentially affected providers and suppliers could serve as a reasonable approximation; and (2) the potential cost burden to providers and suppliers.  </w:t>
      </w:r>
      <w:r w:rsidRPr="00092618">
        <w:rPr>
          <w:bCs/>
        </w:rPr>
        <w:t>However, we stress that this is not an estimate since we do not have sufficient data on which to make an estimate at this time.</w:t>
      </w:r>
    </w:p>
    <w:p w14:paraId="7F26A969" w14:textId="77777777" w:rsidR="009D51D1" w:rsidRPr="009D51D1" w:rsidRDefault="009D51D1" w:rsidP="00460F00">
      <w:pPr>
        <w:tabs>
          <w:tab w:val="left" w:pos="-90"/>
          <w:tab w:val="left" w:pos="0"/>
          <w:tab w:val="left" w:pos="1080"/>
        </w:tabs>
        <w:rPr>
          <w:sz w:val="24"/>
        </w:rPr>
      </w:pPr>
    </w:p>
    <w:p w14:paraId="093E0AA6" w14:textId="77777777" w:rsidR="009D51D1" w:rsidRPr="009D51D1" w:rsidRDefault="009D51D1" w:rsidP="00460F00">
      <w:pPr>
        <w:tabs>
          <w:tab w:val="left" w:pos="-90"/>
          <w:tab w:val="left" w:pos="0"/>
          <w:tab w:val="left" w:pos="1080"/>
        </w:tabs>
        <w:rPr>
          <w:sz w:val="24"/>
        </w:rPr>
      </w:pPr>
    </w:p>
    <w:p w14:paraId="2C2B2C31" w14:textId="77777777" w:rsidR="00460F00" w:rsidRPr="009D51D1" w:rsidRDefault="00EF7056" w:rsidP="00A7781E">
      <w:pPr>
        <w:tabs>
          <w:tab w:val="left" w:pos="-90"/>
          <w:tab w:val="left" w:pos="360"/>
          <w:tab w:val="left" w:pos="1080"/>
        </w:tabs>
        <w:ind w:left="360" w:hanging="360"/>
        <w:rPr>
          <w:i/>
          <w:sz w:val="24"/>
        </w:rPr>
      </w:pPr>
      <w:r w:rsidRPr="009D51D1">
        <w:rPr>
          <w:i/>
          <w:sz w:val="24"/>
        </w:rPr>
        <w:t>vii</w:t>
      </w:r>
      <w:proofErr w:type="gramStart"/>
      <w:r w:rsidR="00A7781E" w:rsidRPr="009D51D1">
        <w:rPr>
          <w:i/>
          <w:sz w:val="24"/>
        </w:rPr>
        <w:t xml:space="preserve">.  </w:t>
      </w:r>
      <w:r w:rsidRPr="009D51D1">
        <w:rPr>
          <w:i/>
          <w:sz w:val="24"/>
        </w:rPr>
        <w:t>ICRs</w:t>
      </w:r>
      <w:proofErr w:type="gramEnd"/>
      <w:r w:rsidRPr="009D51D1">
        <w:rPr>
          <w:i/>
          <w:sz w:val="24"/>
        </w:rPr>
        <w:t xml:space="preserve"> Related to Denial/Revocation of Provider/Supplier</w:t>
      </w:r>
      <w:r w:rsidR="00460F00" w:rsidRPr="009D51D1">
        <w:rPr>
          <w:i/>
          <w:sz w:val="24"/>
        </w:rPr>
        <w:t xml:space="preserve"> for Other Federal Program Termination or Suspension (§ 424.530(a)(14))</w:t>
      </w:r>
    </w:p>
    <w:p w14:paraId="0F4B1BE3" w14:textId="77777777" w:rsidR="00460F00" w:rsidRPr="009D51D1" w:rsidRDefault="00460F00" w:rsidP="00460F00">
      <w:pPr>
        <w:tabs>
          <w:tab w:val="left" w:pos="-90"/>
          <w:tab w:val="left" w:pos="0"/>
        </w:tabs>
        <w:rPr>
          <w:sz w:val="24"/>
        </w:rPr>
      </w:pPr>
    </w:p>
    <w:p w14:paraId="4F797CE6" w14:textId="77777777" w:rsidR="009D51D1" w:rsidRPr="009D51D1" w:rsidRDefault="009D51D1" w:rsidP="00092618">
      <w:pPr>
        <w:pStyle w:val="Header"/>
        <w:tabs>
          <w:tab w:val="left" w:pos="720"/>
        </w:tabs>
      </w:pPr>
      <w:r w:rsidRPr="009D51D1">
        <w:t xml:space="preserve">The principal ICR burden associated with this provision would involve the submission of Form CMS-855 applications following denials or following the expiration of reenrollment bars.  However, we cannot project the total ICR burden associated with these new provisions because we cannot predict the number of instances in which we would deny or revoke enrollment.  To enhance our ability to formulate projections of the ICR burden associated with this provision, we are soliciting comment on-- (1) whether an annual figure of 2,500 potentially impacted providers and suppliers could serve as a reasonable approximation; and (2) the potential cost burden to providers and suppliers.  </w:t>
      </w:r>
      <w:r w:rsidRPr="00092618">
        <w:rPr>
          <w:bCs/>
        </w:rPr>
        <w:t>However, we stress that this is not an estimate since we do not have sufficient data on which to make an estimate at this time.</w:t>
      </w:r>
    </w:p>
    <w:p w14:paraId="02B96E8E" w14:textId="77777777" w:rsidR="009D51D1" w:rsidRPr="009D51D1" w:rsidRDefault="009D51D1" w:rsidP="002C73AD">
      <w:pPr>
        <w:tabs>
          <w:tab w:val="left" w:pos="-90"/>
          <w:tab w:val="left" w:pos="0"/>
        </w:tabs>
        <w:rPr>
          <w:sz w:val="24"/>
        </w:rPr>
      </w:pPr>
    </w:p>
    <w:p w14:paraId="1ED2FFC0" w14:textId="77777777" w:rsidR="009D51D1" w:rsidRPr="009D51D1" w:rsidRDefault="009D51D1" w:rsidP="002C73AD">
      <w:pPr>
        <w:tabs>
          <w:tab w:val="left" w:pos="-90"/>
          <w:tab w:val="left" w:pos="0"/>
        </w:tabs>
        <w:rPr>
          <w:sz w:val="24"/>
        </w:rPr>
      </w:pPr>
    </w:p>
    <w:p w14:paraId="1FAA2B24" w14:textId="77777777" w:rsidR="002C73AD" w:rsidRPr="009D51D1" w:rsidRDefault="002C73AD" w:rsidP="00460F00">
      <w:pPr>
        <w:tabs>
          <w:tab w:val="left" w:pos="-90"/>
          <w:tab w:val="left" w:pos="0"/>
        </w:tabs>
        <w:rPr>
          <w:sz w:val="24"/>
        </w:rPr>
      </w:pPr>
    </w:p>
    <w:p w14:paraId="5E45CC02" w14:textId="77777777" w:rsidR="00460F00" w:rsidRPr="009D51D1" w:rsidRDefault="00EF7056" w:rsidP="002C73AD">
      <w:pPr>
        <w:tabs>
          <w:tab w:val="left" w:pos="-90"/>
          <w:tab w:val="left" w:pos="0"/>
        </w:tabs>
        <w:rPr>
          <w:i/>
          <w:sz w:val="24"/>
        </w:rPr>
      </w:pPr>
      <w:r w:rsidRPr="009D51D1">
        <w:rPr>
          <w:i/>
          <w:sz w:val="24"/>
        </w:rPr>
        <w:t>viii</w:t>
      </w:r>
      <w:r w:rsidR="00460F00" w:rsidRPr="009D51D1">
        <w:rPr>
          <w:i/>
          <w:sz w:val="24"/>
        </w:rPr>
        <w:t xml:space="preserve">.  </w:t>
      </w:r>
      <w:r w:rsidR="00A7781E" w:rsidRPr="009D51D1">
        <w:rPr>
          <w:i/>
          <w:sz w:val="24"/>
        </w:rPr>
        <w:t xml:space="preserve"> </w:t>
      </w:r>
      <w:r w:rsidR="00460F00" w:rsidRPr="009D51D1">
        <w:rPr>
          <w:i/>
          <w:sz w:val="24"/>
        </w:rPr>
        <w:t xml:space="preserve">ICRs Related to Extension of </w:t>
      </w:r>
      <w:r w:rsidRPr="009D51D1">
        <w:rPr>
          <w:i/>
          <w:sz w:val="24"/>
        </w:rPr>
        <w:t xml:space="preserve">a Provider’s/Supplier’s </w:t>
      </w:r>
      <w:r w:rsidR="00460F00" w:rsidRPr="009D51D1">
        <w:rPr>
          <w:i/>
          <w:sz w:val="24"/>
        </w:rPr>
        <w:t xml:space="preserve">Revocation </w:t>
      </w:r>
      <w:r w:rsidRPr="009D51D1">
        <w:rPr>
          <w:i/>
          <w:sz w:val="24"/>
        </w:rPr>
        <w:t xml:space="preserve">to Other Enrollments </w:t>
      </w:r>
      <w:r w:rsidR="00460F00" w:rsidRPr="009D51D1">
        <w:rPr>
          <w:i/>
          <w:sz w:val="24"/>
        </w:rPr>
        <w:t>(§ 42</w:t>
      </w:r>
      <w:r w:rsidR="002C73AD" w:rsidRPr="009D51D1">
        <w:rPr>
          <w:i/>
          <w:sz w:val="24"/>
        </w:rPr>
        <w:t>4.535</w:t>
      </w:r>
      <w:r w:rsidR="00460F00" w:rsidRPr="009D51D1">
        <w:rPr>
          <w:i/>
          <w:sz w:val="24"/>
        </w:rPr>
        <w:t>(</w:t>
      </w:r>
      <w:proofErr w:type="spellStart"/>
      <w:r w:rsidR="00460F00" w:rsidRPr="009D51D1">
        <w:rPr>
          <w:i/>
          <w:sz w:val="24"/>
        </w:rPr>
        <w:t>i</w:t>
      </w:r>
      <w:proofErr w:type="spellEnd"/>
      <w:r w:rsidR="00460F00" w:rsidRPr="009D51D1">
        <w:rPr>
          <w:i/>
          <w:sz w:val="24"/>
        </w:rPr>
        <w:t>))  </w:t>
      </w:r>
    </w:p>
    <w:p w14:paraId="36B050F4" w14:textId="77777777" w:rsidR="00460F00" w:rsidRPr="009D51D1" w:rsidRDefault="00460F00" w:rsidP="00460F00">
      <w:pPr>
        <w:tabs>
          <w:tab w:val="left" w:pos="-90"/>
          <w:tab w:val="left" w:pos="720"/>
          <w:tab w:val="left" w:pos="1080"/>
        </w:tabs>
        <w:rPr>
          <w:sz w:val="24"/>
        </w:rPr>
      </w:pPr>
    </w:p>
    <w:p w14:paraId="251E6D85" w14:textId="77777777" w:rsidR="009D51D1" w:rsidRPr="009D51D1" w:rsidRDefault="009D51D1" w:rsidP="00092618">
      <w:pPr>
        <w:pStyle w:val="Header"/>
        <w:tabs>
          <w:tab w:val="left" w:pos="720"/>
        </w:tabs>
      </w:pPr>
      <w:r w:rsidRPr="00837FD5">
        <w:t>As this is a new prevision and there is no historical data on which to make an estimate, we cannot predict the number of instances in which we would revoke enrollment for this reason or the number of locations or enrollments that would be involved;</w:t>
      </w:r>
      <w:r w:rsidRPr="00122C18">
        <w:t xml:space="preserve"> thus, we are unable to estimate the total potential collection burden, which would mostly involve the submission of Form CMS-855applications following the expiration of reenrollment bars  To enhance our ability to formulate an estimate of the ICR burden a</w:t>
      </w:r>
      <w:r w:rsidRPr="007D6A46">
        <w:t xml:space="preserve">ssociated with this provision, we are soliciting comment on--(1) whether annual figures of 5,000 potentially impacted providers and suppliers and 12,000 potentially revoked enrollments and terminated practice locations could serve as reasonable approximations; and (2) the potential cost burden to providers and suppliers.  </w:t>
      </w:r>
      <w:r w:rsidRPr="00092618">
        <w:rPr>
          <w:bCs/>
        </w:rPr>
        <w:t>However, we stress that this is not an estimate since we do not have sufficient data on which to make an estimate at this time.</w:t>
      </w:r>
    </w:p>
    <w:p w14:paraId="1B5C48BB" w14:textId="77777777" w:rsidR="009D51D1" w:rsidRPr="009D51D1" w:rsidRDefault="009D51D1" w:rsidP="00460F00">
      <w:pPr>
        <w:tabs>
          <w:tab w:val="left" w:pos="-90"/>
          <w:tab w:val="left" w:pos="720"/>
          <w:tab w:val="left" w:pos="1080"/>
        </w:tabs>
        <w:rPr>
          <w:sz w:val="24"/>
        </w:rPr>
      </w:pPr>
    </w:p>
    <w:p w14:paraId="3E5EF75D" w14:textId="77777777" w:rsidR="00460F00" w:rsidRPr="009D51D1" w:rsidRDefault="00460F00" w:rsidP="00460F00">
      <w:pPr>
        <w:tabs>
          <w:tab w:val="left" w:pos="-90"/>
          <w:tab w:val="left" w:pos="0"/>
        </w:tabs>
        <w:rPr>
          <w:sz w:val="24"/>
        </w:rPr>
      </w:pPr>
    </w:p>
    <w:p w14:paraId="5C4484EC" w14:textId="77777777" w:rsidR="00460F00" w:rsidRPr="009D51D1" w:rsidRDefault="00EF7056" w:rsidP="00460F00">
      <w:pPr>
        <w:tabs>
          <w:tab w:val="left" w:pos="-90"/>
          <w:tab w:val="left" w:pos="0"/>
        </w:tabs>
        <w:rPr>
          <w:i/>
          <w:sz w:val="24"/>
        </w:rPr>
      </w:pPr>
      <w:r w:rsidRPr="009D51D1">
        <w:rPr>
          <w:i/>
          <w:sz w:val="24"/>
        </w:rPr>
        <w:t>ix</w:t>
      </w:r>
      <w:r w:rsidR="00A7781E" w:rsidRPr="009D51D1">
        <w:rPr>
          <w:i/>
          <w:sz w:val="24"/>
        </w:rPr>
        <w:t xml:space="preserve">.   </w:t>
      </w:r>
      <w:r w:rsidR="00460F00" w:rsidRPr="009D51D1">
        <w:rPr>
          <w:i/>
          <w:sz w:val="24"/>
        </w:rPr>
        <w:t>Voluntary Termination Pending Revocation (§ 424.535(j))  </w:t>
      </w:r>
    </w:p>
    <w:p w14:paraId="4BAC3F47" w14:textId="77777777" w:rsidR="00460F00" w:rsidRPr="009D51D1" w:rsidRDefault="00460F00" w:rsidP="00460F00">
      <w:pPr>
        <w:tabs>
          <w:tab w:val="left" w:pos="-90"/>
          <w:tab w:val="left" w:pos="720"/>
          <w:tab w:val="left" w:pos="1080"/>
        </w:tabs>
        <w:rPr>
          <w:sz w:val="24"/>
        </w:rPr>
      </w:pPr>
    </w:p>
    <w:p w14:paraId="2A047610" w14:textId="77777777" w:rsidR="009D51D1" w:rsidRPr="009D51D1" w:rsidRDefault="009D51D1" w:rsidP="00092618">
      <w:pPr>
        <w:pStyle w:val="Header"/>
        <w:tabs>
          <w:tab w:val="left" w:pos="720"/>
        </w:tabs>
      </w:pPr>
      <w:r w:rsidRPr="009D51D1">
        <w:t>As this is a new provision and there is no historical data on which to base a projection, we are unable to predict the</w:t>
      </w:r>
      <w:r w:rsidRPr="009D51D1">
        <w:rPr>
          <w:u w:val="single"/>
        </w:rPr>
        <w:t xml:space="preserve"> </w:t>
      </w:r>
      <w:r w:rsidRPr="009D51D1">
        <w:t xml:space="preserve">number of instances in which we would revoke enrollment.  Therefore, we cannot estimate the potential collection burden associated with § 424.535(j), which would principally involve the submission of Form CMS-855 applications following the expiration of reenrollment bars.  Moreover, since evidence of these activities is confined to the results of unique investigations, we believe the examples cited in the preamble text cannot form the basis of a representative sample from which to inform projections.  However, to enhance our ability to project of the ICR burden associated with this provision, we are soliciting comment on--(1) whether an annual figure of 2,000 potentially impacted providers and suppliers could serve as a reasonable approximation; and (2) the potential cost burden to providers and suppliers.  </w:t>
      </w:r>
      <w:r w:rsidRPr="00092618">
        <w:rPr>
          <w:bCs/>
        </w:rPr>
        <w:t>However, we stress that this is not a projection since we do not have sufficient data on which to make a projection at this time.</w:t>
      </w:r>
    </w:p>
    <w:p w14:paraId="0832138A" w14:textId="77777777" w:rsidR="009D51D1" w:rsidRPr="009D51D1" w:rsidRDefault="009D51D1" w:rsidP="002C73AD">
      <w:pPr>
        <w:tabs>
          <w:tab w:val="left" w:pos="-90"/>
          <w:tab w:val="left" w:pos="720"/>
        </w:tabs>
        <w:rPr>
          <w:sz w:val="24"/>
        </w:rPr>
      </w:pPr>
    </w:p>
    <w:p w14:paraId="042452CE" w14:textId="77777777" w:rsidR="00460F00" w:rsidRPr="009D51D1" w:rsidRDefault="00460F00" w:rsidP="00A7781E">
      <w:pPr>
        <w:tabs>
          <w:tab w:val="left" w:pos="-90"/>
          <w:tab w:val="left" w:pos="720"/>
          <w:tab w:val="left" w:pos="1080"/>
        </w:tabs>
        <w:rPr>
          <w:sz w:val="24"/>
        </w:rPr>
      </w:pPr>
    </w:p>
    <w:p w14:paraId="008948C2" w14:textId="77777777" w:rsidR="00460F00" w:rsidRPr="009D51D1" w:rsidRDefault="00EF7056" w:rsidP="00A7781E">
      <w:pPr>
        <w:pStyle w:val="Header"/>
        <w:tabs>
          <w:tab w:val="left" w:pos="720"/>
        </w:tabs>
        <w:rPr>
          <w:i/>
        </w:rPr>
      </w:pPr>
      <w:r w:rsidRPr="009D51D1">
        <w:rPr>
          <w:i/>
        </w:rPr>
        <w:t>x</w:t>
      </w:r>
      <w:r w:rsidR="00460F00" w:rsidRPr="009D51D1">
        <w:rPr>
          <w:i/>
        </w:rPr>
        <w:t xml:space="preserve">.  </w:t>
      </w:r>
      <w:r w:rsidR="00A7781E" w:rsidRPr="009D51D1">
        <w:rPr>
          <w:i/>
        </w:rPr>
        <w:t xml:space="preserve"> </w:t>
      </w:r>
      <w:r w:rsidR="00460F00" w:rsidRPr="009D51D1">
        <w:rPr>
          <w:i/>
        </w:rPr>
        <w:t xml:space="preserve">ICRs Related to Temporary Moratorium (§ 424.570)  </w:t>
      </w:r>
    </w:p>
    <w:p w14:paraId="2DB8FC7D" w14:textId="77777777" w:rsidR="00460F00" w:rsidRPr="009D51D1" w:rsidRDefault="00460F00" w:rsidP="00A7781E">
      <w:pPr>
        <w:pStyle w:val="Header"/>
        <w:tabs>
          <w:tab w:val="left" w:pos="720"/>
        </w:tabs>
      </w:pPr>
    </w:p>
    <w:p w14:paraId="2CBB223A" w14:textId="77777777" w:rsidR="009D51D1" w:rsidRPr="009D51D1" w:rsidRDefault="009D51D1" w:rsidP="00092618">
      <w:pPr>
        <w:pStyle w:val="Header"/>
        <w:tabs>
          <w:tab w:val="left" w:pos="720"/>
        </w:tabs>
      </w:pPr>
      <w:r w:rsidRPr="009D51D1">
        <w:t xml:space="preserve">We are unable to estimate the number of applications that would be approved or denied as a result of our changes to § 424.570, for we have insufficient data on which to base a precise projection.  Consequently, we cannot estimate the ICR burden of these revisions; which would mostly involve the submission of Form CMS-855 applications by previously denied providers and suppliers following the lifting of a moratorium.  To enhance our ability to formulate an estimate of the ICR burden associated with this provision, we are soliciting comment on-- (1) whether an annual figure of 2,000 potentially impacted providers and suppliers could serve as a reasonable approximation; and (2) the potential cost burden to providers and suppliers.  </w:t>
      </w:r>
      <w:r w:rsidRPr="00092618">
        <w:rPr>
          <w:bCs/>
        </w:rPr>
        <w:t>However, we stress that this is not an estimate since we do not have sufficient data on which to make an estimate at this time.</w:t>
      </w:r>
    </w:p>
    <w:p w14:paraId="221CCFBF" w14:textId="77777777" w:rsidR="009D51D1" w:rsidRPr="009D51D1" w:rsidRDefault="009D51D1" w:rsidP="002C73AD">
      <w:pPr>
        <w:pStyle w:val="Header"/>
        <w:tabs>
          <w:tab w:val="left" w:pos="720"/>
        </w:tabs>
      </w:pPr>
    </w:p>
    <w:p w14:paraId="465A84DA" w14:textId="77777777" w:rsidR="00460F00" w:rsidRPr="009D51D1" w:rsidRDefault="00460F00" w:rsidP="00A7781E">
      <w:pPr>
        <w:pStyle w:val="Header"/>
        <w:tabs>
          <w:tab w:val="left" w:pos="720"/>
        </w:tabs>
      </w:pPr>
    </w:p>
    <w:p w14:paraId="19A772B5" w14:textId="77777777" w:rsidR="00460F00" w:rsidRPr="009D51D1" w:rsidRDefault="00EF7056" w:rsidP="00A7781E">
      <w:pPr>
        <w:pStyle w:val="Header"/>
        <w:tabs>
          <w:tab w:val="left" w:pos="720"/>
        </w:tabs>
        <w:rPr>
          <w:i/>
        </w:rPr>
      </w:pPr>
      <w:r w:rsidRPr="009D51D1">
        <w:rPr>
          <w:i/>
        </w:rPr>
        <w:t>xi</w:t>
      </w:r>
      <w:r w:rsidR="00460F00" w:rsidRPr="009D51D1">
        <w:rPr>
          <w:i/>
        </w:rPr>
        <w:t xml:space="preserve">. </w:t>
      </w:r>
      <w:r w:rsidR="00A7781E" w:rsidRPr="009D51D1">
        <w:rPr>
          <w:i/>
        </w:rPr>
        <w:t xml:space="preserve"> </w:t>
      </w:r>
      <w:r w:rsidR="00460F00" w:rsidRPr="009D51D1">
        <w:rPr>
          <w:i/>
        </w:rPr>
        <w:t xml:space="preserve"> ICRs Related to Surety Bonds (§ 424.57(d))   </w:t>
      </w:r>
    </w:p>
    <w:p w14:paraId="47E83AE8" w14:textId="77777777" w:rsidR="002C73AD" w:rsidRPr="00E6748B" w:rsidRDefault="002C73AD" w:rsidP="002C73AD">
      <w:pPr>
        <w:pStyle w:val="Header"/>
        <w:tabs>
          <w:tab w:val="left" w:pos="720"/>
        </w:tabs>
      </w:pPr>
      <w:r w:rsidRPr="00E6748B">
        <w:t>We believe that CMS may reject some new and existing surety bonds based on surety non</w:t>
      </w:r>
      <w:r w:rsidRPr="00E6748B">
        <w:noBreakHyphen/>
        <w:t>payment, which would require the DMEPOS supplier to obtain a new surety bond in order to enroll in or maintain its enrollment in Medicare.  This would require a supplier to do additional paperwork to obtain and submit a new surety bond and to report this information to Medicare via the Form CMS-855S.  This burden is approved under OMB Control Number 0938-1065 and is estimated to take 3 hours to complete. However, we do not have adequate data to help us estimate the number of suppliers whose bonds would be rejected, or the number that would obtain new bonds, though we welcome public feedback regarding the possible burden.</w:t>
      </w:r>
    </w:p>
    <w:p w14:paraId="3328B61E" w14:textId="77777777" w:rsidR="00460F00" w:rsidRPr="009D51D1" w:rsidRDefault="00EF7056" w:rsidP="00A7781E">
      <w:pPr>
        <w:pStyle w:val="Header"/>
        <w:widowControl w:val="0"/>
        <w:tabs>
          <w:tab w:val="left" w:pos="720"/>
        </w:tabs>
        <w:rPr>
          <w:i/>
        </w:rPr>
      </w:pPr>
      <w:r w:rsidRPr="009D51D1">
        <w:rPr>
          <w:i/>
        </w:rPr>
        <w:t>xii</w:t>
      </w:r>
      <w:r w:rsidR="00460F00" w:rsidRPr="009D51D1">
        <w:rPr>
          <w:i/>
        </w:rPr>
        <w:t xml:space="preserve">.  </w:t>
      </w:r>
      <w:r w:rsidR="00A7781E" w:rsidRPr="009D51D1">
        <w:rPr>
          <w:i/>
        </w:rPr>
        <w:t xml:space="preserve"> </w:t>
      </w:r>
      <w:r w:rsidR="00460F00" w:rsidRPr="009D51D1">
        <w:rPr>
          <w:i/>
        </w:rPr>
        <w:t xml:space="preserve">ICRs Related to Reactivations (§ 424.540(b))  </w:t>
      </w:r>
    </w:p>
    <w:p w14:paraId="3BDF5C97" w14:textId="77777777" w:rsidR="00460F00" w:rsidRPr="009D51D1" w:rsidRDefault="00460F00" w:rsidP="00A7781E">
      <w:pPr>
        <w:pStyle w:val="Header"/>
        <w:widowControl w:val="0"/>
        <w:tabs>
          <w:tab w:val="left" w:pos="720"/>
        </w:tabs>
      </w:pPr>
    </w:p>
    <w:p w14:paraId="02EFCF79" w14:textId="77777777" w:rsidR="009D51D1" w:rsidRPr="009D51D1" w:rsidRDefault="009D51D1" w:rsidP="00092618">
      <w:pPr>
        <w:pStyle w:val="Header"/>
        <w:tabs>
          <w:tab w:val="left" w:pos="720"/>
        </w:tabs>
        <w:rPr>
          <w:strike/>
        </w:rPr>
      </w:pPr>
      <w:r w:rsidRPr="009D51D1">
        <w:t>We are unable to project the number of certifications that would be submitted versus the number of complete Form CMS</w:t>
      </w:r>
      <w:r w:rsidRPr="009D51D1">
        <w:noBreakHyphen/>
        <w:t>855 applications; therefore, we cannot predict the number of instances in which a Form CMS</w:t>
      </w:r>
      <w:r w:rsidRPr="009D51D1">
        <w:noBreakHyphen/>
        <w:t xml:space="preserve">855 would be requested.  To enhance our ability to formulate a projection of the ICR burden associated with this provision, we are soliciting comment on-- (1) whether an annual figure of 10,000 instances in which a Form CMS-855 would be requested could serve as a reasonable approximation; and (2) the potential cost burden to providers and suppliers.  </w:t>
      </w:r>
      <w:r w:rsidRPr="00092618">
        <w:rPr>
          <w:bCs/>
        </w:rPr>
        <w:t>However, we stress that this is not an estimate since we do not have sufficient data on which to make an estimate at this time.</w:t>
      </w:r>
    </w:p>
    <w:p w14:paraId="44F6F46D" w14:textId="77777777" w:rsidR="009D51D1" w:rsidRPr="009D51D1" w:rsidRDefault="009D51D1" w:rsidP="00A7781E">
      <w:pPr>
        <w:pStyle w:val="Header"/>
        <w:widowControl w:val="0"/>
        <w:tabs>
          <w:tab w:val="left" w:pos="720"/>
        </w:tabs>
      </w:pPr>
    </w:p>
    <w:p w14:paraId="510BDE87" w14:textId="77777777" w:rsidR="00805D82" w:rsidRDefault="00805D82" w:rsidP="00776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F64C539" w14:textId="77777777" w:rsidR="002C73AD" w:rsidRDefault="002C73AD" w:rsidP="001749FF">
      <w:pPr>
        <w:pStyle w:val="Header"/>
        <w:keepNext/>
        <w:tabs>
          <w:tab w:val="left" w:pos="720"/>
        </w:tabs>
        <w:jc w:val="center"/>
        <w:rPr>
          <w:b/>
          <w:bCs/>
          <w:color w:val="000000"/>
        </w:rPr>
      </w:pPr>
    </w:p>
    <w:p w14:paraId="67EEEFED" w14:textId="77777777" w:rsidR="002C73AD" w:rsidRDefault="002C73AD" w:rsidP="002C73AD">
      <w:pPr>
        <w:pStyle w:val="Header"/>
        <w:keepNext/>
        <w:tabs>
          <w:tab w:val="left" w:pos="720"/>
        </w:tabs>
        <w:rPr>
          <w:b/>
          <w:bCs/>
          <w:color w:val="000000"/>
        </w:rPr>
      </w:pPr>
      <w:r>
        <w:rPr>
          <w:b/>
          <w:bCs/>
          <w:color w:val="000000"/>
        </w:rPr>
        <w:t>d.    Totals</w:t>
      </w:r>
    </w:p>
    <w:p w14:paraId="5477373B" w14:textId="77777777" w:rsidR="002C73AD" w:rsidRDefault="002C73AD" w:rsidP="002C73AD">
      <w:pPr>
        <w:pStyle w:val="Header"/>
        <w:keepNext/>
        <w:tabs>
          <w:tab w:val="left" w:pos="720"/>
        </w:tabs>
        <w:rPr>
          <w:b/>
          <w:bCs/>
          <w:color w:val="000000"/>
        </w:rPr>
      </w:pPr>
    </w:p>
    <w:p w14:paraId="7C8EADFE" w14:textId="77777777" w:rsidR="002C73AD" w:rsidRPr="002C73AD" w:rsidRDefault="002C73AD" w:rsidP="002C73AD">
      <w:pPr>
        <w:pStyle w:val="Header"/>
        <w:keepNext/>
        <w:tabs>
          <w:tab w:val="left" w:pos="720"/>
        </w:tabs>
        <w:rPr>
          <w:bCs/>
          <w:color w:val="000000"/>
        </w:rPr>
      </w:pPr>
      <w:r>
        <w:rPr>
          <w:bCs/>
          <w:color w:val="000000"/>
        </w:rPr>
        <w:t>Tables 4 and 5 outline the total cost burdens of our proposed provisions over the first three years of this rule.</w:t>
      </w:r>
    </w:p>
    <w:p w14:paraId="08B5E821" w14:textId="77777777" w:rsidR="002C73AD" w:rsidRDefault="002C73AD" w:rsidP="002C73AD">
      <w:pPr>
        <w:pStyle w:val="Header"/>
        <w:keepNext/>
        <w:tabs>
          <w:tab w:val="left" w:pos="720"/>
        </w:tabs>
        <w:rPr>
          <w:b/>
          <w:bCs/>
          <w:color w:val="000000"/>
        </w:rPr>
      </w:pPr>
    </w:p>
    <w:p w14:paraId="45970165" w14:textId="77777777" w:rsidR="002C73AD" w:rsidRDefault="002C73AD" w:rsidP="002C73AD">
      <w:pPr>
        <w:pStyle w:val="Header"/>
        <w:keepNext/>
        <w:tabs>
          <w:tab w:val="left" w:pos="720"/>
        </w:tabs>
        <w:rPr>
          <w:b/>
          <w:bCs/>
          <w:color w:val="000000"/>
        </w:rPr>
      </w:pPr>
    </w:p>
    <w:p w14:paraId="4D1D5D80" w14:textId="77777777" w:rsidR="001749FF" w:rsidRDefault="001749FF" w:rsidP="001749FF">
      <w:pPr>
        <w:pStyle w:val="Header"/>
        <w:keepNext/>
        <w:tabs>
          <w:tab w:val="left" w:pos="720"/>
        </w:tabs>
        <w:jc w:val="center"/>
        <w:rPr>
          <w:b/>
          <w:bCs/>
          <w:color w:val="000000"/>
        </w:rPr>
      </w:pPr>
      <w:r>
        <w:rPr>
          <w:b/>
          <w:bCs/>
          <w:color w:val="000000"/>
        </w:rPr>
        <w:t>Table</w:t>
      </w:r>
      <w:r w:rsidR="006374BD">
        <w:rPr>
          <w:b/>
          <w:bCs/>
          <w:color w:val="000000"/>
        </w:rPr>
        <w:t xml:space="preserve"> 4</w:t>
      </w:r>
      <w:r>
        <w:rPr>
          <w:b/>
          <w:bCs/>
          <w:color w:val="000000"/>
        </w:rPr>
        <w:t xml:space="preserve">:  Estimated Annual Reporting/Recordkeeping </w:t>
      </w:r>
    </w:p>
    <w:p w14:paraId="7A98E138" w14:textId="77777777" w:rsidR="001749FF" w:rsidRDefault="001749FF" w:rsidP="001749FF">
      <w:pPr>
        <w:pStyle w:val="Header"/>
        <w:keepNext/>
        <w:tabs>
          <w:tab w:val="left" w:pos="720"/>
        </w:tabs>
        <w:jc w:val="center"/>
        <w:rPr>
          <w:b/>
          <w:bCs/>
          <w:color w:val="000000"/>
        </w:rPr>
      </w:pPr>
      <w:r>
        <w:rPr>
          <w:b/>
          <w:bCs/>
          <w:color w:val="000000"/>
        </w:rPr>
        <w:t>Hour Burden</w:t>
      </w:r>
    </w:p>
    <w:p w14:paraId="56052CDC" w14:textId="77777777" w:rsidR="001749FF" w:rsidRDefault="001749FF" w:rsidP="001749FF">
      <w:pPr>
        <w:pStyle w:val="Header"/>
        <w:keepNext/>
        <w:tabs>
          <w:tab w:val="left" w:pos="720"/>
        </w:tabs>
        <w:jc w:val="cente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957"/>
        <w:gridCol w:w="1980"/>
        <w:gridCol w:w="2070"/>
      </w:tblGrid>
      <w:tr w:rsidR="001749FF" w14:paraId="5F7CD918" w14:textId="77777777" w:rsidTr="0063641F">
        <w:trPr>
          <w:jc w:val="center"/>
        </w:trPr>
        <w:tc>
          <w:tcPr>
            <w:tcW w:w="1638" w:type="dxa"/>
            <w:shd w:val="clear" w:color="auto" w:fill="auto"/>
          </w:tcPr>
          <w:p w14:paraId="1F96D628" w14:textId="77777777" w:rsidR="001749FF" w:rsidRDefault="001749FF" w:rsidP="0063641F">
            <w:pPr>
              <w:pStyle w:val="Header"/>
              <w:keepNext/>
              <w:tabs>
                <w:tab w:val="left" w:pos="720"/>
              </w:tabs>
              <w:jc w:val="center"/>
            </w:pPr>
          </w:p>
        </w:tc>
        <w:tc>
          <w:tcPr>
            <w:tcW w:w="1957" w:type="dxa"/>
            <w:shd w:val="clear" w:color="auto" w:fill="auto"/>
          </w:tcPr>
          <w:p w14:paraId="78A27506" w14:textId="77777777" w:rsidR="001749FF" w:rsidRPr="0063641F" w:rsidRDefault="001749FF" w:rsidP="0063641F">
            <w:pPr>
              <w:pStyle w:val="Header"/>
              <w:keepNext/>
              <w:tabs>
                <w:tab w:val="left" w:pos="720"/>
              </w:tabs>
              <w:jc w:val="center"/>
              <w:rPr>
                <w:b/>
              </w:rPr>
            </w:pPr>
            <w:r w:rsidRPr="0063641F">
              <w:rPr>
                <w:b/>
              </w:rPr>
              <w:t>Year 1</w:t>
            </w:r>
          </w:p>
        </w:tc>
        <w:tc>
          <w:tcPr>
            <w:tcW w:w="1980" w:type="dxa"/>
            <w:shd w:val="clear" w:color="auto" w:fill="auto"/>
          </w:tcPr>
          <w:p w14:paraId="0B7065BD" w14:textId="77777777" w:rsidR="001749FF" w:rsidRPr="0063641F" w:rsidRDefault="001749FF" w:rsidP="0063641F">
            <w:pPr>
              <w:pStyle w:val="Header"/>
              <w:keepNext/>
              <w:tabs>
                <w:tab w:val="left" w:pos="720"/>
              </w:tabs>
              <w:jc w:val="center"/>
              <w:rPr>
                <w:b/>
              </w:rPr>
            </w:pPr>
            <w:r w:rsidRPr="0063641F">
              <w:rPr>
                <w:b/>
              </w:rPr>
              <w:t>Year 2</w:t>
            </w:r>
          </w:p>
        </w:tc>
        <w:tc>
          <w:tcPr>
            <w:tcW w:w="2070" w:type="dxa"/>
            <w:shd w:val="clear" w:color="auto" w:fill="auto"/>
          </w:tcPr>
          <w:p w14:paraId="71FBAF31" w14:textId="77777777" w:rsidR="001749FF" w:rsidRPr="0063641F" w:rsidRDefault="001749FF" w:rsidP="0063641F">
            <w:pPr>
              <w:pStyle w:val="Header"/>
              <w:keepNext/>
              <w:tabs>
                <w:tab w:val="left" w:pos="720"/>
              </w:tabs>
              <w:jc w:val="center"/>
              <w:rPr>
                <w:b/>
              </w:rPr>
            </w:pPr>
            <w:r w:rsidRPr="0063641F">
              <w:rPr>
                <w:b/>
              </w:rPr>
              <w:t>Year 3</w:t>
            </w:r>
          </w:p>
        </w:tc>
      </w:tr>
      <w:tr w:rsidR="001749FF" w14:paraId="64CEAA3C" w14:textId="77777777" w:rsidTr="0063641F">
        <w:trPr>
          <w:jc w:val="center"/>
        </w:trPr>
        <w:tc>
          <w:tcPr>
            <w:tcW w:w="1638" w:type="dxa"/>
            <w:shd w:val="clear" w:color="auto" w:fill="auto"/>
          </w:tcPr>
          <w:p w14:paraId="53A155F1" w14:textId="77777777" w:rsidR="001749FF" w:rsidRPr="0063641F" w:rsidRDefault="001749FF" w:rsidP="0063641F">
            <w:pPr>
              <w:pStyle w:val="Header"/>
              <w:keepNext/>
              <w:tabs>
                <w:tab w:val="left" w:pos="720"/>
              </w:tabs>
              <w:jc w:val="center"/>
              <w:rPr>
                <w:b/>
              </w:rPr>
            </w:pPr>
            <w:r w:rsidRPr="0063641F">
              <w:rPr>
                <w:b/>
              </w:rPr>
              <w:t>Affiliations</w:t>
            </w:r>
          </w:p>
        </w:tc>
        <w:tc>
          <w:tcPr>
            <w:tcW w:w="1957" w:type="dxa"/>
            <w:shd w:val="clear" w:color="auto" w:fill="auto"/>
          </w:tcPr>
          <w:p w14:paraId="6F6AF1CA" w14:textId="77777777" w:rsidR="001749FF" w:rsidRDefault="001749FF" w:rsidP="0063641F">
            <w:pPr>
              <w:pStyle w:val="Header"/>
              <w:keepNext/>
              <w:tabs>
                <w:tab w:val="left" w:pos="720"/>
              </w:tabs>
              <w:jc w:val="center"/>
            </w:pPr>
            <w:r>
              <w:t>8,352,500</w:t>
            </w:r>
          </w:p>
        </w:tc>
        <w:tc>
          <w:tcPr>
            <w:tcW w:w="1980" w:type="dxa"/>
            <w:shd w:val="clear" w:color="auto" w:fill="auto"/>
          </w:tcPr>
          <w:p w14:paraId="74CABA28" w14:textId="77777777" w:rsidR="001749FF" w:rsidRDefault="001749FF" w:rsidP="0063641F">
            <w:pPr>
              <w:pStyle w:val="Header"/>
              <w:keepNext/>
              <w:tabs>
                <w:tab w:val="left" w:pos="720"/>
              </w:tabs>
              <w:jc w:val="center"/>
            </w:pPr>
            <w:r>
              <w:t>8,352,500</w:t>
            </w:r>
          </w:p>
        </w:tc>
        <w:tc>
          <w:tcPr>
            <w:tcW w:w="2070" w:type="dxa"/>
            <w:shd w:val="clear" w:color="auto" w:fill="auto"/>
          </w:tcPr>
          <w:p w14:paraId="20548067" w14:textId="77777777" w:rsidR="001749FF" w:rsidRDefault="001749FF" w:rsidP="0063641F">
            <w:pPr>
              <w:pStyle w:val="Header"/>
              <w:keepNext/>
              <w:tabs>
                <w:tab w:val="left" w:pos="720"/>
              </w:tabs>
              <w:jc w:val="center"/>
            </w:pPr>
            <w:r>
              <w:t>8,352,500</w:t>
            </w:r>
          </w:p>
        </w:tc>
      </w:tr>
      <w:tr w:rsidR="001749FF" w14:paraId="04148BEB" w14:textId="77777777" w:rsidTr="0063641F">
        <w:trPr>
          <w:trHeight w:val="377"/>
          <w:jc w:val="center"/>
        </w:trPr>
        <w:tc>
          <w:tcPr>
            <w:tcW w:w="1638" w:type="dxa"/>
            <w:shd w:val="clear" w:color="auto" w:fill="auto"/>
          </w:tcPr>
          <w:p w14:paraId="6765B030" w14:textId="77777777" w:rsidR="001749FF" w:rsidRPr="0063641F" w:rsidRDefault="00734BCF" w:rsidP="0063641F">
            <w:pPr>
              <w:pStyle w:val="Header"/>
              <w:keepNext/>
              <w:tabs>
                <w:tab w:val="left" w:pos="720"/>
              </w:tabs>
              <w:jc w:val="center"/>
              <w:rPr>
                <w:b/>
              </w:rPr>
            </w:pPr>
            <w:r>
              <w:rPr>
                <w:b/>
              </w:rPr>
              <w:t>Part A/B Ordering</w:t>
            </w:r>
          </w:p>
        </w:tc>
        <w:tc>
          <w:tcPr>
            <w:tcW w:w="1957" w:type="dxa"/>
            <w:shd w:val="clear" w:color="auto" w:fill="auto"/>
          </w:tcPr>
          <w:p w14:paraId="43250CF6" w14:textId="77777777" w:rsidR="001749FF" w:rsidRDefault="00861108" w:rsidP="0063641F">
            <w:pPr>
              <w:pStyle w:val="Header"/>
              <w:keepNext/>
              <w:tabs>
                <w:tab w:val="left" w:pos="720"/>
              </w:tabs>
              <w:jc w:val="center"/>
            </w:pPr>
            <w:r>
              <w:t>1</w:t>
            </w:r>
            <w:r w:rsidR="001749FF">
              <w:t>00,000</w:t>
            </w:r>
          </w:p>
        </w:tc>
        <w:tc>
          <w:tcPr>
            <w:tcW w:w="1980" w:type="dxa"/>
            <w:shd w:val="clear" w:color="auto" w:fill="auto"/>
          </w:tcPr>
          <w:p w14:paraId="7F6F05F1" w14:textId="77777777" w:rsidR="001749FF" w:rsidRDefault="001749FF" w:rsidP="0063641F">
            <w:pPr>
              <w:pStyle w:val="Header"/>
              <w:keepNext/>
              <w:tabs>
                <w:tab w:val="left" w:pos="720"/>
              </w:tabs>
              <w:jc w:val="center"/>
            </w:pPr>
            <w:r>
              <w:t>0</w:t>
            </w:r>
          </w:p>
        </w:tc>
        <w:tc>
          <w:tcPr>
            <w:tcW w:w="2070" w:type="dxa"/>
            <w:shd w:val="clear" w:color="auto" w:fill="auto"/>
          </w:tcPr>
          <w:p w14:paraId="6143E0D1" w14:textId="77777777" w:rsidR="001749FF" w:rsidRDefault="001749FF" w:rsidP="0063641F">
            <w:pPr>
              <w:pStyle w:val="Header"/>
              <w:keepNext/>
              <w:tabs>
                <w:tab w:val="left" w:pos="720"/>
              </w:tabs>
              <w:jc w:val="center"/>
            </w:pPr>
            <w:r>
              <w:t>0</w:t>
            </w:r>
          </w:p>
        </w:tc>
      </w:tr>
      <w:tr w:rsidR="001749FF" w14:paraId="0F09CF46" w14:textId="77777777" w:rsidTr="0063641F">
        <w:trPr>
          <w:jc w:val="center"/>
        </w:trPr>
        <w:tc>
          <w:tcPr>
            <w:tcW w:w="1638" w:type="dxa"/>
            <w:shd w:val="clear" w:color="auto" w:fill="auto"/>
          </w:tcPr>
          <w:p w14:paraId="23486F9E" w14:textId="77777777" w:rsidR="001749FF" w:rsidRPr="0063641F" w:rsidRDefault="001749FF" w:rsidP="0063641F">
            <w:pPr>
              <w:pStyle w:val="Header"/>
              <w:keepNext/>
              <w:tabs>
                <w:tab w:val="left" w:pos="720"/>
              </w:tabs>
              <w:jc w:val="center"/>
              <w:rPr>
                <w:b/>
              </w:rPr>
            </w:pPr>
            <w:r w:rsidRPr="0063641F">
              <w:rPr>
                <w:b/>
              </w:rPr>
              <w:t>Total</w:t>
            </w:r>
          </w:p>
        </w:tc>
        <w:tc>
          <w:tcPr>
            <w:tcW w:w="1957" w:type="dxa"/>
            <w:shd w:val="clear" w:color="auto" w:fill="auto"/>
          </w:tcPr>
          <w:p w14:paraId="2CEED18C" w14:textId="77777777" w:rsidR="001749FF" w:rsidRDefault="00861108" w:rsidP="006506B7">
            <w:pPr>
              <w:pStyle w:val="Header"/>
              <w:keepNext/>
              <w:tabs>
                <w:tab w:val="left" w:pos="720"/>
              </w:tabs>
              <w:jc w:val="center"/>
            </w:pPr>
            <w:r>
              <w:t>8,4</w:t>
            </w:r>
            <w:r w:rsidR="001749FF">
              <w:t>52,</w:t>
            </w:r>
            <w:r w:rsidR="006506B7">
              <w:t>5</w:t>
            </w:r>
            <w:r w:rsidR="001749FF">
              <w:t>00</w:t>
            </w:r>
          </w:p>
        </w:tc>
        <w:tc>
          <w:tcPr>
            <w:tcW w:w="1980" w:type="dxa"/>
            <w:shd w:val="clear" w:color="auto" w:fill="auto"/>
          </w:tcPr>
          <w:p w14:paraId="60E9B6D5" w14:textId="77777777" w:rsidR="001749FF" w:rsidRDefault="001749FF" w:rsidP="006506B7">
            <w:pPr>
              <w:pStyle w:val="Header"/>
              <w:keepNext/>
              <w:tabs>
                <w:tab w:val="left" w:pos="720"/>
              </w:tabs>
              <w:jc w:val="center"/>
            </w:pPr>
            <w:r>
              <w:t>8,352,</w:t>
            </w:r>
            <w:r w:rsidR="006506B7">
              <w:t>5</w:t>
            </w:r>
            <w:r>
              <w:t>00</w:t>
            </w:r>
          </w:p>
        </w:tc>
        <w:tc>
          <w:tcPr>
            <w:tcW w:w="2070" w:type="dxa"/>
            <w:shd w:val="clear" w:color="auto" w:fill="auto"/>
          </w:tcPr>
          <w:p w14:paraId="0117F475" w14:textId="77777777" w:rsidR="001749FF" w:rsidRDefault="001749FF" w:rsidP="006506B7">
            <w:pPr>
              <w:pStyle w:val="Header"/>
              <w:keepNext/>
              <w:tabs>
                <w:tab w:val="left" w:pos="720"/>
              </w:tabs>
              <w:jc w:val="center"/>
            </w:pPr>
            <w:r>
              <w:t>8,352,</w:t>
            </w:r>
            <w:r w:rsidR="006506B7">
              <w:t>5</w:t>
            </w:r>
            <w:r>
              <w:t>00</w:t>
            </w:r>
          </w:p>
        </w:tc>
      </w:tr>
    </w:tbl>
    <w:p w14:paraId="06616EB3" w14:textId="77777777" w:rsidR="001749FF" w:rsidRDefault="001749FF" w:rsidP="001749FF">
      <w:pPr>
        <w:pStyle w:val="Header"/>
        <w:tabs>
          <w:tab w:val="left" w:pos="720"/>
        </w:tabs>
        <w:spacing w:line="480" w:lineRule="auto"/>
        <w:jc w:val="center"/>
      </w:pPr>
    </w:p>
    <w:p w14:paraId="62E085D4" w14:textId="77777777" w:rsidR="001749FF" w:rsidRDefault="001749FF" w:rsidP="001749FF">
      <w:pPr>
        <w:pStyle w:val="Header"/>
        <w:keepNext/>
        <w:tabs>
          <w:tab w:val="left" w:pos="720"/>
        </w:tabs>
        <w:jc w:val="center"/>
        <w:rPr>
          <w:b/>
          <w:bCs/>
          <w:color w:val="000000"/>
        </w:rPr>
      </w:pPr>
      <w:r>
        <w:rPr>
          <w:b/>
          <w:bCs/>
          <w:color w:val="000000"/>
        </w:rPr>
        <w:t>Table</w:t>
      </w:r>
      <w:r w:rsidR="006374BD">
        <w:rPr>
          <w:b/>
          <w:bCs/>
          <w:color w:val="000000"/>
        </w:rPr>
        <w:t xml:space="preserve"> 5</w:t>
      </w:r>
      <w:r>
        <w:rPr>
          <w:b/>
          <w:bCs/>
          <w:color w:val="000000"/>
        </w:rPr>
        <w:t xml:space="preserve">:  Estimated Annual Reporting/Recordkeeping </w:t>
      </w:r>
    </w:p>
    <w:p w14:paraId="5A7B126F" w14:textId="77777777" w:rsidR="001749FF" w:rsidRDefault="001749FF" w:rsidP="001749FF">
      <w:pPr>
        <w:pStyle w:val="Header"/>
        <w:keepNext/>
        <w:tabs>
          <w:tab w:val="left" w:pos="720"/>
        </w:tabs>
        <w:jc w:val="center"/>
        <w:rPr>
          <w:b/>
          <w:bCs/>
          <w:color w:val="000000"/>
        </w:rPr>
      </w:pPr>
      <w:r>
        <w:rPr>
          <w:b/>
          <w:bCs/>
          <w:color w:val="000000"/>
        </w:rPr>
        <w:t xml:space="preserve">Cost Burden </w:t>
      </w:r>
    </w:p>
    <w:p w14:paraId="3E7F0A96" w14:textId="77777777" w:rsidR="001749FF" w:rsidRDefault="001749FF" w:rsidP="001749FF">
      <w:pPr>
        <w:pStyle w:val="Header"/>
        <w:keepNext/>
        <w:tabs>
          <w:tab w:val="left" w:pos="720"/>
        </w:tabs>
        <w:jc w:val="cente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90"/>
        <w:gridCol w:w="1980"/>
        <w:gridCol w:w="2070"/>
      </w:tblGrid>
      <w:tr w:rsidR="001749FF" w14:paraId="0B98ED5F" w14:textId="77777777" w:rsidTr="0063641F">
        <w:trPr>
          <w:jc w:val="center"/>
        </w:trPr>
        <w:tc>
          <w:tcPr>
            <w:tcW w:w="1705" w:type="dxa"/>
            <w:shd w:val="clear" w:color="auto" w:fill="auto"/>
          </w:tcPr>
          <w:p w14:paraId="2AC5E34D" w14:textId="77777777" w:rsidR="001749FF" w:rsidRDefault="001749FF" w:rsidP="0063641F">
            <w:pPr>
              <w:pStyle w:val="Header"/>
              <w:keepNext/>
              <w:tabs>
                <w:tab w:val="left" w:pos="720"/>
              </w:tabs>
              <w:jc w:val="center"/>
            </w:pPr>
          </w:p>
        </w:tc>
        <w:tc>
          <w:tcPr>
            <w:tcW w:w="1890" w:type="dxa"/>
            <w:shd w:val="clear" w:color="auto" w:fill="auto"/>
          </w:tcPr>
          <w:p w14:paraId="04ADCD67" w14:textId="77777777" w:rsidR="001749FF" w:rsidRPr="0063641F" w:rsidRDefault="001749FF" w:rsidP="0063641F">
            <w:pPr>
              <w:pStyle w:val="Header"/>
              <w:keepNext/>
              <w:tabs>
                <w:tab w:val="left" w:pos="720"/>
              </w:tabs>
              <w:jc w:val="center"/>
              <w:rPr>
                <w:b/>
              </w:rPr>
            </w:pPr>
            <w:r w:rsidRPr="0063641F">
              <w:rPr>
                <w:b/>
              </w:rPr>
              <w:t>Year 1</w:t>
            </w:r>
          </w:p>
        </w:tc>
        <w:tc>
          <w:tcPr>
            <w:tcW w:w="1980" w:type="dxa"/>
            <w:shd w:val="clear" w:color="auto" w:fill="auto"/>
          </w:tcPr>
          <w:p w14:paraId="1AADA663" w14:textId="77777777" w:rsidR="001749FF" w:rsidRPr="0063641F" w:rsidRDefault="001749FF" w:rsidP="0063641F">
            <w:pPr>
              <w:pStyle w:val="Header"/>
              <w:keepNext/>
              <w:tabs>
                <w:tab w:val="left" w:pos="720"/>
              </w:tabs>
              <w:jc w:val="center"/>
              <w:rPr>
                <w:b/>
              </w:rPr>
            </w:pPr>
            <w:r w:rsidRPr="0063641F">
              <w:rPr>
                <w:b/>
              </w:rPr>
              <w:t>Year 2</w:t>
            </w:r>
          </w:p>
        </w:tc>
        <w:tc>
          <w:tcPr>
            <w:tcW w:w="2070" w:type="dxa"/>
            <w:shd w:val="clear" w:color="auto" w:fill="auto"/>
          </w:tcPr>
          <w:p w14:paraId="12D4DFC3" w14:textId="77777777" w:rsidR="001749FF" w:rsidRPr="0063641F" w:rsidRDefault="001749FF" w:rsidP="0063641F">
            <w:pPr>
              <w:pStyle w:val="Header"/>
              <w:keepNext/>
              <w:tabs>
                <w:tab w:val="left" w:pos="720"/>
              </w:tabs>
              <w:jc w:val="center"/>
              <w:rPr>
                <w:b/>
              </w:rPr>
            </w:pPr>
            <w:r w:rsidRPr="0063641F">
              <w:rPr>
                <w:b/>
              </w:rPr>
              <w:t>Year 3</w:t>
            </w:r>
          </w:p>
        </w:tc>
      </w:tr>
      <w:tr w:rsidR="001749FF" w14:paraId="495C336D" w14:textId="77777777" w:rsidTr="0063641F">
        <w:trPr>
          <w:jc w:val="center"/>
        </w:trPr>
        <w:tc>
          <w:tcPr>
            <w:tcW w:w="1705" w:type="dxa"/>
            <w:shd w:val="clear" w:color="auto" w:fill="auto"/>
          </w:tcPr>
          <w:p w14:paraId="04D70B77" w14:textId="77777777" w:rsidR="001749FF" w:rsidRPr="0063641F" w:rsidRDefault="001749FF" w:rsidP="0063641F">
            <w:pPr>
              <w:pStyle w:val="Header"/>
              <w:keepNext/>
              <w:tabs>
                <w:tab w:val="left" w:pos="720"/>
              </w:tabs>
              <w:jc w:val="center"/>
              <w:rPr>
                <w:b/>
              </w:rPr>
            </w:pPr>
            <w:r w:rsidRPr="0063641F">
              <w:rPr>
                <w:b/>
              </w:rPr>
              <w:t>Affiliations</w:t>
            </w:r>
          </w:p>
        </w:tc>
        <w:tc>
          <w:tcPr>
            <w:tcW w:w="1890" w:type="dxa"/>
            <w:shd w:val="clear" w:color="auto" w:fill="auto"/>
          </w:tcPr>
          <w:p w14:paraId="48DF7F50" w14:textId="77777777" w:rsidR="001749FF" w:rsidRDefault="001749FF" w:rsidP="001F51BD">
            <w:pPr>
              <w:pStyle w:val="Header"/>
              <w:keepNext/>
              <w:tabs>
                <w:tab w:val="left" w:pos="720"/>
              </w:tabs>
              <w:jc w:val="center"/>
            </w:pPr>
            <w:r>
              <w:t>$</w:t>
            </w:r>
            <w:r w:rsidR="001F51BD">
              <w:t>285,321,400</w:t>
            </w:r>
            <w:r>
              <w:t xml:space="preserve"> </w:t>
            </w:r>
          </w:p>
        </w:tc>
        <w:tc>
          <w:tcPr>
            <w:tcW w:w="1980" w:type="dxa"/>
            <w:shd w:val="clear" w:color="auto" w:fill="auto"/>
          </w:tcPr>
          <w:p w14:paraId="41240AE9" w14:textId="77777777" w:rsidR="001749FF" w:rsidRDefault="001749FF" w:rsidP="001F51BD">
            <w:pPr>
              <w:pStyle w:val="Header"/>
              <w:keepNext/>
              <w:tabs>
                <w:tab w:val="left" w:pos="720"/>
              </w:tabs>
              <w:jc w:val="center"/>
            </w:pPr>
            <w:r>
              <w:t>$2</w:t>
            </w:r>
            <w:r w:rsidR="001F51BD">
              <w:t>85,321,400</w:t>
            </w:r>
            <w:r>
              <w:t xml:space="preserve"> </w:t>
            </w:r>
          </w:p>
        </w:tc>
        <w:tc>
          <w:tcPr>
            <w:tcW w:w="2070" w:type="dxa"/>
            <w:shd w:val="clear" w:color="auto" w:fill="auto"/>
          </w:tcPr>
          <w:p w14:paraId="1EC3673C" w14:textId="77777777" w:rsidR="001749FF" w:rsidRDefault="001749FF" w:rsidP="001F51BD">
            <w:pPr>
              <w:pStyle w:val="Header"/>
              <w:keepNext/>
              <w:tabs>
                <w:tab w:val="left" w:pos="720"/>
              </w:tabs>
              <w:jc w:val="center"/>
            </w:pPr>
            <w:r>
              <w:t>$2</w:t>
            </w:r>
            <w:r w:rsidR="001F51BD">
              <w:t>85,321,400</w:t>
            </w:r>
            <w:r>
              <w:t xml:space="preserve"> </w:t>
            </w:r>
          </w:p>
        </w:tc>
      </w:tr>
      <w:tr w:rsidR="001749FF" w14:paraId="29F52B26" w14:textId="77777777" w:rsidTr="0063641F">
        <w:trPr>
          <w:jc w:val="center"/>
        </w:trPr>
        <w:tc>
          <w:tcPr>
            <w:tcW w:w="1705" w:type="dxa"/>
            <w:shd w:val="clear" w:color="auto" w:fill="auto"/>
          </w:tcPr>
          <w:p w14:paraId="712DB323" w14:textId="77777777" w:rsidR="001749FF" w:rsidRPr="0063641F" w:rsidRDefault="00734BCF" w:rsidP="0063641F">
            <w:pPr>
              <w:pStyle w:val="Header"/>
              <w:keepNext/>
              <w:tabs>
                <w:tab w:val="left" w:pos="720"/>
              </w:tabs>
              <w:jc w:val="center"/>
              <w:rPr>
                <w:b/>
              </w:rPr>
            </w:pPr>
            <w:r>
              <w:rPr>
                <w:b/>
              </w:rPr>
              <w:t>Part A/B Ordering</w:t>
            </w:r>
          </w:p>
        </w:tc>
        <w:tc>
          <w:tcPr>
            <w:tcW w:w="1890" w:type="dxa"/>
            <w:shd w:val="clear" w:color="auto" w:fill="auto"/>
          </w:tcPr>
          <w:p w14:paraId="013E3E0E" w14:textId="77777777" w:rsidR="001749FF" w:rsidRDefault="00861108" w:rsidP="001F51BD">
            <w:pPr>
              <w:pStyle w:val="Header"/>
              <w:keepNext/>
              <w:tabs>
                <w:tab w:val="left" w:pos="720"/>
              </w:tabs>
              <w:jc w:val="center"/>
            </w:pPr>
            <w:r w:rsidRPr="00CD0830">
              <w:t>$</w:t>
            </w:r>
            <w:r>
              <w:t>13,463,000</w:t>
            </w:r>
          </w:p>
        </w:tc>
        <w:tc>
          <w:tcPr>
            <w:tcW w:w="1980" w:type="dxa"/>
            <w:shd w:val="clear" w:color="auto" w:fill="auto"/>
          </w:tcPr>
          <w:p w14:paraId="4BDF47C6" w14:textId="77777777" w:rsidR="001749FF" w:rsidRDefault="001749FF" w:rsidP="0063641F">
            <w:pPr>
              <w:pStyle w:val="Header"/>
              <w:keepNext/>
              <w:tabs>
                <w:tab w:val="left" w:pos="720"/>
              </w:tabs>
              <w:jc w:val="center"/>
            </w:pPr>
            <w:r>
              <w:t>0</w:t>
            </w:r>
          </w:p>
        </w:tc>
        <w:tc>
          <w:tcPr>
            <w:tcW w:w="2070" w:type="dxa"/>
            <w:shd w:val="clear" w:color="auto" w:fill="auto"/>
          </w:tcPr>
          <w:p w14:paraId="4FD1429C" w14:textId="77777777" w:rsidR="001749FF" w:rsidRDefault="001749FF" w:rsidP="0063641F">
            <w:pPr>
              <w:pStyle w:val="Header"/>
              <w:keepNext/>
              <w:tabs>
                <w:tab w:val="left" w:pos="720"/>
              </w:tabs>
              <w:jc w:val="center"/>
            </w:pPr>
            <w:r>
              <w:t>0</w:t>
            </w:r>
          </w:p>
        </w:tc>
      </w:tr>
      <w:tr w:rsidR="001749FF" w14:paraId="62091AFA" w14:textId="77777777" w:rsidTr="0063641F">
        <w:trPr>
          <w:jc w:val="center"/>
        </w:trPr>
        <w:tc>
          <w:tcPr>
            <w:tcW w:w="1705" w:type="dxa"/>
            <w:shd w:val="clear" w:color="auto" w:fill="auto"/>
          </w:tcPr>
          <w:p w14:paraId="3D85076E" w14:textId="77777777" w:rsidR="001749FF" w:rsidRPr="0063641F" w:rsidRDefault="001749FF" w:rsidP="0063641F">
            <w:pPr>
              <w:pStyle w:val="Header"/>
              <w:keepNext/>
              <w:tabs>
                <w:tab w:val="left" w:pos="720"/>
              </w:tabs>
              <w:jc w:val="center"/>
              <w:rPr>
                <w:b/>
              </w:rPr>
            </w:pPr>
            <w:r w:rsidRPr="0063641F">
              <w:rPr>
                <w:b/>
              </w:rPr>
              <w:t>Total</w:t>
            </w:r>
          </w:p>
        </w:tc>
        <w:tc>
          <w:tcPr>
            <w:tcW w:w="1890" w:type="dxa"/>
            <w:shd w:val="clear" w:color="auto" w:fill="auto"/>
          </w:tcPr>
          <w:p w14:paraId="337ACA66" w14:textId="77777777" w:rsidR="001749FF" w:rsidRDefault="00A7781E" w:rsidP="00861108">
            <w:pPr>
              <w:pStyle w:val="Header"/>
              <w:keepNext/>
              <w:tabs>
                <w:tab w:val="left" w:pos="720"/>
              </w:tabs>
            </w:pPr>
            <w:r>
              <w:t xml:space="preserve">  </w:t>
            </w:r>
            <w:r w:rsidR="00861108">
              <w:t>$298,784,400</w:t>
            </w:r>
          </w:p>
        </w:tc>
        <w:tc>
          <w:tcPr>
            <w:tcW w:w="1980" w:type="dxa"/>
            <w:shd w:val="clear" w:color="auto" w:fill="auto"/>
          </w:tcPr>
          <w:p w14:paraId="08B370D1" w14:textId="77777777" w:rsidR="001749FF" w:rsidRDefault="00A7781E" w:rsidP="001F51BD">
            <w:pPr>
              <w:pStyle w:val="Header"/>
              <w:keepNext/>
              <w:tabs>
                <w:tab w:val="left" w:pos="720"/>
              </w:tabs>
            </w:pPr>
            <w:r>
              <w:t xml:space="preserve">   </w:t>
            </w:r>
            <w:r w:rsidR="006506B7">
              <w:t>$</w:t>
            </w:r>
            <w:r w:rsidR="001F51BD">
              <w:t>285,321,400</w:t>
            </w:r>
          </w:p>
        </w:tc>
        <w:tc>
          <w:tcPr>
            <w:tcW w:w="2070" w:type="dxa"/>
            <w:shd w:val="clear" w:color="auto" w:fill="auto"/>
          </w:tcPr>
          <w:p w14:paraId="66FBB985" w14:textId="77777777" w:rsidR="001749FF" w:rsidRDefault="00A7781E" w:rsidP="001F51BD">
            <w:pPr>
              <w:pStyle w:val="Header"/>
              <w:keepNext/>
              <w:tabs>
                <w:tab w:val="left" w:pos="720"/>
              </w:tabs>
            </w:pPr>
            <w:r>
              <w:t xml:space="preserve">    </w:t>
            </w:r>
            <w:r w:rsidR="001749FF">
              <w:t>$</w:t>
            </w:r>
            <w:r w:rsidR="001F51BD">
              <w:t>285,321,400</w:t>
            </w:r>
          </w:p>
        </w:tc>
      </w:tr>
    </w:tbl>
    <w:p w14:paraId="125CC5BC" w14:textId="77777777" w:rsidR="001749FF" w:rsidRDefault="001749FF" w:rsidP="001749FF">
      <w:pPr>
        <w:pStyle w:val="Header"/>
        <w:tabs>
          <w:tab w:val="left" w:pos="720"/>
        </w:tabs>
        <w:spacing w:line="480" w:lineRule="auto"/>
      </w:pPr>
    </w:p>
    <w:p w14:paraId="0C1A79C4" w14:textId="77777777" w:rsidR="001749FF" w:rsidRDefault="001749FF" w:rsidP="001749FF">
      <w:pPr>
        <w:pStyle w:val="Header"/>
        <w:tabs>
          <w:tab w:val="left" w:pos="720"/>
        </w:tabs>
      </w:pPr>
      <w:r>
        <w:t>Since 3 years is the maximum length of an OMB approval, we must average these totals over a 3</w:t>
      </w:r>
      <w:r>
        <w:noBreakHyphen/>
        <w:t xml:space="preserve">year period.  This results in an annual burden of </w:t>
      </w:r>
      <w:r w:rsidR="00861108">
        <w:t>8,385,833</w:t>
      </w:r>
      <w:r w:rsidRPr="00D3561A">
        <w:t> hours at a cost of $</w:t>
      </w:r>
      <w:r w:rsidR="00861108">
        <w:t>289,809,067</w:t>
      </w:r>
      <w:r w:rsidR="006506B7">
        <w:t>.</w:t>
      </w:r>
    </w:p>
    <w:p w14:paraId="6EBE1E14" w14:textId="77777777" w:rsidR="00734BCF" w:rsidRDefault="00734BCF"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E94E938" w14:textId="77777777" w:rsidR="00734BCF" w:rsidRDefault="00734BCF"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1C3B7E1" w14:textId="77777777" w:rsidR="00E27338" w:rsidRPr="00971212"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13.  </w:t>
      </w:r>
      <w:r w:rsidRPr="00971212">
        <w:rPr>
          <w:sz w:val="24"/>
          <w:u w:val="single"/>
        </w:rPr>
        <w:t>Estimates of other Total Annual Cost Burden to Respondents or Record Keepers (Capital Costs)</w:t>
      </w:r>
    </w:p>
    <w:p w14:paraId="4C71DE7F"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7718AFA" w14:textId="77777777" w:rsidR="00084AC3"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There are no additional record keeping/capital costs.</w:t>
      </w:r>
    </w:p>
    <w:p w14:paraId="69ED6552" w14:textId="77777777" w:rsidR="00A2101B" w:rsidRDefault="00A2101B"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354E616" w14:textId="77777777" w:rsidR="00E27338" w:rsidRPr="00CC47CE"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 xml:space="preserve">14.   </w:t>
      </w:r>
      <w:r w:rsidRPr="00CC47CE">
        <w:rPr>
          <w:sz w:val="24"/>
          <w:u w:val="single"/>
        </w:rPr>
        <w:t>Annualized Cost to the Federal Government</w:t>
      </w:r>
    </w:p>
    <w:p w14:paraId="7B0BB80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9FBCD0" w14:textId="77777777" w:rsidR="00E27338" w:rsidRDefault="00FD391F" w:rsidP="00DD0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table below identifies</w:t>
      </w:r>
      <w:r w:rsidR="00E27338">
        <w:rPr>
          <w:sz w:val="24"/>
        </w:rPr>
        <w:t xml:space="preserve"> the </w:t>
      </w:r>
      <w:r w:rsidR="00DD02C1">
        <w:rPr>
          <w:sz w:val="24"/>
        </w:rPr>
        <w:t xml:space="preserve">annual </w:t>
      </w:r>
      <w:r w:rsidR="00E27338">
        <w:rPr>
          <w:sz w:val="24"/>
        </w:rPr>
        <w:t>cost</w:t>
      </w:r>
      <w:r w:rsidR="00E00712">
        <w:rPr>
          <w:sz w:val="24"/>
        </w:rPr>
        <w:t>s</w:t>
      </w:r>
      <w:r w:rsidR="00526CD3">
        <w:rPr>
          <w:sz w:val="24"/>
        </w:rPr>
        <w:t xml:space="preserve"> to the Federal g</w:t>
      </w:r>
      <w:r w:rsidR="00E27338">
        <w:rPr>
          <w:sz w:val="24"/>
        </w:rPr>
        <w:t>overnment – through CMS, its Medicare contractors, and/or its ag</w:t>
      </w:r>
      <w:r>
        <w:rPr>
          <w:sz w:val="24"/>
        </w:rPr>
        <w:t xml:space="preserve">ents </w:t>
      </w:r>
      <w:r w:rsidR="00DD02C1">
        <w:rPr>
          <w:sz w:val="24"/>
        </w:rPr>
        <w:t>–</w:t>
      </w:r>
      <w:r>
        <w:rPr>
          <w:sz w:val="24"/>
        </w:rPr>
        <w:t xml:space="preserve"> </w:t>
      </w:r>
      <w:r w:rsidR="00DD02C1">
        <w:rPr>
          <w:sz w:val="24"/>
        </w:rPr>
        <w:t xml:space="preserve">over the first three years of the rule.  </w:t>
      </w:r>
    </w:p>
    <w:p w14:paraId="0A1B2A25" w14:textId="77777777" w:rsidR="00DD02C1" w:rsidRDefault="00DD02C1" w:rsidP="00DD0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440"/>
        <w:gridCol w:w="1260"/>
        <w:gridCol w:w="1710"/>
        <w:gridCol w:w="1350"/>
      </w:tblGrid>
      <w:tr w:rsidR="00E27338" w:rsidRPr="008C15D2" w14:paraId="557A5A10" w14:textId="77777777">
        <w:tc>
          <w:tcPr>
            <w:tcW w:w="2070" w:type="dxa"/>
            <w:vAlign w:val="bottom"/>
          </w:tcPr>
          <w:p w14:paraId="4F2C71DB"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Provision</w:t>
            </w:r>
          </w:p>
        </w:tc>
        <w:tc>
          <w:tcPr>
            <w:tcW w:w="1530" w:type="dxa"/>
            <w:vAlign w:val="bottom"/>
          </w:tcPr>
          <w:p w14:paraId="7718C309"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Documents to be Collected</w:t>
            </w:r>
            <w:r w:rsidR="00893DDF">
              <w:rPr>
                <w:b/>
                <w:sz w:val="18"/>
                <w:szCs w:val="18"/>
              </w:rPr>
              <w:t xml:space="preserve"> and Processed</w:t>
            </w:r>
            <w:r>
              <w:rPr>
                <w:b/>
                <w:sz w:val="18"/>
                <w:szCs w:val="18"/>
              </w:rPr>
              <w:t>/Tasks to be Performed</w:t>
            </w:r>
          </w:p>
        </w:tc>
        <w:tc>
          <w:tcPr>
            <w:tcW w:w="1440" w:type="dxa"/>
            <w:vAlign w:val="bottom"/>
          </w:tcPr>
          <w:p w14:paraId="0BFF205E"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bCs/>
                <w:color w:val="000000"/>
                <w:sz w:val="18"/>
                <w:szCs w:val="18"/>
              </w:rPr>
              <w:t xml:space="preserve">Time Needed to Process Document/ Complete Task </w:t>
            </w:r>
            <w:r w:rsidRPr="008C15D2">
              <w:rPr>
                <w:b/>
                <w:bCs/>
                <w:color w:val="000000"/>
                <w:sz w:val="18"/>
                <w:szCs w:val="18"/>
              </w:rPr>
              <w:t>(hours)</w:t>
            </w:r>
          </w:p>
        </w:tc>
        <w:tc>
          <w:tcPr>
            <w:tcW w:w="1260" w:type="dxa"/>
            <w:vAlign w:val="bottom"/>
          </w:tcPr>
          <w:p w14:paraId="55895F6F"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bCs/>
                <w:color w:val="000000"/>
                <w:sz w:val="18"/>
                <w:szCs w:val="18"/>
              </w:rPr>
              <w:t xml:space="preserve">Total Annual Processing/ Task Burden  </w:t>
            </w:r>
            <w:r w:rsidRPr="008C15D2">
              <w:rPr>
                <w:b/>
                <w:bCs/>
                <w:color w:val="000000"/>
                <w:sz w:val="18"/>
                <w:szCs w:val="18"/>
              </w:rPr>
              <w:t>(hours)</w:t>
            </w:r>
          </w:p>
        </w:tc>
        <w:tc>
          <w:tcPr>
            <w:tcW w:w="1710" w:type="dxa"/>
            <w:vAlign w:val="bottom"/>
          </w:tcPr>
          <w:p w14:paraId="121F0263"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 xml:space="preserve">Per Hour Cost of Processing/Task Burden ($) </w:t>
            </w:r>
            <w:r w:rsidR="00CF732F">
              <w:rPr>
                <w:b/>
                <w:sz w:val="18"/>
                <w:szCs w:val="18"/>
              </w:rPr>
              <w:t>*</w:t>
            </w:r>
          </w:p>
        </w:tc>
        <w:tc>
          <w:tcPr>
            <w:tcW w:w="1350" w:type="dxa"/>
            <w:vAlign w:val="bottom"/>
          </w:tcPr>
          <w:p w14:paraId="4AAB5A5E" w14:textId="77777777" w:rsidR="00E27338" w:rsidRDefault="00E27338" w:rsidP="00E27338">
            <w:pPr>
              <w:widowControl/>
              <w:jc w:val="center"/>
              <w:rPr>
                <w:b/>
                <w:bCs/>
                <w:color w:val="000000"/>
                <w:sz w:val="18"/>
                <w:szCs w:val="18"/>
              </w:rPr>
            </w:pPr>
          </w:p>
          <w:p w14:paraId="2AB6B027" w14:textId="77777777" w:rsidR="00E27338" w:rsidRPr="008C15D2" w:rsidRDefault="00E27338" w:rsidP="00E27338">
            <w:pPr>
              <w:widowControl/>
              <w:jc w:val="center"/>
              <w:rPr>
                <w:b/>
                <w:bCs/>
                <w:color w:val="000000"/>
                <w:sz w:val="18"/>
                <w:szCs w:val="18"/>
              </w:rPr>
            </w:pPr>
            <w:r w:rsidRPr="008C15D2">
              <w:rPr>
                <w:b/>
                <w:bCs/>
                <w:color w:val="000000"/>
                <w:sz w:val="18"/>
                <w:szCs w:val="18"/>
              </w:rPr>
              <w:t>Total</w:t>
            </w:r>
          </w:p>
          <w:p w14:paraId="3D908024" w14:textId="77777777" w:rsidR="00E27338" w:rsidRPr="008C15D2" w:rsidRDefault="00E27338" w:rsidP="00E27338">
            <w:pPr>
              <w:widowControl/>
              <w:jc w:val="center"/>
              <w:rPr>
                <w:b/>
                <w:bCs/>
                <w:color w:val="000000"/>
                <w:sz w:val="18"/>
                <w:szCs w:val="18"/>
              </w:rPr>
            </w:pPr>
            <w:r w:rsidRPr="008C15D2">
              <w:rPr>
                <w:b/>
                <w:bCs/>
                <w:color w:val="000000"/>
                <w:sz w:val="18"/>
                <w:szCs w:val="18"/>
              </w:rPr>
              <w:t>Cost of</w:t>
            </w:r>
          </w:p>
          <w:p w14:paraId="6B90B2DA" w14:textId="77777777" w:rsidR="00E27338" w:rsidRPr="008C15D2" w:rsidRDefault="00E27338" w:rsidP="00E27338">
            <w:pPr>
              <w:widowControl/>
              <w:jc w:val="center"/>
              <w:rPr>
                <w:b/>
                <w:bCs/>
                <w:color w:val="000000"/>
                <w:sz w:val="18"/>
                <w:szCs w:val="18"/>
              </w:rPr>
            </w:pPr>
            <w:r>
              <w:rPr>
                <w:b/>
                <w:bCs/>
                <w:color w:val="000000"/>
                <w:sz w:val="18"/>
                <w:szCs w:val="18"/>
              </w:rPr>
              <w:t>Process</w:t>
            </w:r>
            <w:r w:rsidRPr="008C15D2">
              <w:rPr>
                <w:b/>
                <w:bCs/>
                <w:color w:val="000000"/>
                <w:sz w:val="18"/>
                <w:szCs w:val="18"/>
              </w:rPr>
              <w:t>ing</w:t>
            </w:r>
            <w:r>
              <w:rPr>
                <w:b/>
                <w:bCs/>
                <w:color w:val="000000"/>
                <w:sz w:val="18"/>
                <w:szCs w:val="18"/>
              </w:rPr>
              <w:t>/          Task Burden</w:t>
            </w:r>
          </w:p>
          <w:p w14:paraId="292A43DE" w14:textId="77777777" w:rsidR="00E27338" w:rsidRPr="008C15D2" w:rsidRDefault="00E27338"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C15D2">
              <w:rPr>
                <w:b/>
                <w:bCs/>
                <w:color w:val="000000"/>
                <w:sz w:val="18"/>
                <w:szCs w:val="18"/>
              </w:rPr>
              <w:t>($)</w:t>
            </w:r>
          </w:p>
        </w:tc>
      </w:tr>
      <w:tr w:rsidR="00CF732F" w:rsidRPr="008C15D2" w14:paraId="1A5429CE" w14:textId="77777777">
        <w:tc>
          <w:tcPr>
            <w:tcW w:w="2070" w:type="dxa"/>
          </w:tcPr>
          <w:p w14:paraId="51DDFD6A" w14:textId="77777777" w:rsidR="00CF732F" w:rsidRDefault="00E24D7A"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42</w:t>
            </w:r>
            <w:r w:rsidR="006F3CB5">
              <w:rPr>
                <w:sz w:val="18"/>
                <w:szCs w:val="18"/>
              </w:rPr>
              <w:t>4.519</w:t>
            </w:r>
          </w:p>
        </w:tc>
        <w:tc>
          <w:tcPr>
            <w:tcW w:w="1530" w:type="dxa"/>
          </w:tcPr>
          <w:p w14:paraId="4C4FB109" w14:textId="77777777" w:rsidR="00CF732F" w:rsidRPr="008C15D2" w:rsidRDefault="006F3CB5"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399,000</w:t>
            </w:r>
          </w:p>
        </w:tc>
        <w:tc>
          <w:tcPr>
            <w:tcW w:w="1440" w:type="dxa"/>
          </w:tcPr>
          <w:p w14:paraId="284784D5" w14:textId="77777777" w:rsidR="00CF732F" w:rsidRPr="008C15D2" w:rsidRDefault="006F3CB5"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2</w:t>
            </w:r>
          </w:p>
        </w:tc>
        <w:tc>
          <w:tcPr>
            <w:tcW w:w="1260" w:type="dxa"/>
          </w:tcPr>
          <w:p w14:paraId="5ABF9BB2" w14:textId="77777777" w:rsidR="00CF732F" w:rsidRDefault="00DD02C1"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798,000</w:t>
            </w:r>
          </w:p>
        </w:tc>
        <w:tc>
          <w:tcPr>
            <w:tcW w:w="1710" w:type="dxa"/>
          </w:tcPr>
          <w:p w14:paraId="03C4DDF9" w14:textId="77777777" w:rsidR="00CF732F" w:rsidRPr="008C15D2" w:rsidRDefault="00E24D7A" w:rsidP="00CF732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 xml:space="preserve">            </w:t>
            </w:r>
            <w:r w:rsidR="00A045FA">
              <w:rPr>
                <w:sz w:val="18"/>
                <w:szCs w:val="18"/>
              </w:rPr>
              <w:t>41.26</w:t>
            </w:r>
            <w:r w:rsidR="00CF732F">
              <w:rPr>
                <w:sz w:val="18"/>
                <w:szCs w:val="18"/>
              </w:rPr>
              <w:t xml:space="preserve"> </w:t>
            </w:r>
          </w:p>
        </w:tc>
        <w:tc>
          <w:tcPr>
            <w:tcW w:w="1350" w:type="dxa"/>
          </w:tcPr>
          <w:p w14:paraId="328458EC" w14:textId="77777777" w:rsidR="00CF732F" w:rsidRDefault="00A045FA"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32,925,480</w:t>
            </w:r>
          </w:p>
        </w:tc>
      </w:tr>
      <w:tr w:rsidR="00E24D7A" w:rsidRPr="008C15D2" w14:paraId="3E4F6E63" w14:textId="77777777">
        <w:tc>
          <w:tcPr>
            <w:tcW w:w="2070" w:type="dxa"/>
          </w:tcPr>
          <w:p w14:paraId="29D49609" w14:textId="77777777" w:rsidR="00E24D7A" w:rsidRDefault="006F3CB5"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455.107 **</w:t>
            </w:r>
          </w:p>
        </w:tc>
        <w:tc>
          <w:tcPr>
            <w:tcW w:w="1530" w:type="dxa"/>
          </w:tcPr>
          <w:p w14:paraId="5B8C94B6" w14:textId="77777777" w:rsidR="00E24D7A" w:rsidRDefault="006F3CB5"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436,250</w:t>
            </w:r>
          </w:p>
        </w:tc>
        <w:tc>
          <w:tcPr>
            <w:tcW w:w="1440" w:type="dxa"/>
          </w:tcPr>
          <w:p w14:paraId="3B31E1DC" w14:textId="77777777" w:rsidR="00E24D7A" w:rsidRDefault="006F3CB5"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2</w:t>
            </w:r>
          </w:p>
        </w:tc>
        <w:tc>
          <w:tcPr>
            <w:tcW w:w="1260" w:type="dxa"/>
          </w:tcPr>
          <w:p w14:paraId="03B2834D" w14:textId="77777777" w:rsidR="00E24D7A" w:rsidRDefault="00DD02C1"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872,500</w:t>
            </w:r>
          </w:p>
        </w:tc>
        <w:tc>
          <w:tcPr>
            <w:tcW w:w="1710" w:type="dxa"/>
          </w:tcPr>
          <w:p w14:paraId="7263D44C" w14:textId="77777777" w:rsidR="00E24D7A" w:rsidRDefault="00DD02C1" w:rsidP="00CF732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 xml:space="preserve">            </w:t>
            </w:r>
            <w:r w:rsidR="00A045FA">
              <w:rPr>
                <w:sz w:val="18"/>
                <w:szCs w:val="18"/>
              </w:rPr>
              <w:t>41</w:t>
            </w:r>
            <w:r>
              <w:rPr>
                <w:sz w:val="18"/>
                <w:szCs w:val="18"/>
              </w:rPr>
              <w:t>.</w:t>
            </w:r>
            <w:r w:rsidR="00A045FA">
              <w:rPr>
                <w:sz w:val="18"/>
                <w:szCs w:val="18"/>
              </w:rPr>
              <w:t>26</w:t>
            </w:r>
          </w:p>
        </w:tc>
        <w:tc>
          <w:tcPr>
            <w:tcW w:w="1350" w:type="dxa"/>
          </w:tcPr>
          <w:p w14:paraId="7AD451B4" w14:textId="77777777" w:rsidR="00E24D7A" w:rsidRDefault="00A045FA"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35,999,350</w:t>
            </w:r>
          </w:p>
        </w:tc>
      </w:tr>
      <w:tr w:rsidR="006F3CB5" w:rsidRPr="008C15D2" w14:paraId="148F8009" w14:textId="77777777">
        <w:tc>
          <w:tcPr>
            <w:tcW w:w="2070" w:type="dxa"/>
          </w:tcPr>
          <w:p w14:paraId="084A9985" w14:textId="77777777" w:rsidR="006F3CB5" w:rsidRDefault="006F3CB5"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424.507</w:t>
            </w:r>
          </w:p>
        </w:tc>
        <w:tc>
          <w:tcPr>
            <w:tcW w:w="1530" w:type="dxa"/>
          </w:tcPr>
          <w:p w14:paraId="30F036B8" w14:textId="77777777" w:rsidR="006F3CB5" w:rsidRDefault="006F3CB5"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66,667</w:t>
            </w:r>
          </w:p>
        </w:tc>
        <w:tc>
          <w:tcPr>
            <w:tcW w:w="1440" w:type="dxa"/>
          </w:tcPr>
          <w:p w14:paraId="0A6FFB8D" w14:textId="77777777" w:rsidR="006F3CB5" w:rsidRDefault="006F3CB5"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w:t>
            </w:r>
          </w:p>
        </w:tc>
        <w:tc>
          <w:tcPr>
            <w:tcW w:w="1260" w:type="dxa"/>
          </w:tcPr>
          <w:p w14:paraId="05120760" w14:textId="77777777" w:rsidR="006F3CB5" w:rsidRDefault="00DD02C1"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200,000</w:t>
            </w:r>
          </w:p>
        </w:tc>
        <w:tc>
          <w:tcPr>
            <w:tcW w:w="1710" w:type="dxa"/>
          </w:tcPr>
          <w:p w14:paraId="1FB1955D" w14:textId="77777777" w:rsidR="006F3CB5" w:rsidRDefault="00DD02C1" w:rsidP="00CF732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Pr>
                <w:sz w:val="18"/>
                <w:szCs w:val="18"/>
              </w:rPr>
              <w:t xml:space="preserve">            </w:t>
            </w:r>
            <w:r w:rsidR="00A045FA">
              <w:rPr>
                <w:sz w:val="18"/>
                <w:szCs w:val="18"/>
              </w:rPr>
              <w:t>41</w:t>
            </w:r>
            <w:r>
              <w:rPr>
                <w:sz w:val="18"/>
                <w:szCs w:val="18"/>
              </w:rPr>
              <w:t>.</w:t>
            </w:r>
            <w:r w:rsidR="00A045FA">
              <w:rPr>
                <w:sz w:val="18"/>
                <w:szCs w:val="18"/>
              </w:rPr>
              <w:t>26</w:t>
            </w:r>
          </w:p>
        </w:tc>
        <w:tc>
          <w:tcPr>
            <w:tcW w:w="1350" w:type="dxa"/>
          </w:tcPr>
          <w:p w14:paraId="7ABBE00E" w14:textId="77777777" w:rsidR="006F3CB5" w:rsidRDefault="00A045FA"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8,252,000</w:t>
            </w:r>
          </w:p>
        </w:tc>
      </w:tr>
      <w:tr w:rsidR="007D6A46" w:rsidRPr="008C15D2" w14:paraId="670EF2B0" w14:textId="77777777">
        <w:tc>
          <w:tcPr>
            <w:tcW w:w="2070" w:type="dxa"/>
          </w:tcPr>
          <w:p w14:paraId="602F91FD"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424.530(a)(12) and 424.535(a)(18) ***</w:t>
            </w:r>
          </w:p>
        </w:tc>
        <w:tc>
          <w:tcPr>
            <w:tcW w:w="1530" w:type="dxa"/>
          </w:tcPr>
          <w:p w14:paraId="1C008402"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8,000</w:t>
            </w:r>
          </w:p>
          <w:p w14:paraId="5AD5062F" w14:textId="77777777" w:rsidR="007D6A46" w:rsidRPr="00911343" w:rsidRDefault="007D6A46" w:rsidP="007D6A46">
            <w:pPr>
              <w:jc w:val="center"/>
              <w:rPr>
                <w:sz w:val="18"/>
                <w:szCs w:val="18"/>
              </w:rPr>
            </w:pPr>
          </w:p>
        </w:tc>
        <w:tc>
          <w:tcPr>
            <w:tcW w:w="1440" w:type="dxa"/>
          </w:tcPr>
          <w:p w14:paraId="395B2186" w14:textId="77777777" w:rsidR="007D6A46" w:rsidRPr="00911343" w:rsidRDefault="007D6A46"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7821F375" w14:textId="77777777" w:rsidR="007D6A46" w:rsidRPr="00911343" w:rsidRDefault="007D6A46"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4985D148" w14:textId="77777777" w:rsidR="007D6A46" w:rsidRPr="00911343" w:rsidRDefault="007D6A46" w:rsidP="00CF732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2DBA81B6" w14:textId="77777777" w:rsidR="007D6A46" w:rsidRPr="00911343" w:rsidRDefault="007D6A46"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7A56FE09" w14:textId="77777777">
        <w:tc>
          <w:tcPr>
            <w:tcW w:w="2070" w:type="dxa"/>
          </w:tcPr>
          <w:p w14:paraId="43814665" w14:textId="77777777" w:rsidR="007D6A46" w:rsidRPr="00911343" w:rsidRDefault="007D6A46" w:rsidP="007D6A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424.535(a)(21) ***</w:t>
            </w:r>
          </w:p>
        </w:tc>
        <w:tc>
          <w:tcPr>
            <w:tcW w:w="1530" w:type="dxa"/>
          </w:tcPr>
          <w:p w14:paraId="51765F37"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4,000</w:t>
            </w:r>
          </w:p>
        </w:tc>
        <w:tc>
          <w:tcPr>
            <w:tcW w:w="1440" w:type="dxa"/>
          </w:tcPr>
          <w:p w14:paraId="452FA89B"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5064242A"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2CCC41A4"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32FEF703"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36DE7943" w14:textId="77777777">
        <w:tc>
          <w:tcPr>
            <w:tcW w:w="2070" w:type="dxa"/>
          </w:tcPr>
          <w:p w14:paraId="765C9833"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424.535(a)(17) ***</w:t>
            </w:r>
          </w:p>
        </w:tc>
        <w:tc>
          <w:tcPr>
            <w:tcW w:w="1530" w:type="dxa"/>
          </w:tcPr>
          <w:p w14:paraId="5947E352"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2,000</w:t>
            </w:r>
          </w:p>
        </w:tc>
        <w:tc>
          <w:tcPr>
            <w:tcW w:w="1440" w:type="dxa"/>
          </w:tcPr>
          <w:p w14:paraId="35E8B84D"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3BF330F3"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7BA99EFC"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3545190B"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5497D942" w14:textId="77777777">
        <w:tc>
          <w:tcPr>
            <w:tcW w:w="2070" w:type="dxa"/>
          </w:tcPr>
          <w:p w14:paraId="0FDED702"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424.535(a)(9) ***</w:t>
            </w:r>
          </w:p>
        </w:tc>
        <w:tc>
          <w:tcPr>
            <w:tcW w:w="1530" w:type="dxa"/>
          </w:tcPr>
          <w:p w14:paraId="72EB2F21"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10,000</w:t>
            </w:r>
          </w:p>
        </w:tc>
        <w:tc>
          <w:tcPr>
            <w:tcW w:w="1440" w:type="dxa"/>
          </w:tcPr>
          <w:p w14:paraId="437C0929"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0878539F"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0B2CB98E"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4DD7384E"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10683C40" w14:textId="77777777">
        <w:tc>
          <w:tcPr>
            <w:tcW w:w="2070" w:type="dxa"/>
          </w:tcPr>
          <w:p w14:paraId="60769968"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424.530(a)(7) and 405.371 ***</w:t>
            </w:r>
          </w:p>
        </w:tc>
        <w:tc>
          <w:tcPr>
            <w:tcW w:w="1530" w:type="dxa"/>
          </w:tcPr>
          <w:p w14:paraId="40E82238"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1,000</w:t>
            </w:r>
          </w:p>
        </w:tc>
        <w:tc>
          <w:tcPr>
            <w:tcW w:w="1440" w:type="dxa"/>
          </w:tcPr>
          <w:p w14:paraId="2475865A"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4BAFF386"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381E4ACD"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7D285C42"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550805CA" w14:textId="77777777">
        <w:tc>
          <w:tcPr>
            <w:tcW w:w="2070" w:type="dxa"/>
          </w:tcPr>
          <w:p w14:paraId="09DC28DD"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424.530(a)(14) ***</w:t>
            </w:r>
          </w:p>
        </w:tc>
        <w:tc>
          <w:tcPr>
            <w:tcW w:w="1530" w:type="dxa"/>
          </w:tcPr>
          <w:p w14:paraId="5E184FF2"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2,500</w:t>
            </w:r>
          </w:p>
        </w:tc>
        <w:tc>
          <w:tcPr>
            <w:tcW w:w="1440" w:type="dxa"/>
          </w:tcPr>
          <w:p w14:paraId="65BFD074"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0AACCE4E"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227349D9"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3BE4D68F"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0E19C931" w14:textId="77777777">
        <w:tc>
          <w:tcPr>
            <w:tcW w:w="2070" w:type="dxa"/>
          </w:tcPr>
          <w:p w14:paraId="2FD2E80E" w14:textId="77777777" w:rsidR="007D6A46" w:rsidRPr="00911343" w:rsidRDefault="007D6A46" w:rsidP="007D6A46">
            <w:pPr>
              <w:tabs>
                <w:tab w:val="left" w:pos="-90"/>
                <w:tab w:val="left" w:pos="0"/>
              </w:tabs>
              <w:rPr>
                <w:sz w:val="18"/>
                <w:szCs w:val="18"/>
              </w:rPr>
            </w:pPr>
            <w:r w:rsidRPr="00911343">
              <w:rPr>
                <w:sz w:val="18"/>
                <w:szCs w:val="18"/>
              </w:rPr>
              <w:t>424.535(</w:t>
            </w:r>
            <w:proofErr w:type="spellStart"/>
            <w:r w:rsidRPr="00911343">
              <w:rPr>
                <w:sz w:val="18"/>
                <w:szCs w:val="18"/>
              </w:rPr>
              <w:t>i</w:t>
            </w:r>
            <w:proofErr w:type="spellEnd"/>
            <w:r w:rsidRPr="00911343">
              <w:rPr>
                <w:sz w:val="18"/>
                <w:szCs w:val="18"/>
              </w:rPr>
              <w:t>) ***</w:t>
            </w:r>
          </w:p>
        </w:tc>
        <w:tc>
          <w:tcPr>
            <w:tcW w:w="1530" w:type="dxa"/>
          </w:tcPr>
          <w:p w14:paraId="491D3A7A"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5,000</w:t>
            </w:r>
          </w:p>
        </w:tc>
        <w:tc>
          <w:tcPr>
            <w:tcW w:w="1440" w:type="dxa"/>
          </w:tcPr>
          <w:p w14:paraId="0159288D"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54754E9C"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3355A904"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7841C46F"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412F7BD3" w14:textId="77777777">
        <w:tc>
          <w:tcPr>
            <w:tcW w:w="2070" w:type="dxa"/>
          </w:tcPr>
          <w:p w14:paraId="0E4821D0"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424.535(j) ***</w:t>
            </w:r>
          </w:p>
        </w:tc>
        <w:tc>
          <w:tcPr>
            <w:tcW w:w="1530" w:type="dxa"/>
          </w:tcPr>
          <w:p w14:paraId="0045E735"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2,000</w:t>
            </w:r>
          </w:p>
        </w:tc>
        <w:tc>
          <w:tcPr>
            <w:tcW w:w="1440" w:type="dxa"/>
          </w:tcPr>
          <w:p w14:paraId="14C38A0A"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2C935470"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2B1B1460"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48E98210"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6CA647DF" w14:textId="77777777">
        <w:tc>
          <w:tcPr>
            <w:tcW w:w="2070" w:type="dxa"/>
          </w:tcPr>
          <w:p w14:paraId="55AE2997"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424.570  ***</w:t>
            </w:r>
          </w:p>
        </w:tc>
        <w:tc>
          <w:tcPr>
            <w:tcW w:w="1530" w:type="dxa"/>
          </w:tcPr>
          <w:p w14:paraId="157E5AD4"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2,000</w:t>
            </w:r>
          </w:p>
        </w:tc>
        <w:tc>
          <w:tcPr>
            <w:tcW w:w="1440" w:type="dxa"/>
          </w:tcPr>
          <w:p w14:paraId="2B6F29BE"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62A136BD"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5DBDCCE5"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556A5E08"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32FFC464" w14:textId="77777777">
        <w:tc>
          <w:tcPr>
            <w:tcW w:w="2070" w:type="dxa"/>
          </w:tcPr>
          <w:p w14:paraId="42203697"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424.540(b) ***</w:t>
            </w:r>
          </w:p>
        </w:tc>
        <w:tc>
          <w:tcPr>
            <w:tcW w:w="1530" w:type="dxa"/>
          </w:tcPr>
          <w:p w14:paraId="68DB0D01" w14:textId="77777777" w:rsidR="007D6A46" w:rsidRPr="00911343" w:rsidRDefault="007D6A46" w:rsidP="00E007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10,000</w:t>
            </w:r>
          </w:p>
        </w:tc>
        <w:tc>
          <w:tcPr>
            <w:tcW w:w="1440" w:type="dxa"/>
          </w:tcPr>
          <w:p w14:paraId="368ECA83"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260" w:type="dxa"/>
          </w:tcPr>
          <w:p w14:paraId="1EFBD3B1"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c>
          <w:tcPr>
            <w:tcW w:w="1710" w:type="dxa"/>
          </w:tcPr>
          <w:p w14:paraId="3DF4E772"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8"/>
                <w:szCs w:val="18"/>
              </w:rPr>
            </w:pPr>
            <w:r w:rsidRPr="00911343">
              <w:rPr>
                <w:sz w:val="18"/>
                <w:szCs w:val="18"/>
              </w:rPr>
              <w:t xml:space="preserve">             N/A</w:t>
            </w:r>
          </w:p>
        </w:tc>
        <w:tc>
          <w:tcPr>
            <w:tcW w:w="1350" w:type="dxa"/>
          </w:tcPr>
          <w:p w14:paraId="775FD874" w14:textId="77777777" w:rsidR="007D6A46" w:rsidRPr="00911343" w:rsidRDefault="007D6A46" w:rsidP="001566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911343">
              <w:rPr>
                <w:sz w:val="18"/>
                <w:szCs w:val="18"/>
              </w:rPr>
              <w:t>N/A</w:t>
            </w:r>
          </w:p>
        </w:tc>
      </w:tr>
      <w:tr w:rsidR="007D6A46" w:rsidRPr="008C15D2" w14:paraId="4E86D477" w14:textId="77777777">
        <w:tc>
          <w:tcPr>
            <w:tcW w:w="2070" w:type="dxa"/>
          </w:tcPr>
          <w:p w14:paraId="191DF9B0" w14:textId="77777777" w:rsidR="007D6A46" w:rsidRPr="00911343" w:rsidRDefault="007D6A46" w:rsidP="00CD25E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8"/>
                <w:szCs w:val="18"/>
              </w:rPr>
            </w:pPr>
            <w:r w:rsidRPr="00911343">
              <w:rPr>
                <w:b/>
                <w:sz w:val="18"/>
                <w:szCs w:val="18"/>
              </w:rPr>
              <w:t>Total</w:t>
            </w:r>
          </w:p>
        </w:tc>
        <w:tc>
          <w:tcPr>
            <w:tcW w:w="1530" w:type="dxa"/>
          </w:tcPr>
          <w:p w14:paraId="2E0081BF" w14:textId="77777777" w:rsidR="007D6A46" w:rsidRPr="00911343" w:rsidRDefault="007D6A46" w:rsidP="006506B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11343">
              <w:rPr>
                <w:b/>
                <w:sz w:val="18"/>
                <w:szCs w:val="18"/>
              </w:rPr>
              <w:t>901,917</w:t>
            </w:r>
          </w:p>
        </w:tc>
        <w:tc>
          <w:tcPr>
            <w:tcW w:w="1440" w:type="dxa"/>
          </w:tcPr>
          <w:p w14:paraId="647E47B0" w14:textId="77777777" w:rsidR="007D6A46" w:rsidRPr="00911343" w:rsidRDefault="007D6A46" w:rsidP="00E273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11343">
              <w:rPr>
                <w:b/>
                <w:sz w:val="18"/>
                <w:szCs w:val="18"/>
              </w:rPr>
              <w:t>N/A</w:t>
            </w:r>
          </w:p>
        </w:tc>
        <w:tc>
          <w:tcPr>
            <w:tcW w:w="1260" w:type="dxa"/>
          </w:tcPr>
          <w:p w14:paraId="5B9119D4" w14:textId="77777777" w:rsidR="007D6A46" w:rsidRPr="00911343" w:rsidRDefault="007D6A46" w:rsidP="006506B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11343">
              <w:rPr>
                <w:b/>
                <w:sz w:val="18"/>
                <w:szCs w:val="18"/>
              </w:rPr>
              <w:t>1,870,500</w:t>
            </w:r>
          </w:p>
        </w:tc>
        <w:tc>
          <w:tcPr>
            <w:tcW w:w="1710" w:type="dxa"/>
          </w:tcPr>
          <w:p w14:paraId="6898D39F" w14:textId="77777777" w:rsidR="007D6A46" w:rsidRPr="00911343" w:rsidRDefault="007D6A46" w:rsidP="00CF732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sz w:val="18"/>
                <w:szCs w:val="18"/>
              </w:rPr>
            </w:pPr>
            <w:r w:rsidRPr="00911343">
              <w:rPr>
                <w:b/>
                <w:sz w:val="18"/>
                <w:szCs w:val="18"/>
              </w:rPr>
              <w:t xml:space="preserve">            N/A</w:t>
            </w:r>
          </w:p>
        </w:tc>
        <w:tc>
          <w:tcPr>
            <w:tcW w:w="1350" w:type="dxa"/>
          </w:tcPr>
          <w:p w14:paraId="49FB7365" w14:textId="77777777" w:rsidR="007D6A46" w:rsidRPr="00911343" w:rsidRDefault="007D6A46" w:rsidP="00A045F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11343">
              <w:rPr>
                <w:b/>
                <w:sz w:val="18"/>
                <w:szCs w:val="18"/>
              </w:rPr>
              <w:t>77,176,830</w:t>
            </w:r>
          </w:p>
        </w:tc>
      </w:tr>
    </w:tbl>
    <w:p w14:paraId="2591ACDA" w14:textId="77777777" w:rsidR="006F3CB5" w:rsidRDefault="006F3CB5" w:rsidP="006F3C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Pr>
          <w:szCs w:val="20"/>
        </w:rPr>
        <w:t xml:space="preserve">*   </w:t>
      </w:r>
      <w:r w:rsidRPr="00A045FA">
        <w:rPr>
          <w:sz w:val="18"/>
          <w:szCs w:val="18"/>
        </w:rPr>
        <w:t>Per hour cost based on Grade 7/Step 1 salary in Washington</w:t>
      </w:r>
      <w:r w:rsidR="00A045FA" w:rsidRPr="00A045FA">
        <w:rPr>
          <w:sz w:val="18"/>
          <w:szCs w:val="18"/>
        </w:rPr>
        <w:t>, DC area for Calendar Year 2015 ($20.63) with 100 percent overhead</w:t>
      </w:r>
      <w:r w:rsidRPr="00A045FA">
        <w:rPr>
          <w:sz w:val="18"/>
          <w:szCs w:val="18"/>
        </w:rPr>
        <w:t>.</w:t>
      </w:r>
    </w:p>
    <w:p w14:paraId="60A0F5F1" w14:textId="77777777" w:rsidR="00E27338" w:rsidRDefault="006F3CB5"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6F3CB5">
        <w:rPr>
          <w:szCs w:val="20"/>
        </w:rPr>
        <w:t>** Per year average over first three years of rule.</w:t>
      </w:r>
    </w:p>
    <w:p w14:paraId="1A081B16" w14:textId="77777777" w:rsidR="007D6A46" w:rsidRPr="00911343" w:rsidRDefault="00551DB5"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911343">
        <w:rPr>
          <w:szCs w:val="20"/>
        </w:rPr>
        <w:t xml:space="preserve">*** Figures included solely for purposes of comment solicitation and do not represent estimates.  </w:t>
      </w:r>
    </w:p>
    <w:p w14:paraId="4403CA1F" w14:textId="77777777" w:rsidR="006374BD" w:rsidRDefault="006374BD"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06DEAC4"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73D4436E"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BD82F" w14:textId="77777777" w:rsidR="00E27338" w:rsidRDefault="00404D2C"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is a new information collection request.</w:t>
      </w:r>
    </w:p>
    <w:p w14:paraId="7A115B69"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ECD145" w14:textId="77777777" w:rsidR="00500C50" w:rsidRDefault="00500C50"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24FCF0"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140857DC"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1F5024"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0F5237EB"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037E6BF"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B9C05F3"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0B9D2FF2"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450346"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does not lend itself to displaying an expiration date.</w:t>
      </w:r>
    </w:p>
    <w:p w14:paraId="7A9B5C48"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303DC7" w14:textId="77777777" w:rsidR="00E27338" w:rsidRDefault="00E27338" w:rsidP="00E27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BECC71" w14:textId="77777777" w:rsidR="00E27338" w:rsidRPr="00716897" w:rsidRDefault="00E27338" w:rsidP="00E27338">
      <w:pPr>
        <w:rPr>
          <w:sz w:val="24"/>
        </w:rPr>
      </w:pPr>
    </w:p>
    <w:sectPr w:rsidR="00E27338" w:rsidRPr="00716897" w:rsidSect="00E27338">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C50E0" w14:textId="77777777" w:rsidR="003C60D9" w:rsidRDefault="003C60D9">
      <w:r>
        <w:separator/>
      </w:r>
    </w:p>
  </w:endnote>
  <w:endnote w:type="continuationSeparator" w:id="0">
    <w:p w14:paraId="752DD04B" w14:textId="77777777" w:rsidR="003C60D9" w:rsidRDefault="003C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F949" w14:textId="77777777" w:rsidR="00500C50" w:rsidRDefault="00500C50">
    <w:pPr>
      <w:spacing w:line="240" w:lineRule="exact"/>
    </w:pPr>
  </w:p>
  <w:p w14:paraId="4A8C4B46" w14:textId="77777777" w:rsidR="00500C50" w:rsidRDefault="00500C5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03BEF">
      <w:rPr>
        <w:noProof/>
        <w:sz w:val="24"/>
      </w:rPr>
      <w:t>13</w:t>
    </w:r>
    <w:r>
      <w:rPr>
        <w:sz w:val="24"/>
      </w:rPr>
      <w:fldChar w:fldCharType="end"/>
    </w:r>
  </w:p>
  <w:p w14:paraId="03308989" w14:textId="77777777" w:rsidR="00500C50" w:rsidRDefault="00500C5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5928E" w14:textId="77777777" w:rsidR="003C60D9" w:rsidRDefault="003C60D9">
      <w:r>
        <w:separator/>
      </w:r>
    </w:p>
  </w:footnote>
  <w:footnote w:type="continuationSeparator" w:id="0">
    <w:p w14:paraId="12DCA0DB" w14:textId="77777777" w:rsidR="003C60D9" w:rsidRDefault="003C6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DF6978"/>
    <w:multiLevelType w:val="hybridMultilevel"/>
    <w:tmpl w:val="F65E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377D5"/>
    <w:multiLevelType w:val="hybridMultilevel"/>
    <w:tmpl w:val="3FCE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40CB5"/>
    <w:multiLevelType w:val="hybridMultilevel"/>
    <w:tmpl w:val="779A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7707B"/>
    <w:multiLevelType w:val="hybridMultilevel"/>
    <w:tmpl w:val="43429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5337"/>
    <w:multiLevelType w:val="hybridMultilevel"/>
    <w:tmpl w:val="CD327C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E05BC"/>
    <w:multiLevelType w:val="hybridMultilevel"/>
    <w:tmpl w:val="131A1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448F3"/>
    <w:multiLevelType w:val="hybridMultilevel"/>
    <w:tmpl w:val="15969C0E"/>
    <w:lvl w:ilvl="0" w:tplc="0476721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07FC1"/>
    <w:multiLevelType w:val="hybridMultilevel"/>
    <w:tmpl w:val="54F8340C"/>
    <w:lvl w:ilvl="0" w:tplc="92CAD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F02DF"/>
    <w:multiLevelType w:val="hybridMultilevel"/>
    <w:tmpl w:val="8FCA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D0E19"/>
    <w:multiLevelType w:val="hybridMultilevel"/>
    <w:tmpl w:val="F9A8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56EFE"/>
    <w:multiLevelType w:val="hybridMultilevel"/>
    <w:tmpl w:val="911EB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A3773"/>
    <w:multiLevelType w:val="hybridMultilevel"/>
    <w:tmpl w:val="D170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F5475"/>
    <w:multiLevelType w:val="hybridMultilevel"/>
    <w:tmpl w:val="7E1683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A55BC2"/>
    <w:multiLevelType w:val="hybridMultilevel"/>
    <w:tmpl w:val="EA1A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D47379"/>
    <w:multiLevelType w:val="hybridMultilevel"/>
    <w:tmpl w:val="606C68E2"/>
    <w:lvl w:ilvl="0" w:tplc="65BAF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87742"/>
    <w:multiLevelType w:val="hybridMultilevel"/>
    <w:tmpl w:val="F89AD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73E62"/>
    <w:multiLevelType w:val="hybridMultilevel"/>
    <w:tmpl w:val="55C2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E77E9"/>
    <w:multiLevelType w:val="hybridMultilevel"/>
    <w:tmpl w:val="E2E032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584519E8"/>
    <w:multiLevelType w:val="hybridMultilevel"/>
    <w:tmpl w:val="BEE25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B5ED7"/>
    <w:multiLevelType w:val="hybridMultilevel"/>
    <w:tmpl w:val="53788C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E737EAE"/>
    <w:multiLevelType w:val="hybridMultilevel"/>
    <w:tmpl w:val="BA945DC8"/>
    <w:lvl w:ilvl="0" w:tplc="0F4C38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D4B18"/>
    <w:multiLevelType w:val="hybridMultilevel"/>
    <w:tmpl w:val="1DDA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FE4546"/>
    <w:multiLevelType w:val="hybridMultilevel"/>
    <w:tmpl w:val="FB6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46D3C"/>
    <w:multiLevelType w:val="hybridMultilevel"/>
    <w:tmpl w:val="76D8AA7C"/>
    <w:lvl w:ilvl="0" w:tplc="0CF44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C5445"/>
    <w:multiLevelType w:val="hybridMultilevel"/>
    <w:tmpl w:val="299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6"/>
  </w:num>
  <w:num w:numId="4">
    <w:abstractNumId w:val="21"/>
  </w:num>
  <w:num w:numId="5">
    <w:abstractNumId w:val="15"/>
  </w:num>
  <w:num w:numId="6">
    <w:abstractNumId w:val="10"/>
  </w:num>
  <w:num w:numId="7">
    <w:abstractNumId w:val="11"/>
  </w:num>
  <w:num w:numId="8">
    <w:abstractNumId w:val="16"/>
  </w:num>
  <w:num w:numId="9">
    <w:abstractNumId w:val="22"/>
  </w:num>
  <w:num w:numId="10">
    <w:abstractNumId w:val="3"/>
  </w:num>
  <w:num w:numId="11">
    <w:abstractNumId w:val="7"/>
  </w:num>
  <w:num w:numId="12">
    <w:abstractNumId w:val="4"/>
  </w:num>
  <w:num w:numId="13">
    <w:abstractNumId w:val="8"/>
  </w:num>
  <w:num w:numId="14">
    <w:abstractNumId w:val="20"/>
  </w:num>
  <w:num w:numId="15">
    <w:abstractNumId w:val="18"/>
  </w:num>
  <w:num w:numId="16">
    <w:abstractNumId w:val="14"/>
  </w:num>
  <w:num w:numId="17">
    <w:abstractNumId w:val="9"/>
  </w:num>
  <w:num w:numId="18">
    <w:abstractNumId w:val="12"/>
  </w:num>
  <w:num w:numId="19">
    <w:abstractNumId w:val="24"/>
  </w:num>
  <w:num w:numId="20">
    <w:abstractNumId w:val="1"/>
  </w:num>
  <w:num w:numId="21">
    <w:abstractNumId w:val="6"/>
  </w:num>
  <w:num w:numId="22">
    <w:abstractNumId w:val="17"/>
  </w:num>
  <w:num w:numId="23">
    <w:abstractNumId w:val="2"/>
  </w:num>
  <w:num w:numId="24">
    <w:abstractNumId w:val="25"/>
  </w:num>
  <w:num w:numId="25">
    <w:abstractNumId w:val="5"/>
  </w:num>
  <w:num w:numId="26">
    <w:abstractNumId w:val="19"/>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20"/>
    <w:rsid w:val="000318E5"/>
    <w:rsid w:val="00084AC3"/>
    <w:rsid w:val="00092618"/>
    <w:rsid w:val="000C2902"/>
    <w:rsid w:val="00122C18"/>
    <w:rsid w:val="00160B1B"/>
    <w:rsid w:val="001749FF"/>
    <w:rsid w:val="001C4E04"/>
    <w:rsid w:val="001C7BBD"/>
    <w:rsid w:val="001F51BD"/>
    <w:rsid w:val="00205245"/>
    <w:rsid w:val="00231943"/>
    <w:rsid w:val="002324A4"/>
    <w:rsid w:val="002504BC"/>
    <w:rsid w:val="002A520D"/>
    <w:rsid w:val="002C577D"/>
    <w:rsid w:val="002C73AD"/>
    <w:rsid w:val="00322110"/>
    <w:rsid w:val="00345FCE"/>
    <w:rsid w:val="003B4667"/>
    <w:rsid w:val="003B673F"/>
    <w:rsid w:val="003C60D9"/>
    <w:rsid w:val="003D03EE"/>
    <w:rsid w:val="003E35CE"/>
    <w:rsid w:val="00404D2C"/>
    <w:rsid w:val="0042055A"/>
    <w:rsid w:val="00420F26"/>
    <w:rsid w:val="004509ED"/>
    <w:rsid w:val="00460F00"/>
    <w:rsid w:val="00494562"/>
    <w:rsid w:val="00500C50"/>
    <w:rsid w:val="00526CD3"/>
    <w:rsid w:val="00551DB5"/>
    <w:rsid w:val="00563959"/>
    <w:rsid w:val="005D30DD"/>
    <w:rsid w:val="00630AB4"/>
    <w:rsid w:val="0063641F"/>
    <w:rsid w:val="00636845"/>
    <w:rsid w:val="006374BD"/>
    <w:rsid w:val="00641630"/>
    <w:rsid w:val="006453E4"/>
    <w:rsid w:val="006506B7"/>
    <w:rsid w:val="006D60DC"/>
    <w:rsid w:val="006F3CB5"/>
    <w:rsid w:val="00734BCF"/>
    <w:rsid w:val="00740F61"/>
    <w:rsid w:val="00776B1D"/>
    <w:rsid w:val="007914BC"/>
    <w:rsid w:val="007A138D"/>
    <w:rsid w:val="007A5E72"/>
    <w:rsid w:val="007B491B"/>
    <w:rsid w:val="007D240C"/>
    <w:rsid w:val="007D4054"/>
    <w:rsid w:val="007D6A46"/>
    <w:rsid w:val="00805D82"/>
    <w:rsid w:val="00811461"/>
    <w:rsid w:val="00837FD5"/>
    <w:rsid w:val="008528C8"/>
    <w:rsid w:val="00861108"/>
    <w:rsid w:val="00893DDF"/>
    <w:rsid w:val="008A5E4C"/>
    <w:rsid w:val="008B2CCA"/>
    <w:rsid w:val="008C0D18"/>
    <w:rsid w:val="008D2650"/>
    <w:rsid w:val="00903BEF"/>
    <w:rsid w:val="00907270"/>
    <w:rsid w:val="00911343"/>
    <w:rsid w:val="009D2482"/>
    <w:rsid w:val="009D51D1"/>
    <w:rsid w:val="00A045FA"/>
    <w:rsid w:val="00A07898"/>
    <w:rsid w:val="00A2101B"/>
    <w:rsid w:val="00A2770B"/>
    <w:rsid w:val="00A3561A"/>
    <w:rsid w:val="00A432AD"/>
    <w:rsid w:val="00A47FAB"/>
    <w:rsid w:val="00A55F62"/>
    <w:rsid w:val="00A64AAD"/>
    <w:rsid w:val="00A76798"/>
    <w:rsid w:val="00A767AB"/>
    <w:rsid w:val="00A7781E"/>
    <w:rsid w:val="00A819EB"/>
    <w:rsid w:val="00AA419A"/>
    <w:rsid w:val="00AB1F44"/>
    <w:rsid w:val="00AD099B"/>
    <w:rsid w:val="00AE4B72"/>
    <w:rsid w:val="00B11CD6"/>
    <w:rsid w:val="00B238E3"/>
    <w:rsid w:val="00B260C6"/>
    <w:rsid w:val="00B47934"/>
    <w:rsid w:val="00B52BFA"/>
    <w:rsid w:val="00BF7500"/>
    <w:rsid w:val="00C235F7"/>
    <w:rsid w:val="00CD25EB"/>
    <w:rsid w:val="00CE5BAF"/>
    <w:rsid w:val="00CF1620"/>
    <w:rsid w:val="00CF732F"/>
    <w:rsid w:val="00D1644A"/>
    <w:rsid w:val="00D242FE"/>
    <w:rsid w:val="00D24B75"/>
    <w:rsid w:val="00D54A38"/>
    <w:rsid w:val="00DB1175"/>
    <w:rsid w:val="00DC4FC7"/>
    <w:rsid w:val="00DD0118"/>
    <w:rsid w:val="00DD02C1"/>
    <w:rsid w:val="00E00712"/>
    <w:rsid w:val="00E01F9F"/>
    <w:rsid w:val="00E22AB6"/>
    <w:rsid w:val="00E24D7A"/>
    <w:rsid w:val="00E27338"/>
    <w:rsid w:val="00E33ACD"/>
    <w:rsid w:val="00E548A2"/>
    <w:rsid w:val="00E6748B"/>
    <w:rsid w:val="00E77F8D"/>
    <w:rsid w:val="00EF254A"/>
    <w:rsid w:val="00EF5C8B"/>
    <w:rsid w:val="00EF7056"/>
    <w:rsid w:val="00F320D1"/>
    <w:rsid w:val="00F33734"/>
    <w:rsid w:val="00F54476"/>
    <w:rsid w:val="00F6016B"/>
    <w:rsid w:val="00F722C4"/>
    <w:rsid w:val="00F848AC"/>
    <w:rsid w:val="00FA1C48"/>
    <w:rsid w:val="00FA2C6C"/>
    <w:rsid w:val="00FB4129"/>
    <w:rsid w:val="00FD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5C2DE"/>
  <w15:docId w15:val="{471F9469-0F1A-4C48-B08B-FF47F540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9E503E"/>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E503E"/>
  </w:style>
  <w:style w:type="paragraph" w:styleId="BodyTextIndent">
    <w:name w:val="Body Text Indent"/>
    <w:basedOn w:val="Normal"/>
    <w:rsid w:val="009E503E"/>
    <w:pPr>
      <w:ind w:left="720"/>
    </w:pPr>
    <w:rPr>
      <w:rFonts w:ascii="Baskerville Old Face" w:hAnsi="Baskerville Old Face"/>
      <w:sz w:val="24"/>
    </w:rPr>
  </w:style>
  <w:style w:type="table" w:styleId="TableGrid">
    <w:name w:val="Table Grid"/>
    <w:basedOn w:val="TableNormal"/>
    <w:uiPriority w:val="59"/>
    <w:rsid w:val="009E50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1"/>
      </w:numPr>
      <w:autoSpaceDE/>
      <w:autoSpaceDN/>
      <w:adjustRightInd/>
      <w:spacing w:after="120"/>
      <w:ind w:left="1440"/>
    </w:pPr>
    <w:rPr>
      <w:sz w:val="24"/>
      <w:lang w:val="x-none" w:eastAsia="x-none"/>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uiPriority w:val="99"/>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link w:val="CommentText"/>
    <w:uiPriority w:val="99"/>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link w:val="level10"/>
    <w:rsid w:val="00C909DA"/>
    <w:rPr>
      <w:rFonts w:eastAsia="Calibri"/>
      <w:sz w:val="24"/>
      <w:szCs w:val="24"/>
      <w:lang w:val="en-US" w:eastAsia="en-US" w:bidi="ar-SA"/>
    </w:rPr>
  </w:style>
  <w:style w:type="character" w:customStyle="1" w:styleId="BodyBulletAChar">
    <w:name w:val="Body Bullet A Char"/>
    <w:link w:val="BodyBulletA"/>
    <w:rsid w:val="00C909DA"/>
    <w:rPr>
      <w:sz w:val="24"/>
      <w:szCs w:val="24"/>
    </w:rPr>
  </w:style>
  <w:style w:type="character" w:customStyle="1" w:styleId="BodyBulletBChar">
    <w:name w:val="Body Bullet B Char"/>
    <w:link w:val="BodyBulletB"/>
    <w:rsid w:val="00C909DA"/>
    <w:rPr>
      <w:sz w:val="24"/>
      <w:szCs w:val="24"/>
    </w:rPr>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link w:val="default"/>
    <w:rsid w:val="00C909DA"/>
    <w:rPr>
      <w:color w:val="000000"/>
      <w:sz w:val="24"/>
      <w:szCs w:val="24"/>
      <w:lang w:val="en-US" w:eastAsia="en-US" w:bidi="ar-SA"/>
    </w:rPr>
  </w:style>
  <w:style w:type="character" w:customStyle="1" w:styleId="NormalIndentChar">
    <w:name w:val="Normal Indent Char"/>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semiHidden/>
    <w:locked/>
    <w:rsid w:val="00BA151A"/>
    <w:rPr>
      <w:lang w:val="en-US" w:eastAsia="en-US" w:bidi="ar-SA"/>
    </w:rPr>
  </w:style>
  <w:style w:type="character" w:customStyle="1" w:styleId="EmailStyle40">
    <w:name w:val="EmailStyle40"/>
    <w:semiHidden/>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link w:val="TOCHeading2"/>
    <w:rsid w:val="00185A55"/>
    <w:rPr>
      <w:b/>
      <w:color w:val="000000"/>
      <w:sz w:val="24"/>
      <w:szCs w:val="24"/>
      <w:lang w:val="en-US" w:eastAsia="en-US" w:bidi="ar-SA"/>
    </w:rPr>
  </w:style>
  <w:style w:type="paragraph" w:customStyle="1" w:styleId="Level1">
    <w:name w:val="Level 1"/>
    <w:basedOn w:val="Normal"/>
    <w:rsid w:val="00DA0909"/>
    <w:pPr>
      <w:numPr>
        <w:numId w:val="2"/>
      </w:numPr>
      <w:ind w:left="720" w:hanging="720"/>
      <w:outlineLvl w:val="0"/>
    </w:pPr>
    <w:rPr>
      <w:sz w:val="24"/>
    </w:rPr>
  </w:style>
  <w:style w:type="paragraph" w:styleId="FootnoteText">
    <w:name w:val="footnote text"/>
    <w:basedOn w:val="Normal"/>
    <w:link w:val="FootnoteTextChar"/>
    <w:uiPriority w:val="99"/>
    <w:rsid w:val="00DA0909"/>
    <w:pPr>
      <w:widowControl/>
      <w:autoSpaceDE/>
      <w:autoSpaceDN/>
      <w:adjustRightInd/>
    </w:pPr>
    <w:rPr>
      <w:szCs w:val="20"/>
    </w:rPr>
  </w:style>
  <w:style w:type="character" w:customStyle="1" w:styleId="TOCHeading3Char">
    <w:name w:val="TOC Heading 3 Char"/>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b/>
      <w:bCs/>
    </w:rPr>
  </w:style>
  <w:style w:type="character" w:customStyle="1" w:styleId="CommentSubjectChar">
    <w:name w:val="Comment Subject Char"/>
    <w:link w:val="CommentSubject"/>
    <w:rsid w:val="00D01D33"/>
    <w:rPr>
      <w:rFonts w:ascii="Calibri" w:hAnsi="Calibri"/>
      <w:b/>
      <w:bCs/>
      <w:lang w:val="en-US" w:eastAsia="en-US" w:bidi="ar-SA"/>
    </w:rPr>
  </w:style>
  <w:style w:type="paragraph" w:customStyle="1" w:styleId="ColorfulShading-Accent11">
    <w:name w:val="Colorful Shading - Accent 11"/>
    <w:hidden/>
    <w:uiPriority w:val="99"/>
    <w:semiHidden/>
    <w:rsid w:val="00C67EF5"/>
    <w:rPr>
      <w:szCs w:val="24"/>
    </w:rPr>
  </w:style>
  <w:style w:type="paragraph" w:customStyle="1" w:styleId="ColorfulList-Accent11">
    <w:name w:val="Colorful List - Accent 11"/>
    <w:basedOn w:val="Normal"/>
    <w:uiPriority w:val="99"/>
    <w:qFormat/>
    <w:rsid w:val="00A3252F"/>
    <w:pPr>
      <w:widowControl/>
      <w:autoSpaceDE/>
      <w:autoSpaceDN/>
      <w:adjustRightInd/>
      <w:spacing w:after="200"/>
      <w:ind w:left="720"/>
    </w:pPr>
    <w:rPr>
      <w:rFonts w:ascii="Calibri" w:eastAsia="Calibri" w:hAnsi="Calibri" w:cs="Calibri"/>
      <w:sz w:val="22"/>
      <w:szCs w:val="22"/>
    </w:rPr>
  </w:style>
  <w:style w:type="paragraph" w:styleId="Footer">
    <w:name w:val="footer"/>
    <w:basedOn w:val="Normal"/>
    <w:link w:val="FooterChar"/>
    <w:rsid w:val="00BF48F6"/>
    <w:pPr>
      <w:tabs>
        <w:tab w:val="center" w:pos="4680"/>
        <w:tab w:val="right" w:pos="9360"/>
      </w:tabs>
    </w:pPr>
    <w:rPr>
      <w:lang w:val="x-none" w:eastAsia="x-none"/>
    </w:rPr>
  </w:style>
  <w:style w:type="character" w:customStyle="1" w:styleId="FooterChar">
    <w:name w:val="Footer Char"/>
    <w:link w:val="Footer"/>
    <w:rsid w:val="00BF48F6"/>
    <w:rPr>
      <w:szCs w:val="24"/>
    </w:rPr>
  </w:style>
  <w:style w:type="paragraph" w:customStyle="1" w:styleId="NoSpacing1">
    <w:name w:val="No Spacing1"/>
    <w:uiPriority w:val="1"/>
    <w:qFormat/>
    <w:rsid w:val="00B675A9"/>
    <w:rPr>
      <w:rFonts w:ascii="Calibri" w:eastAsia="Calibri" w:hAnsi="Calibri"/>
      <w:sz w:val="22"/>
      <w:szCs w:val="22"/>
    </w:rPr>
  </w:style>
  <w:style w:type="paragraph" w:styleId="HTMLPreformatted">
    <w:name w:val="HTML Preformatted"/>
    <w:basedOn w:val="Normal"/>
    <w:link w:val="HTMLPreformattedChar"/>
    <w:uiPriority w:val="99"/>
    <w:unhideWhenUsed/>
    <w:rsid w:val="00842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uiPriority w:val="99"/>
    <w:rsid w:val="008425AE"/>
    <w:rPr>
      <w:rFonts w:ascii="Courier New" w:hAnsi="Courier New"/>
      <w:lang w:val="x-none" w:eastAsia="x-none"/>
    </w:rPr>
  </w:style>
  <w:style w:type="paragraph" w:styleId="BodyText">
    <w:name w:val="Body Text"/>
    <w:basedOn w:val="Normal"/>
    <w:link w:val="BodyTextChar"/>
    <w:rsid w:val="00FA1C48"/>
    <w:pPr>
      <w:spacing w:after="120"/>
    </w:pPr>
  </w:style>
  <w:style w:type="character" w:customStyle="1" w:styleId="BodyTextChar">
    <w:name w:val="Body Text Char"/>
    <w:link w:val="BodyText"/>
    <w:rsid w:val="00FA1C48"/>
    <w:rPr>
      <w:szCs w:val="24"/>
    </w:rPr>
  </w:style>
  <w:style w:type="character" w:styleId="Emphasis">
    <w:name w:val="Emphasis"/>
    <w:uiPriority w:val="20"/>
    <w:qFormat/>
    <w:rsid w:val="00C235F7"/>
    <w:rPr>
      <w:i/>
      <w:iCs/>
    </w:rPr>
  </w:style>
  <w:style w:type="character" w:customStyle="1" w:styleId="FootnoteTextChar">
    <w:name w:val="Footnote Text Char"/>
    <w:link w:val="FootnoteText"/>
    <w:uiPriority w:val="99"/>
    <w:rsid w:val="00C235F7"/>
  </w:style>
  <w:style w:type="paragraph" w:styleId="ListParagraph">
    <w:name w:val="List Paragraph"/>
    <w:basedOn w:val="Normal"/>
    <w:uiPriority w:val="34"/>
    <w:qFormat/>
    <w:rsid w:val="00C235F7"/>
    <w:pPr>
      <w:widowControl/>
      <w:autoSpaceDE/>
      <w:autoSpaceDN/>
      <w:adjustRightInd/>
      <w:ind w:left="720"/>
      <w:contextualSpacing/>
    </w:pPr>
    <w:rPr>
      <w:rFonts w:ascii="Courier" w:hAnsi="Courier"/>
      <w:snapToGrid w:val="0"/>
      <w:sz w:val="24"/>
      <w:szCs w:val="20"/>
    </w:rPr>
  </w:style>
  <w:style w:type="character" w:customStyle="1" w:styleId="HeaderChar">
    <w:name w:val="Header Char"/>
    <w:link w:val="Header"/>
    <w:uiPriority w:val="99"/>
    <w:rsid w:val="00805D82"/>
    <w:rPr>
      <w:sz w:val="24"/>
      <w:szCs w:val="24"/>
    </w:rPr>
  </w:style>
  <w:style w:type="paragraph" w:styleId="TOCHeading">
    <w:name w:val="TOC Heading"/>
    <w:basedOn w:val="Heading1"/>
    <w:next w:val="Normal"/>
    <w:uiPriority w:val="39"/>
    <w:semiHidden/>
    <w:unhideWhenUsed/>
    <w:qFormat/>
    <w:rsid w:val="00F320D1"/>
    <w:pPr>
      <w:keepLines/>
      <w:widowControl/>
      <w:autoSpaceDE/>
      <w:autoSpaceDN/>
      <w:adjustRightInd/>
      <w:spacing w:before="48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F320D1"/>
  </w:style>
  <w:style w:type="paragraph" w:styleId="TOC2">
    <w:name w:val="toc 2"/>
    <w:basedOn w:val="Normal"/>
    <w:next w:val="Normal"/>
    <w:autoRedefine/>
    <w:uiPriority w:val="39"/>
    <w:rsid w:val="00F320D1"/>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15">
      <w:bodyDiv w:val="1"/>
      <w:marLeft w:val="0"/>
      <w:marRight w:val="0"/>
      <w:marTop w:val="0"/>
      <w:marBottom w:val="0"/>
      <w:divBdr>
        <w:top w:val="none" w:sz="0" w:space="0" w:color="auto"/>
        <w:left w:val="none" w:sz="0" w:space="0" w:color="auto"/>
        <w:bottom w:val="none" w:sz="0" w:space="0" w:color="auto"/>
        <w:right w:val="none" w:sz="0" w:space="0" w:color="auto"/>
      </w:divBdr>
    </w:div>
    <w:div w:id="228150139">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5706671">
      <w:bodyDiv w:val="1"/>
      <w:marLeft w:val="0"/>
      <w:marRight w:val="0"/>
      <w:marTop w:val="0"/>
      <w:marBottom w:val="0"/>
      <w:divBdr>
        <w:top w:val="none" w:sz="0" w:space="0" w:color="auto"/>
        <w:left w:val="none" w:sz="0" w:space="0" w:color="auto"/>
        <w:bottom w:val="none" w:sz="0" w:space="0" w:color="auto"/>
        <w:right w:val="none" w:sz="0" w:space="0" w:color="auto"/>
      </w:divBdr>
    </w:div>
    <w:div w:id="1200389229">
      <w:bodyDiv w:val="1"/>
      <w:marLeft w:val="0"/>
      <w:marRight w:val="0"/>
      <w:marTop w:val="0"/>
      <w:marBottom w:val="0"/>
      <w:divBdr>
        <w:top w:val="none" w:sz="0" w:space="0" w:color="auto"/>
        <w:left w:val="none" w:sz="0" w:space="0" w:color="auto"/>
        <w:bottom w:val="none" w:sz="0" w:space="0" w:color="auto"/>
        <w:right w:val="none" w:sz="0" w:space="0" w:color="auto"/>
      </w:divBdr>
    </w:div>
    <w:div w:id="1313490209">
      <w:bodyDiv w:val="1"/>
      <w:marLeft w:val="0"/>
      <w:marRight w:val="0"/>
      <w:marTop w:val="0"/>
      <w:marBottom w:val="0"/>
      <w:divBdr>
        <w:top w:val="none" w:sz="0" w:space="0" w:color="auto"/>
        <w:left w:val="none" w:sz="0" w:space="0" w:color="auto"/>
        <w:bottom w:val="none" w:sz="0" w:space="0" w:color="auto"/>
        <w:right w:val="none" w:sz="0" w:space="0" w:color="auto"/>
      </w:divBdr>
    </w:div>
    <w:div w:id="1423257968">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82F9-A1EA-43E4-9DED-B1683A17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29672</CharactersWithSpaces>
  <SharedDoc>false</SharedDoc>
  <HLinks>
    <vt:vector size="12" baseType="variant">
      <vt:variant>
        <vt:i4>458870</vt:i4>
      </vt:variant>
      <vt:variant>
        <vt:i4>3</vt:i4>
      </vt:variant>
      <vt:variant>
        <vt:i4>0</vt:i4>
      </vt:variant>
      <vt:variant>
        <vt:i4>5</vt:i4>
      </vt:variant>
      <vt:variant>
        <vt:lpwstr>http://www.bls.gov/oes/current/oes_nat.htm</vt:lpwstr>
      </vt:variant>
      <vt:variant>
        <vt:lpwstr>43-0000</vt:lpwstr>
      </vt:variant>
      <vt:variant>
        <vt:i4>458870</vt:i4>
      </vt:variant>
      <vt:variant>
        <vt:i4>0</vt:i4>
      </vt:variant>
      <vt:variant>
        <vt:i4>0</vt:i4>
      </vt:variant>
      <vt:variant>
        <vt:i4>5</vt:i4>
      </vt:variant>
      <vt:variant>
        <vt:lpwstr>http://www.bls.gov/oes/current/oes_nat.htm</vt:lpwstr>
      </vt:variant>
      <vt:variant>
        <vt:lpwstr>43-0000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JAMAA HILL</cp:lastModifiedBy>
  <cp:revision>2</cp:revision>
  <cp:lastPrinted>2012-05-21T15:42:00Z</cp:lastPrinted>
  <dcterms:created xsi:type="dcterms:W3CDTF">2016-03-02T15:35:00Z</dcterms:created>
  <dcterms:modified xsi:type="dcterms:W3CDTF">2016-03-02T15:35:00Z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698627347</vt:i4>
  </property>
  <property fmtid="{D5CDD505-2E9C-101B-9397-08002B2CF9AE}" pid="3" name="_NewReviewCycle">
    <vt:lpwstr/>
  </property>
  <property fmtid="{D5CDD505-2E9C-101B-9397-08002B2CF9AE}" pid="4" name="_EmailSubject">
    <vt:lpwstr>Revised PRA</vt:lpwstr>
  </property>
  <property fmtid="{D5CDD505-2E9C-101B-9397-08002B2CF9AE}" pid="5" name="_AuthorEmail">
    <vt:lpwstr>Frank.Whelan@cms.hhs.gov</vt:lpwstr>
  </property>
  <property fmtid="{D5CDD505-2E9C-101B-9397-08002B2CF9AE}" pid="6" name="_AuthorEmailDisplayName">
    <vt:lpwstr>Whelan, Frank B. (CMS/CPI)</vt:lpwstr>
  </property>
  <property fmtid="{D5CDD505-2E9C-101B-9397-08002B2CF9AE}" pid="7" name="_PreviousAdHocReviewCycleID">
    <vt:i4>167979839</vt:i4>
  </property>
  <property fmtid="{D5CDD505-2E9C-101B-9397-08002B2CF9AE}" pid="8" name="_ReviewingToolsShownOnce">
    <vt:lpwstr/>
  </property>
</Properties>
</file>