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74F294" w14:textId="77777777" w:rsidR="00966570" w:rsidRPr="00C46BE1" w:rsidRDefault="008C426B" w:rsidP="00966570">
      <w:pPr>
        <w:pStyle w:val="BHTCCBody"/>
        <w:spacing w:after="0"/>
        <w:jc w:val="center"/>
        <w:rPr>
          <w:rFonts w:ascii="Tw Cen MT" w:hAnsi="Tw Cen MT"/>
          <w:b/>
          <w:sz w:val="28"/>
          <w:szCs w:val="28"/>
        </w:rPr>
      </w:pPr>
      <w:r w:rsidRPr="00C46BE1">
        <w:rPr>
          <w:rFonts w:ascii="Tw Cen MT" w:hAnsi="Tw Cen MT"/>
          <w:b/>
          <w:sz w:val="28"/>
          <w:szCs w:val="28"/>
        </w:rPr>
        <w:t>Community Support Evaluation</w:t>
      </w:r>
    </w:p>
    <w:p w14:paraId="7B561796" w14:textId="0C8AFDD2" w:rsidR="008C426B" w:rsidRPr="00C46BE1" w:rsidRDefault="008C426B" w:rsidP="00966570">
      <w:pPr>
        <w:pStyle w:val="BHTCCBody"/>
        <w:spacing w:after="0"/>
        <w:ind w:left="187" w:firstLine="14"/>
        <w:jc w:val="center"/>
        <w:rPr>
          <w:rFonts w:ascii="Tw Cen MT" w:hAnsi="Tw Cen MT"/>
          <w:b/>
          <w:sz w:val="28"/>
          <w:szCs w:val="28"/>
        </w:rPr>
      </w:pPr>
      <w:r w:rsidRPr="00C46BE1">
        <w:rPr>
          <w:rFonts w:ascii="Tw Cen MT" w:hAnsi="Tw Cen MT" w:cs="Arial"/>
          <w:b/>
          <w:sz w:val="28"/>
          <w:szCs w:val="28"/>
        </w:rPr>
        <w:t>Supporting Statement</w:t>
      </w:r>
    </w:p>
    <w:p w14:paraId="6716E6ED" w14:textId="77777777" w:rsidR="00324931" w:rsidRPr="00C46BE1" w:rsidRDefault="00324931" w:rsidP="00324931">
      <w:pPr>
        <w:tabs>
          <w:tab w:val="left" w:pos="2250"/>
        </w:tabs>
        <w:rPr>
          <w:sz w:val="16"/>
          <w:szCs w:val="16"/>
        </w:rPr>
      </w:pPr>
      <w:r w:rsidRPr="00C46BE1">
        <w:rPr>
          <w:rFonts w:ascii="Arial" w:hAnsi="Arial" w:cs="Arial"/>
        </w:rPr>
        <w:tab/>
      </w:r>
    </w:p>
    <w:p w14:paraId="74A5FF6A" w14:textId="77777777" w:rsidR="00324931" w:rsidRPr="00C46BE1" w:rsidRDefault="00324931" w:rsidP="00090868">
      <w:pPr>
        <w:pStyle w:val="BodyText"/>
        <w:numPr>
          <w:ilvl w:val="0"/>
          <w:numId w:val="7"/>
        </w:numPr>
        <w:tabs>
          <w:tab w:val="left" w:pos="843"/>
        </w:tabs>
        <w:spacing w:after="120"/>
        <w:rPr>
          <w:rFonts w:ascii="Tw Cen MT" w:hAnsi="Tw Cen MT" w:cs="Arial"/>
          <w:b/>
          <w:sz w:val="28"/>
          <w:szCs w:val="28"/>
        </w:rPr>
      </w:pPr>
      <w:r w:rsidRPr="00C46BE1">
        <w:rPr>
          <w:rFonts w:ascii="Tw Cen MT" w:hAnsi="Tw Cen MT" w:cs="Arial"/>
          <w:b/>
          <w:color w:val="181818"/>
          <w:sz w:val="28"/>
          <w:szCs w:val="28"/>
        </w:rPr>
        <w:t>Justification</w:t>
      </w:r>
    </w:p>
    <w:p w14:paraId="1F44863D" w14:textId="6F0B25DD" w:rsidR="00324931" w:rsidRPr="00C46BE1" w:rsidRDefault="00324931" w:rsidP="00324931">
      <w:pPr>
        <w:pStyle w:val="BHTCCBody"/>
        <w:rPr>
          <w:rFonts w:ascii="Times New Roman" w:hAnsi="Times New Roman" w:cs="Times New Roman"/>
          <w:sz w:val="24"/>
          <w:szCs w:val="24"/>
        </w:rPr>
      </w:pPr>
      <w:r w:rsidRPr="00C46BE1">
        <w:rPr>
          <w:rFonts w:ascii="Times New Roman" w:hAnsi="Times New Roman" w:cs="Times New Roman"/>
          <w:bCs/>
          <w:spacing w:val="-2"/>
          <w:sz w:val="24"/>
          <w:szCs w:val="24"/>
        </w:rPr>
        <w:t xml:space="preserve">The Substance Abuse and Mental Health Services Administration’s (SAMHSA’s) Community Support Branch of the </w:t>
      </w:r>
      <w:r w:rsidRPr="00C46BE1">
        <w:rPr>
          <w:rFonts w:ascii="Times New Roman" w:hAnsi="Times New Roman" w:cs="Times New Roman"/>
          <w:spacing w:val="-2"/>
          <w:sz w:val="24"/>
          <w:szCs w:val="24"/>
        </w:rPr>
        <w:t xml:space="preserve">Center for Mental Health Services (CMHS) is requesting clearance for a </w:t>
      </w:r>
      <w:r w:rsidRPr="00C46BE1">
        <w:rPr>
          <w:rFonts w:ascii="Times New Roman" w:hAnsi="Times New Roman" w:cs="Times New Roman"/>
          <w:b/>
          <w:spacing w:val="-2"/>
          <w:sz w:val="24"/>
          <w:szCs w:val="24"/>
        </w:rPr>
        <w:t>new</w:t>
      </w:r>
      <w:r w:rsidRPr="00C46BE1">
        <w:rPr>
          <w:rFonts w:ascii="Times New Roman" w:hAnsi="Times New Roman" w:cs="Times New Roman"/>
          <w:spacing w:val="-2"/>
          <w:sz w:val="24"/>
          <w:szCs w:val="24"/>
        </w:rPr>
        <w:t xml:space="preserve"> data collection for the </w:t>
      </w:r>
      <w:r w:rsidRPr="00C46BE1">
        <w:rPr>
          <w:rFonts w:ascii="Times New Roman" w:hAnsi="Times New Roman" w:cs="Times New Roman"/>
          <w:b/>
          <w:i/>
          <w:spacing w:val="-2"/>
          <w:sz w:val="24"/>
          <w:szCs w:val="24"/>
        </w:rPr>
        <w:t>Community Support Evaluation</w:t>
      </w:r>
      <w:r w:rsidRPr="00C46BE1">
        <w:rPr>
          <w:rFonts w:ascii="Times New Roman" w:hAnsi="Times New Roman" w:cs="Times New Roman"/>
          <w:spacing w:val="-2"/>
          <w:sz w:val="24"/>
          <w:szCs w:val="24"/>
        </w:rPr>
        <w:t xml:space="preserve"> </w:t>
      </w:r>
      <w:r w:rsidRPr="00C46BE1">
        <w:rPr>
          <w:rFonts w:ascii="Times New Roman" w:hAnsi="Times New Roman" w:cs="Times New Roman"/>
          <w:b/>
          <w:i/>
          <w:spacing w:val="-2"/>
          <w:sz w:val="24"/>
          <w:szCs w:val="24"/>
        </w:rPr>
        <w:t>(CSE)</w:t>
      </w:r>
      <w:r w:rsidRPr="00C46BE1">
        <w:rPr>
          <w:rFonts w:ascii="Times New Roman" w:hAnsi="Times New Roman" w:cs="Times New Roman"/>
          <w:spacing w:val="-2"/>
          <w:sz w:val="24"/>
          <w:szCs w:val="24"/>
        </w:rPr>
        <w:t xml:space="preserve">. </w:t>
      </w:r>
      <w:r w:rsidRPr="00C46BE1">
        <w:rPr>
          <w:rFonts w:ascii="Times New Roman" w:hAnsi="Times New Roman" w:cs="Times New Roman"/>
          <w:sz w:val="24"/>
          <w:szCs w:val="24"/>
        </w:rPr>
        <w:t xml:space="preserve">Recognizing that individuals with serious mental illness (SMI), substance use, and co-occurring mental and substance use disorders often experience challenges to identifying and receiving appropriate care and supports for recovery, as well as obtaining competitive employment, SAMHSA funded the </w:t>
      </w:r>
      <w:r w:rsidRPr="00C46BE1">
        <w:rPr>
          <w:rFonts w:ascii="Times New Roman" w:hAnsi="Times New Roman" w:cs="Times New Roman"/>
          <w:spacing w:val="-2"/>
          <w:sz w:val="24"/>
          <w:szCs w:val="24"/>
        </w:rPr>
        <w:t xml:space="preserve">Behavioral Health Treatment Court Collaborative (BHTCC) and </w:t>
      </w:r>
      <w:r w:rsidRPr="00C46BE1">
        <w:rPr>
          <w:rFonts w:ascii="Times New Roman" w:hAnsi="Times New Roman" w:cs="Times New Roman"/>
          <w:sz w:val="24"/>
          <w:szCs w:val="24"/>
        </w:rPr>
        <w:t>Transforming Lives through Supported Employment (</w:t>
      </w:r>
      <w:r w:rsidRPr="00C46BE1">
        <w:rPr>
          <w:rFonts w:ascii="Times New Roman" w:hAnsi="Times New Roman" w:cs="Times New Roman"/>
          <w:spacing w:val="-2"/>
          <w:sz w:val="24"/>
          <w:szCs w:val="24"/>
        </w:rPr>
        <w:t xml:space="preserve">SE) Programs. The programs are rooted </w:t>
      </w:r>
      <w:r w:rsidRPr="00C46BE1">
        <w:rPr>
          <w:rFonts w:ascii="Times New Roman" w:hAnsi="Times New Roman" w:cs="Times New Roman"/>
          <w:sz w:val="24"/>
          <w:szCs w:val="24"/>
        </w:rPr>
        <w:t xml:space="preserve">in the belief that recovery is a holistic process bolstered by trauma-informed care and individual- and community-level support. </w:t>
      </w:r>
    </w:p>
    <w:p w14:paraId="06AF103E" w14:textId="77777777" w:rsidR="00310AE3" w:rsidRDefault="00F722BA" w:rsidP="00324931">
      <w:pPr>
        <w:pStyle w:val="BHTCCBody"/>
        <w:rPr>
          <w:rFonts w:ascii="Times New Roman" w:hAnsi="Times New Roman" w:cs="Times New Roman"/>
          <w:sz w:val="24"/>
          <w:szCs w:val="24"/>
        </w:rPr>
      </w:pPr>
      <w:r w:rsidRPr="00C46BE1">
        <w:rPr>
          <w:rFonts w:ascii="Times New Roman" w:hAnsi="Times New Roman" w:cs="Times New Roman"/>
          <w:sz w:val="24"/>
          <w:szCs w:val="24"/>
        </w:rPr>
        <w:t xml:space="preserve">The </w:t>
      </w:r>
      <w:r w:rsidR="0011575E" w:rsidRPr="00C46BE1">
        <w:rPr>
          <w:rFonts w:ascii="Times New Roman" w:hAnsi="Times New Roman" w:cs="Times New Roman"/>
          <w:sz w:val="24"/>
          <w:szCs w:val="24"/>
        </w:rPr>
        <w:t xml:space="preserve">CSE </w:t>
      </w:r>
      <w:r w:rsidR="00173E25" w:rsidRPr="00C46BE1">
        <w:rPr>
          <w:rFonts w:ascii="Times New Roman" w:hAnsi="Times New Roman" w:cs="Times New Roman"/>
          <w:sz w:val="24"/>
          <w:szCs w:val="24"/>
        </w:rPr>
        <w:t xml:space="preserve">consists of two studies, the BHTCC and SE Studies. In total, </w:t>
      </w:r>
      <w:r w:rsidR="0011575E" w:rsidRPr="00C46BE1">
        <w:rPr>
          <w:rFonts w:ascii="Times New Roman" w:hAnsi="Times New Roman" w:cs="Times New Roman"/>
          <w:sz w:val="24"/>
          <w:szCs w:val="24"/>
        </w:rPr>
        <w:t>1</w:t>
      </w:r>
      <w:r w:rsidR="003C4EB9" w:rsidRPr="00C46BE1">
        <w:rPr>
          <w:rFonts w:ascii="Times New Roman" w:hAnsi="Times New Roman" w:cs="Times New Roman"/>
          <w:sz w:val="24"/>
          <w:szCs w:val="24"/>
        </w:rPr>
        <w:t>5</w:t>
      </w:r>
      <w:r w:rsidR="00AA7058" w:rsidRPr="00C46BE1">
        <w:rPr>
          <w:rFonts w:ascii="Times New Roman" w:hAnsi="Times New Roman" w:cs="Times New Roman"/>
          <w:sz w:val="24"/>
          <w:szCs w:val="24"/>
        </w:rPr>
        <w:t xml:space="preserve"> data collection</w:t>
      </w:r>
      <w:r w:rsidR="0011575E" w:rsidRPr="00C46BE1">
        <w:rPr>
          <w:rFonts w:ascii="Times New Roman" w:hAnsi="Times New Roman" w:cs="Times New Roman"/>
          <w:sz w:val="24"/>
          <w:szCs w:val="24"/>
        </w:rPr>
        <w:t xml:space="preserve"> instruments</w:t>
      </w:r>
      <w:r w:rsidR="00173E25" w:rsidRPr="00C46BE1">
        <w:rPr>
          <w:rFonts w:ascii="Times New Roman" w:hAnsi="Times New Roman" w:cs="Times New Roman"/>
          <w:sz w:val="24"/>
          <w:szCs w:val="24"/>
        </w:rPr>
        <w:t xml:space="preserve"> and activities compose the CSE, including </w:t>
      </w:r>
      <w:r w:rsidR="00AA7058" w:rsidRPr="00C46BE1">
        <w:rPr>
          <w:rFonts w:ascii="Times New Roman" w:hAnsi="Times New Roman" w:cs="Times New Roman"/>
          <w:sz w:val="24"/>
          <w:szCs w:val="24"/>
        </w:rPr>
        <w:t>web-based surveys, key informant interviews (KIIs), existing data abstractions, and focus groups</w:t>
      </w:r>
      <w:r w:rsidR="0011575E" w:rsidRPr="00C46BE1">
        <w:rPr>
          <w:rFonts w:ascii="Times New Roman" w:hAnsi="Times New Roman" w:cs="Times New Roman"/>
          <w:sz w:val="24"/>
          <w:szCs w:val="24"/>
        </w:rPr>
        <w:t xml:space="preserve">. </w:t>
      </w:r>
    </w:p>
    <w:p w14:paraId="6121CB4C" w14:textId="66999BE5" w:rsidR="00AA7058" w:rsidRPr="00C46BE1" w:rsidRDefault="00AA7058" w:rsidP="00090868">
      <w:pPr>
        <w:pStyle w:val="BHTCCBody"/>
        <w:numPr>
          <w:ilvl w:val="0"/>
          <w:numId w:val="40"/>
        </w:numPr>
        <w:spacing w:after="40"/>
        <w:rPr>
          <w:rFonts w:ascii="Times New Roman" w:hAnsi="Times New Roman" w:cs="Times New Roman"/>
          <w:sz w:val="24"/>
          <w:szCs w:val="24"/>
        </w:rPr>
      </w:pPr>
      <w:r w:rsidRPr="00C46BE1">
        <w:rPr>
          <w:rFonts w:ascii="Times New Roman" w:hAnsi="Times New Roman" w:cs="Times New Roman"/>
          <w:sz w:val="24"/>
          <w:szCs w:val="24"/>
        </w:rPr>
        <w:t>Biannual Program Inventory</w:t>
      </w:r>
      <w:r w:rsidR="0047779E" w:rsidRPr="00C46BE1">
        <w:rPr>
          <w:rFonts w:ascii="Times New Roman" w:hAnsi="Times New Roman" w:cs="Times New Roman"/>
          <w:sz w:val="24"/>
          <w:szCs w:val="24"/>
        </w:rPr>
        <w:t xml:space="preserve"> (BPI)</w:t>
      </w:r>
      <w:r w:rsidR="00173E25" w:rsidRPr="00C46BE1">
        <w:rPr>
          <w:rFonts w:ascii="Times New Roman" w:hAnsi="Times New Roman" w:cs="Times New Roman"/>
          <w:sz w:val="24"/>
          <w:szCs w:val="24"/>
        </w:rPr>
        <w:t>—BHTCC Version</w:t>
      </w:r>
      <w:r w:rsidR="00310AE3">
        <w:rPr>
          <w:rFonts w:ascii="Times New Roman" w:hAnsi="Times New Roman" w:cs="Times New Roman"/>
          <w:sz w:val="24"/>
          <w:szCs w:val="24"/>
        </w:rPr>
        <w:t xml:space="preserve"> </w:t>
      </w:r>
    </w:p>
    <w:p w14:paraId="0A23D0BA" w14:textId="2DFE82A6" w:rsidR="00AA7058" w:rsidRPr="00C46BE1" w:rsidRDefault="001555B4" w:rsidP="00090868">
      <w:pPr>
        <w:pStyle w:val="BHTCCBody"/>
        <w:numPr>
          <w:ilvl w:val="0"/>
          <w:numId w:val="40"/>
        </w:numPr>
        <w:spacing w:after="40"/>
        <w:rPr>
          <w:rFonts w:ascii="Times New Roman" w:hAnsi="Times New Roman" w:cs="Times New Roman"/>
          <w:sz w:val="24"/>
          <w:szCs w:val="24"/>
        </w:rPr>
      </w:pPr>
      <w:r w:rsidRPr="00C46BE1">
        <w:rPr>
          <w:rFonts w:ascii="Times New Roman" w:hAnsi="Times New Roman" w:cs="Times New Roman"/>
          <w:sz w:val="24"/>
          <w:szCs w:val="24"/>
        </w:rPr>
        <w:t>System-Level Assessment (SLA) KII—C</w:t>
      </w:r>
      <w:r w:rsidR="00AA7058" w:rsidRPr="00C46BE1">
        <w:rPr>
          <w:rFonts w:ascii="Times New Roman" w:hAnsi="Times New Roman" w:cs="Times New Roman"/>
          <w:sz w:val="24"/>
          <w:szCs w:val="24"/>
        </w:rPr>
        <w:t xml:space="preserve">ourt Personnel </w:t>
      </w:r>
      <w:r w:rsidR="00173E25" w:rsidRPr="00C46BE1">
        <w:rPr>
          <w:rFonts w:ascii="Times New Roman" w:hAnsi="Times New Roman" w:cs="Times New Roman"/>
          <w:sz w:val="24"/>
          <w:szCs w:val="24"/>
        </w:rPr>
        <w:t>Version</w:t>
      </w:r>
      <w:r w:rsidR="00310AE3">
        <w:rPr>
          <w:rFonts w:ascii="Times New Roman" w:hAnsi="Times New Roman" w:cs="Times New Roman"/>
          <w:sz w:val="24"/>
          <w:szCs w:val="24"/>
        </w:rPr>
        <w:t xml:space="preserve"> </w:t>
      </w:r>
    </w:p>
    <w:p w14:paraId="13D6A5D9" w14:textId="17E6E7B5" w:rsidR="00AA7058" w:rsidRPr="00C46BE1" w:rsidRDefault="00AA7058" w:rsidP="00090868">
      <w:pPr>
        <w:pStyle w:val="BHTCCBody"/>
        <w:numPr>
          <w:ilvl w:val="0"/>
          <w:numId w:val="40"/>
        </w:numPr>
        <w:spacing w:after="40"/>
        <w:rPr>
          <w:rFonts w:ascii="Times New Roman" w:hAnsi="Times New Roman" w:cs="Times New Roman"/>
          <w:sz w:val="24"/>
          <w:szCs w:val="24"/>
        </w:rPr>
      </w:pPr>
      <w:r w:rsidRPr="00C46BE1">
        <w:rPr>
          <w:rFonts w:ascii="Times New Roman" w:hAnsi="Times New Roman" w:cs="Times New Roman"/>
          <w:sz w:val="24"/>
          <w:szCs w:val="24"/>
        </w:rPr>
        <w:t>SLA KII</w:t>
      </w:r>
      <w:r w:rsidR="001555B4" w:rsidRPr="00C46BE1">
        <w:rPr>
          <w:rFonts w:ascii="Times New Roman" w:hAnsi="Times New Roman" w:cs="Times New Roman"/>
          <w:sz w:val="24"/>
          <w:szCs w:val="24"/>
        </w:rPr>
        <w:t>—Service Provider</w:t>
      </w:r>
      <w:r w:rsidR="00173E25" w:rsidRPr="00C46BE1">
        <w:rPr>
          <w:rFonts w:ascii="Times New Roman" w:hAnsi="Times New Roman" w:cs="Times New Roman"/>
          <w:sz w:val="24"/>
          <w:szCs w:val="24"/>
        </w:rPr>
        <w:t xml:space="preserve"> Version</w:t>
      </w:r>
      <w:r w:rsidR="00310AE3">
        <w:rPr>
          <w:rFonts w:ascii="Times New Roman" w:hAnsi="Times New Roman" w:cs="Times New Roman"/>
          <w:sz w:val="24"/>
          <w:szCs w:val="24"/>
        </w:rPr>
        <w:t xml:space="preserve"> </w:t>
      </w:r>
    </w:p>
    <w:p w14:paraId="56E99079" w14:textId="1053D696" w:rsidR="00AA7058" w:rsidRPr="00C46BE1" w:rsidRDefault="00AA7058" w:rsidP="00090868">
      <w:pPr>
        <w:pStyle w:val="BHTCCBody"/>
        <w:numPr>
          <w:ilvl w:val="0"/>
          <w:numId w:val="40"/>
        </w:numPr>
        <w:spacing w:after="40"/>
        <w:rPr>
          <w:rFonts w:ascii="Times New Roman" w:hAnsi="Times New Roman" w:cs="Times New Roman"/>
          <w:sz w:val="24"/>
          <w:szCs w:val="24"/>
        </w:rPr>
      </w:pPr>
      <w:r w:rsidRPr="00C46BE1">
        <w:rPr>
          <w:rFonts w:ascii="Times New Roman" w:hAnsi="Times New Roman" w:cs="Times New Roman"/>
          <w:sz w:val="24"/>
          <w:szCs w:val="24"/>
        </w:rPr>
        <w:t>SLA KII</w:t>
      </w:r>
      <w:r w:rsidR="001555B4" w:rsidRPr="00C46BE1">
        <w:rPr>
          <w:rFonts w:ascii="Times New Roman" w:hAnsi="Times New Roman" w:cs="Times New Roman"/>
          <w:sz w:val="24"/>
          <w:szCs w:val="24"/>
        </w:rPr>
        <w:t>—Consumer</w:t>
      </w:r>
      <w:r w:rsidR="00173E25" w:rsidRPr="00C46BE1">
        <w:rPr>
          <w:rFonts w:ascii="Times New Roman" w:hAnsi="Times New Roman" w:cs="Times New Roman"/>
          <w:sz w:val="24"/>
          <w:szCs w:val="24"/>
        </w:rPr>
        <w:t xml:space="preserve"> Version</w:t>
      </w:r>
      <w:r w:rsidR="00310AE3">
        <w:rPr>
          <w:rFonts w:ascii="Times New Roman" w:hAnsi="Times New Roman" w:cs="Times New Roman"/>
          <w:sz w:val="24"/>
          <w:szCs w:val="24"/>
        </w:rPr>
        <w:t xml:space="preserve"> </w:t>
      </w:r>
    </w:p>
    <w:p w14:paraId="60FE24A7" w14:textId="7B5BE512" w:rsidR="001555B4" w:rsidRPr="00C46BE1" w:rsidRDefault="001555B4" w:rsidP="00090868">
      <w:pPr>
        <w:pStyle w:val="BHTCCBody"/>
        <w:numPr>
          <w:ilvl w:val="0"/>
          <w:numId w:val="40"/>
        </w:numPr>
        <w:spacing w:after="40"/>
        <w:rPr>
          <w:rFonts w:ascii="Times New Roman" w:hAnsi="Times New Roman" w:cs="Times New Roman"/>
          <w:sz w:val="24"/>
          <w:szCs w:val="24"/>
        </w:rPr>
      </w:pPr>
      <w:r w:rsidRPr="00C46BE1">
        <w:rPr>
          <w:rFonts w:ascii="Times New Roman" w:hAnsi="Times New Roman" w:cs="Times New Roman"/>
          <w:sz w:val="24"/>
          <w:szCs w:val="24"/>
        </w:rPr>
        <w:t>Concept Mapping</w:t>
      </w:r>
      <w:r w:rsidR="003C4EB9" w:rsidRPr="00C46BE1">
        <w:rPr>
          <w:rFonts w:ascii="Times New Roman" w:hAnsi="Times New Roman" w:cs="Times New Roman"/>
          <w:sz w:val="24"/>
          <w:szCs w:val="24"/>
        </w:rPr>
        <w:t xml:space="preserve">—Brainstorming </w:t>
      </w:r>
      <w:r w:rsidR="00671394" w:rsidRPr="00C46BE1">
        <w:rPr>
          <w:rFonts w:ascii="Times New Roman" w:hAnsi="Times New Roman" w:cs="Times New Roman"/>
          <w:sz w:val="24"/>
          <w:szCs w:val="24"/>
        </w:rPr>
        <w:t>Activity</w:t>
      </w:r>
      <w:r w:rsidR="00310AE3">
        <w:rPr>
          <w:rFonts w:ascii="Times New Roman" w:hAnsi="Times New Roman" w:cs="Times New Roman"/>
          <w:sz w:val="24"/>
          <w:szCs w:val="24"/>
        </w:rPr>
        <w:t xml:space="preserve"> </w:t>
      </w:r>
    </w:p>
    <w:p w14:paraId="7A2B7068" w14:textId="0F6FE6AB" w:rsidR="003C4EB9" w:rsidRPr="00C46BE1" w:rsidRDefault="003C4EB9" w:rsidP="00090868">
      <w:pPr>
        <w:pStyle w:val="BHTCCBody"/>
        <w:numPr>
          <w:ilvl w:val="0"/>
          <w:numId w:val="40"/>
        </w:numPr>
        <w:spacing w:after="40"/>
        <w:rPr>
          <w:rFonts w:ascii="Times New Roman" w:hAnsi="Times New Roman" w:cs="Times New Roman"/>
          <w:sz w:val="24"/>
          <w:szCs w:val="24"/>
        </w:rPr>
      </w:pPr>
      <w:r w:rsidRPr="00C46BE1">
        <w:rPr>
          <w:rFonts w:ascii="Times New Roman" w:hAnsi="Times New Roman" w:cs="Times New Roman"/>
          <w:sz w:val="24"/>
          <w:szCs w:val="24"/>
        </w:rPr>
        <w:t xml:space="preserve">Concept Mapping—Sorting/Rating </w:t>
      </w:r>
      <w:r w:rsidR="00671394" w:rsidRPr="00C46BE1">
        <w:rPr>
          <w:rFonts w:ascii="Times New Roman" w:hAnsi="Times New Roman" w:cs="Times New Roman"/>
          <w:sz w:val="24"/>
          <w:szCs w:val="24"/>
        </w:rPr>
        <w:t>Activity</w:t>
      </w:r>
      <w:r w:rsidR="00310AE3">
        <w:rPr>
          <w:rFonts w:ascii="Times New Roman" w:hAnsi="Times New Roman" w:cs="Times New Roman"/>
          <w:sz w:val="24"/>
          <w:szCs w:val="24"/>
        </w:rPr>
        <w:t xml:space="preserve"> </w:t>
      </w:r>
    </w:p>
    <w:p w14:paraId="10D11567" w14:textId="52F0DCCD" w:rsidR="001555B4" w:rsidRPr="00C46BE1" w:rsidRDefault="001555B4" w:rsidP="00090868">
      <w:pPr>
        <w:pStyle w:val="BHTCCBody"/>
        <w:numPr>
          <w:ilvl w:val="0"/>
          <w:numId w:val="40"/>
        </w:numPr>
        <w:spacing w:after="40"/>
        <w:rPr>
          <w:rFonts w:ascii="Times New Roman" w:hAnsi="Times New Roman" w:cs="Times New Roman"/>
          <w:sz w:val="24"/>
          <w:szCs w:val="24"/>
        </w:rPr>
      </w:pPr>
      <w:r w:rsidRPr="00C46BE1">
        <w:rPr>
          <w:rFonts w:ascii="Times New Roman" w:hAnsi="Times New Roman" w:cs="Times New Roman"/>
          <w:sz w:val="24"/>
          <w:szCs w:val="24"/>
        </w:rPr>
        <w:t>18-Month Client-Level Abstraction Tool (18-Month Tool)</w:t>
      </w:r>
      <w:r w:rsidR="00310AE3">
        <w:rPr>
          <w:rFonts w:ascii="Times New Roman" w:hAnsi="Times New Roman" w:cs="Times New Roman"/>
          <w:sz w:val="24"/>
          <w:szCs w:val="24"/>
        </w:rPr>
        <w:t xml:space="preserve"> </w:t>
      </w:r>
    </w:p>
    <w:p w14:paraId="3C168549" w14:textId="7D538487" w:rsidR="001555B4" w:rsidRPr="00C46BE1" w:rsidRDefault="001555B4" w:rsidP="00090868">
      <w:pPr>
        <w:pStyle w:val="BHTCCBody"/>
        <w:numPr>
          <w:ilvl w:val="0"/>
          <w:numId w:val="40"/>
        </w:numPr>
        <w:spacing w:after="40"/>
        <w:rPr>
          <w:rFonts w:ascii="Times New Roman" w:hAnsi="Times New Roman" w:cs="Times New Roman"/>
          <w:sz w:val="24"/>
          <w:szCs w:val="24"/>
        </w:rPr>
      </w:pPr>
      <w:r w:rsidRPr="00C46BE1">
        <w:rPr>
          <w:rFonts w:ascii="Times New Roman" w:hAnsi="Times New Roman" w:cs="Times New Roman"/>
          <w:sz w:val="24"/>
          <w:szCs w:val="24"/>
        </w:rPr>
        <w:t>Comparison Study Abstraction Tool—Baseline</w:t>
      </w:r>
      <w:r w:rsidR="00173E25" w:rsidRPr="00C46BE1">
        <w:rPr>
          <w:rFonts w:ascii="Times New Roman" w:hAnsi="Times New Roman" w:cs="Times New Roman"/>
          <w:sz w:val="24"/>
          <w:szCs w:val="24"/>
        </w:rPr>
        <w:t xml:space="preserve"> Version</w:t>
      </w:r>
      <w:r w:rsidR="00310AE3">
        <w:rPr>
          <w:rFonts w:ascii="Times New Roman" w:hAnsi="Times New Roman" w:cs="Times New Roman"/>
          <w:sz w:val="24"/>
          <w:szCs w:val="24"/>
        </w:rPr>
        <w:t xml:space="preserve"> </w:t>
      </w:r>
    </w:p>
    <w:p w14:paraId="6EACA751" w14:textId="08102A01" w:rsidR="001555B4" w:rsidRPr="00C46BE1" w:rsidRDefault="001555B4" w:rsidP="00090868">
      <w:pPr>
        <w:pStyle w:val="BHTCCBody"/>
        <w:numPr>
          <w:ilvl w:val="0"/>
          <w:numId w:val="40"/>
        </w:numPr>
        <w:spacing w:after="40"/>
        <w:rPr>
          <w:rFonts w:ascii="Times New Roman" w:hAnsi="Times New Roman" w:cs="Times New Roman"/>
          <w:sz w:val="24"/>
          <w:szCs w:val="24"/>
        </w:rPr>
      </w:pPr>
      <w:r w:rsidRPr="00C46BE1">
        <w:rPr>
          <w:rFonts w:ascii="Times New Roman" w:hAnsi="Times New Roman" w:cs="Times New Roman"/>
          <w:sz w:val="24"/>
          <w:szCs w:val="24"/>
        </w:rPr>
        <w:t xml:space="preserve">Comparison Study </w:t>
      </w:r>
      <w:r w:rsidR="00427966" w:rsidRPr="00C46BE1">
        <w:rPr>
          <w:rFonts w:ascii="Times New Roman" w:hAnsi="Times New Roman" w:cs="Times New Roman"/>
          <w:sz w:val="24"/>
          <w:szCs w:val="24"/>
        </w:rPr>
        <w:t xml:space="preserve">Abstraction </w:t>
      </w:r>
      <w:r w:rsidRPr="00C46BE1">
        <w:rPr>
          <w:rFonts w:ascii="Times New Roman" w:hAnsi="Times New Roman" w:cs="Times New Roman"/>
          <w:sz w:val="24"/>
          <w:szCs w:val="24"/>
        </w:rPr>
        <w:t>Tool—6-Month</w:t>
      </w:r>
      <w:r w:rsidR="00173E25" w:rsidRPr="00C46BE1">
        <w:rPr>
          <w:rFonts w:ascii="Times New Roman" w:hAnsi="Times New Roman" w:cs="Times New Roman"/>
          <w:sz w:val="24"/>
          <w:szCs w:val="24"/>
        </w:rPr>
        <w:t xml:space="preserve"> Version</w:t>
      </w:r>
      <w:r w:rsidR="00310AE3">
        <w:rPr>
          <w:rFonts w:ascii="Times New Roman" w:hAnsi="Times New Roman" w:cs="Times New Roman"/>
          <w:sz w:val="24"/>
          <w:szCs w:val="24"/>
        </w:rPr>
        <w:t xml:space="preserve"> </w:t>
      </w:r>
    </w:p>
    <w:p w14:paraId="3164C250" w14:textId="6F281EAF" w:rsidR="00D255F6" w:rsidRPr="00C46BE1" w:rsidRDefault="00D255F6" w:rsidP="00090868">
      <w:pPr>
        <w:pStyle w:val="BHTCCBody"/>
        <w:numPr>
          <w:ilvl w:val="0"/>
          <w:numId w:val="40"/>
        </w:numPr>
        <w:spacing w:after="40"/>
        <w:rPr>
          <w:rFonts w:ascii="Times New Roman" w:hAnsi="Times New Roman" w:cs="Times New Roman"/>
          <w:sz w:val="24"/>
          <w:szCs w:val="24"/>
        </w:rPr>
      </w:pPr>
      <w:r w:rsidRPr="00C46BE1">
        <w:rPr>
          <w:rFonts w:ascii="Times New Roman" w:hAnsi="Times New Roman" w:cs="Times New Roman"/>
          <w:sz w:val="24"/>
          <w:szCs w:val="24"/>
        </w:rPr>
        <w:t xml:space="preserve">Comparison Study </w:t>
      </w:r>
      <w:r w:rsidR="00310AE3">
        <w:rPr>
          <w:rFonts w:ascii="Times New Roman" w:hAnsi="Times New Roman" w:cs="Times New Roman"/>
          <w:sz w:val="24"/>
          <w:szCs w:val="24"/>
        </w:rPr>
        <w:t>Abstraction Tool—18</w:t>
      </w:r>
      <w:r w:rsidRPr="00C46BE1">
        <w:rPr>
          <w:rFonts w:ascii="Times New Roman" w:hAnsi="Times New Roman" w:cs="Times New Roman"/>
          <w:sz w:val="24"/>
          <w:szCs w:val="24"/>
        </w:rPr>
        <w:t>-Month Tool</w:t>
      </w:r>
    </w:p>
    <w:p w14:paraId="1C813336" w14:textId="6A85F761" w:rsidR="001555B4" w:rsidRPr="00C46BE1" w:rsidRDefault="001555B4" w:rsidP="00090868">
      <w:pPr>
        <w:pStyle w:val="BHTCCBody"/>
        <w:numPr>
          <w:ilvl w:val="0"/>
          <w:numId w:val="40"/>
        </w:numPr>
        <w:spacing w:after="40"/>
        <w:rPr>
          <w:rFonts w:ascii="Times New Roman" w:hAnsi="Times New Roman" w:cs="Times New Roman"/>
          <w:sz w:val="24"/>
          <w:szCs w:val="24"/>
        </w:rPr>
      </w:pPr>
      <w:r w:rsidRPr="00C46BE1">
        <w:rPr>
          <w:rFonts w:ascii="Times New Roman" w:hAnsi="Times New Roman" w:cs="Times New Roman"/>
          <w:sz w:val="24"/>
          <w:szCs w:val="24"/>
        </w:rPr>
        <w:t xml:space="preserve">Biannual Program Inventory—SE </w:t>
      </w:r>
      <w:r w:rsidR="00173E25" w:rsidRPr="00C46BE1">
        <w:rPr>
          <w:rFonts w:ascii="Times New Roman" w:hAnsi="Times New Roman" w:cs="Times New Roman"/>
          <w:sz w:val="24"/>
          <w:szCs w:val="24"/>
        </w:rPr>
        <w:t>Version</w:t>
      </w:r>
      <w:r w:rsidR="00310AE3">
        <w:rPr>
          <w:rFonts w:ascii="Times New Roman" w:hAnsi="Times New Roman" w:cs="Times New Roman"/>
          <w:sz w:val="24"/>
          <w:szCs w:val="24"/>
        </w:rPr>
        <w:t xml:space="preserve"> </w:t>
      </w:r>
    </w:p>
    <w:p w14:paraId="7A9A5C98" w14:textId="712E13DC" w:rsidR="001555B4" w:rsidRPr="00C46BE1" w:rsidRDefault="001555B4" w:rsidP="00090868">
      <w:pPr>
        <w:pStyle w:val="BHTCCBody"/>
        <w:numPr>
          <w:ilvl w:val="0"/>
          <w:numId w:val="40"/>
        </w:numPr>
        <w:spacing w:after="40"/>
        <w:rPr>
          <w:rFonts w:ascii="Times New Roman" w:hAnsi="Times New Roman" w:cs="Times New Roman"/>
          <w:sz w:val="24"/>
          <w:szCs w:val="24"/>
        </w:rPr>
      </w:pPr>
      <w:r w:rsidRPr="00C46BE1">
        <w:rPr>
          <w:rFonts w:ascii="Times New Roman" w:hAnsi="Times New Roman" w:cs="Times New Roman"/>
          <w:sz w:val="24"/>
          <w:szCs w:val="24"/>
        </w:rPr>
        <w:t>Scalability/Sustainability Assessment (SSA) KII—</w:t>
      </w:r>
      <w:r w:rsidR="0047779E" w:rsidRPr="00C46BE1">
        <w:rPr>
          <w:rFonts w:ascii="Times New Roman" w:hAnsi="Times New Roman" w:cs="Times New Roman"/>
          <w:sz w:val="24"/>
          <w:szCs w:val="24"/>
        </w:rPr>
        <w:t>Administrator</w:t>
      </w:r>
      <w:r w:rsidR="00173E25" w:rsidRPr="00C46BE1">
        <w:rPr>
          <w:rFonts w:ascii="Times New Roman" w:hAnsi="Times New Roman" w:cs="Times New Roman"/>
          <w:sz w:val="24"/>
          <w:szCs w:val="24"/>
        </w:rPr>
        <w:t xml:space="preserve"> Version</w:t>
      </w:r>
      <w:r w:rsidR="00310AE3">
        <w:rPr>
          <w:rFonts w:ascii="Times New Roman" w:hAnsi="Times New Roman" w:cs="Times New Roman"/>
          <w:sz w:val="24"/>
          <w:szCs w:val="24"/>
        </w:rPr>
        <w:t xml:space="preserve"> </w:t>
      </w:r>
    </w:p>
    <w:p w14:paraId="7796B337" w14:textId="0FBCDB88" w:rsidR="001555B4" w:rsidRPr="00C46BE1" w:rsidRDefault="001555B4" w:rsidP="00090868">
      <w:pPr>
        <w:pStyle w:val="BHTCCBody"/>
        <w:numPr>
          <w:ilvl w:val="0"/>
          <w:numId w:val="40"/>
        </w:numPr>
        <w:spacing w:after="40"/>
        <w:rPr>
          <w:rFonts w:ascii="Times New Roman" w:hAnsi="Times New Roman" w:cs="Times New Roman"/>
          <w:sz w:val="24"/>
          <w:szCs w:val="24"/>
        </w:rPr>
      </w:pPr>
      <w:r w:rsidRPr="00C46BE1">
        <w:rPr>
          <w:rFonts w:ascii="Times New Roman" w:hAnsi="Times New Roman" w:cs="Times New Roman"/>
          <w:sz w:val="24"/>
          <w:szCs w:val="24"/>
        </w:rPr>
        <w:t>SSA KII—Service Provider</w:t>
      </w:r>
      <w:r w:rsidR="00173E25" w:rsidRPr="00C46BE1">
        <w:rPr>
          <w:rFonts w:ascii="Times New Roman" w:hAnsi="Times New Roman" w:cs="Times New Roman"/>
          <w:sz w:val="24"/>
          <w:szCs w:val="24"/>
        </w:rPr>
        <w:t xml:space="preserve"> Version</w:t>
      </w:r>
      <w:r w:rsidR="00310AE3">
        <w:rPr>
          <w:rFonts w:ascii="Times New Roman" w:hAnsi="Times New Roman" w:cs="Times New Roman"/>
          <w:sz w:val="24"/>
          <w:szCs w:val="24"/>
        </w:rPr>
        <w:t xml:space="preserve"> </w:t>
      </w:r>
    </w:p>
    <w:p w14:paraId="0297C7E0" w14:textId="5B3EA694" w:rsidR="001555B4" w:rsidRPr="00C46BE1" w:rsidRDefault="001555B4" w:rsidP="00090868">
      <w:pPr>
        <w:pStyle w:val="BHTCCBody"/>
        <w:numPr>
          <w:ilvl w:val="0"/>
          <w:numId w:val="40"/>
        </w:numPr>
        <w:spacing w:after="40"/>
        <w:rPr>
          <w:rFonts w:ascii="Times New Roman" w:hAnsi="Times New Roman" w:cs="Times New Roman"/>
          <w:sz w:val="24"/>
          <w:szCs w:val="24"/>
        </w:rPr>
      </w:pPr>
      <w:r w:rsidRPr="00C46BE1">
        <w:rPr>
          <w:rFonts w:ascii="Times New Roman" w:hAnsi="Times New Roman" w:cs="Times New Roman"/>
          <w:sz w:val="24"/>
          <w:szCs w:val="24"/>
        </w:rPr>
        <w:t>Employment Needs Focus Group (ENFG)—Employer Version</w:t>
      </w:r>
    </w:p>
    <w:p w14:paraId="5855CE99" w14:textId="0D89621F" w:rsidR="001555B4" w:rsidRPr="00C46BE1" w:rsidRDefault="001555B4" w:rsidP="00090868">
      <w:pPr>
        <w:pStyle w:val="BHTCCBody"/>
        <w:numPr>
          <w:ilvl w:val="0"/>
          <w:numId w:val="40"/>
        </w:numPr>
        <w:spacing w:after="40"/>
        <w:rPr>
          <w:rFonts w:ascii="Times New Roman" w:hAnsi="Times New Roman" w:cs="Times New Roman"/>
          <w:sz w:val="24"/>
          <w:szCs w:val="24"/>
        </w:rPr>
      </w:pPr>
      <w:r w:rsidRPr="00C46BE1">
        <w:rPr>
          <w:rFonts w:ascii="Times New Roman" w:hAnsi="Times New Roman" w:cs="Times New Roman"/>
          <w:sz w:val="24"/>
          <w:szCs w:val="24"/>
        </w:rPr>
        <w:t>ENFG—Employment Specialist Version</w:t>
      </w:r>
      <w:r w:rsidR="00310AE3">
        <w:rPr>
          <w:rFonts w:ascii="Times New Roman" w:hAnsi="Times New Roman" w:cs="Times New Roman"/>
          <w:sz w:val="24"/>
          <w:szCs w:val="24"/>
        </w:rPr>
        <w:t xml:space="preserve"> </w:t>
      </w:r>
    </w:p>
    <w:p w14:paraId="22DE8809" w14:textId="77777777" w:rsidR="00324931" w:rsidRPr="00C46BE1" w:rsidRDefault="00324931" w:rsidP="00E3579B">
      <w:pPr>
        <w:pStyle w:val="BHTCCBody"/>
        <w:spacing w:before="240"/>
        <w:rPr>
          <w:rFonts w:ascii="Times New Roman" w:hAnsi="Times New Roman" w:cs="Times New Roman"/>
          <w:sz w:val="24"/>
          <w:szCs w:val="24"/>
        </w:rPr>
      </w:pPr>
      <w:r w:rsidRPr="00C46BE1">
        <w:rPr>
          <w:rFonts w:ascii="Times New Roman" w:hAnsi="Times New Roman" w:cs="Times New Roman"/>
          <w:sz w:val="24"/>
          <w:szCs w:val="24"/>
        </w:rPr>
        <w:t xml:space="preserve">In 1977, the National Institute of Mental Health (NIMH) created community support programs (CSPs) “to assist states and communities in improving opportunities and services for adults with seriously disabling mental illnesses” (Department of Health and Human Services [HHS], 1993, </w:t>
      </w:r>
      <w:proofErr w:type="spellStart"/>
      <w:r w:rsidRPr="00C46BE1">
        <w:rPr>
          <w:rFonts w:ascii="Times New Roman" w:hAnsi="Times New Roman" w:cs="Times New Roman"/>
          <w:sz w:val="24"/>
          <w:szCs w:val="24"/>
        </w:rPr>
        <w:t>p.i</w:t>
      </w:r>
      <w:proofErr w:type="spellEnd"/>
      <w:r w:rsidRPr="00C46BE1">
        <w:rPr>
          <w:rFonts w:ascii="Times New Roman" w:hAnsi="Times New Roman" w:cs="Times New Roman"/>
          <w:sz w:val="24"/>
          <w:szCs w:val="24"/>
        </w:rPr>
        <w:t xml:space="preserve">). In the CSP model, community support systems provide a comprehensive system of care, including “not only mental health services but an array of rehabilitation and social services, as well: client identification and outreach; crisis response services; housing; income support and benefits; health care; rehabilitation, vocational training and employment assistance; alcohol and/or other drug abuse treatment; consumer, family, and peer support; and protection and advocacy.” </w:t>
      </w:r>
    </w:p>
    <w:p w14:paraId="4E158BBF" w14:textId="52A7DBFC" w:rsidR="00324931" w:rsidRPr="00C46BE1" w:rsidRDefault="00324931" w:rsidP="004115F4">
      <w:pPr>
        <w:pStyle w:val="BHTCCBody"/>
        <w:rPr>
          <w:rFonts w:ascii="Times New Roman" w:hAnsi="Times New Roman" w:cs="Times New Roman"/>
          <w:sz w:val="24"/>
          <w:szCs w:val="24"/>
        </w:rPr>
      </w:pPr>
      <w:r w:rsidRPr="00C46BE1">
        <w:rPr>
          <w:rFonts w:ascii="Times New Roman" w:hAnsi="Times New Roman" w:cs="Times New Roman"/>
          <w:sz w:val="24"/>
          <w:szCs w:val="24"/>
        </w:rPr>
        <w:lastRenderedPageBreak/>
        <w:t>The BHTCC and SE programs espouse the supports of recovery and operationalize and implement them through adherence to the CSP model and its principles. The</w:t>
      </w:r>
      <w:r w:rsidRPr="00C46BE1">
        <w:rPr>
          <w:rFonts w:ascii="Times New Roman" w:hAnsi="Times New Roman" w:cs="Times New Roman"/>
          <w:spacing w:val="-2"/>
          <w:sz w:val="24"/>
          <w:szCs w:val="24"/>
        </w:rPr>
        <w:t xml:space="preserve"> BHTCC program aims to bridge the gap in service provision created by the traditionally disparate criminal justice and mental health service systems. The program affords the opportunity to build collaborations between criminal courts, specialized treatment courts, and alternative programs to coordinate the </w:t>
      </w:r>
      <w:r w:rsidRPr="00C46BE1">
        <w:rPr>
          <w:rFonts w:ascii="Times New Roman" w:hAnsi="Times New Roman" w:cs="Times New Roman"/>
          <w:sz w:val="24"/>
          <w:szCs w:val="24"/>
        </w:rPr>
        <w:t xml:space="preserve">screening, referral, and treatment of adults with behavioral health conditions while in the justice system. The SE </w:t>
      </w:r>
      <w:r w:rsidR="009B790E" w:rsidRPr="00C46BE1">
        <w:rPr>
          <w:rFonts w:ascii="Times New Roman" w:hAnsi="Times New Roman" w:cs="Times New Roman"/>
          <w:sz w:val="24"/>
          <w:szCs w:val="24"/>
        </w:rPr>
        <w:t>Pr</w:t>
      </w:r>
      <w:r w:rsidRPr="00C46BE1">
        <w:rPr>
          <w:rFonts w:ascii="Times New Roman" w:hAnsi="Times New Roman" w:cs="Times New Roman"/>
          <w:sz w:val="24"/>
          <w:szCs w:val="24"/>
        </w:rPr>
        <w:t xml:space="preserve">ogram seeks to increase self-sufficiency among individuals with behavioral health conditions by enhancing the capacity of States and local communities to help them acquire and maintain employment. SE program grantees are accomplishing this through the implementation of evidence-based supported employment approaches, which have been shown to help individuals achieve and sustain recovery. In 2014, SAMHSA awarded 17 BHTCC program grants to courts and 7 SE grants to States. The CSE will provide a comprehensive understanding of the following:  </w:t>
      </w:r>
    </w:p>
    <w:p w14:paraId="2B9F0D5B" w14:textId="77777777" w:rsidR="00324931" w:rsidRPr="00C46BE1" w:rsidRDefault="00324931" w:rsidP="00090868">
      <w:pPr>
        <w:pStyle w:val="BHTCCBody"/>
        <w:numPr>
          <w:ilvl w:val="0"/>
          <w:numId w:val="22"/>
        </w:numPr>
        <w:spacing w:after="0"/>
        <w:rPr>
          <w:rFonts w:ascii="Times New Roman" w:hAnsi="Times New Roman" w:cs="Times New Roman"/>
          <w:sz w:val="24"/>
          <w:szCs w:val="24"/>
        </w:rPr>
      </w:pPr>
      <w:r w:rsidRPr="00C46BE1">
        <w:rPr>
          <w:rFonts w:ascii="Times New Roman" w:hAnsi="Times New Roman" w:cs="Times New Roman"/>
          <w:sz w:val="24"/>
          <w:szCs w:val="24"/>
        </w:rPr>
        <w:t>Collaborations developed as a result of the programs</w:t>
      </w:r>
    </w:p>
    <w:p w14:paraId="0FD03647" w14:textId="77777777" w:rsidR="00324931" w:rsidRPr="00C46BE1" w:rsidRDefault="00324931" w:rsidP="00090868">
      <w:pPr>
        <w:pStyle w:val="BHTCCBody"/>
        <w:numPr>
          <w:ilvl w:val="0"/>
          <w:numId w:val="22"/>
        </w:numPr>
        <w:spacing w:after="0"/>
        <w:rPr>
          <w:rFonts w:ascii="Times New Roman" w:hAnsi="Times New Roman" w:cs="Times New Roman"/>
          <w:sz w:val="24"/>
          <w:szCs w:val="24"/>
        </w:rPr>
      </w:pPr>
      <w:r w:rsidRPr="00C46BE1">
        <w:rPr>
          <w:rFonts w:ascii="Times New Roman" w:hAnsi="Times New Roman" w:cs="Times New Roman"/>
          <w:sz w:val="24"/>
          <w:szCs w:val="24"/>
        </w:rPr>
        <w:t>Effect of collaborations on key outcomes</w:t>
      </w:r>
    </w:p>
    <w:p w14:paraId="41BEE995" w14:textId="77777777" w:rsidR="00324931" w:rsidRPr="00C46BE1" w:rsidRDefault="00324931" w:rsidP="00090868">
      <w:pPr>
        <w:pStyle w:val="Level1"/>
        <w:numPr>
          <w:ilvl w:val="0"/>
          <w:numId w:val="19"/>
        </w:numPr>
        <w:tabs>
          <w:tab w:val="left" w:pos="-894"/>
          <w:tab w:val="left" w:pos="-174"/>
        </w:tabs>
        <w:rPr>
          <w:rFonts w:ascii="Times New Roman" w:hAnsi="Times New Roman"/>
          <w:sz w:val="24"/>
        </w:rPr>
      </w:pPr>
      <w:r w:rsidRPr="00C46BE1">
        <w:rPr>
          <w:rFonts w:ascii="Times New Roman" w:hAnsi="Times New Roman"/>
          <w:sz w:val="24"/>
        </w:rPr>
        <w:t>CSP factors associated with consumer outcomes</w:t>
      </w:r>
    </w:p>
    <w:p w14:paraId="5413BDEA" w14:textId="77777777" w:rsidR="00324931" w:rsidRPr="00C46BE1" w:rsidRDefault="00324931" w:rsidP="00090868">
      <w:pPr>
        <w:pStyle w:val="Level1"/>
        <w:numPr>
          <w:ilvl w:val="0"/>
          <w:numId w:val="19"/>
        </w:numPr>
        <w:tabs>
          <w:tab w:val="left" w:pos="-894"/>
          <w:tab w:val="left" w:pos="-174"/>
        </w:tabs>
        <w:spacing w:after="200"/>
        <w:rPr>
          <w:rFonts w:ascii="Times New Roman" w:hAnsi="Times New Roman"/>
          <w:sz w:val="24"/>
        </w:rPr>
      </w:pPr>
      <w:r w:rsidRPr="00C46BE1">
        <w:rPr>
          <w:rFonts w:ascii="Times New Roman" w:hAnsi="Times New Roman"/>
          <w:sz w:val="24"/>
        </w:rPr>
        <w:t xml:space="preserve">Recovery supports associated with consumer outcomes </w:t>
      </w:r>
    </w:p>
    <w:p w14:paraId="14698A1C" w14:textId="068850D6" w:rsidR="00324931" w:rsidRPr="00C46BE1" w:rsidRDefault="009A06D9" w:rsidP="006B18B1">
      <w:pPr>
        <w:pStyle w:val="BHTCCBody"/>
        <w:widowControl w:val="0"/>
        <w:spacing w:after="360"/>
        <w:rPr>
          <w:rFonts w:ascii="Times New Roman" w:hAnsi="Times New Roman" w:cs="Times New Roman"/>
          <w:sz w:val="24"/>
          <w:szCs w:val="24"/>
        </w:rPr>
      </w:pPr>
      <w:r w:rsidRPr="00C46BE1">
        <w:rPr>
          <w:rFonts w:ascii="Times New Roman" w:hAnsi="Times New Roman" w:cs="Times New Roman"/>
          <w:sz w:val="24"/>
          <w:szCs w:val="24"/>
        </w:rPr>
        <w:t xml:space="preserve">Approval </w:t>
      </w:r>
      <w:r w:rsidR="00324931" w:rsidRPr="00C46BE1">
        <w:rPr>
          <w:rFonts w:ascii="Times New Roman" w:hAnsi="Times New Roman" w:cs="Times New Roman"/>
          <w:sz w:val="24"/>
          <w:szCs w:val="24"/>
        </w:rPr>
        <w:t xml:space="preserve">is being requested for data collection associated with </w:t>
      </w:r>
      <w:r w:rsidR="00602F4A" w:rsidRPr="00C46BE1">
        <w:rPr>
          <w:rFonts w:ascii="Times New Roman" w:hAnsi="Times New Roman" w:cs="Times New Roman"/>
          <w:sz w:val="24"/>
          <w:szCs w:val="24"/>
        </w:rPr>
        <w:t>1</w:t>
      </w:r>
      <w:r w:rsidR="003C4EB9" w:rsidRPr="00C46BE1">
        <w:rPr>
          <w:rFonts w:ascii="Times New Roman" w:hAnsi="Times New Roman" w:cs="Times New Roman"/>
          <w:sz w:val="24"/>
          <w:szCs w:val="24"/>
        </w:rPr>
        <w:t>5</w:t>
      </w:r>
      <w:r w:rsidR="00324931" w:rsidRPr="00C46BE1">
        <w:rPr>
          <w:rFonts w:ascii="Times New Roman" w:hAnsi="Times New Roman" w:cs="Times New Roman"/>
          <w:sz w:val="24"/>
          <w:szCs w:val="24"/>
        </w:rPr>
        <w:t xml:space="preserve"> </w:t>
      </w:r>
      <w:r w:rsidR="00602F4A" w:rsidRPr="00C46BE1">
        <w:rPr>
          <w:rFonts w:ascii="Times New Roman" w:hAnsi="Times New Roman" w:cs="Times New Roman"/>
          <w:sz w:val="24"/>
          <w:szCs w:val="24"/>
        </w:rPr>
        <w:t>instruments and activities</w:t>
      </w:r>
      <w:r w:rsidR="00324931" w:rsidRPr="00C46BE1">
        <w:rPr>
          <w:rFonts w:ascii="Times New Roman" w:hAnsi="Times New Roman" w:cs="Times New Roman"/>
          <w:sz w:val="24"/>
          <w:szCs w:val="24"/>
        </w:rPr>
        <w:t>—</w:t>
      </w:r>
      <w:r w:rsidR="003C4EB9" w:rsidRPr="00C46BE1">
        <w:rPr>
          <w:rFonts w:ascii="Times New Roman" w:hAnsi="Times New Roman" w:cs="Times New Roman"/>
          <w:sz w:val="24"/>
          <w:szCs w:val="24"/>
        </w:rPr>
        <w:t xml:space="preserve">ten </w:t>
      </w:r>
      <w:r w:rsidR="00602F4A" w:rsidRPr="00C46BE1">
        <w:rPr>
          <w:rFonts w:ascii="Times New Roman" w:hAnsi="Times New Roman" w:cs="Times New Roman"/>
          <w:sz w:val="24"/>
          <w:szCs w:val="24"/>
        </w:rPr>
        <w:t>to be conducted with</w:t>
      </w:r>
      <w:r w:rsidR="00324931" w:rsidRPr="00C46BE1">
        <w:rPr>
          <w:rFonts w:ascii="Times New Roman" w:hAnsi="Times New Roman" w:cs="Times New Roman"/>
          <w:sz w:val="24"/>
          <w:szCs w:val="24"/>
        </w:rPr>
        <w:t xml:space="preserve"> BHTCC program grantees and </w:t>
      </w:r>
      <w:r w:rsidR="00602F4A" w:rsidRPr="00C46BE1">
        <w:rPr>
          <w:rFonts w:ascii="Times New Roman" w:hAnsi="Times New Roman" w:cs="Times New Roman"/>
          <w:sz w:val="24"/>
          <w:szCs w:val="24"/>
        </w:rPr>
        <w:t>five</w:t>
      </w:r>
      <w:r w:rsidR="00324931" w:rsidRPr="00C46BE1">
        <w:rPr>
          <w:rFonts w:ascii="Times New Roman" w:hAnsi="Times New Roman" w:cs="Times New Roman"/>
          <w:sz w:val="24"/>
          <w:szCs w:val="24"/>
        </w:rPr>
        <w:t xml:space="preserve"> </w:t>
      </w:r>
      <w:r w:rsidR="00602F4A" w:rsidRPr="00C46BE1">
        <w:rPr>
          <w:rFonts w:ascii="Times New Roman" w:hAnsi="Times New Roman" w:cs="Times New Roman"/>
          <w:sz w:val="24"/>
          <w:szCs w:val="24"/>
        </w:rPr>
        <w:t xml:space="preserve">for administration </w:t>
      </w:r>
      <w:r w:rsidR="00324931" w:rsidRPr="00C46BE1">
        <w:rPr>
          <w:rFonts w:ascii="Times New Roman" w:hAnsi="Times New Roman" w:cs="Times New Roman"/>
          <w:sz w:val="24"/>
          <w:szCs w:val="24"/>
        </w:rPr>
        <w:t xml:space="preserve">with SE program grantees. </w:t>
      </w:r>
      <w:r w:rsidR="00734091" w:rsidRPr="00C46BE1">
        <w:rPr>
          <w:rFonts w:ascii="Times New Roman" w:hAnsi="Times New Roman" w:cs="Times New Roman"/>
          <w:sz w:val="24"/>
          <w:szCs w:val="24"/>
        </w:rPr>
        <w:t xml:space="preserve">(A </w:t>
      </w:r>
      <w:r w:rsidR="00324931" w:rsidRPr="00C46BE1">
        <w:rPr>
          <w:rFonts w:ascii="Times New Roman" w:hAnsi="Times New Roman" w:cs="Times New Roman"/>
          <w:sz w:val="24"/>
          <w:szCs w:val="24"/>
        </w:rPr>
        <w:t xml:space="preserve">description of </w:t>
      </w:r>
      <w:r w:rsidR="00324931" w:rsidRPr="00C46BE1">
        <w:rPr>
          <w:rFonts w:ascii="Times New Roman" w:hAnsi="Times New Roman" w:cs="Times New Roman"/>
          <w:spacing w:val="-2"/>
          <w:sz w:val="24"/>
          <w:szCs w:val="24"/>
        </w:rPr>
        <w:t>each data collection activity can be found in Section A.2.</w:t>
      </w:r>
      <w:r w:rsidR="00734091" w:rsidRPr="00C46BE1">
        <w:rPr>
          <w:rFonts w:ascii="Times New Roman" w:hAnsi="Times New Roman" w:cs="Times New Roman"/>
          <w:spacing w:val="-2"/>
          <w:sz w:val="24"/>
          <w:szCs w:val="24"/>
        </w:rPr>
        <w:t>b</w:t>
      </w:r>
      <w:r w:rsidR="00324931" w:rsidRPr="00C46BE1">
        <w:rPr>
          <w:rFonts w:ascii="Times New Roman" w:hAnsi="Times New Roman" w:cs="Times New Roman"/>
          <w:spacing w:val="-2"/>
          <w:sz w:val="24"/>
          <w:szCs w:val="24"/>
        </w:rPr>
        <w:t xml:space="preserve">.)   </w:t>
      </w:r>
      <w:r w:rsidR="00324931" w:rsidRPr="00C46BE1">
        <w:rPr>
          <w:rFonts w:ascii="Times New Roman" w:hAnsi="Times New Roman" w:cs="Times New Roman"/>
          <w:sz w:val="24"/>
          <w:szCs w:val="24"/>
        </w:rPr>
        <w:t xml:space="preserve"> </w:t>
      </w:r>
    </w:p>
    <w:p w14:paraId="2FE40E51" w14:textId="77777777" w:rsidR="00324931" w:rsidRPr="00C46BE1" w:rsidRDefault="00324931" w:rsidP="00F722BA">
      <w:pPr>
        <w:pStyle w:val="SuicideBodyText"/>
        <w:numPr>
          <w:ilvl w:val="0"/>
          <w:numId w:val="1"/>
        </w:numPr>
        <w:spacing w:after="120"/>
        <w:rPr>
          <w:rFonts w:ascii="Tw Cen MT" w:hAnsi="Tw Cen MT" w:cs="Arial"/>
          <w:b/>
          <w:sz w:val="28"/>
          <w:szCs w:val="28"/>
        </w:rPr>
      </w:pPr>
      <w:r w:rsidRPr="00C46BE1">
        <w:rPr>
          <w:rFonts w:ascii="Tw Cen MT" w:hAnsi="Tw Cen MT" w:cs="Arial"/>
          <w:b/>
          <w:color w:val="181818"/>
          <w:sz w:val="28"/>
          <w:szCs w:val="28"/>
        </w:rPr>
        <w:t>Circumstances</w:t>
      </w:r>
      <w:r w:rsidRPr="00C46BE1">
        <w:rPr>
          <w:rFonts w:ascii="Tw Cen MT" w:hAnsi="Tw Cen MT" w:cs="Arial"/>
          <w:b/>
          <w:color w:val="181818"/>
          <w:spacing w:val="58"/>
          <w:sz w:val="28"/>
          <w:szCs w:val="28"/>
        </w:rPr>
        <w:t xml:space="preserve"> </w:t>
      </w:r>
      <w:r w:rsidRPr="00C46BE1">
        <w:rPr>
          <w:rFonts w:ascii="Tw Cen MT" w:hAnsi="Tw Cen MT" w:cs="Arial"/>
          <w:b/>
          <w:color w:val="181818"/>
          <w:sz w:val="28"/>
          <w:szCs w:val="28"/>
        </w:rPr>
        <w:t>of</w:t>
      </w:r>
      <w:r w:rsidRPr="00C46BE1">
        <w:rPr>
          <w:rFonts w:ascii="Tw Cen MT" w:hAnsi="Tw Cen MT" w:cs="Arial"/>
          <w:b/>
          <w:color w:val="181818"/>
          <w:spacing w:val="42"/>
          <w:sz w:val="28"/>
          <w:szCs w:val="28"/>
        </w:rPr>
        <w:t xml:space="preserve"> </w:t>
      </w:r>
      <w:r w:rsidRPr="00C46BE1">
        <w:rPr>
          <w:rFonts w:ascii="Tw Cen MT" w:hAnsi="Tw Cen MT" w:cs="Arial"/>
          <w:b/>
          <w:color w:val="181818"/>
          <w:sz w:val="28"/>
          <w:szCs w:val="28"/>
        </w:rPr>
        <w:t>Information</w:t>
      </w:r>
      <w:r w:rsidRPr="00C46BE1">
        <w:rPr>
          <w:rFonts w:ascii="Tw Cen MT" w:hAnsi="Tw Cen MT" w:cs="Arial"/>
          <w:b/>
          <w:color w:val="181818"/>
          <w:spacing w:val="38"/>
          <w:sz w:val="28"/>
          <w:szCs w:val="28"/>
        </w:rPr>
        <w:t xml:space="preserve"> </w:t>
      </w:r>
      <w:r w:rsidRPr="00C46BE1">
        <w:rPr>
          <w:rFonts w:ascii="Tw Cen MT" w:hAnsi="Tw Cen MT" w:cs="Arial"/>
          <w:b/>
          <w:color w:val="181818"/>
          <w:sz w:val="28"/>
          <w:szCs w:val="28"/>
        </w:rPr>
        <w:t>Collection</w:t>
      </w:r>
    </w:p>
    <w:p w14:paraId="5B061177" w14:textId="77777777" w:rsidR="00324931" w:rsidRPr="00C46BE1" w:rsidRDefault="00324931" w:rsidP="00324931">
      <w:pPr>
        <w:pStyle w:val="BodyText"/>
        <w:numPr>
          <w:ilvl w:val="1"/>
          <w:numId w:val="1"/>
        </w:numPr>
        <w:tabs>
          <w:tab w:val="left" w:pos="1563"/>
        </w:tabs>
        <w:spacing w:after="120"/>
        <w:rPr>
          <w:rFonts w:ascii="Tw Cen MT" w:hAnsi="Tw Cen MT" w:cs="Arial"/>
          <w:b/>
          <w:sz w:val="28"/>
          <w:szCs w:val="28"/>
        </w:rPr>
      </w:pPr>
      <w:r w:rsidRPr="00C46BE1">
        <w:rPr>
          <w:rFonts w:ascii="Tw Cen MT" w:hAnsi="Tw Cen MT" w:cs="Arial"/>
          <w:b/>
          <w:color w:val="181818"/>
          <w:sz w:val="28"/>
          <w:szCs w:val="28"/>
        </w:rPr>
        <w:t>Background</w:t>
      </w:r>
    </w:p>
    <w:p w14:paraId="12D8EC7B" w14:textId="0DE50A7B" w:rsidR="00324931" w:rsidRPr="00C46BE1" w:rsidRDefault="00324931" w:rsidP="00324931">
      <w:pPr>
        <w:pStyle w:val="ProposalBodyText"/>
        <w:spacing w:after="200"/>
        <w:contextualSpacing w:val="0"/>
        <w:rPr>
          <w:color w:val="C00000"/>
        </w:rPr>
      </w:pPr>
      <w:r w:rsidRPr="00C46BE1">
        <w:t xml:space="preserve">The CSP model is a central tenet of the BHTCC and SE Programs. The model acknowledges that receiving behavioral health services and supports is paramount to achieving an optimal quality of life for individuals with SMI co-occurring disorders living in the community. CSPs utilize systems of care to help adults with these behavioral health conditions recover, live independently and productively in the community, and avoid inappropriate use of inpatient services. </w:t>
      </w:r>
      <w:r w:rsidR="00690A8B" w:rsidRPr="00C46BE1">
        <w:t>T</w:t>
      </w:r>
      <w:r w:rsidRPr="00C46BE1">
        <w:t>he CSP philosophy states that services should be consumer-centered/consumer-empowered, culturally competent, designed to meet special needs, community-based, flexible, coordinated, accountable, strengths-based (Pennsylvania Department of Public Welfare, 2013). Further, CSPs include a focus on self-directed services, community approaches/collaborations that are coordinated and promote recovery, and meaningful involvement of individuals in recovery. Ultimately, CSPs are vehicles for transforming community, local, and/or State level mental health and substance use systems through enhanced coordination of service delivery across systems.</w:t>
      </w:r>
      <w:r w:rsidRPr="00C46BE1">
        <w:rPr>
          <w:rFonts w:ascii="Verdana" w:hAnsi="Verdana"/>
          <w:sz w:val="20"/>
        </w:rPr>
        <w:t xml:space="preserve"> </w:t>
      </w:r>
    </w:p>
    <w:p w14:paraId="2D76345C" w14:textId="77777777" w:rsidR="00324931" w:rsidRPr="00C46BE1" w:rsidRDefault="00324931" w:rsidP="00324931">
      <w:pPr>
        <w:pStyle w:val="ProposalBodyText"/>
        <w:spacing w:after="200"/>
        <w:rPr>
          <w:rStyle w:val="StyleBold"/>
          <w:b w:val="0"/>
        </w:rPr>
      </w:pPr>
      <w:r w:rsidRPr="00C46BE1">
        <w:rPr>
          <w:spacing w:val="-2"/>
        </w:rPr>
        <w:t xml:space="preserve">For some individuals, it is not until they have contact with the criminal justice system that their SMI or co-occurring disorders are identified. While the success of their transition back into the community is dependent upon recovery, resources for treatment in the traditional criminal justice system are limited. </w:t>
      </w:r>
      <w:r w:rsidRPr="00C46BE1">
        <w:rPr>
          <w:rStyle w:val="StyleBold"/>
          <w:rFonts w:ascii="Times New Roman" w:hAnsi="Times New Roman"/>
          <w:b w:val="0"/>
        </w:rPr>
        <w:t>The BHTCC program aims to prevent and interrupt the cycle of offense and recidivism by establishing collaborations among local courts and diverting these individuals to appropriate treatment and services.</w:t>
      </w:r>
      <w:r w:rsidRPr="00C46BE1">
        <w:rPr>
          <w:rStyle w:val="StyleBold"/>
        </w:rPr>
        <w:t xml:space="preserve"> </w:t>
      </w:r>
      <w:r w:rsidRPr="00C46BE1">
        <w:t xml:space="preserve">BHTCCs are rooted in the history of “problem solving courts,” which began in the 1990s to address the needs of offenders that could not be addressed in traditional courts (Bureau of Justice Assistance [BJA], </w:t>
      </w:r>
      <w:proofErr w:type="spellStart"/>
      <w:r w:rsidRPr="00C46BE1">
        <w:t>n</w:t>
      </w:r>
      <w:r w:rsidRPr="00C46BE1">
        <w:rPr>
          <w:szCs w:val="24"/>
        </w:rPr>
        <w:t>.d.</w:t>
      </w:r>
      <w:proofErr w:type="spellEnd"/>
      <w:r w:rsidRPr="00C46BE1">
        <w:rPr>
          <w:szCs w:val="24"/>
        </w:rPr>
        <w:t xml:space="preserve">-a). Until that time, the criminal </w:t>
      </w:r>
      <w:r w:rsidRPr="00C46BE1">
        <w:rPr>
          <w:szCs w:val="24"/>
        </w:rPr>
        <w:lastRenderedPageBreak/>
        <w:t xml:space="preserve">justice system treated most individuals with a diagnosed mental illness the same as those without. Ideally, these courts use their legal authority to “forge new responses to chronic social, human, and legal problems” (Berman &amp; </w:t>
      </w:r>
      <w:proofErr w:type="spellStart"/>
      <w:r w:rsidRPr="00C46BE1">
        <w:rPr>
          <w:szCs w:val="24"/>
        </w:rPr>
        <w:t>Feinblatt</w:t>
      </w:r>
      <w:proofErr w:type="spellEnd"/>
      <w:r w:rsidRPr="00C46BE1">
        <w:rPr>
          <w:szCs w:val="24"/>
        </w:rPr>
        <w:t xml:space="preserve">, 2001). Initially, these problem-solving courts were limited to drug courts, but they have since expanded to include mental health/behavioral health, community, domestic violence, gambling, truancy, gun, and homeless courts (National Association of Drug Court Professionals, </w:t>
      </w:r>
      <w:proofErr w:type="spellStart"/>
      <w:r w:rsidRPr="00C46BE1">
        <w:rPr>
          <w:szCs w:val="24"/>
        </w:rPr>
        <w:t>n.d.</w:t>
      </w:r>
      <w:proofErr w:type="spellEnd"/>
      <w:r w:rsidRPr="00C46BE1">
        <w:rPr>
          <w:szCs w:val="24"/>
        </w:rPr>
        <w:t>). Behavioral health courts have arisen in response to the overrepresentation of people with mental illness in the criminal justice system. It is reported that 15–20% of the correctional population has a serious mental illness, which is substantially higher than the general population (</w:t>
      </w:r>
      <w:proofErr w:type="spellStart"/>
      <w:r w:rsidRPr="00C46BE1">
        <w:rPr>
          <w:szCs w:val="24"/>
        </w:rPr>
        <w:t>Lurigio</w:t>
      </w:r>
      <w:proofErr w:type="spellEnd"/>
      <w:r w:rsidRPr="00C46BE1">
        <w:rPr>
          <w:szCs w:val="24"/>
        </w:rPr>
        <w:t xml:space="preserve">, &amp; Snowden, 2009). </w:t>
      </w:r>
      <w:r w:rsidRPr="00C46BE1">
        <w:rPr>
          <w:rStyle w:val="StyleBold"/>
          <w:rFonts w:ascii="Times New Roman" w:hAnsi="Times New Roman"/>
          <w:b w:val="0"/>
          <w:szCs w:val="24"/>
        </w:rPr>
        <w:t>The current BHTCC program builds upon the first cohort of BHTCC grantees, funded between 2011 and 2014. The current program includes a focus on veteran populations and requires each collaborative to involve municipal courts. This recent approach combines previous and current SAMHSA funded criminal justice-treatment linkage programs with infrastructure planning and development activities to create new court and community networks to transform the behavioral health system at the community level.</w:t>
      </w:r>
      <w:r w:rsidRPr="00C46BE1">
        <w:rPr>
          <w:rStyle w:val="StyleBold"/>
        </w:rPr>
        <w:t xml:space="preserve"> </w:t>
      </w:r>
    </w:p>
    <w:p w14:paraId="2AC37534" w14:textId="77777777" w:rsidR="00324931" w:rsidRPr="00C46BE1" w:rsidRDefault="00324931" w:rsidP="00324931">
      <w:pPr>
        <w:pStyle w:val="BHTCCBody"/>
        <w:rPr>
          <w:rFonts w:ascii="Times New Roman" w:hAnsi="Times New Roman" w:cs="Times New Roman"/>
          <w:sz w:val="24"/>
          <w:szCs w:val="24"/>
        </w:rPr>
      </w:pPr>
      <w:r w:rsidRPr="00C46BE1">
        <w:rPr>
          <w:rFonts w:ascii="Times New Roman" w:hAnsi="Times New Roman" w:cs="Times New Roman"/>
          <w:sz w:val="24"/>
          <w:szCs w:val="24"/>
        </w:rPr>
        <w:t>Further, research has shown that SE helps individuals achieve and sustain recovery. SE allows individuals with disabilities, including those with behavioral health conditions, to function to the fullest extent possible in integrated and competitive work settings alongside those who to do not have disabilities. Such integrated settings provide opportunities to individuals with disabilities to live; work; and receive health, social, and behavioral health services in the community.</w:t>
      </w:r>
      <w:r w:rsidRPr="00C46BE1">
        <w:t xml:space="preserve"> </w:t>
      </w:r>
      <w:r w:rsidRPr="00C46BE1">
        <w:rPr>
          <w:rFonts w:ascii="Times New Roman" w:hAnsi="Times New Roman" w:cs="Times New Roman"/>
          <w:sz w:val="24"/>
          <w:szCs w:val="24"/>
        </w:rPr>
        <w:t xml:space="preserve">The goal of the SAMHSA’s SE Program is to support the development of statewide infrastructure to provide and sustain evidence-based SE programming for adults with behavioral health conditions. Through the program, State mental health authorities create and begin implementing strategic sustainability plans, which include components around workforce training, policy change, and sustainable funding. Grantees are also tasked with establishing two community-based SE pilot programs and creating a training program for professionals who support individuals with SMI, substance use, and co-occurring disorders to find competitive jobs. In addition, grantees must create a plan to scale the SE program statewide, including developing supportive policy, training a statewide SE workforce, establishing a Supported Employment Coordinating Committee (SECC), and developing a sustainable funding plan to continue services after the grant program ends. The expected outcome of the program is for states to have the necessary infrastructure in place to maintain and expand evidence-based supported employment (SE) programs throughout the state and increase the number of individuals with SMI, substance use, and with co-occurring disorders to obtain and retain competitive employment. </w:t>
      </w:r>
    </w:p>
    <w:p w14:paraId="2774262E" w14:textId="77777777" w:rsidR="00324931" w:rsidRPr="00C46BE1" w:rsidRDefault="00324931" w:rsidP="00324931">
      <w:pPr>
        <w:pStyle w:val="BodyText"/>
        <w:numPr>
          <w:ilvl w:val="1"/>
          <w:numId w:val="1"/>
        </w:numPr>
        <w:tabs>
          <w:tab w:val="left" w:pos="1563"/>
        </w:tabs>
        <w:spacing w:before="240" w:after="120"/>
        <w:rPr>
          <w:rFonts w:ascii="Tw Cen MT" w:hAnsi="Tw Cen MT" w:cs="Arial"/>
          <w:b/>
          <w:sz w:val="28"/>
          <w:szCs w:val="28"/>
        </w:rPr>
      </w:pPr>
      <w:r w:rsidRPr="00C46BE1">
        <w:rPr>
          <w:rFonts w:ascii="Tw Cen MT" w:hAnsi="Tw Cen MT" w:cs="Arial"/>
          <w:b/>
          <w:color w:val="181818"/>
          <w:sz w:val="28"/>
          <w:szCs w:val="28"/>
        </w:rPr>
        <w:t>The Need for Evaluation</w:t>
      </w:r>
    </w:p>
    <w:p w14:paraId="2DE987D5" w14:textId="77777777" w:rsidR="00324931" w:rsidRPr="00C46BE1" w:rsidRDefault="00324931" w:rsidP="00324931">
      <w:pPr>
        <w:spacing w:after="200"/>
      </w:pPr>
      <w:r w:rsidRPr="00C46BE1">
        <w:t>In 2014, SAMHSA issued a request for task order proposals (RFTP) for the CSE with the following objectives:</w:t>
      </w:r>
    </w:p>
    <w:p w14:paraId="730CB70A" w14:textId="77777777" w:rsidR="00324931" w:rsidRPr="00C46BE1" w:rsidRDefault="00324931" w:rsidP="00090868">
      <w:pPr>
        <w:pStyle w:val="ListParagraph"/>
        <w:widowControl w:val="0"/>
        <w:numPr>
          <w:ilvl w:val="0"/>
          <w:numId w:val="18"/>
        </w:numPr>
        <w:adjustRightInd w:val="0"/>
        <w:spacing w:after="60"/>
        <w:contextualSpacing w:val="0"/>
        <w:jc w:val="left"/>
        <w:textAlignment w:val="baseline"/>
      </w:pPr>
      <w:r w:rsidRPr="00C46BE1">
        <w:t xml:space="preserve">Conduct a cross-site process and intermediate outcome evaluation and disseminate findings for the BHTCC program and for the SE program </w:t>
      </w:r>
    </w:p>
    <w:p w14:paraId="49D6F178" w14:textId="77777777" w:rsidR="00324931" w:rsidRPr="00C46BE1" w:rsidRDefault="00324931" w:rsidP="00090868">
      <w:pPr>
        <w:pStyle w:val="ListParagraph"/>
        <w:widowControl w:val="0"/>
        <w:numPr>
          <w:ilvl w:val="0"/>
          <w:numId w:val="18"/>
        </w:numPr>
        <w:adjustRightInd w:val="0"/>
        <w:spacing w:after="60"/>
        <w:contextualSpacing w:val="0"/>
        <w:jc w:val="left"/>
        <w:textAlignment w:val="baseline"/>
      </w:pPr>
      <w:r w:rsidRPr="00C46BE1">
        <w:t xml:space="preserve">Provide technical assistance (TA) and support for BHTCC and SE grantees to effectively meet the data collection requirements of the cross-site evaluation and the local evaluation </w:t>
      </w:r>
    </w:p>
    <w:p w14:paraId="55FA65BB" w14:textId="77777777" w:rsidR="00324931" w:rsidRPr="00C46BE1" w:rsidRDefault="00324931" w:rsidP="00090868">
      <w:pPr>
        <w:pStyle w:val="ListParagraph"/>
        <w:widowControl w:val="0"/>
        <w:numPr>
          <w:ilvl w:val="0"/>
          <w:numId w:val="18"/>
        </w:numPr>
        <w:adjustRightInd w:val="0"/>
        <w:spacing w:after="60"/>
        <w:contextualSpacing w:val="0"/>
        <w:jc w:val="left"/>
        <w:textAlignment w:val="baseline"/>
      </w:pPr>
      <w:r w:rsidRPr="00C46BE1">
        <w:t xml:space="preserve">Coordinate data collection and analyze, aggregate, and synthesize the data </w:t>
      </w:r>
    </w:p>
    <w:p w14:paraId="021D884F" w14:textId="77777777" w:rsidR="00324931" w:rsidRPr="00C46BE1" w:rsidRDefault="00324931" w:rsidP="00090868">
      <w:pPr>
        <w:pStyle w:val="Level1"/>
        <w:numPr>
          <w:ilvl w:val="0"/>
          <w:numId w:val="18"/>
        </w:numPr>
        <w:tabs>
          <w:tab w:val="left" w:pos="-894"/>
          <w:tab w:val="left" w:pos="-174"/>
        </w:tabs>
        <w:spacing w:after="200"/>
        <w:rPr>
          <w:rFonts w:ascii="Times New Roman" w:hAnsi="Times New Roman"/>
          <w:sz w:val="24"/>
        </w:rPr>
      </w:pPr>
      <w:r w:rsidRPr="00C46BE1">
        <w:rPr>
          <w:rFonts w:ascii="Times New Roman" w:hAnsi="Times New Roman"/>
          <w:sz w:val="24"/>
        </w:rPr>
        <w:t xml:space="preserve">Disseminate findings </w:t>
      </w:r>
    </w:p>
    <w:p w14:paraId="4202FC37" w14:textId="43F7F5D2" w:rsidR="00324931" w:rsidRPr="00E55A3B" w:rsidRDefault="00324931" w:rsidP="00324931">
      <w:pPr>
        <w:spacing w:after="200"/>
        <w:rPr>
          <w:rStyle w:val="minorhead"/>
          <w:rFonts w:ascii="Times New Roman" w:hAnsi="Times New Roman" w:cs="Times New Roman"/>
          <w:b w:val="0"/>
          <w:i/>
        </w:rPr>
      </w:pPr>
      <w:r w:rsidRPr="00C46BE1">
        <w:t>The purpose of the CSE is to (1) describe and assess BHTCC and SE grantee activities and procedures, including the intermediate or direct effects of the programs on participants; (2) document the application and sanctioned adaptations of BHTCC programs in the justice system and of the SE Program; and (3) design and implement plans to disseminate knowledge about how to replicate effective projects in other States, territories, tribal nations, and communities. T</w:t>
      </w:r>
      <w:r w:rsidRPr="00C46BE1">
        <w:rPr>
          <w:rStyle w:val="minorhead"/>
          <w:rFonts w:ascii="Times New Roman" w:hAnsi="Times New Roman" w:cs="Times New Roman"/>
          <w:b w:val="0"/>
        </w:rPr>
        <w:t xml:space="preserve">he legal basis and authorizing law for conducting the CSE can be found in Section </w:t>
      </w:r>
      <w:r w:rsidR="006F73F4" w:rsidRPr="00C46BE1">
        <w:rPr>
          <w:rStyle w:val="minorhead"/>
          <w:rFonts w:ascii="Times New Roman" w:hAnsi="Times New Roman" w:cs="Times New Roman"/>
          <w:b w:val="0"/>
        </w:rPr>
        <w:t xml:space="preserve">290aa </w:t>
      </w:r>
      <w:r w:rsidRPr="00C46BE1">
        <w:rPr>
          <w:rStyle w:val="minorhead"/>
          <w:rFonts w:ascii="Times New Roman" w:hAnsi="Times New Roman" w:cs="Times New Roman"/>
          <w:b w:val="0"/>
        </w:rPr>
        <w:t>of the Public Hea</w:t>
      </w:r>
      <w:r w:rsidR="00966570" w:rsidRPr="00C46BE1">
        <w:rPr>
          <w:rStyle w:val="minorhead"/>
          <w:rFonts w:ascii="Times New Roman" w:hAnsi="Times New Roman" w:cs="Times New Roman"/>
          <w:b w:val="0"/>
        </w:rPr>
        <w:t>lth Services Act (42 U.S.C.241</w:t>
      </w:r>
      <w:r w:rsidR="005511F4" w:rsidRPr="00E55A3B">
        <w:rPr>
          <w:rStyle w:val="minorhead"/>
          <w:rFonts w:ascii="Times New Roman" w:hAnsi="Times New Roman" w:cs="Times New Roman"/>
          <w:b w:val="0"/>
        </w:rPr>
        <w:t>)</w:t>
      </w:r>
      <w:r w:rsidR="005511F4" w:rsidRPr="00E55A3B">
        <w:rPr>
          <w:rStyle w:val="minorhead"/>
          <w:rFonts w:ascii="Times New Roman" w:hAnsi="Times New Roman" w:cs="Times New Roman"/>
          <w:b w:val="0"/>
          <w:i/>
        </w:rPr>
        <w:t>.</w:t>
      </w:r>
    </w:p>
    <w:p w14:paraId="0792A8B2" w14:textId="361E140D" w:rsidR="00324931" w:rsidRPr="00C46BE1" w:rsidRDefault="00324931" w:rsidP="00324931">
      <w:pPr>
        <w:pStyle w:val="ProposalBodyText"/>
        <w:spacing w:after="200"/>
        <w:contextualSpacing w:val="0"/>
      </w:pPr>
      <w:r w:rsidRPr="00C46BE1">
        <w:t>A government contractor</w:t>
      </w:r>
      <w:r w:rsidR="00E83649" w:rsidRPr="00C46BE1">
        <w:t xml:space="preserve"> </w:t>
      </w:r>
      <w:r w:rsidRPr="00C46BE1">
        <w:t xml:space="preserve">will coordinate data collection for the evaluation and provide support for its local-level implementation. Each grantee is required to participate in the CSE. In this partnership, </w:t>
      </w:r>
      <w:r w:rsidR="00BB15FB" w:rsidRPr="00C46BE1">
        <w:t>the c</w:t>
      </w:r>
      <w:r w:rsidR="00E83649" w:rsidRPr="00C46BE1">
        <w:t>ontractor</w:t>
      </w:r>
      <w:r w:rsidR="009A06D9" w:rsidRPr="00C46BE1">
        <w:t xml:space="preserve"> </w:t>
      </w:r>
      <w:r w:rsidRPr="00C46BE1">
        <w:t>provides TA regarding data collection and research design for the evaluation</w:t>
      </w:r>
      <w:r w:rsidR="009A06D9" w:rsidRPr="00C46BE1">
        <w:t xml:space="preserve">, </w:t>
      </w:r>
      <w:r w:rsidRPr="00C46BE1">
        <w:t xml:space="preserve">directly collects data, receives data from grantee data collection efforts, monitors data quality, and provides feedback to grantees. The CSE comprises separate BHTCC and SE </w:t>
      </w:r>
      <w:r w:rsidR="008406E1" w:rsidRPr="00C46BE1">
        <w:t>Studies</w:t>
      </w:r>
      <w:r w:rsidRPr="00C46BE1">
        <w:t xml:space="preserve">, each consisting of system- and client-level </w:t>
      </w:r>
      <w:r w:rsidR="008406E1" w:rsidRPr="00C46BE1">
        <w:t>components</w:t>
      </w:r>
      <w:r w:rsidRPr="00C46BE1">
        <w:t xml:space="preserve">. The BHTCC </w:t>
      </w:r>
      <w:r w:rsidR="008406E1" w:rsidRPr="00C46BE1">
        <w:t>Study</w:t>
      </w:r>
      <w:r w:rsidRPr="00C46BE1">
        <w:t xml:space="preserve"> also includes a quasi-experimental comparison study. The mixed-method design </w:t>
      </w:r>
      <w:r w:rsidR="008406E1" w:rsidRPr="00C46BE1">
        <w:t xml:space="preserve">of the CSE </w:t>
      </w:r>
      <w:r w:rsidRPr="00C46BE1">
        <w:t xml:space="preserve">represents SAMHSA’s desire to conduct and disseminate findings from a process and intermediate outcomes evaluation of the two programs. Findings will inform current grantees, policymakers, and the field about ways to transform the behavioral health system to cultivate resiliency and recovery, actively collaborate with and engage, and improve service delivery for individuals with serious mental, substance, and co-occurring disorders who are in recovery.  </w:t>
      </w:r>
    </w:p>
    <w:p w14:paraId="205E6F8F" w14:textId="77777777" w:rsidR="00324931" w:rsidRPr="00C46BE1" w:rsidRDefault="00324931" w:rsidP="008C3C3E">
      <w:pPr>
        <w:pStyle w:val="ProposalBodyText"/>
        <w:keepNext/>
        <w:numPr>
          <w:ilvl w:val="1"/>
          <w:numId w:val="1"/>
        </w:numPr>
        <w:tabs>
          <w:tab w:val="clear" w:pos="0"/>
        </w:tabs>
        <w:autoSpaceDE/>
        <w:autoSpaceDN/>
        <w:adjustRightInd/>
        <w:spacing w:after="120"/>
        <w:contextualSpacing w:val="0"/>
        <w:rPr>
          <w:rFonts w:ascii="Tw Cen MT" w:hAnsi="Tw Cen MT" w:cs="Arial"/>
          <w:b/>
          <w:sz w:val="28"/>
          <w:szCs w:val="28"/>
        </w:rPr>
      </w:pPr>
      <w:r w:rsidRPr="00C46BE1">
        <w:rPr>
          <w:rFonts w:ascii="Tw Cen MT" w:hAnsi="Tw Cen MT" w:cs="Arial"/>
          <w:b/>
          <w:sz w:val="28"/>
          <w:szCs w:val="28"/>
        </w:rPr>
        <w:t>Clearance Request</w:t>
      </w:r>
    </w:p>
    <w:p w14:paraId="61EA91F2" w14:textId="77777777" w:rsidR="00324931" w:rsidRPr="00C46BE1" w:rsidRDefault="00324931" w:rsidP="00324931">
      <w:pPr>
        <w:pStyle w:val="ProposalBodyText"/>
        <w:spacing w:after="200"/>
      </w:pPr>
      <w:r w:rsidRPr="00C46BE1">
        <w:t xml:space="preserve">SAMHSA is requesting approval for a new effort entitled Community Support Evaluation. OMB clearance is requested for three years of data collection. The CSE is </w:t>
      </w:r>
      <w:r w:rsidRPr="00C46BE1">
        <w:rPr>
          <w:spacing w:val="-2"/>
        </w:rPr>
        <w:t>a multicomponent evaluation of two SAMHSA programs—the BHTCC and SE Programs—promoting</w:t>
      </w:r>
      <w:r w:rsidRPr="00C46BE1">
        <w:t xml:space="preserve"> recovery for individuals with mental, substance use, and co-occurring disorders. The CSE will allow SAMSHA to examine the degree to which (1) participants lives are improved as a result of the programs; (2) engagement/participation is enhanced among consumers, people in recovery, and their families; and (3) the programs are successfully implemented. Findings from the CSE will be used to inform policymakers and the field on critical aspects of future CSPs. </w:t>
      </w:r>
    </w:p>
    <w:p w14:paraId="7EEDD850" w14:textId="77777777" w:rsidR="00324931" w:rsidRPr="00C46BE1" w:rsidRDefault="00324931" w:rsidP="00090868">
      <w:pPr>
        <w:pStyle w:val="BodyText"/>
        <w:numPr>
          <w:ilvl w:val="0"/>
          <w:numId w:val="8"/>
        </w:numPr>
        <w:tabs>
          <w:tab w:val="left" w:pos="1563"/>
        </w:tabs>
        <w:spacing w:before="360" w:after="120"/>
        <w:rPr>
          <w:rFonts w:ascii="Tw Cen MT" w:hAnsi="Tw Cen MT" w:cs="Arial"/>
          <w:b/>
          <w:sz w:val="28"/>
          <w:szCs w:val="28"/>
        </w:rPr>
      </w:pPr>
      <w:r w:rsidRPr="00C46BE1">
        <w:rPr>
          <w:rFonts w:ascii="Tw Cen MT" w:hAnsi="Tw Cen MT" w:cs="Arial"/>
          <w:b/>
          <w:sz w:val="28"/>
          <w:szCs w:val="28"/>
        </w:rPr>
        <w:t>Purpose and Use of Information Collected</w:t>
      </w:r>
    </w:p>
    <w:p w14:paraId="05906862" w14:textId="77777777" w:rsidR="00324931" w:rsidRPr="00C46BE1" w:rsidRDefault="00324931" w:rsidP="00090868">
      <w:pPr>
        <w:pStyle w:val="BodyText"/>
        <w:keepNext/>
        <w:widowControl/>
        <w:numPr>
          <w:ilvl w:val="0"/>
          <w:numId w:val="10"/>
        </w:numPr>
        <w:tabs>
          <w:tab w:val="left" w:pos="1563"/>
        </w:tabs>
        <w:spacing w:after="120"/>
        <w:ind w:right="720"/>
        <w:rPr>
          <w:rFonts w:ascii="Tw Cen MT" w:hAnsi="Tw Cen MT" w:cs="Arial"/>
          <w:b/>
          <w:sz w:val="28"/>
          <w:szCs w:val="28"/>
        </w:rPr>
      </w:pPr>
      <w:r w:rsidRPr="00C46BE1">
        <w:rPr>
          <w:rFonts w:ascii="Tw Cen MT" w:hAnsi="Tw Cen MT" w:cs="Arial"/>
          <w:b/>
          <w:sz w:val="28"/>
          <w:szCs w:val="28"/>
        </w:rPr>
        <w:t>CSE Overview</w:t>
      </w:r>
    </w:p>
    <w:p w14:paraId="100119B2" w14:textId="7B0BC637" w:rsidR="00324931" w:rsidRPr="00C46BE1" w:rsidRDefault="00324931" w:rsidP="00F14ADA">
      <w:pPr>
        <w:pStyle w:val="BHTCCBody"/>
        <w:rPr>
          <w:rFonts w:ascii="Times New Roman" w:hAnsi="Times New Roman" w:cs="Times New Roman"/>
          <w:sz w:val="24"/>
          <w:szCs w:val="24"/>
        </w:rPr>
      </w:pPr>
      <w:r w:rsidRPr="00C46BE1">
        <w:rPr>
          <w:rFonts w:ascii="Times New Roman" w:hAnsi="Times New Roman" w:cs="Times New Roman"/>
          <w:sz w:val="24"/>
          <w:szCs w:val="24"/>
        </w:rPr>
        <w:t xml:space="preserve">The CSE comprises </w:t>
      </w:r>
      <w:r w:rsidR="00EC24E8" w:rsidRPr="00C46BE1">
        <w:rPr>
          <w:rFonts w:ascii="Times New Roman" w:hAnsi="Times New Roman" w:cs="Times New Roman"/>
          <w:sz w:val="24"/>
          <w:szCs w:val="24"/>
        </w:rPr>
        <w:t xml:space="preserve">separate </w:t>
      </w:r>
      <w:r w:rsidRPr="00C46BE1">
        <w:rPr>
          <w:rFonts w:ascii="Times New Roman" w:hAnsi="Times New Roman" w:cs="Times New Roman"/>
          <w:sz w:val="24"/>
          <w:szCs w:val="24"/>
        </w:rPr>
        <w:t xml:space="preserve">BHTCC </w:t>
      </w:r>
      <w:r w:rsidR="00EC24E8" w:rsidRPr="00C46BE1">
        <w:rPr>
          <w:rFonts w:ascii="Times New Roman" w:hAnsi="Times New Roman" w:cs="Times New Roman"/>
          <w:sz w:val="24"/>
          <w:szCs w:val="24"/>
        </w:rPr>
        <w:t xml:space="preserve">Study </w:t>
      </w:r>
      <w:r w:rsidRPr="00C46BE1">
        <w:rPr>
          <w:rFonts w:ascii="Times New Roman" w:hAnsi="Times New Roman" w:cs="Times New Roman"/>
          <w:sz w:val="24"/>
          <w:szCs w:val="24"/>
        </w:rPr>
        <w:t xml:space="preserve">and SE </w:t>
      </w:r>
      <w:r w:rsidR="008406E1" w:rsidRPr="00C46BE1">
        <w:rPr>
          <w:rFonts w:ascii="Times New Roman" w:hAnsi="Times New Roman" w:cs="Times New Roman"/>
          <w:sz w:val="24"/>
          <w:szCs w:val="24"/>
        </w:rPr>
        <w:t>Studies</w:t>
      </w:r>
      <w:r w:rsidRPr="00C46BE1">
        <w:rPr>
          <w:rFonts w:ascii="Times New Roman" w:hAnsi="Times New Roman" w:cs="Times New Roman"/>
          <w:sz w:val="24"/>
          <w:szCs w:val="24"/>
        </w:rPr>
        <w:t xml:space="preserve"> and utilizes a mixed-method design to assess the process and intermediate outcomes of the two programs. Because the programs view collaboration and partnerships among key stakeholders (including consumers, peers, and family members) as essential, the evaluation incorporates a range of program participants and stakeholders either directly (as respondents/participants) or indirectly (via expert panel input on the evaluation design). Use of a participatory evaluation framework is essential to meeting the needs and goals of the CSE; specifically, understanding (1) the extent to which program implementation and consumer outcomes, partnerships and collaboration, and engagement of individuals in recovery from mental and substance use disorders are achieved and (2) how the agencies or grantees contributed to the success of the program. Exhibit </w:t>
      </w:r>
      <w:r w:rsidR="008C3C3E" w:rsidRPr="00C46BE1">
        <w:rPr>
          <w:rFonts w:ascii="Times New Roman" w:hAnsi="Times New Roman" w:cs="Times New Roman"/>
          <w:sz w:val="24"/>
          <w:szCs w:val="24"/>
        </w:rPr>
        <w:t>1</w:t>
      </w:r>
      <w:r w:rsidR="008406E1" w:rsidRPr="00C46BE1">
        <w:rPr>
          <w:rFonts w:ascii="Times New Roman" w:hAnsi="Times New Roman" w:cs="Times New Roman"/>
          <w:sz w:val="24"/>
          <w:szCs w:val="24"/>
        </w:rPr>
        <w:t xml:space="preserve"> depicts an overview of the CSE </w:t>
      </w:r>
      <w:r w:rsidR="00DC65E8" w:rsidRPr="00C46BE1">
        <w:rPr>
          <w:rFonts w:ascii="Times New Roman" w:hAnsi="Times New Roman" w:cs="Times New Roman"/>
          <w:sz w:val="24"/>
          <w:szCs w:val="24"/>
        </w:rPr>
        <w:t>s</w:t>
      </w:r>
      <w:r w:rsidR="008406E1" w:rsidRPr="00C46BE1">
        <w:rPr>
          <w:rFonts w:ascii="Times New Roman" w:hAnsi="Times New Roman" w:cs="Times New Roman"/>
          <w:sz w:val="24"/>
          <w:szCs w:val="24"/>
        </w:rPr>
        <w:t>tudies</w:t>
      </w:r>
      <w:r w:rsidR="00DC65E8" w:rsidRPr="00C46BE1">
        <w:rPr>
          <w:rFonts w:ascii="Times New Roman" w:hAnsi="Times New Roman" w:cs="Times New Roman"/>
          <w:sz w:val="24"/>
          <w:szCs w:val="24"/>
        </w:rPr>
        <w:t xml:space="preserve">, </w:t>
      </w:r>
      <w:r w:rsidR="00670136" w:rsidRPr="00C46BE1">
        <w:rPr>
          <w:rFonts w:ascii="Times New Roman" w:hAnsi="Times New Roman" w:cs="Times New Roman"/>
          <w:sz w:val="24"/>
          <w:szCs w:val="24"/>
        </w:rPr>
        <w:t>substudies</w:t>
      </w:r>
      <w:r w:rsidR="00DC65E8" w:rsidRPr="00C46BE1">
        <w:rPr>
          <w:rFonts w:ascii="Times New Roman" w:hAnsi="Times New Roman" w:cs="Times New Roman"/>
          <w:sz w:val="24"/>
          <w:szCs w:val="24"/>
        </w:rPr>
        <w:t>,</w:t>
      </w:r>
      <w:r w:rsidRPr="00C46BE1">
        <w:rPr>
          <w:rFonts w:ascii="Times New Roman" w:hAnsi="Times New Roman" w:cs="Times New Roman"/>
          <w:sz w:val="24"/>
          <w:szCs w:val="24"/>
        </w:rPr>
        <w:t xml:space="preserve"> and data sources.</w:t>
      </w:r>
      <w:r w:rsidR="00084454" w:rsidRPr="00C46BE1">
        <w:rPr>
          <w:rFonts w:ascii="Times New Roman" w:hAnsi="Times New Roman" w:cs="Times New Roman"/>
          <w:sz w:val="24"/>
          <w:szCs w:val="24"/>
        </w:rPr>
        <w:t xml:space="preserve"> Additional details are provided in Section A.2.b.</w:t>
      </w:r>
    </w:p>
    <w:p w14:paraId="2B29BC64" w14:textId="42D5D43C" w:rsidR="007A7819" w:rsidRPr="00C46BE1" w:rsidRDefault="007A7819" w:rsidP="00427966">
      <w:pPr>
        <w:pStyle w:val="BHTCCBody"/>
        <w:keepNext/>
        <w:spacing w:after="0"/>
        <w:jc w:val="center"/>
        <w:rPr>
          <w:rFonts w:ascii="Times New Roman" w:hAnsi="Times New Roman" w:cs="Times New Roman"/>
          <w:sz w:val="24"/>
          <w:szCs w:val="24"/>
        </w:rPr>
      </w:pPr>
      <w:r w:rsidRPr="00C46BE1">
        <w:rPr>
          <w:rStyle w:val="ProposalBodyTextChar"/>
          <w:rFonts w:ascii="Tw Cen MT" w:eastAsiaTheme="minorHAnsi" w:hAnsi="Tw Cen MT"/>
          <w:b/>
        </w:rPr>
        <w:t xml:space="preserve">Exhibit </w:t>
      </w:r>
      <w:r w:rsidR="008C3C3E" w:rsidRPr="00C46BE1">
        <w:rPr>
          <w:rStyle w:val="ProposalBodyTextChar"/>
          <w:rFonts w:ascii="Tw Cen MT" w:eastAsiaTheme="minorHAnsi" w:hAnsi="Tw Cen MT"/>
          <w:b/>
        </w:rPr>
        <w:t>1</w:t>
      </w:r>
      <w:r w:rsidRPr="00C46BE1">
        <w:rPr>
          <w:rStyle w:val="ProposalBodyTextChar"/>
          <w:rFonts w:ascii="Tw Cen MT" w:eastAsiaTheme="minorHAnsi" w:hAnsi="Tw Cen MT"/>
          <w:b/>
        </w:rPr>
        <w:t xml:space="preserve">. </w:t>
      </w:r>
      <w:r w:rsidRPr="00C46BE1">
        <w:rPr>
          <w:rFonts w:ascii="Tw Cen MT" w:hAnsi="Tw Cen MT"/>
          <w:b/>
          <w:sz w:val="24"/>
          <w:szCs w:val="24"/>
        </w:rPr>
        <w:t>CSE Overview</w:t>
      </w:r>
    </w:p>
    <w:p w14:paraId="15438DF2" w14:textId="3051719C" w:rsidR="00324931" w:rsidRPr="00C46BE1" w:rsidRDefault="00324931" w:rsidP="00324931">
      <w:pPr>
        <w:pStyle w:val="BHTCCBullet1"/>
        <w:numPr>
          <w:ilvl w:val="0"/>
          <w:numId w:val="0"/>
        </w:numPr>
        <w:spacing w:after="240"/>
        <w:contextualSpacing w:val="0"/>
        <w:jc w:val="center"/>
        <w:rPr>
          <w:rFonts w:ascii="Tw Cen MT" w:hAnsi="Tw Cen MT"/>
          <w:b/>
          <w:sz w:val="24"/>
          <w:szCs w:val="24"/>
        </w:rPr>
      </w:pPr>
      <w:r w:rsidRPr="00C46BE1">
        <w:rPr>
          <w:rFonts w:ascii="Tw Cen MT" w:hAnsi="Tw Cen MT"/>
          <w:b/>
          <w:sz w:val="24"/>
          <w:szCs w:val="24"/>
        </w:rPr>
        <w:t xml:space="preserve"> </w:t>
      </w:r>
      <w:r w:rsidR="00427966" w:rsidRPr="00C46BE1">
        <w:rPr>
          <w:rFonts w:ascii="Tw Cen MT" w:hAnsi="Tw Cen MT"/>
          <w:b/>
          <w:noProof/>
          <w:sz w:val="24"/>
          <w:szCs w:val="24"/>
        </w:rPr>
        <w:drawing>
          <wp:inline distT="0" distB="0" distL="0" distR="0" wp14:anchorId="0F8E67F4" wp14:editId="465C16B6">
            <wp:extent cx="5973445" cy="2000409"/>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92967" cy="2006947"/>
                    </a:xfrm>
                    <a:prstGeom prst="rect">
                      <a:avLst/>
                    </a:prstGeom>
                    <a:noFill/>
                  </pic:spPr>
                </pic:pic>
              </a:graphicData>
            </a:graphic>
          </wp:inline>
        </w:drawing>
      </w:r>
    </w:p>
    <w:p w14:paraId="042E03F4" w14:textId="13E28614" w:rsidR="00324931" w:rsidRPr="00C46BE1" w:rsidRDefault="00324931" w:rsidP="008C3C3E">
      <w:pPr>
        <w:pStyle w:val="BodyText"/>
        <w:keepNext/>
        <w:numPr>
          <w:ilvl w:val="2"/>
          <w:numId w:val="1"/>
        </w:numPr>
        <w:tabs>
          <w:tab w:val="left" w:pos="1563"/>
        </w:tabs>
        <w:spacing w:before="360" w:after="120"/>
        <w:rPr>
          <w:rFonts w:ascii="Tw Cen MT" w:hAnsi="Tw Cen MT" w:cs="Arial"/>
          <w:b/>
          <w:sz w:val="28"/>
          <w:szCs w:val="28"/>
        </w:rPr>
      </w:pPr>
      <w:r w:rsidRPr="00C46BE1">
        <w:rPr>
          <w:rFonts w:ascii="Tw Cen MT" w:hAnsi="Tw Cen MT" w:cs="Arial"/>
          <w:b/>
          <w:sz w:val="28"/>
          <w:szCs w:val="28"/>
        </w:rPr>
        <w:t xml:space="preserve">BHTCC </w:t>
      </w:r>
      <w:r w:rsidR="00595B7C" w:rsidRPr="00C46BE1">
        <w:rPr>
          <w:rFonts w:ascii="Tw Cen MT" w:hAnsi="Tw Cen MT" w:cs="Arial"/>
          <w:b/>
          <w:sz w:val="28"/>
          <w:szCs w:val="28"/>
        </w:rPr>
        <w:t>Study</w:t>
      </w:r>
    </w:p>
    <w:p w14:paraId="4FC68D31" w14:textId="1487CAF7" w:rsidR="00DC65E8" w:rsidRPr="00C46BE1" w:rsidRDefault="00324931" w:rsidP="00C43735">
      <w:pPr>
        <w:pStyle w:val="BHTCCBody"/>
        <w:rPr>
          <w:rFonts w:ascii="Times New Roman" w:hAnsi="Times New Roman" w:cs="Times New Roman"/>
          <w:sz w:val="24"/>
          <w:szCs w:val="24"/>
        </w:rPr>
      </w:pPr>
      <w:r w:rsidRPr="00C46BE1">
        <w:rPr>
          <w:rFonts w:ascii="Times New Roman" w:hAnsi="Times New Roman" w:cs="Times New Roman"/>
          <w:sz w:val="24"/>
          <w:szCs w:val="24"/>
        </w:rPr>
        <w:t xml:space="preserve">The BHTCC </w:t>
      </w:r>
      <w:r w:rsidR="008406E1" w:rsidRPr="00C46BE1">
        <w:rPr>
          <w:rFonts w:ascii="Times New Roman" w:hAnsi="Times New Roman" w:cs="Times New Roman"/>
          <w:sz w:val="24"/>
          <w:szCs w:val="24"/>
        </w:rPr>
        <w:t>Study</w:t>
      </w:r>
      <w:r w:rsidRPr="00C46BE1">
        <w:rPr>
          <w:rFonts w:ascii="Times New Roman" w:hAnsi="Times New Roman" w:cs="Times New Roman"/>
          <w:sz w:val="24"/>
          <w:szCs w:val="24"/>
        </w:rPr>
        <w:t xml:space="preserve"> consists of three </w:t>
      </w:r>
      <w:r w:rsidR="00595B7C" w:rsidRPr="00C46BE1">
        <w:rPr>
          <w:rFonts w:ascii="Times New Roman" w:hAnsi="Times New Roman" w:cs="Times New Roman"/>
          <w:sz w:val="24"/>
          <w:szCs w:val="24"/>
        </w:rPr>
        <w:t>substudies</w:t>
      </w:r>
      <w:r w:rsidRPr="00C46BE1">
        <w:rPr>
          <w:rFonts w:ascii="Times New Roman" w:hAnsi="Times New Roman" w:cs="Times New Roman"/>
          <w:sz w:val="24"/>
          <w:szCs w:val="24"/>
        </w:rPr>
        <w:t xml:space="preserve">: </w:t>
      </w:r>
      <w:r w:rsidR="00595B7C" w:rsidRPr="00C46BE1">
        <w:rPr>
          <w:rFonts w:ascii="Times New Roman" w:hAnsi="Times New Roman" w:cs="Times New Roman"/>
          <w:sz w:val="24"/>
          <w:szCs w:val="24"/>
        </w:rPr>
        <w:t>system change substudy (SCS),</w:t>
      </w:r>
      <w:r w:rsidRPr="00C46BE1">
        <w:rPr>
          <w:rFonts w:ascii="Times New Roman" w:hAnsi="Times New Roman" w:cs="Times New Roman"/>
          <w:sz w:val="24"/>
          <w:szCs w:val="24"/>
        </w:rPr>
        <w:t xml:space="preserve"> consumer outcome</w:t>
      </w:r>
      <w:r w:rsidR="00595B7C" w:rsidRPr="00C46BE1">
        <w:rPr>
          <w:rFonts w:ascii="Times New Roman" w:hAnsi="Times New Roman" w:cs="Times New Roman"/>
          <w:sz w:val="24"/>
          <w:szCs w:val="24"/>
        </w:rPr>
        <w:t xml:space="preserve"> substudy (COS)</w:t>
      </w:r>
      <w:r w:rsidRPr="00C46BE1">
        <w:rPr>
          <w:rFonts w:ascii="Times New Roman" w:hAnsi="Times New Roman" w:cs="Times New Roman"/>
          <w:sz w:val="24"/>
          <w:szCs w:val="24"/>
        </w:rPr>
        <w:t>, and comparison</w:t>
      </w:r>
      <w:r w:rsidR="00595B7C" w:rsidRPr="00C46BE1">
        <w:rPr>
          <w:rFonts w:ascii="Times New Roman" w:hAnsi="Times New Roman" w:cs="Times New Roman"/>
          <w:sz w:val="24"/>
          <w:szCs w:val="24"/>
        </w:rPr>
        <w:t xml:space="preserve"> substudy (CS)</w:t>
      </w:r>
      <w:r w:rsidRPr="00C46BE1">
        <w:rPr>
          <w:rFonts w:ascii="Times New Roman" w:hAnsi="Times New Roman" w:cs="Times New Roman"/>
          <w:sz w:val="24"/>
          <w:szCs w:val="24"/>
        </w:rPr>
        <w:t xml:space="preserve">. </w:t>
      </w:r>
      <w:r w:rsidR="00EC24E8" w:rsidRPr="00C46BE1">
        <w:rPr>
          <w:rFonts w:ascii="Times New Roman" w:hAnsi="Times New Roman" w:cs="Times New Roman"/>
          <w:sz w:val="24"/>
          <w:szCs w:val="24"/>
        </w:rPr>
        <w:t>Data collection a</w:t>
      </w:r>
      <w:r w:rsidRPr="00C46BE1">
        <w:rPr>
          <w:rFonts w:ascii="Times New Roman" w:hAnsi="Times New Roman" w:cs="Times New Roman"/>
          <w:sz w:val="24"/>
          <w:szCs w:val="24"/>
        </w:rPr>
        <w:t xml:space="preserve">ctivities will assess the characteristics of participants and key behavioral and functional outcomes, and recidivism, as well as the system-level capacity, change, and characteristics of BHTCCs. </w:t>
      </w:r>
      <w:r w:rsidR="00DC65E8" w:rsidRPr="00C46BE1">
        <w:rPr>
          <w:rFonts w:ascii="Times New Roman" w:hAnsi="Times New Roman" w:cs="Times New Roman"/>
          <w:sz w:val="24"/>
          <w:szCs w:val="24"/>
        </w:rPr>
        <w:t xml:space="preserve">Exhibit </w:t>
      </w:r>
      <w:r w:rsidR="008C3C3E" w:rsidRPr="00C46BE1">
        <w:rPr>
          <w:rFonts w:ascii="Times New Roman" w:hAnsi="Times New Roman" w:cs="Times New Roman"/>
          <w:sz w:val="24"/>
          <w:szCs w:val="24"/>
        </w:rPr>
        <w:t>2</w:t>
      </w:r>
      <w:r w:rsidR="00DC65E8" w:rsidRPr="00C46BE1">
        <w:rPr>
          <w:rFonts w:ascii="Times New Roman" w:hAnsi="Times New Roman" w:cs="Times New Roman"/>
          <w:sz w:val="24"/>
          <w:szCs w:val="24"/>
        </w:rPr>
        <w:t xml:space="preserve"> contains a matrix of the primary BHTCC questions and associated data sources. </w:t>
      </w:r>
      <w:r w:rsidR="004A74D8" w:rsidRPr="00C46BE1">
        <w:rPr>
          <w:rFonts w:ascii="Times New Roman" w:hAnsi="Times New Roman" w:cs="Times New Roman"/>
          <w:sz w:val="24"/>
          <w:szCs w:val="24"/>
        </w:rPr>
        <w:t>BHTCC Study components are described below</w:t>
      </w:r>
      <w:r w:rsidR="006739CA" w:rsidRPr="00C46BE1">
        <w:rPr>
          <w:rFonts w:ascii="Times New Roman" w:hAnsi="Times New Roman" w:cs="Times New Roman"/>
          <w:sz w:val="24"/>
          <w:szCs w:val="24"/>
        </w:rPr>
        <w:t xml:space="preserve"> and d</w:t>
      </w:r>
      <w:r w:rsidR="004A74D8" w:rsidRPr="00C46BE1">
        <w:rPr>
          <w:rFonts w:ascii="Times New Roman" w:hAnsi="Times New Roman" w:cs="Times New Roman"/>
          <w:sz w:val="24"/>
          <w:szCs w:val="24"/>
        </w:rPr>
        <w:t xml:space="preserve">etailed descriptions of data collection activities are provided in Exhibit </w:t>
      </w:r>
      <w:r w:rsidR="00B70D76" w:rsidRPr="00C46BE1">
        <w:rPr>
          <w:rFonts w:ascii="Times New Roman" w:hAnsi="Times New Roman" w:cs="Times New Roman"/>
          <w:sz w:val="24"/>
          <w:szCs w:val="24"/>
        </w:rPr>
        <w:t>5</w:t>
      </w:r>
      <w:r w:rsidR="004A74D8" w:rsidRPr="00C46BE1">
        <w:rPr>
          <w:rFonts w:ascii="Times New Roman" w:hAnsi="Times New Roman" w:cs="Times New Roman"/>
          <w:sz w:val="24"/>
          <w:szCs w:val="24"/>
        </w:rPr>
        <w:t>.</w:t>
      </w:r>
      <w:r w:rsidR="00DC65E8" w:rsidRPr="00C46BE1">
        <w:rPr>
          <w:rFonts w:ascii="Times New Roman" w:hAnsi="Times New Roman" w:cs="Times New Roman"/>
          <w:sz w:val="24"/>
          <w:szCs w:val="24"/>
        </w:rPr>
        <w:t xml:space="preserve"> </w:t>
      </w:r>
      <w:r w:rsidR="004A74D8" w:rsidRPr="00C46BE1">
        <w:rPr>
          <w:rFonts w:ascii="Times New Roman" w:hAnsi="Times New Roman" w:cs="Times New Roman"/>
          <w:sz w:val="24"/>
          <w:szCs w:val="24"/>
        </w:rPr>
        <w:t xml:space="preserve"> </w:t>
      </w:r>
      <w:r w:rsidR="00DC65E8" w:rsidRPr="00C46BE1">
        <w:rPr>
          <w:rFonts w:ascii="Times New Roman" w:hAnsi="Times New Roman" w:cs="Times New Roman"/>
          <w:sz w:val="24"/>
          <w:szCs w:val="24"/>
        </w:rPr>
        <w:t xml:space="preserve"> </w:t>
      </w:r>
    </w:p>
    <w:p w14:paraId="0F238218" w14:textId="3D07277B" w:rsidR="00DC65E8" w:rsidRPr="00C46BE1" w:rsidRDefault="00DC65E8" w:rsidP="00DC65E8">
      <w:pPr>
        <w:pStyle w:val="BHTCCBullet1"/>
        <w:numPr>
          <w:ilvl w:val="0"/>
          <w:numId w:val="0"/>
        </w:numPr>
        <w:contextualSpacing w:val="0"/>
        <w:jc w:val="center"/>
        <w:rPr>
          <w:rFonts w:ascii="Times New Roman" w:hAnsi="Times New Roman" w:cs="Times New Roman"/>
          <w:sz w:val="24"/>
          <w:szCs w:val="24"/>
        </w:rPr>
      </w:pPr>
      <w:r w:rsidRPr="00C46BE1">
        <w:rPr>
          <w:rStyle w:val="ProposalBodyTextChar"/>
          <w:rFonts w:ascii="Tw Cen MT" w:eastAsiaTheme="minorHAnsi" w:hAnsi="Tw Cen MT"/>
          <w:b/>
        </w:rPr>
        <w:t xml:space="preserve">Exhibit </w:t>
      </w:r>
      <w:r w:rsidR="008C3C3E" w:rsidRPr="00C46BE1">
        <w:rPr>
          <w:rStyle w:val="ProposalBodyTextChar"/>
          <w:rFonts w:ascii="Tw Cen MT" w:eastAsiaTheme="minorHAnsi" w:hAnsi="Tw Cen MT"/>
          <w:b/>
        </w:rPr>
        <w:t>2</w:t>
      </w:r>
      <w:r w:rsidRPr="00C46BE1">
        <w:rPr>
          <w:rStyle w:val="ProposalBodyTextChar"/>
          <w:rFonts w:ascii="Tw Cen MT" w:eastAsiaTheme="minorHAnsi" w:hAnsi="Tw Cen MT"/>
          <w:b/>
        </w:rPr>
        <w:t xml:space="preserve">. </w:t>
      </w:r>
      <w:r w:rsidRPr="00C46BE1">
        <w:rPr>
          <w:rFonts w:ascii="Tw Cen MT" w:hAnsi="Tw Cen MT"/>
          <w:b/>
          <w:sz w:val="24"/>
          <w:szCs w:val="24"/>
        </w:rPr>
        <w:t xml:space="preserve">BHTCC </w:t>
      </w:r>
      <w:r w:rsidR="00595B7C" w:rsidRPr="00C46BE1">
        <w:rPr>
          <w:rFonts w:ascii="Tw Cen MT" w:hAnsi="Tw Cen MT"/>
          <w:b/>
          <w:sz w:val="24"/>
          <w:szCs w:val="24"/>
        </w:rPr>
        <w:t xml:space="preserve">Study </w:t>
      </w:r>
      <w:r w:rsidRPr="00C46BE1">
        <w:rPr>
          <w:rFonts w:ascii="Tw Cen MT" w:hAnsi="Tw Cen MT"/>
          <w:b/>
          <w:sz w:val="24"/>
          <w:szCs w:val="24"/>
        </w:rPr>
        <w:t xml:space="preserve">Questions and Data Sources </w:t>
      </w:r>
    </w:p>
    <w:tbl>
      <w:tblPr>
        <w:tblW w:w="5000" w:type="pct"/>
        <w:jc w:val="center"/>
        <w:tblBorders>
          <w:top w:val="single" w:sz="8" w:space="0" w:color="323E4F"/>
          <w:left w:val="single" w:sz="8" w:space="0" w:color="323E4F"/>
          <w:bottom w:val="single" w:sz="8" w:space="0" w:color="323E4F"/>
          <w:right w:val="single" w:sz="8" w:space="0" w:color="323E4F"/>
          <w:insideH w:val="single" w:sz="8" w:space="0" w:color="323E4F"/>
          <w:insideV w:val="single" w:sz="8" w:space="0" w:color="323E4F"/>
        </w:tblBorders>
        <w:tblLayout w:type="fixed"/>
        <w:tblCellMar>
          <w:left w:w="0" w:type="dxa"/>
          <w:right w:w="0" w:type="dxa"/>
        </w:tblCellMar>
        <w:tblLook w:val="04A0" w:firstRow="1" w:lastRow="0" w:firstColumn="1" w:lastColumn="0" w:noHBand="0" w:noVBand="1"/>
      </w:tblPr>
      <w:tblGrid>
        <w:gridCol w:w="5923"/>
        <w:gridCol w:w="548"/>
        <w:gridCol w:w="548"/>
        <w:gridCol w:w="639"/>
        <w:gridCol w:w="546"/>
        <w:gridCol w:w="643"/>
        <w:gridCol w:w="631"/>
      </w:tblGrid>
      <w:tr w:rsidR="00DC65E8" w:rsidRPr="00C46BE1" w14:paraId="6AA88044" w14:textId="77777777" w:rsidTr="006739CA">
        <w:trPr>
          <w:cantSplit/>
          <w:trHeight w:val="223"/>
          <w:jc w:val="center"/>
        </w:trPr>
        <w:tc>
          <w:tcPr>
            <w:tcW w:w="3125" w:type="pct"/>
            <w:vMerge w:val="restart"/>
            <w:shd w:val="clear" w:color="auto" w:fill="323E4F" w:themeFill="text2" w:themeFillShade="BF"/>
            <w:tcMar>
              <w:top w:w="0" w:type="dxa"/>
              <w:left w:w="108" w:type="dxa"/>
              <w:bottom w:w="0" w:type="dxa"/>
              <w:right w:w="108" w:type="dxa"/>
            </w:tcMar>
            <w:vAlign w:val="center"/>
          </w:tcPr>
          <w:p w14:paraId="60429EC5" w14:textId="77777777" w:rsidR="00DC65E8" w:rsidRPr="00C46BE1" w:rsidRDefault="00DC65E8" w:rsidP="006739CA">
            <w:pPr>
              <w:pStyle w:val="CSETableText"/>
              <w:spacing w:before="0" w:after="0"/>
              <w:jc w:val="center"/>
              <w:rPr>
                <w:rFonts w:ascii="Tw Cen MT" w:hAnsi="Tw Cen MT"/>
                <w:color w:val="FFFFFF" w:themeColor="background1"/>
              </w:rPr>
            </w:pPr>
            <w:r w:rsidRPr="00C46BE1">
              <w:rPr>
                <w:rFonts w:ascii="Tw Cen MT" w:hAnsi="Tw Cen MT"/>
                <w:color w:val="FFFFFF" w:themeColor="background1"/>
              </w:rPr>
              <w:t>BHTCC Study Questions</w:t>
            </w:r>
          </w:p>
        </w:tc>
        <w:tc>
          <w:tcPr>
            <w:tcW w:w="1875" w:type="pct"/>
            <w:gridSpan w:val="6"/>
            <w:shd w:val="clear" w:color="auto" w:fill="323E4F" w:themeFill="text2" w:themeFillShade="BF"/>
            <w:tcMar>
              <w:top w:w="0" w:type="dxa"/>
              <w:left w:w="0" w:type="dxa"/>
              <w:bottom w:w="0" w:type="dxa"/>
              <w:right w:w="0" w:type="dxa"/>
            </w:tcMar>
            <w:vAlign w:val="center"/>
          </w:tcPr>
          <w:p w14:paraId="76D1D36A" w14:textId="77777777" w:rsidR="00DC65E8" w:rsidRPr="00C46BE1" w:rsidRDefault="00DC65E8" w:rsidP="006739CA">
            <w:pPr>
              <w:pStyle w:val="CSETableText"/>
              <w:spacing w:before="0" w:after="0"/>
              <w:jc w:val="center"/>
              <w:rPr>
                <w:rFonts w:ascii="Tw Cen MT" w:hAnsi="Tw Cen MT"/>
                <w:color w:val="FFFFFF" w:themeColor="background1"/>
              </w:rPr>
            </w:pPr>
            <w:r w:rsidRPr="00C46BE1">
              <w:rPr>
                <w:rFonts w:ascii="Tw Cen MT" w:hAnsi="Tw Cen MT"/>
                <w:color w:val="FFFFFF" w:themeColor="background1"/>
              </w:rPr>
              <w:t>Data Source</w:t>
            </w:r>
          </w:p>
        </w:tc>
      </w:tr>
      <w:tr w:rsidR="00DC65E8" w:rsidRPr="00C46BE1" w14:paraId="747022AF" w14:textId="77777777" w:rsidTr="00C01DF0">
        <w:trPr>
          <w:cantSplit/>
          <w:trHeight w:val="1357"/>
          <w:jc w:val="center"/>
        </w:trPr>
        <w:tc>
          <w:tcPr>
            <w:tcW w:w="3125" w:type="pct"/>
            <w:vMerge/>
            <w:shd w:val="clear" w:color="auto" w:fill="DEEAF6" w:themeFill="accent1" w:themeFillTint="33"/>
            <w:tcMar>
              <w:top w:w="0" w:type="dxa"/>
              <w:left w:w="108" w:type="dxa"/>
              <w:bottom w:w="0" w:type="dxa"/>
              <w:right w:w="108" w:type="dxa"/>
            </w:tcMar>
            <w:vAlign w:val="center"/>
          </w:tcPr>
          <w:p w14:paraId="5D4DAD28" w14:textId="77777777" w:rsidR="00DC65E8" w:rsidRPr="00C46BE1" w:rsidRDefault="00DC65E8" w:rsidP="006739CA">
            <w:pPr>
              <w:pStyle w:val="CSETableText"/>
              <w:spacing w:before="0" w:after="0"/>
              <w:rPr>
                <w:rFonts w:ascii="Tw Cen MT" w:hAnsi="Tw Cen MT"/>
              </w:rPr>
            </w:pPr>
          </w:p>
        </w:tc>
        <w:tc>
          <w:tcPr>
            <w:tcW w:w="289" w:type="pct"/>
            <w:shd w:val="clear" w:color="auto" w:fill="D5DCE4" w:themeFill="text2" w:themeFillTint="33"/>
            <w:tcMar>
              <w:top w:w="0" w:type="dxa"/>
              <w:left w:w="72" w:type="dxa"/>
              <w:bottom w:w="0" w:type="dxa"/>
              <w:right w:w="43" w:type="dxa"/>
            </w:tcMar>
            <w:textDirection w:val="btLr"/>
            <w:vAlign w:val="center"/>
          </w:tcPr>
          <w:p w14:paraId="07F8CC6C" w14:textId="024F9E6A" w:rsidR="00DC65E8" w:rsidRPr="00C46BE1" w:rsidRDefault="00DC65E8" w:rsidP="006739CA">
            <w:pPr>
              <w:pStyle w:val="CSETableText"/>
              <w:spacing w:before="0" w:after="0"/>
              <w:ind w:left="72" w:right="43"/>
              <w:rPr>
                <w:rFonts w:ascii="Tw Cen MT" w:hAnsi="Tw Cen MT"/>
              </w:rPr>
            </w:pPr>
            <w:r w:rsidRPr="00C46BE1">
              <w:rPr>
                <w:rFonts w:ascii="Tw Cen MT" w:hAnsi="Tw Cen MT"/>
              </w:rPr>
              <w:t>BPI</w:t>
            </w:r>
            <w:r w:rsidR="00D255F6" w:rsidRPr="00C46BE1">
              <w:rPr>
                <w:rFonts w:ascii="Tw Cen MT" w:hAnsi="Tw Cen MT"/>
              </w:rPr>
              <w:t>–BHTCC</w:t>
            </w:r>
          </w:p>
        </w:tc>
        <w:tc>
          <w:tcPr>
            <w:tcW w:w="289" w:type="pct"/>
            <w:shd w:val="clear" w:color="auto" w:fill="D5DCE4" w:themeFill="text2" w:themeFillTint="33"/>
            <w:tcMar>
              <w:top w:w="0" w:type="dxa"/>
              <w:left w:w="72" w:type="dxa"/>
              <w:bottom w:w="0" w:type="dxa"/>
              <w:right w:w="43" w:type="dxa"/>
            </w:tcMar>
            <w:textDirection w:val="btLr"/>
            <w:vAlign w:val="center"/>
          </w:tcPr>
          <w:p w14:paraId="6EC70C7F" w14:textId="77777777" w:rsidR="00DC65E8" w:rsidRPr="00C46BE1" w:rsidRDefault="00DC65E8" w:rsidP="006739CA">
            <w:pPr>
              <w:pStyle w:val="CSETableText"/>
              <w:spacing w:before="0" w:after="0"/>
              <w:ind w:left="72" w:right="43"/>
              <w:rPr>
                <w:rFonts w:ascii="Tw Cen MT" w:hAnsi="Tw Cen MT"/>
              </w:rPr>
            </w:pPr>
            <w:r w:rsidRPr="00C46BE1">
              <w:rPr>
                <w:rFonts w:ascii="Tw Cen MT" w:hAnsi="Tw Cen MT"/>
              </w:rPr>
              <w:t>SLA KIIs</w:t>
            </w:r>
          </w:p>
        </w:tc>
        <w:tc>
          <w:tcPr>
            <w:tcW w:w="337" w:type="pct"/>
            <w:shd w:val="clear" w:color="auto" w:fill="D5DCE4" w:themeFill="text2" w:themeFillTint="33"/>
            <w:tcMar>
              <w:top w:w="0" w:type="dxa"/>
              <w:left w:w="72" w:type="dxa"/>
              <w:bottom w:w="0" w:type="dxa"/>
              <w:right w:w="43" w:type="dxa"/>
            </w:tcMar>
            <w:textDirection w:val="btLr"/>
            <w:vAlign w:val="center"/>
          </w:tcPr>
          <w:p w14:paraId="653745FE" w14:textId="77777777" w:rsidR="00DC65E8" w:rsidRPr="00C46BE1" w:rsidRDefault="00DC65E8" w:rsidP="006739CA">
            <w:pPr>
              <w:pStyle w:val="CSETableText"/>
              <w:spacing w:before="0" w:after="0"/>
              <w:ind w:left="72" w:right="43"/>
              <w:rPr>
                <w:rFonts w:ascii="Tw Cen MT" w:hAnsi="Tw Cen MT"/>
              </w:rPr>
            </w:pPr>
            <w:r w:rsidRPr="00C46BE1">
              <w:rPr>
                <w:rFonts w:ascii="Tw Cen MT" w:hAnsi="Tw Cen MT"/>
              </w:rPr>
              <w:t>Concept Mapping</w:t>
            </w:r>
          </w:p>
        </w:tc>
        <w:tc>
          <w:tcPr>
            <w:tcW w:w="288" w:type="pct"/>
            <w:shd w:val="clear" w:color="auto" w:fill="D5DCE4" w:themeFill="text2" w:themeFillTint="33"/>
            <w:tcMar>
              <w:top w:w="0" w:type="dxa"/>
              <w:left w:w="72" w:type="dxa"/>
              <w:bottom w:w="0" w:type="dxa"/>
              <w:right w:w="43" w:type="dxa"/>
            </w:tcMar>
            <w:textDirection w:val="btLr"/>
            <w:vAlign w:val="center"/>
          </w:tcPr>
          <w:p w14:paraId="148503CF" w14:textId="77777777" w:rsidR="00DC65E8" w:rsidRPr="00C46BE1" w:rsidRDefault="00DC65E8" w:rsidP="006739CA">
            <w:pPr>
              <w:pStyle w:val="CSETableText"/>
              <w:spacing w:before="0" w:after="0"/>
              <w:ind w:left="72" w:right="43"/>
              <w:rPr>
                <w:rFonts w:ascii="Tw Cen MT" w:hAnsi="Tw Cen MT"/>
              </w:rPr>
            </w:pPr>
            <w:r w:rsidRPr="00C46BE1">
              <w:rPr>
                <w:rFonts w:ascii="Tw Cen MT" w:hAnsi="Tw Cen MT"/>
              </w:rPr>
              <w:t>18-Month Tool</w:t>
            </w:r>
          </w:p>
        </w:tc>
        <w:tc>
          <w:tcPr>
            <w:tcW w:w="339" w:type="pct"/>
            <w:shd w:val="clear" w:color="auto" w:fill="D5DCE4" w:themeFill="text2" w:themeFillTint="33"/>
            <w:tcMar>
              <w:top w:w="0" w:type="dxa"/>
              <w:left w:w="72" w:type="dxa"/>
              <w:bottom w:w="0" w:type="dxa"/>
              <w:right w:w="43" w:type="dxa"/>
            </w:tcMar>
            <w:textDirection w:val="btLr"/>
            <w:vAlign w:val="center"/>
          </w:tcPr>
          <w:p w14:paraId="4DEFCA34" w14:textId="72EA4FA5" w:rsidR="00DC65E8" w:rsidRPr="00C46BE1" w:rsidRDefault="00DC65E8" w:rsidP="006739CA">
            <w:pPr>
              <w:pStyle w:val="CSETableText"/>
              <w:spacing w:before="0" w:after="0"/>
              <w:ind w:left="72" w:right="43"/>
              <w:rPr>
                <w:rFonts w:ascii="Tw Cen MT" w:hAnsi="Tw Cen MT"/>
              </w:rPr>
            </w:pPr>
            <w:r w:rsidRPr="00C46BE1">
              <w:rPr>
                <w:rFonts w:ascii="Tw Cen MT" w:hAnsi="Tw Cen MT"/>
              </w:rPr>
              <w:t>Comparison Study Tool</w:t>
            </w:r>
            <w:r w:rsidR="00F1232C" w:rsidRPr="00C46BE1">
              <w:rPr>
                <w:rFonts w:ascii="Tw Cen MT" w:hAnsi="Tw Cen MT"/>
              </w:rPr>
              <w:t>s</w:t>
            </w:r>
          </w:p>
        </w:tc>
        <w:tc>
          <w:tcPr>
            <w:tcW w:w="332" w:type="pct"/>
            <w:shd w:val="clear" w:color="auto" w:fill="D5DCE4" w:themeFill="text2" w:themeFillTint="33"/>
            <w:tcMar>
              <w:left w:w="72" w:type="dxa"/>
              <w:right w:w="43" w:type="dxa"/>
            </w:tcMar>
            <w:textDirection w:val="btLr"/>
            <w:vAlign w:val="center"/>
          </w:tcPr>
          <w:p w14:paraId="032D1AF7" w14:textId="0EE6D483" w:rsidR="00DC65E8" w:rsidRPr="00C46BE1" w:rsidRDefault="00031029" w:rsidP="00031029">
            <w:pPr>
              <w:pStyle w:val="CSETableText"/>
              <w:spacing w:before="0" w:after="0"/>
              <w:ind w:left="72" w:right="43"/>
              <w:rPr>
                <w:rFonts w:ascii="Tw Cen MT" w:hAnsi="Tw Cen MT"/>
              </w:rPr>
            </w:pPr>
            <w:r w:rsidRPr="00C46BE1">
              <w:rPr>
                <w:rFonts w:ascii="Tw Cen MT" w:hAnsi="Tw Cen MT"/>
              </w:rPr>
              <w:t>Extant Client-Level Data</w:t>
            </w:r>
          </w:p>
        </w:tc>
      </w:tr>
      <w:tr w:rsidR="00DC65E8" w:rsidRPr="00C46BE1" w14:paraId="5C16BDC3" w14:textId="77777777" w:rsidTr="00D255F6">
        <w:trPr>
          <w:jc w:val="center"/>
        </w:trPr>
        <w:tc>
          <w:tcPr>
            <w:tcW w:w="3125" w:type="pct"/>
            <w:shd w:val="clear" w:color="auto" w:fill="auto"/>
            <w:tcMar>
              <w:top w:w="0" w:type="dxa"/>
              <w:left w:w="108" w:type="dxa"/>
              <w:bottom w:w="0" w:type="dxa"/>
              <w:right w:w="108" w:type="dxa"/>
            </w:tcMar>
            <w:vAlign w:val="center"/>
            <w:hideMark/>
          </w:tcPr>
          <w:p w14:paraId="0CEF932F" w14:textId="77777777" w:rsidR="00DC65E8" w:rsidRPr="00C46BE1" w:rsidRDefault="00DC65E8" w:rsidP="006739CA">
            <w:pPr>
              <w:pStyle w:val="CSETable2"/>
              <w:spacing w:before="20" w:after="20" w:line="240" w:lineRule="auto"/>
              <w:rPr>
                <w:rFonts w:ascii="Tw Cen MT" w:hAnsi="Tw Cen MT"/>
                <w:b w:val="0"/>
              </w:rPr>
            </w:pPr>
            <w:r w:rsidRPr="00C46BE1">
              <w:rPr>
                <w:rFonts w:ascii="Tw Cen MT" w:hAnsi="Tw Cen MT"/>
                <w:b w:val="0"/>
              </w:rPr>
              <w:t>Does the collaborative model enhance access to treatment and recovery support for persons with mental illness, substance use disorders, and co-occurring disorders?</w:t>
            </w:r>
          </w:p>
        </w:tc>
        <w:tc>
          <w:tcPr>
            <w:tcW w:w="289" w:type="pct"/>
            <w:tcMar>
              <w:top w:w="0" w:type="dxa"/>
              <w:left w:w="108" w:type="dxa"/>
              <w:bottom w:w="0" w:type="dxa"/>
              <w:right w:w="108" w:type="dxa"/>
            </w:tcMar>
            <w:vAlign w:val="center"/>
          </w:tcPr>
          <w:p w14:paraId="5DEE2300" w14:textId="77777777" w:rsidR="00DC65E8" w:rsidRPr="00C46BE1" w:rsidRDefault="00DC65E8" w:rsidP="006739CA">
            <w:pPr>
              <w:pStyle w:val="CSETableText"/>
              <w:jc w:val="center"/>
              <w:rPr>
                <w:rFonts w:ascii="Tw Cen MT" w:hAnsi="Tw Cen MT"/>
              </w:rPr>
            </w:pPr>
            <w:r w:rsidRPr="00C46BE1">
              <w:rPr>
                <w:rFonts w:ascii="Tw Cen MT" w:hAnsi="Tw Cen MT"/>
              </w:rPr>
              <w:t>X</w:t>
            </w:r>
          </w:p>
        </w:tc>
        <w:tc>
          <w:tcPr>
            <w:tcW w:w="289" w:type="pct"/>
            <w:tcMar>
              <w:top w:w="0" w:type="dxa"/>
              <w:left w:w="108" w:type="dxa"/>
              <w:bottom w:w="0" w:type="dxa"/>
              <w:right w:w="108" w:type="dxa"/>
            </w:tcMar>
            <w:vAlign w:val="center"/>
          </w:tcPr>
          <w:p w14:paraId="13C1A84B" w14:textId="77777777" w:rsidR="00DC65E8" w:rsidRPr="00C46BE1" w:rsidRDefault="00DC65E8" w:rsidP="006739CA">
            <w:pPr>
              <w:pStyle w:val="CSETableText"/>
              <w:jc w:val="center"/>
              <w:rPr>
                <w:rFonts w:ascii="Tw Cen MT" w:hAnsi="Tw Cen MT"/>
              </w:rPr>
            </w:pPr>
            <w:r w:rsidRPr="00C46BE1">
              <w:rPr>
                <w:rFonts w:ascii="Tw Cen MT" w:hAnsi="Tw Cen MT"/>
              </w:rPr>
              <w:t>X</w:t>
            </w:r>
          </w:p>
        </w:tc>
        <w:tc>
          <w:tcPr>
            <w:tcW w:w="337" w:type="pct"/>
            <w:tcMar>
              <w:top w:w="0" w:type="dxa"/>
              <w:left w:w="108" w:type="dxa"/>
              <w:bottom w:w="0" w:type="dxa"/>
              <w:right w:w="108" w:type="dxa"/>
            </w:tcMar>
            <w:vAlign w:val="center"/>
          </w:tcPr>
          <w:p w14:paraId="0762114D" w14:textId="77777777" w:rsidR="00DC65E8" w:rsidRPr="00C46BE1" w:rsidRDefault="00DC65E8" w:rsidP="006739CA">
            <w:pPr>
              <w:pStyle w:val="CSETableText"/>
              <w:jc w:val="center"/>
              <w:rPr>
                <w:rFonts w:ascii="Tw Cen MT" w:hAnsi="Tw Cen MT"/>
              </w:rPr>
            </w:pPr>
            <w:r w:rsidRPr="00C46BE1">
              <w:rPr>
                <w:rFonts w:ascii="Tw Cen MT" w:hAnsi="Tw Cen MT"/>
              </w:rPr>
              <w:t>X</w:t>
            </w:r>
          </w:p>
        </w:tc>
        <w:tc>
          <w:tcPr>
            <w:tcW w:w="288" w:type="pct"/>
            <w:tcMar>
              <w:top w:w="0" w:type="dxa"/>
              <w:left w:w="108" w:type="dxa"/>
              <w:bottom w:w="0" w:type="dxa"/>
              <w:right w:w="108" w:type="dxa"/>
            </w:tcMar>
            <w:vAlign w:val="center"/>
          </w:tcPr>
          <w:p w14:paraId="583E7875" w14:textId="77777777" w:rsidR="00DC65E8" w:rsidRPr="00C46BE1" w:rsidRDefault="00DC65E8" w:rsidP="006739CA">
            <w:pPr>
              <w:pStyle w:val="CSETableText"/>
              <w:jc w:val="center"/>
              <w:rPr>
                <w:rFonts w:ascii="Tw Cen MT" w:hAnsi="Tw Cen MT"/>
              </w:rPr>
            </w:pPr>
          </w:p>
        </w:tc>
        <w:tc>
          <w:tcPr>
            <w:tcW w:w="339" w:type="pct"/>
            <w:tcMar>
              <w:top w:w="0" w:type="dxa"/>
              <w:left w:w="108" w:type="dxa"/>
              <w:bottom w:w="0" w:type="dxa"/>
              <w:right w:w="108" w:type="dxa"/>
            </w:tcMar>
            <w:vAlign w:val="center"/>
          </w:tcPr>
          <w:p w14:paraId="6FA01743" w14:textId="77777777" w:rsidR="00DC65E8" w:rsidRPr="00C46BE1" w:rsidRDefault="00DC65E8" w:rsidP="006739CA">
            <w:pPr>
              <w:pStyle w:val="CSETableText"/>
              <w:jc w:val="center"/>
              <w:rPr>
                <w:rFonts w:ascii="Tw Cen MT" w:hAnsi="Tw Cen MT"/>
              </w:rPr>
            </w:pPr>
          </w:p>
        </w:tc>
        <w:tc>
          <w:tcPr>
            <w:tcW w:w="332" w:type="pct"/>
            <w:vAlign w:val="center"/>
          </w:tcPr>
          <w:p w14:paraId="6BA961B8" w14:textId="77777777" w:rsidR="00DC65E8" w:rsidRPr="00C46BE1" w:rsidRDefault="00DC65E8" w:rsidP="006739CA">
            <w:pPr>
              <w:pStyle w:val="CSETableText"/>
              <w:jc w:val="center"/>
              <w:rPr>
                <w:rFonts w:ascii="Tw Cen MT" w:hAnsi="Tw Cen MT"/>
              </w:rPr>
            </w:pPr>
          </w:p>
        </w:tc>
      </w:tr>
      <w:tr w:rsidR="00DC65E8" w:rsidRPr="00C46BE1" w14:paraId="036AE80A" w14:textId="77777777" w:rsidTr="00D255F6">
        <w:trPr>
          <w:jc w:val="center"/>
        </w:trPr>
        <w:tc>
          <w:tcPr>
            <w:tcW w:w="3125" w:type="pct"/>
            <w:shd w:val="clear" w:color="auto" w:fill="auto"/>
            <w:tcMar>
              <w:top w:w="0" w:type="dxa"/>
              <w:left w:w="108" w:type="dxa"/>
              <w:bottom w:w="0" w:type="dxa"/>
              <w:right w:w="108" w:type="dxa"/>
            </w:tcMar>
            <w:vAlign w:val="center"/>
            <w:hideMark/>
          </w:tcPr>
          <w:p w14:paraId="6F7ACDA9" w14:textId="77777777" w:rsidR="00DC65E8" w:rsidRPr="00C46BE1" w:rsidRDefault="00DC65E8" w:rsidP="006739CA">
            <w:pPr>
              <w:pStyle w:val="CSETable2"/>
              <w:spacing w:before="20" w:after="20" w:line="240" w:lineRule="auto"/>
              <w:rPr>
                <w:rFonts w:ascii="Tw Cen MT" w:hAnsi="Tw Cen MT"/>
                <w:b w:val="0"/>
              </w:rPr>
            </w:pPr>
            <w:r w:rsidRPr="00C46BE1">
              <w:rPr>
                <w:rFonts w:ascii="Tw Cen MT" w:hAnsi="Tw Cen MT"/>
                <w:b w:val="0"/>
              </w:rPr>
              <w:t>Are different collaborative configurations associated with different service delivery and client outcomes (i.e., those with municipal courts or not)?</w:t>
            </w:r>
          </w:p>
        </w:tc>
        <w:tc>
          <w:tcPr>
            <w:tcW w:w="289" w:type="pct"/>
            <w:tcMar>
              <w:top w:w="0" w:type="dxa"/>
              <w:left w:w="108" w:type="dxa"/>
              <w:bottom w:w="0" w:type="dxa"/>
              <w:right w:w="108" w:type="dxa"/>
            </w:tcMar>
            <w:vAlign w:val="center"/>
          </w:tcPr>
          <w:p w14:paraId="5530B4D8" w14:textId="4A0F119C" w:rsidR="00DC65E8" w:rsidRPr="00C46BE1" w:rsidRDefault="00530A00" w:rsidP="006739CA">
            <w:pPr>
              <w:pStyle w:val="CSETableText"/>
              <w:jc w:val="center"/>
              <w:rPr>
                <w:rFonts w:ascii="Tw Cen MT" w:hAnsi="Tw Cen MT"/>
              </w:rPr>
            </w:pPr>
            <w:r w:rsidRPr="00C46BE1">
              <w:rPr>
                <w:rFonts w:ascii="Tw Cen MT" w:hAnsi="Tw Cen MT"/>
              </w:rPr>
              <w:t>X</w:t>
            </w:r>
          </w:p>
        </w:tc>
        <w:tc>
          <w:tcPr>
            <w:tcW w:w="289" w:type="pct"/>
            <w:tcMar>
              <w:top w:w="0" w:type="dxa"/>
              <w:left w:w="108" w:type="dxa"/>
              <w:bottom w:w="0" w:type="dxa"/>
              <w:right w:w="108" w:type="dxa"/>
            </w:tcMar>
            <w:vAlign w:val="center"/>
          </w:tcPr>
          <w:p w14:paraId="4896A466" w14:textId="77777777" w:rsidR="00DC65E8" w:rsidRPr="00C46BE1" w:rsidRDefault="00DC65E8" w:rsidP="006739CA">
            <w:pPr>
              <w:pStyle w:val="CSETableText"/>
              <w:jc w:val="center"/>
              <w:rPr>
                <w:rFonts w:ascii="Tw Cen MT" w:hAnsi="Tw Cen MT"/>
              </w:rPr>
            </w:pPr>
          </w:p>
        </w:tc>
        <w:tc>
          <w:tcPr>
            <w:tcW w:w="337" w:type="pct"/>
            <w:tcMar>
              <w:top w:w="0" w:type="dxa"/>
              <w:left w:w="108" w:type="dxa"/>
              <w:bottom w:w="0" w:type="dxa"/>
              <w:right w:w="108" w:type="dxa"/>
            </w:tcMar>
            <w:vAlign w:val="center"/>
          </w:tcPr>
          <w:p w14:paraId="562DC667" w14:textId="77777777" w:rsidR="00DC65E8" w:rsidRPr="00C46BE1" w:rsidRDefault="00DC65E8" w:rsidP="006739CA">
            <w:pPr>
              <w:pStyle w:val="CSETableText"/>
              <w:jc w:val="center"/>
              <w:rPr>
                <w:rFonts w:ascii="Tw Cen MT" w:hAnsi="Tw Cen MT"/>
              </w:rPr>
            </w:pPr>
          </w:p>
        </w:tc>
        <w:tc>
          <w:tcPr>
            <w:tcW w:w="288" w:type="pct"/>
            <w:tcMar>
              <w:top w:w="0" w:type="dxa"/>
              <w:left w:w="108" w:type="dxa"/>
              <w:bottom w:w="0" w:type="dxa"/>
              <w:right w:w="108" w:type="dxa"/>
            </w:tcMar>
            <w:vAlign w:val="center"/>
          </w:tcPr>
          <w:p w14:paraId="35214618" w14:textId="77777777" w:rsidR="00DC65E8" w:rsidRPr="00C46BE1" w:rsidRDefault="00DC65E8" w:rsidP="006739CA">
            <w:pPr>
              <w:pStyle w:val="CSETableText"/>
              <w:jc w:val="center"/>
              <w:rPr>
                <w:rFonts w:ascii="Tw Cen MT" w:hAnsi="Tw Cen MT"/>
              </w:rPr>
            </w:pPr>
            <w:r w:rsidRPr="00C46BE1">
              <w:rPr>
                <w:rFonts w:ascii="Tw Cen MT" w:hAnsi="Tw Cen MT"/>
              </w:rPr>
              <w:t>X</w:t>
            </w:r>
          </w:p>
        </w:tc>
        <w:tc>
          <w:tcPr>
            <w:tcW w:w="339" w:type="pct"/>
            <w:tcMar>
              <w:top w:w="0" w:type="dxa"/>
              <w:left w:w="108" w:type="dxa"/>
              <w:bottom w:w="0" w:type="dxa"/>
              <w:right w:w="108" w:type="dxa"/>
            </w:tcMar>
            <w:vAlign w:val="center"/>
          </w:tcPr>
          <w:p w14:paraId="588AD70A" w14:textId="77777777" w:rsidR="00DC65E8" w:rsidRPr="00C46BE1" w:rsidRDefault="00DC65E8" w:rsidP="006739CA">
            <w:pPr>
              <w:pStyle w:val="CSETableText"/>
              <w:jc w:val="center"/>
              <w:rPr>
                <w:rFonts w:ascii="Tw Cen MT" w:hAnsi="Tw Cen MT"/>
              </w:rPr>
            </w:pPr>
            <w:r w:rsidRPr="00C46BE1">
              <w:rPr>
                <w:rFonts w:ascii="Tw Cen MT" w:hAnsi="Tw Cen MT"/>
              </w:rPr>
              <w:t>X</w:t>
            </w:r>
          </w:p>
        </w:tc>
        <w:tc>
          <w:tcPr>
            <w:tcW w:w="332" w:type="pct"/>
            <w:vAlign w:val="center"/>
          </w:tcPr>
          <w:p w14:paraId="6168900B" w14:textId="77777777" w:rsidR="00DC65E8" w:rsidRPr="00C46BE1" w:rsidRDefault="00DC65E8" w:rsidP="006739CA">
            <w:pPr>
              <w:pStyle w:val="CSETableText"/>
              <w:jc w:val="center"/>
              <w:rPr>
                <w:rFonts w:ascii="Tw Cen MT" w:hAnsi="Tw Cen MT"/>
              </w:rPr>
            </w:pPr>
            <w:r w:rsidRPr="00C46BE1">
              <w:rPr>
                <w:rFonts w:ascii="Tw Cen MT" w:hAnsi="Tw Cen MT"/>
              </w:rPr>
              <w:t>X</w:t>
            </w:r>
          </w:p>
        </w:tc>
      </w:tr>
      <w:tr w:rsidR="00DC65E8" w:rsidRPr="00C46BE1" w14:paraId="1C2FFAB6" w14:textId="77777777" w:rsidTr="00D255F6">
        <w:trPr>
          <w:jc w:val="center"/>
        </w:trPr>
        <w:tc>
          <w:tcPr>
            <w:tcW w:w="3125" w:type="pct"/>
            <w:shd w:val="clear" w:color="auto" w:fill="auto"/>
            <w:tcMar>
              <w:top w:w="0" w:type="dxa"/>
              <w:left w:w="108" w:type="dxa"/>
              <w:bottom w:w="0" w:type="dxa"/>
              <w:right w:w="108" w:type="dxa"/>
            </w:tcMar>
            <w:vAlign w:val="center"/>
            <w:hideMark/>
          </w:tcPr>
          <w:p w14:paraId="37548CA5" w14:textId="77777777" w:rsidR="00DC65E8" w:rsidRPr="00C46BE1" w:rsidRDefault="00DC65E8" w:rsidP="006739CA">
            <w:pPr>
              <w:pStyle w:val="CSETable2"/>
              <w:spacing w:before="20" w:after="20" w:line="240" w:lineRule="auto"/>
              <w:rPr>
                <w:rFonts w:ascii="Tw Cen MT" w:hAnsi="Tw Cen MT"/>
                <w:b w:val="0"/>
              </w:rPr>
            </w:pPr>
            <w:r w:rsidRPr="00C46BE1">
              <w:rPr>
                <w:rFonts w:ascii="Tw Cen MT" w:hAnsi="Tw Cen MT"/>
                <w:b w:val="0"/>
              </w:rPr>
              <w:t>What are the advantages and disadvantages of a collaborative partnership program model versus a single problem-solving court model (i.e., drug courts)?</w:t>
            </w:r>
          </w:p>
        </w:tc>
        <w:tc>
          <w:tcPr>
            <w:tcW w:w="289" w:type="pct"/>
            <w:tcMar>
              <w:top w:w="0" w:type="dxa"/>
              <w:left w:w="108" w:type="dxa"/>
              <w:bottom w:w="0" w:type="dxa"/>
              <w:right w:w="108" w:type="dxa"/>
            </w:tcMar>
            <w:vAlign w:val="center"/>
          </w:tcPr>
          <w:p w14:paraId="41A45495" w14:textId="77777777" w:rsidR="00DC65E8" w:rsidRPr="00C46BE1" w:rsidRDefault="00DC65E8" w:rsidP="006739CA">
            <w:pPr>
              <w:pStyle w:val="CSETableText"/>
              <w:jc w:val="center"/>
              <w:rPr>
                <w:rFonts w:ascii="Tw Cen MT" w:hAnsi="Tw Cen MT"/>
              </w:rPr>
            </w:pPr>
          </w:p>
        </w:tc>
        <w:tc>
          <w:tcPr>
            <w:tcW w:w="289" w:type="pct"/>
            <w:tcMar>
              <w:top w:w="0" w:type="dxa"/>
              <w:left w:w="108" w:type="dxa"/>
              <w:bottom w:w="0" w:type="dxa"/>
              <w:right w:w="108" w:type="dxa"/>
            </w:tcMar>
            <w:vAlign w:val="center"/>
          </w:tcPr>
          <w:p w14:paraId="584DAC46" w14:textId="77777777" w:rsidR="00DC65E8" w:rsidRPr="00C46BE1" w:rsidRDefault="00DC65E8" w:rsidP="006739CA">
            <w:pPr>
              <w:pStyle w:val="CSETableText"/>
              <w:jc w:val="center"/>
              <w:rPr>
                <w:rFonts w:ascii="Tw Cen MT" w:hAnsi="Tw Cen MT"/>
              </w:rPr>
            </w:pPr>
            <w:r w:rsidRPr="00C46BE1">
              <w:rPr>
                <w:rFonts w:ascii="Tw Cen MT" w:hAnsi="Tw Cen MT"/>
              </w:rPr>
              <w:t>X</w:t>
            </w:r>
          </w:p>
        </w:tc>
        <w:tc>
          <w:tcPr>
            <w:tcW w:w="337" w:type="pct"/>
            <w:tcMar>
              <w:top w:w="0" w:type="dxa"/>
              <w:left w:w="108" w:type="dxa"/>
              <w:bottom w:w="0" w:type="dxa"/>
              <w:right w:w="108" w:type="dxa"/>
            </w:tcMar>
            <w:vAlign w:val="center"/>
          </w:tcPr>
          <w:p w14:paraId="36D6D298" w14:textId="77777777" w:rsidR="00DC65E8" w:rsidRPr="00C46BE1" w:rsidRDefault="00DC65E8" w:rsidP="006739CA">
            <w:pPr>
              <w:pStyle w:val="CSETableText"/>
              <w:jc w:val="center"/>
              <w:rPr>
                <w:rFonts w:ascii="Tw Cen MT" w:hAnsi="Tw Cen MT"/>
              </w:rPr>
            </w:pPr>
            <w:r w:rsidRPr="00C46BE1">
              <w:rPr>
                <w:rFonts w:ascii="Tw Cen MT" w:hAnsi="Tw Cen MT"/>
              </w:rPr>
              <w:t>X</w:t>
            </w:r>
          </w:p>
        </w:tc>
        <w:tc>
          <w:tcPr>
            <w:tcW w:w="288" w:type="pct"/>
            <w:tcMar>
              <w:top w:w="0" w:type="dxa"/>
              <w:left w:w="108" w:type="dxa"/>
              <w:bottom w:w="0" w:type="dxa"/>
              <w:right w:w="108" w:type="dxa"/>
            </w:tcMar>
            <w:vAlign w:val="center"/>
          </w:tcPr>
          <w:p w14:paraId="6A59F0E6" w14:textId="77777777" w:rsidR="00DC65E8" w:rsidRPr="00C46BE1" w:rsidRDefault="00DC65E8" w:rsidP="006739CA">
            <w:pPr>
              <w:pStyle w:val="CSETableText"/>
              <w:jc w:val="center"/>
              <w:rPr>
                <w:rFonts w:ascii="Tw Cen MT" w:hAnsi="Tw Cen MT"/>
              </w:rPr>
            </w:pPr>
          </w:p>
        </w:tc>
        <w:tc>
          <w:tcPr>
            <w:tcW w:w="339" w:type="pct"/>
            <w:tcMar>
              <w:top w:w="0" w:type="dxa"/>
              <w:left w:w="108" w:type="dxa"/>
              <w:bottom w:w="0" w:type="dxa"/>
              <w:right w:w="108" w:type="dxa"/>
            </w:tcMar>
            <w:vAlign w:val="center"/>
          </w:tcPr>
          <w:p w14:paraId="177BA609" w14:textId="77777777" w:rsidR="00DC65E8" w:rsidRPr="00C46BE1" w:rsidRDefault="00DC65E8" w:rsidP="006739CA">
            <w:pPr>
              <w:pStyle w:val="CSETableText"/>
              <w:jc w:val="center"/>
              <w:rPr>
                <w:rFonts w:ascii="Tw Cen MT" w:hAnsi="Tw Cen MT"/>
              </w:rPr>
            </w:pPr>
          </w:p>
        </w:tc>
        <w:tc>
          <w:tcPr>
            <w:tcW w:w="332" w:type="pct"/>
            <w:vAlign w:val="center"/>
          </w:tcPr>
          <w:p w14:paraId="7D9D721F" w14:textId="77777777" w:rsidR="00DC65E8" w:rsidRPr="00C46BE1" w:rsidRDefault="00DC65E8" w:rsidP="006739CA">
            <w:pPr>
              <w:pStyle w:val="CSETableText"/>
              <w:jc w:val="center"/>
              <w:rPr>
                <w:rFonts w:ascii="Tw Cen MT" w:hAnsi="Tw Cen MT"/>
              </w:rPr>
            </w:pPr>
          </w:p>
        </w:tc>
      </w:tr>
      <w:tr w:rsidR="00DC65E8" w:rsidRPr="00C46BE1" w14:paraId="4FB7F74B" w14:textId="77777777" w:rsidTr="00D255F6">
        <w:trPr>
          <w:trHeight w:val="520"/>
          <w:jc w:val="center"/>
        </w:trPr>
        <w:tc>
          <w:tcPr>
            <w:tcW w:w="3125" w:type="pct"/>
            <w:shd w:val="clear" w:color="auto" w:fill="auto"/>
            <w:tcMar>
              <w:top w:w="0" w:type="dxa"/>
              <w:left w:w="108" w:type="dxa"/>
              <w:bottom w:w="0" w:type="dxa"/>
              <w:right w:w="108" w:type="dxa"/>
            </w:tcMar>
          </w:tcPr>
          <w:p w14:paraId="77B1DDDF" w14:textId="77777777" w:rsidR="00DC65E8" w:rsidRPr="00C46BE1" w:rsidRDefault="00DC65E8" w:rsidP="006739CA">
            <w:pPr>
              <w:pStyle w:val="CSETable2"/>
              <w:spacing w:after="0" w:line="240" w:lineRule="auto"/>
              <w:rPr>
                <w:rFonts w:ascii="Tw Cen MT" w:hAnsi="Tw Cen MT"/>
                <w:b w:val="0"/>
              </w:rPr>
            </w:pPr>
            <w:r w:rsidRPr="00C46BE1">
              <w:rPr>
                <w:rFonts w:ascii="Tw Cen MT" w:hAnsi="Tw Cen MT"/>
                <w:b w:val="0"/>
              </w:rPr>
              <w:t>How do the intra- and interagency characteristics of the collaboration impact client outcomes?</w:t>
            </w:r>
          </w:p>
        </w:tc>
        <w:tc>
          <w:tcPr>
            <w:tcW w:w="289" w:type="pct"/>
            <w:tcMar>
              <w:top w:w="0" w:type="dxa"/>
              <w:left w:w="108" w:type="dxa"/>
              <w:bottom w:w="0" w:type="dxa"/>
              <w:right w:w="108" w:type="dxa"/>
            </w:tcMar>
            <w:vAlign w:val="center"/>
          </w:tcPr>
          <w:p w14:paraId="7D99B855" w14:textId="77777777" w:rsidR="00DC65E8" w:rsidRPr="00C46BE1" w:rsidRDefault="00DC65E8" w:rsidP="006739CA">
            <w:pPr>
              <w:pStyle w:val="CSETableText"/>
              <w:spacing w:before="0" w:after="0"/>
              <w:jc w:val="center"/>
              <w:rPr>
                <w:rFonts w:ascii="Tw Cen MT" w:hAnsi="Tw Cen MT"/>
              </w:rPr>
            </w:pPr>
          </w:p>
        </w:tc>
        <w:tc>
          <w:tcPr>
            <w:tcW w:w="289" w:type="pct"/>
            <w:tcMar>
              <w:top w:w="0" w:type="dxa"/>
              <w:left w:w="108" w:type="dxa"/>
              <w:bottom w:w="0" w:type="dxa"/>
              <w:right w:w="108" w:type="dxa"/>
            </w:tcMar>
            <w:vAlign w:val="center"/>
          </w:tcPr>
          <w:p w14:paraId="0D418CB1" w14:textId="77777777" w:rsidR="00DC65E8" w:rsidRPr="00C46BE1" w:rsidRDefault="00DC65E8" w:rsidP="006739CA">
            <w:pPr>
              <w:pStyle w:val="CSETableText"/>
              <w:spacing w:before="0" w:after="0"/>
              <w:jc w:val="center"/>
              <w:rPr>
                <w:rFonts w:ascii="Tw Cen MT" w:hAnsi="Tw Cen MT"/>
              </w:rPr>
            </w:pPr>
            <w:r w:rsidRPr="00C46BE1">
              <w:t>X</w:t>
            </w:r>
          </w:p>
        </w:tc>
        <w:tc>
          <w:tcPr>
            <w:tcW w:w="337" w:type="pct"/>
            <w:tcMar>
              <w:top w:w="0" w:type="dxa"/>
              <w:left w:w="108" w:type="dxa"/>
              <w:bottom w:w="0" w:type="dxa"/>
              <w:right w:w="108" w:type="dxa"/>
            </w:tcMar>
            <w:vAlign w:val="center"/>
          </w:tcPr>
          <w:p w14:paraId="26BF26DD" w14:textId="77777777" w:rsidR="00DC65E8" w:rsidRPr="00C46BE1" w:rsidRDefault="00DC65E8" w:rsidP="006739CA">
            <w:pPr>
              <w:pStyle w:val="CSETableText"/>
              <w:spacing w:before="0" w:after="0"/>
              <w:jc w:val="center"/>
              <w:rPr>
                <w:rFonts w:ascii="Tw Cen MT" w:hAnsi="Tw Cen MT"/>
              </w:rPr>
            </w:pPr>
            <w:r w:rsidRPr="00C46BE1">
              <w:t>X</w:t>
            </w:r>
          </w:p>
        </w:tc>
        <w:tc>
          <w:tcPr>
            <w:tcW w:w="288" w:type="pct"/>
            <w:tcMar>
              <w:top w:w="0" w:type="dxa"/>
              <w:left w:w="108" w:type="dxa"/>
              <w:bottom w:w="0" w:type="dxa"/>
              <w:right w:w="108" w:type="dxa"/>
            </w:tcMar>
            <w:vAlign w:val="center"/>
          </w:tcPr>
          <w:p w14:paraId="0E42A77B" w14:textId="77777777" w:rsidR="00DC65E8" w:rsidRPr="00C46BE1" w:rsidRDefault="00DC65E8" w:rsidP="006739CA">
            <w:pPr>
              <w:pStyle w:val="CSETableText"/>
              <w:spacing w:before="0" w:after="0"/>
              <w:jc w:val="center"/>
              <w:rPr>
                <w:rFonts w:ascii="Tw Cen MT" w:hAnsi="Tw Cen MT"/>
              </w:rPr>
            </w:pPr>
            <w:r w:rsidRPr="00C46BE1">
              <w:t>X</w:t>
            </w:r>
          </w:p>
        </w:tc>
        <w:tc>
          <w:tcPr>
            <w:tcW w:w="339" w:type="pct"/>
            <w:tcMar>
              <w:top w:w="0" w:type="dxa"/>
              <w:left w:w="108" w:type="dxa"/>
              <w:bottom w:w="0" w:type="dxa"/>
              <w:right w:w="108" w:type="dxa"/>
            </w:tcMar>
            <w:vAlign w:val="center"/>
          </w:tcPr>
          <w:p w14:paraId="2E1FE031" w14:textId="77777777" w:rsidR="00DC65E8" w:rsidRPr="00C46BE1" w:rsidRDefault="00DC65E8" w:rsidP="006739CA">
            <w:pPr>
              <w:pStyle w:val="CSETableText"/>
              <w:spacing w:before="0" w:after="0"/>
              <w:jc w:val="center"/>
              <w:rPr>
                <w:rFonts w:ascii="Tw Cen MT" w:hAnsi="Tw Cen MT"/>
              </w:rPr>
            </w:pPr>
          </w:p>
        </w:tc>
        <w:tc>
          <w:tcPr>
            <w:tcW w:w="332" w:type="pct"/>
            <w:vAlign w:val="center"/>
          </w:tcPr>
          <w:p w14:paraId="17E88EB8" w14:textId="77777777" w:rsidR="00DC65E8" w:rsidRPr="00C46BE1" w:rsidRDefault="00DC65E8" w:rsidP="006739CA">
            <w:pPr>
              <w:pStyle w:val="CSETableText"/>
              <w:spacing w:before="0" w:after="0"/>
              <w:jc w:val="center"/>
              <w:rPr>
                <w:rFonts w:ascii="Tw Cen MT" w:hAnsi="Tw Cen MT"/>
              </w:rPr>
            </w:pPr>
            <w:r w:rsidRPr="00C46BE1">
              <w:t>X</w:t>
            </w:r>
          </w:p>
        </w:tc>
      </w:tr>
    </w:tbl>
    <w:p w14:paraId="1DBD019D" w14:textId="20D9120F" w:rsidR="00324931" w:rsidRPr="00C46BE1" w:rsidRDefault="00324931" w:rsidP="00C43735">
      <w:pPr>
        <w:pStyle w:val="BHTCCBody"/>
        <w:keepNext/>
        <w:spacing w:before="240" w:after="60"/>
        <w:rPr>
          <w:rFonts w:ascii="Tw Cen MT" w:hAnsi="Tw Cen MT" w:cs="Times New Roman"/>
          <w:b/>
          <w:sz w:val="26"/>
          <w:szCs w:val="26"/>
          <w:u w:val="single"/>
        </w:rPr>
      </w:pPr>
      <w:r w:rsidRPr="00C46BE1">
        <w:rPr>
          <w:rFonts w:ascii="Tw Cen MT" w:hAnsi="Tw Cen MT" w:cs="Times New Roman"/>
          <w:b/>
          <w:sz w:val="26"/>
          <w:szCs w:val="26"/>
          <w:u w:val="single"/>
        </w:rPr>
        <w:t xml:space="preserve">BHTCC </w:t>
      </w:r>
      <w:r w:rsidR="003E1CF4" w:rsidRPr="00C46BE1">
        <w:rPr>
          <w:rFonts w:ascii="Tw Cen MT" w:hAnsi="Tw Cen MT" w:cs="Times New Roman"/>
          <w:b/>
          <w:sz w:val="26"/>
          <w:szCs w:val="26"/>
          <w:u w:val="single"/>
        </w:rPr>
        <w:t>System</w:t>
      </w:r>
      <w:r w:rsidR="00C42B48" w:rsidRPr="00C46BE1">
        <w:rPr>
          <w:rFonts w:ascii="Tw Cen MT" w:hAnsi="Tw Cen MT" w:cs="Times New Roman"/>
          <w:b/>
          <w:sz w:val="26"/>
          <w:szCs w:val="26"/>
          <w:u w:val="single"/>
        </w:rPr>
        <w:t xml:space="preserve"> Change </w:t>
      </w:r>
      <w:r w:rsidR="00595B7C" w:rsidRPr="00C46BE1">
        <w:rPr>
          <w:rFonts w:ascii="Tw Cen MT" w:hAnsi="Tw Cen MT" w:cs="Times New Roman"/>
          <w:b/>
          <w:sz w:val="26"/>
          <w:szCs w:val="26"/>
          <w:u w:val="single"/>
        </w:rPr>
        <w:t>Subs</w:t>
      </w:r>
      <w:r w:rsidR="00C42B48" w:rsidRPr="00C46BE1">
        <w:rPr>
          <w:rFonts w:ascii="Tw Cen MT" w:hAnsi="Tw Cen MT" w:cs="Times New Roman"/>
          <w:b/>
          <w:sz w:val="26"/>
          <w:szCs w:val="26"/>
          <w:u w:val="single"/>
        </w:rPr>
        <w:t>tudy</w:t>
      </w:r>
    </w:p>
    <w:p w14:paraId="0F7BD6A8" w14:textId="47562EBE" w:rsidR="00595B7C" w:rsidRPr="00C46BE1" w:rsidRDefault="00324931" w:rsidP="00595B7C">
      <w:pPr>
        <w:pStyle w:val="BHTCCBody"/>
        <w:rPr>
          <w:rFonts w:ascii="Times New Roman" w:hAnsi="Times New Roman" w:cs="Times New Roman"/>
          <w:sz w:val="24"/>
          <w:szCs w:val="24"/>
        </w:rPr>
      </w:pPr>
      <w:r w:rsidRPr="00C46BE1">
        <w:rPr>
          <w:rFonts w:ascii="Times New Roman" w:hAnsi="Times New Roman" w:cs="Times New Roman"/>
          <w:sz w:val="24"/>
          <w:szCs w:val="24"/>
        </w:rPr>
        <w:t xml:space="preserve">The </w:t>
      </w:r>
      <w:r w:rsidR="003E1CF4" w:rsidRPr="00C46BE1">
        <w:rPr>
          <w:rFonts w:ascii="Times New Roman" w:hAnsi="Times New Roman" w:cs="Times New Roman"/>
          <w:sz w:val="24"/>
          <w:szCs w:val="24"/>
        </w:rPr>
        <w:t xml:space="preserve">BHTCC </w:t>
      </w:r>
      <w:r w:rsidR="00C42B48" w:rsidRPr="00C46BE1">
        <w:rPr>
          <w:rFonts w:ascii="Times New Roman" w:hAnsi="Times New Roman" w:cs="Times New Roman"/>
          <w:sz w:val="24"/>
          <w:szCs w:val="24"/>
        </w:rPr>
        <w:t>SCS</w:t>
      </w:r>
      <w:r w:rsidR="003E1CF4" w:rsidRPr="00C46BE1">
        <w:rPr>
          <w:rFonts w:ascii="Times New Roman" w:hAnsi="Times New Roman" w:cs="Times New Roman"/>
          <w:sz w:val="24"/>
          <w:szCs w:val="24"/>
        </w:rPr>
        <w:t xml:space="preserve"> </w:t>
      </w:r>
      <w:r w:rsidRPr="00C46BE1">
        <w:rPr>
          <w:rFonts w:ascii="Times New Roman" w:hAnsi="Times New Roman" w:cs="Times New Roman"/>
          <w:sz w:val="24"/>
          <w:szCs w:val="24"/>
        </w:rPr>
        <w:t>combines qualitative and quantitative data</w:t>
      </w:r>
      <w:r w:rsidR="00BD062E" w:rsidRPr="00C46BE1">
        <w:rPr>
          <w:rFonts w:ascii="Times New Roman" w:hAnsi="Times New Roman" w:cs="Times New Roman"/>
          <w:sz w:val="24"/>
          <w:szCs w:val="24"/>
        </w:rPr>
        <w:t xml:space="preserve"> </w:t>
      </w:r>
      <w:r w:rsidRPr="00C46BE1">
        <w:rPr>
          <w:rFonts w:ascii="Times New Roman" w:hAnsi="Times New Roman" w:cs="Times New Roman"/>
          <w:sz w:val="24"/>
          <w:szCs w:val="24"/>
        </w:rPr>
        <w:t>to gain an understanding of program implementation processes and associated system-level outcomes</w:t>
      </w:r>
      <w:r w:rsidRPr="00C46BE1">
        <w:rPr>
          <w:rFonts w:ascii="Times New Roman" w:hAnsi="Times New Roman" w:cs="Times New Roman"/>
          <w:color w:val="C00000"/>
          <w:sz w:val="24"/>
          <w:szCs w:val="24"/>
        </w:rPr>
        <w:t xml:space="preserve">. </w:t>
      </w:r>
      <w:r w:rsidRPr="00C46BE1">
        <w:rPr>
          <w:rFonts w:ascii="Times New Roman" w:hAnsi="Times New Roman" w:cs="Times New Roman"/>
          <w:sz w:val="24"/>
          <w:szCs w:val="24"/>
        </w:rPr>
        <w:t xml:space="preserve">Finding will include key stakeholders collaboration strategies and use the principles of CSPs to expand service capacity, improve access to services, and enhance infrastructure. There is a particular focus on management structure—how each community is collaborating with court staff to expand or better serve participants; the process for recruiting, screening, and retaining participants; the practices used to ensure treatment adherence and criminal justice compliance, as well as involvement of consumers in all phases of program planning and implementation. Grantees will be asked to report on trauma-informed programs and evidence-based practices being implemented and infrastructure development over time to understand how these activities evolve over the course of the program. </w:t>
      </w:r>
      <w:r w:rsidR="00595B7C" w:rsidRPr="00C46BE1">
        <w:rPr>
          <w:rFonts w:ascii="Times New Roman" w:hAnsi="Times New Roman" w:cs="Times New Roman"/>
          <w:sz w:val="24"/>
          <w:szCs w:val="24"/>
        </w:rPr>
        <w:t xml:space="preserve">Specific objectives to be addressed include the following: </w:t>
      </w:r>
    </w:p>
    <w:p w14:paraId="1CE6A4A7" w14:textId="7DD286C2" w:rsidR="00595B7C" w:rsidRPr="00C46BE1" w:rsidRDefault="00595B7C" w:rsidP="008C3C3E">
      <w:pPr>
        <w:pStyle w:val="BHTCCBullet1"/>
        <w:spacing w:after="60"/>
        <w:contextualSpacing w:val="0"/>
        <w:rPr>
          <w:rFonts w:ascii="Times New Roman" w:hAnsi="Times New Roman" w:cs="Times New Roman"/>
          <w:sz w:val="24"/>
          <w:szCs w:val="24"/>
        </w:rPr>
      </w:pPr>
      <w:r w:rsidRPr="00C46BE1">
        <w:rPr>
          <w:rFonts w:ascii="Times New Roman" w:hAnsi="Times New Roman" w:cs="Times New Roman"/>
          <w:sz w:val="24"/>
          <w:szCs w:val="24"/>
        </w:rPr>
        <w:t>Describe the system models</w:t>
      </w:r>
      <w:r w:rsidR="002857CC" w:rsidRPr="00C46BE1">
        <w:rPr>
          <w:rFonts w:ascii="Times New Roman" w:hAnsi="Times New Roman" w:cs="Times New Roman"/>
          <w:sz w:val="24"/>
          <w:szCs w:val="24"/>
        </w:rPr>
        <w:t xml:space="preserve">, </w:t>
      </w:r>
      <w:r w:rsidRPr="00C46BE1">
        <w:rPr>
          <w:rFonts w:ascii="Times New Roman" w:hAnsi="Times New Roman" w:cs="Times New Roman"/>
          <w:sz w:val="24"/>
          <w:szCs w:val="24"/>
        </w:rPr>
        <w:t>including management and staffing</w:t>
      </w:r>
      <w:r w:rsidR="002857CC" w:rsidRPr="00C46BE1">
        <w:rPr>
          <w:rFonts w:ascii="Times New Roman" w:hAnsi="Times New Roman" w:cs="Times New Roman"/>
          <w:sz w:val="24"/>
          <w:szCs w:val="24"/>
        </w:rPr>
        <w:t xml:space="preserve">, </w:t>
      </w:r>
      <w:r w:rsidRPr="00C46BE1">
        <w:rPr>
          <w:rFonts w:ascii="Times New Roman" w:hAnsi="Times New Roman" w:cs="Times New Roman"/>
          <w:sz w:val="24"/>
          <w:szCs w:val="24"/>
        </w:rPr>
        <w:t>for the BHTCC programs</w:t>
      </w:r>
      <w:r w:rsidR="002857CC" w:rsidRPr="00C46BE1">
        <w:rPr>
          <w:rFonts w:ascii="Times New Roman" w:hAnsi="Times New Roman" w:cs="Times New Roman"/>
          <w:sz w:val="24"/>
          <w:szCs w:val="24"/>
        </w:rPr>
        <w:t xml:space="preserve"> </w:t>
      </w:r>
    </w:p>
    <w:p w14:paraId="5747684B" w14:textId="688E4DF4" w:rsidR="00595B7C" w:rsidRPr="00C46BE1" w:rsidRDefault="00595B7C" w:rsidP="008C3C3E">
      <w:pPr>
        <w:pStyle w:val="BHTCCBullet1"/>
        <w:spacing w:after="60"/>
        <w:contextualSpacing w:val="0"/>
        <w:rPr>
          <w:rFonts w:ascii="Times New Roman" w:hAnsi="Times New Roman" w:cs="Times New Roman"/>
          <w:sz w:val="24"/>
          <w:szCs w:val="24"/>
        </w:rPr>
      </w:pPr>
      <w:r w:rsidRPr="00C46BE1">
        <w:rPr>
          <w:rFonts w:ascii="Times New Roman" w:hAnsi="Times New Roman" w:cs="Times New Roman"/>
          <w:sz w:val="24"/>
          <w:szCs w:val="24"/>
        </w:rPr>
        <w:t>Determine the impact of interagency collaboration on service planning, delivery, and coordination</w:t>
      </w:r>
      <w:r w:rsidR="002857CC" w:rsidRPr="00C46BE1">
        <w:rPr>
          <w:rFonts w:ascii="Times New Roman" w:hAnsi="Times New Roman" w:cs="Times New Roman"/>
          <w:sz w:val="24"/>
          <w:szCs w:val="24"/>
        </w:rPr>
        <w:t xml:space="preserve"> </w:t>
      </w:r>
      <w:r w:rsidRPr="00C46BE1">
        <w:rPr>
          <w:rFonts w:ascii="Times New Roman" w:hAnsi="Times New Roman" w:cs="Times New Roman"/>
          <w:sz w:val="24"/>
          <w:szCs w:val="24"/>
        </w:rPr>
        <w:t xml:space="preserve"> </w:t>
      </w:r>
    </w:p>
    <w:p w14:paraId="6978E5FA" w14:textId="6FC624C9" w:rsidR="00595B7C" w:rsidRPr="00C46BE1" w:rsidRDefault="00595B7C" w:rsidP="008C3C3E">
      <w:pPr>
        <w:pStyle w:val="BHTCCBullet1"/>
        <w:spacing w:after="60"/>
        <w:contextualSpacing w:val="0"/>
        <w:rPr>
          <w:rFonts w:ascii="Times New Roman" w:hAnsi="Times New Roman" w:cs="Times New Roman"/>
          <w:sz w:val="24"/>
          <w:szCs w:val="24"/>
        </w:rPr>
      </w:pPr>
      <w:r w:rsidRPr="00C46BE1">
        <w:rPr>
          <w:rFonts w:ascii="Times New Roman" w:hAnsi="Times New Roman" w:cs="Times New Roman"/>
          <w:sz w:val="24"/>
          <w:szCs w:val="24"/>
        </w:rPr>
        <w:t>Document the processes for participant recruitment, intake, and retention</w:t>
      </w:r>
      <w:r w:rsidR="002857CC" w:rsidRPr="00C46BE1">
        <w:rPr>
          <w:rFonts w:ascii="Times New Roman" w:hAnsi="Times New Roman" w:cs="Times New Roman"/>
          <w:sz w:val="24"/>
          <w:szCs w:val="24"/>
        </w:rPr>
        <w:t xml:space="preserve"> </w:t>
      </w:r>
      <w:r w:rsidRPr="00C46BE1">
        <w:rPr>
          <w:rFonts w:ascii="Times New Roman" w:hAnsi="Times New Roman" w:cs="Times New Roman"/>
          <w:sz w:val="24"/>
          <w:szCs w:val="24"/>
        </w:rPr>
        <w:t xml:space="preserve"> </w:t>
      </w:r>
    </w:p>
    <w:p w14:paraId="5E1B94C4" w14:textId="476BC449" w:rsidR="00595B7C" w:rsidRPr="00C46BE1" w:rsidRDefault="00595B7C" w:rsidP="00595B7C">
      <w:pPr>
        <w:pStyle w:val="BHTCCBullet1"/>
        <w:spacing w:after="200"/>
        <w:contextualSpacing w:val="0"/>
        <w:rPr>
          <w:rFonts w:ascii="Times New Roman" w:hAnsi="Times New Roman" w:cs="Times New Roman"/>
          <w:sz w:val="24"/>
          <w:szCs w:val="24"/>
        </w:rPr>
      </w:pPr>
      <w:r w:rsidRPr="00C46BE1">
        <w:rPr>
          <w:rFonts w:ascii="Times New Roman" w:hAnsi="Times New Roman" w:cs="Times New Roman"/>
          <w:sz w:val="24"/>
          <w:szCs w:val="24"/>
        </w:rPr>
        <w:t>Define how consumer-driven practices are incorporated into the BHTCC programs</w:t>
      </w:r>
      <w:r w:rsidR="002857CC" w:rsidRPr="00C46BE1">
        <w:rPr>
          <w:rFonts w:ascii="Times New Roman" w:hAnsi="Times New Roman" w:cs="Times New Roman"/>
          <w:sz w:val="24"/>
          <w:szCs w:val="24"/>
        </w:rPr>
        <w:t xml:space="preserve"> </w:t>
      </w:r>
    </w:p>
    <w:p w14:paraId="6CC46F13" w14:textId="7262F020" w:rsidR="00DC65E8" w:rsidRPr="00C46BE1" w:rsidRDefault="00DC65E8" w:rsidP="00505686">
      <w:pPr>
        <w:pStyle w:val="BHTCCBody"/>
        <w:rPr>
          <w:rFonts w:ascii="Times New Roman" w:hAnsi="Times New Roman" w:cs="Times New Roman"/>
          <w:sz w:val="24"/>
          <w:szCs w:val="24"/>
        </w:rPr>
      </w:pPr>
      <w:r w:rsidRPr="00C46BE1">
        <w:rPr>
          <w:rFonts w:ascii="Times New Roman" w:hAnsi="Times New Roman" w:cs="Times New Roman"/>
          <w:sz w:val="24"/>
          <w:szCs w:val="24"/>
        </w:rPr>
        <w:t>Data collection activities include</w:t>
      </w:r>
      <w:r w:rsidR="00236354" w:rsidRPr="00C46BE1">
        <w:rPr>
          <w:rFonts w:ascii="Times New Roman" w:hAnsi="Times New Roman" w:cs="Times New Roman"/>
          <w:sz w:val="24"/>
          <w:szCs w:val="24"/>
        </w:rPr>
        <w:t xml:space="preserve">: </w:t>
      </w:r>
      <w:r w:rsidR="00BD062E" w:rsidRPr="00C46BE1">
        <w:rPr>
          <w:rFonts w:ascii="Times New Roman" w:hAnsi="Times New Roman" w:cs="Times New Roman"/>
          <w:sz w:val="24"/>
          <w:szCs w:val="24"/>
        </w:rPr>
        <w:t>BPI–BHTCC</w:t>
      </w:r>
      <w:r w:rsidR="00173E25" w:rsidRPr="00C46BE1">
        <w:rPr>
          <w:rFonts w:ascii="Times New Roman" w:hAnsi="Times New Roman" w:cs="Times New Roman"/>
          <w:sz w:val="24"/>
          <w:szCs w:val="24"/>
        </w:rPr>
        <w:t xml:space="preserve"> Version</w:t>
      </w:r>
      <w:r w:rsidR="00236354" w:rsidRPr="00C46BE1">
        <w:rPr>
          <w:rFonts w:ascii="Times New Roman" w:hAnsi="Times New Roman" w:cs="Times New Roman"/>
          <w:sz w:val="24"/>
          <w:szCs w:val="24"/>
        </w:rPr>
        <w:t xml:space="preserve">, </w:t>
      </w:r>
      <w:r w:rsidR="00D255F6" w:rsidRPr="00C46BE1">
        <w:rPr>
          <w:rFonts w:ascii="Times New Roman" w:hAnsi="Times New Roman" w:cs="Times New Roman"/>
          <w:sz w:val="24"/>
          <w:szCs w:val="24"/>
        </w:rPr>
        <w:t>SLA</w:t>
      </w:r>
      <w:r w:rsidRPr="00C46BE1">
        <w:rPr>
          <w:rFonts w:ascii="Times New Roman" w:hAnsi="Times New Roman" w:cs="Times New Roman"/>
          <w:sz w:val="24"/>
          <w:szCs w:val="24"/>
        </w:rPr>
        <w:t xml:space="preserve"> </w:t>
      </w:r>
      <w:r w:rsidR="00D255F6" w:rsidRPr="00C46BE1">
        <w:rPr>
          <w:rFonts w:ascii="Times New Roman" w:hAnsi="Times New Roman" w:cs="Times New Roman"/>
          <w:sz w:val="24"/>
          <w:szCs w:val="24"/>
        </w:rPr>
        <w:t>KIIs (Court Personnel, Service Provider, and Consumer Versions)</w:t>
      </w:r>
      <w:r w:rsidR="00236354" w:rsidRPr="00C46BE1">
        <w:rPr>
          <w:rFonts w:ascii="Times New Roman" w:hAnsi="Times New Roman" w:cs="Times New Roman"/>
          <w:sz w:val="24"/>
          <w:szCs w:val="24"/>
        </w:rPr>
        <w:t>, and concept mapping</w:t>
      </w:r>
      <w:r w:rsidR="00BD062E" w:rsidRPr="00C46BE1">
        <w:rPr>
          <w:rFonts w:ascii="Times New Roman" w:hAnsi="Times New Roman" w:cs="Times New Roman"/>
          <w:sz w:val="24"/>
          <w:szCs w:val="24"/>
        </w:rPr>
        <w:t>.</w:t>
      </w:r>
      <w:r w:rsidR="004A74D8" w:rsidRPr="00C46BE1">
        <w:rPr>
          <w:rFonts w:ascii="Times New Roman" w:hAnsi="Times New Roman" w:cs="Times New Roman"/>
          <w:sz w:val="24"/>
          <w:szCs w:val="24"/>
        </w:rPr>
        <w:t xml:space="preserve"> </w:t>
      </w:r>
      <w:r w:rsidR="006739CA" w:rsidRPr="00C46BE1">
        <w:rPr>
          <w:rFonts w:ascii="Times New Roman" w:hAnsi="Times New Roman" w:cs="Times New Roman"/>
          <w:sz w:val="24"/>
          <w:szCs w:val="24"/>
        </w:rPr>
        <w:t xml:space="preserve"> </w:t>
      </w:r>
    </w:p>
    <w:p w14:paraId="02EB7915" w14:textId="77777777" w:rsidR="00DC65E8" w:rsidRPr="00C46BE1" w:rsidRDefault="00DC65E8" w:rsidP="00DC65E8">
      <w:pPr>
        <w:pStyle w:val="BHTCCBody"/>
        <w:spacing w:before="200" w:after="60"/>
        <w:rPr>
          <w:rFonts w:ascii="Tw Cen MT" w:hAnsi="Tw Cen MT" w:cs="Times New Roman"/>
          <w:b/>
          <w:i/>
          <w:sz w:val="24"/>
          <w:szCs w:val="24"/>
        </w:rPr>
      </w:pPr>
      <w:r w:rsidRPr="00C46BE1">
        <w:rPr>
          <w:rFonts w:ascii="Tw Cen MT" w:hAnsi="Tw Cen MT" w:cs="Times New Roman"/>
          <w:b/>
          <w:i/>
          <w:sz w:val="24"/>
          <w:szCs w:val="24"/>
        </w:rPr>
        <w:t>Concept Mapping</w:t>
      </w:r>
    </w:p>
    <w:p w14:paraId="51299A9A" w14:textId="311780FC" w:rsidR="00B6634B" w:rsidRPr="00C46BE1" w:rsidRDefault="00BD062E" w:rsidP="00C43735">
      <w:pPr>
        <w:pStyle w:val="BHTCCBody"/>
        <w:rPr>
          <w:rFonts w:ascii="Times New Roman" w:hAnsi="Times New Roman" w:cs="Times New Roman"/>
          <w:sz w:val="24"/>
          <w:szCs w:val="24"/>
        </w:rPr>
      </w:pPr>
      <w:r w:rsidRPr="00C46BE1">
        <w:rPr>
          <w:rFonts w:ascii="Times New Roman" w:hAnsi="Times New Roman" w:cs="Times New Roman"/>
          <w:sz w:val="24"/>
          <w:szCs w:val="24"/>
        </w:rPr>
        <w:t>Concept mapping is a recognized tool that supports the interaction between evaluation practice, organizational learning, and community-level</w:t>
      </w:r>
      <w:r w:rsidR="008C3C3E" w:rsidRPr="00C46BE1">
        <w:rPr>
          <w:rFonts w:ascii="Times New Roman" w:hAnsi="Times New Roman" w:cs="Times New Roman"/>
          <w:sz w:val="24"/>
          <w:szCs w:val="24"/>
        </w:rPr>
        <w:t xml:space="preserve"> </w:t>
      </w:r>
      <w:r w:rsidRPr="00C46BE1">
        <w:rPr>
          <w:rFonts w:ascii="Times New Roman" w:hAnsi="Times New Roman" w:cs="Times New Roman"/>
          <w:sz w:val="24"/>
          <w:szCs w:val="24"/>
        </w:rPr>
        <w:t xml:space="preserve">change. This mixed-method, participatory technique, which involves the brainstorming, rating, and sorting of ideas, incorporates two CSP principles—consumer-centered and consumer-empowerment. </w:t>
      </w:r>
      <w:r w:rsidR="00044716" w:rsidRPr="00C46BE1">
        <w:rPr>
          <w:rFonts w:ascii="Times New Roman" w:hAnsi="Times New Roman" w:cs="Times New Roman"/>
          <w:sz w:val="24"/>
          <w:szCs w:val="24"/>
        </w:rPr>
        <w:t xml:space="preserve">In total, four concept mapping exercises will be conducted as part of the SLA. </w:t>
      </w:r>
      <w:r w:rsidR="00DC65E8" w:rsidRPr="00C46BE1">
        <w:rPr>
          <w:rFonts w:ascii="Times New Roman" w:hAnsi="Times New Roman" w:cs="Times New Roman"/>
          <w:sz w:val="24"/>
          <w:szCs w:val="24"/>
        </w:rPr>
        <w:t>The purpose of the exercise</w:t>
      </w:r>
      <w:r w:rsidR="00044716" w:rsidRPr="00C46BE1">
        <w:rPr>
          <w:rFonts w:ascii="Times New Roman" w:hAnsi="Times New Roman" w:cs="Times New Roman"/>
          <w:sz w:val="24"/>
          <w:szCs w:val="24"/>
        </w:rPr>
        <w:t>s</w:t>
      </w:r>
      <w:r w:rsidR="00DC65E8" w:rsidRPr="00C46BE1">
        <w:rPr>
          <w:rFonts w:ascii="Times New Roman" w:hAnsi="Times New Roman" w:cs="Times New Roman"/>
          <w:sz w:val="24"/>
          <w:szCs w:val="24"/>
        </w:rPr>
        <w:t xml:space="preserve"> is (1) to gain an understanding of the dimensions of programming that are considered most crucial for program implementation (with involvement from key stakeholders) and (2) identify a roadmap for improving services. </w:t>
      </w:r>
      <w:r w:rsidR="00044716" w:rsidRPr="00C46BE1">
        <w:rPr>
          <w:rFonts w:ascii="Times New Roman" w:hAnsi="Times New Roman" w:cs="Times New Roman"/>
          <w:sz w:val="24"/>
          <w:szCs w:val="24"/>
        </w:rPr>
        <w:t>Concept mapping</w:t>
      </w:r>
      <w:r w:rsidR="00DC65E8" w:rsidRPr="00C46BE1">
        <w:rPr>
          <w:rFonts w:ascii="Times New Roman" w:hAnsi="Times New Roman" w:cs="Times New Roman"/>
          <w:sz w:val="24"/>
          <w:szCs w:val="24"/>
        </w:rPr>
        <w:t xml:space="preserve"> will integrate the perspectives of </w:t>
      </w:r>
      <w:r w:rsidR="00B62C8B" w:rsidRPr="00C46BE1">
        <w:rPr>
          <w:rFonts w:ascii="Times New Roman" w:hAnsi="Times New Roman" w:cs="Times New Roman"/>
          <w:sz w:val="24"/>
          <w:szCs w:val="24"/>
        </w:rPr>
        <w:t xml:space="preserve">four </w:t>
      </w:r>
      <w:r w:rsidR="00DC65E8" w:rsidRPr="00C46BE1">
        <w:rPr>
          <w:rFonts w:ascii="Times New Roman" w:hAnsi="Times New Roman" w:cs="Times New Roman"/>
          <w:sz w:val="24"/>
          <w:szCs w:val="24"/>
        </w:rPr>
        <w:t>stakeholder</w:t>
      </w:r>
      <w:r w:rsidR="00B62C8B" w:rsidRPr="00C46BE1">
        <w:rPr>
          <w:rFonts w:ascii="Times New Roman" w:hAnsi="Times New Roman" w:cs="Times New Roman"/>
          <w:sz w:val="24"/>
          <w:szCs w:val="24"/>
        </w:rPr>
        <w:t xml:space="preserve"> types</w:t>
      </w:r>
      <w:r w:rsidR="00DC65E8" w:rsidRPr="00C46BE1">
        <w:rPr>
          <w:rFonts w:ascii="Times New Roman" w:hAnsi="Times New Roman" w:cs="Times New Roman"/>
          <w:sz w:val="24"/>
          <w:szCs w:val="24"/>
        </w:rPr>
        <w:t>—BHTCC peers, consumers, family members of consumers, and court personnel—</w:t>
      </w:r>
      <w:r w:rsidR="00B62C8B" w:rsidRPr="00C46BE1">
        <w:rPr>
          <w:rFonts w:ascii="Times New Roman" w:hAnsi="Times New Roman" w:cs="Times New Roman"/>
          <w:sz w:val="24"/>
          <w:szCs w:val="24"/>
        </w:rPr>
        <w:t>some</w:t>
      </w:r>
      <w:r w:rsidR="00DC65E8" w:rsidRPr="00C46BE1">
        <w:rPr>
          <w:rFonts w:ascii="Times New Roman" w:hAnsi="Times New Roman" w:cs="Times New Roman"/>
          <w:sz w:val="24"/>
          <w:szCs w:val="24"/>
        </w:rPr>
        <w:t xml:space="preserve"> of whom </w:t>
      </w:r>
      <w:r w:rsidR="006B69FC" w:rsidRPr="00C46BE1">
        <w:rPr>
          <w:rFonts w:ascii="Times New Roman" w:hAnsi="Times New Roman" w:cs="Times New Roman"/>
          <w:sz w:val="24"/>
          <w:szCs w:val="24"/>
        </w:rPr>
        <w:t xml:space="preserve">otherwise </w:t>
      </w:r>
      <w:r w:rsidR="00B62C8B" w:rsidRPr="00C46BE1">
        <w:rPr>
          <w:rFonts w:ascii="Times New Roman" w:hAnsi="Times New Roman" w:cs="Times New Roman"/>
          <w:sz w:val="24"/>
          <w:szCs w:val="24"/>
        </w:rPr>
        <w:t xml:space="preserve">may not have a voice in </w:t>
      </w:r>
      <w:r w:rsidR="00DC65E8" w:rsidRPr="00C46BE1">
        <w:rPr>
          <w:rFonts w:ascii="Times New Roman" w:hAnsi="Times New Roman" w:cs="Times New Roman"/>
          <w:sz w:val="24"/>
          <w:szCs w:val="24"/>
        </w:rPr>
        <w:t xml:space="preserve">or advocate </w:t>
      </w:r>
      <w:r w:rsidR="004A74D8" w:rsidRPr="00C46BE1">
        <w:rPr>
          <w:rFonts w:ascii="Times New Roman" w:hAnsi="Times New Roman" w:cs="Times New Roman"/>
          <w:sz w:val="24"/>
          <w:szCs w:val="24"/>
        </w:rPr>
        <w:t>for w</w:t>
      </w:r>
      <w:r w:rsidR="00DC65E8" w:rsidRPr="00C46BE1">
        <w:rPr>
          <w:rFonts w:ascii="Times New Roman" w:hAnsi="Times New Roman" w:cs="Times New Roman"/>
          <w:sz w:val="24"/>
          <w:szCs w:val="24"/>
        </w:rPr>
        <w:t xml:space="preserve">hat works well in these systems. The process </w:t>
      </w:r>
      <w:r w:rsidR="006B69FC" w:rsidRPr="00C46BE1">
        <w:rPr>
          <w:rFonts w:ascii="Times New Roman" w:hAnsi="Times New Roman" w:cs="Times New Roman"/>
          <w:sz w:val="24"/>
          <w:szCs w:val="24"/>
        </w:rPr>
        <w:t xml:space="preserve">affords them a voice, as well as equal footing with the evaluators and each other, in </w:t>
      </w:r>
      <w:r w:rsidR="00EE474C" w:rsidRPr="00C46BE1">
        <w:rPr>
          <w:rFonts w:ascii="Times New Roman" w:hAnsi="Times New Roman" w:cs="Times New Roman"/>
          <w:sz w:val="24"/>
          <w:szCs w:val="24"/>
        </w:rPr>
        <w:t>the</w:t>
      </w:r>
      <w:r w:rsidR="006B69FC" w:rsidRPr="00C46BE1">
        <w:rPr>
          <w:rFonts w:ascii="Times New Roman" w:hAnsi="Times New Roman" w:cs="Times New Roman"/>
          <w:sz w:val="24"/>
          <w:szCs w:val="24"/>
        </w:rPr>
        <w:t xml:space="preserve"> collection, analysis, and interpretation</w:t>
      </w:r>
      <w:r w:rsidR="00EE474C" w:rsidRPr="00C46BE1">
        <w:rPr>
          <w:rFonts w:ascii="Times New Roman" w:hAnsi="Times New Roman" w:cs="Times New Roman"/>
          <w:sz w:val="24"/>
          <w:szCs w:val="24"/>
        </w:rPr>
        <w:t xml:space="preserve"> of data</w:t>
      </w:r>
      <w:r w:rsidR="006B69FC" w:rsidRPr="00C46BE1">
        <w:rPr>
          <w:rFonts w:ascii="Times New Roman" w:hAnsi="Times New Roman" w:cs="Times New Roman"/>
          <w:sz w:val="24"/>
          <w:szCs w:val="24"/>
        </w:rPr>
        <w:t xml:space="preserve">. </w:t>
      </w:r>
      <w:r w:rsidR="006739CA" w:rsidRPr="00C46BE1">
        <w:rPr>
          <w:rFonts w:ascii="Times New Roman" w:hAnsi="Times New Roman" w:cs="Times New Roman"/>
          <w:sz w:val="24"/>
          <w:szCs w:val="24"/>
        </w:rPr>
        <w:t xml:space="preserve">Participants will engage in brainstorming and sorting/rating activities </w:t>
      </w:r>
      <w:r w:rsidR="00044716" w:rsidRPr="00C46BE1">
        <w:rPr>
          <w:rFonts w:ascii="Times New Roman" w:hAnsi="Times New Roman" w:cs="Times New Roman"/>
          <w:sz w:val="24"/>
          <w:szCs w:val="24"/>
        </w:rPr>
        <w:t xml:space="preserve">at the local level </w:t>
      </w:r>
      <w:r w:rsidR="006739CA" w:rsidRPr="00C46BE1">
        <w:rPr>
          <w:rFonts w:ascii="Times New Roman" w:hAnsi="Times New Roman" w:cs="Times New Roman"/>
          <w:sz w:val="24"/>
          <w:szCs w:val="24"/>
        </w:rPr>
        <w:t xml:space="preserve">as part of the process (see Exhibit </w:t>
      </w:r>
      <w:r w:rsidR="008C3C3E" w:rsidRPr="00C46BE1">
        <w:rPr>
          <w:rFonts w:ascii="Times New Roman" w:hAnsi="Times New Roman" w:cs="Times New Roman"/>
          <w:sz w:val="24"/>
          <w:szCs w:val="24"/>
        </w:rPr>
        <w:t>3</w:t>
      </w:r>
      <w:r w:rsidR="006739CA" w:rsidRPr="00C46BE1">
        <w:rPr>
          <w:rFonts w:ascii="Times New Roman" w:hAnsi="Times New Roman" w:cs="Times New Roman"/>
          <w:sz w:val="24"/>
          <w:szCs w:val="24"/>
        </w:rPr>
        <w:t>).</w:t>
      </w:r>
      <w:r w:rsidR="00B6634B" w:rsidRPr="00C46BE1">
        <w:rPr>
          <w:rFonts w:ascii="Times New Roman" w:hAnsi="Times New Roman" w:cs="Times New Roman"/>
          <w:sz w:val="24"/>
          <w:szCs w:val="24"/>
        </w:rPr>
        <w:t xml:space="preserve"> Information will be entered into Concept Systems software for analysis and map creation (</w:t>
      </w:r>
      <w:r w:rsidR="006739CA" w:rsidRPr="00C46BE1">
        <w:rPr>
          <w:rFonts w:ascii="Times New Roman" w:hAnsi="Times New Roman" w:cs="Times New Roman"/>
          <w:sz w:val="24"/>
          <w:szCs w:val="24"/>
        </w:rPr>
        <w:t xml:space="preserve">see </w:t>
      </w:r>
      <w:r w:rsidR="00B6634B" w:rsidRPr="00C46BE1">
        <w:rPr>
          <w:rFonts w:ascii="Times New Roman" w:hAnsi="Times New Roman" w:cs="Times New Roman"/>
          <w:sz w:val="24"/>
          <w:szCs w:val="24"/>
        </w:rPr>
        <w:t>Section A.</w:t>
      </w:r>
      <w:r w:rsidR="009A06D9" w:rsidRPr="00C46BE1">
        <w:rPr>
          <w:rFonts w:ascii="Times New Roman" w:hAnsi="Times New Roman" w:cs="Times New Roman"/>
          <w:sz w:val="24"/>
          <w:szCs w:val="24"/>
        </w:rPr>
        <w:t xml:space="preserve">16.c, </w:t>
      </w:r>
      <w:r w:rsidR="009A06D9" w:rsidRPr="00C46BE1">
        <w:rPr>
          <w:rFonts w:ascii="Times New Roman" w:hAnsi="Times New Roman" w:cs="Times New Roman"/>
          <w:i/>
          <w:sz w:val="24"/>
          <w:szCs w:val="24"/>
        </w:rPr>
        <w:t>Data Analysis Plan</w:t>
      </w:r>
      <w:r w:rsidR="00B6634B" w:rsidRPr="00C46BE1">
        <w:rPr>
          <w:rFonts w:ascii="Times New Roman" w:hAnsi="Times New Roman" w:cs="Times New Roman"/>
          <w:sz w:val="24"/>
          <w:szCs w:val="24"/>
        </w:rPr>
        <w:t xml:space="preserve">). </w:t>
      </w:r>
    </w:p>
    <w:p w14:paraId="26D01381" w14:textId="30E29EBF" w:rsidR="00892947" w:rsidRPr="00C46BE1" w:rsidRDefault="00892947" w:rsidP="008C3C3E">
      <w:pPr>
        <w:pStyle w:val="BHTCCBullet1"/>
        <w:keepNext/>
        <w:numPr>
          <w:ilvl w:val="0"/>
          <w:numId w:val="0"/>
        </w:numPr>
        <w:contextualSpacing w:val="0"/>
        <w:jc w:val="center"/>
        <w:rPr>
          <w:rFonts w:ascii="Times New Roman" w:hAnsi="Times New Roman" w:cs="Times New Roman"/>
          <w:sz w:val="24"/>
          <w:szCs w:val="24"/>
        </w:rPr>
      </w:pPr>
      <w:r w:rsidRPr="00C46BE1">
        <w:rPr>
          <w:rStyle w:val="ProposalBodyTextChar"/>
          <w:rFonts w:ascii="Tw Cen MT" w:eastAsiaTheme="minorHAnsi" w:hAnsi="Tw Cen MT"/>
          <w:b/>
        </w:rPr>
        <w:t xml:space="preserve">Exhibit </w:t>
      </w:r>
      <w:r w:rsidR="008C3C3E" w:rsidRPr="00C46BE1">
        <w:rPr>
          <w:rStyle w:val="ProposalBodyTextChar"/>
          <w:rFonts w:ascii="Tw Cen MT" w:eastAsiaTheme="minorHAnsi" w:hAnsi="Tw Cen MT"/>
          <w:b/>
        </w:rPr>
        <w:t>3</w:t>
      </w:r>
      <w:r w:rsidRPr="00C46BE1">
        <w:rPr>
          <w:rStyle w:val="ProposalBodyTextChar"/>
          <w:rFonts w:ascii="Tw Cen MT" w:eastAsiaTheme="minorHAnsi" w:hAnsi="Tw Cen MT"/>
          <w:b/>
        </w:rPr>
        <w:t xml:space="preserve">. </w:t>
      </w:r>
      <w:r w:rsidR="00B6634B" w:rsidRPr="00C46BE1">
        <w:rPr>
          <w:rStyle w:val="ProposalBodyTextChar"/>
          <w:rFonts w:ascii="Tw Cen MT" w:eastAsiaTheme="minorHAnsi" w:hAnsi="Tw Cen MT"/>
          <w:b/>
        </w:rPr>
        <w:t xml:space="preserve">Steps in the </w:t>
      </w:r>
      <w:r w:rsidRPr="00C46BE1">
        <w:rPr>
          <w:rFonts w:ascii="Tw Cen MT" w:hAnsi="Tw Cen MT"/>
          <w:b/>
          <w:sz w:val="24"/>
          <w:szCs w:val="24"/>
        </w:rPr>
        <w:t xml:space="preserve">Concept Mapping </w:t>
      </w:r>
      <w:r w:rsidR="00775322" w:rsidRPr="00C46BE1">
        <w:rPr>
          <w:rFonts w:ascii="Tw Cen MT" w:hAnsi="Tw Cen MT"/>
          <w:b/>
          <w:sz w:val="24"/>
          <w:szCs w:val="24"/>
        </w:rPr>
        <w:t>Process</w:t>
      </w:r>
    </w:p>
    <w:p w14:paraId="08EB200D" w14:textId="5EE06936" w:rsidR="00B6634B" w:rsidRPr="00C46BE1" w:rsidRDefault="007A7819" w:rsidP="00B6634B">
      <w:pPr>
        <w:pStyle w:val="BHTCCBody"/>
        <w:jc w:val="center"/>
        <w:rPr>
          <w:rFonts w:ascii="Times New Roman" w:hAnsi="Times New Roman" w:cs="Times New Roman"/>
          <w:sz w:val="24"/>
          <w:szCs w:val="24"/>
        </w:rPr>
      </w:pPr>
      <w:r w:rsidRPr="00C46BE1">
        <w:rPr>
          <w:rFonts w:ascii="Times New Roman" w:hAnsi="Times New Roman" w:cs="Times New Roman"/>
          <w:noProof/>
          <w:sz w:val="24"/>
          <w:szCs w:val="24"/>
        </w:rPr>
        <w:drawing>
          <wp:inline distT="0" distB="0" distL="0" distR="0" wp14:anchorId="2BDA2E49" wp14:editId="45AFFF58">
            <wp:extent cx="3187874" cy="18192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93862" cy="1879761"/>
                    </a:xfrm>
                    <a:prstGeom prst="rect">
                      <a:avLst/>
                    </a:prstGeom>
                    <a:noFill/>
                  </pic:spPr>
                </pic:pic>
              </a:graphicData>
            </a:graphic>
          </wp:inline>
        </w:drawing>
      </w:r>
    </w:p>
    <w:p w14:paraId="7D7DA66D" w14:textId="341D9B95" w:rsidR="00324931" w:rsidRPr="00C46BE1" w:rsidRDefault="00324931" w:rsidP="00FC1100">
      <w:pPr>
        <w:pStyle w:val="BHTCCBody"/>
        <w:keepNext/>
        <w:spacing w:before="240" w:after="60"/>
        <w:rPr>
          <w:rFonts w:ascii="Tw Cen MT" w:hAnsi="Tw Cen MT" w:cs="Times New Roman"/>
          <w:b/>
          <w:sz w:val="26"/>
          <w:szCs w:val="26"/>
          <w:u w:val="single"/>
        </w:rPr>
      </w:pPr>
      <w:r w:rsidRPr="00C46BE1">
        <w:rPr>
          <w:rFonts w:ascii="Tw Cen MT" w:hAnsi="Tw Cen MT" w:cs="Times New Roman"/>
          <w:b/>
          <w:sz w:val="26"/>
          <w:szCs w:val="26"/>
          <w:u w:val="single"/>
        </w:rPr>
        <w:t xml:space="preserve">BHTCC Consumer Outcome </w:t>
      </w:r>
      <w:r w:rsidR="00595B7C" w:rsidRPr="00C46BE1">
        <w:rPr>
          <w:rFonts w:ascii="Tw Cen MT" w:hAnsi="Tw Cen MT" w:cs="Times New Roman"/>
          <w:b/>
          <w:sz w:val="26"/>
          <w:szCs w:val="26"/>
          <w:u w:val="single"/>
        </w:rPr>
        <w:t>Substudy</w:t>
      </w:r>
    </w:p>
    <w:p w14:paraId="2B9D337F" w14:textId="05A568DF" w:rsidR="00595B7C" w:rsidRPr="00C46BE1" w:rsidRDefault="00324931" w:rsidP="00595B7C">
      <w:pPr>
        <w:pStyle w:val="BHTCCBody"/>
        <w:rPr>
          <w:rFonts w:ascii="Times New Roman" w:hAnsi="Times New Roman" w:cs="Times New Roman"/>
          <w:sz w:val="24"/>
          <w:szCs w:val="24"/>
        </w:rPr>
      </w:pPr>
      <w:r w:rsidRPr="00C46BE1">
        <w:rPr>
          <w:rFonts w:ascii="Times New Roman" w:hAnsi="Times New Roman" w:cs="Times New Roman"/>
          <w:sz w:val="24"/>
          <w:szCs w:val="24"/>
        </w:rPr>
        <w:t xml:space="preserve">The BHTCC </w:t>
      </w:r>
      <w:r w:rsidR="00595B7C" w:rsidRPr="00C46BE1">
        <w:rPr>
          <w:rFonts w:ascii="Times New Roman" w:hAnsi="Times New Roman" w:cs="Times New Roman"/>
          <w:sz w:val="24"/>
          <w:szCs w:val="24"/>
        </w:rPr>
        <w:t xml:space="preserve">COS </w:t>
      </w:r>
      <w:r w:rsidRPr="00C46BE1">
        <w:rPr>
          <w:rFonts w:ascii="Times New Roman" w:hAnsi="Times New Roman" w:cs="Times New Roman"/>
          <w:sz w:val="24"/>
          <w:szCs w:val="24"/>
        </w:rPr>
        <w:t>takes maximum advantage of client-level data from existing</w:t>
      </w:r>
      <w:r w:rsidR="008406E1" w:rsidRPr="00C46BE1">
        <w:rPr>
          <w:rFonts w:ascii="Times New Roman" w:hAnsi="Times New Roman" w:cs="Times New Roman"/>
          <w:sz w:val="24"/>
          <w:szCs w:val="24"/>
        </w:rPr>
        <w:t xml:space="preserve"> performance monitoring </w:t>
      </w:r>
      <w:r w:rsidR="003805DB" w:rsidRPr="00C46BE1">
        <w:rPr>
          <w:rFonts w:ascii="Times New Roman" w:hAnsi="Times New Roman" w:cs="Times New Roman"/>
          <w:sz w:val="24"/>
          <w:szCs w:val="24"/>
        </w:rPr>
        <w:t>requirements</w:t>
      </w:r>
      <w:r w:rsidR="008C3C3E" w:rsidRPr="00C46BE1">
        <w:rPr>
          <w:rFonts w:ascii="Times New Roman" w:hAnsi="Times New Roman" w:cs="Times New Roman"/>
          <w:sz w:val="24"/>
          <w:szCs w:val="24"/>
        </w:rPr>
        <w:t xml:space="preserve"> to determine BHTCC participant </w:t>
      </w:r>
      <w:r w:rsidRPr="00C46BE1">
        <w:rPr>
          <w:rFonts w:ascii="Times New Roman" w:hAnsi="Times New Roman" w:cs="Times New Roman"/>
          <w:sz w:val="24"/>
          <w:szCs w:val="24"/>
        </w:rPr>
        <w:t>outcomes,</w:t>
      </w:r>
      <w:r w:rsidR="008C3C3E" w:rsidRPr="00C46BE1">
        <w:rPr>
          <w:rFonts w:ascii="Times New Roman" w:hAnsi="Times New Roman" w:cs="Times New Roman"/>
          <w:sz w:val="24"/>
          <w:szCs w:val="24"/>
        </w:rPr>
        <w:t xml:space="preserve"> including functional, clinical, </w:t>
      </w:r>
      <w:r w:rsidRPr="00C46BE1">
        <w:rPr>
          <w:rFonts w:ascii="Times New Roman" w:hAnsi="Times New Roman" w:cs="Times New Roman"/>
          <w:sz w:val="24"/>
          <w:szCs w:val="24"/>
        </w:rPr>
        <w:t xml:space="preserve">and program specific outcomes. In addition to the outcomes data provided through the CDP, data on program participants will be abstracted at 18 months to afford assessment of long-term outcomes related to recidivism (rearrests, recommitment, and revocations). </w:t>
      </w:r>
      <w:r w:rsidR="00595B7C" w:rsidRPr="00C46BE1">
        <w:rPr>
          <w:rFonts w:ascii="Times New Roman" w:hAnsi="Times New Roman" w:cs="Times New Roman"/>
          <w:sz w:val="24"/>
          <w:szCs w:val="24"/>
        </w:rPr>
        <w:t>Specific objectives to be addressed include the following:</w:t>
      </w:r>
    </w:p>
    <w:p w14:paraId="48CD5C63" w14:textId="01503695" w:rsidR="00595B7C" w:rsidRPr="00C46BE1" w:rsidRDefault="0079237C" w:rsidP="008C3C3E">
      <w:pPr>
        <w:pStyle w:val="BHTCCBullet1"/>
        <w:spacing w:after="60"/>
        <w:contextualSpacing w:val="0"/>
        <w:rPr>
          <w:rFonts w:ascii="Times New Roman" w:hAnsi="Times New Roman" w:cs="Times New Roman"/>
          <w:sz w:val="24"/>
          <w:szCs w:val="24"/>
        </w:rPr>
      </w:pPr>
      <w:r w:rsidRPr="00C46BE1">
        <w:rPr>
          <w:rFonts w:ascii="Times New Roman" w:hAnsi="Times New Roman" w:cs="Times New Roman"/>
          <w:sz w:val="24"/>
          <w:szCs w:val="24"/>
        </w:rPr>
        <w:t>Document</w:t>
      </w:r>
      <w:r w:rsidR="00595B7C" w:rsidRPr="00C46BE1">
        <w:rPr>
          <w:rFonts w:ascii="Times New Roman" w:hAnsi="Times New Roman" w:cs="Times New Roman"/>
          <w:sz w:val="24"/>
          <w:szCs w:val="24"/>
        </w:rPr>
        <w:t xml:space="preserve"> participants’ experiences and satisfaction with service delivery and program participation</w:t>
      </w:r>
      <w:r w:rsidR="002857CC" w:rsidRPr="00C46BE1">
        <w:rPr>
          <w:rFonts w:ascii="Times New Roman" w:hAnsi="Times New Roman" w:cs="Times New Roman"/>
          <w:sz w:val="24"/>
          <w:szCs w:val="24"/>
        </w:rPr>
        <w:t xml:space="preserve"> </w:t>
      </w:r>
    </w:p>
    <w:p w14:paraId="095E2639" w14:textId="0AECD28B" w:rsidR="00595B7C" w:rsidRPr="00C46BE1" w:rsidRDefault="00595B7C" w:rsidP="008C3C3E">
      <w:pPr>
        <w:pStyle w:val="BHTCCBullet1"/>
        <w:spacing w:after="60"/>
        <w:contextualSpacing w:val="0"/>
        <w:rPr>
          <w:rFonts w:ascii="Times New Roman" w:hAnsi="Times New Roman" w:cs="Times New Roman"/>
          <w:sz w:val="24"/>
          <w:szCs w:val="24"/>
        </w:rPr>
      </w:pPr>
      <w:r w:rsidRPr="00C46BE1">
        <w:rPr>
          <w:rFonts w:ascii="Times New Roman" w:hAnsi="Times New Roman" w:cs="Times New Roman"/>
          <w:sz w:val="24"/>
          <w:szCs w:val="24"/>
        </w:rPr>
        <w:t>Assess the short-term programmatic and behavioral health outcomes for BHTCC participants</w:t>
      </w:r>
      <w:r w:rsidR="002857CC" w:rsidRPr="00C46BE1">
        <w:rPr>
          <w:rFonts w:ascii="Times New Roman" w:hAnsi="Times New Roman" w:cs="Times New Roman"/>
          <w:sz w:val="24"/>
          <w:szCs w:val="24"/>
        </w:rPr>
        <w:t xml:space="preserve"> </w:t>
      </w:r>
    </w:p>
    <w:p w14:paraId="7BED0D87" w14:textId="3745E567" w:rsidR="00595B7C" w:rsidRPr="00C46BE1" w:rsidRDefault="00595B7C" w:rsidP="008C3C3E">
      <w:pPr>
        <w:pStyle w:val="BHTCCBullet1"/>
        <w:spacing w:after="60"/>
        <w:contextualSpacing w:val="0"/>
        <w:rPr>
          <w:rFonts w:ascii="Times New Roman" w:hAnsi="Times New Roman" w:cs="Times New Roman"/>
          <w:sz w:val="24"/>
          <w:szCs w:val="24"/>
        </w:rPr>
      </w:pPr>
      <w:r w:rsidRPr="00C46BE1">
        <w:rPr>
          <w:rFonts w:ascii="Times New Roman" w:hAnsi="Times New Roman" w:cs="Times New Roman"/>
          <w:sz w:val="24"/>
          <w:szCs w:val="24"/>
        </w:rPr>
        <w:t>Document the participants’ experiences with peer-based supports</w:t>
      </w:r>
      <w:r w:rsidR="002857CC" w:rsidRPr="00C46BE1">
        <w:rPr>
          <w:rFonts w:ascii="Times New Roman" w:hAnsi="Times New Roman" w:cs="Times New Roman"/>
          <w:sz w:val="24"/>
          <w:szCs w:val="24"/>
        </w:rPr>
        <w:t xml:space="preserve"> </w:t>
      </w:r>
      <w:r w:rsidRPr="00C46BE1">
        <w:rPr>
          <w:rFonts w:ascii="Times New Roman" w:hAnsi="Times New Roman" w:cs="Times New Roman"/>
          <w:sz w:val="24"/>
          <w:szCs w:val="24"/>
        </w:rPr>
        <w:t xml:space="preserve"> </w:t>
      </w:r>
    </w:p>
    <w:p w14:paraId="502CF66B" w14:textId="0258C553" w:rsidR="00595B7C" w:rsidRPr="00C46BE1" w:rsidRDefault="00595B7C" w:rsidP="008C3C3E">
      <w:pPr>
        <w:pStyle w:val="BHTCCBullet1"/>
        <w:spacing w:after="200"/>
        <w:contextualSpacing w:val="0"/>
        <w:rPr>
          <w:rFonts w:ascii="Times New Roman" w:hAnsi="Times New Roman" w:cs="Times New Roman"/>
          <w:sz w:val="24"/>
          <w:szCs w:val="24"/>
        </w:rPr>
      </w:pPr>
      <w:r w:rsidRPr="00C46BE1">
        <w:rPr>
          <w:rFonts w:ascii="Times New Roman" w:hAnsi="Times New Roman" w:cs="Times New Roman"/>
          <w:sz w:val="24"/>
          <w:szCs w:val="24"/>
        </w:rPr>
        <w:t>Determine what the short- and long-term criminal justice (recidivism) outcomes are for BHTCC participants</w:t>
      </w:r>
      <w:r w:rsidR="002857CC" w:rsidRPr="00C46BE1">
        <w:rPr>
          <w:rFonts w:ascii="Times New Roman" w:hAnsi="Times New Roman" w:cs="Times New Roman"/>
          <w:sz w:val="24"/>
          <w:szCs w:val="24"/>
        </w:rPr>
        <w:t xml:space="preserve"> </w:t>
      </w:r>
    </w:p>
    <w:p w14:paraId="5866A034" w14:textId="30EB5AFB" w:rsidR="00324931" w:rsidRPr="00C46BE1" w:rsidRDefault="002857CC" w:rsidP="00324931">
      <w:pPr>
        <w:pStyle w:val="BHTCCBody"/>
        <w:rPr>
          <w:rFonts w:ascii="Times New Roman" w:hAnsi="Times New Roman" w:cs="Times New Roman"/>
          <w:sz w:val="24"/>
          <w:szCs w:val="24"/>
        </w:rPr>
      </w:pPr>
      <w:r w:rsidRPr="00C46BE1">
        <w:rPr>
          <w:rFonts w:ascii="Times New Roman" w:hAnsi="Times New Roman" w:cs="Times New Roman"/>
          <w:sz w:val="24"/>
          <w:szCs w:val="24"/>
        </w:rPr>
        <w:t xml:space="preserve">Data collection will occur via the 18-Month Tool. </w:t>
      </w:r>
      <w:r w:rsidR="00324931" w:rsidRPr="00C46BE1">
        <w:rPr>
          <w:rFonts w:ascii="Times New Roman" w:hAnsi="Times New Roman" w:cs="Times New Roman"/>
          <w:sz w:val="24"/>
          <w:szCs w:val="24"/>
        </w:rPr>
        <w:t xml:space="preserve"> </w:t>
      </w:r>
    </w:p>
    <w:p w14:paraId="741CC76D" w14:textId="0DDAA513" w:rsidR="00324931" w:rsidRPr="00C46BE1" w:rsidRDefault="00324931" w:rsidP="004115F4">
      <w:pPr>
        <w:pStyle w:val="BHTCCBody"/>
        <w:spacing w:before="200" w:after="60"/>
        <w:rPr>
          <w:rFonts w:ascii="Tw Cen MT" w:hAnsi="Tw Cen MT" w:cs="Times New Roman"/>
          <w:b/>
          <w:sz w:val="26"/>
          <w:szCs w:val="26"/>
          <w:u w:val="single"/>
        </w:rPr>
      </w:pPr>
      <w:r w:rsidRPr="00C46BE1">
        <w:rPr>
          <w:rFonts w:ascii="Tw Cen MT" w:hAnsi="Tw Cen MT" w:cs="Times New Roman"/>
          <w:b/>
          <w:sz w:val="26"/>
          <w:szCs w:val="26"/>
          <w:u w:val="single"/>
        </w:rPr>
        <w:t xml:space="preserve">BHTCC Comparison </w:t>
      </w:r>
      <w:r w:rsidR="00B337D6" w:rsidRPr="00C46BE1">
        <w:rPr>
          <w:rFonts w:ascii="Tw Cen MT" w:hAnsi="Tw Cen MT" w:cs="Times New Roman"/>
          <w:b/>
          <w:sz w:val="26"/>
          <w:szCs w:val="26"/>
          <w:u w:val="single"/>
        </w:rPr>
        <w:t>S</w:t>
      </w:r>
      <w:r w:rsidR="00670136" w:rsidRPr="00C46BE1">
        <w:rPr>
          <w:rFonts w:ascii="Tw Cen MT" w:hAnsi="Tw Cen MT" w:cs="Times New Roman"/>
          <w:b/>
          <w:sz w:val="26"/>
          <w:szCs w:val="26"/>
          <w:u w:val="single"/>
        </w:rPr>
        <w:t>ubs</w:t>
      </w:r>
      <w:r w:rsidR="00B337D6" w:rsidRPr="00C46BE1">
        <w:rPr>
          <w:rFonts w:ascii="Tw Cen MT" w:hAnsi="Tw Cen MT" w:cs="Times New Roman"/>
          <w:b/>
          <w:sz w:val="26"/>
          <w:szCs w:val="26"/>
          <w:u w:val="single"/>
        </w:rPr>
        <w:t>tudy</w:t>
      </w:r>
    </w:p>
    <w:p w14:paraId="50591705" w14:textId="58A2EAF8" w:rsidR="00345BDE" w:rsidRPr="00C46BE1" w:rsidRDefault="00345BDE" w:rsidP="00C43735">
      <w:pPr>
        <w:pStyle w:val="BHTCCBody"/>
        <w:spacing w:after="240"/>
        <w:rPr>
          <w:rFonts w:ascii="Times New Roman" w:hAnsi="Times New Roman" w:cs="Times New Roman"/>
          <w:sz w:val="24"/>
          <w:szCs w:val="24"/>
        </w:rPr>
      </w:pPr>
      <w:r w:rsidRPr="00C46BE1">
        <w:rPr>
          <w:rFonts w:ascii="Times New Roman" w:hAnsi="Times New Roman" w:cs="Times New Roman"/>
          <w:sz w:val="24"/>
          <w:szCs w:val="24"/>
        </w:rPr>
        <w:t>As an</w:t>
      </w:r>
      <w:r w:rsidR="00994B15" w:rsidRPr="00C46BE1">
        <w:rPr>
          <w:rFonts w:ascii="Times New Roman" w:hAnsi="Times New Roman" w:cs="Times New Roman"/>
          <w:sz w:val="24"/>
          <w:szCs w:val="24"/>
        </w:rPr>
        <w:t xml:space="preserve"> enhanced component </w:t>
      </w:r>
      <w:r w:rsidRPr="00C46BE1">
        <w:rPr>
          <w:rFonts w:ascii="Times New Roman" w:hAnsi="Times New Roman" w:cs="Times New Roman"/>
          <w:sz w:val="24"/>
          <w:szCs w:val="24"/>
        </w:rPr>
        <w:t>of</w:t>
      </w:r>
      <w:r w:rsidR="00994B15" w:rsidRPr="00C46BE1">
        <w:rPr>
          <w:rFonts w:ascii="Times New Roman" w:hAnsi="Times New Roman" w:cs="Times New Roman"/>
          <w:sz w:val="24"/>
          <w:szCs w:val="24"/>
        </w:rPr>
        <w:t xml:space="preserve"> the COS, </w:t>
      </w:r>
      <w:r w:rsidRPr="00C46BE1">
        <w:rPr>
          <w:rFonts w:ascii="Times New Roman" w:hAnsi="Times New Roman" w:cs="Times New Roman"/>
          <w:sz w:val="24"/>
          <w:szCs w:val="24"/>
        </w:rPr>
        <w:t>the comparison s</w:t>
      </w:r>
      <w:r w:rsidR="00670136" w:rsidRPr="00C46BE1">
        <w:rPr>
          <w:rFonts w:ascii="Times New Roman" w:hAnsi="Times New Roman" w:cs="Times New Roman"/>
          <w:sz w:val="24"/>
          <w:szCs w:val="24"/>
        </w:rPr>
        <w:t>ubs</w:t>
      </w:r>
      <w:r w:rsidRPr="00C46BE1">
        <w:rPr>
          <w:rFonts w:ascii="Times New Roman" w:hAnsi="Times New Roman" w:cs="Times New Roman"/>
          <w:sz w:val="24"/>
          <w:szCs w:val="24"/>
        </w:rPr>
        <w:t xml:space="preserve">tudy involves compiling </w:t>
      </w:r>
      <w:r w:rsidR="00994B15" w:rsidRPr="00C46BE1">
        <w:rPr>
          <w:rFonts w:ascii="Times New Roman" w:hAnsi="Times New Roman" w:cs="Times New Roman"/>
          <w:sz w:val="24"/>
          <w:szCs w:val="24"/>
        </w:rPr>
        <w:t>and analyz</w:t>
      </w:r>
      <w:r w:rsidRPr="00C46BE1">
        <w:rPr>
          <w:rFonts w:ascii="Times New Roman" w:hAnsi="Times New Roman" w:cs="Times New Roman"/>
          <w:sz w:val="24"/>
          <w:szCs w:val="24"/>
        </w:rPr>
        <w:t>ing data</w:t>
      </w:r>
      <w:r w:rsidR="00994B15" w:rsidRPr="00C46BE1">
        <w:rPr>
          <w:rFonts w:ascii="Times New Roman" w:hAnsi="Times New Roman" w:cs="Times New Roman"/>
          <w:sz w:val="24"/>
          <w:szCs w:val="24"/>
        </w:rPr>
        <w:t xml:space="preserve"> on a matched sample </w:t>
      </w:r>
      <w:r w:rsidRPr="00C46BE1">
        <w:rPr>
          <w:rFonts w:ascii="Times New Roman" w:hAnsi="Times New Roman" w:cs="Times New Roman"/>
          <w:sz w:val="24"/>
          <w:szCs w:val="24"/>
        </w:rPr>
        <w:t xml:space="preserve">of </w:t>
      </w:r>
      <w:r w:rsidR="003805DB" w:rsidRPr="00C46BE1">
        <w:rPr>
          <w:rFonts w:ascii="Times New Roman" w:hAnsi="Times New Roman" w:cs="Times New Roman"/>
          <w:sz w:val="24"/>
          <w:szCs w:val="24"/>
        </w:rPr>
        <w:t xml:space="preserve">up to </w:t>
      </w:r>
      <w:r w:rsidR="00022802" w:rsidRPr="00C46BE1">
        <w:rPr>
          <w:rFonts w:ascii="Times New Roman" w:hAnsi="Times New Roman" w:cs="Times New Roman"/>
          <w:sz w:val="24"/>
          <w:szCs w:val="24"/>
        </w:rPr>
        <w:t xml:space="preserve">260 </w:t>
      </w:r>
      <w:r w:rsidR="003805DB" w:rsidRPr="00C46BE1">
        <w:rPr>
          <w:rFonts w:ascii="Times New Roman" w:hAnsi="Times New Roman" w:cs="Times New Roman"/>
          <w:sz w:val="24"/>
          <w:szCs w:val="24"/>
        </w:rPr>
        <w:t xml:space="preserve">offenders </w:t>
      </w:r>
      <w:r w:rsidR="00994B15" w:rsidRPr="00C46BE1">
        <w:rPr>
          <w:rFonts w:ascii="Times New Roman" w:hAnsi="Times New Roman" w:cs="Times New Roman"/>
          <w:sz w:val="24"/>
          <w:szCs w:val="24"/>
        </w:rPr>
        <w:t xml:space="preserve">not participating in the </w:t>
      </w:r>
      <w:r w:rsidRPr="00C46BE1">
        <w:rPr>
          <w:rFonts w:ascii="Times New Roman" w:hAnsi="Times New Roman" w:cs="Times New Roman"/>
          <w:sz w:val="24"/>
          <w:szCs w:val="24"/>
        </w:rPr>
        <w:t xml:space="preserve">BHTCC </w:t>
      </w:r>
      <w:r w:rsidR="00994B15" w:rsidRPr="00C46BE1">
        <w:rPr>
          <w:rFonts w:ascii="Times New Roman" w:hAnsi="Times New Roman" w:cs="Times New Roman"/>
          <w:sz w:val="24"/>
          <w:szCs w:val="24"/>
        </w:rPr>
        <w:t xml:space="preserve">program </w:t>
      </w:r>
      <w:r w:rsidR="003805DB" w:rsidRPr="00C46BE1">
        <w:rPr>
          <w:rFonts w:ascii="Times New Roman" w:hAnsi="Times New Roman" w:cs="Times New Roman"/>
          <w:sz w:val="24"/>
          <w:szCs w:val="24"/>
        </w:rPr>
        <w:t>(</w:t>
      </w:r>
      <w:r w:rsidR="00022802" w:rsidRPr="00C46BE1">
        <w:rPr>
          <w:rFonts w:ascii="Times New Roman" w:hAnsi="Times New Roman" w:cs="Times New Roman"/>
          <w:sz w:val="24"/>
          <w:szCs w:val="24"/>
        </w:rPr>
        <w:t>130</w:t>
      </w:r>
      <w:r w:rsidR="003805DB" w:rsidRPr="00C46BE1">
        <w:rPr>
          <w:rFonts w:ascii="Times New Roman" w:hAnsi="Times New Roman" w:cs="Times New Roman"/>
          <w:sz w:val="24"/>
          <w:szCs w:val="24"/>
        </w:rPr>
        <w:t xml:space="preserve"> from each comparison site) </w:t>
      </w:r>
      <w:r w:rsidR="00994B15" w:rsidRPr="00C46BE1">
        <w:rPr>
          <w:rFonts w:ascii="Times New Roman" w:hAnsi="Times New Roman" w:cs="Times New Roman"/>
          <w:sz w:val="24"/>
          <w:szCs w:val="24"/>
        </w:rPr>
        <w:t xml:space="preserve">to understand the impact of BHTCC programs on client outcomes. </w:t>
      </w:r>
      <w:r w:rsidRPr="00C46BE1">
        <w:rPr>
          <w:rFonts w:ascii="Times New Roman" w:hAnsi="Times New Roman" w:cs="Times New Roman"/>
          <w:sz w:val="24"/>
          <w:szCs w:val="24"/>
        </w:rPr>
        <w:t>For a subset</w:t>
      </w:r>
      <w:r w:rsidR="00994B15" w:rsidRPr="00C46BE1">
        <w:rPr>
          <w:rFonts w:ascii="Times New Roman" w:hAnsi="Times New Roman" w:cs="Times New Roman"/>
          <w:sz w:val="24"/>
          <w:szCs w:val="24"/>
        </w:rPr>
        <w:t xml:space="preserve"> of BHTCC grantees, it will be possible to identify adequate sources of comparison cases, such as subjects receiving regular services instead of enhanced services under service enhancement grants. </w:t>
      </w:r>
      <w:r w:rsidR="00595B7C" w:rsidRPr="00C46BE1">
        <w:rPr>
          <w:rFonts w:ascii="Times New Roman" w:hAnsi="Times New Roman" w:cs="Times New Roman"/>
          <w:sz w:val="24"/>
          <w:szCs w:val="24"/>
        </w:rPr>
        <w:t>Grantees proposing service enhancement were required to report the number of additional clients to be served for each year of the proposed grant. Similarly, grantees proposing service expansion were required to report on how the expansion would be achieved (e.g., reduction in waiting lists, partnering with a new agency to provide the specific services enhancement). This information will be used to identify areas where eligibility is currently exceeding service capacity and where recruitment from a waiting list is most achievable.</w:t>
      </w:r>
      <w:r w:rsidR="00022802" w:rsidRPr="00C46BE1">
        <w:rPr>
          <w:rFonts w:ascii="Times New Roman" w:hAnsi="Times New Roman" w:cs="Times New Roman"/>
          <w:sz w:val="24"/>
          <w:szCs w:val="24"/>
        </w:rPr>
        <w:t xml:space="preserve"> In the event that a wait list approach is not feasible, a matched comparison study using individuals who are eligible but who opt out of services will be utilized (in no more than </w:t>
      </w:r>
      <w:r w:rsidR="008C3C3E" w:rsidRPr="00C46BE1">
        <w:rPr>
          <w:rFonts w:ascii="Times New Roman" w:hAnsi="Times New Roman" w:cs="Times New Roman"/>
          <w:sz w:val="24"/>
          <w:szCs w:val="24"/>
        </w:rPr>
        <w:t>two</w:t>
      </w:r>
      <w:r w:rsidR="00022802" w:rsidRPr="00C46BE1">
        <w:rPr>
          <w:rFonts w:ascii="Times New Roman" w:hAnsi="Times New Roman" w:cs="Times New Roman"/>
          <w:sz w:val="24"/>
          <w:szCs w:val="24"/>
        </w:rPr>
        <w:t xml:space="preserve"> comparison sites). </w:t>
      </w:r>
      <w:r w:rsidRPr="00C46BE1">
        <w:rPr>
          <w:rFonts w:ascii="Times New Roman" w:hAnsi="Times New Roman" w:cs="Times New Roman"/>
          <w:sz w:val="24"/>
          <w:szCs w:val="24"/>
        </w:rPr>
        <w:t xml:space="preserve">Comparison cases are subjects who, although eligible, are not receiving grant services for reasons unrelated to their possible outcome, such as a lack service provider capacity. For comparison cases, a reduced data protocol </w:t>
      </w:r>
      <w:r w:rsidR="00022802" w:rsidRPr="00C46BE1">
        <w:rPr>
          <w:rFonts w:ascii="Times New Roman" w:hAnsi="Times New Roman" w:cs="Times New Roman"/>
          <w:sz w:val="24"/>
          <w:szCs w:val="24"/>
        </w:rPr>
        <w:t xml:space="preserve">(reduced from client-level data gathered by </w:t>
      </w:r>
      <w:r w:rsidRPr="00C46BE1">
        <w:rPr>
          <w:rFonts w:ascii="Times New Roman" w:hAnsi="Times New Roman" w:cs="Times New Roman"/>
          <w:sz w:val="24"/>
          <w:szCs w:val="24"/>
        </w:rPr>
        <w:t>BHTCC grantees</w:t>
      </w:r>
      <w:r w:rsidR="00C92D28" w:rsidRPr="00C46BE1">
        <w:rPr>
          <w:rFonts w:ascii="Times New Roman" w:hAnsi="Times New Roman" w:cs="Times New Roman"/>
          <w:sz w:val="24"/>
          <w:szCs w:val="24"/>
        </w:rPr>
        <w:t xml:space="preserve"> for performance monitoring purposes</w:t>
      </w:r>
      <w:r w:rsidR="00022802" w:rsidRPr="00C46BE1">
        <w:rPr>
          <w:rFonts w:ascii="Times New Roman" w:hAnsi="Times New Roman" w:cs="Times New Roman"/>
          <w:sz w:val="24"/>
          <w:szCs w:val="24"/>
        </w:rPr>
        <w:t>)</w:t>
      </w:r>
      <w:r w:rsidR="00595B7C" w:rsidRPr="00C46BE1">
        <w:rPr>
          <w:rFonts w:ascii="Times New Roman" w:hAnsi="Times New Roman" w:cs="Times New Roman"/>
          <w:sz w:val="24"/>
          <w:szCs w:val="24"/>
        </w:rPr>
        <w:t xml:space="preserve"> </w:t>
      </w:r>
      <w:r w:rsidRPr="00C46BE1">
        <w:rPr>
          <w:rFonts w:ascii="Times New Roman" w:hAnsi="Times New Roman" w:cs="Times New Roman"/>
          <w:sz w:val="24"/>
          <w:szCs w:val="24"/>
        </w:rPr>
        <w:t xml:space="preserve">will be used to gather information at baseline and 6 months. </w:t>
      </w:r>
      <w:r w:rsidR="00595B7C" w:rsidRPr="00C46BE1">
        <w:rPr>
          <w:rFonts w:ascii="Times New Roman" w:hAnsi="Times New Roman" w:cs="Times New Roman"/>
          <w:sz w:val="24"/>
          <w:szCs w:val="24"/>
        </w:rPr>
        <w:t xml:space="preserve">Data collection activities include the Comparison Study </w:t>
      </w:r>
      <w:r w:rsidR="00D255F6" w:rsidRPr="00C46BE1">
        <w:rPr>
          <w:rFonts w:ascii="Times New Roman" w:hAnsi="Times New Roman" w:cs="Times New Roman"/>
          <w:sz w:val="24"/>
          <w:szCs w:val="24"/>
        </w:rPr>
        <w:t>Data</w:t>
      </w:r>
      <w:r w:rsidR="002857CC" w:rsidRPr="00C46BE1">
        <w:rPr>
          <w:rFonts w:ascii="Times New Roman" w:hAnsi="Times New Roman" w:cs="Times New Roman"/>
          <w:sz w:val="24"/>
          <w:szCs w:val="24"/>
        </w:rPr>
        <w:t xml:space="preserve"> </w:t>
      </w:r>
      <w:r w:rsidR="00D255F6" w:rsidRPr="00C46BE1">
        <w:rPr>
          <w:rFonts w:ascii="Times New Roman" w:hAnsi="Times New Roman" w:cs="Times New Roman"/>
          <w:sz w:val="24"/>
          <w:szCs w:val="24"/>
        </w:rPr>
        <w:t xml:space="preserve">Abstraction Tools (Baseline and 6-Month Versions) </w:t>
      </w:r>
      <w:r w:rsidR="00595B7C" w:rsidRPr="00C46BE1">
        <w:rPr>
          <w:rFonts w:ascii="Times New Roman" w:hAnsi="Times New Roman" w:cs="Times New Roman"/>
          <w:sz w:val="24"/>
          <w:szCs w:val="24"/>
        </w:rPr>
        <w:t xml:space="preserve">and </w:t>
      </w:r>
      <w:r w:rsidR="00D255F6" w:rsidRPr="00C46BE1">
        <w:rPr>
          <w:rFonts w:ascii="Times New Roman" w:hAnsi="Times New Roman" w:cs="Times New Roman"/>
          <w:sz w:val="24"/>
          <w:szCs w:val="24"/>
        </w:rPr>
        <w:t xml:space="preserve">the Comparison Study </w:t>
      </w:r>
      <w:r w:rsidR="00595B7C" w:rsidRPr="00C46BE1">
        <w:rPr>
          <w:rFonts w:ascii="Times New Roman" w:hAnsi="Times New Roman" w:cs="Times New Roman"/>
          <w:sz w:val="24"/>
          <w:szCs w:val="24"/>
        </w:rPr>
        <w:t>18-Month Tool.</w:t>
      </w:r>
    </w:p>
    <w:p w14:paraId="0D3B03D7" w14:textId="3261A675" w:rsidR="004115F4" w:rsidRPr="00C46BE1" w:rsidRDefault="004115F4" w:rsidP="004115F4">
      <w:pPr>
        <w:pStyle w:val="ProposalBodyText"/>
        <w:numPr>
          <w:ilvl w:val="2"/>
          <w:numId w:val="1"/>
        </w:numPr>
        <w:spacing w:before="240" w:after="120"/>
        <w:contextualSpacing w:val="0"/>
        <w:rPr>
          <w:rFonts w:ascii="Tw Cen MT" w:hAnsi="Tw Cen MT" w:cs="Arial"/>
          <w:b/>
          <w:sz w:val="28"/>
          <w:szCs w:val="28"/>
        </w:rPr>
      </w:pPr>
      <w:r w:rsidRPr="00C46BE1">
        <w:rPr>
          <w:rFonts w:ascii="Tw Cen MT" w:hAnsi="Tw Cen MT" w:cs="Arial"/>
          <w:b/>
          <w:sz w:val="28"/>
          <w:szCs w:val="28"/>
        </w:rPr>
        <w:t>SE</w:t>
      </w:r>
      <w:r w:rsidR="00595B7C" w:rsidRPr="00C46BE1">
        <w:rPr>
          <w:rFonts w:ascii="Tw Cen MT" w:hAnsi="Tw Cen MT" w:cs="Arial"/>
          <w:b/>
          <w:sz w:val="28"/>
          <w:szCs w:val="28"/>
        </w:rPr>
        <w:t xml:space="preserve"> </w:t>
      </w:r>
      <w:r w:rsidR="002857CC" w:rsidRPr="00C46BE1">
        <w:rPr>
          <w:rFonts w:ascii="Tw Cen MT" w:hAnsi="Tw Cen MT" w:cs="Arial"/>
          <w:b/>
          <w:sz w:val="28"/>
          <w:szCs w:val="28"/>
        </w:rPr>
        <w:t>Study</w:t>
      </w:r>
    </w:p>
    <w:p w14:paraId="2C0EFF83" w14:textId="00EC8C9A" w:rsidR="004115F4" w:rsidRPr="00C46BE1" w:rsidRDefault="006739CA" w:rsidP="004115F4">
      <w:pPr>
        <w:pStyle w:val="BHTCCBody"/>
        <w:rPr>
          <w:rFonts w:ascii="Times New Roman" w:hAnsi="Times New Roman" w:cs="Times New Roman"/>
          <w:sz w:val="24"/>
          <w:szCs w:val="24"/>
        </w:rPr>
      </w:pPr>
      <w:r w:rsidRPr="00C46BE1">
        <w:rPr>
          <w:rFonts w:ascii="Times New Roman" w:hAnsi="Times New Roman" w:cs="Times New Roman"/>
          <w:sz w:val="24"/>
          <w:szCs w:val="24"/>
        </w:rPr>
        <w:t xml:space="preserve">The SE </w:t>
      </w:r>
      <w:r w:rsidR="00670136" w:rsidRPr="00C46BE1">
        <w:rPr>
          <w:rFonts w:ascii="Times New Roman" w:hAnsi="Times New Roman" w:cs="Times New Roman"/>
          <w:sz w:val="24"/>
          <w:szCs w:val="24"/>
        </w:rPr>
        <w:t>Study</w:t>
      </w:r>
      <w:r w:rsidRPr="00C46BE1">
        <w:rPr>
          <w:rFonts w:ascii="Times New Roman" w:hAnsi="Times New Roman" w:cs="Times New Roman"/>
          <w:sz w:val="24"/>
          <w:szCs w:val="24"/>
        </w:rPr>
        <w:t xml:space="preserve"> includes quantitative and qualitative mechanisms to understand outcomes of SE program participants, system-level assessments of service infrastructure, capacity, and delivery. </w:t>
      </w:r>
      <w:r w:rsidR="00595B7C" w:rsidRPr="00C46BE1">
        <w:rPr>
          <w:rFonts w:ascii="Times New Roman" w:hAnsi="Times New Roman" w:cs="Times New Roman"/>
          <w:sz w:val="24"/>
          <w:szCs w:val="24"/>
        </w:rPr>
        <w:t xml:space="preserve">Similar to the BHTCC </w:t>
      </w:r>
      <w:r w:rsidR="002857CC" w:rsidRPr="00C46BE1">
        <w:rPr>
          <w:rFonts w:ascii="Times New Roman" w:hAnsi="Times New Roman" w:cs="Times New Roman"/>
          <w:sz w:val="24"/>
          <w:szCs w:val="24"/>
        </w:rPr>
        <w:t>Study</w:t>
      </w:r>
      <w:r w:rsidR="00595B7C" w:rsidRPr="00C46BE1">
        <w:rPr>
          <w:rFonts w:ascii="Times New Roman" w:hAnsi="Times New Roman" w:cs="Times New Roman"/>
          <w:sz w:val="24"/>
          <w:szCs w:val="24"/>
        </w:rPr>
        <w:t>, t</w:t>
      </w:r>
      <w:r w:rsidR="004115F4" w:rsidRPr="00C46BE1">
        <w:rPr>
          <w:rFonts w:ascii="Times New Roman" w:hAnsi="Times New Roman" w:cs="Times New Roman"/>
          <w:sz w:val="24"/>
          <w:szCs w:val="24"/>
        </w:rPr>
        <w:t xml:space="preserve">he </w:t>
      </w:r>
      <w:r w:rsidR="00595B7C" w:rsidRPr="00C46BE1">
        <w:rPr>
          <w:rFonts w:ascii="Times New Roman" w:hAnsi="Times New Roman" w:cs="Times New Roman"/>
          <w:sz w:val="24"/>
          <w:szCs w:val="24"/>
        </w:rPr>
        <w:t xml:space="preserve">SE </w:t>
      </w:r>
      <w:r w:rsidR="002857CC" w:rsidRPr="00C46BE1">
        <w:rPr>
          <w:rFonts w:ascii="Times New Roman" w:hAnsi="Times New Roman" w:cs="Times New Roman"/>
          <w:sz w:val="24"/>
          <w:szCs w:val="24"/>
        </w:rPr>
        <w:t>Study</w:t>
      </w:r>
      <w:r w:rsidR="004115F4" w:rsidRPr="00C46BE1">
        <w:rPr>
          <w:rFonts w:ascii="Times New Roman" w:hAnsi="Times New Roman" w:cs="Times New Roman"/>
          <w:sz w:val="24"/>
          <w:szCs w:val="24"/>
        </w:rPr>
        <w:t xml:space="preserve"> comprises </w:t>
      </w:r>
      <w:r w:rsidR="00595B7C" w:rsidRPr="00C46BE1">
        <w:rPr>
          <w:rFonts w:ascii="Times New Roman" w:hAnsi="Times New Roman" w:cs="Times New Roman"/>
          <w:sz w:val="24"/>
          <w:szCs w:val="24"/>
        </w:rPr>
        <w:t>system change</w:t>
      </w:r>
      <w:r w:rsidR="004115F4" w:rsidRPr="00C46BE1">
        <w:rPr>
          <w:rFonts w:ascii="Times New Roman" w:hAnsi="Times New Roman" w:cs="Times New Roman"/>
          <w:sz w:val="24"/>
          <w:szCs w:val="24"/>
        </w:rPr>
        <w:t xml:space="preserve"> and consumer outcome </w:t>
      </w:r>
      <w:r w:rsidR="002857CC" w:rsidRPr="00C46BE1">
        <w:rPr>
          <w:rFonts w:ascii="Times New Roman" w:hAnsi="Times New Roman" w:cs="Times New Roman"/>
          <w:sz w:val="24"/>
          <w:szCs w:val="24"/>
        </w:rPr>
        <w:t>sub</w:t>
      </w:r>
      <w:r w:rsidR="00595B7C" w:rsidRPr="00C46BE1">
        <w:rPr>
          <w:rFonts w:ascii="Times New Roman" w:hAnsi="Times New Roman" w:cs="Times New Roman"/>
          <w:sz w:val="24"/>
          <w:szCs w:val="24"/>
        </w:rPr>
        <w:t>studies.</w:t>
      </w:r>
      <w:r w:rsidR="004115F4" w:rsidRPr="00C46BE1">
        <w:rPr>
          <w:rFonts w:ascii="Times New Roman" w:hAnsi="Times New Roman" w:cs="Times New Roman"/>
          <w:sz w:val="24"/>
          <w:szCs w:val="24"/>
        </w:rPr>
        <w:t xml:space="preserve"> Activities will assess program operations from the perspectives of consumers and employers, with emphasis on system needs for sustained models of SE. </w:t>
      </w:r>
      <w:r w:rsidRPr="00C46BE1">
        <w:rPr>
          <w:rFonts w:ascii="Times New Roman" w:hAnsi="Times New Roman" w:cs="Times New Roman"/>
          <w:sz w:val="24"/>
          <w:szCs w:val="24"/>
        </w:rPr>
        <w:t xml:space="preserve">Exhibit </w:t>
      </w:r>
      <w:r w:rsidR="008C3C3E" w:rsidRPr="00C46BE1">
        <w:rPr>
          <w:rFonts w:ascii="Times New Roman" w:hAnsi="Times New Roman" w:cs="Times New Roman"/>
          <w:sz w:val="24"/>
          <w:szCs w:val="24"/>
        </w:rPr>
        <w:t>4</w:t>
      </w:r>
      <w:r w:rsidRPr="00C46BE1">
        <w:rPr>
          <w:rFonts w:ascii="Times New Roman" w:hAnsi="Times New Roman" w:cs="Times New Roman"/>
          <w:sz w:val="24"/>
          <w:szCs w:val="24"/>
        </w:rPr>
        <w:t xml:space="preserve"> contains a matrix of the </w:t>
      </w:r>
      <w:r w:rsidR="004115F4" w:rsidRPr="00C46BE1">
        <w:rPr>
          <w:rFonts w:ascii="Times New Roman" w:hAnsi="Times New Roman" w:cs="Times New Roman"/>
          <w:sz w:val="24"/>
          <w:szCs w:val="24"/>
        </w:rPr>
        <w:t xml:space="preserve">SE </w:t>
      </w:r>
      <w:r w:rsidR="002857CC" w:rsidRPr="00C46BE1">
        <w:rPr>
          <w:rFonts w:ascii="Times New Roman" w:hAnsi="Times New Roman" w:cs="Times New Roman"/>
          <w:sz w:val="24"/>
          <w:szCs w:val="24"/>
        </w:rPr>
        <w:t xml:space="preserve">Study </w:t>
      </w:r>
      <w:r w:rsidRPr="00C46BE1">
        <w:rPr>
          <w:rFonts w:ascii="Times New Roman" w:hAnsi="Times New Roman" w:cs="Times New Roman"/>
          <w:sz w:val="24"/>
          <w:szCs w:val="24"/>
        </w:rPr>
        <w:t>primary</w:t>
      </w:r>
      <w:r w:rsidR="004115F4" w:rsidRPr="00C46BE1">
        <w:rPr>
          <w:rFonts w:ascii="Times New Roman" w:hAnsi="Times New Roman" w:cs="Times New Roman"/>
          <w:sz w:val="24"/>
          <w:szCs w:val="24"/>
        </w:rPr>
        <w:t xml:space="preserve"> questions and relevant data sources</w:t>
      </w:r>
      <w:r w:rsidRPr="00C46BE1">
        <w:rPr>
          <w:rFonts w:ascii="Times New Roman" w:hAnsi="Times New Roman" w:cs="Times New Roman"/>
          <w:sz w:val="24"/>
          <w:szCs w:val="24"/>
        </w:rPr>
        <w:t>. Study components are described below and d</w:t>
      </w:r>
      <w:r w:rsidR="004115F4" w:rsidRPr="00C46BE1">
        <w:rPr>
          <w:rFonts w:ascii="Times New Roman" w:hAnsi="Times New Roman" w:cs="Times New Roman"/>
          <w:sz w:val="24"/>
          <w:szCs w:val="24"/>
        </w:rPr>
        <w:t xml:space="preserve">ata collection activity details </w:t>
      </w:r>
      <w:r w:rsidRPr="00C46BE1">
        <w:rPr>
          <w:rFonts w:ascii="Times New Roman" w:hAnsi="Times New Roman" w:cs="Times New Roman"/>
          <w:sz w:val="24"/>
          <w:szCs w:val="24"/>
        </w:rPr>
        <w:t xml:space="preserve">can be found </w:t>
      </w:r>
      <w:r w:rsidR="004115F4" w:rsidRPr="00C46BE1">
        <w:rPr>
          <w:rFonts w:ascii="Times New Roman" w:hAnsi="Times New Roman" w:cs="Times New Roman"/>
          <w:sz w:val="24"/>
          <w:szCs w:val="24"/>
        </w:rPr>
        <w:t xml:space="preserve">in Exhibit </w:t>
      </w:r>
      <w:r w:rsidR="008C3C3E" w:rsidRPr="00C46BE1">
        <w:rPr>
          <w:rFonts w:ascii="Times New Roman" w:hAnsi="Times New Roman" w:cs="Times New Roman"/>
          <w:sz w:val="24"/>
          <w:szCs w:val="24"/>
        </w:rPr>
        <w:t>5</w:t>
      </w:r>
      <w:r w:rsidR="004115F4" w:rsidRPr="00C46BE1">
        <w:rPr>
          <w:rFonts w:ascii="Times New Roman" w:hAnsi="Times New Roman" w:cs="Times New Roman"/>
          <w:sz w:val="24"/>
          <w:szCs w:val="24"/>
        </w:rPr>
        <w:t>.</w:t>
      </w:r>
    </w:p>
    <w:p w14:paraId="2B0C0DC9" w14:textId="3E3689FA" w:rsidR="004115F4" w:rsidRPr="00C46BE1" w:rsidRDefault="004115F4" w:rsidP="00B70D76">
      <w:pPr>
        <w:pStyle w:val="BHTCCBullet1"/>
        <w:keepNext/>
        <w:numPr>
          <w:ilvl w:val="0"/>
          <w:numId w:val="0"/>
        </w:numPr>
        <w:contextualSpacing w:val="0"/>
        <w:jc w:val="center"/>
        <w:rPr>
          <w:rFonts w:ascii="Times New Roman" w:hAnsi="Times New Roman" w:cs="Times New Roman"/>
          <w:sz w:val="24"/>
          <w:szCs w:val="24"/>
        </w:rPr>
      </w:pPr>
      <w:r w:rsidRPr="00C46BE1">
        <w:rPr>
          <w:rStyle w:val="ProposalBodyTextChar"/>
          <w:rFonts w:ascii="Tw Cen MT" w:eastAsiaTheme="minorHAnsi" w:hAnsi="Tw Cen MT"/>
          <w:b/>
        </w:rPr>
        <w:t xml:space="preserve">Exhibit </w:t>
      </w:r>
      <w:r w:rsidR="008C3C3E" w:rsidRPr="00C46BE1">
        <w:rPr>
          <w:rStyle w:val="ProposalBodyTextChar"/>
          <w:rFonts w:ascii="Tw Cen MT" w:eastAsiaTheme="minorHAnsi" w:hAnsi="Tw Cen MT"/>
          <w:b/>
        </w:rPr>
        <w:t>4</w:t>
      </w:r>
      <w:r w:rsidRPr="00C46BE1">
        <w:rPr>
          <w:rStyle w:val="ProposalBodyTextChar"/>
          <w:rFonts w:ascii="Tw Cen MT" w:eastAsiaTheme="minorHAnsi" w:hAnsi="Tw Cen MT"/>
          <w:b/>
        </w:rPr>
        <w:t xml:space="preserve">. </w:t>
      </w:r>
      <w:r w:rsidRPr="00C46BE1">
        <w:rPr>
          <w:rFonts w:ascii="Tw Cen MT" w:hAnsi="Tw Cen MT"/>
          <w:b/>
          <w:sz w:val="24"/>
          <w:szCs w:val="24"/>
        </w:rPr>
        <w:t xml:space="preserve">SE Study Questions and Data Sources </w:t>
      </w:r>
    </w:p>
    <w:tbl>
      <w:tblPr>
        <w:tblW w:w="5000" w:type="pct"/>
        <w:jc w:val="center"/>
        <w:tblBorders>
          <w:top w:val="single" w:sz="8" w:space="0" w:color="323E4F"/>
          <w:left w:val="single" w:sz="8" w:space="0" w:color="323E4F"/>
          <w:bottom w:val="single" w:sz="8" w:space="0" w:color="323E4F"/>
          <w:right w:val="single" w:sz="8" w:space="0" w:color="323E4F"/>
          <w:insideH w:val="single" w:sz="8" w:space="0" w:color="323E4F"/>
          <w:insideV w:val="single" w:sz="8" w:space="0" w:color="323E4F"/>
        </w:tblBorders>
        <w:tblLayout w:type="fixed"/>
        <w:tblCellMar>
          <w:left w:w="0" w:type="dxa"/>
          <w:right w:w="0" w:type="dxa"/>
        </w:tblCellMar>
        <w:tblLook w:val="04A0" w:firstRow="1" w:lastRow="0" w:firstColumn="1" w:lastColumn="0" w:noHBand="0" w:noVBand="1"/>
      </w:tblPr>
      <w:tblGrid>
        <w:gridCol w:w="7205"/>
        <w:gridCol w:w="548"/>
        <w:gridCol w:w="548"/>
        <w:gridCol w:w="550"/>
        <w:gridCol w:w="627"/>
      </w:tblGrid>
      <w:tr w:rsidR="004115F4" w:rsidRPr="00C46BE1" w14:paraId="16064ADB" w14:textId="77777777" w:rsidTr="008C3C3E">
        <w:trPr>
          <w:cantSplit/>
          <w:trHeight w:val="313"/>
          <w:tblHeader/>
          <w:jc w:val="center"/>
        </w:trPr>
        <w:tc>
          <w:tcPr>
            <w:tcW w:w="3801" w:type="pct"/>
            <w:vMerge w:val="restart"/>
            <w:shd w:val="clear" w:color="auto" w:fill="323E4F" w:themeFill="text2" w:themeFillShade="BF"/>
            <w:tcMar>
              <w:top w:w="0" w:type="dxa"/>
              <w:left w:w="108" w:type="dxa"/>
              <w:bottom w:w="0" w:type="dxa"/>
              <w:right w:w="108" w:type="dxa"/>
            </w:tcMar>
            <w:vAlign w:val="center"/>
          </w:tcPr>
          <w:p w14:paraId="0879A978" w14:textId="77777777" w:rsidR="004115F4" w:rsidRPr="00C46BE1" w:rsidRDefault="004115F4" w:rsidP="006739CA">
            <w:pPr>
              <w:pStyle w:val="CSETableText"/>
              <w:spacing w:before="0" w:after="0"/>
              <w:jc w:val="center"/>
              <w:rPr>
                <w:rFonts w:ascii="Tw Cen MT" w:hAnsi="Tw Cen MT"/>
                <w:color w:val="FFFFFF" w:themeColor="background1"/>
              </w:rPr>
            </w:pPr>
            <w:r w:rsidRPr="00C46BE1">
              <w:rPr>
                <w:rFonts w:ascii="Tw Cen MT" w:hAnsi="Tw Cen MT"/>
                <w:color w:val="FFFFFF" w:themeColor="background1"/>
              </w:rPr>
              <w:t>SE Study Question</w:t>
            </w:r>
          </w:p>
        </w:tc>
        <w:tc>
          <w:tcPr>
            <w:tcW w:w="1199" w:type="pct"/>
            <w:gridSpan w:val="4"/>
            <w:shd w:val="clear" w:color="auto" w:fill="323E4F" w:themeFill="text2" w:themeFillShade="BF"/>
            <w:tcMar>
              <w:top w:w="0" w:type="dxa"/>
              <w:left w:w="0" w:type="dxa"/>
              <w:bottom w:w="0" w:type="dxa"/>
              <w:right w:w="0" w:type="dxa"/>
            </w:tcMar>
            <w:vAlign w:val="center"/>
          </w:tcPr>
          <w:p w14:paraId="3E672514" w14:textId="77777777" w:rsidR="004115F4" w:rsidRPr="00C46BE1" w:rsidRDefault="004115F4" w:rsidP="006739CA">
            <w:pPr>
              <w:pStyle w:val="CSETableText"/>
              <w:spacing w:before="0" w:after="0"/>
              <w:jc w:val="center"/>
              <w:rPr>
                <w:rFonts w:ascii="Tw Cen MT" w:hAnsi="Tw Cen MT"/>
                <w:color w:val="FFFFFF" w:themeColor="background1"/>
              </w:rPr>
            </w:pPr>
            <w:r w:rsidRPr="00C46BE1">
              <w:rPr>
                <w:rFonts w:ascii="Tw Cen MT" w:hAnsi="Tw Cen MT"/>
                <w:color w:val="FFFFFF" w:themeColor="background1"/>
              </w:rPr>
              <w:t>Data Source</w:t>
            </w:r>
          </w:p>
        </w:tc>
      </w:tr>
      <w:tr w:rsidR="004115F4" w:rsidRPr="00C46BE1" w14:paraId="417CB66D" w14:textId="77777777" w:rsidTr="00C01DF0">
        <w:trPr>
          <w:cantSplit/>
          <w:trHeight w:val="1285"/>
          <w:tblHeader/>
          <w:jc w:val="center"/>
        </w:trPr>
        <w:tc>
          <w:tcPr>
            <w:tcW w:w="3801" w:type="pct"/>
            <w:vMerge/>
            <w:shd w:val="clear" w:color="auto" w:fill="DEEAF6" w:themeFill="accent1" w:themeFillTint="33"/>
            <w:tcMar>
              <w:top w:w="0" w:type="dxa"/>
              <w:left w:w="108" w:type="dxa"/>
              <w:bottom w:w="0" w:type="dxa"/>
              <w:right w:w="108" w:type="dxa"/>
            </w:tcMar>
            <w:vAlign w:val="center"/>
          </w:tcPr>
          <w:p w14:paraId="0A727E31" w14:textId="77777777" w:rsidR="004115F4" w:rsidRPr="00C46BE1" w:rsidRDefault="004115F4" w:rsidP="006739CA">
            <w:pPr>
              <w:pStyle w:val="CSETableText"/>
              <w:spacing w:before="0" w:after="0"/>
              <w:rPr>
                <w:rFonts w:ascii="Tw Cen MT" w:hAnsi="Tw Cen MT"/>
              </w:rPr>
            </w:pPr>
          </w:p>
        </w:tc>
        <w:tc>
          <w:tcPr>
            <w:tcW w:w="289" w:type="pct"/>
            <w:shd w:val="clear" w:color="auto" w:fill="D5DCE4" w:themeFill="text2" w:themeFillTint="33"/>
            <w:tcMar>
              <w:top w:w="0" w:type="dxa"/>
              <w:left w:w="72" w:type="dxa"/>
              <w:bottom w:w="0" w:type="dxa"/>
              <w:right w:w="43" w:type="dxa"/>
            </w:tcMar>
            <w:textDirection w:val="btLr"/>
            <w:vAlign w:val="center"/>
          </w:tcPr>
          <w:p w14:paraId="655FCDFA" w14:textId="72253A09" w:rsidR="004115F4" w:rsidRPr="00C46BE1" w:rsidRDefault="004115F4" w:rsidP="00D255F6">
            <w:pPr>
              <w:pStyle w:val="CSETableText"/>
              <w:spacing w:before="0" w:after="0"/>
              <w:ind w:left="72" w:right="43"/>
              <w:rPr>
                <w:rFonts w:ascii="Tw Cen MT" w:hAnsi="Tw Cen MT"/>
              </w:rPr>
            </w:pPr>
            <w:r w:rsidRPr="00C46BE1">
              <w:rPr>
                <w:rFonts w:ascii="Tw Cen MT" w:hAnsi="Tw Cen MT"/>
              </w:rPr>
              <w:t>BPI</w:t>
            </w:r>
            <w:r w:rsidR="00D255F6" w:rsidRPr="00C46BE1">
              <w:rPr>
                <w:rFonts w:ascii="Tw Cen MT" w:hAnsi="Tw Cen MT"/>
              </w:rPr>
              <w:t xml:space="preserve">–SE </w:t>
            </w:r>
          </w:p>
        </w:tc>
        <w:tc>
          <w:tcPr>
            <w:tcW w:w="289" w:type="pct"/>
            <w:shd w:val="clear" w:color="auto" w:fill="D5DCE4" w:themeFill="text2" w:themeFillTint="33"/>
            <w:tcMar>
              <w:top w:w="0" w:type="dxa"/>
              <w:left w:w="72" w:type="dxa"/>
              <w:bottom w:w="0" w:type="dxa"/>
              <w:right w:w="43" w:type="dxa"/>
            </w:tcMar>
            <w:textDirection w:val="btLr"/>
            <w:vAlign w:val="center"/>
          </w:tcPr>
          <w:p w14:paraId="276DE828" w14:textId="77777777" w:rsidR="004115F4" w:rsidRPr="00C46BE1" w:rsidRDefault="004115F4" w:rsidP="006739CA">
            <w:pPr>
              <w:pStyle w:val="CSETableText"/>
              <w:spacing w:before="0" w:after="0"/>
              <w:ind w:left="72" w:right="43"/>
              <w:rPr>
                <w:rFonts w:ascii="Tw Cen MT" w:hAnsi="Tw Cen MT"/>
              </w:rPr>
            </w:pPr>
            <w:r w:rsidRPr="00C46BE1">
              <w:rPr>
                <w:rFonts w:ascii="Tw Cen MT" w:hAnsi="Tw Cen MT"/>
              </w:rPr>
              <w:t>SSA KIIs</w:t>
            </w:r>
          </w:p>
        </w:tc>
        <w:tc>
          <w:tcPr>
            <w:tcW w:w="290" w:type="pct"/>
            <w:shd w:val="clear" w:color="auto" w:fill="D5DCE4" w:themeFill="text2" w:themeFillTint="33"/>
            <w:tcMar>
              <w:top w:w="0" w:type="dxa"/>
              <w:left w:w="72" w:type="dxa"/>
              <w:bottom w:w="0" w:type="dxa"/>
              <w:right w:w="43" w:type="dxa"/>
            </w:tcMar>
            <w:textDirection w:val="btLr"/>
            <w:vAlign w:val="center"/>
          </w:tcPr>
          <w:p w14:paraId="3E70156E" w14:textId="77777777" w:rsidR="004115F4" w:rsidRPr="00C46BE1" w:rsidRDefault="004115F4" w:rsidP="006739CA">
            <w:pPr>
              <w:pStyle w:val="CSETableText"/>
              <w:spacing w:before="0" w:after="0"/>
              <w:ind w:left="72" w:right="43"/>
              <w:rPr>
                <w:rFonts w:ascii="Tw Cen MT" w:hAnsi="Tw Cen MT"/>
              </w:rPr>
            </w:pPr>
            <w:r w:rsidRPr="00C46BE1">
              <w:rPr>
                <w:rFonts w:ascii="Tw Cen MT" w:hAnsi="Tw Cen MT"/>
              </w:rPr>
              <w:t>ENFGs</w:t>
            </w:r>
          </w:p>
        </w:tc>
        <w:tc>
          <w:tcPr>
            <w:tcW w:w="331" w:type="pct"/>
            <w:shd w:val="clear" w:color="auto" w:fill="D5DCE4" w:themeFill="text2" w:themeFillTint="33"/>
            <w:tcMar>
              <w:left w:w="72" w:type="dxa"/>
              <w:right w:w="43" w:type="dxa"/>
            </w:tcMar>
            <w:textDirection w:val="btLr"/>
            <w:vAlign w:val="center"/>
          </w:tcPr>
          <w:p w14:paraId="6CF30110" w14:textId="021C0034" w:rsidR="004115F4" w:rsidRPr="00C46BE1" w:rsidRDefault="004115F4" w:rsidP="00F722BA">
            <w:pPr>
              <w:pStyle w:val="CSETableText"/>
              <w:spacing w:before="0" w:after="0"/>
              <w:ind w:left="72" w:right="43"/>
              <w:rPr>
                <w:rFonts w:ascii="Tw Cen MT" w:hAnsi="Tw Cen MT"/>
              </w:rPr>
            </w:pPr>
            <w:r w:rsidRPr="00C46BE1">
              <w:rPr>
                <w:rFonts w:ascii="Tw Cen MT" w:hAnsi="Tw Cen MT"/>
              </w:rPr>
              <w:t xml:space="preserve">Extant </w:t>
            </w:r>
            <w:r w:rsidR="00F722BA" w:rsidRPr="00C46BE1">
              <w:rPr>
                <w:rFonts w:ascii="Tw Cen MT" w:hAnsi="Tw Cen MT"/>
              </w:rPr>
              <w:t xml:space="preserve">Client Level </w:t>
            </w:r>
            <w:r w:rsidRPr="00C46BE1">
              <w:rPr>
                <w:rFonts w:ascii="Tw Cen MT" w:hAnsi="Tw Cen MT"/>
              </w:rPr>
              <w:t>Data</w:t>
            </w:r>
          </w:p>
        </w:tc>
      </w:tr>
      <w:tr w:rsidR="004115F4" w:rsidRPr="00C46BE1" w14:paraId="73517C97" w14:textId="77777777" w:rsidTr="00D255F6">
        <w:trPr>
          <w:trHeight w:val="727"/>
          <w:jc w:val="center"/>
        </w:trPr>
        <w:tc>
          <w:tcPr>
            <w:tcW w:w="3801" w:type="pct"/>
            <w:shd w:val="clear" w:color="auto" w:fill="auto"/>
            <w:tcMar>
              <w:top w:w="0" w:type="dxa"/>
              <w:left w:w="108" w:type="dxa"/>
              <w:bottom w:w="0" w:type="dxa"/>
              <w:right w:w="108" w:type="dxa"/>
            </w:tcMar>
            <w:vAlign w:val="center"/>
          </w:tcPr>
          <w:p w14:paraId="686F57ED" w14:textId="77777777" w:rsidR="004115F4" w:rsidRPr="00C46BE1" w:rsidRDefault="004115F4" w:rsidP="006739CA">
            <w:pPr>
              <w:pStyle w:val="CSETable2"/>
              <w:spacing w:after="60" w:line="240" w:lineRule="auto"/>
              <w:rPr>
                <w:rFonts w:ascii="Tw Cen MT" w:hAnsi="Tw Cen MT"/>
                <w:b w:val="0"/>
              </w:rPr>
            </w:pPr>
            <w:r w:rsidRPr="00C46BE1">
              <w:rPr>
                <w:rFonts w:ascii="Tw Cen MT" w:hAnsi="Tw Cen MT"/>
                <w:b w:val="0"/>
              </w:rPr>
              <w:t>How has the state-level collaboration been structured to enhance service planning, coordination, and delivery of services? How has it supported the scalability and sustainability of the supported employment program?</w:t>
            </w:r>
          </w:p>
        </w:tc>
        <w:tc>
          <w:tcPr>
            <w:tcW w:w="289" w:type="pct"/>
            <w:tcMar>
              <w:top w:w="0" w:type="dxa"/>
              <w:left w:w="108" w:type="dxa"/>
              <w:bottom w:w="0" w:type="dxa"/>
              <w:right w:w="108" w:type="dxa"/>
            </w:tcMar>
            <w:vAlign w:val="center"/>
          </w:tcPr>
          <w:p w14:paraId="128D0142" w14:textId="77777777" w:rsidR="004115F4" w:rsidRPr="00C46BE1" w:rsidRDefault="004115F4" w:rsidP="006739CA">
            <w:pPr>
              <w:pStyle w:val="CSETableText"/>
              <w:jc w:val="center"/>
              <w:rPr>
                <w:rFonts w:ascii="Tw Cen MT" w:hAnsi="Tw Cen MT"/>
              </w:rPr>
            </w:pPr>
            <w:r w:rsidRPr="00C46BE1">
              <w:rPr>
                <w:rFonts w:ascii="Tw Cen MT" w:hAnsi="Tw Cen MT"/>
              </w:rPr>
              <w:t>X</w:t>
            </w:r>
          </w:p>
        </w:tc>
        <w:tc>
          <w:tcPr>
            <w:tcW w:w="289" w:type="pct"/>
            <w:tcMar>
              <w:top w:w="0" w:type="dxa"/>
              <w:left w:w="108" w:type="dxa"/>
              <w:bottom w:w="0" w:type="dxa"/>
              <w:right w:w="108" w:type="dxa"/>
            </w:tcMar>
            <w:vAlign w:val="center"/>
          </w:tcPr>
          <w:p w14:paraId="4675F281" w14:textId="77777777" w:rsidR="004115F4" w:rsidRPr="00C46BE1" w:rsidRDefault="004115F4" w:rsidP="006739CA">
            <w:pPr>
              <w:pStyle w:val="CSETableText"/>
              <w:jc w:val="center"/>
              <w:rPr>
                <w:rFonts w:ascii="Tw Cen MT" w:hAnsi="Tw Cen MT"/>
              </w:rPr>
            </w:pPr>
            <w:r w:rsidRPr="00C46BE1">
              <w:rPr>
                <w:rFonts w:ascii="Tw Cen MT" w:hAnsi="Tw Cen MT"/>
              </w:rPr>
              <w:t>X</w:t>
            </w:r>
          </w:p>
        </w:tc>
        <w:tc>
          <w:tcPr>
            <w:tcW w:w="290" w:type="pct"/>
            <w:tcMar>
              <w:top w:w="0" w:type="dxa"/>
              <w:left w:w="108" w:type="dxa"/>
              <w:bottom w:w="0" w:type="dxa"/>
              <w:right w:w="108" w:type="dxa"/>
            </w:tcMar>
            <w:vAlign w:val="center"/>
          </w:tcPr>
          <w:p w14:paraId="35E51B2D" w14:textId="77777777" w:rsidR="004115F4" w:rsidRPr="00C46BE1" w:rsidRDefault="004115F4" w:rsidP="006739CA">
            <w:pPr>
              <w:pStyle w:val="CSETableText"/>
              <w:jc w:val="center"/>
              <w:rPr>
                <w:rFonts w:ascii="Tw Cen MT" w:hAnsi="Tw Cen MT"/>
              </w:rPr>
            </w:pPr>
            <w:r w:rsidRPr="00C46BE1">
              <w:rPr>
                <w:rFonts w:ascii="Tw Cen MT" w:hAnsi="Tw Cen MT"/>
              </w:rPr>
              <w:t>X</w:t>
            </w:r>
          </w:p>
        </w:tc>
        <w:tc>
          <w:tcPr>
            <w:tcW w:w="331" w:type="pct"/>
            <w:vAlign w:val="center"/>
          </w:tcPr>
          <w:p w14:paraId="31505ECC" w14:textId="77777777" w:rsidR="004115F4" w:rsidRPr="00C46BE1" w:rsidRDefault="004115F4" w:rsidP="006739CA">
            <w:pPr>
              <w:pStyle w:val="CSETableText"/>
              <w:jc w:val="center"/>
              <w:rPr>
                <w:rFonts w:ascii="Tw Cen MT" w:hAnsi="Tw Cen MT"/>
              </w:rPr>
            </w:pPr>
          </w:p>
        </w:tc>
      </w:tr>
      <w:tr w:rsidR="004115F4" w:rsidRPr="00C46BE1" w14:paraId="2D25A454" w14:textId="77777777" w:rsidTr="00D255F6">
        <w:trPr>
          <w:jc w:val="center"/>
        </w:trPr>
        <w:tc>
          <w:tcPr>
            <w:tcW w:w="3801" w:type="pct"/>
            <w:shd w:val="clear" w:color="auto" w:fill="auto"/>
            <w:tcMar>
              <w:top w:w="0" w:type="dxa"/>
              <w:left w:w="108" w:type="dxa"/>
              <w:bottom w:w="0" w:type="dxa"/>
              <w:right w:w="108" w:type="dxa"/>
            </w:tcMar>
            <w:vAlign w:val="center"/>
          </w:tcPr>
          <w:p w14:paraId="1825ADCF" w14:textId="77777777" w:rsidR="004115F4" w:rsidRPr="00C46BE1" w:rsidRDefault="004115F4" w:rsidP="006739CA">
            <w:pPr>
              <w:pStyle w:val="CSETable2"/>
              <w:spacing w:after="60" w:line="240" w:lineRule="auto"/>
              <w:rPr>
                <w:rFonts w:ascii="Tw Cen MT" w:hAnsi="Tw Cen MT"/>
                <w:b w:val="0"/>
              </w:rPr>
            </w:pPr>
            <w:r w:rsidRPr="00C46BE1">
              <w:rPr>
                <w:rFonts w:ascii="Tw Cen MT" w:hAnsi="Tw Cen MT"/>
                <w:b w:val="0"/>
              </w:rPr>
              <w:t>What are the motivating factors associated with the SE project in each state? Do the motivating factors vary within and across each state?</w:t>
            </w:r>
          </w:p>
        </w:tc>
        <w:tc>
          <w:tcPr>
            <w:tcW w:w="289" w:type="pct"/>
            <w:tcMar>
              <w:top w:w="0" w:type="dxa"/>
              <w:left w:w="108" w:type="dxa"/>
              <w:bottom w:w="0" w:type="dxa"/>
              <w:right w:w="108" w:type="dxa"/>
            </w:tcMar>
            <w:vAlign w:val="center"/>
          </w:tcPr>
          <w:p w14:paraId="7889A8E6" w14:textId="77777777" w:rsidR="004115F4" w:rsidRPr="00C46BE1" w:rsidRDefault="004115F4" w:rsidP="006739CA">
            <w:pPr>
              <w:pStyle w:val="CSETableText"/>
              <w:jc w:val="center"/>
              <w:rPr>
                <w:rFonts w:ascii="Tw Cen MT" w:hAnsi="Tw Cen MT"/>
              </w:rPr>
            </w:pPr>
            <w:r w:rsidRPr="00C46BE1">
              <w:rPr>
                <w:rFonts w:ascii="Tw Cen MT" w:hAnsi="Tw Cen MT"/>
              </w:rPr>
              <w:t>X</w:t>
            </w:r>
          </w:p>
        </w:tc>
        <w:tc>
          <w:tcPr>
            <w:tcW w:w="289" w:type="pct"/>
            <w:tcMar>
              <w:top w:w="0" w:type="dxa"/>
              <w:left w:w="108" w:type="dxa"/>
              <w:bottom w:w="0" w:type="dxa"/>
              <w:right w:w="108" w:type="dxa"/>
            </w:tcMar>
            <w:vAlign w:val="center"/>
          </w:tcPr>
          <w:p w14:paraId="5421836D" w14:textId="77777777" w:rsidR="004115F4" w:rsidRPr="00C46BE1" w:rsidRDefault="004115F4" w:rsidP="006739CA">
            <w:pPr>
              <w:pStyle w:val="CSETableText"/>
              <w:jc w:val="center"/>
              <w:rPr>
                <w:rFonts w:ascii="Tw Cen MT" w:hAnsi="Tw Cen MT"/>
              </w:rPr>
            </w:pPr>
            <w:r w:rsidRPr="00C46BE1">
              <w:rPr>
                <w:rFonts w:ascii="Tw Cen MT" w:hAnsi="Tw Cen MT"/>
              </w:rPr>
              <w:t>X</w:t>
            </w:r>
          </w:p>
        </w:tc>
        <w:tc>
          <w:tcPr>
            <w:tcW w:w="290" w:type="pct"/>
            <w:tcMar>
              <w:top w:w="0" w:type="dxa"/>
              <w:left w:w="108" w:type="dxa"/>
              <w:bottom w:w="0" w:type="dxa"/>
              <w:right w:w="108" w:type="dxa"/>
            </w:tcMar>
            <w:vAlign w:val="center"/>
          </w:tcPr>
          <w:p w14:paraId="24BBE0D0" w14:textId="77777777" w:rsidR="004115F4" w:rsidRPr="00C46BE1" w:rsidRDefault="004115F4" w:rsidP="006739CA">
            <w:pPr>
              <w:pStyle w:val="CSETableText"/>
              <w:jc w:val="center"/>
              <w:rPr>
                <w:rFonts w:ascii="Tw Cen MT" w:hAnsi="Tw Cen MT"/>
              </w:rPr>
            </w:pPr>
          </w:p>
        </w:tc>
        <w:tc>
          <w:tcPr>
            <w:tcW w:w="331" w:type="pct"/>
            <w:vAlign w:val="center"/>
          </w:tcPr>
          <w:p w14:paraId="56AC5AD6" w14:textId="77777777" w:rsidR="004115F4" w:rsidRPr="00C46BE1" w:rsidRDefault="004115F4" w:rsidP="006739CA">
            <w:pPr>
              <w:pStyle w:val="CSETableText"/>
              <w:jc w:val="center"/>
              <w:rPr>
                <w:rFonts w:ascii="Tw Cen MT" w:hAnsi="Tw Cen MT"/>
              </w:rPr>
            </w:pPr>
          </w:p>
        </w:tc>
      </w:tr>
      <w:tr w:rsidR="004115F4" w:rsidRPr="00C46BE1" w14:paraId="043D09B4" w14:textId="77777777" w:rsidTr="00D255F6">
        <w:trPr>
          <w:jc w:val="center"/>
        </w:trPr>
        <w:tc>
          <w:tcPr>
            <w:tcW w:w="3801" w:type="pct"/>
            <w:shd w:val="clear" w:color="auto" w:fill="auto"/>
            <w:tcMar>
              <w:top w:w="0" w:type="dxa"/>
              <w:left w:w="108" w:type="dxa"/>
              <w:bottom w:w="0" w:type="dxa"/>
              <w:right w:w="108" w:type="dxa"/>
            </w:tcMar>
            <w:vAlign w:val="center"/>
          </w:tcPr>
          <w:p w14:paraId="181DE32A" w14:textId="77777777" w:rsidR="004115F4" w:rsidRPr="00C46BE1" w:rsidRDefault="004115F4" w:rsidP="006739CA">
            <w:pPr>
              <w:pStyle w:val="CSETable2"/>
              <w:spacing w:after="60" w:line="240" w:lineRule="auto"/>
              <w:rPr>
                <w:rFonts w:ascii="Tw Cen MT" w:hAnsi="Tw Cen MT"/>
                <w:b w:val="0"/>
              </w:rPr>
            </w:pPr>
            <w:r w:rsidRPr="00C46BE1">
              <w:rPr>
                <w:rFonts w:ascii="Tw Cen MT" w:hAnsi="Tw Cen MT"/>
                <w:b w:val="0"/>
              </w:rPr>
              <w:t>What actions have the state and local sites taken to provide sustainable and scalable organizational, policy, and financial resources to supported employment programs?  How scalable and sustainable does their approach to supported employment appear to stakeholders?</w:t>
            </w:r>
          </w:p>
        </w:tc>
        <w:tc>
          <w:tcPr>
            <w:tcW w:w="289" w:type="pct"/>
            <w:tcMar>
              <w:top w:w="0" w:type="dxa"/>
              <w:left w:w="108" w:type="dxa"/>
              <w:bottom w:w="0" w:type="dxa"/>
              <w:right w:w="108" w:type="dxa"/>
            </w:tcMar>
            <w:vAlign w:val="center"/>
          </w:tcPr>
          <w:p w14:paraId="4DA08205" w14:textId="77777777" w:rsidR="004115F4" w:rsidRPr="00C46BE1" w:rsidRDefault="004115F4" w:rsidP="006739CA">
            <w:pPr>
              <w:pStyle w:val="CSETableText"/>
              <w:jc w:val="center"/>
              <w:rPr>
                <w:rFonts w:ascii="Tw Cen MT" w:hAnsi="Tw Cen MT"/>
              </w:rPr>
            </w:pPr>
            <w:r w:rsidRPr="00C46BE1">
              <w:rPr>
                <w:rFonts w:ascii="Tw Cen MT" w:hAnsi="Tw Cen MT"/>
              </w:rPr>
              <w:t>X</w:t>
            </w:r>
          </w:p>
        </w:tc>
        <w:tc>
          <w:tcPr>
            <w:tcW w:w="289" w:type="pct"/>
            <w:tcMar>
              <w:top w:w="0" w:type="dxa"/>
              <w:left w:w="108" w:type="dxa"/>
              <w:bottom w:w="0" w:type="dxa"/>
              <w:right w:w="108" w:type="dxa"/>
            </w:tcMar>
            <w:vAlign w:val="center"/>
          </w:tcPr>
          <w:p w14:paraId="21A8E9C3" w14:textId="77777777" w:rsidR="004115F4" w:rsidRPr="00C46BE1" w:rsidRDefault="004115F4" w:rsidP="006739CA">
            <w:pPr>
              <w:pStyle w:val="CSETableText"/>
              <w:jc w:val="center"/>
              <w:rPr>
                <w:rFonts w:ascii="Tw Cen MT" w:hAnsi="Tw Cen MT"/>
              </w:rPr>
            </w:pPr>
          </w:p>
        </w:tc>
        <w:tc>
          <w:tcPr>
            <w:tcW w:w="290" w:type="pct"/>
            <w:tcMar>
              <w:top w:w="0" w:type="dxa"/>
              <w:left w:w="108" w:type="dxa"/>
              <w:bottom w:w="0" w:type="dxa"/>
              <w:right w:w="108" w:type="dxa"/>
            </w:tcMar>
            <w:vAlign w:val="center"/>
          </w:tcPr>
          <w:p w14:paraId="681C9F8D" w14:textId="77777777" w:rsidR="004115F4" w:rsidRPr="00C46BE1" w:rsidRDefault="004115F4" w:rsidP="006739CA">
            <w:pPr>
              <w:pStyle w:val="CSETableText"/>
              <w:jc w:val="center"/>
              <w:rPr>
                <w:rFonts w:ascii="Tw Cen MT" w:hAnsi="Tw Cen MT"/>
              </w:rPr>
            </w:pPr>
            <w:r w:rsidRPr="00C46BE1">
              <w:rPr>
                <w:rFonts w:ascii="Tw Cen MT" w:hAnsi="Tw Cen MT"/>
              </w:rPr>
              <w:t>X</w:t>
            </w:r>
          </w:p>
        </w:tc>
        <w:tc>
          <w:tcPr>
            <w:tcW w:w="331" w:type="pct"/>
            <w:vAlign w:val="center"/>
          </w:tcPr>
          <w:p w14:paraId="2D21C987" w14:textId="77777777" w:rsidR="004115F4" w:rsidRPr="00C46BE1" w:rsidRDefault="004115F4" w:rsidP="006739CA">
            <w:pPr>
              <w:pStyle w:val="CSETableText"/>
              <w:jc w:val="center"/>
              <w:rPr>
                <w:rFonts w:ascii="Tw Cen MT" w:hAnsi="Tw Cen MT"/>
              </w:rPr>
            </w:pPr>
          </w:p>
        </w:tc>
      </w:tr>
      <w:tr w:rsidR="004115F4" w:rsidRPr="00C46BE1" w14:paraId="6BBA0E1A" w14:textId="77777777" w:rsidTr="00D255F6">
        <w:trPr>
          <w:trHeight w:val="520"/>
          <w:jc w:val="center"/>
        </w:trPr>
        <w:tc>
          <w:tcPr>
            <w:tcW w:w="3801" w:type="pct"/>
            <w:shd w:val="clear" w:color="auto" w:fill="auto"/>
            <w:tcMar>
              <w:top w:w="0" w:type="dxa"/>
              <w:left w:w="108" w:type="dxa"/>
              <w:bottom w:w="0" w:type="dxa"/>
              <w:right w:w="108" w:type="dxa"/>
            </w:tcMar>
          </w:tcPr>
          <w:p w14:paraId="34A9E0B5" w14:textId="77777777" w:rsidR="004115F4" w:rsidRPr="00C46BE1" w:rsidRDefault="004115F4" w:rsidP="00D255F6">
            <w:pPr>
              <w:pStyle w:val="BHTCCBody"/>
              <w:spacing w:after="0"/>
              <w:jc w:val="left"/>
              <w:rPr>
                <w:rFonts w:ascii="Tw Cen MT" w:hAnsi="Tw Cen MT"/>
                <w:b/>
                <w:sz w:val="22"/>
              </w:rPr>
            </w:pPr>
            <w:r w:rsidRPr="00C46BE1">
              <w:rPr>
                <w:rFonts w:ascii="Tw Cen MT" w:hAnsi="Tw Cen MT" w:cs="Times New Roman"/>
                <w:sz w:val="22"/>
              </w:rPr>
              <w:t>What program, contextual, and cultural factors were associated with participant outcomes?</w:t>
            </w:r>
          </w:p>
        </w:tc>
        <w:tc>
          <w:tcPr>
            <w:tcW w:w="289" w:type="pct"/>
            <w:tcMar>
              <w:top w:w="0" w:type="dxa"/>
              <w:left w:w="108" w:type="dxa"/>
              <w:bottom w:w="0" w:type="dxa"/>
              <w:right w:w="108" w:type="dxa"/>
            </w:tcMar>
            <w:vAlign w:val="center"/>
          </w:tcPr>
          <w:p w14:paraId="741E60EF" w14:textId="77777777" w:rsidR="004115F4" w:rsidRPr="00C46BE1" w:rsidRDefault="004115F4" w:rsidP="006739CA">
            <w:pPr>
              <w:pStyle w:val="CSETableText"/>
              <w:spacing w:before="0" w:after="0"/>
              <w:jc w:val="center"/>
              <w:rPr>
                <w:rFonts w:ascii="Tw Cen MT" w:hAnsi="Tw Cen MT"/>
              </w:rPr>
            </w:pPr>
            <w:r w:rsidRPr="00C46BE1">
              <w:rPr>
                <w:rFonts w:ascii="Tw Cen MT" w:hAnsi="Tw Cen MT"/>
              </w:rPr>
              <w:t>X</w:t>
            </w:r>
          </w:p>
        </w:tc>
        <w:tc>
          <w:tcPr>
            <w:tcW w:w="289" w:type="pct"/>
            <w:tcMar>
              <w:top w:w="0" w:type="dxa"/>
              <w:left w:w="108" w:type="dxa"/>
              <w:bottom w:w="0" w:type="dxa"/>
              <w:right w:w="108" w:type="dxa"/>
            </w:tcMar>
            <w:vAlign w:val="center"/>
          </w:tcPr>
          <w:p w14:paraId="4C79A137" w14:textId="77777777" w:rsidR="004115F4" w:rsidRPr="00C46BE1" w:rsidRDefault="004115F4" w:rsidP="006739CA">
            <w:pPr>
              <w:pStyle w:val="CSETableText"/>
              <w:spacing w:before="0" w:after="0"/>
              <w:jc w:val="center"/>
              <w:rPr>
                <w:rFonts w:ascii="Tw Cen MT" w:hAnsi="Tw Cen MT"/>
              </w:rPr>
            </w:pPr>
            <w:r w:rsidRPr="00C46BE1">
              <w:rPr>
                <w:rFonts w:ascii="Tw Cen MT" w:hAnsi="Tw Cen MT"/>
              </w:rPr>
              <w:t>X</w:t>
            </w:r>
          </w:p>
        </w:tc>
        <w:tc>
          <w:tcPr>
            <w:tcW w:w="290" w:type="pct"/>
            <w:tcMar>
              <w:top w:w="0" w:type="dxa"/>
              <w:left w:w="108" w:type="dxa"/>
              <w:bottom w:w="0" w:type="dxa"/>
              <w:right w:w="108" w:type="dxa"/>
            </w:tcMar>
            <w:vAlign w:val="center"/>
          </w:tcPr>
          <w:p w14:paraId="712AA680" w14:textId="77777777" w:rsidR="004115F4" w:rsidRPr="00C46BE1" w:rsidRDefault="004115F4" w:rsidP="006739CA">
            <w:pPr>
              <w:pStyle w:val="CSETableText"/>
              <w:spacing w:before="0" w:after="0"/>
              <w:jc w:val="center"/>
              <w:rPr>
                <w:rFonts w:ascii="Tw Cen MT" w:hAnsi="Tw Cen MT"/>
              </w:rPr>
            </w:pPr>
            <w:r w:rsidRPr="00C46BE1">
              <w:rPr>
                <w:rFonts w:ascii="Tw Cen MT" w:hAnsi="Tw Cen MT"/>
              </w:rPr>
              <w:t>X</w:t>
            </w:r>
          </w:p>
        </w:tc>
        <w:tc>
          <w:tcPr>
            <w:tcW w:w="331" w:type="pct"/>
            <w:vAlign w:val="center"/>
          </w:tcPr>
          <w:p w14:paraId="0C426F72" w14:textId="77777777" w:rsidR="004115F4" w:rsidRPr="00C46BE1" w:rsidRDefault="004115F4" w:rsidP="006739CA">
            <w:pPr>
              <w:pStyle w:val="CSETableText"/>
              <w:spacing w:before="0" w:after="0"/>
              <w:jc w:val="center"/>
              <w:rPr>
                <w:rFonts w:ascii="Tw Cen MT" w:hAnsi="Tw Cen MT"/>
              </w:rPr>
            </w:pPr>
            <w:r w:rsidRPr="00C46BE1">
              <w:rPr>
                <w:rFonts w:ascii="Tw Cen MT" w:hAnsi="Tw Cen MT"/>
              </w:rPr>
              <w:t>X</w:t>
            </w:r>
          </w:p>
        </w:tc>
      </w:tr>
    </w:tbl>
    <w:p w14:paraId="5BBBE34B" w14:textId="1B118CD2" w:rsidR="004115F4" w:rsidRPr="00C46BE1" w:rsidRDefault="004115F4" w:rsidP="00C43735">
      <w:pPr>
        <w:pStyle w:val="BHTCCBody"/>
        <w:spacing w:before="240" w:after="60"/>
        <w:rPr>
          <w:rFonts w:ascii="Tw Cen MT" w:hAnsi="Tw Cen MT" w:cs="Times New Roman"/>
          <w:b/>
          <w:sz w:val="26"/>
          <w:szCs w:val="26"/>
          <w:u w:val="single"/>
        </w:rPr>
      </w:pPr>
      <w:r w:rsidRPr="00C46BE1">
        <w:rPr>
          <w:rFonts w:ascii="Tw Cen MT" w:hAnsi="Tw Cen MT" w:cs="Times New Roman"/>
          <w:b/>
          <w:sz w:val="26"/>
          <w:szCs w:val="26"/>
          <w:u w:val="single"/>
        </w:rPr>
        <w:t xml:space="preserve">SE </w:t>
      </w:r>
      <w:r w:rsidR="002857CC" w:rsidRPr="00C46BE1">
        <w:rPr>
          <w:rFonts w:ascii="Tw Cen MT" w:hAnsi="Tw Cen MT" w:cs="Times New Roman"/>
          <w:b/>
          <w:sz w:val="26"/>
          <w:szCs w:val="26"/>
          <w:u w:val="single"/>
        </w:rPr>
        <w:t>System Change S</w:t>
      </w:r>
      <w:r w:rsidR="003F2553" w:rsidRPr="00C46BE1">
        <w:rPr>
          <w:rFonts w:ascii="Tw Cen MT" w:hAnsi="Tw Cen MT" w:cs="Times New Roman"/>
          <w:b/>
          <w:sz w:val="26"/>
          <w:szCs w:val="26"/>
          <w:u w:val="single"/>
        </w:rPr>
        <w:t>ubs</w:t>
      </w:r>
      <w:r w:rsidR="002857CC" w:rsidRPr="00C46BE1">
        <w:rPr>
          <w:rFonts w:ascii="Tw Cen MT" w:hAnsi="Tw Cen MT" w:cs="Times New Roman"/>
          <w:b/>
          <w:sz w:val="26"/>
          <w:szCs w:val="26"/>
          <w:u w:val="single"/>
        </w:rPr>
        <w:t>tudy</w:t>
      </w:r>
    </w:p>
    <w:p w14:paraId="335EC94C" w14:textId="5662F318" w:rsidR="002857CC" w:rsidRPr="00C46BE1" w:rsidRDefault="004115F4" w:rsidP="002857CC">
      <w:pPr>
        <w:pStyle w:val="BHTCCBody"/>
        <w:rPr>
          <w:rFonts w:ascii="Times New Roman" w:hAnsi="Times New Roman" w:cs="Times New Roman"/>
          <w:sz w:val="24"/>
          <w:szCs w:val="24"/>
        </w:rPr>
      </w:pPr>
      <w:r w:rsidRPr="00C46BE1">
        <w:rPr>
          <w:rFonts w:ascii="Times New Roman" w:hAnsi="Times New Roman" w:cs="Times New Roman"/>
          <w:sz w:val="24"/>
          <w:szCs w:val="24"/>
        </w:rPr>
        <w:t xml:space="preserve">The SE </w:t>
      </w:r>
      <w:r w:rsidR="002857CC" w:rsidRPr="00C46BE1">
        <w:rPr>
          <w:rFonts w:ascii="Times New Roman" w:hAnsi="Times New Roman" w:cs="Times New Roman"/>
          <w:sz w:val="24"/>
          <w:szCs w:val="24"/>
        </w:rPr>
        <w:t>SCS</w:t>
      </w:r>
      <w:r w:rsidRPr="00C46BE1">
        <w:rPr>
          <w:rFonts w:ascii="Times New Roman" w:hAnsi="Times New Roman" w:cs="Times New Roman"/>
          <w:sz w:val="24"/>
          <w:szCs w:val="24"/>
        </w:rPr>
        <w:t xml:space="preserve"> will examine how infrastructure is developed to support the full adoption of SE practices within each state and how states plan to sustain those practices over the long run. The </w:t>
      </w:r>
      <w:r w:rsidR="003F2553" w:rsidRPr="00C46BE1">
        <w:rPr>
          <w:rFonts w:ascii="Times New Roman" w:hAnsi="Times New Roman" w:cs="Times New Roman"/>
          <w:sz w:val="24"/>
          <w:szCs w:val="24"/>
        </w:rPr>
        <w:t>SCS</w:t>
      </w:r>
      <w:r w:rsidRPr="00C46BE1">
        <w:rPr>
          <w:rFonts w:ascii="Times New Roman" w:hAnsi="Times New Roman" w:cs="Times New Roman"/>
          <w:sz w:val="24"/>
          <w:szCs w:val="24"/>
        </w:rPr>
        <w:t xml:space="preserve"> combines primary and secondary data to understand how key stakeholders collaborate to expand the service capacity of sites, improve access to and financing for services, and engage employers, all while reflecting the principles of community support programs. Data collection activities include: BPI</w:t>
      </w:r>
      <w:r w:rsidR="00D255F6" w:rsidRPr="00C46BE1">
        <w:rPr>
          <w:rFonts w:ascii="Times New Roman" w:hAnsi="Times New Roman" w:cs="Times New Roman"/>
          <w:sz w:val="24"/>
          <w:szCs w:val="24"/>
        </w:rPr>
        <w:t>—SE Version</w:t>
      </w:r>
      <w:r w:rsidRPr="00C46BE1">
        <w:rPr>
          <w:rFonts w:ascii="Times New Roman" w:hAnsi="Times New Roman" w:cs="Times New Roman"/>
          <w:sz w:val="24"/>
          <w:szCs w:val="24"/>
        </w:rPr>
        <w:t>, SSA KIIs</w:t>
      </w:r>
      <w:r w:rsidR="00D255F6" w:rsidRPr="00C46BE1">
        <w:rPr>
          <w:rFonts w:ascii="Times New Roman" w:hAnsi="Times New Roman" w:cs="Times New Roman"/>
          <w:sz w:val="24"/>
          <w:szCs w:val="24"/>
        </w:rPr>
        <w:t xml:space="preserve"> (Administrator and Service Provider Versions)</w:t>
      </w:r>
      <w:r w:rsidRPr="00C46BE1">
        <w:rPr>
          <w:rFonts w:ascii="Times New Roman" w:hAnsi="Times New Roman" w:cs="Times New Roman"/>
          <w:sz w:val="24"/>
          <w:szCs w:val="24"/>
        </w:rPr>
        <w:t xml:space="preserve">, and </w:t>
      </w:r>
      <w:r w:rsidR="00D255F6" w:rsidRPr="00C46BE1">
        <w:rPr>
          <w:rFonts w:ascii="Times New Roman" w:hAnsi="Times New Roman" w:cs="Times New Roman"/>
          <w:sz w:val="24"/>
          <w:szCs w:val="24"/>
        </w:rPr>
        <w:t>ENFGs (Employer and Employment Specialist Versions)</w:t>
      </w:r>
      <w:r w:rsidRPr="00C46BE1">
        <w:rPr>
          <w:rFonts w:ascii="Times New Roman" w:hAnsi="Times New Roman" w:cs="Times New Roman"/>
          <w:sz w:val="24"/>
          <w:szCs w:val="24"/>
        </w:rPr>
        <w:t xml:space="preserve">. </w:t>
      </w:r>
      <w:r w:rsidR="002857CC" w:rsidRPr="00C46BE1">
        <w:rPr>
          <w:rFonts w:ascii="Times New Roman" w:hAnsi="Times New Roman" w:cs="Times New Roman"/>
          <w:sz w:val="24"/>
          <w:szCs w:val="24"/>
        </w:rPr>
        <w:t>Specific objectives to be addressed include the following:</w:t>
      </w:r>
    </w:p>
    <w:p w14:paraId="02D43ED9" w14:textId="1DD4D465" w:rsidR="00022802" w:rsidRPr="00C46BE1" w:rsidRDefault="00022802" w:rsidP="00290326">
      <w:pPr>
        <w:pStyle w:val="BHTCCBullet1"/>
        <w:spacing w:after="60"/>
        <w:contextualSpacing w:val="0"/>
        <w:rPr>
          <w:rFonts w:ascii="Times New Roman" w:hAnsi="Times New Roman" w:cs="Times New Roman"/>
          <w:sz w:val="24"/>
          <w:szCs w:val="24"/>
        </w:rPr>
      </w:pPr>
      <w:r w:rsidRPr="00C46BE1">
        <w:rPr>
          <w:rFonts w:ascii="Times New Roman" w:hAnsi="Times New Roman" w:cs="Times New Roman"/>
          <w:sz w:val="24"/>
          <w:szCs w:val="24"/>
        </w:rPr>
        <w:t xml:space="preserve">Understand the </w:t>
      </w:r>
      <w:r w:rsidR="002857CC" w:rsidRPr="00C46BE1">
        <w:rPr>
          <w:rFonts w:ascii="Times New Roman" w:hAnsi="Times New Roman" w:cs="Times New Roman"/>
          <w:sz w:val="24"/>
          <w:szCs w:val="24"/>
        </w:rPr>
        <w:t xml:space="preserve">state-level collaboration </w:t>
      </w:r>
      <w:r w:rsidRPr="00C46BE1">
        <w:rPr>
          <w:rFonts w:ascii="Times New Roman" w:hAnsi="Times New Roman" w:cs="Times New Roman"/>
          <w:sz w:val="24"/>
          <w:szCs w:val="24"/>
        </w:rPr>
        <w:t xml:space="preserve">and infrastructure </w:t>
      </w:r>
      <w:r w:rsidR="002857CC" w:rsidRPr="00C46BE1">
        <w:rPr>
          <w:rFonts w:ascii="Times New Roman" w:hAnsi="Times New Roman" w:cs="Times New Roman"/>
          <w:sz w:val="24"/>
          <w:szCs w:val="24"/>
        </w:rPr>
        <w:t>to enhance service planning, coordination, and delivery of services</w:t>
      </w:r>
    </w:p>
    <w:p w14:paraId="565D2573" w14:textId="49C3D84A" w:rsidR="002857CC" w:rsidRPr="00C46BE1" w:rsidRDefault="00022802" w:rsidP="00290326">
      <w:pPr>
        <w:pStyle w:val="BHTCCBullet1"/>
        <w:spacing w:after="60"/>
        <w:contextualSpacing w:val="0"/>
        <w:rPr>
          <w:rFonts w:ascii="Times New Roman" w:hAnsi="Times New Roman" w:cs="Times New Roman"/>
          <w:sz w:val="24"/>
          <w:szCs w:val="24"/>
        </w:rPr>
      </w:pPr>
      <w:r w:rsidRPr="00C46BE1">
        <w:rPr>
          <w:rFonts w:ascii="Times New Roman" w:hAnsi="Times New Roman" w:cs="Times New Roman"/>
          <w:sz w:val="24"/>
          <w:szCs w:val="24"/>
        </w:rPr>
        <w:t xml:space="preserve">Assess the scalability and sustainability of the </w:t>
      </w:r>
      <w:r w:rsidR="00C92D28" w:rsidRPr="00C46BE1">
        <w:rPr>
          <w:rFonts w:ascii="Times New Roman" w:hAnsi="Times New Roman" w:cs="Times New Roman"/>
          <w:sz w:val="24"/>
          <w:szCs w:val="24"/>
        </w:rPr>
        <w:t>SE Program</w:t>
      </w:r>
    </w:p>
    <w:p w14:paraId="4E72997F" w14:textId="51A85B71" w:rsidR="002857CC" w:rsidRPr="00C46BE1" w:rsidRDefault="00022802" w:rsidP="00022802">
      <w:pPr>
        <w:pStyle w:val="BHTCCBullet1"/>
        <w:spacing w:after="60"/>
        <w:contextualSpacing w:val="0"/>
        <w:rPr>
          <w:rFonts w:ascii="Times New Roman" w:hAnsi="Times New Roman" w:cs="Times New Roman"/>
          <w:sz w:val="24"/>
          <w:szCs w:val="24"/>
        </w:rPr>
      </w:pPr>
      <w:r w:rsidRPr="00C46BE1">
        <w:rPr>
          <w:rFonts w:ascii="Times New Roman" w:hAnsi="Times New Roman" w:cs="Times New Roman"/>
          <w:sz w:val="24"/>
          <w:szCs w:val="24"/>
        </w:rPr>
        <w:t xml:space="preserve">Document and assess the </w:t>
      </w:r>
      <w:r w:rsidR="002857CC" w:rsidRPr="00C46BE1">
        <w:rPr>
          <w:rFonts w:ascii="Times New Roman" w:hAnsi="Times New Roman" w:cs="Times New Roman"/>
          <w:sz w:val="24"/>
          <w:szCs w:val="24"/>
        </w:rPr>
        <w:t xml:space="preserve">factors </w:t>
      </w:r>
      <w:r w:rsidRPr="00C46BE1">
        <w:rPr>
          <w:rFonts w:ascii="Times New Roman" w:hAnsi="Times New Roman" w:cs="Times New Roman"/>
          <w:sz w:val="24"/>
          <w:szCs w:val="24"/>
        </w:rPr>
        <w:t xml:space="preserve">motivating adoption of the </w:t>
      </w:r>
      <w:r w:rsidR="00C92D28" w:rsidRPr="00C46BE1">
        <w:rPr>
          <w:rFonts w:ascii="Times New Roman" w:hAnsi="Times New Roman" w:cs="Times New Roman"/>
          <w:sz w:val="24"/>
          <w:szCs w:val="24"/>
        </w:rPr>
        <w:t>SE</w:t>
      </w:r>
      <w:r w:rsidR="002857CC" w:rsidRPr="00C46BE1">
        <w:rPr>
          <w:rFonts w:ascii="Times New Roman" w:hAnsi="Times New Roman" w:cs="Times New Roman"/>
          <w:sz w:val="24"/>
          <w:szCs w:val="24"/>
        </w:rPr>
        <w:t xml:space="preserve"> model in each state</w:t>
      </w:r>
      <w:r w:rsidRPr="00C46BE1">
        <w:rPr>
          <w:rFonts w:ascii="Times New Roman" w:hAnsi="Times New Roman" w:cs="Times New Roman"/>
          <w:sz w:val="24"/>
          <w:szCs w:val="24"/>
        </w:rPr>
        <w:t xml:space="preserve"> and variation of motivating factors across states</w:t>
      </w:r>
    </w:p>
    <w:p w14:paraId="1D778C7C" w14:textId="6BE2A39E" w:rsidR="002857CC" w:rsidRPr="00C46BE1" w:rsidRDefault="00022802" w:rsidP="002857CC">
      <w:pPr>
        <w:pStyle w:val="BHTCCBullet1"/>
        <w:rPr>
          <w:rFonts w:ascii="Times New Roman" w:hAnsi="Times New Roman" w:cs="Times New Roman"/>
          <w:sz w:val="24"/>
          <w:szCs w:val="24"/>
        </w:rPr>
      </w:pPr>
      <w:r w:rsidRPr="00C46BE1">
        <w:rPr>
          <w:rFonts w:ascii="Times New Roman" w:hAnsi="Times New Roman" w:cs="Times New Roman"/>
          <w:sz w:val="24"/>
          <w:szCs w:val="24"/>
        </w:rPr>
        <w:t xml:space="preserve">Document the </w:t>
      </w:r>
      <w:r w:rsidR="002857CC" w:rsidRPr="00C46BE1">
        <w:rPr>
          <w:rFonts w:ascii="Times New Roman" w:hAnsi="Times New Roman" w:cs="Times New Roman"/>
          <w:sz w:val="24"/>
          <w:szCs w:val="24"/>
        </w:rPr>
        <w:t xml:space="preserve">actions </w:t>
      </w:r>
      <w:r w:rsidRPr="00C46BE1">
        <w:rPr>
          <w:rFonts w:ascii="Times New Roman" w:hAnsi="Times New Roman" w:cs="Times New Roman"/>
          <w:sz w:val="24"/>
          <w:szCs w:val="24"/>
        </w:rPr>
        <w:t xml:space="preserve">that </w:t>
      </w:r>
      <w:r w:rsidR="002857CC" w:rsidRPr="00C46BE1">
        <w:rPr>
          <w:rFonts w:ascii="Times New Roman" w:hAnsi="Times New Roman" w:cs="Times New Roman"/>
          <w:sz w:val="24"/>
          <w:szCs w:val="24"/>
        </w:rPr>
        <w:t xml:space="preserve">state and local sites </w:t>
      </w:r>
      <w:r w:rsidRPr="00C46BE1">
        <w:rPr>
          <w:rFonts w:ascii="Times New Roman" w:hAnsi="Times New Roman" w:cs="Times New Roman"/>
          <w:sz w:val="24"/>
          <w:szCs w:val="24"/>
        </w:rPr>
        <w:t xml:space="preserve">to ensure </w:t>
      </w:r>
      <w:r w:rsidR="002857CC" w:rsidRPr="00C46BE1">
        <w:rPr>
          <w:rFonts w:ascii="Times New Roman" w:hAnsi="Times New Roman" w:cs="Times New Roman"/>
          <w:sz w:val="24"/>
          <w:szCs w:val="24"/>
        </w:rPr>
        <w:t xml:space="preserve">sustainable and scalable organizational, policy, and financial resources </w:t>
      </w:r>
      <w:r w:rsidRPr="00C46BE1">
        <w:rPr>
          <w:rFonts w:ascii="Times New Roman" w:hAnsi="Times New Roman" w:cs="Times New Roman"/>
          <w:sz w:val="24"/>
          <w:szCs w:val="24"/>
        </w:rPr>
        <w:t>for Supported Employment programs</w:t>
      </w:r>
      <w:r w:rsidR="002857CC" w:rsidRPr="00C46BE1">
        <w:rPr>
          <w:rFonts w:ascii="Times New Roman" w:hAnsi="Times New Roman" w:cs="Times New Roman"/>
          <w:sz w:val="24"/>
          <w:szCs w:val="24"/>
        </w:rPr>
        <w:t xml:space="preserve"> </w:t>
      </w:r>
    </w:p>
    <w:p w14:paraId="24B2017D" w14:textId="77777777" w:rsidR="004115F4" w:rsidRPr="00C46BE1" w:rsidRDefault="004115F4" w:rsidP="004115F4">
      <w:pPr>
        <w:pStyle w:val="BHTCCBody"/>
        <w:spacing w:before="200" w:after="60"/>
        <w:rPr>
          <w:rFonts w:ascii="Tw Cen MT" w:hAnsi="Tw Cen MT" w:cs="Times New Roman"/>
          <w:b/>
          <w:sz w:val="26"/>
          <w:szCs w:val="26"/>
          <w:u w:val="single"/>
        </w:rPr>
      </w:pPr>
      <w:r w:rsidRPr="00C46BE1">
        <w:rPr>
          <w:rFonts w:ascii="Tw Cen MT" w:hAnsi="Tw Cen MT" w:cs="Times New Roman"/>
          <w:b/>
          <w:sz w:val="26"/>
          <w:szCs w:val="26"/>
          <w:u w:val="single"/>
        </w:rPr>
        <w:t>SE Consumer Outcome Assessment</w:t>
      </w:r>
    </w:p>
    <w:p w14:paraId="19572031" w14:textId="31A346AF" w:rsidR="009510AA" w:rsidRPr="00C46BE1" w:rsidRDefault="009510AA" w:rsidP="00C43735">
      <w:pPr>
        <w:pStyle w:val="BHTCCBullet1"/>
        <w:numPr>
          <w:ilvl w:val="0"/>
          <w:numId w:val="0"/>
        </w:numPr>
        <w:spacing w:after="240"/>
        <w:contextualSpacing w:val="0"/>
        <w:jc w:val="both"/>
        <w:rPr>
          <w:rFonts w:ascii="Times New Roman" w:hAnsi="Times New Roman" w:cs="Times New Roman"/>
          <w:sz w:val="24"/>
          <w:szCs w:val="24"/>
        </w:rPr>
      </w:pPr>
      <w:r w:rsidRPr="00C46BE1">
        <w:rPr>
          <w:rFonts w:ascii="Times New Roman" w:hAnsi="Times New Roman" w:cs="Times New Roman"/>
          <w:sz w:val="24"/>
          <w:szCs w:val="24"/>
        </w:rPr>
        <w:t xml:space="preserve">The goal of the SE COS is to understand employment-related outcomes that consumers experience during and after their participation in the SE program. The SE COA does not involve data collection burden. Rather, </w:t>
      </w:r>
      <w:r w:rsidR="00E667C3" w:rsidRPr="00C46BE1">
        <w:rPr>
          <w:rFonts w:ascii="Times New Roman" w:hAnsi="Times New Roman" w:cs="Times New Roman"/>
          <w:sz w:val="24"/>
          <w:szCs w:val="24"/>
        </w:rPr>
        <w:t>client-level data from existing performance monitoring requirements</w:t>
      </w:r>
      <w:r w:rsidR="00E667C3" w:rsidRPr="00C46BE1" w:rsidDel="00E667C3">
        <w:rPr>
          <w:rFonts w:ascii="Times New Roman" w:hAnsi="Times New Roman" w:cs="Times New Roman"/>
          <w:sz w:val="24"/>
          <w:szCs w:val="24"/>
        </w:rPr>
        <w:t xml:space="preserve"> </w:t>
      </w:r>
      <w:r w:rsidRPr="00C46BE1">
        <w:rPr>
          <w:rFonts w:ascii="Times New Roman" w:hAnsi="Times New Roman" w:cs="Times New Roman"/>
          <w:sz w:val="24"/>
          <w:szCs w:val="24"/>
        </w:rPr>
        <w:t>will be analyzed to understand employment-related outcomes experienced by consumers during and after their participation in the SE program.</w:t>
      </w:r>
      <w:r w:rsidRPr="00C46BE1">
        <w:t xml:space="preserve"> </w:t>
      </w:r>
      <w:r w:rsidRPr="00C46BE1">
        <w:rPr>
          <w:rFonts w:ascii="Times New Roman" w:hAnsi="Times New Roman" w:cs="Times New Roman"/>
          <w:sz w:val="24"/>
          <w:szCs w:val="24"/>
        </w:rPr>
        <w:t>Additional details can be found in Section A.</w:t>
      </w:r>
      <w:r w:rsidR="009A06D9" w:rsidRPr="00C46BE1">
        <w:rPr>
          <w:rFonts w:ascii="Times New Roman" w:hAnsi="Times New Roman" w:cs="Times New Roman"/>
          <w:sz w:val="24"/>
          <w:szCs w:val="24"/>
        </w:rPr>
        <w:t>16.c</w:t>
      </w:r>
      <w:r w:rsidRPr="00C46BE1">
        <w:rPr>
          <w:rFonts w:ascii="Times New Roman" w:hAnsi="Times New Roman" w:cs="Times New Roman"/>
          <w:sz w:val="24"/>
          <w:szCs w:val="24"/>
        </w:rPr>
        <w:t xml:space="preserve">. </w:t>
      </w:r>
    </w:p>
    <w:p w14:paraId="7A7DB55F" w14:textId="25C05B87" w:rsidR="004115F4" w:rsidRPr="00C46BE1" w:rsidRDefault="004115F4" w:rsidP="00090868">
      <w:pPr>
        <w:pStyle w:val="BodyText"/>
        <w:numPr>
          <w:ilvl w:val="0"/>
          <w:numId w:val="25"/>
        </w:numPr>
        <w:tabs>
          <w:tab w:val="left" w:pos="1563"/>
        </w:tabs>
        <w:spacing w:before="240" w:after="120"/>
        <w:rPr>
          <w:rFonts w:ascii="Tw Cen MT" w:hAnsi="Tw Cen MT" w:cs="Arial"/>
          <w:b/>
          <w:sz w:val="28"/>
          <w:szCs w:val="28"/>
        </w:rPr>
      </w:pPr>
      <w:r w:rsidRPr="00C46BE1">
        <w:rPr>
          <w:rFonts w:ascii="Tw Cen MT" w:hAnsi="Tw Cen MT" w:cs="Arial"/>
          <w:b/>
          <w:sz w:val="28"/>
          <w:szCs w:val="28"/>
        </w:rPr>
        <w:t>Data Collection Activities and Methods</w:t>
      </w:r>
    </w:p>
    <w:p w14:paraId="5F8423E1" w14:textId="1E432ECE" w:rsidR="004115F4" w:rsidRPr="00C46BE1" w:rsidRDefault="00803F52" w:rsidP="00537179">
      <w:pPr>
        <w:pStyle w:val="BHTCCBody"/>
        <w:keepNext/>
        <w:spacing w:before="240"/>
        <w:rPr>
          <w:rFonts w:ascii="Times New Roman" w:hAnsi="Times New Roman" w:cs="Times New Roman"/>
          <w:sz w:val="24"/>
          <w:szCs w:val="24"/>
        </w:rPr>
      </w:pPr>
      <w:r w:rsidRPr="00C46BE1">
        <w:rPr>
          <w:rFonts w:ascii="Times New Roman" w:hAnsi="Times New Roman" w:cs="Times New Roman"/>
          <w:sz w:val="24"/>
          <w:szCs w:val="24"/>
        </w:rPr>
        <w:t xml:space="preserve">Exhibit </w:t>
      </w:r>
      <w:r w:rsidR="008C3C3E" w:rsidRPr="00C46BE1">
        <w:rPr>
          <w:rFonts w:ascii="Times New Roman" w:hAnsi="Times New Roman" w:cs="Times New Roman"/>
          <w:sz w:val="24"/>
          <w:szCs w:val="24"/>
        </w:rPr>
        <w:t>5</w:t>
      </w:r>
      <w:r w:rsidRPr="00C46BE1">
        <w:rPr>
          <w:rFonts w:ascii="Times New Roman" w:hAnsi="Times New Roman" w:cs="Times New Roman"/>
          <w:sz w:val="24"/>
          <w:szCs w:val="24"/>
        </w:rPr>
        <w:t xml:space="preserve"> provides a description of </w:t>
      </w:r>
      <w:r w:rsidR="006739CA" w:rsidRPr="00C46BE1">
        <w:rPr>
          <w:rFonts w:ascii="Times New Roman" w:hAnsi="Times New Roman" w:cs="Times New Roman"/>
          <w:sz w:val="24"/>
          <w:szCs w:val="24"/>
        </w:rPr>
        <w:t>CSE data collection activities and methods by study component.</w:t>
      </w:r>
      <w:r w:rsidR="00537179" w:rsidRPr="00C46BE1">
        <w:rPr>
          <w:rFonts w:ascii="Times New Roman" w:hAnsi="Times New Roman" w:cs="Times New Roman"/>
          <w:sz w:val="24"/>
          <w:szCs w:val="24"/>
        </w:rPr>
        <w:t xml:space="preserve"> (Note: Informed consents for all activities are location in Attachment P.)</w:t>
      </w:r>
      <w:r w:rsidR="006739CA" w:rsidRPr="00C46BE1">
        <w:rPr>
          <w:rFonts w:ascii="Times New Roman" w:hAnsi="Times New Roman" w:cs="Times New Roman"/>
          <w:sz w:val="24"/>
          <w:szCs w:val="24"/>
        </w:rPr>
        <w:t xml:space="preserve"> </w:t>
      </w:r>
    </w:p>
    <w:p w14:paraId="5C0B57A5" w14:textId="3DD88C4A" w:rsidR="004A74D8" w:rsidRPr="00C46BE1" w:rsidRDefault="004A74D8" w:rsidP="0047779E">
      <w:pPr>
        <w:pStyle w:val="BHTCCBullet1"/>
        <w:keepNext/>
        <w:numPr>
          <w:ilvl w:val="0"/>
          <w:numId w:val="0"/>
        </w:numPr>
        <w:contextualSpacing w:val="0"/>
        <w:jc w:val="center"/>
        <w:rPr>
          <w:rFonts w:ascii="Times New Roman" w:hAnsi="Times New Roman" w:cs="Times New Roman"/>
          <w:sz w:val="24"/>
          <w:szCs w:val="24"/>
        </w:rPr>
      </w:pPr>
      <w:r w:rsidRPr="00C46BE1">
        <w:rPr>
          <w:rStyle w:val="ProposalBodyTextChar"/>
          <w:rFonts w:ascii="Tw Cen MT" w:eastAsiaTheme="minorHAnsi" w:hAnsi="Tw Cen MT"/>
          <w:b/>
        </w:rPr>
        <w:t xml:space="preserve">Exhibit </w:t>
      </w:r>
      <w:r w:rsidR="008C3C3E" w:rsidRPr="00C46BE1">
        <w:rPr>
          <w:rStyle w:val="ProposalBodyTextChar"/>
          <w:rFonts w:ascii="Tw Cen MT" w:eastAsiaTheme="minorHAnsi" w:hAnsi="Tw Cen MT"/>
          <w:b/>
        </w:rPr>
        <w:t>5</w:t>
      </w:r>
      <w:r w:rsidRPr="00C46BE1">
        <w:rPr>
          <w:rStyle w:val="ProposalBodyTextChar"/>
          <w:rFonts w:ascii="Tw Cen MT" w:eastAsiaTheme="minorHAnsi" w:hAnsi="Tw Cen MT"/>
          <w:b/>
        </w:rPr>
        <w:t xml:space="preserve">. </w:t>
      </w:r>
      <w:r w:rsidRPr="00C46BE1">
        <w:rPr>
          <w:rFonts w:ascii="Tw Cen MT" w:hAnsi="Tw Cen MT"/>
          <w:b/>
          <w:sz w:val="24"/>
          <w:szCs w:val="24"/>
        </w:rPr>
        <w:t>Data Collection Activities</w:t>
      </w:r>
      <w:r w:rsidR="006739CA" w:rsidRPr="00C46BE1">
        <w:rPr>
          <w:rFonts w:ascii="Tw Cen MT" w:hAnsi="Tw Cen MT"/>
          <w:b/>
          <w:sz w:val="24"/>
          <w:szCs w:val="24"/>
        </w:rPr>
        <w:t xml:space="preserve"> and Methods </w:t>
      </w:r>
    </w:p>
    <w:tbl>
      <w:tblPr>
        <w:tblStyle w:val="TableGrid"/>
        <w:tblW w:w="9340" w:type="dxa"/>
        <w:jc w:val="center"/>
        <w:tblBorders>
          <w:top w:val="single" w:sz="8" w:space="0" w:color="323E4F"/>
          <w:left w:val="single" w:sz="8" w:space="0" w:color="323E4F"/>
          <w:bottom w:val="single" w:sz="8" w:space="0" w:color="323E4F"/>
          <w:right w:val="single" w:sz="8" w:space="0" w:color="323E4F"/>
          <w:insideH w:val="single" w:sz="8" w:space="0" w:color="323E4F"/>
          <w:insideV w:val="single" w:sz="8" w:space="0" w:color="323E4F"/>
        </w:tblBorders>
        <w:tblLook w:val="04A0" w:firstRow="1" w:lastRow="0" w:firstColumn="1" w:lastColumn="0" w:noHBand="0" w:noVBand="1"/>
      </w:tblPr>
      <w:tblGrid>
        <w:gridCol w:w="1700"/>
        <w:gridCol w:w="7640"/>
      </w:tblGrid>
      <w:tr w:rsidR="004A74D8" w:rsidRPr="00C46BE1" w14:paraId="6C6F6BE7" w14:textId="77777777" w:rsidTr="00DA0769">
        <w:trPr>
          <w:trHeight w:val="130"/>
          <w:tblHeader/>
          <w:jc w:val="center"/>
        </w:trPr>
        <w:tc>
          <w:tcPr>
            <w:tcW w:w="1700" w:type="dxa"/>
            <w:shd w:val="clear" w:color="auto" w:fill="323E4F" w:themeFill="text2" w:themeFillShade="BF"/>
            <w:vAlign w:val="center"/>
          </w:tcPr>
          <w:p w14:paraId="5F3B7410" w14:textId="77777777" w:rsidR="004A74D8" w:rsidRPr="00C46BE1" w:rsidRDefault="004A74D8" w:rsidP="006739CA">
            <w:pPr>
              <w:pStyle w:val="BHTCCTable1"/>
              <w:spacing w:before="0" w:after="0"/>
              <w:rPr>
                <w:rFonts w:ascii="Tw Cen MT" w:hAnsi="Tw Cen MT"/>
                <w:b w:val="0"/>
                <w:color w:val="auto"/>
              </w:rPr>
            </w:pPr>
            <w:r w:rsidRPr="00C46BE1">
              <w:rPr>
                <w:rFonts w:ascii="Tw Cen MT" w:hAnsi="Tw Cen MT"/>
                <w:b w:val="0"/>
              </w:rPr>
              <w:t>Activity</w:t>
            </w:r>
          </w:p>
        </w:tc>
        <w:tc>
          <w:tcPr>
            <w:tcW w:w="7640" w:type="dxa"/>
            <w:shd w:val="clear" w:color="auto" w:fill="323E4F" w:themeFill="text2" w:themeFillShade="BF"/>
          </w:tcPr>
          <w:p w14:paraId="06E07830" w14:textId="77777777" w:rsidR="004A74D8" w:rsidRPr="00C46BE1" w:rsidRDefault="004A74D8" w:rsidP="006739CA">
            <w:pPr>
              <w:pStyle w:val="BHTCCTable1"/>
              <w:spacing w:before="0" w:after="0"/>
              <w:rPr>
                <w:rFonts w:ascii="Tw Cen MT" w:hAnsi="Tw Cen MT"/>
                <w:b w:val="0"/>
              </w:rPr>
            </w:pPr>
            <w:r w:rsidRPr="00C46BE1">
              <w:rPr>
                <w:rFonts w:ascii="Tw Cen MT" w:hAnsi="Tw Cen MT"/>
                <w:b w:val="0"/>
              </w:rPr>
              <w:t>Description</w:t>
            </w:r>
          </w:p>
        </w:tc>
      </w:tr>
      <w:tr w:rsidR="004115F4" w:rsidRPr="00C46BE1" w14:paraId="578552BC" w14:textId="77777777" w:rsidTr="006739CA">
        <w:trPr>
          <w:trHeight w:val="130"/>
          <w:jc w:val="center"/>
        </w:trPr>
        <w:tc>
          <w:tcPr>
            <w:tcW w:w="9340" w:type="dxa"/>
            <w:gridSpan w:val="2"/>
            <w:shd w:val="clear" w:color="auto" w:fill="D5DCE4" w:themeFill="text2" w:themeFillTint="33"/>
            <w:vAlign w:val="center"/>
          </w:tcPr>
          <w:p w14:paraId="193D1618" w14:textId="3D71D10C" w:rsidR="004115F4" w:rsidRPr="00C46BE1" w:rsidRDefault="004115F4" w:rsidP="00290326">
            <w:pPr>
              <w:pStyle w:val="BHTCCTable1"/>
              <w:spacing w:before="0" w:after="0"/>
              <w:rPr>
                <w:rFonts w:ascii="Tw Cen MT" w:hAnsi="Tw Cen MT"/>
                <w:b w:val="0"/>
                <w:color w:val="auto"/>
              </w:rPr>
            </w:pPr>
            <w:r w:rsidRPr="00C46BE1">
              <w:rPr>
                <w:rFonts w:ascii="Tw Cen MT" w:hAnsi="Tw Cen MT"/>
                <w:b w:val="0"/>
                <w:color w:val="auto"/>
              </w:rPr>
              <w:t>BHTCC System</w:t>
            </w:r>
            <w:r w:rsidR="00290326" w:rsidRPr="00C46BE1">
              <w:rPr>
                <w:rFonts w:ascii="Tw Cen MT" w:hAnsi="Tw Cen MT"/>
                <w:b w:val="0"/>
                <w:color w:val="auto"/>
              </w:rPr>
              <w:t xml:space="preserve"> Change S</w:t>
            </w:r>
            <w:r w:rsidR="003F2553" w:rsidRPr="00C46BE1">
              <w:rPr>
                <w:rFonts w:ascii="Tw Cen MT" w:hAnsi="Tw Cen MT"/>
                <w:b w:val="0"/>
                <w:color w:val="auto"/>
              </w:rPr>
              <w:t>ubs</w:t>
            </w:r>
            <w:r w:rsidR="00290326" w:rsidRPr="00C46BE1">
              <w:rPr>
                <w:rFonts w:ascii="Tw Cen MT" w:hAnsi="Tw Cen MT"/>
                <w:b w:val="0"/>
                <w:color w:val="auto"/>
              </w:rPr>
              <w:t>tudy</w:t>
            </w:r>
          </w:p>
        </w:tc>
      </w:tr>
      <w:tr w:rsidR="004A74D8" w:rsidRPr="00C46BE1" w14:paraId="41F96E14" w14:textId="77777777" w:rsidTr="00DA0769">
        <w:trPr>
          <w:trHeight w:val="1226"/>
          <w:jc w:val="center"/>
        </w:trPr>
        <w:tc>
          <w:tcPr>
            <w:tcW w:w="1700" w:type="dxa"/>
            <w:shd w:val="clear" w:color="auto" w:fill="auto"/>
            <w:tcMar>
              <w:top w:w="14" w:type="dxa"/>
              <w:left w:w="72" w:type="dxa"/>
              <w:bottom w:w="14" w:type="dxa"/>
              <w:right w:w="72" w:type="dxa"/>
            </w:tcMar>
          </w:tcPr>
          <w:p w14:paraId="10EE1A09" w14:textId="77777777" w:rsidR="00885821" w:rsidRDefault="004A74D8" w:rsidP="00427966">
            <w:pPr>
              <w:pStyle w:val="BHTCCTableText"/>
              <w:spacing w:before="0" w:after="0"/>
              <w:rPr>
                <w:rFonts w:ascii="Tw Cen MT" w:hAnsi="Tw Cen MT"/>
              </w:rPr>
            </w:pPr>
            <w:r w:rsidRPr="00C46BE1">
              <w:rPr>
                <w:rFonts w:ascii="Tw Cen MT" w:hAnsi="Tw Cen MT"/>
              </w:rPr>
              <w:t>Biannual Program Inventory–BHTCC</w:t>
            </w:r>
          </w:p>
          <w:p w14:paraId="0E273E04" w14:textId="031BDC10" w:rsidR="004A74D8" w:rsidRPr="00885821" w:rsidRDefault="004A74D8" w:rsidP="00885821">
            <w:pPr>
              <w:pStyle w:val="BHTCCTableText"/>
              <w:spacing w:before="0" w:after="0"/>
              <w:rPr>
                <w:rFonts w:ascii="Tw Cen MT" w:hAnsi="Tw Cen MT"/>
                <w:i/>
              </w:rPr>
            </w:pPr>
          </w:p>
        </w:tc>
        <w:tc>
          <w:tcPr>
            <w:tcW w:w="7640" w:type="dxa"/>
            <w:tcMar>
              <w:top w:w="14" w:type="dxa"/>
              <w:left w:w="72" w:type="dxa"/>
              <w:bottom w:w="14" w:type="dxa"/>
              <w:right w:w="72" w:type="dxa"/>
            </w:tcMar>
          </w:tcPr>
          <w:p w14:paraId="1282E0DE" w14:textId="471E8834" w:rsidR="004A74D8" w:rsidRPr="00C46BE1" w:rsidRDefault="004A74D8" w:rsidP="00A01D1C">
            <w:pPr>
              <w:pStyle w:val="BHTCCHead4"/>
              <w:spacing w:before="0" w:after="0"/>
              <w:jc w:val="both"/>
              <w:rPr>
                <w:sz w:val="22"/>
                <w:szCs w:val="22"/>
              </w:rPr>
            </w:pPr>
            <w:r w:rsidRPr="00C46BE1">
              <w:rPr>
                <w:rFonts w:cs="Times New Roman"/>
                <w:i w:val="0"/>
                <w:sz w:val="22"/>
                <w:szCs w:val="22"/>
              </w:rPr>
              <w:t>The</w:t>
            </w:r>
            <w:r w:rsidRPr="00C46BE1">
              <w:rPr>
                <w:rFonts w:cs="Times New Roman"/>
                <w:b/>
                <w:sz w:val="22"/>
                <w:szCs w:val="22"/>
              </w:rPr>
              <w:t xml:space="preserve"> </w:t>
            </w:r>
            <w:r w:rsidRPr="00C46BE1">
              <w:rPr>
                <w:rFonts w:cs="Times New Roman"/>
                <w:i w:val="0"/>
                <w:sz w:val="22"/>
                <w:szCs w:val="22"/>
              </w:rPr>
              <w:t xml:space="preserve">BPI–BHTCC </w:t>
            </w:r>
            <w:r w:rsidR="00F1232C" w:rsidRPr="00C46BE1">
              <w:rPr>
                <w:rFonts w:cs="Times New Roman"/>
                <w:i w:val="0"/>
                <w:sz w:val="22"/>
                <w:szCs w:val="22"/>
              </w:rPr>
              <w:t xml:space="preserve">Version </w:t>
            </w:r>
            <w:r w:rsidRPr="00C46BE1">
              <w:rPr>
                <w:rFonts w:cs="Times New Roman"/>
                <w:i w:val="0"/>
                <w:sz w:val="22"/>
                <w:szCs w:val="22"/>
              </w:rPr>
              <w:t xml:space="preserve">is a </w:t>
            </w:r>
            <w:r w:rsidR="00F1232C" w:rsidRPr="00C46BE1">
              <w:rPr>
                <w:rFonts w:cs="Times New Roman"/>
                <w:i w:val="0"/>
                <w:sz w:val="22"/>
                <w:szCs w:val="22"/>
              </w:rPr>
              <w:t>w</w:t>
            </w:r>
            <w:r w:rsidRPr="00C46BE1">
              <w:rPr>
                <w:rFonts w:cs="Times New Roman"/>
                <w:i w:val="0"/>
                <w:sz w:val="22"/>
                <w:szCs w:val="22"/>
              </w:rPr>
              <w:t xml:space="preserve">eb-based survey that will capture infrastructure development and direct services that are part of the BHTCC programs. Data include the types of planning, infrastructure, and collaboration grantees are implementing; trainings conducted; and direct services offered </w:t>
            </w:r>
            <w:r w:rsidR="00CF0312" w:rsidRPr="00C46BE1">
              <w:rPr>
                <w:rFonts w:cs="Times New Roman"/>
                <w:i w:val="0"/>
                <w:sz w:val="22"/>
                <w:szCs w:val="22"/>
              </w:rPr>
              <w:t xml:space="preserve">as part of the program. The BPI takes 45 minutes to complete and </w:t>
            </w:r>
            <w:r w:rsidR="009510AA" w:rsidRPr="00C46BE1">
              <w:rPr>
                <w:rFonts w:cs="Times New Roman"/>
                <w:i w:val="0"/>
                <w:sz w:val="22"/>
                <w:szCs w:val="22"/>
              </w:rPr>
              <w:t xml:space="preserve">will be completed by grantee evaluation staff </w:t>
            </w:r>
            <w:r w:rsidRPr="00C46BE1">
              <w:rPr>
                <w:rFonts w:cs="Times New Roman"/>
                <w:i w:val="0"/>
                <w:sz w:val="22"/>
                <w:szCs w:val="22"/>
              </w:rPr>
              <w:t xml:space="preserve">twice </w:t>
            </w:r>
            <w:r w:rsidR="00CF0312" w:rsidRPr="00C46BE1">
              <w:rPr>
                <w:rFonts w:cs="Times New Roman"/>
                <w:i w:val="0"/>
                <w:sz w:val="22"/>
                <w:szCs w:val="22"/>
              </w:rPr>
              <w:t>yearly</w:t>
            </w:r>
            <w:r w:rsidRPr="00C46BE1">
              <w:rPr>
                <w:rFonts w:cs="Times New Roman"/>
                <w:i w:val="0"/>
                <w:sz w:val="22"/>
                <w:szCs w:val="22"/>
              </w:rPr>
              <w:t xml:space="preserve"> (April and October) over the grant period</w:t>
            </w:r>
            <w:r w:rsidR="00CF0312" w:rsidRPr="00C46BE1">
              <w:rPr>
                <w:rFonts w:cs="Times New Roman"/>
                <w:i w:val="0"/>
                <w:sz w:val="22"/>
                <w:szCs w:val="22"/>
              </w:rPr>
              <w:t xml:space="preserve">. </w:t>
            </w:r>
            <w:r w:rsidR="00490BE9">
              <w:rPr>
                <w:rFonts w:cs="Times New Roman"/>
                <w:i w:val="0"/>
                <w:sz w:val="22"/>
                <w:szCs w:val="22"/>
              </w:rPr>
              <w:t xml:space="preserve">See </w:t>
            </w:r>
            <w:r w:rsidR="00490BE9" w:rsidRPr="00490BE9">
              <w:rPr>
                <w:rFonts w:cs="Times New Roman"/>
                <w:sz w:val="22"/>
                <w:szCs w:val="22"/>
              </w:rPr>
              <w:t xml:space="preserve">Attachment </w:t>
            </w:r>
            <w:r w:rsidR="00A01D1C">
              <w:rPr>
                <w:rFonts w:cs="Times New Roman"/>
                <w:sz w:val="22"/>
                <w:szCs w:val="22"/>
              </w:rPr>
              <w:t>A</w:t>
            </w:r>
            <w:r w:rsidR="00490BE9">
              <w:rPr>
                <w:rFonts w:cs="Times New Roman"/>
                <w:i w:val="0"/>
                <w:sz w:val="22"/>
                <w:szCs w:val="22"/>
              </w:rPr>
              <w:t>.</w:t>
            </w:r>
          </w:p>
        </w:tc>
      </w:tr>
      <w:tr w:rsidR="004A74D8" w:rsidRPr="00C46BE1" w14:paraId="559CBFA2" w14:textId="77777777" w:rsidTr="00DA0769">
        <w:trPr>
          <w:trHeight w:val="311"/>
          <w:jc w:val="center"/>
        </w:trPr>
        <w:tc>
          <w:tcPr>
            <w:tcW w:w="1700" w:type="dxa"/>
            <w:shd w:val="clear" w:color="auto" w:fill="auto"/>
            <w:tcMar>
              <w:top w:w="14" w:type="dxa"/>
              <w:left w:w="72" w:type="dxa"/>
              <w:bottom w:w="14" w:type="dxa"/>
              <w:right w:w="72" w:type="dxa"/>
            </w:tcMar>
          </w:tcPr>
          <w:p w14:paraId="01361B43" w14:textId="2DD3F341" w:rsidR="004A74D8" w:rsidRPr="00490BE9" w:rsidRDefault="004A74D8" w:rsidP="00490BE9">
            <w:pPr>
              <w:pStyle w:val="BHTCCTableText"/>
              <w:spacing w:before="0" w:after="60"/>
              <w:rPr>
                <w:rFonts w:ascii="Tw Cen MT" w:hAnsi="Tw Cen MT"/>
              </w:rPr>
            </w:pPr>
            <w:r w:rsidRPr="00C46BE1">
              <w:rPr>
                <w:rFonts w:ascii="Tw Cen MT" w:hAnsi="Tw Cen MT"/>
              </w:rPr>
              <w:t>System Level Assessment KIIs</w:t>
            </w:r>
            <w:r w:rsidR="00490BE9">
              <w:rPr>
                <w:rFonts w:ascii="Tw Cen MT" w:hAnsi="Tw Cen MT"/>
              </w:rPr>
              <w:t>–</w:t>
            </w:r>
            <w:r w:rsidR="00885821">
              <w:rPr>
                <w:rFonts w:ascii="Tw Cen MT" w:hAnsi="Tw Cen MT"/>
              </w:rPr>
              <w:t xml:space="preserve"> </w:t>
            </w:r>
            <w:r w:rsidR="00D45F19" w:rsidRPr="00490BE9">
              <w:rPr>
                <w:rFonts w:ascii="Tw Cen MT" w:hAnsi="Tw Cen MT"/>
              </w:rPr>
              <w:t>Court Personnel</w:t>
            </w:r>
            <w:r w:rsidR="00490BE9" w:rsidRPr="00490BE9">
              <w:rPr>
                <w:rFonts w:ascii="Tw Cen MT" w:hAnsi="Tw Cen MT"/>
              </w:rPr>
              <w:t xml:space="preserve">, </w:t>
            </w:r>
            <w:r w:rsidR="00D45F19" w:rsidRPr="00490BE9">
              <w:rPr>
                <w:rFonts w:ascii="Tw Cen MT" w:hAnsi="Tw Cen MT"/>
              </w:rPr>
              <w:t>Service Provider</w:t>
            </w:r>
            <w:r w:rsidR="00490BE9" w:rsidRPr="00490BE9">
              <w:rPr>
                <w:rFonts w:ascii="Tw Cen MT" w:hAnsi="Tw Cen MT"/>
              </w:rPr>
              <w:t>, &amp; Consumer Versions</w:t>
            </w:r>
            <w:r w:rsidR="00885821" w:rsidRPr="00490BE9">
              <w:rPr>
                <w:rFonts w:ascii="Tw Cen MT" w:hAnsi="Tw Cen MT"/>
              </w:rPr>
              <w:t xml:space="preserve">     </w:t>
            </w:r>
          </w:p>
          <w:p w14:paraId="13C0936A" w14:textId="77777777" w:rsidR="00885821" w:rsidRDefault="00885821" w:rsidP="008743E2">
            <w:pPr>
              <w:pStyle w:val="BHTCCTableText"/>
              <w:spacing w:before="0" w:after="0"/>
              <w:rPr>
                <w:rFonts w:ascii="Tw Cen MT" w:hAnsi="Tw Cen MT"/>
              </w:rPr>
            </w:pPr>
          </w:p>
          <w:p w14:paraId="1900CF68" w14:textId="328A00B6" w:rsidR="00885821" w:rsidRPr="00C46BE1" w:rsidRDefault="00885821" w:rsidP="008743E2">
            <w:pPr>
              <w:pStyle w:val="BHTCCTableText"/>
              <w:spacing w:before="0" w:after="0"/>
              <w:rPr>
                <w:rFonts w:ascii="Tw Cen MT" w:hAnsi="Tw Cen MT"/>
              </w:rPr>
            </w:pPr>
          </w:p>
        </w:tc>
        <w:tc>
          <w:tcPr>
            <w:tcW w:w="7640" w:type="dxa"/>
            <w:tcMar>
              <w:top w:w="14" w:type="dxa"/>
              <w:left w:w="72" w:type="dxa"/>
              <w:bottom w:w="14" w:type="dxa"/>
              <w:right w:w="72" w:type="dxa"/>
            </w:tcMar>
          </w:tcPr>
          <w:p w14:paraId="28237FC4" w14:textId="77777777" w:rsidR="001672B0" w:rsidRPr="00C46BE1" w:rsidRDefault="004A74D8" w:rsidP="001672B0">
            <w:pPr>
              <w:pStyle w:val="BHTCCBody"/>
              <w:spacing w:after="120"/>
              <w:rPr>
                <w:rFonts w:ascii="Tw Cen MT" w:hAnsi="Tw Cen MT" w:cs="Times New Roman"/>
                <w:sz w:val="22"/>
              </w:rPr>
            </w:pPr>
            <w:r w:rsidRPr="00C46BE1">
              <w:rPr>
                <w:rFonts w:ascii="Tw Cen MT" w:hAnsi="Tw Cen MT" w:cs="Times New Roman"/>
                <w:sz w:val="22"/>
              </w:rPr>
              <w:t>The</w:t>
            </w:r>
            <w:r w:rsidRPr="00C46BE1">
              <w:rPr>
                <w:rFonts w:ascii="Tw Cen MT" w:hAnsi="Tw Cen MT" w:cs="Times New Roman"/>
                <w:b/>
                <w:sz w:val="22"/>
              </w:rPr>
              <w:t xml:space="preserve"> </w:t>
            </w:r>
            <w:r w:rsidRPr="00C46BE1">
              <w:rPr>
                <w:rFonts w:ascii="Tw Cen MT" w:hAnsi="Tw Cen MT" w:cs="Times New Roman"/>
                <w:sz w:val="22"/>
              </w:rPr>
              <w:t xml:space="preserve">SLA KIIs will be conducted with multiple stakeholders to assess collaboration strategies to expand or better serve participants; processes for recruiting, screening, and retaining participants; practices to ensure treatment adherence and criminal justice compliance; and involvement of consumers in program planning and implementation. Data include implementation processes/outcomes; service infrastructure, capacity, entry, and delivery processes; management structure; reward and sanction models; trauma-informed practices; collaboration among BHTCC participants; and facilitators and barriers to collaboration. </w:t>
            </w:r>
          </w:p>
          <w:p w14:paraId="7F957B17" w14:textId="74E94C4E" w:rsidR="001672B0" w:rsidRPr="00C46BE1" w:rsidRDefault="004A74D8" w:rsidP="001672B0">
            <w:pPr>
              <w:pStyle w:val="BHTCCBody"/>
              <w:spacing w:after="120"/>
              <w:rPr>
                <w:rFonts w:ascii="Tw Cen MT" w:hAnsi="Tw Cen MT" w:cs="Times New Roman"/>
                <w:sz w:val="22"/>
              </w:rPr>
            </w:pPr>
            <w:r w:rsidRPr="00C46BE1">
              <w:rPr>
                <w:rFonts w:ascii="Tw Cen MT" w:hAnsi="Tw Cen MT" w:cs="Times New Roman"/>
                <w:sz w:val="22"/>
              </w:rPr>
              <w:t xml:space="preserve">There are three versions of the SLA KIIs—each is tailored to the intended audience: </w:t>
            </w:r>
          </w:p>
          <w:p w14:paraId="2C8DAFA2" w14:textId="3F9063F1" w:rsidR="001672B0" w:rsidRPr="00C46BE1" w:rsidRDefault="001672B0" w:rsidP="00090868">
            <w:pPr>
              <w:pStyle w:val="BHTCCBody"/>
              <w:numPr>
                <w:ilvl w:val="0"/>
                <w:numId w:val="41"/>
              </w:numPr>
              <w:spacing w:after="0"/>
              <w:rPr>
                <w:rFonts w:ascii="Tw Cen MT" w:hAnsi="Tw Cen MT" w:cs="Times New Roman"/>
                <w:sz w:val="22"/>
              </w:rPr>
            </w:pPr>
            <w:r w:rsidRPr="00C46BE1">
              <w:rPr>
                <w:rFonts w:ascii="Tw Cen MT" w:hAnsi="Tw Cen MT" w:cs="Times New Roman"/>
                <w:sz w:val="22"/>
              </w:rPr>
              <w:t>C</w:t>
            </w:r>
            <w:r w:rsidR="004A74D8" w:rsidRPr="00C46BE1">
              <w:rPr>
                <w:rFonts w:ascii="Tw Cen MT" w:hAnsi="Tw Cen MT" w:cs="Times New Roman"/>
                <w:sz w:val="22"/>
              </w:rPr>
              <w:t>ourt personnel (administrators, coordinators, judges, attorneys)</w:t>
            </w:r>
            <w:r w:rsidRPr="00C46BE1">
              <w:rPr>
                <w:rFonts w:ascii="Tw Cen MT" w:hAnsi="Tw Cen MT" w:cs="Times New Roman"/>
                <w:sz w:val="22"/>
              </w:rPr>
              <w:t xml:space="preserve"> </w:t>
            </w:r>
            <w:r w:rsidR="004A74D8" w:rsidRPr="00C46BE1">
              <w:rPr>
                <w:rFonts w:ascii="Tw Cen MT" w:hAnsi="Tw Cen MT" w:cs="Times New Roman"/>
                <w:sz w:val="22"/>
              </w:rPr>
              <w:t xml:space="preserve"> </w:t>
            </w:r>
          </w:p>
          <w:p w14:paraId="1F908D97" w14:textId="448BE37C" w:rsidR="001672B0" w:rsidRPr="00C46BE1" w:rsidRDefault="001672B0" w:rsidP="00090868">
            <w:pPr>
              <w:pStyle w:val="BHTCCBody"/>
              <w:numPr>
                <w:ilvl w:val="0"/>
                <w:numId w:val="41"/>
              </w:numPr>
              <w:spacing w:after="0"/>
              <w:rPr>
                <w:rFonts w:ascii="Tw Cen MT" w:hAnsi="Tw Cen MT" w:cs="Times New Roman"/>
                <w:sz w:val="22"/>
              </w:rPr>
            </w:pPr>
            <w:r w:rsidRPr="00C46BE1">
              <w:rPr>
                <w:rFonts w:ascii="Tw Cen MT" w:hAnsi="Tw Cen MT" w:cs="Times New Roman"/>
                <w:sz w:val="22"/>
              </w:rPr>
              <w:t>S</w:t>
            </w:r>
            <w:r w:rsidR="00B70D76" w:rsidRPr="00C46BE1">
              <w:rPr>
                <w:rFonts w:ascii="Tw Cen MT" w:hAnsi="Tw Cen MT" w:cs="Times New Roman"/>
                <w:sz w:val="22"/>
              </w:rPr>
              <w:t xml:space="preserve">ervice </w:t>
            </w:r>
            <w:r w:rsidR="005E2D89" w:rsidRPr="00C46BE1">
              <w:rPr>
                <w:rFonts w:ascii="Tw Cen MT" w:hAnsi="Tw Cen MT" w:cs="Times New Roman"/>
                <w:sz w:val="22"/>
              </w:rPr>
              <w:t>provider</w:t>
            </w:r>
            <w:r w:rsidR="004A74D8" w:rsidRPr="00C46BE1">
              <w:rPr>
                <w:rFonts w:ascii="Tw Cen MT" w:hAnsi="Tw Cen MT" w:cs="Times New Roman"/>
                <w:sz w:val="22"/>
              </w:rPr>
              <w:t xml:space="preserve"> (case ma</w:t>
            </w:r>
            <w:r w:rsidR="005E2D89" w:rsidRPr="00C46BE1">
              <w:rPr>
                <w:rFonts w:ascii="Tw Cen MT" w:hAnsi="Tw Cen MT" w:cs="Times New Roman"/>
                <w:sz w:val="22"/>
              </w:rPr>
              <w:t xml:space="preserve">nagers, </w:t>
            </w:r>
            <w:r w:rsidR="00B70D76" w:rsidRPr="00C46BE1">
              <w:rPr>
                <w:rFonts w:ascii="Tw Cen MT" w:hAnsi="Tw Cen MT" w:cs="Times New Roman"/>
                <w:sz w:val="22"/>
              </w:rPr>
              <w:t>BHTCC</w:t>
            </w:r>
            <w:r w:rsidR="005E2D89" w:rsidRPr="00C46BE1">
              <w:rPr>
                <w:rFonts w:ascii="Tw Cen MT" w:hAnsi="Tw Cen MT" w:cs="Times New Roman"/>
                <w:sz w:val="22"/>
              </w:rPr>
              <w:t xml:space="preserve"> </w:t>
            </w:r>
            <w:r w:rsidR="00B70D76" w:rsidRPr="00C46BE1">
              <w:rPr>
                <w:rFonts w:ascii="Tw Cen MT" w:hAnsi="Tw Cen MT" w:cs="Times New Roman"/>
                <w:sz w:val="22"/>
              </w:rPr>
              <w:t xml:space="preserve">peer </w:t>
            </w:r>
            <w:r w:rsidR="005E2D89" w:rsidRPr="00C46BE1">
              <w:rPr>
                <w:rFonts w:ascii="Tw Cen MT" w:hAnsi="Tw Cen MT" w:cs="Times New Roman"/>
                <w:sz w:val="22"/>
              </w:rPr>
              <w:t>specialists</w:t>
            </w:r>
            <w:r w:rsidRPr="00C46BE1">
              <w:rPr>
                <w:rFonts w:ascii="Tw Cen MT" w:hAnsi="Tw Cen MT" w:cs="Times New Roman"/>
                <w:sz w:val="22"/>
              </w:rPr>
              <w:t>)</w:t>
            </w:r>
            <w:r w:rsidR="004A74D8" w:rsidRPr="00C46BE1">
              <w:rPr>
                <w:rFonts w:ascii="Tw Cen MT" w:hAnsi="Tw Cen MT" w:cs="Times New Roman"/>
                <w:sz w:val="22"/>
              </w:rPr>
              <w:t xml:space="preserve"> </w:t>
            </w:r>
          </w:p>
          <w:p w14:paraId="69B99F24" w14:textId="1900989F" w:rsidR="001672B0" w:rsidRPr="00C46BE1" w:rsidRDefault="001672B0" w:rsidP="00090868">
            <w:pPr>
              <w:pStyle w:val="BHTCCBody"/>
              <w:numPr>
                <w:ilvl w:val="0"/>
                <w:numId w:val="41"/>
              </w:numPr>
              <w:spacing w:after="120"/>
              <w:rPr>
                <w:rFonts w:ascii="Tw Cen MT" w:hAnsi="Tw Cen MT" w:cs="Times New Roman"/>
                <w:sz w:val="22"/>
              </w:rPr>
            </w:pPr>
            <w:r w:rsidRPr="00C46BE1">
              <w:rPr>
                <w:rFonts w:ascii="Tw Cen MT" w:hAnsi="Tw Cen MT" w:cs="Times New Roman"/>
                <w:sz w:val="22"/>
              </w:rPr>
              <w:t>C</w:t>
            </w:r>
            <w:r w:rsidR="004A74D8" w:rsidRPr="00C46BE1">
              <w:rPr>
                <w:rFonts w:ascii="Tw Cen MT" w:hAnsi="Tw Cen MT" w:cs="Times New Roman"/>
                <w:sz w:val="22"/>
              </w:rPr>
              <w:t>onsumer (clients, family members)</w:t>
            </w:r>
            <w:r w:rsidRPr="00C46BE1">
              <w:rPr>
                <w:rFonts w:ascii="Tw Cen MT" w:hAnsi="Tw Cen MT" w:cs="Times New Roman"/>
                <w:sz w:val="22"/>
              </w:rPr>
              <w:t xml:space="preserve"> </w:t>
            </w:r>
            <w:r w:rsidR="004A74D8" w:rsidRPr="00C46BE1">
              <w:rPr>
                <w:rFonts w:ascii="Tw Cen MT" w:hAnsi="Tw Cen MT" w:cs="Times New Roman"/>
                <w:sz w:val="22"/>
              </w:rPr>
              <w:t xml:space="preserve">  </w:t>
            </w:r>
          </w:p>
          <w:p w14:paraId="4F218FF6" w14:textId="55CF6FD0" w:rsidR="004A74D8" w:rsidRPr="00C46BE1" w:rsidRDefault="00B70D76" w:rsidP="00A01D1C">
            <w:pPr>
              <w:pStyle w:val="BHTCCBody"/>
              <w:spacing w:after="0"/>
              <w:rPr>
                <w:rFonts w:ascii="Tw Cen MT" w:hAnsi="Tw Cen MT"/>
                <w:sz w:val="22"/>
              </w:rPr>
            </w:pPr>
            <w:r w:rsidRPr="00C46BE1">
              <w:rPr>
                <w:rFonts w:ascii="Tw Cen MT" w:hAnsi="Tw Cen MT" w:cs="Times New Roman"/>
                <w:sz w:val="22"/>
              </w:rPr>
              <w:t xml:space="preserve">Grantee staff will assist with respondent recruitment by collecting consent to contact from potential participants and forwarding the forms to </w:t>
            </w:r>
            <w:r w:rsidR="000E049A" w:rsidRPr="00C46BE1">
              <w:rPr>
                <w:rFonts w:ascii="Tw Cen MT" w:hAnsi="Tw Cen MT" w:cs="Times New Roman"/>
                <w:sz w:val="22"/>
              </w:rPr>
              <w:t>the c</w:t>
            </w:r>
            <w:r w:rsidR="00186A6F" w:rsidRPr="00C46BE1">
              <w:rPr>
                <w:rFonts w:ascii="Tw Cen MT" w:hAnsi="Tw Cen MT" w:cs="Times New Roman"/>
                <w:sz w:val="22"/>
              </w:rPr>
              <w:t>ontractor</w:t>
            </w:r>
            <w:r w:rsidRPr="00C46BE1">
              <w:rPr>
                <w:rFonts w:ascii="Tw Cen MT" w:hAnsi="Tw Cen MT" w:cs="Times New Roman"/>
                <w:sz w:val="22"/>
              </w:rPr>
              <w:t xml:space="preserve">. </w:t>
            </w:r>
            <w:r w:rsidR="004A74D8" w:rsidRPr="00C46BE1">
              <w:rPr>
                <w:rFonts w:ascii="Tw Cen MT" w:hAnsi="Tw Cen MT" w:cs="Times New Roman"/>
                <w:sz w:val="22"/>
              </w:rPr>
              <w:t xml:space="preserve">The SLA KIIs will be conducted in grant years 2 and 4 via telephone or Skype and take 60 minutes to complete.  </w:t>
            </w:r>
            <w:r w:rsidR="0096721A" w:rsidRPr="00C46BE1">
              <w:rPr>
                <w:rFonts w:ascii="Tw Cen MT" w:hAnsi="Tw Cen MT" w:cs="Times New Roman"/>
                <w:sz w:val="22"/>
              </w:rPr>
              <w:t xml:space="preserve">The KIIs will cover the same information across years; however, the Year 4 KIIs also will ask for specific plans for future implementation. </w:t>
            </w:r>
            <w:r w:rsidR="00775322" w:rsidRPr="00490BE9">
              <w:rPr>
                <w:rFonts w:ascii="Tw Cen MT" w:hAnsi="Tw Cen MT" w:cs="Times New Roman"/>
                <w:sz w:val="22"/>
              </w:rPr>
              <w:t xml:space="preserve">See </w:t>
            </w:r>
            <w:r w:rsidR="00775322" w:rsidRPr="00490BE9">
              <w:rPr>
                <w:rFonts w:ascii="Tw Cen MT" w:hAnsi="Tw Cen MT" w:cs="Times New Roman"/>
                <w:i/>
                <w:sz w:val="22"/>
              </w:rPr>
              <w:t xml:space="preserve">Attachments </w:t>
            </w:r>
            <w:r w:rsidR="00A01D1C">
              <w:rPr>
                <w:rFonts w:ascii="Tw Cen MT" w:hAnsi="Tw Cen MT" w:cs="Times New Roman"/>
                <w:i/>
                <w:sz w:val="22"/>
              </w:rPr>
              <w:t>B</w:t>
            </w:r>
            <w:r w:rsidR="00490BE9" w:rsidRPr="00490BE9">
              <w:rPr>
                <w:rFonts w:ascii="Tw Cen MT" w:hAnsi="Tw Cen MT" w:cs="Times New Roman"/>
                <w:i/>
                <w:sz w:val="22"/>
              </w:rPr>
              <w:t xml:space="preserve"> </w:t>
            </w:r>
            <w:r w:rsidR="00427966" w:rsidRPr="00490BE9">
              <w:rPr>
                <w:rFonts w:ascii="Tw Cen MT" w:hAnsi="Tw Cen MT" w:cs="Times New Roman"/>
                <w:i/>
                <w:sz w:val="22"/>
              </w:rPr>
              <w:t>(</w:t>
            </w:r>
            <w:r w:rsidR="003B635A">
              <w:rPr>
                <w:rFonts w:ascii="Tw Cen MT" w:hAnsi="Tw Cen MT" w:cs="Times New Roman"/>
                <w:i/>
                <w:sz w:val="22"/>
              </w:rPr>
              <w:t xml:space="preserve">SLA KII </w:t>
            </w:r>
            <w:r w:rsidR="00427966" w:rsidRPr="00490BE9">
              <w:rPr>
                <w:rFonts w:ascii="Tw Cen MT" w:hAnsi="Tw Cen MT" w:cs="Times New Roman"/>
                <w:i/>
                <w:sz w:val="22"/>
              </w:rPr>
              <w:t>Court Personnel</w:t>
            </w:r>
            <w:r w:rsidR="00490BE9" w:rsidRPr="00490BE9">
              <w:rPr>
                <w:rFonts w:ascii="Tw Cen MT" w:hAnsi="Tw Cen MT" w:cs="Times New Roman"/>
                <w:i/>
                <w:sz w:val="22"/>
              </w:rPr>
              <w:t xml:space="preserve"> Y2</w:t>
            </w:r>
            <w:r w:rsidR="00490BE9">
              <w:rPr>
                <w:rFonts w:ascii="Tw Cen MT" w:hAnsi="Tw Cen MT" w:cs="Times New Roman"/>
                <w:i/>
                <w:sz w:val="22"/>
              </w:rPr>
              <w:t xml:space="preserve"> and </w:t>
            </w:r>
            <w:r w:rsidR="00490BE9" w:rsidRPr="00490BE9">
              <w:rPr>
                <w:rFonts w:ascii="Tw Cen MT" w:hAnsi="Tw Cen MT" w:cs="Times New Roman"/>
                <w:i/>
                <w:sz w:val="22"/>
              </w:rPr>
              <w:t>Y4</w:t>
            </w:r>
            <w:r w:rsidR="00427966" w:rsidRPr="00490BE9">
              <w:rPr>
                <w:rFonts w:ascii="Tw Cen MT" w:hAnsi="Tw Cen MT" w:cs="Times New Roman"/>
                <w:i/>
                <w:sz w:val="22"/>
              </w:rPr>
              <w:t>)</w:t>
            </w:r>
            <w:r w:rsidR="00490BE9" w:rsidRPr="00490BE9">
              <w:rPr>
                <w:rFonts w:ascii="Tw Cen MT" w:hAnsi="Tw Cen MT" w:cs="Times New Roman"/>
                <w:i/>
                <w:sz w:val="22"/>
              </w:rPr>
              <w:t>;</w:t>
            </w:r>
            <w:r w:rsidR="00F1232C" w:rsidRPr="00490BE9">
              <w:rPr>
                <w:rFonts w:ascii="Tw Cen MT" w:hAnsi="Tw Cen MT" w:cs="Times New Roman"/>
                <w:i/>
                <w:sz w:val="22"/>
              </w:rPr>
              <w:t xml:space="preserve"> </w:t>
            </w:r>
            <w:r w:rsidR="00A01D1C">
              <w:rPr>
                <w:rFonts w:ascii="Tw Cen MT" w:hAnsi="Tw Cen MT" w:cs="Times New Roman"/>
                <w:i/>
                <w:sz w:val="22"/>
              </w:rPr>
              <w:t>C</w:t>
            </w:r>
            <w:r w:rsidR="00427966" w:rsidRPr="00490BE9">
              <w:rPr>
                <w:rFonts w:ascii="Tw Cen MT" w:hAnsi="Tw Cen MT" w:cs="Times New Roman"/>
                <w:i/>
                <w:sz w:val="22"/>
              </w:rPr>
              <w:t xml:space="preserve"> (</w:t>
            </w:r>
            <w:r w:rsidR="003B635A">
              <w:rPr>
                <w:rFonts w:ascii="Tw Cen MT" w:hAnsi="Tw Cen MT" w:cs="Times New Roman"/>
                <w:i/>
                <w:sz w:val="22"/>
              </w:rPr>
              <w:t xml:space="preserve">SLA KII </w:t>
            </w:r>
            <w:r w:rsidR="00427966" w:rsidRPr="00490BE9">
              <w:rPr>
                <w:rFonts w:ascii="Tw Cen MT" w:hAnsi="Tw Cen MT" w:cs="Times New Roman"/>
                <w:i/>
                <w:sz w:val="22"/>
              </w:rPr>
              <w:t>Service Provider</w:t>
            </w:r>
            <w:r w:rsidR="00490BE9" w:rsidRPr="00490BE9">
              <w:rPr>
                <w:rFonts w:ascii="Tw Cen MT" w:hAnsi="Tw Cen MT" w:cs="Times New Roman"/>
                <w:i/>
                <w:sz w:val="22"/>
              </w:rPr>
              <w:t xml:space="preserve"> Y2 and Y4</w:t>
            </w:r>
            <w:r w:rsidR="00427966" w:rsidRPr="00490BE9">
              <w:rPr>
                <w:rFonts w:ascii="Tw Cen MT" w:hAnsi="Tw Cen MT" w:cs="Times New Roman"/>
                <w:i/>
                <w:sz w:val="22"/>
              </w:rPr>
              <w:t>)</w:t>
            </w:r>
            <w:r w:rsidR="003B635A">
              <w:rPr>
                <w:rFonts w:ascii="Tw Cen MT" w:hAnsi="Tw Cen MT" w:cs="Times New Roman"/>
                <w:i/>
                <w:sz w:val="22"/>
              </w:rPr>
              <w:t xml:space="preserve">; </w:t>
            </w:r>
            <w:r w:rsidR="00A01D1C">
              <w:rPr>
                <w:rFonts w:ascii="Tw Cen MT" w:hAnsi="Tw Cen MT" w:cs="Times New Roman"/>
                <w:i/>
                <w:sz w:val="22"/>
              </w:rPr>
              <w:t>D</w:t>
            </w:r>
            <w:r w:rsidR="00427966" w:rsidRPr="00490BE9">
              <w:rPr>
                <w:rFonts w:ascii="Tw Cen MT" w:hAnsi="Tw Cen MT" w:cs="Times New Roman"/>
                <w:i/>
                <w:sz w:val="22"/>
              </w:rPr>
              <w:t xml:space="preserve"> (</w:t>
            </w:r>
            <w:r w:rsidR="003B635A">
              <w:rPr>
                <w:rFonts w:ascii="Tw Cen MT" w:hAnsi="Tw Cen MT" w:cs="Times New Roman"/>
                <w:i/>
                <w:sz w:val="22"/>
              </w:rPr>
              <w:t xml:space="preserve">SLA KII </w:t>
            </w:r>
            <w:r w:rsidR="00427966" w:rsidRPr="00490BE9">
              <w:rPr>
                <w:rFonts w:ascii="Tw Cen MT" w:hAnsi="Tw Cen MT" w:cs="Times New Roman"/>
                <w:i/>
                <w:sz w:val="22"/>
              </w:rPr>
              <w:t>Consumer)</w:t>
            </w:r>
            <w:r w:rsidR="003B635A">
              <w:rPr>
                <w:rFonts w:ascii="Tw Cen MT" w:hAnsi="Tw Cen MT" w:cs="Times New Roman"/>
                <w:i/>
                <w:sz w:val="22"/>
              </w:rPr>
              <w:t xml:space="preserve">; and </w:t>
            </w:r>
            <w:r w:rsidR="00A01D1C">
              <w:rPr>
                <w:rFonts w:ascii="Tw Cen MT" w:hAnsi="Tw Cen MT" w:cs="Times New Roman"/>
                <w:i/>
                <w:sz w:val="22"/>
              </w:rPr>
              <w:t>P</w:t>
            </w:r>
            <w:r w:rsidR="003B635A">
              <w:rPr>
                <w:rFonts w:ascii="Tw Cen MT" w:hAnsi="Tw Cen MT" w:cs="Times New Roman"/>
                <w:i/>
                <w:sz w:val="22"/>
              </w:rPr>
              <w:t xml:space="preserve"> (SLA KII Verbal Consent Script).</w:t>
            </w:r>
            <w:r w:rsidR="00775322" w:rsidRPr="00490BE9">
              <w:rPr>
                <w:rFonts w:ascii="Tw Cen MT" w:hAnsi="Tw Cen MT" w:cs="Times New Roman"/>
                <w:b/>
                <w:i/>
                <w:sz w:val="22"/>
              </w:rPr>
              <w:t xml:space="preserve"> </w:t>
            </w:r>
          </w:p>
        </w:tc>
      </w:tr>
      <w:tr w:rsidR="00160269" w:rsidRPr="00C46BE1" w14:paraId="667DD23D" w14:textId="77777777" w:rsidTr="00DA0769">
        <w:trPr>
          <w:trHeight w:val="311"/>
          <w:jc w:val="center"/>
        </w:trPr>
        <w:tc>
          <w:tcPr>
            <w:tcW w:w="1700" w:type="dxa"/>
            <w:shd w:val="clear" w:color="auto" w:fill="auto"/>
            <w:tcMar>
              <w:top w:w="14" w:type="dxa"/>
              <w:left w:w="72" w:type="dxa"/>
              <w:bottom w:w="14" w:type="dxa"/>
              <w:right w:w="72" w:type="dxa"/>
            </w:tcMar>
          </w:tcPr>
          <w:p w14:paraId="4B7C1BBD" w14:textId="0F6E3B3D" w:rsidR="00160269" w:rsidRDefault="00160269" w:rsidP="00160269">
            <w:pPr>
              <w:pStyle w:val="BHTCCTableText"/>
              <w:spacing w:before="0" w:after="120"/>
              <w:rPr>
                <w:rFonts w:ascii="Tw Cen MT" w:hAnsi="Tw Cen MT"/>
              </w:rPr>
            </w:pPr>
            <w:r w:rsidRPr="00C46BE1">
              <w:rPr>
                <w:rFonts w:ascii="Tw Cen MT" w:hAnsi="Tw Cen MT"/>
              </w:rPr>
              <w:t>Concept Mapping</w:t>
            </w:r>
            <w:r w:rsidR="00490BE9">
              <w:rPr>
                <w:rFonts w:ascii="Tw Cen MT" w:hAnsi="Tw Cen MT"/>
              </w:rPr>
              <w:t xml:space="preserve"> </w:t>
            </w:r>
            <w:r w:rsidRPr="00C46BE1">
              <w:rPr>
                <w:rFonts w:ascii="Tw Cen MT" w:hAnsi="Tw Cen MT"/>
              </w:rPr>
              <w:t xml:space="preserve">Brainstorming </w:t>
            </w:r>
            <w:r w:rsidR="00490BE9">
              <w:rPr>
                <w:rFonts w:ascii="Tw Cen MT" w:hAnsi="Tw Cen MT"/>
              </w:rPr>
              <w:t>&amp; S</w:t>
            </w:r>
            <w:r w:rsidRPr="00C46BE1">
              <w:rPr>
                <w:rFonts w:ascii="Tw Cen MT" w:hAnsi="Tw Cen MT"/>
              </w:rPr>
              <w:t>orting/Rating Activit</w:t>
            </w:r>
            <w:r w:rsidR="00490BE9">
              <w:rPr>
                <w:rFonts w:ascii="Tw Cen MT" w:hAnsi="Tw Cen MT"/>
              </w:rPr>
              <w:t xml:space="preserve">ies </w:t>
            </w:r>
          </w:p>
          <w:p w14:paraId="73410457" w14:textId="77777777" w:rsidR="00160269" w:rsidRDefault="00160269" w:rsidP="00160269">
            <w:pPr>
              <w:pStyle w:val="BHTCCTableText"/>
              <w:spacing w:before="0" w:after="0"/>
              <w:rPr>
                <w:rFonts w:ascii="Tw Cen MT" w:hAnsi="Tw Cen MT"/>
              </w:rPr>
            </w:pPr>
          </w:p>
          <w:p w14:paraId="522B49B7" w14:textId="77777777" w:rsidR="00160269" w:rsidRPr="00C46BE1" w:rsidRDefault="00160269" w:rsidP="00160269">
            <w:pPr>
              <w:pStyle w:val="BHTCCTableText"/>
              <w:spacing w:before="0" w:after="120"/>
              <w:rPr>
                <w:rFonts w:ascii="Tw Cen MT" w:hAnsi="Tw Cen MT"/>
              </w:rPr>
            </w:pPr>
          </w:p>
        </w:tc>
        <w:tc>
          <w:tcPr>
            <w:tcW w:w="7640" w:type="dxa"/>
            <w:tcMar>
              <w:top w:w="14" w:type="dxa"/>
              <w:left w:w="72" w:type="dxa"/>
              <w:bottom w:w="14" w:type="dxa"/>
              <w:right w:w="72" w:type="dxa"/>
            </w:tcMar>
          </w:tcPr>
          <w:p w14:paraId="20505FEA" w14:textId="15AF15F8" w:rsidR="00160269" w:rsidRPr="00C46BE1" w:rsidRDefault="00160269" w:rsidP="00160269">
            <w:pPr>
              <w:spacing w:after="120"/>
              <w:rPr>
                <w:rFonts w:ascii="Tw Cen MT" w:hAnsi="Tw Cen MT"/>
                <w:sz w:val="22"/>
                <w:szCs w:val="22"/>
              </w:rPr>
            </w:pPr>
            <w:r w:rsidRPr="00C46BE1">
              <w:rPr>
                <w:rFonts w:ascii="Tw Cen MT" w:hAnsi="Tw Cen MT"/>
                <w:sz w:val="22"/>
                <w:szCs w:val="22"/>
              </w:rPr>
              <w:t xml:space="preserve">A total of three concept mapping brainstorming </w:t>
            </w:r>
            <w:r>
              <w:rPr>
                <w:rFonts w:ascii="Tw Cen MT" w:hAnsi="Tw Cen MT"/>
                <w:sz w:val="22"/>
                <w:szCs w:val="22"/>
              </w:rPr>
              <w:t>activities</w:t>
            </w:r>
            <w:r w:rsidRPr="00C46BE1">
              <w:rPr>
                <w:rFonts w:ascii="Tw Cen MT" w:hAnsi="Tw Cen MT"/>
                <w:sz w:val="22"/>
                <w:szCs w:val="22"/>
              </w:rPr>
              <w:t xml:space="preserve"> and four sorting/rating </w:t>
            </w:r>
            <w:r>
              <w:rPr>
                <w:rFonts w:ascii="Tw Cen MT" w:hAnsi="Tw Cen MT"/>
                <w:sz w:val="22"/>
                <w:szCs w:val="22"/>
              </w:rPr>
              <w:t>activities</w:t>
            </w:r>
            <w:r w:rsidRPr="00C46BE1">
              <w:rPr>
                <w:rFonts w:ascii="Tw Cen MT" w:hAnsi="Tw Cen MT"/>
                <w:sz w:val="22"/>
                <w:szCs w:val="22"/>
              </w:rPr>
              <w:t xml:space="preserve"> will be conducted with BHTCC stakeholders (peers, consumers, family members, service providers, and/or court personnel)</w:t>
            </w:r>
            <w:r>
              <w:rPr>
                <w:rFonts w:ascii="Tw Cen MT" w:hAnsi="Tw Cen MT"/>
                <w:sz w:val="22"/>
                <w:szCs w:val="22"/>
              </w:rPr>
              <w:t xml:space="preserve"> as part of four Concept Mapping Exercises to be conducted (described below). The brainstorming and sorting/rating activities</w:t>
            </w:r>
            <w:r w:rsidRPr="00C46BE1">
              <w:rPr>
                <w:rFonts w:ascii="Tw Cen MT" w:hAnsi="Tw Cen MT"/>
                <w:sz w:val="22"/>
                <w:szCs w:val="22"/>
              </w:rPr>
              <w:t xml:space="preserve"> </w:t>
            </w:r>
            <w:r>
              <w:rPr>
                <w:rFonts w:ascii="Tw Cen MT" w:hAnsi="Tw Cen MT"/>
                <w:sz w:val="22"/>
                <w:szCs w:val="22"/>
              </w:rPr>
              <w:t>will occur through</w:t>
            </w:r>
            <w:r w:rsidRPr="00C46BE1">
              <w:rPr>
                <w:rFonts w:ascii="Tw Cen MT" w:hAnsi="Tw Cen MT"/>
                <w:sz w:val="22"/>
                <w:szCs w:val="22"/>
              </w:rPr>
              <w:t xml:space="preserve"> a web-based program (accommodations will be made for those without computer access [e.g., telephone or paper/pencil/mail]). All concept mapping exercises will be coordinated at the local level with assistance from the contractor. </w:t>
            </w:r>
          </w:p>
          <w:p w14:paraId="467C5379" w14:textId="590AF4B1" w:rsidR="00160269" w:rsidRPr="00490BE9" w:rsidRDefault="00160269" w:rsidP="00813ACD">
            <w:pPr>
              <w:numPr>
                <w:ilvl w:val="0"/>
                <w:numId w:val="44"/>
              </w:numPr>
              <w:spacing w:after="120"/>
              <w:rPr>
                <w:rFonts w:ascii="Tw Cen MT" w:hAnsi="Tw Cen MT"/>
                <w:sz w:val="22"/>
                <w:szCs w:val="22"/>
              </w:rPr>
            </w:pPr>
            <w:r w:rsidRPr="00490BE9">
              <w:rPr>
                <w:rFonts w:ascii="Tw Cen MT" w:hAnsi="Tw Cen MT"/>
                <w:b/>
                <w:sz w:val="22"/>
                <w:szCs w:val="22"/>
              </w:rPr>
              <w:t>Brainstorming Activit</w:t>
            </w:r>
            <w:r w:rsidR="003B635A">
              <w:rPr>
                <w:rFonts w:ascii="Tw Cen MT" w:hAnsi="Tw Cen MT"/>
                <w:b/>
                <w:sz w:val="22"/>
                <w:szCs w:val="22"/>
              </w:rPr>
              <w:t>ies</w:t>
            </w:r>
            <w:r w:rsidRPr="00490BE9">
              <w:rPr>
                <w:rFonts w:ascii="Tw Cen MT" w:hAnsi="Tw Cen MT"/>
                <w:sz w:val="22"/>
                <w:szCs w:val="22"/>
              </w:rPr>
              <w:t>—For Concept Mapping Exercise</w:t>
            </w:r>
            <w:r w:rsidR="00490BE9" w:rsidRPr="00490BE9">
              <w:rPr>
                <w:rFonts w:ascii="Tw Cen MT" w:hAnsi="Tw Cen MT"/>
                <w:sz w:val="22"/>
                <w:szCs w:val="22"/>
              </w:rPr>
              <w:t>s 1, 3, and 4,</w:t>
            </w:r>
            <w:r w:rsidRPr="00490BE9">
              <w:rPr>
                <w:rFonts w:ascii="Tw Cen MT" w:hAnsi="Tw Cen MT"/>
                <w:sz w:val="22"/>
                <w:szCs w:val="22"/>
              </w:rPr>
              <w:t xml:space="preserve"> participants will be asked to brainstorm as many ideas as they wish in response to a focus prompt about system-level change (e.g., “One way that this BHTCC collaborative provides support to consumers is…”). Participants will be given 30 minutes to brainstorm and will submit responses via web, telephone, or mail. See </w:t>
            </w:r>
            <w:r w:rsidRPr="00490BE9">
              <w:rPr>
                <w:rFonts w:ascii="Tw Cen MT" w:hAnsi="Tw Cen MT"/>
                <w:i/>
                <w:sz w:val="22"/>
                <w:szCs w:val="22"/>
              </w:rPr>
              <w:t xml:space="preserve">Attachment </w:t>
            </w:r>
            <w:r w:rsidR="00A01D1C">
              <w:rPr>
                <w:rFonts w:ascii="Tw Cen MT" w:hAnsi="Tw Cen MT"/>
                <w:i/>
                <w:sz w:val="22"/>
                <w:szCs w:val="22"/>
              </w:rPr>
              <w:t>E</w:t>
            </w:r>
            <w:r w:rsidRPr="00490BE9">
              <w:rPr>
                <w:rFonts w:ascii="Tw Cen MT" w:hAnsi="Tw Cen MT"/>
                <w:i/>
                <w:sz w:val="22"/>
                <w:szCs w:val="22"/>
              </w:rPr>
              <w:t xml:space="preserve"> for brainstorming activity instructions</w:t>
            </w:r>
            <w:r w:rsidRPr="00490BE9">
              <w:rPr>
                <w:rFonts w:ascii="Tw Cen MT" w:hAnsi="Tw Cen MT"/>
                <w:sz w:val="22"/>
                <w:szCs w:val="22"/>
              </w:rPr>
              <w:t>.</w:t>
            </w:r>
          </w:p>
          <w:p w14:paraId="2A9B1D07" w14:textId="5E4C1481" w:rsidR="00160269" w:rsidRPr="00490BE9" w:rsidRDefault="00160269" w:rsidP="00813ACD">
            <w:pPr>
              <w:numPr>
                <w:ilvl w:val="0"/>
                <w:numId w:val="42"/>
              </w:numPr>
              <w:spacing w:after="240"/>
              <w:rPr>
                <w:rFonts w:ascii="Tw Cen MT" w:hAnsi="Tw Cen MT"/>
                <w:i/>
                <w:sz w:val="22"/>
                <w:szCs w:val="22"/>
              </w:rPr>
            </w:pPr>
            <w:r w:rsidRPr="00490BE9">
              <w:rPr>
                <w:rFonts w:ascii="Tw Cen MT" w:hAnsi="Tw Cen MT"/>
                <w:b/>
                <w:sz w:val="22"/>
                <w:szCs w:val="22"/>
              </w:rPr>
              <w:t>Sorting/Rating Activit</w:t>
            </w:r>
            <w:r w:rsidR="003B635A">
              <w:rPr>
                <w:rFonts w:ascii="Tw Cen MT" w:hAnsi="Tw Cen MT"/>
                <w:b/>
                <w:sz w:val="22"/>
                <w:szCs w:val="22"/>
              </w:rPr>
              <w:t>ies</w:t>
            </w:r>
            <w:r w:rsidRPr="00490BE9">
              <w:rPr>
                <w:rFonts w:ascii="Tw Cen MT" w:hAnsi="Tw Cen MT"/>
                <w:sz w:val="22"/>
                <w:szCs w:val="22"/>
              </w:rPr>
              <w:t>—</w:t>
            </w:r>
            <w:r w:rsidR="00490BE9" w:rsidRPr="00490BE9">
              <w:rPr>
                <w:rFonts w:ascii="Tw Cen MT" w:hAnsi="Tw Cen MT"/>
                <w:sz w:val="22"/>
                <w:szCs w:val="22"/>
              </w:rPr>
              <w:t xml:space="preserve">For Concept Mapping Exercises 1, 2, 3, and 4, </w:t>
            </w:r>
            <w:r w:rsidRPr="00490BE9">
              <w:rPr>
                <w:rFonts w:ascii="Tw Cen MT" w:hAnsi="Tw Cen MT"/>
                <w:sz w:val="22"/>
                <w:szCs w:val="22"/>
              </w:rPr>
              <w:t>local staff will ask participants to sort and rate the full list of ideas from the brainstorming activity in “any way that makes sense” to them</w:t>
            </w:r>
            <w:r w:rsidR="00490BE9" w:rsidRPr="00490BE9">
              <w:rPr>
                <w:rFonts w:ascii="Tw Cen MT" w:hAnsi="Tw Cen MT"/>
                <w:sz w:val="22"/>
                <w:szCs w:val="22"/>
              </w:rPr>
              <w:t xml:space="preserve"> at a later date (after brainstorming has occurred)</w:t>
            </w:r>
            <w:r w:rsidRPr="00490BE9">
              <w:rPr>
                <w:rFonts w:ascii="Tw Cen MT" w:hAnsi="Tw Cen MT"/>
                <w:sz w:val="22"/>
                <w:szCs w:val="22"/>
              </w:rPr>
              <w:t xml:space="preserve">. Respondents will sort and rate the responses—once for importance and once for frequency—into groups and name them. Participants will be given 30 minutes to complete the sorting/rating exercise and will submit responses via web, telephone, or mail. </w:t>
            </w:r>
            <w:r w:rsidRPr="00490BE9">
              <w:rPr>
                <w:rFonts w:ascii="Tw Cen MT" w:hAnsi="Tw Cen MT"/>
                <w:i/>
                <w:sz w:val="22"/>
                <w:szCs w:val="22"/>
              </w:rPr>
              <w:t xml:space="preserve">See Attachment </w:t>
            </w:r>
            <w:r w:rsidR="00A01D1C">
              <w:rPr>
                <w:rFonts w:ascii="Tw Cen MT" w:hAnsi="Tw Cen MT"/>
                <w:i/>
                <w:sz w:val="22"/>
                <w:szCs w:val="22"/>
              </w:rPr>
              <w:t>F</w:t>
            </w:r>
            <w:r w:rsidRPr="00490BE9">
              <w:rPr>
                <w:rFonts w:ascii="Tw Cen MT" w:hAnsi="Tw Cen MT"/>
                <w:i/>
                <w:sz w:val="22"/>
                <w:szCs w:val="22"/>
              </w:rPr>
              <w:t xml:space="preserve"> for sorting/rating activity instructions.</w:t>
            </w:r>
          </w:p>
          <w:p w14:paraId="1BB567BE" w14:textId="5362A4C9" w:rsidR="00160269" w:rsidRPr="00160269" w:rsidRDefault="00160269" w:rsidP="00160269">
            <w:pPr>
              <w:spacing w:after="60"/>
              <w:rPr>
                <w:rFonts w:ascii="Tw Cen MT" w:hAnsi="Tw Cen MT"/>
                <w:b/>
                <w:sz w:val="22"/>
                <w:szCs w:val="22"/>
                <w:u w:val="single"/>
              </w:rPr>
            </w:pPr>
            <w:r w:rsidRPr="00160269">
              <w:rPr>
                <w:rFonts w:ascii="Tw Cen MT" w:hAnsi="Tw Cen MT"/>
                <w:b/>
                <w:sz w:val="22"/>
                <w:szCs w:val="22"/>
                <w:u w:val="single"/>
              </w:rPr>
              <w:t>Description of Concept Mapping Exercises</w:t>
            </w:r>
          </w:p>
          <w:p w14:paraId="1959A178" w14:textId="77777777" w:rsidR="00160269" w:rsidRPr="00C46BE1" w:rsidRDefault="00160269" w:rsidP="00160269">
            <w:pPr>
              <w:spacing w:after="120"/>
              <w:rPr>
                <w:rFonts w:ascii="Tw Cen MT" w:hAnsi="Tw Cen MT"/>
                <w:sz w:val="22"/>
                <w:szCs w:val="22"/>
              </w:rPr>
            </w:pPr>
            <w:r w:rsidRPr="00C46BE1">
              <w:rPr>
                <w:rFonts w:ascii="Tw Cen MT" w:hAnsi="Tw Cen MT"/>
                <w:sz w:val="22"/>
                <w:szCs w:val="22"/>
              </w:rPr>
              <w:t>Each BHTCC grantee will generate a local concept map identifying the priority supports for recovery beginning in Year 2. In Year 4, varying numbers of grantees will participate in three concept mapping exercises to generate cross-site Keys to Recovery (KTR) maps to identify key recovery supports to inform SAMHSA of continued and needed resources to ensure delivery models that contain these key supports. It is expected that stakeholders will be asked to participate in no more than two of these three cross-site maps.</w:t>
            </w:r>
          </w:p>
          <w:p w14:paraId="1E9429F9" w14:textId="5A6A6C6D" w:rsidR="00160269" w:rsidRPr="00490BE9" w:rsidRDefault="00160269" w:rsidP="00490BE9">
            <w:pPr>
              <w:numPr>
                <w:ilvl w:val="0"/>
                <w:numId w:val="43"/>
              </w:numPr>
              <w:spacing w:after="120"/>
              <w:rPr>
                <w:rFonts w:ascii="Tw Cen MT" w:hAnsi="Tw Cen MT"/>
                <w:sz w:val="22"/>
                <w:szCs w:val="22"/>
              </w:rPr>
            </w:pPr>
            <w:r w:rsidRPr="00490BE9">
              <w:rPr>
                <w:rFonts w:ascii="Tw Cen MT" w:hAnsi="Tw Cen MT"/>
                <w:sz w:val="22"/>
                <w:szCs w:val="22"/>
                <w:u w:val="single"/>
              </w:rPr>
              <w:t>Exercise 1—Local Concept Map (Brainstorming and Sorting/Rating)</w:t>
            </w:r>
            <w:r w:rsidRPr="00490BE9">
              <w:rPr>
                <w:rFonts w:ascii="Tw Cen MT" w:hAnsi="Tw Cen MT"/>
                <w:sz w:val="22"/>
                <w:szCs w:val="22"/>
              </w:rPr>
              <w:t>: Beginning in Year 2, each grantee will identify and recruit up to 20 BHTCC stakeholders to participate in a local concept mapping exercise involving brainstorming and sorting/rating. The resulting information will be entered into Concept System software to generate a local map identifying the most important aspects of the grantee program that support recovery. These site-specific maps can be used by grantees to refine and improve program delivery to ensure these key recovery supports are in place; receive continued support; and assure additional focus and attention are provided to the supports that peers and consumers find most important. The local concept mapping exercises will take 30 minutes for brainstorming and 30 minutes for sorting/rating.</w:t>
            </w:r>
          </w:p>
          <w:p w14:paraId="351B03D5" w14:textId="6DC34981" w:rsidR="00160269" w:rsidRPr="00490BE9" w:rsidRDefault="00160269" w:rsidP="00160269">
            <w:pPr>
              <w:numPr>
                <w:ilvl w:val="0"/>
                <w:numId w:val="43"/>
              </w:numPr>
              <w:spacing w:after="120"/>
              <w:rPr>
                <w:rFonts w:ascii="Tw Cen MT" w:hAnsi="Tw Cen MT"/>
                <w:sz w:val="22"/>
                <w:szCs w:val="22"/>
              </w:rPr>
            </w:pPr>
            <w:r w:rsidRPr="00490BE9">
              <w:rPr>
                <w:rFonts w:ascii="Tw Cen MT" w:hAnsi="Tw Cen MT"/>
                <w:sz w:val="22"/>
                <w:szCs w:val="22"/>
                <w:u w:val="single"/>
              </w:rPr>
              <w:t>Exercise 2—Keys to Recovery Map 1 (Sorting/Rating)</w:t>
            </w:r>
            <w:r w:rsidRPr="00490BE9">
              <w:rPr>
                <w:rFonts w:ascii="Tw Cen MT" w:hAnsi="Tw Cen MT"/>
                <w:sz w:val="22"/>
                <w:szCs w:val="22"/>
              </w:rPr>
              <w:t xml:space="preserve">: In Year 4, all 17 BHTCC grantees will participate in a second sorting/rating of ideas brainstormed for the local concept mapping exercise. Grantee staff will develop a list of the most common ideas and up to 20 stakeholders from each participating grantee will be asked to sort/rate the list. The information will be used to generate a BHTCC Program cross-site concept map on the basis of input from the 17 sites. The KTR Map 1 sorting/rating activity will take 30 minutes to complete. </w:t>
            </w:r>
          </w:p>
          <w:p w14:paraId="61B7E29F" w14:textId="113DB7BA" w:rsidR="00160269" w:rsidRPr="00C46BE1" w:rsidRDefault="00160269" w:rsidP="00160269">
            <w:pPr>
              <w:pStyle w:val="BHTCCBody"/>
              <w:numPr>
                <w:ilvl w:val="0"/>
                <w:numId w:val="43"/>
              </w:numPr>
              <w:spacing w:after="120"/>
              <w:rPr>
                <w:rFonts w:ascii="Tw Cen MT" w:hAnsi="Tw Cen MT" w:cs="Times New Roman"/>
                <w:sz w:val="22"/>
              </w:rPr>
            </w:pPr>
            <w:r w:rsidRPr="00490BE9">
              <w:rPr>
                <w:rFonts w:ascii="Tw Cen MT" w:hAnsi="Tw Cen MT"/>
                <w:sz w:val="22"/>
                <w:u w:val="single"/>
              </w:rPr>
              <w:t>Exercises 3 and 4—Keys to Recovery Maps 3 and 4 (Brainstorming and Sorting/Rating)</w:t>
            </w:r>
            <w:r w:rsidRPr="00490BE9">
              <w:rPr>
                <w:rFonts w:ascii="Tw Cen MT" w:hAnsi="Tw Cen MT"/>
                <w:sz w:val="22"/>
              </w:rPr>
              <w:t>: In Y</w:t>
            </w:r>
            <w:r w:rsidRPr="00C46BE1">
              <w:rPr>
                <w:rFonts w:ascii="Tw Cen MT" w:hAnsi="Tw Cen MT"/>
                <w:sz w:val="22"/>
              </w:rPr>
              <w:t xml:space="preserve">ear 4, two groups of up to 5 BHTCC grantees with a particular court structure or program focus (e.g., veterans’ court and another BHTCC type of court model, such as key recovery supports addressing a specific aspect or type of severe mental illness) will participate in two concept mapping exercises to generate KTR maps. The program focus will be determined after the initial site-specific maps have been analyzed. Up to 20 stakeholders from each grantee will participate in brainstorming and sorting/rating activities. Each will involve brainstorming (30 minutes) and sorting/rating (30 minutes). </w:t>
            </w:r>
          </w:p>
        </w:tc>
      </w:tr>
      <w:tr w:rsidR="004A74D8" w:rsidRPr="00C46BE1" w14:paraId="11B78D35" w14:textId="77777777" w:rsidTr="004A74D8">
        <w:trPr>
          <w:trHeight w:val="173"/>
          <w:jc w:val="center"/>
        </w:trPr>
        <w:tc>
          <w:tcPr>
            <w:tcW w:w="9340" w:type="dxa"/>
            <w:gridSpan w:val="2"/>
            <w:shd w:val="clear" w:color="auto" w:fill="D5DCE4" w:themeFill="text2" w:themeFillTint="33"/>
            <w:tcMar>
              <w:top w:w="14" w:type="dxa"/>
              <w:left w:w="72" w:type="dxa"/>
              <w:bottom w:w="14" w:type="dxa"/>
              <w:right w:w="72" w:type="dxa"/>
            </w:tcMar>
          </w:tcPr>
          <w:p w14:paraId="180BA4A2" w14:textId="73889D9E" w:rsidR="004A74D8" w:rsidRPr="00C46BE1" w:rsidRDefault="004A74D8" w:rsidP="00290326">
            <w:pPr>
              <w:pStyle w:val="GLSBody"/>
              <w:spacing w:after="0"/>
              <w:jc w:val="center"/>
              <w:rPr>
                <w:rFonts w:ascii="Tw Cen MT" w:hAnsi="Tw Cen MT"/>
                <w:sz w:val="22"/>
                <w:szCs w:val="22"/>
              </w:rPr>
            </w:pPr>
            <w:r w:rsidRPr="00C46BE1">
              <w:rPr>
                <w:rFonts w:ascii="Tw Cen MT" w:hAnsi="Tw Cen MT"/>
                <w:sz w:val="22"/>
                <w:szCs w:val="22"/>
              </w:rPr>
              <w:t xml:space="preserve">BHTCC Consumer Outcome </w:t>
            </w:r>
            <w:r w:rsidR="00290326" w:rsidRPr="00C46BE1">
              <w:rPr>
                <w:rFonts w:ascii="Tw Cen MT" w:hAnsi="Tw Cen MT"/>
                <w:sz w:val="22"/>
                <w:szCs w:val="22"/>
              </w:rPr>
              <w:t xml:space="preserve">&amp; </w:t>
            </w:r>
            <w:r w:rsidRPr="00C46BE1">
              <w:rPr>
                <w:rFonts w:ascii="Tw Cen MT" w:hAnsi="Tw Cen MT"/>
                <w:sz w:val="22"/>
                <w:szCs w:val="22"/>
              </w:rPr>
              <w:t xml:space="preserve">Comparison </w:t>
            </w:r>
            <w:r w:rsidR="00290326" w:rsidRPr="00C46BE1">
              <w:rPr>
                <w:rFonts w:ascii="Tw Cen MT" w:hAnsi="Tw Cen MT"/>
                <w:sz w:val="22"/>
                <w:szCs w:val="22"/>
              </w:rPr>
              <w:t>Subs</w:t>
            </w:r>
            <w:r w:rsidRPr="00C46BE1">
              <w:rPr>
                <w:rFonts w:ascii="Tw Cen MT" w:hAnsi="Tw Cen MT"/>
                <w:sz w:val="22"/>
                <w:szCs w:val="22"/>
              </w:rPr>
              <w:t>tud</w:t>
            </w:r>
            <w:r w:rsidR="00290326" w:rsidRPr="00C46BE1">
              <w:rPr>
                <w:rFonts w:ascii="Tw Cen MT" w:hAnsi="Tw Cen MT"/>
                <w:sz w:val="22"/>
                <w:szCs w:val="22"/>
              </w:rPr>
              <w:t>ies</w:t>
            </w:r>
          </w:p>
        </w:tc>
      </w:tr>
      <w:tr w:rsidR="004A74D8" w:rsidRPr="00C46BE1" w14:paraId="18BD5B96" w14:textId="77777777" w:rsidTr="00DA0769">
        <w:trPr>
          <w:trHeight w:val="296"/>
          <w:jc w:val="center"/>
        </w:trPr>
        <w:tc>
          <w:tcPr>
            <w:tcW w:w="1700" w:type="dxa"/>
            <w:shd w:val="clear" w:color="auto" w:fill="auto"/>
            <w:tcMar>
              <w:top w:w="14" w:type="dxa"/>
              <w:left w:w="72" w:type="dxa"/>
              <w:bottom w:w="14" w:type="dxa"/>
              <w:right w:w="72" w:type="dxa"/>
            </w:tcMar>
          </w:tcPr>
          <w:p w14:paraId="34ED86FA" w14:textId="77777777" w:rsidR="004A74D8" w:rsidRDefault="004A74D8" w:rsidP="00D255F6">
            <w:pPr>
              <w:pStyle w:val="BHTCCTableText"/>
              <w:spacing w:before="0" w:after="0"/>
              <w:rPr>
                <w:rFonts w:ascii="Tw Cen MT" w:hAnsi="Tw Cen MT"/>
              </w:rPr>
            </w:pPr>
            <w:r w:rsidRPr="00C46BE1">
              <w:rPr>
                <w:rFonts w:ascii="Tw Cen MT" w:hAnsi="Tw Cen MT"/>
              </w:rPr>
              <w:t xml:space="preserve">18-Month </w:t>
            </w:r>
            <w:r w:rsidR="009B790E" w:rsidRPr="00C46BE1">
              <w:rPr>
                <w:rFonts w:ascii="Tw Cen MT" w:hAnsi="Tw Cen MT"/>
              </w:rPr>
              <w:t xml:space="preserve">Client Level </w:t>
            </w:r>
            <w:r w:rsidRPr="00C46BE1">
              <w:rPr>
                <w:rFonts w:ascii="Tw Cen MT" w:hAnsi="Tw Cen MT"/>
              </w:rPr>
              <w:t>Abstraction Tool</w:t>
            </w:r>
            <w:r w:rsidR="009510AA" w:rsidRPr="00C46BE1">
              <w:rPr>
                <w:rFonts w:ascii="Tw Cen MT" w:hAnsi="Tw Cen MT"/>
              </w:rPr>
              <w:t xml:space="preserve"> </w:t>
            </w:r>
          </w:p>
          <w:p w14:paraId="3540D655" w14:textId="12E34D28" w:rsidR="00885821" w:rsidRPr="00885821" w:rsidRDefault="00885821" w:rsidP="00885821">
            <w:pPr>
              <w:pStyle w:val="BHTCCTableText"/>
              <w:spacing w:before="0" w:after="0"/>
              <w:rPr>
                <w:rFonts w:ascii="Tw Cen MT" w:hAnsi="Tw Cen MT"/>
                <w:i/>
              </w:rPr>
            </w:pPr>
          </w:p>
        </w:tc>
        <w:tc>
          <w:tcPr>
            <w:tcW w:w="7640" w:type="dxa"/>
            <w:tcMar>
              <w:top w:w="14" w:type="dxa"/>
              <w:left w:w="72" w:type="dxa"/>
              <w:bottom w:w="14" w:type="dxa"/>
              <w:right w:w="72" w:type="dxa"/>
            </w:tcMar>
          </w:tcPr>
          <w:p w14:paraId="136B5C37" w14:textId="601D532D" w:rsidR="004A74D8" w:rsidRPr="00C46BE1" w:rsidRDefault="004A74D8" w:rsidP="00A01D1C">
            <w:pPr>
              <w:pStyle w:val="GLSBody"/>
              <w:spacing w:after="0"/>
              <w:rPr>
                <w:rFonts w:ascii="Tw Cen MT" w:hAnsi="Tw Cen MT"/>
                <w:i/>
                <w:sz w:val="22"/>
                <w:szCs w:val="22"/>
              </w:rPr>
            </w:pPr>
            <w:r w:rsidRPr="00C46BE1">
              <w:rPr>
                <w:rFonts w:ascii="Tw Cen MT" w:hAnsi="Tw Cen MT"/>
                <w:sz w:val="22"/>
                <w:szCs w:val="22"/>
              </w:rPr>
              <w:t xml:space="preserve">The </w:t>
            </w:r>
            <w:r w:rsidR="009B790E" w:rsidRPr="00C46BE1">
              <w:rPr>
                <w:rFonts w:ascii="Tw Cen MT" w:hAnsi="Tw Cen MT"/>
                <w:sz w:val="22"/>
                <w:szCs w:val="22"/>
              </w:rPr>
              <w:t>18-Month</w:t>
            </w:r>
            <w:r w:rsidRPr="00C46BE1">
              <w:rPr>
                <w:rFonts w:ascii="Tw Cen MT" w:hAnsi="Tw Cen MT"/>
                <w:sz w:val="22"/>
                <w:szCs w:val="22"/>
              </w:rPr>
              <w:t xml:space="preserve"> Tool</w:t>
            </w:r>
            <w:r w:rsidRPr="00C46BE1">
              <w:rPr>
                <w:rFonts w:ascii="Tw Cen MT" w:hAnsi="Tw Cen MT"/>
                <w:b/>
                <w:sz w:val="22"/>
                <w:szCs w:val="22"/>
              </w:rPr>
              <w:t xml:space="preserve"> </w:t>
            </w:r>
            <w:r w:rsidRPr="00C46BE1">
              <w:rPr>
                <w:rFonts w:ascii="Tw Cen MT" w:hAnsi="Tw Cen MT"/>
                <w:sz w:val="22"/>
                <w:szCs w:val="22"/>
              </w:rPr>
              <w:t xml:space="preserve">is an Excel-based tool that collects existing data on long-term client outcomes on recidivism. Data include </w:t>
            </w:r>
            <w:r w:rsidR="009510AA" w:rsidRPr="00C46BE1">
              <w:rPr>
                <w:rFonts w:ascii="Tw Cen MT" w:hAnsi="Tw Cen MT"/>
                <w:sz w:val="22"/>
                <w:szCs w:val="22"/>
              </w:rPr>
              <w:t xml:space="preserve">(1) </w:t>
            </w:r>
            <w:proofErr w:type="spellStart"/>
            <w:r w:rsidRPr="00C46BE1">
              <w:rPr>
                <w:rFonts w:ascii="Tw Cen MT" w:hAnsi="Tw Cen MT"/>
                <w:sz w:val="22"/>
                <w:szCs w:val="22"/>
              </w:rPr>
              <w:t>rearrest</w:t>
            </w:r>
            <w:proofErr w:type="spellEnd"/>
            <w:r w:rsidRPr="00C46BE1">
              <w:rPr>
                <w:rFonts w:ascii="Tw Cen MT" w:hAnsi="Tw Cen MT"/>
                <w:sz w:val="22"/>
                <w:szCs w:val="22"/>
              </w:rPr>
              <w:t xml:space="preserve"> dates (from NCIC database), </w:t>
            </w:r>
            <w:r w:rsidR="009510AA" w:rsidRPr="00C46BE1">
              <w:rPr>
                <w:rFonts w:ascii="Tw Cen MT" w:hAnsi="Tw Cen MT"/>
                <w:sz w:val="22"/>
                <w:szCs w:val="22"/>
              </w:rPr>
              <w:t xml:space="preserve">(2) </w:t>
            </w:r>
            <w:r w:rsidRPr="00C46BE1">
              <w:rPr>
                <w:rFonts w:ascii="Tw Cen MT" w:hAnsi="Tw Cen MT"/>
                <w:sz w:val="22"/>
                <w:szCs w:val="22"/>
              </w:rPr>
              <w:t xml:space="preserve">recommitment dates (from State departments of corrections and local/county jails and corrections), </w:t>
            </w:r>
            <w:r w:rsidR="009510AA" w:rsidRPr="00C46BE1">
              <w:rPr>
                <w:rFonts w:ascii="Tw Cen MT" w:hAnsi="Tw Cen MT"/>
                <w:sz w:val="22"/>
                <w:szCs w:val="22"/>
              </w:rPr>
              <w:t xml:space="preserve">(3) </w:t>
            </w:r>
            <w:r w:rsidRPr="00C46BE1">
              <w:rPr>
                <w:rFonts w:ascii="Tw Cen MT" w:hAnsi="Tw Cen MT"/>
                <w:sz w:val="22"/>
                <w:szCs w:val="22"/>
              </w:rPr>
              <w:t xml:space="preserve">revocation dates (from State and local corrections), and </w:t>
            </w:r>
            <w:r w:rsidR="009510AA" w:rsidRPr="00C46BE1">
              <w:rPr>
                <w:rFonts w:ascii="Tw Cen MT" w:hAnsi="Tw Cen MT"/>
                <w:sz w:val="22"/>
                <w:szCs w:val="22"/>
              </w:rPr>
              <w:t xml:space="preserve">(4) </w:t>
            </w:r>
            <w:r w:rsidRPr="00C46BE1">
              <w:rPr>
                <w:rFonts w:ascii="Tw Cen MT" w:hAnsi="Tw Cen MT"/>
                <w:sz w:val="22"/>
                <w:szCs w:val="22"/>
              </w:rPr>
              <w:t xml:space="preserve">risk assessment quantitative score. Grantee staff will complete the tool at 18 months from the baseline period for any client enrolled in the BHTCC program. Beginning in year 2, grantees will upload all extracted data on a quarterly basis. In their final upload (last month of grant activity), grantees will include data for all clients not currently submitted including those enrolled less than 18 months. The </w:t>
            </w:r>
            <w:r w:rsidR="00775322" w:rsidRPr="00C46BE1">
              <w:rPr>
                <w:rFonts w:ascii="Tw Cen MT" w:hAnsi="Tw Cen MT"/>
                <w:sz w:val="22"/>
                <w:szCs w:val="22"/>
              </w:rPr>
              <w:t>18-Month</w:t>
            </w:r>
            <w:r w:rsidRPr="00C46BE1">
              <w:rPr>
                <w:rFonts w:ascii="Tw Cen MT" w:hAnsi="Tw Cen MT"/>
                <w:sz w:val="22"/>
                <w:szCs w:val="22"/>
              </w:rPr>
              <w:t xml:space="preserve"> Tool </w:t>
            </w:r>
            <w:r w:rsidR="009510AA" w:rsidRPr="00C46BE1">
              <w:rPr>
                <w:rFonts w:ascii="Tw Cen MT" w:hAnsi="Tw Cen MT"/>
                <w:sz w:val="22"/>
                <w:szCs w:val="22"/>
              </w:rPr>
              <w:t xml:space="preserve">will be completed by grantee evaluation staff </w:t>
            </w:r>
            <w:r w:rsidR="00233494" w:rsidRPr="00C46BE1">
              <w:rPr>
                <w:rFonts w:ascii="Tw Cen MT" w:hAnsi="Tw Cen MT"/>
                <w:sz w:val="22"/>
                <w:szCs w:val="22"/>
              </w:rPr>
              <w:t xml:space="preserve">using existing sources </w:t>
            </w:r>
            <w:r w:rsidR="009510AA" w:rsidRPr="00C46BE1">
              <w:rPr>
                <w:rFonts w:ascii="Tw Cen MT" w:hAnsi="Tw Cen MT"/>
                <w:sz w:val="22"/>
                <w:szCs w:val="22"/>
              </w:rPr>
              <w:t xml:space="preserve">and </w:t>
            </w:r>
            <w:r w:rsidR="00233494" w:rsidRPr="00C46BE1">
              <w:rPr>
                <w:rFonts w:ascii="Tw Cen MT" w:hAnsi="Tw Cen MT"/>
                <w:sz w:val="22"/>
                <w:szCs w:val="22"/>
              </w:rPr>
              <w:t>takes</w:t>
            </w:r>
            <w:r w:rsidRPr="00C46BE1">
              <w:rPr>
                <w:rFonts w:ascii="Tw Cen MT" w:hAnsi="Tw Cen MT"/>
                <w:sz w:val="22"/>
                <w:szCs w:val="22"/>
              </w:rPr>
              <w:t xml:space="preserve"> 10 minutes to complete.</w:t>
            </w:r>
            <w:r w:rsidR="00775322" w:rsidRPr="00C46BE1">
              <w:rPr>
                <w:rFonts w:ascii="Tw Cen MT" w:hAnsi="Tw Cen MT"/>
                <w:sz w:val="22"/>
                <w:szCs w:val="22"/>
              </w:rPr>
              <w:t xml:space="preserve"> See </w:t>
            </w:r>
            <w:r w:rsidR="00775322" w:rsidRPr="00C46BE1">
              <w:rPr>
                <w:rFonts w:ascii="Tw Cen MT" w:hAnsi="Tw Cen MT"/>
                <w:i/>
                <w:sz w:val="22"/>
                <w:szCs w:val="22"/>
              </w:rPr>
              <w:t xml:space="preserve">Attachment </w:t>
            </w:r>
            <w:r w:rsidR="00A01D1C">
              <w:rPr>
                <w:rFonts w:ascii="Tw Cen MT" w:hAnsi="Tw Cen MT"/>
                <w:i/>
                <w:sz w:val="22"/>
                <w:szCs w:val="22"/>
              </w:rPr>
              <w:t>G</w:t>
            </w:r>
            <w:r w:rsidR="00775322" w:rsidRPr="00C46BE1">
              <w:rPr>
                <w:rFonts w:ascii="Tw Cen MT" w:hAnsi="Tw Cen MT"/>
                <w:i/>
                <w:sz w:val="22"/>
                <w:szCs w:val="22"/>
              </w:rPr>
              <w:t>.</w:t>
            </w:r>
          </w:p>
        </w:tc>
      </w:tr>
      <w:tr w:rsidR="00DA0769" w:rsidRPr="00C46BE1" w14:paraId="7F397D74" w14:textId="77777777" w:rsidTr="00DA0769">
        <w:trPr>
          <w:trHeight w:val="296"/>
          <w:jc w:val="center"/>
        </w:trPr>
        <w:tc>
          <w:tcPr>
            <w:tcW w:w="1700" w:type="dxa"/>
            <w:shd w:val="clear" w:color="auto" w:fill="auto"/>
            <w:tcMar>
              <w:top w:w="14" w:type="dxa"/>
              <w:left w:w="72" w:type="dxa"/>
              <w:bottom w:w="14" w:type="dxa"/>
              <w:right w:w="72" w:type="dxa"/>
            </w:tcMar>
          </w:tcPr>
          <w:p w14:paraId="2131BBF5" w14:textId="77777777" w:rsidR="00160269" w:rsidRDefault="00DA0769" w:rsidP="00160269">
            <w:pPr>
              <w:pStyle w:val="BHTCCTableText"/>
              <w:spacing w:before="0" w:after="120"/>
              <w:rPr>
                <w:rFonts w:ascii="Tw Cen MT" w:hAnsi="Tw Cen MT"/>
              </w:rPr>
            </w:pPr>
            <w:r w:rsidRPr="00C46BE1">
              <w:rPr>
                <w:rFonts w:ascii="Tw Cen MT" w:hAnsi="Tw Cen MT"/>
              </w:rPr>
              <w:t xml:space="preserve">Comparison Study </w:t>
            </w:r>
            <w:r w:rsidR="00885821">
              <w:rPr>
                <w:rFonts w:ascii="Tw Cen MT" w:hAnsi="Tw Cen MT"/>
              </w:rPr>
              <w:t xml:space="preserve">Data Abstraction </w:t>
            </w:r>
            <w:r w:rsidRPr="00C46BE1">
              <w:rPr>
                <w:rFonts w:ascii="Tw Cen MT" w:hAnsi="Tw Cen MT"/>
              </w:rPr>
              <w:t>Tool</w:t>
            </w:r>
            <w:r w:rsidR="00160269">
              <w:rPr>
                <w:rFonts w:ascii="Tw Cen MT" w:hAnsi="Tw Cen MT"/>
              </w:rPr>
              <w:t xml:space="preserve">–Baseline </w:t>
            </w:r>
          </w:p>
          <w:p w14:paraId="12BD02F2" w14:textId="6395D164" w:rsidR="00DA0769" w:rsidRPr="00885821" w:rsidRDefault="00DA0769" w:rsidP="00160269">
            <w:pPr>
              <w:pStyle w:val="BHTCCTableText"/>
              <w:spacing w:before="0" w:after="0"/>
              <w:rPr>
                <w:rFonts w:ascii="Tw Cen MT" w:hAnsi="Tw Cen MT"/>
                <w:i/>
              </w:rPr>
            </w:pPr>
          </w:p>
        </w:tc>
        <w:tc>
          <w:tcPr>
            <w:tcW w:w="7640" w:type="dxa"/>
            <w:tcMar>
              <w:top w:w="14" w:type="dxa"/>
              <w:left w:w="72" w:type="dxa"/>
              <w:bottom w:w="14" w:type="dxa"/>
              <w:right w:w="72" w:type="dxa"/>
            </w:tcMar>
          </w:tcPr>
          <w:p w14:paraId="7826AFF7" w14:textId="68E92E3D" w:rsidR="00DA0769" w:rsidRPr="00C46BE1" w:rsidRDefault="00DA0769" w:rsidP="00A01D1C">
            <w:pPr>
              <w:pStyle w:val="GLSBody"/>
              <w:spacing w:after="0"/>
              <w:rPr>
                <w:rFonts w:ascii="Tw Cen MT" w:hAnsi="Tw Cen MT"/>
                <w:sz w:val="22"/>
                <w:szCs w:val="22"/>
              </w:rPr>
            </w:pPr>
            <w:r w:rsidRPr="00C46BE1">
              <w:rPr>
                <w:rFonts w:ascii="Tw Cen MT" w:hAnsi="Tw Cen MT"/>
                <w:sz w:val="22"/>
                <w:szCs w:val="22"/>
              </w:rPr>
              <w:t>The Comparison Study Tool</w:t>
            </w:r>
            <w:r w:rsidR="00D255F6" w:rsidRPr="00C46BE1">
              <w:rPr>
                <w:rFonts w:ascii="Tw Cen MT" w:hAnsi="Tw Cen MT"/>
                <w:sz w:val="22"/>
                <w:szCs w:val="22"/>
              </w:rPr>
              <w:t>s are</w:t>
            </w:r>
            <w:r w:rsidRPr="00C46BE1">
              <w:rPr>
                <w:rFonts w:ascii="Tw Cen MT" w:hAnsi="Tw Cen MT"/>
                <w:sz w:val="22"/>
                <w:szCs w:val="22"/>
              </w:rPr>
              <w:t xml:space="preserve"> Excel-based tool</w:t>
            </w:r>
            <w:r w:rsidR="00D255F6" w:rsidRPr="00C46BE1">
              <w:rPr>
                <w:rFonts w:ascii="Tw Cen MT" w:hAnsi="Tw Cen MT"/>
                <w:sz w:val="22"/>
                <w:szCs w:val="22"/>
              </w:rPr>
              <w:t>s</w:t>
            </w:r>
            <w:r w:rsidRPr="00C46BE1">
              <w:rPr>
                <w:rFonts w:ascii="Tw Cen MT" w:hAnsi="Tw Cen MT"/>
                <w:sz w:val="22"/>
                <w:szCs w:val="22"/>
              </w:rPr>
              <w:t xml:space="preserve"> that collect existing data on comparison cases (individuals who are not participating in the BHTCC program but are comparable in program eligibility) at baseline and 6 months. Baseline data include demographics and status of screening for co-occurring disorders, employment, and probation/parole. Respondents will include court staff (e.g., court clerks) at comparison courts who have regular interaction with clients during their involvement in the justice system. Respondents will complete the tool on the basis of (1) court paperwork and (2) </w:t>
            </w:r>
            <w:r w:rsidRPr="00C46BE1">
              <w:rPr>
                <w:rFonts w:ascii="Tw Cen MT" w:hAnsi="Tw Cen MT"/>
                <w:bCs/>
                <w:sz w:val="22"/>
                <w:szCs w:val="22"/>
              </w:rPr>
              <w:t xml:space="preserve">information discussed during regular court-assigned interactions. No direct data collection will occur from clients. </w:t>
            </w:r>
            <w:r w:rsidRPr="00C46BE1">
              <w:rPr>
                <w:rFonts w:ascii="Tw Cen MT" w:hAnsi="Tw Cen MT"/>
                <w:sz w:val="22"/>
                <w:szCs w:val="22"/>
              </w:rPr>
              <w:t xml:space="preserve">The Comparison Study Tool Baseline take 10 minutes to complete. See </w:t>
            </w:r>
            <w:r w:rsidR="003C28E7" w:rsidRPr="00C46BE1">
              <w:rPr>
                <w:rFonts w:ascii="Tw Cen MT" w:hAnsi="Tw Cen MT"/>
                <w:i/>
                <w:sz w:val="22"/>
                <w:szCs w:val="22"/>
              </w:rPr>
              <w:t>Attachment</w:t>
            </w:r>
            <w:r w:rsidRPr="00C46BE1">
              <w:rPr>
                <w:rFonts w:ascii="Tw Cen MT" w:hAnsi="Tw Cen MT"/>
                <w:i/>
                <w:sz w:val="22"/>
                <w:szCs w:val="22"/>
              </w:rPr>
              <w:t xml:space="preserve"> </w:t>
            </w:r>
            <w:r w:rsidR="00A01D1C">
              <w:rPr>
                <w:rFonts w:ascii="Tw Cen MT" w:hAnsi="Tw Cen MT"/>
                <w:i/>
                <w:sz w:val="22"/>
                <w:szCs w:val="22"/>
              </w:rPr>
              <w:t>H</w:t>
            </w:r>
            <w:r w:rsidR="00F1232C" w:rsidRPr="00C46BE1">
              <w:rPr>
                <w:rFonts w:ascii="Tw Cen MT" w:hAnsi="Tw Cen MT"/>
                <w:i/>
                <w:sz w:val="22"/>
                <w:szCs w:val="22"/>
              </w:rPr>
              <w:t>.</w:t>
            </w:r>
            <w:r w:rsidRPr="00C46BE1">
              <w:rPr>
                <w:rFonts w:ascii="Tw Cen MT" w:hAnsi="Tw Cen MT"/>
                <w:i/>
                <w:sz w:val="22"/>
                <w:szCs w:val="22"/>
              </w:rPr>
              <w:t xml:space="preserve"> </w:t>
            </w:r>
          </w:p>
        </w:tc>
      </w:tr>
      <w:tr w:rsidR="00D255F6" w:rsidRPr="00C46BE1" w14:paraId="11C5A63D" w14:textId="77777777" w:rsidTr="00DA0769">
        <w:trPr>
          <w:trHeight w:val="296"/>
          <w:jc w:val="center"/>
        </w:trPr>
        <w:tc>
          <w:tcPr>
            <w:tcW w:w="1700" w:type="dxa"/>
            <w:shd w:val="clear" w:color="auto" w:fill="auto"/>
            <w:tcMar>
              <w:top w:w="14" w:type="dxa"/>
              <w:left w:w="72" w:type="dxa"/>
              <w:bottom w:w="14" w:type="dxa"/>
              <w:right w:w="72" w:type="dxa"/>
            </w:tcMar>
          </w:tcPr>
          <w:p w14:paraId="1CA33AED" w14:textId="77777777" w:rsidR="00160269" w:rsidRDefault="00D255F6" w:rsidP="00160269">
            <w:pPr>
              <w:pStyle w:val="BHTCCTableText"/>
              <w:spacing w:before="0" w:after="120"/>
              <w:rPr>
                <w:rFonts w:ascii="Tw Cen MT" w:hAnsi="Tw Cen MT"/>
              </w:rPr>
            </w:pPr>
            <w:r w:rsidRPr="00C46BE1">
              <w:rPr>
                <w:rFonts w:ascii="Tw Cen MT" w:hAnsi="Tw Cen MT"/>
              </w:rPr>
              <w:t>Comparison Study Data Abstraction Tool</w:t>
            </w:r>
            <w:r w:rsidR="00160269">
              <w:rPr>
                <w:rFonts w:ascii="Tw Cen MT" w:hAnsi="Tw Cen MT"/>
              </w:rPr>
              <w:t>–6-Month</w:t>
            </w:r>
            <w:r w:rsidRPr="00C46BE1">
              <w:rPr>
                <w:rFonts w:ascii="Tw Cen MT" w:hAnsi="Tw Cen MT"/>
              </w:rPr>
              <w:t xml:space="preserve"> </w:t>
            </w:r>
            <w:r w:rsidR="00885821">
              <w:rPr>
                <w:rFonts w:ascii="Tw Cen MT" w:hAnsi="Tw Cen MT"/>
              </w:rPr>
              <w:t xml:space="preserve"> </w:t>
            </w:r>
          </w:p>
          <w:p w14:paraId="6F66E6FD" w14:textId="058EE676" w:rsidR="00D255F6" w:rsidRPr="00C46BE1" w:rsidRDefault="00D255F6" w:rsidP="00160269">
            <w:pPr>
              <w:pStyle w:val="BHTCCTableText"/>
              <w:spacing w:before="0" w:after="120"/>
              <w:rPr>
                <w:rFonts w:ascii="Tw Cen MT" w:hAnsi="Tw Cen MT"/>
              </w:rPr>
            </w:pPr>
          </w:p>
        </w:tc>
        <w:tc>
          <w:tcPr>
            <w:tcW w:w="7640" w:type="dxa"/>
            <w:tcMar>
              <w:top w:w="14" w:type="dxa"/>
              <w:left w:w="72" w:type="dxa"/>
              <w:bottom w:w="14" w:type="dxa"/>
              <w:right w:w="72" w:type="dxa"/>
            </w:tcMar>
          </w:tcPr>
          <w:p w14:paraId="59B86348" w14:textId="59331ABD" w:rsidR="00D255F6" w:rsidRPr="00C46BE1" w:rsidRDefault="00D255F6" w:rsidP="00A01D1C">
            <w:pPr>
              <w:pStyle w:val="GLSBody"/>
              <w:spacing w:after="0"/>
              <w:rPr>
                <w:rFonts w:ascii="Tw Cen MT" w:hAnsi="Tw Cen MT"/>
                <w:sz w:val="22"/>
                <w:szCs w:val="22"/>
              </w:rPr>
            </w:pPr>
            <w:r w:rsidRPr="00C46BE1">
              <w:rPr>
                <w:rFonts w:ascii="Tw Cen MT" w:hAnsi="Tw Cen MT"/>
                <w:sz w:val="22"/>
                <w:szCs w:val="22"/>
              </w:rPr>
              <w:t xml:space="preserve">The Comparison Study Tool 6-Month Tool is an Excel-based tool that collect existing data on comparison cases (individuals who are not participating in the BHTCC program but are comparable in program eligibility) at 6 months. Data abstracted through the 6-month tool include employment status, probation/parole status, services received (i.e., case management, treatment, medical care, after care, peer-to-peer recovery support, and education) and number of days services were received. Respondents will include court staff (e.g., court clerks) at comparison courts who have regular interaction with clients during their involvement in the justice system and will complete the tool on the basis of (1) court paperwork and (2) </w:t>
            </w:r>
            <w:r w:rsidRPr="00C46BE1">
              <w:rPr>
                <w:rFonts w:ascii="Tw Cen MT" w:hAnsi="Tw Cen MT"/>
                <w:bCs/>
                <w:sz w:val="22"/>
                <w:szCs w:val="22"/>
              </w:rPr>
              <w:t xml:space="preserve">information discussed during regular court-assigned interactions. No direct data collection will occur from clients. </w:t>
            </w:r>
            <w:r w:rsidRPr="00C46BE1">
              <w:rPr>
                <w:rFonts w:ascii="Tw Cen MT" w:hAnsi="Tw Cen MT"/>
                <w:sz w:val="22"/>
                <w:szCs w:val="22"/>
              </w:rPr>
              <w:t xml:space="preserve">The Comparison Study Tool 6-Month takes 10 minutes to complete. See </w:t>
            </w:r>
            <w:r w:rsidR="00DE7FEF">
              <w:rPr>
                <w:rFonts w:ascii="Tw Cen MT" w:hAnsi="Tw Cen MT"/>
                <w:i/>
                <w:sz w:val="22"/>
                <w:szCs w:val="22"/>
              </w:rPr>
              <w:t>Attachment</w:t>
            </w:r>
            <w:r w:rsidRPr="00C46BE1">
              <w:rPr>
                <w:rFonts w:ascii="Tw Cen MT" w:hAnsi="Tw Cen MT"/>
                <w:i/>
                <w:sz w:val="22"/>
                <w:szCs w:val="22"/>
              </w:rPr>
              <w:t xml:space="preserve"> </w:t>
            </w:r>
            <w:r w:rsidR="00A01D1C">
              <w:rPr>
                <w:rFonts w:ascii="Tw Cen MT" w:hAnsi="Tw Cen MT"/>
                <w:i/>
                <w:sz w:val="22"/>
                <w:szCs w:val="22"/>
              </w:rPr>
              <w:t>I</w:t>
            </w:r>
            <w:r w:rsidRPr="00C46BE1">
              <w:rPr>
                <w:rFonts w:ascii="Tw Cen MT" w:hAnsi="Tw Cen MT"/>
                <w:i/>
                <w:sz w:val="22"/>
                <w:szCs w:val="22"/>
              </w:rPr>
              <w:t xml:space="preserve">.  </w:t>
            </w:r>
          </w:p>
        </w:tc>
      </w:tr>
      <w:tr w:rsidR="00602F4A" w:rsidRPr="00C46BE1" w14:paraId="5D9B84B3" w14:textId="77777777" w:rsidTr="00DA0769">
        <w:trPr>
          <w:trHeight w:val="296"/>
          <w:jc w:val="center"/>
        </w:trPr>
        <w:tc>
          <w:tcPr>
            <w:tcW w:w="1700" w:type="dxa"/>
            <w:shd w:val="clear" w:color="auto" w:fill="auto"/>
            <w:tcMar>
              <w:top w:w="14" w:type="dxa"/>
              <w:left w:w="72" w:type="dxa"/>
              <w:bottom w:w="14" w:type="dxa"/>
              <w:right w:w="72" w:type="dxa"/>
            </w:tcMar>
          </w:tcPr>
          <w:p w14:paraId="2B7A1AB1" w14:textId="2B38CD31" w:rsidR="00602F4A" w:rsidRDefault="00D255F6" w:rsidP="00160269">
            <w:pPr>
              <w:pStyle w:val="BHTCCTableText"/>
              <w:spacing w:before="0" w:after="120"/>
              <w:rPr>
                <w:rFonts w:ascii="Tw Cen MT" w:hAnsi="Tw Cen MT"/>
              </w:rPr>
            </w:pPr>
            <w:r w:rsidRPr="00C46BE1">
              <w:rPr>
                <w:rFonts w:ascii="Tw Cen MT" w:hAnsi="Tw Cen MT"/>
              </w:rPr>
              <w:t xml:space="preserve">Comparison Study </w:t>
            </w:r>
            <w:r w:rsidR="00885821">
              <w:rPr>
                <w:rFonts w:ascii="Tw Cen MT" w:hAnsi="Tw Cen MT"/>
              </w:rPr>
              <w:t>Data Abstraction</w:t>
            </w:r>
            <w:r w:rsidR="0047779E" w:rsidRPr="00C46BE1">
              <w:rPr>
                <w:rFonts w:ascii="Tw Cen MT" w:hAnsi="Tw Cen MT"/>
              </w:rPr>
              <w:t xml:space="preserve"> </w:t>
            </w:r>
            <w:r w:rsidR="00602F4A" w:rsidRPr="00C46BE1">
              <w:rPr>
                <w:rFonts w:ascii="Tw Cen MT" w:hAnsi="Tw Cen MT"/>
              </w:rPr>
              <w:t>Tool</w:t>
            </w:r>
            <w:r w:rsidR="00160269">
              <w:rPr>
                <w:rFonts w:ascii="Tw Cen MT" w:hAnsi="Tw Cen MT"/>
              </w:rPr>
              <w:t>–18</w:t>
            </w:r>
            <w:r w:rsidR="00885821">
              <w:rPr>
                <w:rFonts w:ascii="Tw Cen MT" w:hAnsi="Tw Cen MT"/>
              </w:rPr>
              <w:t>-Month</w:t>
            </w:r>
          </w:p>
          <w:p w14:paraId="35DFCF72" w14:textId="562BFD61" w:rsidR="00885821" w:rsidRPr="00885821" w:rsidRDefault="00885821" w:rsidP="00885821">
            <w:pPr>
              <w:pStyle w:val="BHTCCTableText"/>
              <w:spacing w:before="0" w:after="0"/>
              <w:rPr>
                <w:rFonts w:ascii="Tw Cen MT" w:hAnsi="Tw Cen MT"/>
                <w:i/>
              </w:rPr>
            </w:pPr>
          </w:p>
        </w:tc>
        <w:tc>
          <w:tcPr>
            <w:tcW w:w="7640" w:type="dxa"/>
            <w:tcMar>
              <w:top w:w="14" w:type="dxa"/>
              <w:left w:w="72" w:type="dxa"/>
              <w:bottom w:w="14" w:type="dxa"/>
              <w:right w:w="72" w:type="dxa"/>
            </w:tcMar>
          </w:tcPr>
          <w:p w14:paraId="6626125E" w14:textId="74C11C06" w:rsidR="00602F4A" w:rsidRPr="00C46BE1" w:rsidRDefault="00602F4A" w:rsidP="00A01D1C">
            <w:pPr>
              <w:pStyle w:val="GLSBody"/>
              <w:spacing w:after="0"/>
              <w:rPr>
                <w:rFonts w:ascii="Tw Cen MT" w:hAnsi="Tw Cen MT"/>
                <w:sz w:val="22"/>
                <w:szCs w:val="22"/>
              </w:rPr>
            </w:pPr>
            <w:r w:rsidRPr="00C46BE1">
              <w:rPr>
                <w:rFonts w:ascii="Tw Cen MT" w:hAnsi="Tw Cen MT"/>
                <w:sz w:val="22"/>
                <w:szCs w:val="22"/>
              </w:rPr>
              <w:t xml:space="preserve">The </w:t>
            </w:r>
            <w:r w:rsidR="002A15F6" w:rsidRPr="00C46BE1">
              <w:rPr>
                <w:rFonts w:ascii="Tw Cen MT" w:hAnsi="Tw Cen MT"/>
                <w:sz w:val="22"/>
                <w:szCs w:val="22"/>
              </w:rPr>
              <w:t xml:space="preserve">18-Month Tool—Comparison </w:t>
            </w:r>
            <w:r w:rsidRPr="00C46BE1">
              <w:rPr>
                <w:rFonts w:ascii="Tw Cen MT" w:hAnsi="Tw Cen MT"/>
                <w:sz w:val="22"/>
                <w:szCs w:val="22"/>
              </w:rPr>
              <w:t xml:space="preserve">Study </w:t>
            </w:r>
            <w:r w:rsidR="002A15F6" w:rsidRPr="00C46BE1">
              <w:rPr>
                <w:rFonts w:ascii="Tw Cen MT" w:hAnsi="Tw Cen MT"/>
                <w:sz w:val="22"/>
                <w:szCs w:val="22"/>
              </w:rPr>
              <w:t>is the same as the 18-Month Tool but</w:t>
            </w:r>
            <w:r w:rsidRPr="00C46BE1">
              <w:rPr>
                <w:rFonts w:ascii="Tw Cen MT" w:hAnsi="Tw Cen MT"/>
                <w:sz w:val="22"/>
                <w:szCs w:val="22"/>
              </w:rPr>
              <w:t xml:space="preserve"> collects existing data on long-term outcomes on recidivism</w:t>
            </w:r>
            <w:r w:rsidR="00FD664E" w:rsidRPr="00C46BE1">
              <w:rPr>
                <w:rFonts w:ascii="Tw Cen MT" w:hAnsi="Tw Cen MT"/>
                <w:sz w:val="22"/>
                <w:szCs w:val="22"/>
              </w:rPr>
              <w:t xml:space="preserve"> for </w:t>
            </w:r>
            <w:r w:rsidR="002A15F6" w:rsidRPr="00C46BE1">
              <w:rPr>
                <w:rFonts w:ascii="Tw Cen MT" w:hAnsi="Tw Cen MT"/>
                <w:sz w:val="22"/>
                <w:szCs w:val="22"/>
              </w:rPr>
              <w:t>comparison cases</w:t>
            </w:r>
            <w:r w:rsidRPr="00C46BE1">
              <w:rPr>
                <w:rFonts w:ascii="Tw Cen MT" w:hAnsi="Tw Cen MT"/>
                <w:sz w:val="22"/>
                <w:szCs w:val="22"/>
              </w:rPr>
              <w:t xml:space="preserve">. Data include (1) </w:t>
            </w:r>
            <w:proofErr w:type="spellStart"/>
            <w:r w:rsidRPr="00C46BE1">
              <w:rPr>
                <w:rFonts w:ascii="Tw Cen MT" w:hAnsi="Tw Cen MT"/>
                <w:sz w:val="22"/>
                <w:szCs w:val="22"/>
              </w:rPr>
              <w:t>rearrest</w:t>
            </w:r>
            <w:proofErr w:type="spellEnd"/>
            <w:r w:rsidRPr="00C46BE1">
              <w:rPr>
                <w:rFonts w:ascii="Tw Cen MT" w:hAnsi="Tw Cen MT"/>
                <w:sz w:val="22"/>
                <w:szCs w:val="22"/>
              </w:rPr>
              <w:t xml:space="preserve"> dates (from NCIC database), (2) recommitment dates (from State departments of corrections and local/county jails and corrections), (3) revocation dates (from State and local corrections), and (4) risk assessment quantitative score. </w:t>
            </w:r>
            <w:r w:rsidR="00DA0769" w:rsidRPr="00C46BE1">
              <w:rPr>
                <w:rFonts w:ascii="Tw Cen MT" w:hAnsi="Tw Cen MT"/>
                <w:sz w:val="22"/>
                <w:szCs w:val="22"/>
              </w:rPr>
              <w:t>Court clerks from 2 comparison study courts</w:t>
            </w:r>
            <w:r w:rsidRPr="00C46BE1">
              <w:rPr>
                <w:rFonts w:ascii="Tw Cen MT" w:hAnsi="Tw Cen MT"/>
                <w:sz w:val="22"/>
                <w:szCs w:val="22"/>
              </w:rPr>
              <w:t xml:space="preserve"> will complete the tool at 18 months from the baseline period for</w:t>
            </w:r>
            <w:r w:rsidR="00DA0769" w:rsidRPr="00C46BE1">
              <w:rPr>
                <w:rFonts w:ascii="Tw Cen MT" w:hAnsi="Tw Cen MT"/>
                <w:sz w:val="22"/>
                <w:szCs w:val="22"/>
              </w:rPr>
              <w:t xml:space="preserve"> </w:t>
            </w:r>
            <w:r w:rsidR="002A15F6" w:rsidRPr="00C46BE1">
              <w:rPr>
                <w:rFonts w:ascii="Tw Cen MT" w:hAnsi="Tw Cen MT"/>
                <w:sz w:val="22"/>
                <w:szCs w:val="22"/>
              </w:rPr>
              <w:t>comparison cases</w:t>
            </w:r>
            <w:r w:rsidR="00DA0769" w:rsidRPr="00C46BE1">
              <w:rPr>
                <w:rFonts w:ascii="Tw Cen MT" w:hAnsi="Tw Cen MT"/>
                <w:sz w:val="22"/>
                <w:szCs w:val="22"/>
              </w:rPr>
              <w:t xml:space="preserve"> not enrolled in the BHTCC program</w:t>
            </w:r>
            <w:r w:rsidRPr="00C46BE1">
              <w:rPr>
                <w:rFonts w:ascii="Tw Cen MT" w:hAnsi="Tw Cen MT"/>
                <w:sz w:val="22"/>
                <w:szCs w:val="22"/>
              </w:rPr>
              <w:t xml:space="preserve">. Beginning in year 2, </w:t>
            </w:r>
            <w:r w:rsidR="00DA0769" w:rsidRPr="00C46BE1">
              <w:rPr>
                <w:rFonts w:ascii="Tw Cen MT" w:hAnsi="Tw Cen MT"/>
                <w:sz w:val="22"/>
                <w:szCs w:val="22"/>
              </w:rPr>
              <w:t>comparison study courts</w:t>
            </w:r>
            <w:r w:rsidRPr="00C46BE1">
              <w:rPr>
                <w:rFonts w:ascii="Tw Cen MT" w:hAnsi="Tw Cen MT"/>
                <w:sz w:val="22"/>
                <w:szCs w:val="22"/>
              </w:rPr>
              <w:t xml:space="preserve"> will upload all extracted data on a quarterly basis. In their final upload (last month of grant activity), </w:t>
            </w:r>
            <w:r w:rsidR="002A15F6" w:rsidRPr="00C46BE1">
              <w:rPr>
                <w:rFonts w:ascii="Tw Cen MT" w:hAnsi="Tw Cen MT"/>
                <w:sz w:val="22"/>
                <w:szCs w:val="22"/>
              </w:rPr>
              <w:t>court clerks</w:t>
            </w:r>
            <w:r w:rsidRPr="00C46BE1">
              <w:rPr>
                <w:rFonts w:ascii="Tw Cen MT" w:hAnsi="Tw Cen MT"/>
                <w:sz w:val="22"/>
                <w:szCs w:val="22"/>
              </w:rPr>
              <w:t xml:space="preserve"> </w:t>
            </w:r>
            <w:r w:rsidR="002A15F6" w:rsidRPr="00C46BE1">
              <w:rPr>
                <w:rFonts w:ascii="Tw Cen MT" w:hAnsi="Tw Cen MT"/>
                <w:sz w:val="22"/>
                <w:szCs w:val="22"/>
              </w:rPr>
              <w:t>submit</w:t>
            </w:r>
            <w:r w:rsidRPr="00C46BE1">
              <w:rPr>
                <w:rFonts w:ascii="Tw Cen MT" w:hAnsi="Tw Cen MT"/>
                <w:sz w:val="22"/>
                <w:szCs w:val="22"/>
              </w:rPr>
              <w:t xml:space="preserve"> data for all </w:t>
            </w:r>
            <w:r w:rsidR="002A15F6" w:rsidRPr="00C46BE1">
              <w:rPr>
                <w:rFonts w:ascii="Tw Cen MT" w:hAnsi="Tw Cen MT"/>
                <w:sz w:val="22"/>
                <w:szCs w:val="22"/>
              </w:rPr>
              <w:t>comparison cases</w:t>
            </w:r>
            <w:r w:rsidRPr="00C46BE1">
              <w:rPr>
                <w:rFonts w:ascii="Tw Cen MT" w:hAnsi="Tw Cen MT"/>
                <w:sz w:val="22"/>
                <w:szCs w:val="22"/>
              </w:rPr>
              <w:t xml:space="preserve"> not currently submitted. The 18-Month Tool</w:t>
            </w:r>
            <w:r w:rsidR="002A15F6" w:rsidRPr="00C46BE1">
              <w:rPr>
                <w:rFonts w:ascii="Tw Cen MT" w:hAnsi="Tw Cen MT"/>
                <w:sz w:val="22"/>
                <w:szCs w:val="22"/>
              </w:rPr>
              <w:t>—Comparison Study</w:t>
            </w:r>
            <w:r w:rsidRPr="00C46BE1">
              <w:rPr>
                <w:rFonts w:ascii="Tw Cen MT" w:hAnsi="Tw Cen MT"/>
                <w:sz w:val="22"/>
                <w:szCs w:val="22"/>
              </w:rPr>
              <w:t xml:space="preserve"> will be completed by </w:t>
            </w:r>
            <w:r w:rsidR="00DA0769" w:rsidRPr="00C46BE1">
              <w:rPr>
                <w:rFonts w:ascii="Tw Cen MT" w:hAnsi="Tw Cen MT"/>
                <w:sz w:val="22"/>
                <w:szCs w:val="22"/>
              </w:rPr>
              <w:t xml:space="preserve">court clerks </w:t>
            </w:r>
            <w:r w:rsidR="002A15F6" w:rsidRPr="00C46BE1">
              <w:rPr>
                <w:rFonts w:ascii="Tw Cen MT" w:hAnsi="Tw Cen MT"/>
                <w:sz w:val="22"/>
                <w:szCs w:val="22"/>
              </w:rPr>
              <w:t xml:space="preserve">for comparison cases </w:t>
            </w:r>
            <w:r w:rsidRPr="00C46BE1">
              <w:rPr>
                <w:rFonts w:ascii="Tw Cen MT" w:hAnsi="Tw Cen MT"/>
                <w:sz w:val="22"/>
                <w:szCs w:val="22"/>
              </w:rPr>
              <w:t xml:space="preserve">using existing sources and takes 10 minutes to complete. See </w:t>
            </w:r>
            <w:r w:rsidRPr="00C46BE1">
              <w:rPr>
                <w:rFonts w:ascii="Tw Cen MT" w:hAnsi="Tw Cen MT"/>
                <w:i/>
                <w:sz w:val="22"/>
                <w:szCs w:val="22"/>
              </w:rPr>
              <w:t xml:space="preserve">Attachment </w:t>
            </w:r>
            <w:r w:rsidR="00A01D1C">
              <w:rPr>
                <w:rFonts w:ascii="Tw Cen MT" w:hAnsi="Tw Cen MT"/>
                <w:i/>
                <w:sz w:val="22"/>
                <w:szCs w:val="22"/>
              </w:rPr>
              <w:t>J</w:t>
            </w:r>
            <w:r w:rsidRPr="00C46BE1">
              <w:rPr>
                <w:rFonts w:ascii="Tw Cen MT" w:hAnsi="Tw Cen MT"/>
                <w:i/>
                <w:sz w:val="22"/>
                <w:szCs w:val="22"/>
              </w:rPr>
              <w:t>.</w:t>
            </w:r>
          </w:p>
        </w:tc>
      </w:tr>
      <w:tr w:rsidR="00324931" w:rsidRPr="00C46BE1" w14:paraId="6A4149E0" w14:textId="77777777" w:rsidTr="008F5B9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1"/>
        </w:trPr>
        <w:tc>
          <w:tcPr>
            <w:tcW w:w="9340" w:type="dxa"/>
            <w:gridSpan w:val="2"/>
            <w:shd w:val="clear" w:color="auto" w:fill="D5DCE4" w:themeFill="text2" w:themeFillTint="33"/>
            <w:tcMar>
              <w:top w:w="14" w:type="dxa"/>
              <w:left w:w="72" w:type="dxa"/>
              <w:bottom w:w="14" w:type="dxa"/>
              <w:right w:w="72" w:type="dxa"/>
            </w:tcMar>
          </w:tcPr>
          <w:p w14:paraId="6AAF82FE" w14:textId="526D8A82" w:rsidR="00324931" w:rsidRPr="00C46BE1" w:rsidRDefault="00324931" w:rsidP="00290326">
            <w:pPr>
              <w:pStyle w:val="BHTCCTableText"/>
              <w:spacing w:before="0" w:after="0"/>
              <w:jc w:val="center"/>
              <w:rPr>
                <w:rFonts w:ascii="Tw Cen MT" w:hAnsi="Tw Cen MT"/>
              </w:rPr>
            </w:pPr>
            <w:r w:rsidRPr="00C46BE1">
              <w:rPr>
                <w:rFonts w:ascii="Tw Cen MT" w:hAnsi="Tw Cen MT"/>
              </w:rPr>
              <w:t xml:space="preserve">SE </w:t>
            </w:r>
            <w:r w:rsidR="00290326" w:rsidRPr="00C46BE1">
              <w:rPr>
                <w:rFonts w:ascii="Tw Cen MT" w:hAnsi="Tw Cen MT"/>
              </w:rPr>
              <w:t>System Change S</w:t>
            </w:r>
            <w:r w:rsidR="003F2553" w:rsidRPr="00C46BE1">
              <w:rPr>
                <w:rFonts w:ascii="Tw Cen MT" w:hAnsi="Tw Cen MT"/>
              </w:rPr>
              <w:t>ubs</w:t>
            </w:r>
            <w:r w:rsidR="00290326" w:rsidRPr="00C46BE1">
              <w:rPr>
                <w:rFonts w:ascii="Tw Cen MT" w:hAnsi="Tw Cen MT"/>
              </w:rPr>
              <w:t>tudy</w:t>
            </w:r>
          </w:p>
        </w:tc>
      </w:tr>
      <w:tr w:rsidR="00324931" w:rsidRPr="00C46BE1" w14:paraId="6BCE7E5C" w14:textId="77777777" w:rsidTr="00DA076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700" w:type="dxa"/>
            <w:tcMar>
              <w:top w:w="14" w:type="dxa"/>
              <w:left w:w="72" w:type="dxa"/>
              <w:bottom w:w="14" w:type="dxa"/>
              <w:right w:w="72" w:type="dxa"/>
            </w:tcMar>
          </w:tcPr>
          <w:p w14:paraId="65BBFD06" w14:textId="56837DC2" w:rsidR="00324931" w:rsidRPr="00C46BE1" w:rsidRDefault="00324931" w:rsidP="00D45F19">
            <w:pPr>
              <w:pStyle w:val="BHTCCTableText"/>
              <w:spacing w:before="0" w:after="0"/>
              <w:rPr>
                <w:rFonts w:ascii="Tw Cen MT" w:hAnsi="Tw Cen MT"/>
              </w:rPr>
            </w:pPr>
            <w:r w:rsidRPr="00C46BE1">
              <w:rPr>
                <w:rFonts w:ascii="Tw Cen MT" w:hAnsi="Tw Cen MT"/>
              </w:rPr>
              <w:t>Biannual Program Inventory–SE</w:t>
            </w:r>
            <w:r w:rsidR="00DA0769" w:rsidRPr="00C46BE1">
              <w:rPr>
                <w:rFonts w:ascii="Tw Cen MT" w:hAnsi="Tw Cen MT"/>
              </w:rPr>
              <w:t xml:space="preserve"> Version</w:t>
            </w:r>
          </w:p>
        </w:tc>
        <w:tc>
          <w:tcPr>
            <w:tcW w:w="7640" w:type="dxa"/>
            <w:tcMar>
              <w:top w:w="14" w:type="dxa"/>
              <w:left w:w="72" w:type="dxa"/>
              <w:bottom w:w="14" w:type="dxa"/>
              <w:right w:w="72" w:type="dxa"/>
            </w:tcMar>
          </w:tcPr>
          <w:p w14:paraId="77E6C989" w14:textId="18959F53" w:rsidR="00324931" w:rsidRPr="00C46BE1" w:rsidRDefault="00324931" w:rsidP="00A01D1C">
            <w:pPr>
              <w:pStyle w:val="BHTCCTableText"/>
              <w:spacing w:before="0" w:after="0"/>
              <w:jc w:val="both"/>
              <w:rPr>
                <w:rFonts w:ascii="Tw Cen MT" w:hAnsi="Tw Cen MT"/>
                <w:i/>
              </w:rPr>
            </w:pPr>
            <w:r w:rsidRPr="00C46BE1">
              <w:rPr>
                <w:rFonts w:ascii="Tw Cen MT" w:hAnsi="Tw Cen MT" w:cs="Times New Roman"/>
              </w:rPr>
              <w:t xml:space="preserve">The BPI–SE is a </w:t>
            </w:r>
            <w:r w:rsidR="00F1232C" w:rsidRPr="00C46BE1">
              <w:rPr>
                <w:rFonts w:ascii="Tw Cen MT" w:hAnsi="Tw Cen MT" w:cs="Times New Roman"/>
              </w:rPr>
              <w:t>w</w:t>
            </w:r>
            <w:r w:rsidRPr="00C46BE1">
              <w:rPr>
                <w:rFonts w:ascii="Tw Cen MT" w:hAnsi="Tw Cen MT" w:cs="Times New Roman"/>
              </w:rPr>
              <w:t xml:space="preserve">eb-based survey that captures the infrastructure development and direct services that are part of the SE programs. Data include the types of planning that SE grantees and local implementation sites are implementing and activities and infrastructure developed as part of the project. The BPI is administered twice yearly </w:t>
            </w:r>
            <w:r w:rsidR="00A74356" w:rsidRPr="00C46BE1">
              <w:rPr>
                <w:rFonts w:ascii="Tw Cen MT" w:hAnsi="Tw Cen MT" w:cs="Times New Roman"/>
              </w:rPr>
              <w:t>(</w:t>
            </w:r>
            <w:r w:rsidRPr="00C46BE1">
              <w:rPr>
                <w:rFonts w:ascii="Tw Cen MT" w:hAnsi="Tw Cen MT" w:cs="Times New Roman"/>
              </w:rPr>
              <w:t>April and October</w:t>
            </w:r>
            <w:r w:rsidR="00A74356" w:rsidRPr="00C46BE1">
              <w:rPr>
                <w:rFonts w:ascii="Tw Cen MT" w:hAnsi="Tw Cen MT" w:cs="Times New Roman"/>
              </w:rPr>
              <w:t>)</w:t>
            </w:r>
            <w:r w:rsidRPr="00C46BE1">
              <w:rPr>
                <w:rFonts w:ascii="Tw Cen MT" w:hAnsi="Tw Cen MT" w:cs="Times New Roman"/>
              </w:rPr>
              <w:t xml:space="preserve"> over </w:t>
            </w:r>
            <w:r w:rsidR="00A74356" w:rsidRPr="00C46BE1">
              <w:rPr>
                <w:rFonts w:ascii="Tw Cen MT" w:hAnsi="Tw Cen MT" w:cs="Times New Roman"/>
              </w:rPr>
              <w:t>the</w:t>
            </w:r>
            <w:r w:rsidRPr="00C46BE1">
              <w:rPr>
                <w:rFonts w:ascii="Tw Cen MT" w:hAnsi="Tw Cen MT" w:cs="Times New Roman"/>
              </w:rPr>
              <w:t xml:space="preserve"> grant period and takes </w:t>
            </w:r>
            <w:r w:rsidR="00C42B48" w:rsidRPr="00C46BE1">
              <w:rPr>
                <w:rFonts w:ascii="Tw Cen MT" w:hAnsi="Tw Cen MT" w:cs="Times New Roman"/>
              </w:rPr>
              <w:t>45</w:t>
            </w:r>
            <w:r w:rsidRPr="00C46BE1">
              <w:rPr>
                <w:rFonts w:ascii="Tw Cen MT" w:hAnsi="Tw Cen MT" w:cs="Times New Roman"/>
              </w:rPr>
              <w:t xml:space="preserve"> minutes to complete</w:t>
            </w:r>
            <w:r w:rsidR="00C42B48" w:rsidRPr="00C46BE1">
              <w:rPr>
                <w:rFonts w:ascii="Tw Cen MT" w:hAnsi="Tw Cen MT" w:cs="Times New Roman"/>
              </w:rPr>
              <w:t xml:space="preserve"> at each administration</w:t>
            </w:r>
            <w:r w:rsidRPr="00C46BE1">
              <w:rPr>
                <w:rFonts w:ascii="Tw Cen MT" w:hAnsi="Tw Cen MT" w:cs="Times New Roman"/>
              </w:rPr>
              <w:t>.</w:t>
            </w:r>
            <w:r w:rsidR="00775322" w:rsidRPr="00C46BE1">
              <w:rPr>
                <w:rFonts w:ascii="Tw Cen MT" w:hAnsi="Tw Cen MT" w:cs="Times New Roman"/>
              </w:rPr>
              <w:t xml:space="preserve"> See </w:t>
            </w:r>
            <w:r w:rsidR="00775322" w:rsidRPr="00C46BE1">
              <w:rPr>
                <w:rFonts w:ascii="Tw Cen MT" w:hAnsi="Tw Cen MT" w:cs="Times New Roman"/>
                <w:i/>
              </w:rPr>
              <w:t xml:space="preserve">Attachment </w:t>
            </w:r>
            <w:r w:rsidR="00A01D1C">
              <w:rPr>
                <w:rFonts w:ascii="Tw Cen MT" w:hAnsi="Tw Cen MT" w:cs="Times New Roman"/>
                <w:i/>
              </w:rPr>
              <w:t>K</w:t>
            </w:r>
            <w:r w:rsidR="00DE7FEF">
              <w:rPr>
                <w:rFonts w:ascii="Tw Cen MT" w:hAnsi="Tw Cen MT" w:cs="Times New Roman"/>
                <w:i/>
              </w:rPr>
              <w:t>.</w:t>
            </w:r>
          </w:p>
        </w:tc>
      </w:tr>
      <w:tr w:rsidR="00324931" w:rsidRPr="00C46BE1" w14:paraId="29754CDF" w14:textId="77777777" w:rsidTr="00DA076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6"/>
        </w:trPr>
        <w:tc>
          <w:tcPr>
            <w:tcW w:w="1700" w:type="dxa"/>
            <w:tcMar>
              <w:top w:w="14" w:type="dxa"/>
              <w:left w:w="72" w:type="dxa"/>
              <w:bottom w:w="14" w:type="dxa"/>
              <w:right w:w="72" w:type="dxa"/>
            </w:tcMar>
          </w:tcPr>
          <w:p w14:paraId="6BD27758" w14:textId="67E0EE46" w:rsidR="00324931" w:rsidRPr="00C46BE1" w:rsidRDefault="00324931" w:rsidP="003B635A">
            <w:pPr>
              <w:pStyle w:val="BHTCCTableText"/>
              <w:spacing w:before="0" w:after="0"/>
              <w:rPr>
                <w:rFonts w:ascii="Tw Cen MT" w:hAnsi="Tw Cen MT"/>
              </w:rPr>
            </w:pPr>
            <w:r w:rsidRPr="00C46BE1">
              <w:rPr>
                <w:rFonts w:ascii="Tw Cen MT" w:hAnsi="Tw Cen MT"/>
              </w:rPr>
              <w:t xml:space="preserve">Scalability/ Sustainability </w:t>
            </w:r>
            <w:r w:rsidR="00B70D76" w:rsidRPr="00C46BE1">
              <w:rPr>
                <w:rFonts w:ascii="Tw Cen MT" w:hAnsi="Tw Cen MT"/>
              </w:rPr>
              <w:t xml:space="preserve">Assessment </w:t>
            </w:r>
            <w:r w:rsidRPr="00C46BE1">
              <w:rPr>
                <w:rFonts w:ascii="Tw Cen MT" w:hAnsi="Tw Cen MT"/>
              </w:rPr>
              <w:t>KIIs</w:t>
            </w:r>
            <w:r w:rsidR="003B635A">
              <w:rPr>
                <w:rFonts w:ascii="Tw Cen MT" w:hAnsi="Tw Cen MT"/>
              </w:rPr>
              <w:t>–</w:t>
            </w:r>
            <w:r w:rsidR="00D45F19" w:rsidRPr="00C46BE1">
              <w:rPr>
                <w:rFonts w:ascii="Tw Cen MT" w:hAnsi="Tw Cen MT"/>
              </w:rPr>
              <w:t xml:space="preserve">Administrator </w:t>
            </w:r>
            <w:r w:rsidR="008743E2" w:rsidRPr="00C46BE1">
              <w:rPr>
                <w:rFonts w:ascii="Tw Cen MT" w:hAnsi="Tw Cen MT"/>
              </w:rPr>
              <w:t>&amp;</w:t>
            </w:r>
            <w:r w:rsidR="00D45F19" w:rsidRPr="00C46BE1">
              <w:rPr>
                <w:rFonts w:ascii="Tw Cen MT" w:hAnsi="Tw Cen MT"/>
              </w:rPr>
              <w:t xml:space="preserve"> Service Provider Versions</w:t>
            </w:r>
          </w:p>
        </w:tc>
        <w:tc>
          <w:tcPr>
            <w:tcW w:w="7640" w:type="dxa"/>
            <w:tcMar>
              <w:top w:w="14" w:type="dxa"/>
              <w:left w:w="72" w:type="dxa"/>
              <w:bottom w:w="14" w:type="dxa"/>
              <w:right w:w="72" w:type="dxa"/>
            </w:tcMar>
          </w:tcPr>
          <w:p w14:paraId="7222E206" w14:textId="77777777" w:rsidR="003B635A" w:rsidRDefault="00324931" w:rsidP="003B635A">
            <w:pPr>
              <w:pStyle w:val="BHTCCBody"/>
              <w:spacing w:after="120"/>
              <w:rPr>
                <w:rFonts w:ascii="Tw Cen MT" w:hAnsi="Tw Cen MT"/>
                <w:sz w:val="22"/>
              </w:rPr>
            </w:pPr>
            <w:r w:rsidRPr="00C46BE1">
              <w:rPr>
                <w:rFonts w:ascii="Tw Cen MT" w:hAnsi="Tw Cen MT"/>
                <w:sz w:val="22"/>
              </w:rPr>
              <w:t>The</w:t>
            </w:r>
            <w:r w:rsidRPr="00C46BE1">
              <w:rPr>
                <w:rFonts w:ascii="Tw Cen MT" w:hAnsi="Tw Cen MT"/>
                <w:b/>
                <w:sz w:val="22"/>
              </w:rPr>
              <w:t xml:space="preserve"> </w:t>
            </w:r>
            <w:r w:rsidRPr="00C46BE1">
              <w:rPr>
                <w:rFonts w:ascii="Tw Cen MT" w:hAnsi="Tw Cen MT"/>
                <w:sz w:val="22"/>
              </w:rPr>
              <w:t>SSA</w:t>
            </w:r>
            <w:r w:rsidRPr="00C46BE1">
              <w:rPr>
                <w:rFonts w:ascii="Tw Cen MT" w:hAnsi="Tw Cen MT"/>
                <w:b/>
                <w:sz w:val="22"/>
              </w:rPr>
              <w:t xml:space="preserve"> </w:t>
            </w:r>
            <w:r w:rsidRPr="00C46BE1">
              <w:rPr>
                <w:rFonts w:ascii="Tw Cen MT" w:hAnsi="Tw Cen MT"/>
                <w:sz w:val="22"/>
              </w:rPr>
              <w:t xml:space="preserve">KIIs will be conducted with various stakeholders to </w:t>
            </w:r>
            <w:r w:rsidR="00B425CD" w:rsidRPr="00C46BE1">
              <w:rPr>
                <w:rFonts w:ascii="Tw Cen MT" w:hAnsi="Tw Cen MT"/>
                <w:sz w:val="22"/>
              </w:rPr>
              <w:t>assess</w:t>
            </w:r>
            <w:r w:rsidRPr="00C46BE1">
              <w:rPr>
                <w:rFonts w:ascii="Tw Cen MT" w:hAnsi="Tw Cen MT"/>
                <w:sz w:val="22"/>
              </w:rPr>
              <w:t xml:space="preserve"> local SE program resources, infrastructure, outcomes, sustainability, and scalability from stakeholders. Data include </w:t>
            </w:r>
            <w:r w:rsidR="00EC13BE" w:rsidRPr="00C46BE1">
              <w:rPr>
                <w:rFonts w:ascii="Tw Cen MT" w:hAnsi="Tw Cen MT"/>
                <w:sz w:val="22"/>
              </w:rPr>
              <w:t xml:space="preserve">changes in outcomes, workforce development, </w:t>
            </w:r>
            <w:r w:rsidR="0048328C" w:rsidRPr="00C46BE1">
              <w:rPr>
                <w:rFonts w:ascii="Tw Cen MT" w:hAnsi="Tw Cen MT"/>
                <w:sz w:val="22"/>
              </w:rPr>
              <w:t>State-level collaboration, partnerships and policies, and scalability and sustainability.</w:t>
            </w:r>
            <w:r w:rsidRPr="00C46BE1">
              <w:rPr>
                <w:rFonts w:ascii="Tw Cen MT" w:hAnsi="Tw Cen MT"/>
                <w:sz w:val="22"/>
              </w:rPr>
              <w:t xml:space="preserve"> </w:t>
            </w:r>
          </w:p>
          <w:p w14:paraId="70A45B23" w14:textId="3F45E2F0" w:rsidR="003B635A" w:rsidRDefault="00324931" w:rsidP="003B635A">
            <w:pPr>
              <w:pStyle w:val="BHTCCBody"/>
              <w:spacing w:after="120"/>
              <w:rPr>
                <w:rFonts w:ascii="Tw Cen MT" w:hAnsi="Tw Cen MT"/>
                <w:sz w:val="22"/>
              </w:rPr>
            </w:pPr>
            <w:r w:rsidRPr="00C46BE1">
              <w:rPr>
                <w:rFonts w:ascii="Tw Cen MT" w:hAnsi="Tw Cen MT"/>
                <w:sz w:val="22"/>
              </w:rPr>
              <w:t>There are two ver</w:t>
            </w:r>
            <w:r w:rsidR="00EC13BE" w:rsidRPr="00C46BE1">
              <w:rPr>
                <w:rFonts w:ascii="Tw Cen MT" w:hAnsi="Tw Cen MT"/>
                <w:sz w:val="22"/>
              </w:rPr>
              <w:t>sions of the SSA KIIs</w:t>
            </w:r>
            <w:r w:rsidRPr="00C46BE1">
              <w:rPr>
                <w:rFonts w:ascii="Tw Cen MT" w:hAnsi="Tw Cen MT"/>
                <w:sz w:val="22"/>
              </w:rPr>
              <w:t>—</w:t>
            </w:r>
            <w:r w:rsidR="00A657C8" w:rsidRPr="00C46BE1">
              <w:rPr>
                <w:rFonts w:ascii="Tw Cen MT" w:hAnsi="Tw Cen MT"/>
                <w:sz w:val="22"/>
              </w:rPr>
              <w:t xml:space="preserve">each </w:t>
            </w:r>
            <w:r w:rsidR="00EC13BE" w:rsidRPr="00C46BE1">
              <w:rPr>
                <w:rFonts w:ascii="Tw Cen MT" w:hAnsi="Tw Cen MT"/>
                <w:sz w:val="22"/>
              </w:rPr>
              <w:t xml:space="preserve">is </w:t>
            </w:r>
            <w:r w:rsidR="00A657C8" w:rsidRPr="00C46BE1">
              <w:rPr>
                <w:rFonts w:ascii="Tw Cen MT" w:hAnsi="Tw Cen MT"/>
                <w:sz w:val="22"/>
              </w:rPr>
              <w:t xml:space="preserve">tailored to </w:t>
            </w:r>
            <w:r w:rsidR="00EC13BE" w:rsidRPr="00C46BE1">
              <w:rPr>
                <w:rFonts w:ascii="Tw Cen MT" w:hAnsi="Tw Cen MT"/>
                <w:sz w:val="22"/>
              </w:rPr>
              <w:t>the intended</w:t>
            </w:r>
            <w:r w:rsidR="00A657C8" w:rsidRPr="00C46BE1">
              <w:rPr>
                <w:rFonts w:ascii="Tw Cen MT" w:hAnsi="Tw Cen MT"/>
                <w:sz w:val="22"/>
              </w:rPr>
              <w:t xml:space="preserve"> audience:</w:t>
            </w:r>
            <w:r w:rsidR="00EC13BE" w:rsidRPr="00C46BE1">
              <w:rPr>
                <w:rFonts w:ascii="Tw Cen MT" w:hAnsi="Tw Cen MT"/>
                <w:sz w:val="22"/>
              </w:rPr>
              <w:t xml:space="preserve"> </w:t>
            </w:r>
          </w:p>
          <w:p w14:paraId="60CA55CE" w14:textId="2BE3EFE6" w:rsidR="003B635A" w:rsidRDefault="003B635A" w:rsidP="003B635A">
            <w:pPr>
              <w:pStyle w:val="BHTCCBody"/>
              <w:numPr>
                <w:ilvl w:val="0"/>
                <w:numId w:val="48"/>
              </w:numPr>
              <w:spacing w:after="0"/>
              <w:rPr>
                <w:rFonts w:ascii="Tw Cen MT" w:hAnsi="Tw Cen MT"/>
                <w:sz w:val="22"/>
              </w:rPr>
            </w:pPr>
            <w:r>
              <w:rPr>
                <w:rFonts w:ascii="Tw Cen MT" w:hAnsi="Tw Cen MT"/>
                <w:sz w:val="22"/>
              </w:rPr>
              <w:t>A</w:t>
            </w:r>
            <w:r w:rsidR="00A657C8" w:rsidRPr="00C46BE1">
              <w:rPr>
                <w:rFonts w:ascii="Tw Cen MT" w:hAnsi="Tw Cen MT"/>
                <w:sz w:val="22"/>
              </w:rPr>
              <w:t>dministrator</w:t>
            </w:r>
            <w:r w:rsidR="00EC13BE" w:rsidRPr="00C46BE1">
              <w:rPr>
                <w:rFonts w:ascii="Tw Cen MT" w:hAnsi="Tw Cen MT"/>
                <w:sz w:val="22"/>
              </w:rPr>
              <w:t xml:space="preserve"> (</w:t>
            </w:r>
            <w:r w:rsidR="00A657C8" w:rsidRPr="00C46BE1">
              <w:rPr>
                <w:rFonts w:ascii="Tw Cen MT" w:hAnsi="Tw Cen MT"/>
                <w:sz w:val="22"/>
              </w:rPr>
              <w:t xml:space="preserve">project </w:t>
            </w:r>
            <w:r w:rsidR="00EC13BE" w:rsidRPr="00C46BE1">
              <w:rPr>
                <w:rFonts w:ascii="Tw Cen MT" w:hAnsi="Tw Cen MT"/>
                <w:sz w:val="22"/>
              </w:rPr>
              <w:t xml:space="preserve">directors, agency directors, </w:t>
            </w:r>
            <w:r w:rsidR="00A657C8" w:rsidRPr="00C46BE1">
              <w:rPr>
                <w:rFonts w:ascii="Tw Cen MT" w:hAnsi="Tw Cen MT"/>
                <w:sz w:val="22"/>
              </w:rPr>
              <w:t>SECC members</w:t>
            </w:r>
            <w:r w:rsidR="00EC13BE" w:rsidRPr="00C46BE1">
              <w:rPr>
                <w:rFonts w:ascii="Tw Cen MT" w:hAnsi="Tw Cen MT"/>
                <w:sz w:val="22"/>
              </w:rPr>
              <w:t xml:space="preserve">) </w:t>
            </w:r>
            <w:r>
              <w:rPr>
                <w:rFonts w:ascii="Tw Cen MT" w:hAnsi="Tw Cen MT"/>
                <w:sz w:val="22"/>
              </w:rPr>
              <w:t xml:space="preserve"> </w:t>
            </w:r>
            <w:r w:rsidR="00EC13BE" w:rsidRPr="00C46BE1">
              <w:rPr>
                <w:rFonts w:ascii="Tw Cen MT" w:hAnsi="Tw Cen MT"/>
                <w:sz w:val="22"/>
              </w:rPr>
              <w:t xml:space="preserve"> </w:t>
            </w:r>
          </w:p>
          <w:p w14:paraId="4F3430AD" w14:textId="6AF4C855" w:rsidR="003B635A" w:rsidRDefault="003B635A" w:rsidP="003B635A">
            <w:pPr>
              <w:pStyle w:val="BHTCCBody"/>
              <w:numPr>
                <w:ilvl w:val="0"/>
                <w:numId w:val="48"/>
              </w:numPr>
              <w:spacing w:after="120"/>
              <w:rPr>
                <w:rFonts w:ascii="Tw Cen MT" w:hAnsi="Tw Cen MT"/>
                <w:sz w:val="22"/>
              </w:rPr>
            </w:pPr>
            <w:r>
              <w:rPr>
                <w:rFonts w:ascii="Tw Cen MT" w:hAnsi="Tw Cen MT"/>
                <w:sz w:val="22"/>
              </w:rPr>
              <w:t>S</w:t>
            </w:r>
            <w:r w:rsidR="00C42B48" w:rsidRPr="00C46BE1">
              <w:rPr>
                <w:rFonts w:ascii="Tw Cen MT" w:hAnsi="Tw Cen MT"/>
                <w:sz w:val="22"/>
              </w:rPr>
              <w:t>ervice</w:t>
            </w:r>
            <w:r w:rsidR="00324931" w:rsidRPr="00C46BE1">
              <w:rPr>
                <w:rFonts w:ascii="Tw Cen MT" w:hAnsi="Tw Cen MT"/>
                <w:sz w:val="22"/>
              </w:rPr>
              <w:t xml:space="preserve"> provider</w:t>
            </w:r>
            <w:r w:rsidR="002B0634" w:rsidRPr="00C46BE1">
              <w:rPr>
                <w:rFonts w:ascii="Tw Cen MT" w:hAnsi="Tw Cen MT"/>
                <w:sz w:val="22"/>
              </w:rPr>
              <w:t xml:space="preserve"> (local service provider</w:t>
            </w:r>
            <w:r>
              <w:rPr>
                <w:rFonts w:ascii="Tw Cen MT" w:hAnsi="Tw Cen MT"/>
                <w:sz w:val="22"/>
              </w:rPr>
              <w:t xml:space="preserve"> from implementation site</w:t>
            </w:r>
            <w:r w:rsidR="002B0634" w:rsidRPr="00C46BE1">
              <w:rPr>
                <w:rFonts w:ascii="Tw Cen MT" w:hAnsi="Tw Cen MT"/>
                <w:sz w:val="22"/>
              </w:rPr>
              <w:t>)</w:t>
            </w:r>
            <w:r>
              <w:rPr>
                <w:rFonts w:ascii="Tw Cen MT" w:hAnsi="Tw Cen MT"/>
                <w:sz w:val="22"/>
              </w:rPr>
              <w:t xml:space="preserve"> </w:t>
            </w:r>
          </w:p>
          <w:p w14:paraId="043968C7" w14:textId="04461F55" w:rsidR="00324931" w:rsidRPr="00C46BE1" w:rsidRDefault="00324931" w:rsidP="00A01D1C">
            <w:pPr>
              <w:pStyle w:val="BHTCCBody"/>
              <w:spacing w:after="0"/>
              <w:rPr>
                <w:rFonts w:ascii="Tw Cen MT" w:hAnsi="Tw Cen MT"/>
                <w:i/>
                <w:sz w:val="22"/>
              </w:rPr>
            </w:pPr>
            <w:r w:rsidRPr="00C46BE1">
              <w:rPr>
                <w:rFonts w:ascii="Tw Cen MT" w:hAnsi="Tw Cen MT"/>
                <w:sz w:val="22"/>
              </w:rPr>
              <w:t xml:space="preserve">The SSA KIIs will be conducted remotely by telephone and/or Skype technology in years 2 and 4 of </w:t>
            </w:r>
            <w:r w:rsidR="002B0634" w:rsidRPr="00C46BE1">
              <w:rPr>
                <w:rFonts w:ascii="Tw Cen MT" w:hAnsi="Tw Cen MT"/>
                <w:sz w:val="22"/>
              </w:rPr>
              <w:t>the evaluation</w:t>
            </w:r>
            <w:r w:rsidR="0096721A" w:rsidRPr="00C46BE1">
              <w:rPr>
                <w:rFonts w:ascii="Tw Cen MT" w:hAnsi="Tw Cen MT"/>
                <w:sz w:val="22"/>
              </w:rPr>
              <w:t xml:space="preserve"> and take 60 minute to complete</w:t>
            </w:r>
            <w:r w:rsidR="00690A8B" w:rsidRPr="00C46BE1">
              <w:rPr>
                <w:rFonts w:ascii="Tw Cen MT" w:hAnsi="Tw Cen MT"/>
                <w:sz w:val="22"/>
              </w:rPr>
              <w:t>. The KIIs cover the same information across years; however, Year 4 KIIs will follow up on how the infrastructure and activities taking place in Year 2 come to fruition.</w:t>
            </w:r>
            <w:r w:rsidR="0096721A" w:rsidRPr="00C46BE1">
              <w:rPr>
                <w:rFonts w:ascii="Tw Cen MT" w:hAnsi="Tw Cen MT"/>
                <w:sz w:val="22"/>
              </w:rPr>
              <w:t xml:space="preserve"> </w:t>
            </w:r>
            <w:r w:rsidR="00775322" w:rsidRPr="00C46BE1">
              <w:rPr>
                <w:rFonts w:ascii="Tw Cen MT" w:hAnsi="Tw Cen MT"/>
                <w:sz w:val="22"/>
              </w:rPr>
              <w:t xml:space="preserve">See </w:t>
            </w:r>
            <w:r w:rsidR="00C43735" w:rsidRPr="00C46BE1">
              <w:rPr>
                <w:rFonts w:ascii="Tw Cen MT" w:hAnsi="Tw Cen MT"/>
                <w:i/>
                <w:sz w:val="22"/>
              </w:rPr>
              <w:t xml:space="preserve">Attachments </w:t>
            </w:r>
            <w:r w:rsidR="00A01D1C">
              <w:rPr>
                <w:rFonts w:ascii="Tw Cen MT" w:hAnsi="Tw Cen MT"/>
                <w:i/>
                <w:sz w:val="22"/>
              </w:rPr>
              <w:t xml:space="preserve">L </w:t>
            </w:r>
            <w:r w:rsidR="00C43735" w:rsidRPr="00C46BE1">
              <w:rPr>
                <w:rFonts w:ascii="Tw Cen MT" w:hAnsi="Tw Cen MT"/>
                <w:i/>
                <w:sz w:val="22"/>
              </w:rPr>
              <w:t>(</w:t>
            </w:r>
            <w:r w:rsidR="003B635A">
              <w:rPr>
                <w:rFonts w:ascii="Tw Cen MT" w:hAnsi="Tw Cen MT"/>
                <w:i/>
                <w:sz w:val="22"/>
              </w:rPr>
              <w:t xml:space="preserve">SSA KII </w:t>
            </w:r>
            <w:r w:rsidR="00C43735" w:rsidRPr="00C46BE1">
              <w:rPr>
                <w:rFonts w:ascii="Tw Cen MT" w:hAnsi="Tw Cen MT"/>
                <w:i/>
                <w:sz w:val="22"/>
              </w:rPr>
              <w:t>Administrator</w:t>
            </w:r>
            <w:r w:rsidR="003B635A">
              <w:rPr>
                <w:rFonts w:ascii="Tw Cen MT" w:hAnsi="Tw Cen MT"/>
                <w:i/>
                <w:sz w:val="22"/>
              </w:rPr>
              <w:t xml:space="preserve"> Y2</w:t>
            </w:r>
            <w:r w:rsidR="00DB53B6">
              <w:rPr>
                <w:rFonts w:ascii="Tw Cen MT" w:hAnsi="Tw Cen MT"/>
                <w:i/>
                <w:sz w:val="22"/>
              </w:rPr>
              <w:t xml:space="preserve"> and </w:t>
            </w:r>
            <w:r w:rsidR="003B635A">
              <w:rPr>
                <w:rFonts w:ascii="Tw Cen MT" w:hAnsi="Tw Cen MT"/>
                <w:i/>
                <w:sz w:val="22"/>
              </w:rPr>
              <w:t>4</w:t>
            </w:r>
            <w:r w:rsidR="00C43735" w:rsidRPr="00C46BE1">
              <w:rPr>
                <w:rFonts w:ascii="Tw Cen MT" w:hAnsi="Tw Cen MT"/>
                <w:i/>
                <w:sz w:val="22"/>
              </w:rPr>
              <w:t>)</w:t>
            </w:r>
            <w:r w:rsidR="003B635A">
              <w:rPr>
                <w:rFonts w:ascii="Tw Cen MT" w:hAnsi="Tw Cen MT"/>
                <w:i/>
                <w:sz w:val="22"/>
              </w:rPr>
              <w:t xml:space="preserve">; </w:t>
            </w:r>
            <w:r w:rsidR="00A01D1C">
              <w:rPr>
                <w:rFonts w:ascii="Tw Cen MT" w:hAnsi="Tw Cen MT"/>
                <w:i/>
                <w:sz w:val="22"/>
              </w:rPr>
              <w:t>M</w:t>
            </w:r>
            <w:r w:rsidR="00775322" w:rsidRPr="00C46BE1">
              <w:rPr>
                <w:rFonts w:ascii="Tw Cen MT" w:hAnsi="Tw Cen MT"/>
                <w:i/>
                <w:sz w:val="22"/>
              </w:rPr>
              <w:t xml:space="preserve"> (</w:t>
            </w:r>
            <w:r w:rsidR="003B635A">
              <w:rPr>
                <w:rFonts w:ascii="Tw Cen MT" w:hAnsi="Tw Cen MT"/>
                <w:i/>
                <w:sz w:val="22"/>
              </w:rPr>
              <w:t xml:space="preserve">SSA KII </w:t>
            </w:r>
            <w:r w:rsidR="00775322" w:rsidRPr="00C46BE1">
              <w:rPr>
                <w:rFonts w:ascii="Tw Cen MT" w:hAnsi="Tw Cen MT"/>
                <w:i/>
                <w:sz w:val="22"/>
              </w:rPr>
              <w:t>Service Provider</w:t>
            </w:r>
            <w:r w:rsidR="003B635A">
              <w:rPr>
                <w:rFonts w:ascii="Tw Cen MT" w:hAnsi="Tw Cen MT"/>
                <w:i/>
                <w:sz w:val="22"/>
              </w:rPr>
              <w:t xml:space="preserve"> Y2</w:t>
            </w:r>
            <w:r w:rsidR="00DB53B6">
              <w:rPr>
                <w:rFonts w:ascii="Tw Cen MT" w:hAnsi="Tw Cen MT"/>
                <w:i/>
                <w:sz w:val="22"/>
              </w:rPr>
              <w:t xml:space="preserve"> and </w:t>
            </w:r>
            <w:r w:rsidR="003B635A">
              <w:rPr>
                <w:rFonts w:ascii="Tw Cen MT" w:hAnsi="Tw Cen MT"/>
                <w:i/>
                <w:sz w:val="22"/>
              </w:rPr>
              <w:t>4</w:t>
            </w:r>
            <w:r w:rsidR="00775322" w:rsidRPr="00C46BE1">
              <w:rPr>
                <w:rFonts w:ascii="Tw Cen MT" w:hAnsi="Tw Cen MT"/>
                <w:i/>
                <w:sz w:val="22"/>
              </w:rPr>
              <w:t>)</w:t>
            </w:r>
            <w:r w:rsidR="003B635A">
              <w:rPr>
                <w:rFonts w:ascii="Tw Cen MT" w:hAnsi="Tw Cen MT"/>
                <w:i/>
                <w:sz w:val="22"/>
              </w:rPr>
              <w:t xml:space="preserve">; and </w:t>
            </w:r>
            <w:r w:rsidR="00A01D1C">
              <w:rPr>
                <w:rFonts w:ascii="Tw Cen MT" w:hAnsi="Tw Cen MT"/>
                <w:i/>
                <w:sz w:val="22"/>
              </w:rPr>
              <w:t>Q</w:t>
            </w:r>
            <w:r w:rsidR="003B635A">
              <w:rPr>
                <w:rFonts w:ascii="Tw Cen MT" w:hAnsi="Tw Cen MT"/>
                <w:i/>
                <w:sz w:val="22"/>
              </w:rPr>
              <w:t xml:space="preserve"> (SSA KII Verbal Consent Script).</w:t>
            </w:r>
          </w:p>
        </w:tc>
      </w:tr>
      <w:tr w:rsidR="00324931" w:rsidRPr="00C46BE1" w14:paraId="7804E603" w14:textId="77777777" w:rsidTr="00DA076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6"/>
        </w:trPr>
        <w:tc>
          <w:tcPr>
            <w:tcW w:w="1700" w:type="dxa"/>
            <w:tcMar>
              <w:top w:w="14" w:type="dxa"/>
              <w:left w:w="72" w:type="dxa"/>
              <w:bottom w:w="14" w:type="dxa"/>
              <w:right w:w="72" w:type="dxa"/>
            </w:tcMar>
          </w:tcPr>
          <w:p w14:paraId="1412D1CB" w14:textId="7BBE81B9" w:rsidR="00324931" w:rsidRPr="00C46BE1" w:rsidRDefault="00324931" w:rsidP="00DA0769">
            <w:pPr>
              <w:pStyle w:val="BHTCCTableText"/>
              <w:spacing w:before="0" w:after="0"/>
              <w:rPr>
                <w:rFonts w:ascii="Tw Cen MT" w:hAnsi="Tw Cen MT"/>
              </w:rPr>
            </w:pPr>
            <w:r w:rsidRPr="00C46BE1">
              <w:rPr>
                <w:rFonts w:ascii="Tw Cen MT" w:hAnsi="Tw Cen MT"/>
              </w:rPr>
              <w:t>Employment Needs FGs</w:t>
            </w:r>
            <w:r w:rsidR="00DA0769" w:rsidRPr="00C46BE1">
              <w:rPr>
                <w:rFonts w:ascii="Tw Cen MT" w:hAnsi="Tw Cen MT"/>
              </w:rPr>
              <w:t>—Employer and Employment Specialist Versions</w:t>
            </w:r>
          </w:p>
        </w:tc>
        <w:tc>
          <w:tcPr>
            <w:tcW w:w="7640" w:type="dxa"/>
            <w:tcMar>
              <w:top w:w="14" w:type="dxa"/>
              <w:left w:w="72" w:type="dxa"/>
              <w:bottom w:w="14" w:type="dxa"/>
              <w:right w:w="72" w:type="dxa"/>
            </w:tcMar>
          </w:tcPr>
          <w:p w14:paraId="18495581" w14:textId="5845F4B9" w:rsidR="0048328C" w:rsidRPr="00C46BE1" w:rsidRDefault="00324931" w:rsidP="0048328C">
            <w:pPr>
              <w:pStyle w:val="BHTCCTableText"/>
              <w:spacing w:before="0" w:after="120"/>
              <w:jc w:val="both"/>
              <w:rPr>
                <w:rFonts w:ascii="Tw Cen MT" w:hAnsi="Tw Cen MT" w:cs="Times New Roman"/>
              </w:rPr>
            </w:pPr>
            <w:r w:rsidRPr="00C46BE1">
              <w:rPr>
                <w:rFonts w:ascii="Tw Cen MT" w:hAnsi="Tw Cen MT" w:cs="Times New Roman"/>
              </w:rPr>
              <w:t xml:space="preserve">The </w:t>
            </w:r>
            <w:r w:rsidR="00DA0769" w:rsidRPr="00C46BE1">
              <w:rPr>
                <w:rFonts w:ascii="Tw Cen MT" w:hAnsi="Tw Cen MT" w:cs="Times New Roman"/>
              </w:rPr>
              <w:t>ENFGs</w:t>
            </w:r>
            <w:r w:rsidRPr="00C46BE1">
              <w:rPr>
                <w:rFonts w:ascii="Tw Cen MT" w:hAnsi="Tw Cen MT" w:cs="Times New Roman"/>
              </w:rPr>
              <w:t xml:space="preserve"> will be conducted to gather information about the needs and experiences of employment specialists, consumers, and employers as they relate to IPS principles and program goals. Data include local program implementation, the adoption of policies and practices for sustainability and scalability, and recommendations for program improvement and implementation best practices. ENFG</w:t>
            </w:r>
            <w:r w:rsidR="00EC13BE" w:rsidRPr="00C46BE1">
              <w:rPr>
                <w:rFonts w:ascii="Tw Cen MT" w:hAnsi="Tw Cen MT" w:cs="Times New Roman"/>
              </w:rPr>
              <w:t>s will be conducted with employment specialists and employers</w:t>
            </w:r>
            <w:r w:rsidR="0048328C" w:rsidRPr="00C46BE1">
              <w:rPr>
                <w:rFonts w:ascii="Tw Cen MT" w:hAnsi="Tw Cen MT" w:cs="Times New Roman"/>
              </w:rPr>
              <w:t xml:space="preserve"> (</w:t>
            </w:r>
            <w:r w:rsidR="00EC13BE" w:rsidRPr="00C46BE1">
              <w:rPr>
                <w:rFonts w:ascii="Tw Cen MT" w:hAnsi="Tw Cen MT" w:cs="Times New Roman"/>
              </w:rPr>
              <w:t>who have</w:t>
            </w:r>
            <w:r w:rsidR="0048328C" w:rsidRPr="00C46BE1">
              <w:rPr>
                <w:rFonts w:ascii="Tw Cen MT" w:hAnsi="Tw Cen MT" w:cs="Times New Roman"/>
              </w:rPr>
              <w:t xml:space="preserve"> and </w:t>
            </w:r>
            <w:r w:rsidR="00EC13BE" w:rsidRPr="00C46BE1">
              <w:rPr>
                <w:rFonts w:ascii="Tw Cen MT" w:hAnsi="Tw Cen MT" w:cs="Times New Roman"/>
              </w:rPr>
              <w:t>have not participated in the program</w:t>
            </w:r>
            <w:r w:rsidR="0048328C" w:rsidRPr="00C46BE1">
              <w:rPr>
                <w:rFonts w:ascii="Tw Cen MT" w:hAnsi="Tw Cen MT" w:cs="Times New Roman"/>
              </w:rPr>
              <w:t>)</w:t>
            </w:r>
            <w:r w:rsidR="00EC13BE" w:rsidRPr="00C46BE1">
              <w:rPr>
                <w:rFonts w:ascii="Tw Cen MT" w:hAnsi="Tw Cen MT" w:cs="Times New Roman"/>
              </w:rPr>
              <w:t xml:space="preserve">. </w:t>
            </w:r>
            <w:r w:rsidR="0048328C" w:rsidRPr="00C46BE1">
              <w:rPr>
                <w:rFonts w:ascii="Tw Cen MT" w:hAnsi="Tw Cen MT" w:cs="Times New Roman"/>
              </w:rPr>
              <w:t>Specific t</w:t>
            </w:r>
            <w:r w:rsidR="00EC13BE" w:rsidRPr="00C46BE1">
              <w:rPr>
                <w:rFonts w:ascii="Tw Cen MT" w:hAnsi="Tw Cen MT" w:cs="Times New Roman"/>
              </w:rPr>
              <w:t xml:space="preserve">opics are tailored to </w:t>
            </w:r>
            <w:r w:rsidR="00E76677" w:rsidRPr="00C46BE1">
              <w:rPr>
                <w:rFonts w:ascii="Tw Cen MT" w:hAnsi="Tw Cen MT" w:cs="Times New Roman"/>
              </w:rPr>
              <w:t>respondent type</w:t>
            </w:r>
            <w:r w:rsidR="0048328C" w:rsidRPr="00C46BE1">
              <w:rPr>
                <w:rFonts w:ascii="Tw Cen MT" w:hAnsi="Tw Cen MT" w:cs="Times New Roman"/>
              </w:rPr>
              <w:t xml:space="preserve">. </w:t>
            </w:r>
          </w:p>
          <w:p w14:paraId="10CD34CA" w14:textId="77777777" w:rsidR="00E76677" w:rsidRPr="00C46BE1" w:rsidRDefault="0048328C" w:rsidP="00090868">
            <w:pPr>
              <w:pStyle w:val="BHTCCTableText"/>
              <w:numPr>
                <w:ilvl w:val="0"/>
                <w:numId w:val="24"/>
              </w:numPr>
              <w:spacing w:before="0" w:after="120"/>
              <w:jc w:val="both"/>
              <w:rPr>
                <w:rFonts w:ascii="Tw Cen MT" w:hAnsi="Tw Cen MT" w:cs="Times New Roman"/>
              </w:rPr>
            </w:pPr>
            <w:r w:rsidRPr="00C46BE1">
              <w:rPr>
                <w:rFonts w:ascii="Tw Cen MT" w:hAnsi="Tw Cen MT" w:cs="Times New Roman"/>
                <w:b/>
              </w:rPr>
              <w:t>E</w:t>
            </w:r>
            <w:r w:rsidR="00324931" w:rsidRPr="00C46BE1">
              <w:rPr>
                <w:rFonts w:ascii="Tw Cen MT" w:hAnsi="Tw Cen MT" w:cs="Times New Roman"/>
                <w:b/>
              </w:rPr>
              <w:t>mployment specialist</w:t>
            </w:r>
            <w:r w:rsidRPr="00C46BE1">
              <w:rPr>
                <w:rFonts w:ascii="Tw Cen MT" w:hAnsi="Tw Cen MT" w:cs="Times New Roman"/>
                <w:b/>
              </w:rPr>
              <w:t>s</w:t>
            </w:r>
            <w:r w:rsidRPr="00C46BE1">
              <w:rPr>
                <w:rFonts w:ascii="Tw Cen MT" w:hAnsi="Tw Cen MT" w:cs="Times New Roman"/>
              </w:rPr>
              <w:t xml:space="preserve"> will discuss </w:t>
            </w:r>
            <w:r w:rsidR="00A657C8" w:rsidRPr="00C46BE1">
              <w:rPr>
                <w:rFonts w:ascii="Tw Cen MT" w:hAnsi="Tw Cen MT" w:cs="Times New Roman"/>
              </w:rPr>
              <w:t>training</w:t>
            </w:r>
            <w:r w:rsidRPr="00C46BE1">
              <w:rPr>
                <w:rFonts w:ascii="Tw Cen MT" w:hAnsi="Tw Cen MT" w:cs="Times New Roman"/>
              </w:rPr>
              <w:t xml:space="preserve"> received and</w:t>
            </w:r>
            <w:r w:rsidR="00A657C8" w:rsidRPr="00C46BE1">
              <w:rPr>
                <w:rFonts w:ascii="Tw Cen MT" w:hAnsi="Tw Cen MT" w:cs="Times New Roman"/>
              </w:rPr>
              <w:t xml:space="preserve"> techniques </w:t>
            </w:r>
            <w:r w:rsidRPr="00C46BE1">
              <w:rPr>
                <w:rFonts w:ascii="Tw Cen MT" w:hAnsi="Tw Cen MT" w:cs="Times New Roman"/>
              </w:rPr>
              <w:t xml:space="preserve">used </w:t>
            </w:r>
            <w:r w:rsidR="00A657C8" w:rsidRPr="00C46BE1">
              <w:rPr>
                <w:rFonts w:ascii="Tw Cen MT" w:hAnsi="Tw Cen MT" w:cs="Times New Roman"/>
              </w:rPr>
              <w:t>to engage employers</w:t>
            </w:r>
            <w:r w:rsidRPr="00C46BE1">
              <w:rPr>
                <w:rFonts w:ascii="Tw Cen MT" w:hAnsi="Tw Cen MT" w:cs="Times New Roman"/>
              </w:rPr>
              <w:t>,</w:t>
            </w:r>
            <w:r w:rsidR="00A657C8" w:rsidRPr="00C46BE1">
              <w:rPr>
                <w:rFonts w:ascii="Tw Cen MT" w:hAnsi="Tw Cen MT" w:cs="Times New Roman"/>
              </w:rPr>
              <w:t xml:space="preserve"> </w:t>
            </w:r>
            <w:r w:rsidRPr="00C46BE1">
              <w:rPr>
                <w:rFonts w:ascii="Tw Cen MT" w:hAnsi="Tw Cen MT" w:cs="Times New Roman"/>
              </w:rPr>
              <w:t xml:space="preserve">the </w:t>
            </w:r>
            <w:r w:rsidR="00A657C8" w:rsidRPr="00C46BE1">
              <w:rPr>
                <w:rFonts w:ascii="Tw Cen MT" w:hAnsi="Tw Cen MT" w:cs="Times New Roman"/>
              </w:rPr>
              <w:t>needs and experiences of clients</w:t>
            </w:r>
            <w:r w:rsidR="00EC13BE" w:rsidRPr="00C46BE1">
              <w:rPr>
                <w:rFonts w:ascii="Tw Cen MT" w:hAnsi="Tw Cen MT" w:cs="Times New Roman"/>
              </w:rPr>
              <w:t xml:space="preserve"> and </w:t>
            </w:r>
            <w:r w:rsidR="00A657C8" w:rsidRPr="00C46BE1">
              <w:rPr>
                <w:rFonts w:ascii="Tw Cen MT" w:hAnsi="Tw Cen MT" w:cs="Times New Roman"/>
              </w:rPr>
              <w:t>employers</w:t>
            </w:r>
            <w:r w:rsidRPr="00C46BE1">
              <w:rPr>
                <w:rFonts w:ascii="Tw Cen MT" w:hAnsi="Tw Cen MT" w:cs="Times New Roman"/>
              </w:rPr>
              <w:t xml:space="preserve">, facilitators and barriers to program implementation, </w:t>
            </w:r>
            <w:r w:rsidR="00A657C8" w:rsidRPr="00C46BE1">
              <w:rPr>
                <w:rFonts w:ascii="Tw Cen MT" w:hAnsi="Tw Cen MT" w:cs="Times New Roman"/>
              </w:rPr>
              <w:t>and program scalability and sustainability</w:t>
            </w:r>
            <w:r w:rsidR="00E76677" w:rsidRPr="00C46BE1">
              <w:rPr>
                <w:rFonts w:ascii="Tw Cen MT" w:hAnsi="Tw Cen MT" w:cs="Times New Roman"/>
              </w:rPr>
              <w:t>.</w:t>
            </w:r>
            <w:r w:rsidR="00A657C8" w:rsidRPr="00C46BE1">
              <w:rPr>
                <w:rFonts w:ascii="Tw Cen MT" w:hAnsi="Tw Cen MT" w:cs="Times New Roman"/>
              </w:rPr>
              <w:t xml:space="preserve">  </w:t>
            </w:r>
          </w:p>
          <w:p w14:paraId="689B6642" w14:textId="2B6EEFD1" w:rsidR="00EC13BE" w:rsidRPr="00C46BE1" w:rsidRDefault="00A657C8" w:rsidP="00090868">
            <w:pPr>
              <w:pStyle w:val="BHTCCTableText"/>
              <w:numPr>
                <w:ilvl w:val="0"/>
                <w:numId w:val="24"/>
              </w:numPr>
              <w:spacing w:before="0" w:after="120"/>
              <w:jc w:val="both"/>
              <w:rPr>
                <w:rFonts w:ascii="Tw Cen MT" w:hAnsi="Tw Cen MT" w:cs="Times New Roman"/>
              </w:rPr>
            </w:pPr>
            <w:r w:rsidRPr="00C46BE1">
              <w:rPr>
                <w:rFonts w:ascii="Tw Cen MT" w:hAnsi="Tw Cen MT" w:cs="Times New Roman"/>
                <w:b/>
              </w:rPr>
              <w:t>E</w:t>
            </w:r>
            <w:r w:rsidR="00324931" w:rsidRPr="00C46BE1">
              <w:rPr>
                <w:rFonts w:ascii="Tw Cen MT" w:hAnsi="Tw Cen MT" w:cs="Times New Roman"/>
                <w:b/>
              </w:rPr>
              <w:t>mployer</w:t>
            </w:r>
            <w:r w:rsidR="0048328C" w:rsidRPr="00C46BE1">
              <w:rPr>
                <w:rFonts w:ascii="Tw Cen MT" w:hAnsi="Tw Cen MT" w:cs="Times New Roman"/>
                <w:b/>
              </w:rPr>
              <w:t>s</w:t>
            </w:r>
            <w:r w:rsidR="00E76677" w:rsidRPr="00C46BE1">
              <w:rPr>
                <w:rFonts w:ascii="Tw Cen MT" w:hAnsi="Tw Cen MT" w:cs="Times New Roman"/>
              </w:rPr>
              <w:t xml:space="preserve"> (e.g., hiring managers, supervisors)</w:t>
            </w:r>
            <w:r w:rsidR="0048328C" w:rsidRPr="00C46BE1">
              <w:rPr>
                <w:rFonts w:ascii="Tw Cen MT" w:hAnsi="Tw Cen MT" w:cs="Times New Roman"/>
              </w:rPr>
              <w:t xml:space="preserve"> will discuss </w:t>
            </w:r>
            <w:r w:rsidR="00EC13BE" w:rsidRPr="00C46BE1">
              <w:rPr>
                <w:rFonts w:ascii="Tw Cen MT" w:hAnsi="Tw Cen MT" w:cs="Times New Roman"/>
              </w:rPr>
              <w:t>experiences</w:t>
            </w:r>
            <w:r w:rsidR="00324931" w:rsidRPr="00C46BE1">
              <w:rPr>
                <w:rFonts w:ascii="Tw Cen MT" w:hAnsi="Tw Cen MT" w:cs="Times New Roman"/>
              </w:rPr>
              <w:t xml:space="preserve"> </w:t>
            </w:r>
            <w:r w:rsidR="0048328C" w:rsidRPr="00C46BE1">
              <w:rPr>
                <w:rFonts w:ascii="Tw Cen MT" w:hAnsi="Tw Cen MT" w:cs="Times New Roman"/>
              </w:rPr>
              <w:t xml:space="preserve">and satisfaction </w:t>
            </w:r>
            <w:r w:rsidR="00324931" w:rsidRPr="00C46BE1">
              <w:rPr>
                <w:rFonts w:ascii="Tw Cen MT" w:hAnsi="Tw Cen MT" w:cs="Times New Roman"/>
              </w:rPr>
              <w:t xml:space="preserve">with the </w:t>
            </w:r>
            <w:r w:rsidR="00EC13BE" w:rsidRPr="00C46BE1">
              <w:rPr>
                <w:rFonts w:ascii="Tw Cen MT" w:hAnsi="Tw Cen MT" w:cs="Times New Roman"/>
              </w:rPr>
              <w:t>program, factors</w:t>
            </w:r>
            <w:r w:rsidR="00324931" w:rsidRPr="00C46BE1">
              <w:rPr>
                <w:rFonts w:ascii="Tw Cen MT" w:hAnsi="Tw Cen MT" w:cs="Times New Roman"/>
              </w:rPr>
              <w:t xml:space="preserve"> that facilitate and pos</w:t>
            </w:r>
            <w:r w:rsidRPr="00C46BE1">
              <w:rPr>
                <w:rFonts w:ascii="Tw Cen MT" w:hAnsi="Tw Cen MT" w:cs="Times New Roman"/>
              </w:rPr>
              <w:t>e</w:t>
            </w:r>
            <w:r w:rsidR="00324931" w:rsidRPr="00C46BE1">
              <w:rPr>
                <w:rFonts w:ascii="Tw Cen MT" w:hAnsi="Tw Cen MT" w:cs="Times New Roman"/>
              </w:rPr>
              <w:t xml:space="preserve"> barriers to their participation</w:t>
            </w:r>
            <w:r w:rsidR="00EC13BE" w:rsidRPr="00C46BE1">
              <w:rPr>
                <w:rFonts w:ascii="Tw Cen MT" w:hAnsi="Tw Cen MT" w:cs="Times New Roman"/>
              </w:rPr>
              <w:t>, and program scalability and sustainability</w:t>
            </w:r>
            <w:r w:rsidR="0048328C" w:rsidRPr="00C46BE1">
              <w:rPr>
                <w:rFonts w:ascii="Tw Cen MT" w:hAnsi="Tw Cen MT" w:cs="Times New Roman"/>
              </w:rPr>
              <w:t>.</w:t>
            </w:r>
            <w:r w:rsidR="00324931" w:rsidRPr="00C46BE1">
              <w:rPr>
                <w:rFonts w:ascii="Tw Cen MT" w:hAnsi="Tw Cen MT" w:cs="Times New Roman"/>
              </w:rPr>
              <w:t xml:space="preserve"> </w:t>
            </w:r>
          </w:p>
          <w:p w14:paraId="310716DD" w14:textId="7CB4C654" w:rsidR="00324931" w:rsidRPr="00C46BE1" w:rsidRDefault="00324931" w:rsidP="00A01D1C">
            <w:pPr>
              <w:pStyle w:val="BHTCCTableText"/>
              <w:spacing w:before="0" w:after="0"/>
              <w:jc w:val="both"/>
              <w:rPr>
                <w:rFonts w:ascii="Tw Cen MT" w:hAnsi="Tw Cen MT"/>
                <w:i/>
              </w:rPr>
            </w:pPr>
            <w:r w:rsidRPr="00C46BE1">
              <w:rPr>
                <w:rFonts w:ascii="Tw Cen MT" w:hAnsi="Tw Cen MT" w:cs="Times New Roman"/>
              </w:rPr>
              <w:t xml:space="preserve">The ENFGs will be conducted virtually using </w:t>
            </w:r>
            <w:r w:rsidR="00154691" w:rsidRPr="00C46BE1">
              <w:rPr>
                <w:rFonts w:ascii="Tw Cen MT" w:hAnsi="Tw Cen MT" w:cs="Times New Roman"/>
              </w:rPr>
              <w:t xml:space="preserve">a </w:t>
            </w:r>
            <w:r w:rsidR="00DA0769" w:rsidRPr="00C46BE1">
              <w:rPr>
                <w:rFonts w:ascii="Tw Cen MT" w:hAnsi="Tw Cen MT" w:cs="Times New Roman"/>
              </w:rPr>
              <w:t>w</w:t>
            </w:r>
            <w:r w:rsidR="00154691" w:rsidRPr="00C46BE1">
              <w:rPr>
                <w:rFonts w:ascii="Tw Cen MT" w:hAnsi="Tw Cen MT" w:cs="Times New Roman"/>
              </w:rPr>
              <w:t>eb-based</w:t>
            </w:r>
            <w:r w:rsidRPr="00C46BE1">
              <w:rPr>
                <w:rFonts w:ascii="Tw Cen MT" w:hAnsi="Tw Cen MT" w:cs="Times New Roman"/>
              </w:rPr>
              <w:t xml:space="preserve"> platform</w:t>
            </w:r>
            <w:r w:rsidR="00154691" w:rsidRPr="00C46BE1">
              <w:rPr>
                <w:rFonts w:ascii="Tw Cen MT" w:hAnsi="Tw Cen MT" w:cs="Times New Roman"/>
              </w:rPr>
              <w:t xml:space="preserve"> (such as </w:t>
            </w:r>
            <w:proofErr w:type="spellStart"/>
            <w:r w:rsidR="00154691" w:rsidRPr="00C46BE1">
              <w:rPr>
                <w:rFonts w:ascii="Tw Cen MT" w:hAnsi="Tw Cen MT" w:cs="Times New Roman"/>
              </w:rPr>
              <w:t>JoinMe</w:t>
            </w:r>
            <w:proofErr w:type="spellEnd"/>
            <w:r w:rsidR="00154691" w:rsidRPr="00C46BE1">
              <w:rPr>
                <w:rFonts w:ascii="Tw Cen MT" w:hAnsi="Tw Cen MT" w:cs="Times New Roman"/>
              </w:rPr>
              <w:t>)</w:t>
            </w:r>
            <w:r w:rsidRPr="00C46BE1">
              <w:rPr>
                <w:rFonts w:ascii="Tw Cen MT" w:hAnsi="Tw Cen MT" w:cs="Times New Roman"/>
              </w:rPr>
              <w:t xml:space="preserve"> in years 2 and 4 of grant funding. The </w:t>
            </w:r>
            <w:r w:rsidR="00DA0769" w:rsidRPr="00C46BE1">
              <w:rPr>
                <w:rFonts w:ascii="Tw Cen MT" w:hAnsi="Tw Cen MT" w:cs="Times New Roman"/>
              </w:rPr>
              <w:t>EN</w:t>
            </w:r>
            <w:r w:rsidRPr="00C46BE1">
              <w:rPr>
                <w:rFonts w:ascii="Tw Cen MT" w:hAnsi="Tw Cen MT" w:cs="Times New Roman"/>
              </w:rPr>
              <w:t>FG</w:t>
            </w:r>
            <w:r w:rsidR="00DA0769" w:rsidRPr="00C46BE1">
              <w:rPr>
                <w:rFonts w:ascii="Tw Cen MT" w:hAnsi="Tw Cen MT" w:cs="Times New Roman"/>
              </w:rPr>
              <w:t>—Employment Specialist Version</w:t>
            </w:r>
            <w:r w:rsidRPr="00C46BE1">
              <w:rPr>
                <w:rFonts w:ascii="Tw Cen MT" w:hAnsi="Tw Cen MT" w:cs="Times New Roman"/>
              </w:rPr>
              <w:t xml:space="preserve"> will last 90 minutes and the </w:t>
            </w:r>
            <w:r w:rsidR="00DA0769" w:rsidRPr="00C46BE1">
              <w:rPr>
                <w:rFonts w:ascii="Tw Cen MT" w:hAnsi="Tw Cen MT" w:cs="Times New Roman"/>
              </w:rPr>
              <w:t>EN</w:t>
            </w:r>
            <w:r w:rsidRPr="00C46BE1">
              <w:rPr>
                <w:rFonts w:ascii="Tw Cen MT" w:hAnsi="Tw Cen MT" w:cs="Times New Roman"/>
              </w:rPr>
              <w:t>FG</w:t>
            </w:r>
            <w:r w:rsidR="00DA0769" w:rsidRPr="00C46BE1">
              <w:rPr>
                <w:rFonts w:ascii="Tw Cen MT" w:hAnsi="Tw Cen MT" w:cs="Times New Roman"/>
              </w:rPr>
              <w:t>—Employer Version</w:t>
            </w:r>
            <w:r w:rsidRPr="00C46BE1">
              <w:rPr>
                <w:rFonts w:ascii="Tw Cen MT" w:hAnsi="Tw Cen MT" w:cs="Times New Roman"/>
              </w:rPr>
              <w:t xml:space="preserve"> will take 60 minutes.</w:t>
            </w:r>
            <w:r w:rsidR="00BF0C30" w:rsidRPr="00C46BE1">
              <w:rPr>
                <w:rFonts w:ascii="Tw Cen MT" w:hAnsi="Tw Cen MT" w:cs="Times New Roman"/>
              </w:rPr>
              <w:t xml:space="preserve"> See </w:t>
            </w:r>
            <w:r w:rsidR="00BF0C30" w:rsidRPr="00C46BE1">
              <w:rPr>
                <w:rFonts w:ascii="Tw Cen MT" w:hAnsi="Tw Cen MT" w:cs="Times New Roman"/>
                <w:i/>
              </w:rPr>
              <w:t xml:space="preserve">Attachments </w:t>
            </w:r>
            <w:r w:rsidR="00A01D1C">
              <w:rPr>
                <w:rFonts w:ascii="Tw Cen MT" w:hAnsi="Tw Cen MT" w:cs="Times New Roman"/>
                <w:i/>
              </w:rPr>
              <w:t>N</w:t>
            </w:r>
            <w:r w:rsidR="003B635A">
              <w:rPr>
                <w:rFonts w:ascii="Tw Cen MT" w:hAnsi="Tw Cen MT" w:cs="Times New Roman"/>
                <w:i/>
              </w:rPr>
              <w:t xml:space="preserve"> (ENFG Employer Version), </w:t>
            </w:r>
            <w:r w:rsidR="00A01D1C">
              <w:rPr>
                <w:rFonts w:ascii="Tw Cen MT" w:hAnsi="Tw Cen MT" w:cs="Times New Roman"/>
                <w:i/>
              </w:rPr>
              <w:t>O</w:t>
            </w:r>
            <w:r w:rsidR="00BF0C30" w:rsidRPr="00C46BE1">
              <w:rPr>
                <w:rFonts w:ascii="Tw Cen MT" w:hAnsi="Tw Cen MT" w:cs="Times New Roman"/>
                <w:i/>
              </w:rPr>
              <w:t xml:space="preserve"> </w:t>
            </w:r>
            <w:r w:rsidR="003B635A" w:rsidRPr="00C46BE1">
              <w:rPr>
                <w:rFonts w:ascii="Tw Cen MT" w:hAnsi="Tw Cen MT" w:cs="Times New Roman"/>
                <w:i/>
              </w:rPr>
              <w:t>(</w:t>
            </w:r>
            <w:r w:rsidR="003B635A">
              <w:rPr>
                <w:rFonts w:ascii="Tw Cen MT" w:hAnsi="Tw Cen MT" w:cs="Times New Roman"/>
                <w:i/>
              </w:rPr>
              <w:t xml:space="preserve">ENFG </w:t>
            </w:r>
            <w:r w:rsidR="003B635A" w:rsidRPr="00C46BE1">
              <w:rPr>
                <w:rFonts w:ascii="Tw Cen MT" w:hAnsi="Tw Cen MT" w:cs="Times New Roman"/>
                <w:i/>
              </w:rPr>
              <w:t>Employment Specialist</w:t>
            </w:r>
            <w:r w:rsidR="003B635A">
              <w:rPr>
                <w:rFonts w:ascii="Tw Cen MT" w:hAnsi="Tw Cen MT" w:cs="Times New Roman"/>
                <w:i/>
              </w:rPr>
              <w:t xml:space="preserve"> Version), </w:t>
            </w:r>
            <w:r w:rsidR="00A01D1C">
              <w:rPr>
                <w:rFonts w:ascii="Tw Cen MT" w:hAnsi="Tw Cen MT" w:cs="Times New Roman"/>
                <w:i/>
              </w:rPr>
              <w:t>R</w:t>
            </w:r>
            <w:r w:rsidR="003B635A">
              <w:rPr>
                <w:rFonts w:ascii="Tw Cen MT" w:hAnsi="Tw Cen MT" w:cs="Times New Roman"/>
                <w:i/>
              </w:rPr>
              <w:t xml:space="preserve"> (ENFG Employer Informed Consent), and </w:t>
            </w:r>
            <w:r w:rsidR="00A01D1C">
              <w:rPr>
                <w:rFonts w:ascii="Tw Cen MT" w:hAnsi="Tw Cen MT" w:cs="Times New Roman"/>
                <w:i/>
              </w:rPr>
              <w:t>S</w:t>
            </w:r>
            <w:r w:rsidR="003B635A">
              <w:rPr>
                <w:rFonts w:ascii="Tw Cen MT" w:hAnsi="Tw Cen MT" w:cs="Times New Roman"/>
                <w:i/>
              </w:rPr>
              <w:t xml:space="preserve"> (ENFG Employment Specialist Informed Consent)</w:t>
            </w:r>
            <w:r w:rsidR="000D17D8">
              <w:rPr>
                <w:rFonts w:ascii="Tw Cen MT" w:hAnsi="Tw Cen MT" w:cs="Times New Roman"/>
                <w:i/>
              </w:rPr>
              <w:t>.</w:t>
            </w:r>
          </w:p>
        </w:tc>
      </w:tr>
    </w:tbl>
    <w:p w14:paraId="576A9327" w14:textId="48C0EB77" w:rsidR="00324931" w:rsidRPr="00C46BE1" w:rsidRDefault="00324931" w:rsidP="00090868">
      <w:pPr>
        <w:pStyle w:val="BHTCCBody"/>
        <w:keepNext/>
        <w:numPr>
          <w:ilvl w:val="0"/>
          <w:numId w:val="25"/>
        </w:numPr>
        <w:spacing w:before="360"/>
        <w:rPr>
          <w:rFonts w:ascii="Tw Cen MT" w:hAnsi="Tw Cen MT" w:cs="Arial"/>
          <w:b/>
          <w:sz w:val="28"/>
          <w:szCs w:val="28"/>
        </w:rPr>
      </w:pPr>
      <w:r w:rsidRPr="00C46BE1">
        <w:rPr>
          <w:rFonts w:ascii="Tw Cen MT" w:hAnsi="Tw Cen MT" w:cs="Arial"/>
          <w:b/>
          <w:sz w:val="28"/>
          <w:szCs w:val="28"/>
        </w:rPr>
        <w:t>Uses of Information Collected</w:t>
      </w:r>
    </w:p>
    <w:p w14:paraId="2E9C150A" w14:textId="0846C243" w:rsidR="00324931" w:rsidRPr="00C46BE1" w:rsidRDefault="00067104" w:rsidP="00090868">
      <w:pPr>
        <w:pStyle w:val="BodyText"/>
        <w:keepNext/>
        <w:numPr>
          <w:ilvl w:val="0"/>
          <w:numId w:val="26"/>
        </w:numPr>
        <w:tabs>
          <w:tab w:val="left" w:pos="1563"/>
        </w:tabs>
        <w:spacing w:after="120"/>
        <w:rPr>
          <w:rFonts w:ascii="Tw Cen MT" w:hAnsi="Tw Cen MT"/>
          <w:b/>
          <w:sz w:val="28"/>
          <w:szCs w:val="28"/>
        </w:rPr>
      </w:pPr>
      <w:r w:rsidRPr="00C46BE1">
        <w:rPr>
          <w:rFonts w:ascii="Tw Cen MT" w:hAnsi="Tw Cen MT"/>
          <w:b/>
          <w:sz w:val="28"/>
          <w:szCs w:val="28"/>
        </w:rPr>
        <w:t xml:space="preserve">Informing </w:t>
      </w:r>
      <w:r w:rsidR="00324931" w:rsidRPr="00C46BE1">
        <w:rPr>
          <w:rFonts w:ascii="Tw Cen MT" w:hAnsi="Tw Cen MT"/>
          <w:b/>
          <w:sz w:val="28"/>
          <w:szCs w:val="28"/>
        </w:rPr>
        <w:t xml:space="preserve">SAMHSA’s Strategic Initiatives  </w:t>
      </w:r>
    </w:p>
    <w:p w14:paraId="34DFDA41" w14:textId="646C332B" w:rsidR="00324931" w:rsidRPr="00C46BE1" w:rsidRDefault="00324931" w:rsidP="004115F4">
      <w:pPr>
        <w:pStyle w:val="BodyText"/>
        <w:tabs>
          <w:tab w:val="left" w:pos="1563"/>
        </w:tabs>
        <w:spacing w:after="240"/>
        <w:rPr>
          <w:rFonts w:ascii="Times New Roman" w:hAnsi="Times New Roman" w:cs="Times New Roman"/>
          <w:color w:val="000000"/>
          <w:sz w:val="24"/>
          <w:szCs w:val="24"/>
        </w:rPr>
      </w:pPr>
      <w:r w:rsidRPr="00C46BE1">
        <w:rPr>
          <w:rFonts w:ascii="Times New Roman" w:hAnsi="Times New Roman" w:cs="Times New Roman"/>
          <w:sz w:val="24"/>
          <w:szCs w:val="24"/>
        </w:rPr>
        <w:t xml:space="preserve">In FY 2014, and based on accomplishments to date, SAMHSA updated its strategic plan, entitled </w:t>
      </w:r>
      <w:r w:rsidRPr="00C46BE1">
        <w:rPr>
          <w:rFonts w:ascii="Times New Roman" w:hAnsi="Times New Roman" w:cs="Times New Roman"/>
          <w:i/>
          <w:sz w:val="24"/>
          <w:szCs w:val="24"/>
        </w:rPr>
        <w:t xml:space="preserve">Leading Change 2.0: Advancing the Behavioral Health of the Nation 2015-2018 </w:t>
      </w:r>
      <w:r w:rsidRPr="00C46BE1">
        <w:rPr>
          <w:rFonts w:ascii="Times New Roman" w:hAnsi="Times New Roman" w:cs="Times New Roman"/>
          <w:sz w:val="24"/>
          <w:szCs w:val="24"/>
        </w:rPr>
        <w:t>(Leading Change 2.0)</w:t>
      </w:r>
      <w:r w:rsidRPr="00C46BE1">
        <w:rPr>
          <w:rFonts w:ascii="Times New Roman" w:hAnsi="Times New Roman" w:cs="Times New Roman"/>
          <w:i/>
          <w:sz w:val="24"/>
          <w:szCs w:val="24"/>
        </w:rPr>
        <w:t xml:space="preserve">. </w:t>
      </w:r>
      <w:r w:rsidRPr="00C46BE1">
        <w:rPr>
          <w:rFonts w:ascii="Times New Roman" w:hAnsi="Times New Roman" w:cs="Times New Roman"/>
          <w:sz w:val="24"/>
          <w:szCs w:val="24"/>
        </w:rPr>
        <w:t>Leading Change 2.0 identifies 6 strategic initiatives (SIs). In particular, the CSE is aligned with SI</w:t>
      </w:r>
      <w:r w:rsidR="00C25A43" w:rsidRPr="00C46BE1">
        <w:rPr>
          <w:rFonts w:ascii="Times New Roman" w:hAnsi="Times New Roman" w:cs="Times New Roman"/>
          <w:sz w:val="24"/>
          <w:szCs w:val="24"/>
        </w:rPr>
        <w:t>-</w:t>
      </w:r>
      <w:r w:rsidRPr="00C46BE1">
        <w:rPr>
          <w:rFonts w:ascii="Times New Roman" w:hAnsi="Times New Roman" w:cs="Times New Roman"/>
          <w:sz w:val="24"/>
          <w:szCs w:val="24"/>
        </w:rPr>
        <w:t>1</w:t>
      </w:r>
      <w:r w:rsidR="00C25A43" w:rsidRPr="00C46BE1">
        <w:rPr>
          <w:rFonts w:ascii="Times New Roman" w:hAnsi="Times New Roman" w:cs="Times New Roman"/>
          <w:sz w:val="24"/>
          <w:szCs w:val="24"/>
        </w:rPr>
        <w:t xml:space="preserve">, Trauma and Justice, </w:t>
      </w:r>
      <w:r w:rsidRPr="00C46BE1">
        <w:rPr>
          <w:rFonts w:ascii="Times New Roman" w:hAnsi="Times New Roman" w:cs="Times New Roman"/>
          <w:sz w:val="24"/>
          <w:szCs w:val="24"/>
        </w:rPr>
        <w:t xml:space="preserve">and </w:t>
      </w:r>
      <w:r w:rsidR="00C25A43" w:rsidRPr="00C46BE1">
        <w:rPr>
          <w:rFonts w:ascii="Times New Roman" w:hAnsi="Times New Roman" w:cs="Times New Roman"/>
          <w:sz w:val="24"/>
          <w:szCs w:val="24"/>
        </w:rPr>
        <w:t>SI-</w:t>
      </w:r>
      <w:r w:rsidRPr="00C46BE1">
        <w:rPr>
          <w:rFonts w:ascii="Times New Roman" w:hAnsi="Times New Roman" w:cs="Times New Roman"/>
          <w:sz w:val="24"/>
          <w:szCs w:val="24"/>
        </w:rPr>
        <w:t>3</w:t>
      </w:r>
      <w:r w:rsidR="00C25A43" w:rsidRPr="00C46BE1">
        <w:rPr>
          <w:rFonts w:ascii="Times New Roman" w:hAnsi="Times New Roman" w:cs="Times New Roman"/>
          <w:sz w:val="24"/>
          <w:szCs w:val="24"/>
        </w:rPr>
        <w:t>, Recovery Support</w:t>
      </w:r>
      <w:r w:rsidRPr="00C46BE1">
        <w:rPr>
          <w:rFonts w:ascii="Times New Roman" w:hAnsi="Times New Roman" w:cs="Times New Roman"/>
          <w:sz w:val="24"/>
          <w:szCs w:val="24"/>
        </w:rPr>
        <w:t>. Information collected through the CSE will help SAMHSA to assess these essential strategies aimed at inf</w:t>
      </w:r>
      <w:r w:rsidRPr="00C46BE1">
        <w:rPr>
          <w:rFonts w:ascii="Times New Roman" w:hAnsi="Times New Roman" w:cs="Times New Roman"/>
          <w:color w:val="000000"/>
          <w:sz w:val="24"/>
          <w:szCs w:val="24"/>
        </w:rPr>
        <w:t xml:space="preserve">luencing comprehensive change across the </w:t>
      </w:r>
      <w:r w:rsidR="00C25A43" w:rsidRPr="00C46BE1">
        <w:rPr>
          <w:rFonts w:ascii="Times New Roman" w:hAnsi="Times New Roman" w:cs="Times New Roman"/>
          <w:color w:val="000000"/>
          <w:sz w:val="24"/>
          <w:szCs w:val="24"/>
        </w:rPr>
        <w:t xml:space="preserve">justice and </w:t>
      </w:r>
      <w:r w:rsidRPr="00C46BE1">
        <w:rPr>
          <w:rFonts w:ascii="Times New Roman" w:hAnsi="Times New Roman" w:cs="Times New Roman"/>
          <w:color w:val="000000"/>
          <w:sz w:val="24"/>
          <w:szCs w:val="24"/>
        </w:rPr>
        <w:t>behavioral health service system</w:t>
      </w:r>
      <w:r w:rsidR="00C25A43" w:rsidRPr="00C46BE1">
        <w:rPr>
          <w:rFonts w:ascii="Times New Roman" w:hAnsi="Times New Roman" w:cs="Times New Roman"/>
          <w:color w:val="000000"/>
          <w:sz w:val="24"/>
          <w:szCs w:val="24"/>
        </w:rPr>
        <w:t>s</w:t>
      </w:r>
      <w:r w:rsidRPr="00C46BE1">
        <w:rPr>
          <w:rFonts w:ascii="Times New Roman" w:hAnsi="Times New Roman" w:cs="Times New Roman"/>
          <w:color w:val="000000"/>
          <w:sz w:val="24"/>
          <w:szCs w:val="24"/>
        </w:rPr>
        <w:t>, as well as assist SAMHSA in its aim to implement more rigorous evaluations of process, outcomes, and impacts of its initiatives.</w:t>
      </w:r>
      <w:r w:rsidR="004115F4" w:rsidRPr="00C46BE1">
        <w:rPr>
          <w:rFonts w:ascii="Times New Roman" w:hAnsi="Times New Roman" w:cs="Times New Roman"/>
          <w:sz w:val="24"/>
          <w:szCs w:val="24"/>
        </w:rPr>
        <w:t xml:space="preserve"> </w:t>
      </w:r>
    </w:p>
    <w:p w14:paraId="0AC4BD3E" w14:textId="77777777" w:rsidR="00324931" w:rsidRPr="00C46BE1" w:rsidRDefault="00324931" w:rsidP="00324931">
      <w:pPr>
        <w:autoSpaceDE w:val="0"/>
        <w:autoSpaceDN w:val="0"/>
        <w:adjustRightInd w:val="0"/>
        <w:spacing w:after="60"/>
        <w:rPr>
          <w:rFonts w:ascii="Tw Cen MT" w:hAnsi="Tw Cen MT"/>
          <w:b/>
          <w:i/>
          <w:color w:val="000000"/>
          <w:sz w:val="26"/>
          <w:szCs w:val="26"/>
        </w:rPr>
      </w:pPr>
      <w:r w:rsidRPr="00C46BE1">
        <w:rPr>
          <w:rFonts w:ascii="Tw Cen MT" w:hAnsi="Tw Cen MT"/>
          <w:b/>
          <w:i/>
          <w:color w:val="000000"/>
          <w:sz w:val="26"/>
          <w:szCs w:val="26"/>
        </w:rPr>
        <w:t>SI-3: Trauma and Justice</w:t>
      </w:r>
    </w:p>
    <w:p w14:paraId="43DB05EF" w14:textId="41DFB4D0" w:rsidR="00C25A43" w:rsidRPr="00C46BE1" w:rsidRDefault="00C25A43" w:rsidP="00090868">
      <w:pPr>
        <w:pStyle w:val="Pa2"/>
        <w:numPr>
          <w:ilvl w:val="0"/>
          <w:numId w:val="28"/>
        </w:numPr>
        <w:spacing w:after="60" w:line="240" w:lineRule="auto"/>
        <w:rPr>
          <w:rFonts w:ascii="Times New Roman" w:hAnsi="Times New Roman" w:cs="Times New Roman"/>
          <w:color w:val="000000"/>
        </w:rPr>
      </w:pPr>
      <w:r w:rsidRPr="00C46BE1">
        <w:rPr>
          <w:rFonts w:ascii="Times New Roman" w:hAnsi="Times New Roman" w:cs="Times New Roman"/>
          <w:b/>
          <w:color w:val="000000"/>
        </w:rPr>
        <w:t xml:space="preserve">Goal 3.1: </w:t>
      </w:r>
      <w:r w:rsidRPr="00C46BE1">
        <w:rPr>
          <w:rFonts w:ascii="Times New Roman" w:hAnsi="Times New Roman" w:cs="Times New Roman"/>
          <w:color w:val="000000"/>
        </w:rPr>
        <w:t xml:space="preserve">Implement and study a trauma-informed approach throughout health, behavioral health, and related systems. </w:t>
      </w:r>
      <w:r w:rsidRPr="00C46BE1">
        <w:rPr>
          <w:rFonts w:ascii="Times New Roman" w:hAnsi="Times New Roman" w:cs="Times New Roman"/>
          <w:i/>
          <w:color w:val="000000"/>
        </w:rPr>
        <w:t>(</w:t>
      </w:r>
      <w:r w:rsidR="00C35B6F" w:rsidRPr="00C46BE1">
        <w:rPr>
          <w:rFonts w:ascii="Times New Roman" w:hAnsi="Times New Roman" w:cs="Times New Roman"/>
          <w:i/>
          <w:color w:val="000000"/>
        </w:rPr>
        <w:t>BHTCC Study</w:t>
      </w:r>
      <w:r w:rsidRPr="00C46BE1">
        <w:rPr>
          <w:rFonts w:ascii="Times New Roman" w:hAnsi="Times New Roman" w:cs="Times New Roman"/>
          <w:i/>
          <w:color w:val="000000"/>
        </w:rPr>
        <w:t>)</w:t>
      </w:r>
    </w:p>
    <w:p w14:paraId="38C1F8CD" w14:textId="3E35A40D" w:rsidR="00C25A43" w:rsidRPr="00C46BE1" w:rsidRDefault="00C25A43" w:rsidP="00090868">
      <w:pPr>
        <w:numPr>
          <w:ilvl w:val="0"/>
          <w:numId w:val="28"/>
        </w:numPr>
        <w:autoSpaceDE w:val="0"/>
        <w:autoSpaceDN w:val="0"/>
        <w:adjustRightInd w:val="0"/>
        <w:spacing w:after="200"/>
        <w:rPr>
          <w:color w:val="000000"/>
        </w:rPr>
      </w:pPr>
      <w:r w:rsidRPr="00C46BE1">
        <w:rPr>
          <w:b/>
          <w:color w:val="000000"/>
        </w:rPr>
        <w:t xml:space="preserve">Goal 3.2: </w:t>
      </w:r>
      <w:r w:rsidRPr="00C46BE1">
        <w:rPr>
          <w:color w:val="000000"/>
        </w:rPr>
        <w:t xml:space="preserve">Create capacity and systems change in the behavioral health and justice systems. </w:t>
      </w:r>
      <w:r w:rsidRPr="00C46BE1">
        <w:rPr>
          <w:i/>
          <w:color w:val="000000"/>
        </w:rPr>
        <w:t xml:space="preserve">(BHTCC System Change </w:t>
      </w:r>
      <w:r w:rsidR="00343789" w:rsidRPr="00C46BE1">
        <w:rPr>
          <w:i/>
          <w:color w:val="000000"/>
        </w:rPr>
        <w:t>Substudy</w:t>
      </w:r>
      <w:r w:rsidRPr="00C46BE1">
        <w:rPr>
          <w:i/>
          <w:color w:val="000000"/>
        </w:rPr>
        <w:t>)</w:t>
      </w:r>
      <w:r w:rsidRPr="00C46BE1">
        <w:rPr>
          <w:color w:val="000000"/>
        </w:rPr>
        <w:t xml:space="preserve"> </w:t>
      </w:r>
    </w:p>
    <w:p w14:paraId="5695DCB3" w14:textId="77777777" w:rsidR="00324931" w:rsidRPr="00C46BE1" w:rsidRDefault="00324931" w:rsidP="00B70D76">
      <w:pPr>
        <w:keepNext/>
        <w:autoSpaceDE w:val="0"/>
        <w:autoSpaceDN w:val="0"/>
        <w:adjustRightInd w:val="0"/>
        <w:spacing w:after="60"/>
        <w:rPr>
          <w:rFonts w:ascii="Tw Cen MT" w:hAnsi="Tw Cen MT"/>
          <w:b/>
          <w:i/>
          <w:color w:val="000000"/>
          <w:sz w:val="26"/>
          <w:szCs w:val="26"/>
        </w:rPr>
      </w:pPr>
      <w:r w:rsidRPr="00C46BE1">
        <w:rPr>
          <w:rFonts w:ascii="Tw Cen MT" w:hAnsi="Tw Cen MT"/>
          <w:b/>
          <w:i/>
          <w:color w:val="000000"/>
          <w:sz w:val="26"/>
          <w:szCs w:val="26"/>
        </w:rPr>
        <w:t xml:space="preserve">SI-4: Recovery Support </w:t>
      </w:r>
    </w:p>
    <w:p w14:paraId="3480C043" w14:textId="58CC4B37" w:rsidR="00C25A43" w:rsidRPr="00C46BE1" w:rsidRDefault="00C25A43" w:rsidP="00090868">
      <w:pPr>
        <w:pStyle w:val="SuicideBodyText"/>
        <w:numPr>
          <w:ilvl w:val="0"/>
          <w:numId w:val="29"/>
        </w:numPr>
        <w:spacing w:after="60"/>
        <w:rPr>
          <w:spacing w:val="-2"/>
        </w:rPr>
      </w:pPr>
      <w:r w:rsidRPr="00C46BE1">
        <w:rPr>
          <w:b/>
          <w:spacing w:val="-2"/>
        </w:rPr>
        <w:t>Goal 4.1:</w:t>
      </w:r>
      <w:r w:rsidRPr="00C46BE1">
        <w:rPr>
          <w:spacing w:val="-2"/>
        </w:rPr>
        <w:t xml:space="preserve"> Improve the physical and behavioral health of individuals with mental illness and/or substance use disorders and their families. </w:t>
      </w:r>
      <w:r w:rsidRPr="00C46BE1">
        <w:rPr>
          <w:i/>
          <w:spacing w:val="-2"/>
        </w:rPr>
        <w:t>(BHTCC and SE Consumer Outcome Substudies)</w:t>
      </w:r>
    </w:p>
    <w:p w14:paraId="57DC992E" w14:textId="339B00ED" w:rsidR="00C25A43" w:rsidRPr="00C46BE1" w:rsidRDefault="00C25A43" w:rsidP="00090868">
      <w:pPr>
        <w:pStyle w:val="SuicideBodyText"/>
        <w:numPr>
          <w:ilvl w:val="0"/>
          <w:numId w:val="29"/>
        </w:numPr>
        <w:spacing w:after="60"/>
        <w:rPr>
          <w:spacing w:val="-2"/>
        </w:rPr>
      </w:pPr>
      <w:r w:rsidRPr="00C46BE1">
        <w:rPr>
          <w:b/>
          <w:spacing w:val="-2"/>
        </w:rPr>
        <w:t>Goal 4.3:</w:t>
      </w:r>
      <w:r w:rsidRPr="00C46BE1">
        <w:rPr>
          <w:spacing w:val="-2"/>
        </w:rPr>
        <w:t xml:space="preserve"> Increase competitive employment and educational attainment for individuals with mental illness and/or substance use disorders. </w:t>
      </w:r>
      <w:r w:rsidRPr="00C46BE1">
        <w:rPr>
          <w:i/>
          <w:spacing w:val="-2"/>
        </w:rPr>
        <w:t xml:space="preserve">(SE </w:t>
      </w:r>
      <w:r w:rsidR="00690A8B" w:rsidRPr="00C46BE1">
        <w:rPr>
          <w:i/>
          <w:spacing w:val="-2"/>
        </w:rPr>
        <w:t>System Change Subs</w:t>
      </w:r>
      <w:r w:rsidRPr="00C46BE1">
        <w:rPr>
          <w:i/>
          <w:spacing w:val="-2"/>
        </w:rPr>
        <w:t>tudy)</w:t>
      </w:r>
    </w:p>
    <w:p w14:paraId="3236E5BF" w14:textId="1A1BD634" w:rsidR="00C843FB" w:rsidRPr="00C46BE1" w:rsidRDefault="00C843FB" w:rsidP="00090868">
      <w:pPr>
        <w:numPr>
          <w:ilvl w:val="0"/>
          <w:numId w:val="29"/>
        </w:numPr>
        <w:autoSpaceDE w:val="0"/>
        <w:autoSpaceDN w:val="0"/>
        <w:adjustRightInd w:val="0"/>
        <w:spacing w:line="241" w:lineRule="atLeast"/>
        <w:rPr>
          <w:rFonts w:eastAsiaTheme="minorHAnsi"/>
          <w:color w:val="000000"/>
        </w:rPr>
      </w:pPr>
      <w:r w:rsidRPr="00C46BE1">
        <w:rPr>
          <w:rFonts w:eastAsiaTheme="minorHAnsi"/>
          <w:b/>
          <w:bCs/>
          <w:color w:val="000000"/>
        </w:rPr>
        <w:t xml:space="preserve">Goal 4.4: </w:t>
      </w:r>
      <w:r w:rsidRPr="00C46BE1">
        <w:rPr>
          <w:rFonts w:eastAsiaTheme="minorHAnsi"/>
          <w:color w:val="000000"/>
        </w:rPr>
        <w:t>Promote community living f</w:t>
      </w:r>
      <w:r w:rsidR="00690A8B" w:rsidRPr="00C46BE1">
        <w:rPr>
          <w:rFonts w:eastAsiaTheme="minorHAnsi"/>
          <w:color w:val="000000"/>
        </w:rPr>
        <w:t>or individuals with mental and/</w:t>
      </w:r>
      <w:r w:rsidRPr="00C46BE1">
        <w:rPr>
          <w:rFonts w:eastAsiaTheme="minorHAnsi"/>
          <w:color w:val="000000"/>
        </w:rPr>
        <w:t>or substance use disorders and their families.</w:t>
      </w:r>
      <w:r w:rsidR="00AC0AF2" w:rsidRPr="00C46BE1">
        <w:rPr>
          <w:rFonts w:eastAsiaTheme="minorHAnsi"/>
          <w:color w:val="000000"/>
        </w:rPr>
        <w:t xml:space="preserve"> </w:t>
      </w:r>
      <w:r w:rsidR="00AC0AF2" w:rsidRPr="00C46BE1">
        <w:rPr>
          <w:rFonts w:eastAsiaTheme="minorHAnsi"/>
          <w:i/>
          <w:color w:val="000000"/>
        </w:rPr>
        <w:t>(Community Support Evaluation)</w:t>
      </w:r>
      <w:r w:rsidRPr="00C46BE1">
        <w:rPr>
          <w:rFonts w:eastAsiaTheme="minorHAnsi"/>
          <w:color w:val="000000"/>
        </w:rPr>
        <w:t xml:space="preserve"> </w:t>
      </w:r>
    </w:p>
    <w:p w14:paraId="4EA2AADE" w14:textId="28ACE0E8" w:rsidR="00324931" w:rsidRPr="00C46BE1" w:rsidRDefault="00324931" w:rsidP="00090868">
      <w:pPr>
        <w:pStyle w:val="BodyText"/>
        <w:keepNext/>
        <w:numPr>
          <w:ilvl w:val="0"/>
          <w:numId w:val="26"/>
        </w:numPr>
        <w:tabs>
          <w:tab w:val="left" w:pos="1563"/>
        </w:tabs>
        <w:spacing w:before="240"/>
        <w:rPr>
          <w:rFonts w:ascii="Tw Cen MT" w:hAnsi="Tw Cen MT"/>
          <w:b/>
          <w:sz w:val="28"/>
          <w:szCs w:val="28"/>
        </w:rPr>
      </w:pPr>
      <w:r w:rsidRPr="00C46BE1">
        <w:rPr>
          <w:rFonts w:ascii="Tw Cen MT" w:hAnsi="Tw Cen MT"/>
          <w:b/>
          <w:sz w:val="28"/>
          <w:szCs w:val="28"/>
        </w:rPr>
        <w:t xml:space="preserve">Advancing the Field   </w:t>
      </w:r>
    </w:p>
    <w:p w14:paraId="26D7EB69" w14:textId="7661031B" w:rsidR="00C843FB" w:rsidRPr="00C46BE1" w:rsidRDefault="00324931" w:rsidP="00AC5CCF">
      <w:pPr>
        <w:pStyle w:val="SuicideBodyText"/>
        <w:spacing w:after="200"/>
        <w:rPr>
          <w:rStyle w:val="minorhead"/>
          <w:rFonts w:ascii="Times New Roman" w:hAnsi="Times New Roman" w:cs="Times New Roman"/>
          <w:b w:val="0"/>
          <w:color w:val="C00000"/>
        </w:rPr>
      </w:pPr>
      <w:r w:rsidRPr="00C46BE1">
        <w:t xml:space="preserve">Information gathered through the CSE will be useful to SAMHSA and its partners, other Federal agencies and administrators, </w:t>
      </w:r>
      <w:r w:rsidR="00C843FB" w:rsidRPr="00C46BE1">
        <w:t>current grantees, policymakers, and the field about ways to transform the behavioral health system to cultivate resiliency and recovery, actively collaborate with and engage, and improve service delivery for with serious mental, substance, and co-occurring disorders who are in recovery. Further, the focus of the CSE on assessing the process and intermediate outcomes of the BHTCC and</w:t>
      </w:r>
      <w:r w:rsidR="00AC5CCF" w:rsidRPr="00C46BE1">
        <w:t xml:space="preserve"> SE Programs will c</w:t>
      </w:r>
      <w:r w:rsidR="00C843FB" w:rsidRPr="00C46BE1">
        <w:t>ontribute immensely to advancing the field</w:t>
      </w:r>
      <w:r w:rsidR="00AC5CCF" w:rsidRPr="00C46BE1">
        <w:t>s</w:t>
      </w:r>
      <w:r w:rsidR="00C843FB" w:rsidRPr="00C46BE1">
        <w:t xml:space="preserve"> of recovery and resilience</w:t>
      </w:r>
      <w:r w:rsidR="00AC5CCF" w:rsidRPr="00C46BE1">
        <w:t xml:space="preserve"> and expanding the evidence base. For example, information gathered through the CSE about the effectiveness of the BHTCC and SE Programs can be replicated</w:t>
      </w:r>
      <w:r w:rsidR="00C843FB" w:rsidRPr="00C46BE1">
        <w:t xml:space="preserve"> in other States, territories, tribal nations, and communities</w:t>
      </w:r>
      <w:r w:rsidR="00AC5CCF" w:rsidRPr="00C46BE1">
        <w:t>.</w:t>
      </w:r>
      <w:r w:rsidR="00C843FB" w:rsidRPr="00C46BE1">
        <w:t xml:space="preserve"> </w:t>
      </w:r>
      <w:r w:rsidR="00823F1E" w:rsidRPr="00C46BE1">
        <w:t xml:space="preserve">Information gathered also will be used to identify critical aspects of future CSPs.  </w:t>
      </w:r>
    </w:p>
    <w:p w14:paraId="477B94FA" w14:textId="404A1DAB" w:rsidR="00324931" w:rsidRPr="00C46BE1" w:rsidRDefault="00C843FB" w:rsidP="00823F1E">
      <w:pPr>
        <w:pStyle w:val="SuicideBodyText"/>
      </w:pPr>
      <w:r w:rsidRPr="00C46BE1">
        <w:t xml:space="preserve">Without this evaluation, Federal and local officials will not determine whether the </w:t>
      </w:r>
      <w:r w:rsidR="00AC5CCF" w:rsidRPr="00C46BE1">
        <w:t>BHTCC and SE P</w:t>
      </w:r>
      <w:r w:rsidRPr="00C46BE1">
        <w:t xml:space="preserve">rograms </w:t>
      </w:r>
      <w:r w:rsidR="00AC5CCF" w:rsidRPr="00C46BE1">
        <w:t>are having the intended</w:t>
      </w:r>
      <w:r w:rsidRPr="00C46BE1">
        <w:t xml:space="preserve"> impact </w:t>
      </w:r>
      <w:r w:rsidR="00AC5CCF" w:rsidRPr="00C46BE1">
        <w:t xml:space="preserve">on individuals with serious mental, substance use, and co-occurring disorder and their recovery; on the availability and competitiveness of their employment opportunities; </w:t>
      </w:r>
      <w:r w:rsidR="00823F1E" w:rsidRPr="00C46BE1">
        <w:t xml:space="preserve">and </w:t>
      </w:r>
      <w:r w:rsidR="00AC5CCF" w:rsidRPr="00C46BE1">
        <w:t xml:space="preserve">whether </w:t>
      </w:r>
      <w:r w:rsidR="00823F1E" w:rsidRPr="00C46BE1">
        <w:t xml:space="preserve">the </w:t>
      </w:r>
      <w:r w:rsidR="00AC5CCF" w:rsidRPr="00C46BE1">
        <w:t xml:space="preserve">grantees are meeting the </w:t>
      </w:r>
      <w:r w:rsidR="00823F1E" w:rsidRPr="00C46BE1">
        <w:t xml:space="preserve">individual </w:t>
      </w:r>
      <w:r w:rsidR="00AC5CCF" w:rsidRPr="00C46BE1">
        <w:t>goals of the progr</w:t>
      </w:r>
      <w:r w:rsidR="00823F1E" w:rsidRPr="00C46BE1">
        <w:t xml:space="preserve">ams. </w:t>
      </w:r>
    </w:p>
    <w:p w14:paraId="6268A0BE" w14:textId="72E9972D" w:rsidR="00F0228B" w:rsidRPr="00C46BE1" w:rsidRDefault="00F0228B" w:rsidP="00090868">
      <w:pPr>
        <w:pStyle w:val="BHTCCBody"/>
        <w:numPr>
          <w:ilvl w:val="0"/>
          <w:numId w:val="8"/>
        </w:numPr>
        <w:spacing w:before="360"/>
        <w:rPr>
          <w:rFonts w:ascii="Tw Cen MT" w:hAnsi="Tw Cen MT" w:cs="Arial"/>
          <w:b/>
          <w:sz w:val="28"/>
          <w:szCs w:val="28"/>
        </w:rPr>
      </w:pPr>
      <w:r w:rsidRPr="00C46BE1">
        <w:rPr>
          <w:rFonts w:ascii="Tw Cen MT" w:hAnsi="Tw Cen MT" w:cs="Arial"/>
          <w:b/>
          <w:color w:val="181818"/>
          <w:sz w:val="28"/>
          <w:szCs w:val="28"/>
        </w:rPr>
        <w:t>Use of Improved Information Technology</w:t>
      </w:r>
    </w:p>
    <w:p w14:paraId="1EB2899A" w14:textId="251E05B5" w:rsidR="00F0228B" w:rsidRPr="00C46BE1" w:rsidRDefault="00F0228B" w:rsidP="001E50ED">
      <w:pPr>
        <w:pStyle w:val="SuicideBodyText"/>
        <w:spacing w:after="200"/>
        <w:rPr>
          <w:spacing w:val="-2"/>
        </w:rPr>
      </w:pPr>
      <w:r w:rsidRPr="00C46BE1">
        <w:rPr>
          <w:spacing w:val="-2"/>
        </w:rPr>
        <w:t xml:space="preserve">Every effort </w:t>
      </w:r>
      <w:r w:rsidR="000F7808" w:rsidRPr="00C46BE1">
        <w:rPr>
          <w:spacing w:val="-2"/>
        </w:rPr>
        <w:t xml:space="preserve">had been </w:t>
      </w:r>
      <w:r w:rsidRPr="00C46BE1">
        <w:rPr>
          <w:spacing w:val="-2"/>
        </w:rPr>
        <w:t xml:space="preserve">made to limit burden on individual respondents who participate in the </w:t>
      </w:r>
      <w:r w:rsidR="00FA3C1E" w:rsidRPr="00C46BE1">
        <w:rPr>
          <w:spacing w:val="-2"/>
        </w:rPr>
        <w:t>CSE</w:t>
      </w:r>
      <w:r w:rsidR="000F7808" w:rsidRPr="00C46BE1">
        <w:rPr>
          <w:spacing w:val="-2"/>
        </w:rPr>
        <w:t xml:space="preserve"> </w:t>
      </w:r>
      <w:r w:rsidRPr="00C46BE1">
        <w:rPr>
          <w:spacing w:val="-2"/>
        </w:rPr>
        <w:t xml:space="preserve">through the use of technology. Data collection instruments will be administered via the </w:t>
      </w:r>
      <w:r w:rsidR="00F1232C" w:rsidRPr="00C46BE1">
        <w:rPr>
          <w:spacing w:val="-2"/>
        </w:rPr>
        <w:t>w</w:t>
      </w:r>
      <w:r w:rsidRPr="00C46BE1">
        <w:rPr>
          <w:spacing w:val="-2"/>
        </w:rPr>
        <w:t>eb</w:t>
      </w:r>
      <w:r w:rsidR="00103F7F" w:rsidRPr="00C46BE1">
        <w:rPr>
          <w:spacing w:val="-2"/>
        </w:rPr>
        <w:t xml:space="preserve"> </w:t>
      </w:r>
      <w:r w:rsidR="008F057A" w:rsidRPr="00C46BE1">
        <w:rPr>
          <w:spacing w:val="-2"/>
        </w:rPr>
        <w:t xml:space="preserve">and </w:t>
      </w:r>
      <w:r w:rsidR="00103F7F" w:rsidRPr="00C46BE1">
        <w:rPr>
          <w:spacing w:val="-2"/>
        </w:rPr>
        <w:t>Skype</w:t>
      </w:r>
      <w:r w:rsidRPr="00C46BE1">
        <w:rPr>
          <w:spacing w:val="-2"/>
        </w:rPr>
        <w:t xml:space="preserve">. Below </w:t>
      </w:r>
      <w:r w:rsidR="000F7808" w:rsidRPr="00C46BE1">
        <w:rPr>
          <w:spacing w:val="-2"/>
        </w:rPr>
        <w:t>are</w:t>
      </w:r>
      <w:r w:rsidRPr="00C46BE1">
        <w:rPr>
          <w:spacing w:val="-2"/>
        </w:rPr>
        <w:t xml:space="preserve"> description</w:t>
      </w:r>
      <w:r w:rsidR="000F7808" w:rsidRPr="00C46BE1">
        <w:rPr>
          <w:spacing w:val="-2"/>
        </w:rPr>
        <w:t>s</w:t>
      </w:r>
      <w:r w:rsidRPr="00C46BE1">
        <w:rPr>
          <w:spacing w:val="-2"/>
        </w:rPr>
        <w:t xml:space="preserve"> </w:t>
      </w:r>
      <w:r w:rsidR="00FA3C1E" w:rsidRPr="00C46BE1">
        <w:rPr>
          <w:spacing w:val="-2"/>
        </w:rPr>
        <w:t xml:space="preserve">of </w:t>
      </w:r>
      <w:r w:rsidR="00AC0AF2" w:rsidRPr="00C46BE1">
        <w:rPr>
          <w:spacing w:val="-2"/>
        </w:rPr>
        <w:t xml:space="preserve">how </w:t>
      </w:r>
      <w:r w:rsidR="00FA3C1E" w:rsidRPr="00C46BE1">
        <w:rPr>
          <w:spacing w:val="-2"/>
        </w:rPr>
        <w:t>the</w:t>
      </w:r>
      <w:r w:rsidR="0045340E" w:rsidRPr="00C46BE1">
        <w:rPr>
          <w:spacing w:val="-2"/>
        </w:rPr>
        <w:t xml:space="preserve"> </w:t>
      </w:r>
      <w:r w:rsidR="00F1232C" w:rsidRPr="00C46BE1">
        <w:rPr>
          <w:spacing w:val="-2"/>
        </w:rPr>
        <w:t>w</w:t>
      </w:r>
      <w:r w:rsidRPr="00C46BE1">
        <w:rPr>
          <w:spacing w:val="-2"/>
        </w:rPr>
        <w:t>eb-based data collection and management system</w:t>
      </w:r>
      <w:r w:rsidR="00AC0AF2" w:rsidRPr="00C46BE1">
        <w:rPr>
          <w:spacing w:val="-2"/>
        </w:rPr>
        <w:t xml:space="preserve">, </w:t>
      </w:r>
      <w:r w:rsidR="00F1232C" w:rsidRPr="00C46BE1">
        <w:rPr>
          <w:spacing w:val="-2"/>
        </w:rPr>
        <w:t>w</w:t>
      </w:r>
      <w:r w:rsidR="00E50118" w:rsidRPr="00C46BE1">
        <w:rPr>
          <w:spacing w:val="-2"/>
        </w:rPr>
        <w:t>eb</w:t>
      </w:r>
      <w:r w:rsidR="00154691" w:rsidRPr="00C46BE1">
        <w:rPr>
          <w:spacing w:val="-2"/>
        </w:rPr>
        <w:t>-based programs</w:t>
      </w:r>
      <w:r w:rsidR="00EF104A" w:rsidRPr="00C46BE1">
        <w:rPr>
          <w:spacing w:val="-2"/>
        </w:rPr>
        <w:t xml:space="preserve">, </w:t>
      </w:r>
      <w:r w:rsidR="00AC0AF2" w:rsidRPr="00C46BE1">
        <w:rPr>
          <w:spacing w:val="-2"/>
        </w:rPr>
        <w:t xml:space="preserve">and Skype </w:t>
      </w:r>
      <w:r w:rsidR="00FA3C1E" w:rsidRPr="00C46BE1">
        <w:rPr>
          <w:spacing w:val="-2"/>
        </w:rPr>
        <w:t>will be used for data collection</w:t>
      </w:r>
      <w:r w:rsidR="000F7808" w:rsidRPr="00C46BE1">
        <w:rPr>
          <w:spacing w:val="-2"/>
        </w:rPr>
        <w:t>.</w:t>
      </w:r>
    </w:p>
    <w:p w14:paraId="1965688D" w14:textId="68131AA9" w:rsidR="00F0228B" w:rsidRPr="00C46BE1" w:rsidRDefault="00F0228B" w:rsidP="00090868">
      <w:pPr>
        <w:pStyle w:val="SuicideBodyText"/>
        <w:keepNext/>
        <w:numPr>
          <w:ilvl w:val="0"/>
          <w:numId w:val="13"/>
        </w:numPr>
        <w:spacing w:after="120"/>
        <w:rPr>
          <w:rFonts w:ascii="Tw Cen MT" w:hAnsi="Tw Cen MT" w:cs="Arial"/>
          <w:b/>
          <w:sz w:val="28"/>
          <w:szCs w:val="28"/>
        </w:rPr>
      </w:pPr>
      <w:r w:rsidRPr="00C46BE1">
        <w:rPr>
          <w:rFonts w:ascii="Tw Cen MT" w:hAnsi="Tw Cen MT" w:cs="Arial"/>
          <w:b/>
          <w:sz w:val="28"/>
          <w:szCs w:val="28"/>
        </w:rPr>
        <w:t>Web-based Data Collection and Management System</w:t>
      </w:r>
    </w:p>
    <w:p w14:paraId="4B389E1E" w14:textId="191066BB" w:rsidR="00067104" w:rsidRPr="00C46BE1" w:rsidRDefault="009A06D9" w:rsidP="00067104">
      <w:pPr>
        <w:pStyle w:val="BHTCCBody"/>
        <w:rPr>
          <w:rFonts w:ascii="Times New Roman" w:hAnsi="Times New Roman" w:cs="Times New Roman"/>
          <w:sz w:val="24"/>
          <w:szCs w:val="24"/>
        </w:rPr>
      </w:pPr>
      <w:r w:rsidRPr="00C46BE1">
        <w:rPr>
          <w:rFonts w:ascii="Times New Roman" w:hAnsi="Times New Roman" w:cs="Times New Roman"/>
          <w:sz w:val="24"/>
          <w:szCs w:val="24"/>
        </w:rPr>
        <w:t xml:space="preserve">The </w:t>
      </w:r>
      <w:r w:rsidR="000E049A" w:rsidRPr="00C46BE1">
        <w:rPr>
          <w:rFonts w:ascii="Times New Roman" w:hAnsi="Times New Roman" w:cs="Times New Roman"/>
          <w:sz w:val="24"/>
          <w:szCs w:val="24"/>
        </w:rPr>
        <w:t>c</w:t>
      </w:r>
      <w:r w:rsidRPr="00C46BE1">
        <w:rPr>
          <w:rFonts w:ascii="Times New Roman" w:hAnsi="Times New Roman" w:cs="Times New Roman"/>
          <w:sz w:val="24"/>
          <w:szCs w:val="24"/>
        </w:rPr>
        <w:t xml:space="preserve">ontractor </w:t>
      </w:r>
      <w:r w:rsidR="00FE59F5" w:rsidRPr="00C46BE1">
        <w:rPr>
          <w:rFonts w:ascii="Times New Roman" w:hAnsi="Times New Roman" w:cs="Times New Roman"/>
          <w:sz w:val="24"/>
          <w:szCs w:val="24"/>
        </w:rPr>
        <w:t xml:space="preserve">will work with SAMHSA to develop </w:t>
      </w:r>
      <w:r w:rsidR="008C75E5" w:rsidRPr="00C46BE1">
        <w:rPr>
          <w:rFonts w:ascii="Times New Roman" w:hAnsi="Times New Roman" w:cs="Times New Roman"/>
          <w:sz w:val="24"/>
          <w:szCs w:val="24"/>
        </w:rPr>
        <w:t xml:space="preserve">a </w:t>
      </w:r>
      <w:r w:rsidR="00F1232C" w:rsidRPr="00C46BE1">
        <w:rPr>
          <w:rFonts w:ascii="Times New Roman" w:hAnsi="Times New Roman" w:cs="Times New Roman"/>
          <w:sz w:val="24"/>
          <w:szCs w:val="24"/>
        </w:rPr>
        <w:t>w</w:t>
      </w:r>
      <w:r w:rsidR="008C75E5" w:rsidRPr="00C46BE1">
        <w:rPr>
          <w:rFonts w:ascii="Times New Roman" w:hAnsi="Times New Roman" w:cs="Times New Roman"/>
          <w:sz w:val="24"/>
          <w:szCs w:val="24"/>
        </w:rPr>
        <w:t xml:space="preserve">eb-based data collection and management system, the CSE Data System (CSEDS), </w:t>
      </w:r>
      <w:r w:rsidR="00FE59F5" w:rsidRPr="00C46BE1">
        <w:rPr>
          <w:rFonts w:ascii="Times New Roman" w:hAnsi="Times New Roman" w:cs="Times New Roman"/>
          <w:sz w:val="24"/>
          <w:szCs w:val="24"/>
        </w:rPr>
        <w:t>on a SAMHSA-hosted website. The CSEDS will support the collection, management, and dissemination of data, as well as function as a centralized hub where program partners can locate comprehensive information.</w:t>
      </w:r>
      <w:r w:rsidR="009B790E" w:rsidRPr="00C46BE1">
        <w:rPr>
          <w:rFonts w:ascii="Times New Roman" w:hAnsi="Times New Roman" w:cs="Times New Roman"/>
          <w:sz w:val="24"/>
          <w:szCs w:val="24"/>
        </w:rPr>
        <w:t xml:space="preserve"> </w:t>
      </w:r>
      <w:r w:rsidR="001B3AAF" w:rsidRPr="00C46BE1">
        <w:rPr>
          <w:rFonts w:ascii="Times New Roman" w:hAnsi="Times New Roman" w:cs="Times New Roman"/>
          <w:sz w:val="24"/>
          <w:szCs w:val="24"/>
        </w:rPr>
        <w:t>F</w:t>
      </w:r>
      <w:r w:rsidR="00A74356" w:rsidRPr="00C46BE1">
        <w:rPr>
          <w:rFonts w:ascii="Times New Roman" w:hAnsi="Times New Roman" w:cs="Times New Roman"/>
          <w:sz w:val="24"/>
          <w:szCs w:val="24"/>
        </w:rPr>
        <w:t xml:space="preserve">eatures of the CSEDS </w:t>
      </w:r>
      <w:r w:rsidR="009B790E" w:rsidRPr="00C46BE1">
        <w:rPr>
          <w:rFonts w:ascii="Times New Roman" w:hAnsi="Times New Roman" w:cs="Times New Roman"/>
          <w:sz w:val="24"/>
          <w:szCs w:val="24"/>
        </w:rPr>
        <w:t xml:space="preserve">are </w:t>
      </w:r>
      <w:r w:rsidR="00A74356" w:rsidRPr="00C46BE1">
        <w:rPr>
          <w:rFonts w:ascii="Times New Roman" w:hAnsi="Times New Roman" w:cs="Times New Roman"/>
          <w:sz w:val="24"/>
          <w:szCs w:val="24"/>
        </w:rPr>
        <w:t xml:space="preserve">described in Exhibit </w:t>
      </w:r>
      <w:r w:rsidR="00690A8B" w:rsidRPr="00C46BE1">
        <w:rPr>
          <w:rFonts w:ascii="Times New Roman" w:hAnsi="Times New Roman" w:cs="Times New Roman"/>
          <w:sz w:val="24"/>
          <w:szCs w:val="24"/>
        </w:rPr>
        <w:t>6</w:t>
      </w:r>
      <w:r w:rsidR="00A74356" w:rsidRPr="00C46BE1">
        <w:rPr>
          <w:rFonts w:ascii="Times New Roman" w:hAnsi="Times New Roman" w:cs="Times New Roman"/>
          <w:sz w:val="24"/>
          <w:szCs w:val="24"/>
        </w:rPr>
        <w:t xml:space="preserve">. </w:t>
      </w:r>
      <w:r w:rsidR="000E049A" w:rsidRPr="00C46BE1">
        <w:rPr>
          <w:rFonts w:ascii="Times New Roman" w:hAnsi="Times New Roman" w:cs="Times New Roman"/>
          <w:sz w:val="24"/>
          <w:szCs w:val="24"/>
        </w:rPr>
        <w:t>The c</w:t>
      </w:r>
      <w:r w:rsidR="00186A6F" w:rsidRPr="00C46BE1">
        <w:rPr>
          <w:rFonts w:ascii="Times New Roman" w:hAnsi="Times New Roman" w:cs="Times New Roman"/>
          <w:sz w:val="24"/>
          <w:szCs w:val="24"/>
        </w:rPr>
        <w:t xml:space="preserve">ontractor </w:t>
      </w:r>
      <w:r w:rsidR="00FE59F5" w:rsidRPr="00C46BE1">
        <w:rPr>
          <w:rFonts w:ascii="Times New Roman" w:hAnsi="Times New Roman" w:cs="Times New Roman"/>
          <w:sz w:val="24"/>
          <w:szCs w:val="24"/>
        </w:rPr>
        <w:t xml:space="preserve">will request virtual machines in the SAMHSA AWS </w:t>
      </w:r>
      <w:proofErr w:type="spellStart"/>
      <w:r w:rsidR="00FE59F5" w:rsidRPr="00C46BE1">
        <w:rPr>
          <w:rFonts w:ascii="Times New Roman" w:hAnsi="Times New Roman" w:cs="Times New Roman"/>
          <w:sz w:val="24"/>
          <w:szCs w:val="24"/>
        </w:rPr>
        <w:t>GovCloud</w:t>
      </w:r>
      <w:proofErr w:type="spellEnd"/>
      <w:r w:rsidR="00FE59F5" w:rsidRPr="00C46BE1">
        <w:rPr>
          <w:rFonts w:ascii="Times New Roman" w:hAnsi="Times New Roman" w:cs="Times New Roman"/>
          <w:sz w:val="24"/>
          <w:szCs w:val="24"/>
        </w:rPr>
        <w:t xml:space="preserve"> environment for </w:t>
      </w:r>
      <w:r w:rsidR="00577E54" w:rsidRPr="00C46BE1">
        <w:rPr>
          <w:rFonts w:ascii="Times New Roman" w:hAnsi="Times New Roman" w:cs="Times New Roman"/>
          <w:sz w:val="24"/>
          <w:szCs w:val="24"/>
        </w:rPr>
        <w:t xml:space="preserve">system </w:t>
      </w:r>
      <w:r w:rsidR="00FE59F5" w:rsidRPr="00C46BE1">
        <w:rPr>
          <w:rFonts w:ascii="Times New Roman" w:hAnsi="Times New Roman" w:cs="Times New Roman"/>
          <w:sz w:val="24"/>
          <w:szCs w:val="24"/>
        </w:rPr>
        <w:t>development, testing, staging</w:t>
      </w:r>
      <w:r w:rsidR="00577E54" w:rsidRPr="00C46BE1">
        <w:rPr>
          <w:rFonts w:ascii="Times New Roman" w:hAnsi="Times New Roman" w:cs="Times New Roman"/>
          <w:sz w:val="24"/>
          <w:szCs w:val="24"/>
        </w:rPr>
        <w:t>,</w:t>
      </w:r>
      <w:r w:rsidR="00FE59F5" w:rsidRPr="00C46BE1">
        <w:rPr>
          <w:rFonts w:ascii="Times New Roman" w:hAnsi="Times New Roman" w:cs="Times New Roman"/>
          <w:sz w:val="24"/>
          <w:szCs w:val="24"/>
        </w:rPr>
        <w:t xml:space="preserve"> and production. </w:t>
      </w:r>
      <w:r w:rsidR="000E049A" w:rsidRPr="00C46BE1">
        <w:rPr>
          <w:rFonts w:ascii="Times New Roman" w:hAnsi="Times New Roman" w:cs="Times New Roman"/>
          <w:sz w:val="24"/>
          <w:szCs w:val="24"/>
        </w:rPr>
        <w:t>The c</w:t>
      </w:r>
      <w:r w:rsidR="00186A6F" w:rsidRPr="00C46BE1">
        <w:rPr>
          <w:rFonts w:ascii="Times New Roman" w:hAnsi="Times New Roman" w:cs="Times New Roman"/>
          <w:sz w:val="24"/>
          <w:szCs w:val="24"/>
        </w:rPr>
        <w:t xml:space="preserve">ontractor </w:t>
      </w:r>
      <w:r w:rsidR="00577E54" w:rsidRPr="00C46BE1">
        <w:rPr>
          <w:rFonts w:ascii="Times New Roman" w:hAnsi="Times New Roman" w:cs="Times New Roman"/>
          <w:sz w:val="24"/>
          <w:szCs w:val="24"/>
        </w:rPr>
        <w:t xml:space="preserve">will work with SAMHSA to certify and accredit the IT system; an IT plan and Information Systems Security Professional (ISSP) plan were submitted to SAMHSA on August 31, 2015. </w:t>
      </w:r>
      <w:r w:rsidR="000E049A" w:rsidRPr="00C46BE1">
        <w:rPr>
          <w:rFonts w:ascii="Times New Roman" w:hAnsi="Times New Roman" w:cs="Times New Roman"/>
          <w:sz w:val="24"/>
          <w:szCs w:val="24"/>
        </w:rPr>
        <w:t>The c</w:t>
      </w:r>
      <w:r w:rsidR="00186A6F" w:rsidRPr="00C46BE1">
        <w:rPr>
          <w:rFonts w:ascii="Times New Roman" w:hAnsi="Times New Roman" w:cs="Times New Roman"/>
          <w:sz w:val="24"/>
          <w:szCs w:val="24"/>
        </w:rPr>
        <w:t xml:space="preserve">ontractor </w:t>
      </w:r>
      <w:r w:rsidR="00577E54" w:rsidRPr="00C46BE1">
        <w:rPr>
          <w:rFonts w:ascii="Times New Roman" w:hAnsi="Times New Roman" w:cs="Times New Roman"/>
          <w:sz w:val="24"/>
          <w:szCs w:val="24"/>
        </w:rPr>
        <w:t xml:space="preserve">will follow all relevant SAMHSA, HHS, and Federal policies and regulations (including the HHS Automated Data Processing Systems Security Policy; the E-Government Act of 2002; the Federal Acquisition Regulation Clause 52-239-1; the HHS Information Technology General Rules of Behavior; and other applicable laws, regulations, and guidelines). </w:t>
      </w:r>
      <w:r w:rsidR="000E049A" w:rsidRPr="00C46BE1">
        <w:rPr>
          <w:rFonts w:ascii="Times New Roman" w:hAnsi="Times New Roman" w:cs="Times New Roman"/>
          <w:sz w:val="24"/>
          <w:szCs w:val="24"/>
        </w:rPr>
        <w:t>The c</w:t>
      </w:r>
      <w:r w:rsidR="00186A6F" w:rsidRPr="00C46BE1">
        <w:rPr>
          <w:rFonts w:ascii="Times New Roman" w:hAnsi="Times New Roman" w:cs="Times New Roman"/>
          <w:sz w:val="24"/>
          <w:szCs w:val="24"/>
        </w:rPr>
        <w:t xml:space="preserve">ontractor </w:t>
      </w:r>
      <w:r w:rsidR="00577E54" w:rsidRPr="00C46BE1">
        <w:rPr>
          <w:rFonts w:ascii="Times New Roman" w:hAnsi="Times New Roman" w:cs="Times New Roman"/>
          <w:sz w:val="24"/>
          <w:szCs w:val="24"/>
        </w:rPr>
        <w:t xml:space="preserve">complies with all information privacy and confidentiality regulations, including the Privacy Act of 1974. </w:t>
      </w:r>
      <w:r w:rsidR="00640C27" w:rsidRPr="00C46BE1">
        <w:rPr>
          <w:rFonts w:ascii="Times New Roman" w:hAnsi="Times New Roman" w:cs="Times New Roman"/>
          <w:sz w:val="24"/>
          <w:szCs w:val="24"/>
        </w:rPr>
        <w:t xml:space="preserve">The contractor </w:t>
      </w:r>
      <w:r w:rsidR="00577E54" w:rsidRPr="00C46BE1">
        <w:rPr>
          <w:rFonts w:ascii="Times New Roman" w:hAnsi="Times New Roman" w:cs="Times New Roman"/>
          <w:sz w:val="24"/>
          <w:szCs w:val="24"/>
        </w:rPr>
        <w:t>will conduct and maintain a privacy impact assessment (PIA) in accordance with HHS PIA guidance.</w:t>
      </w:r>
      <w:r w:rsidR="00067104" w:rsidRPr="00C46BE1">
        <w:rPr>
          <w:rFonts w:ascii="Times New Roman" w:hAnsi="Times New Roman" w:cs="Times New Roman"/>
          <w:sz w:val="24"/>
          <w:szCs w:val="24"/>
        </w:rPr>
        <w:t xml:space="preserve"> </w:t>
      </w:r>
    </w:p>
    <w:p w14:paraId="5616B5D2" w14:textId="1FB57A6A" w:rsidR="00067104" w:rsidRPr="00C46BE1" w:rsidRDefault="00067104" w:rsidP="00067104">
      <w:pPr>
        <w:pStyle w:val="BHTCCExhibitFigureHead"/>
        <w:keepNext/>
        <w:spacing w:after="60"/>
        <w:rPr>
          <w:rFonts w:ascii="Tw Cen MT" w:hAnsi="Tw Cen MT"/>
          <w:color w:val="auto"/>
          <w:sz w:val="24"/>
          <w:szCs w:val="24"/>
        </w:rPr>
      </w:pPr>
      <w:r w:rsidRPr="00C46BE1">
        <w:rPr>
          <w:rFonts w:ascii="Tw Cen MT" w:hAnsi="Tw Cen MT"/>
          <w:color w:val="auto"/>
          <w:sz w:val="24"/>
          <w:szCs w:val="24"/>
        </w:rPr>
        <w:t xml:space="preserve">Exhibit </w:t>
      </w:r>
      <w:r w:rsidR="00690A8B" w:rsidRPr="00C46BE1">
        <w:rPr>
          <w:rFonts w:ascii="Tw Cen MT" w:hAnsi="Tw Cen MT"/>
          <w:color w:val="auto"/>
          <w:sz w:val="24"/>
          <w:szCs w:val="24"/>
        </w:rPr>
        <w:t>6</w:t>
      </w:r>
      <w:r w:rsidRPr="00C46BE1">
        <w:rPr>
          <w:rFonts w:ascii="Tw Cen MT" w:hAnsi="Tw Cen MT"/>
          <w:color w:val="auto"/>
          <w:sz w:val="24"/>
          <w:szCs w:val="24"/>
        </w:rPr>
        <w:t>. Features of the CSEDS</w:t>
      </w:r>
    </w:p>
    <w:tbl>
      <w:tblPr>
        <w:tblStyle w:val="TableGrid"/>
        <w:tblW w:w="0" w:type="auto"/>
        <w:tblLayout w:type="fixed"/>
        <w:tblLook w:val="04A0" w:firstRow="1" w:lastRow="0" w:firstColumn="1" w:lastColumn="0" w:noHBand="0" w:noVBand="1"/>
      </w:tblPr>
      <w:tblGrid>
        <w:gridCol w:w="1165"/>
        <w:gridCol w:w="8185"/>
      </w:tblGrid>
      <w:tr w:rsidR="00067104" w:rsidRPr="00C46BE1" w14:paraId="2B6096E9" w14:textId="77777777" w:rsidTr="00DA0769">
        <w:trPr>
          <w:trHeight w:val="278"/>
          <w:tblHeader/>
        </w:trPr>
        <w:tc>
          <w:tcPr>
            <w:tcW w:w="1165" w:type="dxa"/>
            <w:shd w:val="clear" w:color="auto" w:fill="323E4F" w:themeFill="text2" w:themeFillShade="BF"/>
            <w:vAlign w:val="center"/>
          </w:tcPr>
          <w:p w14:paraId="1EDAF5BA" w14:textId="7B51403F" w:rsidR="00067104" w:rsidRPr="00C46BE1" w:rsidRDefault="00067104" w:rsidP="00067104">
            <w:pPr>
              <w:pStyle w:val="BHTCCBody"/>
              <w:spacing w:after="0"/>
              <w:jc w:val="center"/>
              <w:rPr>
                <w:rFonts w:ascii="Times New Roman" w:hAnsi="Times New Roman" w:cs="Times New Roman"/>
                <w:sz w:val="22"/>
              </w:rPr>
            </w:pPr>
            <w:r w:rsidRPr="00C46BE1">
              <w:rPr>
                <w:rFonts w:ascii="Tw Cen MT" w:hAnsi="Tw Cen MT"/>
                <w:sz w:val="22"/>
              </w:rPr>
              <w:t>Feature</w:t>
            </w:r>
          </w:p>
        </w:tc>
        <w:tc>
          <w:tcPr>
            <w:tcW w:w="8185" w:type="dxa"/>
            <w:shd w:val="clear" w:color="auto" w:fill="323E4F" w:themeFill="text2" w:themeFillShade="BF"/>
            <w:vAlign w:val="center"/>
          </w:tcPr>
          <w:p w14:paraId="51119A7D" w14:textId="771AA9E5" w:rsidR="00067104" w:rsidRPr="00C46BE1" w:rsidRDefault="00067104" w:rsidP="00067104">
            <w:pPr>
              <w:pStyle w:val="BHTCCBody"/>
              <w:spacing w:after="0"/>
              <w:jc w:val="center"/>
              <w:rPr>
                <w:rFonts w:ascii="Times New Roman" w:hAnsi="Times New Roman" w:cs="Times New Roman"/>
                <w:sz w:val="22"/>
              </w:rPr>
            </w:pPr>
            <w:r w:rsidRPr="00C46BE1">
              <w:rPr>
                <w:rFonts w:ascii="Tw Cen MT" w:hAnsi="Tw Cen MT"/>
                <w:sz w:val="22"/>
              </w:rPr>
              <w:t>Description</w:t>
            </w:r>
          </w:p>
        </w:tc>
      </w:tr>
      <w:tr w:rsidR="00067104" w:rsidRPr="00C46BE1" w14:paraId="43C75A3A" w14:textId="77777777" w:rsidTr="00067104">
        <w:tc>
          <w:tcPr>
            <w:tcW w:w="1165" w:type="dxa"/>
            <w:vAlign w:val="center"/>
          </w:tcPr>
          <w:p w14:paraId="338A38E5" w14:textId="19DA9DC8" w:rsidR="00067104" w:rsidRPr="00C46BE1" w:rsidRDefault="00067104" w:rsidP="00067104">
            <w:pPr>
              <w:pStyle w:val="BHTCCBody"/>
              <w:spacing w:after="0"/>
              <w:rPr>
                <w:rFonts w:ascii="Tw Cen MT" w:hAnsi="Tw Cen MT" w:cs="Times New Roman"/>
                <w:sz w:val="22"/>
              </w:rPr>
            </w:pPr>
            <w:r w:rsidRPr="00C46BE1">
              <w:rPr>
                <w:rFonts w:ascii="Tw Cen MT" w:hAnsi="Tw Cen MT"/>
                <w:sz w:val="22"/>
              </w:rPr>
              <w:t>Data Collection</w:t>
            </w:r>
          </w:p>
        </w:tc>
        <w:tc>
          <w:tcPr>
            <w:tcW w:w="8185" w:type="dxa"/>
          </w:tcPr>
          <w:p w14:paraId="58B57145" w14:textId="480C16BF" w:rsidR="00067104" w:rsidRPr="00C46BE1" w:rsidRDefault="00067104" w:rsidP="00F1232C">
            <w:pPr>
              <w:pStyle w:val="BHTCCBody"/>
              <w:spacing w:after="0"/>
              <w:rPr>
                <w:rFonts w:ascii="Times New Roman" w:hAnsi="Times New Roman" w:cs="Times New Roman"/>
                <w:sz w:val="22"/>
              </w:rPr>
            </w:pPr>
            <w:r w:rsidRPr="00C46BE1">
              <w:rPr>
                <w:rFonts w:ascii="Tw Cen MT" w:hAnsi="Tw Cen MT"/>
                <w:sz w:val="22"/>
              </w:rPr>
              <w:t xml:space="preserve">The CSEDS support direct administration of </w:t>
            </w:r>
            <w:r w:rsidR="00F1232C" w:rsidRPr="00C46BE1">
              <w:rPr>
                <w:rFonts w:ascii="Tw Cen MT" w:hAnsi="Tw Cen MT"/>
                <w:sz w:val="22"/>
              </w:rPr>
              <w:t>w</w:t>
            </w:r>
            <w:r w:rsidRPr="00C46BE1">
              <w:rPr>
                <w:rFonts w:ascii="Tw Cen MT" w:hAnsi="Tw Cen MT"/>
                <w:sz w:val="22"/>
              </w:rPr>
              <w:t>eb-based surveys, as well as direct entry of training, service delivery, collaboration, infrastructure development, implementation of evidence-based practices through the BPI. Client-level data collected from program participants in the CDP system and through the 18-month data abstraction tool will be uploaded and stored on CSEDS. All methods will incorporate various data quality checks.</w:t>
            </w:r>
          </w:p>
        </w:tc>
      </w:tr>
      <w:tr w:rsidR="00067104" w:rsidRPr="00C46BE1" w14:paraId="16551DC8" w14:textId="77777777" w:rsidTr="00067104">
        <w:tc>
          <w:tcPr>
            <w:tcW w:w="1165" w:type="dxa"/>
            <w:vAlign w:val="center"/>
          </w:tcPr>
          <w:p w14:paraId="51DD4E11" w14:textId="2491AC0F" w:rsidR="00067104" w:rsidRPr="00C46BE1" w:rsidRDefault="00067104" w:rsidP="00067104">
            <w:pPr>
              <w:pStyle w:val="BHTCCBody"/>
              <w:spacing w:after="0"/>
              <w:rPr>
                <w:rFonts w:ascii="Tw Cen MT" w:hAnsi="Tw Cen MT" w:cs="Times New Roman"/>
                <w:sz w:val="22"/>
              </w:rPr>
            </w:pPr>
            <w:r w:rsidRPr="00C46BE1">
              <w:rPr>
                <w:rFonts w:ascii="Tw Cen MT" w:hAnsi="Tw Cen MT"/>
                <w:sz w:val="22"/>
              </w:rPr>
              <w:t>Repository</w:t>
            </w:r>
          </w:p>
        </w:tc>
        <w:tc>
          <w:tcPr>
            <w:tcW w:w="8185" w:type="dxa"/>
          </w:tcPr>
          <w:p w14:paraId="3208CAB4" w14:textId="3050CC20" w:rsidR="00067104" w:rsidRPr="00C46BE1" w:rsidRDefault="00067104" w:rsidP="00186A6F">
            <w:pPr>
              <w:pStyle w:val="BHTCCBody"/>
              <w:spacing w:after="0"/>
              <w:rPr>
                <w:rFonts w:ascii="Times New Roman" w:hAnsi="Times New Roman" w:cs="Times New Roman"/>
                <w:sz w:val="22"/>
              </w:rPr>
            </w:pPr>
            <w:r w:rsidRPr="00C46BE1">
              <w:rPr>
                <w:rFonts w:ascii="Tw Cen MT" w:hAnsi="Tw Cen MT"/>
                <w:sz w:val="22"/>
              </w:rPr>
              <w:t xml:space="preserve">During the design phase, </w:t>
            </w:r>
            <w:r w:rsidR="000E049A" w:rsidRPr="00C46BE1">
              <w:rPr>
                <w:rFonts w:ascii="Tw Cen MT" w:hAnsi="Tw Cen MT"/>
                <w:sz w:val="22"/>
              </w:rPr>
              <w:t>the c</w:t>
            </w:r>
            <w:r w:rsidR="00186A6F" w:rsidRPr="00C46BE1">
              <w:rPr>
                <w:rFonts w:ascii="Tw Cen MT" w:hAnsi="Tw Cen MT"/>
                <w:sz w:val="22"/>
              </w:rPr>
              <w:t xml:space="preserve">ontractor </w:t>
            </w:r>
            <w:r w:rsidRPr="00C46BE1">
              <w:rPr>
                <w:rFonts w:ascii="Tw Cen MT" w:hAnsi="Tw Cen MT"/>
                <w:sz w:val="22"/>
              </w:rPr>
              <w:t>will coordinate with SAMHSA to understand the structure and format of client-level and Infrastructure Development, Prevention and Mental Health Promotion (IPP) data collected and submitted by CSP grantees and design tables to accommodate these structures. Where feasible and desirable, data from these and other secondary data sources will be used to contextualize the process evaluation and to provide a data source for the outcome evaluation. Doing so will streamline data collection, minimize reporting burden on grantees</w:t>
            </w:r>
            <w:r w:rsidR="00C35B6F" w:rsidRPr="00C46BE1">
              <w:rPr>
                <w:rFonts w:ascii="Tw Cen MT" w:hAnsi="Tw Cen MT"/>
                <w:sz w:val="22"/>
              </w:rPr>
              <w:t xml:space="preserve"> and clients reached through these programs</w:t>
            </w:r>
            <w:r w:rsidRPr="00C46BE1">
              <w:rPr>
                <w:rFonts w:ascii="Tw Cen MT" w:hAnsi="Tw Cen MT"/>
                <w:sz w:val="22"/>
              </w:rPr>
              <w:t>, and provide a standardized set of measures that can be used as explanatory and/or outcome variables in statistical analyses.</w:t>
            </w:r>
          </w:p>
        </w:tc>
      </w:tr>
      <w:tr w:rsidR="00067104" w:rsidRPr="00C46BE1" w14:paraId="72C04E49" w14:textId="77777777" w:rsidTr="00067104">
        <w:tc>
          <w:tcPr>
            <w:tcW w:w="1165" w:type="dxa"/>
            <w:vAlign w:val="center"/>
          </w:tcPr>
          <w:p w14:paraId="5A643295" w14:textId="42CB9362" w:rsidR="00067104" w:rsidRPr="00C46BE1" w:rsidRDefault="00067104" w:rsidP="00067104">
            <w:pPr>
              <w:pStyle w:val="BHTCCBody"/>
              <w:spacing w:after="0"/>
              <w:rPr>
                <w:rFonts w:ascii="Tw Cen MT" w:hAnsi="Tw Cen MT" w:cs="Times New Roman"/>
                <w:sz w:val="22"/>
              </w:rPr>
            </w:pPr>
            <w:r w:rsidRPr="00C46BE1">
              <w:rPr>
                <w:rFonts w:ascii="Tw Cen MT" w:hAnsi="Tw Cen MT"/>
                <w:sz w:val="22"/>
              </w:rPr>
              <w:t>Response Monitoring</w:t>
            </w:r>
          </w:p>
        </w:tc>
        <w:tc>
          <w:tcPr>
            <w:tcW w:w="8185" w:type="dxa"/>
            <w:vAlign w:val="center"/>
          </w:tcPr>
          <w:p w14:paraId="50F56F6B" w14:textId="15894BF8" w:rsidR="00067104" w:rsidRPr="00C46BE1" w:rsidRDefault="00067104" w:rsidP="00186A6F">
            <w:pPr>
              <w:pStyle w:val="BHTCCBody"/>
              <w:spacing w:after="0"/>
              <w:rPr>
                <w:rFonts w:ascii="Times New Roman" w:hAnsi="Times New Roman" w:cs="Times New Roman"/>
                <w:sz w:val="22"/>
              </w:rPr>
            </w:pPr>
            <w:r w:rsidRPr="00C46BE1">
              <w:rPr>
                <w:rFonts w:ascii="Tw Cen MT" w:hAnsi="Tw Cen MT"/>
                <w:sz w:val="22"/>
              </w:rPr>
              <w:t xml:space="preserve">A response-monitoring feature will be built into the system to allow </w:t>
            </w:r>
            <w:r w:rsidR="000E049A" w:rsidRPr="00C46BE1">
              <w:rPr>
                <w:rFonts w:ascii="Tw Cen MT" w:hAnsi="Tw Cen MT"/>
                <w:sz w:val="22"/>
              </w:rPr>
              <w:t>the c</w:t>
            </w:r>
            <w:r w:rsidR="00186A6F" w:rsidRPr="00C46BE1">
              <w:rPr>
                <w:rFonts w:ascii="Tw Cen MT" w:hAnsi="Tw Cen MT"/>
                <w:sz w:val="22"/>
              </w:rPr>
              <w:t xml:space="preserve">ontractor </w:t>
            </w:r>
            <w:r w:rsidRPr="00C46BE1">
              <w:rPr>
                <w:rFonts w:ascii="Tw Cen MT" w:hAnsi="Tw Cen MT"/>
                <w:sz w:val="22"/>
              </w:rPr>
              <w:t>to monitor BPI data submissions. This feature will show the latest submission dates, enabling the TA team to follow up with grantees that are not submitting according to established timelines.</w:t>
            </w:r>
          </w:p>
        </w:tc>
      </w:tr>
      <w:tr w:rsidR="00067104" w:rsidRPr="00C46BE1" w14:paraId="44B2FA67" w14:textId="77777777" w:rsidTr="00067104">
        <w:tc>
          <w:tcPr>
            <w:tcW w:w="1165" w:type="dxa"/>
            <w:vAlign w:val="center"/>
          </w:tcPr>
          <w:p w14:paraId="56882E5E" w14:textId="16E1F64A" w:rsidR="00067104" w:rsidRPr="00C46BE1" w:rsidRDefault="00067104" w:rsidP="00067104">
            <w:pPr>
              <w:pStyle w:val="BHTCCBody"/>
              <w:spacing w:after="0"/>
              <w:rPr>
                <w:rFonts w:ascii="Tw Cen MT" w:hAnsi="Tw Cen MT" w:cs="Times New Roman"/>
                <w:sz w:val="22"/>
              </w:rPr>
            </w:pPr>
            <w:r w:rsidRPr="00C46BE1">
              <w:rPr>
                <w:rFonts w:ascii="Tw Cen MT" w:hAnsi="Tw Cen MT"/>
                <w:sz w:val="22"/>
              </w:rPr>
              <w:t>Evaluation Resources</w:t>
            </w:r>
          </w:p>
        </w:tc>
        <w:tc>
          <w:tcPr>
            <w:tcW w:w="8185" w:type="dxa"/>
          </w:tcPr>
          <w:p w14:paraId="4167C30F" w14:textId="08D7BDBF" w:rsidR="00067104" w:rsidRPr="00C46BE1" w:rsidRDefault="00067104" w:rsidP="00F1232C">
            <w:pPr>
              <w:pStyle w:val="BHTCCBody"/>
              <w:spacing w:after="0"/>
              <w:rPr>
                <w:rFonts w:ascii="Times New Roman" w:hAnsi="Times New Roman" w:cs="Times New Roman"/>
                <w:sz w:val="22"/>
              </w:rPr>
            </w:pPr>
            <w:r w:rsidRPr="00C46BE1">
              <w:rPr>
                <w:rFonts w:ascii="Tw Cen MT" w:hAnsi="Tw Cen MT"/>
                <w:sz w:val="22"/>
              </w:rPr>
              <w:t xml:space="preserve">All evaluation support materials, such as manuals, data dictionaries, data collection protocols, and instruments will be housed on CSEDS to ensure access by grantees. Additionally, any recordings of training </w:t>
            </w:r>
            <w:r w:rsidR="00F1232C" w:rsidRPr="00C46BE1">
              <w:rPr>
                <w:rFonts w:ascii="Tw Cen MT" w:hAnsi="Tw Cen MT"/>
                <w:sz w:val="22"/>
              </w:rPr>
              <w:t>w</w:t>
            </w:r>
            <w:r w:rsidRPr="00C46BE1">
              <w:rPr>
                <w:rFonts w:ascii="Tw Cen MT" w:hAnsi="Tw Cen MT"/>
                <w:sz w:val="22"/>
              </w:rPr>
              <w:t>ebinars will be posted to CSEDS in the event that grantees need to train new staff or provide reviews to existing staff.</w:t>
            </w:r>
          </w:p>
        </w:tc>
      </w:tr>
    </w:tbl>
    <w:p w14:paraId="6306A5EE" w14:textId="7D575D3D" w:rsidR="00AC0AF2" w:rsidRPr="00C46BE1" w:rsidRDefault="00EF104A" w:rsidP="00090868">
      <w:pPr>
        <w:pStyle w:val="BHTCCBody"/>
        <w:keepNext/>
        <w:numPr>
          <w:ilvl w:val="0"/>
          <w:numId w:val="13"/>
        </w:numPr>
        <w:spacing w:before="240"/>
        <w:rPr>
          <w:color w:val="C00000"/>
        </w:rPr>
      </w:pPr>
      <w:r w:rsidRPr="00C46BE1">
        <w:rPr>
          <w:rFonts w:ascii="Tw Cen MT" w:hAnsi="Tw Cen MT" w:cs="Arial"/>
          <w:b/>
          <w:sz w:val="28"/>
          <w:szCs w:val="28"/>
        </w:rPr>
        <w:t>Web</w:t>
      </w:r>
      <w:r w:rsidR="00154691" w:rsidRPr="00C46BE1">
        <w:rPr>
          <w:rFonts w:ascii="Tw Cen MT" w:hAnsi="Tw Cen MT" w:cs="Arial"/>
          <w:b/>
          <w:sz w:val="28"/>
          <w:szCs w:val="28"/>
        </w:rPr>
        <w:t>-based Programs</w:t>
      </w:r>
    </w:p>
    <w:p w14:paraId="1BA0F921" w14:textId="6FE9DB29" w:rsidR="00154691" w:rsidRPr="00C46BE1" w:rsidRDefault="00154691" w:rsidP="00154691">
      <w:pPr>
        <w:pStyle w:val="BHTCCBody"/>
        <w:rPr>
          <w:rFonts w:ascii="Times New Roman" w:hAnsi="Times New Roman" w:cs="Times New Roman"/>
          <w:sz w:val="24"/>
          <w:szCs w:val="24"/>
        </w:rPr>
      </w:pPr>
      <w:r w:rsidRPr="00C46BE1">
        <w:rPr>
          <w:rFonts w:ascii="Times New Roman" w:hAnsi="Times New Roman" w:cs="Times New Roman"/>
          <w:sz w:val="24"/>
          <w:szCs w:val="24"/>
        </w:rPr>
        <w:t xml:space="preserve">Web-based programs will be used to facilitate group participation in focus groups and concept mapping. </w:t>
      </w:r>
      <w:r w:rsidR="00E50118" w:rsidRPr="00C46BE1">
        <w:rPr>
          <w:rFonts w:ascii="Times New Roman" w:hAnsi="Times New Roman" w:cs="Times New Roman"/>
          <w:sz w:val="24"/>
          <w:szCs w:val="24"/>
        </w:rPr>
        <w:t xml:space="preserve">Concept mapping exercises </w:t>
      </w:r>
      <w:r w:rsidRPr="00C46BE1">
        <w:rPr>
          <w:rFonts w:ascii="Times New Roman" w:hAnsi="Times New Roman" w:cs="Times New Roman"/>
          <w:sz w:val="24"/>
          <w:szCs w:val="24"/>
        </w:rPr>
        <w:t xml:space="preserve">also </w:t>
      </w:r>
      <w:r w:rsidR="00E50118" w:rsidRPr="00C46BE1">
        <w:rPr>
          <w:rFonts w:ascii="Times New Roman" w:hAnsi="Times New Roman" w:cs="Times New Roman"/>
          <w:sz w:val="24"/>
          <w:szCs w:val="24"/>
        </w:rPr>
        <w:t xml:space="preserve">will be conducted </w:t>
      </w:r>
      <w:r w:rsidR="00EF104A" w:rsidRPr="00C46BE1">
        <w:rPr>
          <w:rFonts w:ascii="Times New Roman" w:hAnsi="Times New Roman" w:cs="Times New Roman"/>
          <w:sz w:val="24"/>
          <w:szCs w:val="24"/>
        </w:rPr>
        <w:t xml:space="preserve">via the </w:t>
      </w:r>
      <w:r w:rsidR="00F1232C" w:rsidRPr="00C46BE1">
        <w:rPr>
          <w:rFonts w:ascii="Times New Roman" w:hAnsi="Times New Roman" w:cs="Times New Roman"/>
          <w:sz w:val="24"/>
          <w:szCs w:val="24"/>
        </w:rPr>
        <w:t>w</w:t>
      </w:r>
      <w:r w:rsidR="00EF104A" w:rsidRPr="00C46BE1">
        <w:rPr>
          <w:rFonts w:ascii="Times New Roman" w:hAnsi="Times New Roman" w:cs="Times New Roman"/>
          <w:sz w:val="24"/>
          <w:szCs w:val="24"/>
        </w:rPr>
        <w:t>eb</w:t>
      </w:r>
      <w:r w:rsidRPr="00C46BE1">
        <w:rPr>
          <w:rFonts w:ascii="Times New Roman" w:hAnsi="Times New Roman" w:cs="Times New Roman"/>
          <w:sz w:val="24"/>
          <w:szCs w:val="24"/>
        </w:rPr>
        <w:t xml:space="preserve"> using </w:t>
      </w:r>
      <w:r w:rsidR="00EF104A" w:rsidRPr="00C46BE1">
        <w:rPr>
          <w:rFonts w:ascii="Times New Roman" w:hAnsi="Times New Roman" w:cs="Times New Roman"/>
          <w:sz w:val="24"/>
          <w:szCs w:val="24"/>
        </w:rPr>
        <w:t xml:space="preserve">Concept System </w:t>
      </w:r>
      <w:r w:rsidR="00E50118" w:rsidRPr="00C46BE1">
        <w:rPr>
          <w:rFonts w:ascii="Times New Roman" w:hAnsi="Times New Roman" w:cs="Times New Roman"/>
          <w:sz w:val="24"/>
          <w:szCs w:val="24"/>
        </w:rPr>
        <w:t>software</w:t>
      </w:r>
      <w:r w:rsidRPr="00C46BE1">
        <w:rPr>
          <w:rFonts w:ascii="Times New Roman" w:hAnsi="Times New Roman" w:cs="Times New Roman"/>
          <w:sz w:val="24"/>
          <w:szCs w:val="24"/>
        </w:rPr>
        <w:t xml:space="preserve">, which </w:t>
      </w:r>
      <w:r w:rsidR="00E50118" w:rsidRPr="00C46BE1">
        <w:rPr>
          <w:rFonts w:ascii="Times New Roman" w:hAnsi="Times New Roman" w:cs="Times New Roman"/>
          <w:sz w:val="24"/>
          <w:szCs w:val="24"/>
        </w:rPr>
        <w:t xml:space="preserve">supports carrying out brainstorming, sorting/rating, and interpretation via a </w:t>
      </w:r>
      <w:r w:rsidR="00F1232C" w:rsidRPr="00C46BE1">
        <w:rPr>
          <w:rFonts w:ascii="Times New Roman" w:hAnsi="Times New Roman" w:cs="Times New Roman"/>
          <w:sz w:val="24"/>
          <w:szCs w:val="24"/>
        </w:rPr>
        <w:t>w</w:t>
      </w:r>
      <w:r w:rsidR="00E50118" w:rsidRPr="00C46BE1">
        <w:rPr>
          <w:rFonts w:ascii="Times New Roman" w:hAnsi="Times New Roman" w:cs="Times New Roman"/>
          <w:sz w:val="24"/>
          <w:szCs w:val="24"/>
        </w:rPr>
        <w:t xml:space="preserve">eb-based program on personal computers. </w:t>
      </w:r>
      <w:r w:rsidR="00EF104A" w:rsidRPr="00C46BE1">
        <w:rPr>
          <w:rFonts w:ascii="Times New Roman" w:hAnsi="Times New Roman" w:cs="Times New Roman"/>
          <w:sz w:val="24"/>
          <w:szCs w:val="24"/>
        </w:rPr>
        <w:t xml:space="preserve">Conducting </w:t>
      </w:r>
      <w:r w:rsidRPr="00C46BE1">
        <w:rPr>
          <w:rFonts w:ascii="Times New Roman" w:hAnsi="Times New Roman" w:cs="Times New Roman"/>
          <w:sz w:val="24"/>
          <w:szCs w:val="24"/>
        </w:rPr>
        <w:t xml:space="preserve">the ENFGs and </w:t>
      </w:r>
      <w:r w:rsidR="00EF104A" w:rsidRPr="00C46BE1">
        <w:rPr>
          <w:rFonts w:ascii="Times New Roman" w:hAnsi="Times New Roman" w:cs="Times New Roman"/>
          <w:sz w:val="24"/>
          <w:szCs w:val="24"/>
        </w:rPr>
        <w:t xml:space="preserve">concept mapping via the </w:t>
      </w:r>
      <w:r w:rsidR="00F1232C" w:rsidRPr="00C46BE1">
        <w:rPr>
          <w:rFonts w:ascii="Times New Roman" w:hAnsi="Times New Roman" w:cs="Times New Roman"/>
          <w:sz w:val="24"/>
          <w:szCs w:val="24"/>
        </w:rPr>
        <w:t>w</w:t>
      </w:r>
      <w:r w:rsidR="00EF104A" w:rsidRPr="00C46BE1">
        <w:rPr>
          <w:rFonts w:ascii="Times New Roman" w:hAnsi="Times New Roman" w:cs="Times New Roman"/>
          <w:sz w:val="24"/>
          <w:szCs w:val="24"/>
        </w:rPr>
        <w:t xml:space="preserve">eb </w:t>
      </w:r>
      <w:r w:rsidR="0030578F" w:rsidRPr="00C46BE1">
        <w:rPr>
          <w:rFonts w:ascii="Times New Roman" w:hAnsi="Times New Roman" w:cs="Times New Roman"/>
          <w:sz w:val="24"/>
          <w:szCs w:val="24"/>
        </w:rPr>
        <w:t xml:space="preserve">will </w:t>
      </w:r>
      <w:r w:rsidR="00EF104A" w:rsidRPr="00C46BE1">
        <w:rPr>
          <w:rFonts w:ascii="Times New Roman" w:hAnsi="Times New Roman" w:cs="Times New Roman"/>
          <w:sz w:val="24"/>
          <w:szCs w:val="24"/>
        </w:rPr>
        <w:t>facilitate the participation of large numbers of stakeholders</w:t>
      </w:r>
      <w:r w:rsidRPr="00C46BE1">
        <w:rPr>
          <w:rFonts w:ascii="Times New Roman" w:hAnsi="Times New Roman" w:cs="Times New Roman"/>
          <w:sz w:val="24"/>
          <w:szCs w:val="24"/>
        </w:rPr>
        <w:t xml:space="preserve">, </w:t>
      </w:r>
      <w:r w:rsidR="0030578F" w:rsidRPr="00C46BE1">
        <w:rPr>
          <w:rFonts w:ascii="Times New Roman" w:hAnsi="Times New Roman" w:cs="Times New Roman"/>
          <w:sz w:val="24"/>
          <w:szCs w:val="24"/>
        </w:rPr>
        <w:t>mollify traditional</w:t>
      </w:r>
      <w:r w:rsidR="00EF104A" w:rsidRPr="00C46BE1">
        <w:rPr>
          <w:rFonts w:ascii="Times New Roman" w:hAnsi="Times New Roman" w:cs="Times New Roman"/>
          <w:sz w:val="24"/>
          <w:szCs w:val="24"/>
        </w:rPr>
        <w:t xml:space="preserve"> time </w:t>
      </w:r>
      <w:r w:rsidR="0030578F" w:rsidRPr="00C46BE1">
        <w:rPr>
          <w:rFonts w:ascii="Times New Roman" w:hAnsi="Times New Roman" w:cs="Times New Roman"/>
          <w:sz w:val="24"/>
          <w:szCs w:val="24"/>
        </w:rPr>
        <w:t xml:space="preserve">burden </w:t>
      </w:r>
      <w:r w:rsidR="00EF104A" w:rsidRPr="00C46BE1">
        <w:rPr>
          <w:rFonts w:ascii="Times New Roman" w:hAnsi="Times New Roman" w:cs="Times New Roman"/>
          <w:sz w:val="24"/>
          <w:szCs w:val="24"/>
        </w:rPr>
        <w:t xml:space="preserve">and travel </w:t>
      </w:r>
      <w:r w:rsidR="0030578F" w:rsidRPr="00C46BE1">
        <w:rPr>
          <w:rFonts w:ascii="Times New Roman" w:hAnsi="Times New Roman" w:cs="Times New Roman"/>
          <w:sz w:val="24"/>
          <w:szCs w:val="24"/>
        </w:rPr>
        <w:t>costs</w:t>
      </w:r>
      <w:r w:rsidR="00EF104A" w:rsidRPr="00C46BE1">
        <w:rPr>
          <w:rFonts w:ascii="Times New Roman" w:hAnsi="Times New Roman" w:cs="Times New Roman"/>
          <w:sz w:val="24"/>
          <w:szCs w:val="24"/>
        </w:rPr>
        <w:t xml:space="preserve"> associated with </w:t>
      </w:r>
      <w:r w:rsidRPr="00C46BE1">
        <w:rPr>
          <w:rFonts w:ascii="Times New Roman" w:hAnsi="Times New Roman" w:cs="Times New Roman"/>
          <w:sz w:val="24"/>
          <w:szCs w:val="24"/>
        </w:rPr>
        <w:t xml:space="preserve">in-person data collection, and </w:t>
      </w:r>
      <w:r w:rsidR="0030578F" w:rsidRPr="00C46BE1">
        <w:rPr>
          <w:rFonts w:ascii="Times New Roman" w:hAnsi="Times New Roman" w:cs="Times New Roman"/>
          <w:sz w:val="24"/>
          <w:szCs w:val="24"/>
        </w:rPr>
        <w:t>offer</w:t>
      </w:r>
      <w:r w:rsidRPr="00C46BE1">
        <w:rPr>
          <w:rFonts w:ascii="Times New Roman" w:hAnsi="Times New Roman" w:cs="Times New Roman"/>
          <w:sz w:val="24"/>
          <w:szCs w:val="24"/>
        </w:rPr>
        <w:t xml:space="preserve"> respondents flexibility to participate from</w:t>
      </w:r>
      <w:r w:rsidR="005A2529" w:rsidRPr="00C46BE1">
        <w:rPr>
          <w:rFonts w:ascii="Times New Roman" w:hAnsi="Times New Roman" w:cs="Times New Roman"/>
          <w:sz w:val="24"/>
          <w:szCs w:val="24"/>
        </w:rPr>
        <w:t xml:space="preserve"> convenient locations</w:t>
      </w:r>
      <w:r w:rsidR="00EF104A" w:rsidRPr="00C46BE1">
        <w:rPr>
          <w:rFonts w:ascii="Times New Roman" w:hAnsi="Times New Roman" w:cs="Times New Roman"/>
          <w:sz w:val="24"/>
          <w:szCs w:val="24"/>
        </w:rPr>
        <w:t xml:space="preserve">. </w:t>
      </w:r>
      <w:r w:rsidR="005A2529" w:rsidRPr="00C46BE1">
        <w:rPr>
          <w:rFonts w:ascii="Times New Roman" w:hAnsi="Times New Roman" w:cs="Times New Roman"/>
          <w:sz w:val="24"/>
          <w:szCs w:val="24"/>
        </w:rPr>
        <w:t>Prior to conducting these activities, th</w:t>
      </w:r>
      <w:r w:rsidR="00E50118" w:rsidRPr="00C46BE1">
        <w:rPr>
          <w:rFonts w:ascii="Times New Roman" w:hAnsi="Times New Roman" w:cs="Times New Roman"/>
          <w:sz w:val="24"/>
          <w:szCs w:val="24"/>
        </w:rPr>
        <w:t xml:space="preserve">e feasibility of Web-based participation will be assessed and </w:t>
      </w:r>
      <w:r w:rsidR="005A2529" w:rsidRPr="00C46BE1">
        <w:rPr>
          <w:rFonts w:ascii="Times New Roman" w:hAnsi="Times New Roman" w:cs="Times New Roman"/>
          <w:sz w:val="24"/>
          <w:szCs w:val="24"/>
        </w:rPr>
        <w:t xml:space="preserve">plans will be put in place to </w:t>
      </w:r>
      <w:r w:rsidR="00EF104A" w:rsidRPr="00C46BE1">
        <w:rPr>
          <w:rFonts w:ascii="Times New Roman" w:hAnsi="Times New Roman" w:cs="Times New Roman"/>
          <w:sz w:val="24"/>
          <w:szCs w:val="24"/>
        </w:rPr>
        <w:t>accommod</w:t>
      </w:r>
      <w:r w:rsidR="005A2529" w:rsidRPr="00C46BE1">
        <w:rPr>
          <w:rFonts w:ascii="Times New Roman" w:hAnsi="Times New Roman" w:cs="Times New Roman"/>
          <w:sz w:val="24"/>
          <w:szCs w:val="24"/>
        </w:rPr>
        <w:t xml:space="preserve">ate </w:t>
      </w:r>
      <w:r w:rsidR="00EF104A" w:rsidRPr="00C46BE1">
        <w:rPr>
          <w:rFonts w:ascii="Times New Roman" w:hAnsi="Times New Roman" w:cs="Times New Roman"/>
          <w:sz w:val="24"/>
          <w:szCs w:val="24"/>
        </w:rPr>
        <w:t xml:space="preserve">respondents who </w:t>
      </w:r>
      <w:r w:rsidR="005A2529" w:rsidRPr="00C46BE1">
        <w:rPr>
          <w:rFonts w:ascii="Times New Roman" w:hAnsi="Times New Roman" w:cs="Times New Roman"/>
          <w:sz w:val="24"/>
          <w:szCs w:val="24"/>
        </w:rPr>
        <w:t>may</w:t>
      </w:r>
      <w:r w:rsidR="00EF104A" w:rsidRPr="00C46BE1">
        <w:rPr>
          <w:rFonts w:ascii="Times New Roman" w:hAnsi="Times New Roman" w:cs="Times New Roman"/>
          <w:sz w:val="24"/>
          <w:szCs w:val="24"/>
        </w:rPr>
        <w:t xml:space="preserve"> not have computer access</w:t>
      </w:r>
      <w:r w:rsidR="00E50118" w:rsidRPr="00C46BE1">
        <w:rPr>
          <w:rFonts w:ascii="Times New Roman" w:hAnsi="Times New Roman" w:cs="Times New Roman"/>
          <w:sz w:val="24"/>
          <w:szCs w:val="24"/>
        </w:rPr>
        <w:t xml:space="preserve"> </w:t>
      </w:r>
      <w:r w:rsidR="00EF104A" w:rsidRPr="00C46BE1">
        <w:rPr>
          <w:rFonts w:ascii="Times New Roman" w:hAnsi="Times New Roman" w:cs="Times New Roman"/>
          <w:sz w:val="24"/>
          <w:szCs w:val="24"/>
        </w:rPr>
        <w:t>to participate by telephone</w:t>
      </w:r>
      <w:r w:rsidR="005A2529" w:rsidRPr="00C46BE1">
        <w:rPr>
          <w:rFonts w:ascii="Times New Roman" w:hAnsi="Times New Roman" w:cs="Times New Roman"/>
          <w:sz w:val="24"/>
          <w:szCs w:val="24"/>
        </w:rPr>
        <w:t xml:space="preserve"> or via another method</w:t>
      </w:r>
      <w:r w:rsidR="00EF104A" w:rsidRPr="00C46BE1">
        <w:rPr>
          <w:rFonts w:ascii="Times New Roman" w:hAnsi="Times New Roman" w:cs="Times New Roman"/>
          <w:sz w:val="24"/>
          <w:szCs w:val="24"/>
        </w:rPr>
        <w:t xml:space="preserve">. </w:t>
      </w:r>
    </w:p>
    <w:p w14:paraId="6C463247" w14:textId="322DFC12" w:rsidR="008A20F4" w:rsidRPr="00C46BE1" w:rsidRDefault="008A20F4" w:rsidP="008A20F4">
      <w:pPr>
        <w:pStyle w:val="BHTCCBody"/>
        <w:rPr>
          <w:rFonts w:ascii="Times New Roman" w:hAnsi="Times New Roman" w:cs="Times New Roman"/>
          <w:sz w:val="24"/>
          <w:szCs w:val="24"/>
        </w:rPr>
      </w:pPr>
      <w:r w:rsidRPr="00C46BE1">
        <w:rPr>
          <w:rFonts w:ascii="Times New Roman" w:hAnsi="Times New Roman" w:cs="Times New Roman"/>
          <w:sz w:val="24"/>
          <w:szCs w:val="24"/>
        </w:rPr>
        <w:t xml:space="preserve">Respondents to the ENFGs will participate virtually through a </w:t>
      </w:r>
      <w:r w:rsidR="00F1232C" w:rsidRPr="00C46BE1">
        <w:rPr>
          <w:rFonts w:ascii="Times New Roman" w:hAnsi="Times New Roman" w:cs="Times New Roman"/>
          <w:sz w:val="24"/>
          <w:szCs w:val="24"/>
        </w:rPr>
        <w:t>w</w:t>
      </w:r>
      <w:r w:rsidRPr="00C46BE1">
        <w:rPr>
          <w:rFonts w:ascii="Times New Roman" w:hAnsi="Times New Roman" w:cs="Times New Roman"/>
          <w:sz w:val="24"/>
          <w:szCs w:val="24"/>
        </w:rPr>
        <w:t xml:space="preserve">eb-based platform, such as </w:t>
      </w:r>
      <w:proofErr w:type="spellStart"/>
      <w:r w:rsidRPr="00C46BE1">
        <w:rPr>
          <w:rFonts w:ascii="Times New Roman" w:hAnsi="Times New Roman" w:cs="Times New Roman"/>
          <w:sz w:val="24"/>
          <w:szCs w:val="24"/>
        </w:rPr>
        <w:t>JoinMe</w:t>
      </w:r>
      <w:proofErr w:type="spellEnd"/>
      <w:r w:rsidRPr="00C46BE1">
        <w:rPr>
          <w:rFonts w:ascii="Times New Roman" w:hAnsi="Times New Roman" w:cs="Times New Roman"/>
          <w:sz w:val="24"/>
          <w:szCs w:val="24"/>
        </w:rPr>
        <w:t>. Conducting focus groups virtually introduces potential issues with regard to technology access and capabilities across the participants. To minimize issues related to internet connectivity speeds, while still providing some visual cues and opportunities for rapport building, participants will join the discussion orally but will not participate on camera. The online meeting platform will, however, be equipped with features that will enable them to visually indicate to the group that they would like to speak (e.g., a “raise hand” feature in the platform). The virtual platform may also enable participants to share information that they would not be willing to voice aloud, as it affords the ability for participants to use a built-in instant messaging system to share a private message with the moderator to read to the group. While participants will not participate on camera, the group moderator will appear on video in order to build rapport and enable the moderator to more effectively guide the discussion.</w:t>
      </w:r>
    </w:p>
    <w:p w14:paraId="4706AA87" w14:textId="6D6BC880" w:rsidR="0004771C" w:rsidRPr="00C46BE1" w:rsidRDefault="005A2529" w:rsidP="00090868">
      <w:pPr>
        <w:pStyle w:val="BHTCCBody"/>
        <w:numPr>
          <w:ilvl w:val="0"/>
          <w:numId w:val="13"/>
        </w:numPr>
        <w:spacing w:before="240"/>
        <w:rPr>
          <w:color w:val="C00000"/>
        </w:rPr>
      </w:pPr>
      <w:r w:rsidRPr="00C46BE1">
        <w:rPr>
          <w:rFonts w:ascii="Tw Cen MT" w:hAnsi="Tw Cen MT" w:cs="Arial"/>
          <w:b/>
          <w:sz w:val="28"/>
          <w:szCs w:val="28"/>
        </w:rPr>
        <w:t>Skype</w:t>
      </w:r>
      <w:r w:rsidR="00BF0C30" w:rsidRPr="00C46BE1">
        <w:rPr>
          <w:rFonts w:ascii="Tw Cen MT" w:hAnsi="Tw Cen MT" w:cs="Arial"/>
          <w:b/>
          <w:sz w:val="28"/>
          <w:szCs w:val="28"/>
        </w:rPr>
        <w:t>/Web-based Videoconferencing</w:t>
      </w:r>
    </w:p>
    <w:p w14:paraId="4F5AD509" w14:textId="197CCAFA" w:rsidR="008F7BC1" w:rsidRPr="00C46BE1" w:rsidRDefault="005A2529" w:rsidP="008F7BC1">
      <w:pPr>
        <w:pStyle w:val="BHTCCBody"/>
        <w:rPr>
          <w:rFonts w:ascii="Times New Roman" w:hAnsi="Times New Roman" w:cs="Times New Roman"/>
          <w:color w:val="222222"/>
          <w:sz w:val="24"/>
          <w:szCs w:val="24"/>
          <w:shd w:val="clear" w:color="auto" w:fill="FFFFFF"/>
        </w:rPr>
      </w:pPr>
      <w:r w:rsidRPr="00C46BE1">
        <w:rPr>
          <w:rFonts w:ascii="Times New Roman" w:hAnsi="Times New Roman" w:cs="Times New Roman"/>
          <w:sz w:val="24"/>
          <w:szCs w:val="24"/>
        </w:rPr>
        <w:t xml:space="preserve">The SLA </w:t>
      </w:r>
      <w:r w:rsidR="00F1232C" w:rsidRPr="00C46BE1">
        <w:rPr>
          <w:rFonts w:ascii="Times New Roman" w:hAnsi="Times New Roman" w:cs="Times New Roman"/>
          <w:sz w:val="24"/>
          <w:szCs w:val="24"/>
        </w:rPr>
        <w:t xml:space="preserve">KIIs </w:t>
      </w:r>
      <w:r w:rsidRPr="00C46BE1">
        <w:rPr>
          <w:rFonts w:ascii="Times New Roman" w:hAnsi="Times New Roman" w:cs="Times New Roman"/>
          <w:sz w:val="24"/>
          <w:szCs w:val="24"/>
        </w:rPr>
        <w:t xml:space="preserve">and SSA KIIs will be conducted with individuals </w:t>
      </w:r>
      <w:r w:rsidR="00BF0C30" w:rsidRPr="00C46BE1">
        <w:rPr>
          <w:rFonts w:ascii="Times New Roman" w:hAnsi="Times New Roman" w:cs="Times New Roman"/>
          <w:sz w:val="24"/>
          <w:szCs w:val="24"/>
        </w:rPr>
        <w:t>via</w:t>
      </w:r>
      <w:r w:rsidRPr="00C46BE1">
        <w:rPr>
          <w:rFonts w:ascii="Times New Roman" w:hAnsi="Times New Roman" w:cs="Times New Roman"/>
          <w:sz w:val="24"/>
          <w:szCs w:val="24"/>
        </w:rPr>
        <w:t xml:space="preserve"> Skype</w:t>
      </w:r>
      <w:r w:rsidR="00BF0C30" w:rsidRPr="00C46BE1">
        <w:rPr>
          <w:rFonts w:ascii="Times New Roman" w:hAnsi="Times New Roman" w:cs="Times New Roman"/>
          <w:sz w:val="24"/>
          <w:szCs w:val="24"/>
        </w:rPr>
        <w:t xml:space="preserve"> or another </w:t>
      </w:r>
      <w:r w:rsidR="00F1232C" w:rsidRPr="00C46BE1">
        <w:rPr>
          <w:rFonts w:ascii="Times New Roman" w:hAnsi="Times New Roman" w:cs="Times New Roman"/>
          <w:sz w:val="24"/>
          <w:szCs w:val="24"/>
        </w:rPr>
        <w:t>w</w:t>
      </w:r>
      <w:r w:rsidR="00BF0C30" w:rsidRPr="00C46BE1">
        <w:rPr>
          <w:rFonts w:ascii="Times New Roman" w:hAnsi="Times New Roman" w:cs="Times New Roman"/>
          <w:sz w:val="24"/>
          <w:szCs w:val="24"/>
        </w:rPr>
        <w:t>eb-based videoconferencing platform</w:t>
      </w:r>
      <w:r w:rsidRPr="00C46BE1">
        <w:rPr>
          <w:rFonts w:ascii="Times New Roman" w:hAnsi="Times New Roman" w:cs="Times New Roman"/>
          <w:sz w:val="24"/>
          <w:szCs w:val="24"/>
        </w:rPr>
        <w:t xml:space="preserve">. Skype is a </w:t>
      </w:r>
      <w:r w:rsidR="00F1232C" w:rsidRPr="00C46BE1">
        <w:rPr>
          <w:rFonts w:ascii="Times New Roman" w:hAnsi="Times New Roman" w:cs="Times New Roman"/>
          <w:sz w:val="24"/>
          <w:szCs w:val="24"/>
        </w:rPr>
        <w:t>w</w:t>
      </w:r>
      <w:r w:rsidRPr="00C46BE1">
        <w:rPr>
          <w:rFonts w:ascii="Times New Roman" w:hAnsi="Times New Roman" w:cs="Times New Roman"/>
          <w:sz w:val="24"/>
          <w:szCs w:val="24"/>
        </w:rPr>
        <w:t xml:space="preserve">eb-based software application that allows users to </w:t>
      </w:r>
      <w:r w:rsidRPr="00C46BE1">
        <w:rPr>
          <w:rFonts w:ascii="Times New Roman" w:hAnsi="Times New Roman" w:cs="Times New Roman"/>
          <w:color w:val="222222"/>
          <w:sz w:val="24"/>
          <w:szCs w:val="24"/>
          <w:shd w:val="clear" w:color="auto" w:fill="FFFFFF"/>
        </w:rPr>
        <w:t xml:space="preserve">have spoken conversations while also viewing one another by webcam and chatting via instant message. Conducting the KIIs via Skype rather than telephone will facilitate </w:t>
      </w:r>
      <w:r w:rsidR="0030578F" w:rsidRPr="00C46BE1">
        <w:rPr>
          <w:rFonts w:ascii="Times New Roman" w:hAnsi="Times New Roman" w:cs="Times New Roman"/>
          <w:color w:val="222222"/>
          <w:sz w:val="24"/>
          <w:szCs w:val="24"/>
          <w:shd w:val="clear" w:color="auto" w:fill="FFFFFF"/>
        </w:rPr>
        <w:t>the ability of interviewers to build rapport with respondents. In addition, utilizing Skype technology will alleviate the time and costs to travel to participate in the interviews in person and allow respondents to participate from a location of their choosing.</w:t>
      </w:r>
    </w:p>
    <w:p w14:paraId="370C7AF8" w14:textId="22566DE5" w:rsidR="00F0228B" w:rsidRPr="00C46BE1" w:rsidRDefault="00F0228B" w:rsidP="00090868">
      <w:pPr>
        <w:pStyle w:val="BHTCCBody"/>
        <w:numPr>
          <w:ilvl w:val="0"/>
          <w:numId w:val="8"/>
        </w:numPr>
        <w:spacing w:before="360"/>
        <w:rPr>
          <w:rFonts w:ascii="Tw Cen MT" w:hAnsi="Tw Cen MT" w:cs="Arial"/>
          <w:b/>
          <w:spacing w:val="-2"/>
          <w:sz w:val="28"/>
          <w:szCs w:val="28"/>
        </w:rPr>
      </w:pPr>
      <w:r w:rsidRPr="00C46BE1">
        <w:rPr>
          <w:rFonts w:ascii="Tw Cen MT" w:hAnsi="Tw Cen MT" w:cs="Arial"/>
          <w:b/>
          <w:spacing w:val="-2"/>
          <w:sz w:val="28"/>
          <w:szCs w:val="28"/>
        </w:rPr>
        <w:t>Efforts to Identify Duplication</w:t>
      </w:r>
    </w:p>
    <w:p w14:paraId="1819BFE5" w14:textId="77777777" w:rsidR="00F6549D" w:rsidRPr="00C46BE1" w:rsidRDefault="00C92D28" w:rsidP="00C92D28">
      <w:pPr>
        <w:spacing w:after="200"/>
        <w:rPr>
          <w:rStyle w:val="StyleBold"/>
          <w:rFonts w:ascii="Times New Roman" w:hAnsi="Times New Roman"/>
          <w:b w:val="0"/>
        </w:rPr>
      </w:pPr>
      <w:r w:rsidRPr="00C46BE1">
        <w:rPr>
          <w:rStyle w:val="StyleBold"/>
          <w:rFonts w:ascii="Times New Roman" w:hAnsi="Times New Roman"/>
          <w:b w:val="0"/>
        </w:rPr>
        <w:t>The current BHTCC program builds on the accomplishments of a first cohort</w:t>
      </w:r>
      <w:r w:rsidRPr="00C46BE1">
        <w:t xml:space="preserve"> of BHTCC grantees funded by SAMHSA </w:t>
      </w:r>
      <w:r w:rsidRPr="00C46BE1">
        <w:rPr>
          <w:rStyle w:val="StyleBold"/>
          <w:rFonts w:ascii="Times New Roman" w:hAnsi="Times New Roman"/>
          <w:b w:val="0"/>
        </w:rPr>
        <w:t xml:space="preserve">between 2011 and 2014 by combining previous and current SAMHSA funded criminal justice-treatment linkage programs with infrastructure planning and development activities to create new court and community networks to transform the behavioral health system at the community level. A key difference in the BHTCC Program second funding cohort is that each collaborative must involve municipal courts. In addition, veterans are a population of focus. </w:t>
      </w:r>
    </w:p>
    <w:p w14:paraId="774E6494" w14:textId="15073BE4" w:rsidR="00362608" w:rsidRPr="00C46BE1" w:rsidRDefault="00F6549D" w:rsidP="00F6549D">
      <w:pPr>
        <w:spacing w:after="200"/>
      </w:pPr>
      <w:r w:rsidRPr="00C46BE1">
        <w:t xml:space="preserve">The CSE team, in developing the data collection activities and updated design for the evaluation, conducted a literature review to avoid duplication in data collection activities and the use of similar information. The specific primary data to be collected for the CSE does not exist elsewhere. </w:t>
      </w:r>
      <w:r w:rsidR="00362608" w:rsidRPr="00C46BE1">
        <w:t xml:space="preserve">An earlier evaluation of the first cohort of the BHTCC was conducted; however, consumer outcome data was limited to 6 months. The current data collection utilizes existing administrative data to supplement requirement GPRA data to inform criminal justice and other offender outcomes. In addition, there are several studies that have been conducted of alternative treatment courts; however, these studies are typically single-site and conducted as part of research supported through the Department of Justice. Thus, the focus of these parallel efforts may be on implementation of justice programs as opposed to treatment and recovery. The 18 </w:t>
      </w:r>
      <w:r w:rsidR="00C92D28" w:rsidRPr="00C46BE1">
        <w:t>Month Abstraction Tool,</w:t>
      </w:r>
      <w:r w:rsidR="00362608" w:rsidRPr="00C46BE1">
        <w:t xml:space="preserve"> as well as the </w:t>
      </w:r>
      <w:r w:rsidR="00C92D28" w:rsidRPr="00C46BE1">
        <w:t>C</w:t>
      </w:r>
      <w:r w:rsidR="00362608" w:rsidRPr="00C46BE1">
        <w:t xml:space="preserve">omparison </w:t>
      </w:r>
      <w:r w:rsidR="00C92D28" w:rsidRPr="00C46BE1">
        <w:t>S</w:t>
      </w:r>
      <w:r w:rsidR="00362608" w:rsidRPr="00C46BE1">
        <w:t xml:space="preserve">tudy </w:t>
      </w:r>
      <w:r w:rsidR="00C92D28" w:rsidRPr="00C46BE1">
        <w:t>A</w:t>
      </w:r>
      <w:r w:rsidR="00362608" w:rsidRPr="00C46BE1">
        <w:t xml:space="preserve">bstraction </w:t>
      </w:r>
      <w:r w:rsidR="00C92D28" w:rsidRPr="00C46BE1">
        <w:t>T</w:t>
      </w:r>
      <w:r w:rsidR="00362608" w:rsidRPr="00C46BE1">
        <w:t>ool</w:t>
      </w:r>
      <w:r w:rsidR="00DA0769" w:rsidRPr="00C46BE1">
        <w:t>s</w:t>
      </w:r>
      <w:r w:rsidR="00C92D28" w:rsidRPr="00C46BE1">
        <w:t>,</w:t>
      </w:r>
      <w:r w:rsidR="00362608" w:rsidRPr="00C46BE1">
        <w:t xml:space="preserve"> utilize existing information gathered through program and administrative data or information already gathered through interactions of adult justice populations not gathered through the existing client-level GRPA reporting. </w:t>
      </w:r>
      <w:r w:rsidR="008C0CB4" w:rsidRPr="00C46BE1">
        <w:t xml:space="preserve">The BPIs, SLA KIIs, </w:t>
      </w:r>
      <w:r w:rsidR="00362608" w:rsidRPr="00C46BE1">
        <w:t xml:space="preserve">Concept Mapping, SSA KIIs, </w:t>
      </w:r>
      <w:r w:rsidR="008C0CB4" w:rsidRPr="00C46BE1">
        <w:t xml:space="preserve">and ENFGs </w:t>
      </w:r>
      <w:r w:rsidR="00362608" w:rsidRPr="00C46BE1">
        <w:t xml:space="preserve">are specific to the CSE and are not collected elsewhere. </w:t>
      </w:r>
    </w:p>
    <w:p w14:paraId="4ACE63FC" w14:textId="6E242010" w:rsidR="00683939" w:rsidRPr="00C46BE1" w:rsidRDefault="00683939" w:rsidP="00090868">
      <w:pPr>
        <w:pStyle w:val="BodyText"/>
        <w:keepNext/>
        <w:widowControl/>
        <w:numPr>
          <w:ilvl w:val="0"/>
          <w:numId w:val="8"/>
        </w:numPr>
        <w:tabs>
          <w:tab w:val="left" w:pos="1563"/>
        </w:tabs>
        <w:spacing w:before="360" w:after="120"/>
        <w:rPr>
          <w:rFonts w:ascii="Tw Cen MT" w:hAnsi="Tw Cen MT" w:cs="Arial"/>
          <w:b/>
          <w:sz w:val="28"/>
          <w:szCs w:val="28"/>
        </w:rPr>
      </w:pPr>
      <w:r w:rsidRPr="00C46BE1">
        <w:rPr>
          <w:rFonts w:ascii="Tw Cen MT" w:hAnsi="Tw Cen MT" w:cs="Arial"/>
          <w:b/>
          <w:sz w:val="28"/>
          <w:szCs w:val="28"/>
        </w:rPr>
        <w:t>Impact on Small Businesses or Other Small Entities</w:t>
      </w:r>
    </w:p>
    <w:p w14:paraId="3BC9FB9A" w14:textId="734E080E" w:rsidR="00683939" w:rsidRPr="00C46BE1" w:rsidRDefault="00683939" w:rsidP="00683939">
      <w:pPr>
        <w:pStyle w:val="SuicideBodyText"/>
      </w:pPr>
      <w:r w:rsidRPr="00C46BE1">
        <w:t xml:space="preserve">Some </w:t>
      </w:r>
      <w:r w:rsidR="008C445B" w:rsidRPr="00C46BE1">
        <w:t>data collection activities involve</w:t>
      </w:r>
      <w:r w:rsidRPr="00C46BE1">
        <w:t xml:space="preserve"> </w:t>
      </w:r>
      <w:r w:rsidR="008C445B" w:rsidRPr="00C46BE1">
        <w:t>individuals from</w:t>
      </w:r>
      <w:r w:rsidRPr="00C46BE1">
        <w:t xml:space="preserve"> public agencies, such as </w:t>
      </w:r>
      <w:r w:rsidR="007F6D79" w:rsidRPr="00C46BE1">
        <w:t xml:space="preserve">the </w:t>
      </w:r>
      <w:r w:rsidRPr="00C46BE1">
        <w:t>mental health</w:t>
      </w:r>
      <w:r w:rsidR="00577E54" w:rsidRPr="00C46BE1">
        <w:t xml:space="preserve"> </w:t>
      </w:r>
      <w:r w:rsidR="007F6D79" w:rsidRPr="00C46BE1">
        <w:t xml:space="preserve">and </w:t>
      </w:r>
      <w:r w:rsidR="002F051B" w:rsidRPr="00C46BE1">
        <w:t xml:space="preserve">criminal justice </w:t>
      </w:r>
      <w:r w:rsidR="00577E54" w:rsidRPr="00C46BE1">
        <w:t>system</w:t>
      </w:r>
      <w:r w:rsidR="006C211E" w:rsidRPr="00C46BE1">
        <w:t>s</w:t>
      </w:r>
      <w:r w:rsidRPr="00C46BE1">
        <w:t xml:space="preserve">. </w:t>
      </w:r>
      <w:r w:rsidR="007F6D79" w:rsidRPr="00C46BE1">
        <w:t>Respondents</w:t>
      </w:r>
      <w:r w:rsidR="008C445B" w:rsidRPr="00C46BE1">
        <w:t xml:space="preserve"> </w:t>
      </w:r>
      <w:r w:rsidR="00B35751" w:rsidRPr="00C46BE1">
        <w:t xml:space="preserve">to the </w:t>
      </w:r>
      <w:r w:rsidR="00690A8B" w:rsidRPr="00C46BE1">
        <w:t>SLA</w:t>
      </w:r>
      <w:r w:rsidR="008C0CB4" w:rsidRPr="00C46BE1">
        <w:t xml:space="preserve"> KIIs and </w:t>
      </w:r>
      <w:r w:rsidR="00690A8B" w:rsidRPr="00C46BE1">
        <w:t xml:space="preserve">SSA KIIs, Concept Mapping, and </w:t>
      </w:r>
      <w:r w:rsidR="002F051B" w:rsidRPr="00C46BE1">
        <w:t>ENFG–Employer</w:t>
      </w:r>
      <w:r w:rsidR="003F17C1" w:rsidRPr="00C46BE1">
        <w:t xml:space="preserve"> </w:t>
      </w:r>
      <w:r w:rsidR="008C0CB4" w:rsidRPr="00C46BE1">
        <w:t xml:space="preserve">Version </w:t>
      </w:r>
      <w:r w:rsidRPr="00C46BE1">
        <w:t>may be employed by small businesses or other small entities</w:t>
      </w:r>
      <w:r w:rsidR="002F051B" w:rsidRPr="00C46BE1">
        <w:t xml:space="preserve">; however, </w:t>
      </w:r>
      <w:r w:rsidRPr="00C46BE1">
        <w:t>these data collection</w:t>
      </w:r>
      <w:r w:rsidR="008C445B" w:rsidRPr="00C46BE1">
        <w:t>s</w:t>
      </w:r>
      <w:r w:rsidRPr="00C46BE1">
        <w:t xml:space="preserve"> will not have a significant impact on </w:t>
      </w:r>
      <w:r w:rsidR="003F17C1" w:rsidRPr="00C46BE1">
        <w:t>the</w:t>
      </w:r>
      <w:r w:rsidRPr="00C46BE1">
        <w:t xml:space="preserve"> agencies or </w:t>
      </w:r>
      <w:r w:rsidR="003F17C1" w:rsidRPr="00C46BE1">
        <w:t>entities</w:t>
      </w:r>
      <w:r w:rsidRPr="00C46BE1">
        <w:t xml:space="preserve">.  </w:t>
      </w:r>
    </w:p>
    <w:p w14:paraId="4E170688" w14:textId="2FF8B16B" w:rsidR="00FF4887" w:rsidRPr="00C46BE1" w:rsidRDefault="00FF4887" w:rsidP="00090868">
      <w:pPr>
        <w:pStyle w:val="SuicideBodyText"/>
        <w:keepNext/>
        <w:numPr>
          <w:ilvl w:val="0"/>
          <w:numId w:val="8"/>
        </w:numPr>
        <w:spacing w:before="360" w:after="120"/>
        <w:rPr>
          <w:rFonts w:ascii="Tw Cen MT" w:hAnsi="Tw Cen MT" w:cs="Arial"/>
          <w:b/>
          <w:sz w:val="28"/>
          <w:szCs w:val="28"/>
        </w:rPr>
      </w:pPr>
      <w:r w:rsidRPr="00C46BE1">
        <w:rPr>
          <w:rFonts w:ascii="Tw Cen MT" w:hAnsi="Tw Cen MT" w:cs="Arial"/>
          <w:b/>
          <w:sz w:val="28"/>
          <w:szCs w:val="28"/>
        </w:rPr>
        <w:t>Consequences if Infor</w:t>
      </w:r>
      <w:r w:rsidR="00190C81" w:rsidRPr="00C46BE1">
        <w:rPr>
          <w:rFonts w:ascii="Tw Cen MT" w:hAnsi="Tw Cen MT" w:cs="Arial"/>
          <w:b/>
          <w:sz w:val="28"/>
          <w:szCs w:val="28"/>
        </w:rPr>
        <w:t>mation Collected Less Frequently</w:t>
      </w:r>
    </w:p>
    <w:p w14:paraId="13FB6FB2" w14:textId="1910A26C" w:rsidR="00190C81" w:rsidRPr="00C46BE1" w:rsidRDefault="00190C81" w:rsidP="00CF5DFC">
      <w:pPr>
        <w:pStyle w:val="SuicideBodyText"/>
        <w:spacing w:after="200"/>
      </w:pPr>
      <w:r w:rsidRPr="00C46BE1">
        <w:t xml:space="preserve">The rigor of the </w:t>
      </w:r>
      <w:r w:rsidR="00E416FF" w:rsidRPr="00C46BE1">
        <w:t>CSE</w:t>
      </w:r>
      <w:r w:rsidRPr="00C46BE1">
        <w:t xml:space="preserve"> design</w:t>
      </w:r>
      <w:r w:rsidR="0037786E" w:rsidRPr="00C46BE1">
        <w:t xml:space="preserve"> and</w:t>
      </w:r>
      <w:r w:rsidRPr="00C46BE1">
        <w:t xml:space="preserve"> its ability to answer the primary evaluation questions are dependent on t</w:t>
      </w:r>
      <w:r w:rsidR="0037786E" w:rsidRPr="00C46BE1">
        <w:t>he frequency of the data collected.</w:t>
      </w:r>
      <w:r w:rsidRPr="00C46BE1">
        <w:t xml:space="preserve"> </w:t>
      </w:r>
      <w:r w:rsidR="00725013" w:rsidRPr="00C46BE1">
        <w:t>Additionally, because the CSE</w:t>
      </w:r>
      <w:r w:rsidR="0037786E" w:rsidRPr="00C46BE1">
        <w:t xml:space="preserve"> is aligned with the foci of the </w:t>
      </w:r>
      <w:r w:rsidR="00FA3C1E" w:rsidRPr="00C46BE1">
        <w:t>BHTCC and SE</w:t>
      </w:r>
      <w:r w:rsidR="0037786E" w:rsidRPr="00C46BE1">
        <w:t xml:space="preserve"> Programs, the frequency with which data collection activities are administered is critical to SAMHSA’s overall assessment of the </w:t>
      </w:r>
      <w:r w:rsidR="00725013" w:rsidRPr="00C46BE1">
        <w:t>programs.</w:t>
      </w:r>
      <w:r w:rsidR="00AE594E" w:rsidRPr="00C46BE1">
        <w:t xml:space="preserve"> Exhibit </w:t>
      </w:r>
      <w:r w:rsidR="00690A8B" w:rsidRPr="00C46BE1">
        <w:t>7</w:t>
      </w:r>
      <w:r w:rsidR="00AE594E" w:rsidRPr="00C46BE1">
        <w:t xml:space="preserve"> describes the consequences if data are collected less frequently.</w:t>
      </w:r>
    </w:p>
    <w:p w14:paraId="68BF7509" w14:textId="10CA5014" w:rsidR="009C724F" w:rsidRPr="00C46BE1" w:rsidRDefault="009C724F" w:rsidP="001B3AAF">
      <w:pPr>
        <w:pStyle w:val="SuicideBodyText"/>
        <w:keepNext/>
        <w:spacing w:after="120"/>
        <w:jc w:val="center"/>
        <w:rPr>
          <w:rFonts w:ascii="Tw Cen MT" w:hAnsi="Tw Cen MT" w:cs="Arial"/>
          <w:b/>
        </w:rPr>
      </w:pPr>
      <w:r w:rsidRPr="00C46BE1">
        <w:rPr>
          <w:rFonts w:ascii="Tw Cen MT" w:hAnsi="Tw Cen MT"/>
          <w:b/>
        </w:rPr>
        <w:t xml:space="preserve">Exhibit </w:t>
      </w:r>
      <w:r w:rsidR="00690A8B" w:rsidRPr="00C46BE1">
        <w:rPr>
          <w:rFonts w:ascii="Tw Cen MT" w:hAnsi="Tw Cen MT"/>
          <w:b/>
        </w:rPr>
        <w:t>7</w:t>
      </w:r>
      <w:r w:rsidRPr="00C46BE1">
        <w:rPr>
          <w:rFonts w:ascii="Tw Cen MT" w:hAnsi="Tw Cen MT"/>
          <w:b/>
        </w:rPr>
        <w:t xml:space="preserve">. Consequences </w:t>
      </w:r>
      <w:r w:rsidR="00CF5DFC" w:rsidRPr="00C46BE1">
        <w:rPr>
          <w:rFonts w:ascii="Tw Cen MT" w:hAnsi="Tw Cen MT"/>
          <w:b/>
        </w:rPr>
        <w:t>I</w:t>
      </w:r>
      <w:r w:rsidRPr="00C46BE1">
        <w:rPr>
          <w:rFonts w:ascii="Tw Cen MT" w:hAnsi="Tw Cen MT"/>
          <w:b/>
        </w:rPr>
        <w:t xml:space="preserve">f </w:t>
      </w:r>
      <w:r w:rsidR="00BE674A" w:rsidRPr="00C46BE1">
        <w:rPr>
          <w:rFonts w:ascii="Tw Cen MT" w:hAnsi="Tw Cen MT"/>
          <w:b/>
        </w:rPr>
        <w:t xml:space="preserve">Information </w:t>
      </w:r>
      <w:r w:rsidRPr="00C46BE1">
        <w:rPr>
          <w:rFonts w:ascii="Tw Cen MT" w:hAnsi="Tw Cen MT"/>
          <w:b/>
        </w:rPr>
        <w:t>Collected Less Frequently</w:t>
      </w:r>
      <w:r w:rsidR="001B3AAF" w:rsidRPr="00C46BE1">
        <w:rPr>
          <w:rFonts w:ascii="Tw Cen MT" w:hAnsi="Tw Cen MT"/>
          <w:b/>
        </w:rPr>
        <w:t xml:space="preserve"> by Activity</w:t>
      </w:r>
    </w:p>
    <w:tbl>
      <w:tblPr>
        <w:tblStyle w:val="TableGrid"/>
        <w:tblW w:w="9535" w:type="dxa"/>
        <w:tblLayout w:type="fixed"/>
        <w:tblCellMar>
          <w:top w:w="43" w:type="dxa"/>
          <w:left w:w="115" w:type="dxa"/>
          <w:bottom w:w="43" w:type="dxa"/>
          <w:right w:w="115" w:type="dxa"/>
        </w:tblCellMar>
        <w:tblLook w:val="04A0" w:firstRow="1" w:lastRow="0" w:firstColumn="1" w:lastColumn="0" w:noHBand="0" w:noVBand="1"/>
      </w:tblPr>
      <w:tblGrid>
        <w:gridCol w:w="1525"/>
        <w:gridCol w:w="8010"/>
      </w:tblGrid>
      <w:tr w:rsidR="00E842CC" w:rsidRPr="00C46BE1" w14:paraId="7C2F9BDB" w14:textId="77777777" w:rsidTr="008C0CB4">
        <w:trPr>
          <w:cantSplit/>
          <w:trHeight w:val="100"/>
          <w:tblHeader/>
        </w:trPr>
        <w:tc>
          <w:tcPr>
            <w:tcW w:w="1525" w:type="dxa"/>
            <w:tcBorders>
              <w:bottom w:val="single" w:sz="4" w:space="0" w:color="auto"/>
            </w:tcBorders>
            <w:shd w:val="clear" w:color="auto" w:fill="323E4F" w:themeFill="text2" w:themeFillShade="BF"/>
          </w:tcPr>
          <w:p w14:paraId="16AA9843" w14:textId="0D0B1D1F" w:rsidR="00E842CC" w:rsidRPr="00C46BE1" w:rsidRDefault="001539BC" w:rsidP="00003B96">
            <w:pPr>
              <w:jc w:val="center"/>
              <w:rPr>
                <w:rFonts w:ascii="Tw Cen MT" w:hAnsi="Tw Cen MT"/>
                <w:color w:val="FFFFFF" w:themeColor="background1"/>
                <w:sz w:val="22"/>
                <w:szCs w:val="22"/>
              </w:rPr>
            </w:pPr>
            <w:r w:rsidRPr="00C46BE1">
              <w:rPr>
                <w:rFonts w:ascii="Tw Cen MT" w:hAnsi="Tw Cen MT"/>
                <w:color w:val="FFFFFF" w:themeColor="background1"/>
                <w:sz w:val="22"/>
                <w:szCs w:val="22"/>
              </w:rPr>
              <w:t>Activity</w:t>
            </w:r>
          </w:p>
        </w:tc>
        <w:tc>
          <w:tcPr>
            <w:tcW w:w="8010" w:type="dxa"/>
            <w:tcBorders>
              <w:bottom w:val="single" w:sz="4" w:space="0" w:color="auto"/>
            </w:tcBorders>
            <w:shd w:val="clear" w:color="auto" w:fill="323E4F" w:themeFill="text2" w:themeFillShade="BF"/>
          </w:tcPr>
          <w:p w14:paraId="29A00D6B" w14:textId="77777777" w:rsidR="00E842CC" w:rsidRPr="00C46BE1" w:rsidRDefault="00E842CC" w:rsidP="00CF6DB0">
            <w:pPr>
              <w:jc w:val="center"/>
              <w:rPr>
                <w:rFonts w:ascii="Tw Cen MT" w:hAnsi="Tw Cen MT"/>
                <w:color w:val="FFFFFF" w:themeColor="background1"/>
                <w:sz w:val="22"/>
                <w:szCs w:val="22"/>
              </w:rPr>
            </w:pPr>
            <w:r w:rsidRPr="00C46BE1">
              <w:rPr>
                <w:rFonts w:ascii="Tw Cen MT" w:hAnsi="Tw Cen MT"/>
                <w:color w:val="FFFFFF" w:themeColor="background1"/>
                <w:sz w:val="22"/>
                <w:szCs w:val="22"/>
              </w:rPr>
              <w:t>Rationale</w:t>
            </w:r>
          </w:p>
        </w:tc>
      </w:tr>
      <w:tr w:rsidR="00E842CC" w:rsidRPr="00C46BE1" w14:paraId="76FE4759" w14:textId="77777777" w:rsidTr="008C0CB4">
        <w:tc>
          <w:tcPr>
            <w:tcW w:w="1525" w:type="dxa"/>
          </w:tcPr>
          <w:p w14:paraId="01BF1E23" w14:textId="13980689" w:rsidR="00E842CC" w:rsidRPr="00C46BE1" w:rsidRDefault="00FA3C1E" w:rsidP="00FA3C1E">
            <w:pPr>
              <w:jc w:val="left"/>
              <w:rPr>
                <w:rFonts w:ascii="Tw Cen MT" w:hAnsi="Tw Cen MT"/>
                <w:sz w:val="22"/>
                <w:szCs w:val="22"/>
              </w:rPr>
            </w:pPr>
            <w:r w:rsidRPr="00C46BE1">
              <w:rPr>
                <w:rFonts w:ascii="Tw Cen MT" w:hAnsi="Tw Cen MT"/>
                <w:sz w:val="22"/>
                <w:szCs w:val="22"/>
              </w:rPr>
              <w:t xml:space="preserve">BPI–BHTCC &amp; BPI–SE </w:t>
            </w:r>
            <w:r w:rsidR="008C0CB4" w:rsidRPr="00C46BE1">
              <w:rPr>
                <w:rFonts w:ascii="Tw Cen MT" w:hAnsi="Tw Cen MT"/>
                <w:sz w:val="22"/>
                <w:szCs w:val="22"/>
              </w:rPr>
              <w:t>Versions</w:t>
            </w:r>
          </w:p>
        </w:tc>
        <w:tc>
          <w:tcPr>
            <w:tcW w:w="8010" w:type="dxa"/>
          </w:tcPr>
          <w:p w14:paraId="1BF3E754" w14:textId="36A1F87C" w:rsidR="00E842CC" w:rsidRPr="00C46BE1" w:rsidRDefault="00653D68" w:rsidP="00A74356">
            <w:pPr>
              <w:rPr>
                <w:rFonts w:ascii="Tw Cen MT" w:eastAsia="Calibri" w:hAnsi="Tw Cen MT"/>
                <w:sz w:val="22"/>
                <w:szCs w:val="22"/>
              </w:rPr>
            </w:pPr>
            <w:r w:rsidRPr="00C46BE1">
              <w:rPr>
                <w:rFonts w:ascii="Tw Cen MT" w:hAnsi="Tw Cen MT"/>
                <w:sz w:val="22"/>
                <w:szCs w:val="22"/>
              </w:rPr>
              <w:t>Grantees will be required to complete the BPI</w:t>
            </w:r>
            <w:r w:rsidR="00A74356" w:rsidRPr="00C46BE1">
              <w:rPr>
                <w:rFonts w:ascii="Tw Cen MT" w:hAnsi="Tw Cen MT"/>
                <w:sz w:val="22"/>
                <w:szCs w:val="22"/>
              </w:rPr>
              <w:t xml:space="preserve"> upon the receipt of OMB approval and o</w:t>
            </w:r>
            <w:r w:rsidRPr="00C46BE1">
              <w:rPr>
                <w:rFonts w:ascii="Tw Cen MT" w:hAnsi="Tw Cen MT"/>
                <w:sz w:val="22"/>
                <w:szCs w:val="22"/>
              </w:rPr>
              <w:t>n a twice-yearly basis</w:t>
            </w:r>
            <w:r w:rsidR="00A74356" w:rsidRPr="00C46BE1">
              <w:rPr>
                <w:rFonts w:ascii="Tw Cen MT" w:hAnsi="Tw Cen MT"/>
                <w:sz w:val="22"/>
                <w:szCs w:val="22"/>
              </w:rPr>
              <w:t xml:space="preserve"> thereafter</w:t>
            </w:r>
            <w:r w:rsidRPr="00C46BE1">
              <w:rPr>
                <w:rFonts w:ascii="Tw Cen MT" w:hAnsi="Tw Cen MT"/>
                <w:sz w:val="22"/>
                <w:szCs w:val="22"/>
              </w:rPr>
              <w:t xml:space="preserve">. Collecting this information biannually is necessary to document </w:t>
            </w:r>
            <w:r w:rsidR="00A74356" w:rsidRPr="00C46BE1">
              <w:rPr>
                <w:rFonts w:ascii="Tw Cen MT" w:hAnsi="Tw Cen MT"/>
                <w:sz w:val="22"/>
                <w:szCs w:val="22"/>
              </w:rPr>
              <w:t xml:space="preserve">progress related to grantee </w:t>
            </w:r>
            <w:r w:rsidRPr="00C46BE1">
              <w:rPr>
                <w:rFonts w:ascii="Tw Cen MT" w:hAnsi="Tw Cen MT"/>
                <w:sz w:val="22"/>
                <w:szCs w:val="22"/>
              </w:rPr>
              <w:t>infrastructure development and program goals. The consequences of collecting the BPI less frequently include losing the ability to track and assess change over time related to these factors.</w:t>
            </w:r>
          </w:p>
        </w:tc>
      </w:tr>
      <w:tr w:rsidR="00E842CC" w:rsidRPr="00C46BE1" w14:paraId="3E64326A" w14:textId="77777777" w:rsidTr="008C0CB4">
        <w:tc>
          <w:tcPr>
            <w:tcW w:w="1525" w:type="dxa"/>
          </w:tcPr>
          <w:p w14:paraId="14041D44" w14:textId="124A8CFA" w:rsidR="00E842CC" w:rsidRPr="00C46BE1" w:rsidRDefault="00FA3C1E" w:rsidP="0008439E">
            <w:pPr>
              <w:jc w:val="left"/>
              <w:rPr>
                <w:rFonts w:ascii="Tw Cen MT" w:hAnsi="Tw Cen MT"/>
                <w:sz w:val="22"/>
                <w:szCs w:val="22"/>
              </w:rPr>
            </w:pPr>
            <w:r w:rsidRPr="00C46BE1">
              <w:rPr>
                <w:rFonts w:ascii="Tw Cen MT" w:hAnsi="Tw Cen MT"/>
                <w:sz w:val="22"/>
                <w:szCs w:val="22"/>
              </w:rPr>
              <w:t xml:space="preserve">SLA </w:t>
            </w:r>
            <w:r w:rsidR="008C0CB4" w:rsidRPr="00C46BE1">
              <w:rPr>
                <w:rFonts w:ascii="Tw Cen MT" w:hAnsi="Tw Cen MT"/>
                <w:sz w:val="22"/>
                <w:szCs w:val="22"/>
              </w:rPr>
              <w:t xml:space="preserve">KIIs </w:t>
            </w:r>
            <w:r w:rsidRPr="00C46BE1">
              <w:rPr>
                <w:rFonts w:ascii="Tw Cen MT" w:hAnsi="Tw Cen MT"/>
                <w:sz w:val="22"/>
                <w:szCs w:val="22"/>
              </w:rPr>
              <w:t>&amp; SSA KIIs</w:t>
            </w:r>
            <w:r w:rsidR="008C0CB4" w:rsidRPr="00C46BE1">
              <w:rPr>
                <w:rFonts w:ascii="Tw Cen MT" w:hAnsi="Tw Cen MT"/>
                <w:sz w:val="22"/>
                <w:szCs w:val="22"/>
              </w:rPr>
              <w:t xml:space="preserve"> </w:t>
            </w:r>
            <w:r w:rsidR="0008439E" w:rsidRPr="00C46BE1">
              <w:rPr>
                <w:rFonts w:ascii="Tw Cen MT" w:hAnsi="Tw Cen MT"/>
                <w:sz w:val="22"/>
                <w:szCs w:val="22"/>
              </w:rPr>
              <w:t xml:space="preserve"> </w:t>
            </w:r>
          </w:p>
        </w:tc>
        <w:tc>
          <w:tcPr>
            <w:tcW w:w="8010" w:type="dxa"/>
          </w:tcPr>
          <w:p w14:paraId="7CE37DF6" w14:textId="424BD6D5" w:rsidR="002E5664" w:rsidRPr="00C46BE1" w:rsidRDefault="00653D68" w:rsidP="009A2928">
            <w:pPr>
              <w:rPr>
                <w:rFonts w:ascii="Tw Cen MT" w:eastAsia="Calibri" w:hAnsi="Tw Cen MT"/>
                <w:sz w:val="22"/>
                <w:szCs w:val="22"/>
              </w:rPr>
            </w:pPr>
            <w:r w:rsidRPr="00C46BE1">
              <w:rPr>
                <w:rFonts w:ascii="Tw Cen MT" w:eastAsia="Calibri" w:hAnsi="Tw Cen MT"/>
                <w:sz w:val="22"/>
                <w:szCs w:val="22"/>
              </w:rPr>
              <w:t>The SLA and SSA KIIs will be conducted twice with key stakeholders</w:t>
            </w:r>
            <w:r w:rsidR="0096721A" w:rsidRPr="00C46BE1">
              <w:rPr>
                <w:rFonts w:ascii="Tw Cen MT" w:eastAsia="Calibri" w:hAnsi="Tw Cen MT"/>
                <w:sz w:val="22"/>
                <w:szCs w:val="22"/>
              </w:rPr>
              <w:t xml:space="preserve"> in grant years 2 and 4</w:t>
            </w:r>
            <w:r w:rsidR="00BF67E5" w:rsidRPr="00C46BE1">
              <w:rPr>
                <w:rFonts w:ascii="Tw Cen MT" w:eastAsia="Calibri" w:hAnsi="Tw Cen MT"/>
                <w:sz w:val="22"/>
                <w:szCs w:val="22"/>
              </w:rPr>
              <w:t>.</w:t>
            </w:r>
            <w:r w:rsidR="0096721A" w:rsidRPr="00C46BE1">
              <w:rPr>
                <w:rFonts w:ascii="Tw Cen MT" w:eastAsia="Calibri" w:hAnsi="Tw Cen MT"/>
                <w:sz w:val="22"/>
                <w:szCs w:val="22"/>
              </w:rPr>
              <w:t xml:space="preserve"> </w:t>
            </w:r>
            <w:r w:rsidR="00BF67E5" w:rsidRPr="00C46BE1">
              <w:rPr>
                <w:rFonts w:ascii="Tw Cen MT" w:eastAsia="Calibri" w:hAnsi="Tw Cen MT"/>
                <w:sz w:val="22"/>
                <w:szCs w:val="22"/>
              </w:rPr>
              <w:t>The timeline for KII administration toward the beginning and end of the BHTCC and SE grant periods is intentional to capture and assess change over time as it relates to progress toward program goals and infrastructure/capacity development. If the KIIs are conducted less frequently, it will not be possible to capture change over time</w:t>
            </w:r>
            <w:r w:rsidR="009A2928" w:rsidRPr="00C46BE1">
              <w:rPr>
                <w:rFonts w:ascii="Tw Cen MT" w:eastAsia="Calibri" w:hAnsi="Tw Cen MT"/>
                <w:sz w:val="22"/>
                <w:szCs w:val="22"/>
              </w:rPr>
              <w:t xml:space="preserve">, </w:t>
            </w:r>
            <w:r w:rsidR="00BF67E5" w:rsidRPr="00C46BE1">
              <w:rPr>
                <w:rFonts w:ascii="Tw Cen MT" w:eastAsia="Calibri" w:hAnsi="Tw Cen MT"/>
                <w:sz w:val="22"/>
                <w:szCs w:val="22"/>
              </w:rPr>
              <w:t>fidelity to program plans</w:t>
            </w:r>
            <w:r w:rsidR="009A2928" w:rsidRPr="00C46BE1">
              <w:rPr>
                <w:rFonts w:ascii="Tw Cen MT" w:eastAsia="Calibri" w:hAnsi="Tw Cen MT"/>
                <w:sz w:val="22"/>
                <w:szCs w:val="22"/>
              </w:rPr>
              <w:t>, and infrastructure development service enhancements/expansions</w:t>
            </w:r>
            <w:r w:rsidR="00BF67E5" w:rsidRPr="00C46BE1">
              <w:rPr>
                <w:rFonts w:ascii="Tw Cen MT" w:eastAsia="Calibri" w:hAnsi="Tw Cen MT"/>
                <w:sz w:val="22"/>
                <w:szCs w:val="22"/>
              </w:rPr>
              <w:t xml:space="preserve">. </w:t>
            </w:r>
          </w:p>
        </w:tc>
      </w:tr>
      <w:tr w:rsidR="00653D68" w:rsidRPr="00C46BE1" w14:paraId="10830EF8" w14:textId="77777777" w:rsidTr="008C0CB4">
        <w:trPr>
          <w:trHeight w:val="307"/>
        </w:trPr>
        <w:tc>
          <w:tcPr>
            <w:tcW w:w="1525" w:type="dxa"/>
          </w:tcPr>
          <w:p w14:paraId="79D9FD25" w14:textId="69B15765" w:rsidR="00653D68" w:rsidRPr="00C46BE1" w:rsidRDefault="00653D68" w:rsidP="00003B96">
            <w:pPr>
              <w:jc w:val="left"/>
              <w:rPr>
                <w:rFonts w:ascii="Tw Cen MT" w:hAnsi="Tw Cen MT"/>
                <w:sz w:val="22"/>
                <w:szCs w:val="22"/>
              </w:rPr>
            </w:pPr>
            <w:r w:rsidRPr="00C46BE1">
              <w:rPr>
                <w:rFonts w:ascii="Tw Cen MT" w:hAnsi="Tw Cen MT"/>
                <w:sz w:val="22"/>
                <w:szCs w:val="22"/>
              </w:rPr>
              <w:t>Concept Mapping</w:t>
            </w:r>
          </w:p>
        </w:tc>
        <w:tc>
          <w:tcPr>
            <w:tcW w:w="8010" w:type="dxa"/>
          </w:tcPr>
          <w:p w14:paraId="3AD17505" w14:textId="056DF3C3" w:rsidR="00653D68" w:rsidRPr="00C46BE1" w:rsidRDefault="002B0634" w:rsidP="00AF5209">
            <w:pPr>
              <w:rPr>
                <w:rFonts w:ascii="Tw Cen MT" w:eastAsia="Calibri" w:hAnsi="Tw Cen MT"/>
                <w:sz w:val="22"/>
                <w:szCs w:val="22"/>
              </w:rPr>
            </w:pPr>
            <w:r w:rsidRPr="00C46BE1">
              <w:rPr>
                <w:rFonts w:ascii="Tw Cen MT" w:eastAsia="Calibri" w:hAnsi="Tw Cen MT"/>
                <w:sz w:val="22"/>
                <w:szCs w:val="22"/>
              </w:rPr>
              <w:t>Concept mapping will be conducted with a range of program stakeholders, including court personnel, service providers, and consumers</w:t>
            </w:r>
            <w:r w:rsidR="00AF5209" w:rsidRPr="00C46BE1">
              <w:rPr>
                <w:rFonts w:ascii="Tw Cen MT" w:eastAsia="Calibri" w:hAnsi="Tw Cen MT"/>
                <w:sz w:val="22"/>
                <w:szCs w:val="22"/>
              </w:rPr>
              <w:t xml:space="preserve"> as part of the participatory approach to the CSE.</w:t>
            </w:r>
            <w:r w:rsidRPr="00C46BE1">
              <w:rPr>
                <w:rFonts w:ascii="Tw Cen MT" w:eastAsia="Calibri" w:hAnsi="Tw Cen MT"/>
                <w:sz w:val="22"/>
                <w:szCs w:val="22"/>
              </w:rPr>
              <w:t xml:space="preserve"> </w:t>
            </w:r>
            <w:r w:rsidR="00AF5209" w:rsidRPr="00C46BE1">
              <w:rPr>
                <w:rFonts w:ascii="Tw Cen MT" w:eastAsia="Calibri" w:hAnsi="Tw Cen MT"/>
                <w:sz w:val="22"/>
                <w:szCs w:val="22"/>
              </w:rPr>
              <w:t xml:space="preserve">Exercises will be conducted </w:t>
            </w:r>
            <w:r w:rsidRPr="00C46BE1">
              <w:rPr>
                <w:rFonts w:ascii="Tw Cen MT" w:eastAsia="Calibri" w:hAnsi="Tw Cen MT"/>
                <w:sz w:val="22"/>
                <w:szCs w:val="22"/>
              </w:rPr>
              <w:t xml:space="preserve">in </w:t>
            </w:r>
            <w:r w:rsidR="007F6D79" w:rsidRPr="00C46BE1">
              <w:rPr>
                <w:rFonts w:ascii="Tw Cen MT" w:eastAsia="Calibri" w:hAnsi="Tw Cen MT"/>
                <w:sz w:val="22"/>
                <w:szCs w:val="22"/>
              </w:rPr>
              <w:t xml:space="preserve">grant </w:t>
            </w:r>
            <w:r w:rsidRPr="00C46BE1">
              <w:rPr>
                <w:rFonts w:ascii="Tw Cen MT" w:eastAsia="Calibri" w:hAnsi="Tw Cen MT"/>
                <w:sz w:val="22"/>
                <w:szCs w:val="22"/>
              </w:rPr>
              <w:t>years 2 and 4</w:t>
            </w:r>
            <w:r w:rsidR="00AF5209" w:rsidRPr="00C46BE1">
              <w:rPr>
                <w:rFonts w:ascii="Tw Cen MT" w:eastAsia="Calibri" w:hAnsi="Tw Cen MT"/>
                <w:sz w:val="22"/>
                <w:szCs w:val="22"/>
              </w:rPr>
              <w:t xml:space="preserve"> to </w:t>
            </w:r>
            <w:r w:rsidRPr="00C46BE1">
              <w:rPr>
                <w:rFonts w:ascii="Tw Cen MT" w:eastAsia="Calibri" w:hAnsi="Tw Cen MT"/>
                <w:sz w:val="22"/>
                <w:szCs w:val="22"/>
              </w:rPr>
              <w:t>coincide with full implementation of the BHTCC program</w:t>
            </w:r>
            <w:r w:rsidR="009A2928" w:rsidRPr="00C46BE1">
              <w:rPr>
                <w:rFonts w:ascii="Tw Cen MT" w:eastAsia="Calibri" w:hAnsi="Tw Cen MT"/>
                <w:sz w:val="22"/>
                <w:szCs w:val="22"/>
              </w:rPr>
              <w:t xml:space="preserve"> and allow for greater understanding of the most important aspects of the BHTCC that support recovery from these multiple perspectives. </w:t>
            </w:r>
            <w:r w:rsidR="007F6D79" w:rsidRPr="00C46BE1">
              <w:rPr>
                <w:rFonts w:ascii="Tw Cen MT" w:eastAsia="Calibri" w:hAnsi="Tw Cen MT"/>
                <w:sz w:val="22"/>
                <w:szCs w:val="22"/>
              </w:rPr>
              <w:t xml:space="preserve">Two </w:t>
            </w:r>
            <w:r w:rsidR="009A2928" w:rsidRPr="00C46BE1">
              <w:rPr>
                <w:rFonts w:ascii="Tw Cen MT" w:eastAsia="Calibri" w:hAnsi="Tw Cen MT"/>
                <w:sz w:val="22"/>
                <w:szCs w:val="22"/>
              </w:rPr>
              <w:t xml:space="preserve">Year 4 </w:t>
            </w:r>
            <w:r w:rsidR="00AF5209" w:rsidRPr="00C46BE1">
              <w:rPr>
                <w:rFonts w:ascii="Tw Cen MT" w:eastAsia="Calibri" w:hAnsi="Tw Cen MT"/>
                <w:sz w:val="22"/>
                <w:szCs w:val="22"/>
              </w:rPr>
              <w:t xml:space="preserve">exercises </w:t>
            </w:r>
            <w:r w:rsidR="009A2928" w:rsidRPr="00C46BE1">
              <w:rPr>
                <w:rFonts w:ascii="Tw Cen MT" w:eastAsia="Calibri" w:hAnsi="Tw Cen MT"/>
                <w:sz w:val="22"/>
                <w:szCs w:val="22"/>
              </w:rPr>
              <w:t>will include new brainstorming of the most important aspect</w:t>
            </w:r>
            <w:r w:rsidR="00AF5209" w:rsidRPr="00C46BE1">
              <w:rPr>
                <w:rFonts w:ascii="Tw Cen MT" w:eastAsia="Calibri" w:hAnsi="Tw Cen MT"/>
                <w:sz w:val="22"/>
                <w:szCs w:val="22"/>
              </w:rPr>
              <w:t>s</w:t>
            </w:r>
            <w:r w:rsidR="009A2928" w:rsidRPr="00C46BE1">
              <w:rPr>
                <w:rFonts w:ascii="Tw Cen MT" w:eastAsia="Calibri" w:hAnsi="Tw Cen MT"/>
                <w:sz w:val="22"/>
                <w:szCs w:val="22"/>
              </w:rPr>
              <w:t xml:space="preserve"> of the BHTCC program from a subset of grantees who are purposefully selected based on preliminary findings on key consumer outcomes (e.g., program court models including veterans courts, offender inclusion criteria, geographical setting).</w:t>
            </w:r>
            <w:r w:rsidR="007F6D79" w:rsidRPr="00C46BE1">
              <w:rPr>
                <w:rFonts w:ascii="Tw Cen MT" w:eastAsia="Calibri" w:hAnsi="Tw Cen MT"/>
                <w:sz w:val="22"/>
                <w:szCs w:val="22"/>
              </w:rPr>
              <w:t xml:space="preserve"> </w:t>
            </w:r>
            <w:r w:rsidR="00AF5209" w:rsidRPr="00C46BE1">
              <w:rPr>
                <w:rFonts w:ascii="Tw Cen MT" w:eastAsia="Calibri" w:hAnsi="Tw Cen MT"/>
                <w:sz w:val="22"/>
                <w:szCs w:val="22"/>
              </w:rPr>
              <w:t xml:space="preserve">Conducting concept mapping less frequently will negatively impact the degree to which the CSE implements a participatory approach and incorporates the perspectives and opinions of consumers.  </w:t>
            </w:r>
          </w:p>
        </w:tc>
      </w:tr>
      <w:tr w:rsidR="00E842CC" w:rsidRPr="00C46BE1" w14:paraId="436CFC1D" w14:textId="77777777" w:rsidTr="008C0CB4">
        <w:trPr>
          <w:trHeight w:val="1630"/>
        </w:trPr>
        <w:tc>
          <w:tcPr>
            <w:tcW w:w="1525" w:type="dxa"/>
          </w:tcPr>
          <w:p w14:paraId="7BA03AA8" w14:textId="4B5CC1A8" w:rsidR="00E842CC" w:rsidRPr="00C46BE1" w:rsidRDefault="008C75E5" w:rsidP="0008439E">
            <w:pPr>
              <w:jc w:val="left"/>
              <w:rPr>
                <w:rFonts w:ascii="Tw Cen MT" w:hAnsi="Tw Cen MT"/>
                <w:sz w:val="22"/>
                <w:szCs w:val="22"/>
              </w:rPr>
            </w:pPr>
            <w:r w:rsidRPr="00C46BE1">
              <w:rPr>
                <w:rFonts w:ascii="Tw Cen MT" w:hAnsi="Tw Cen MT"/>
                <w:sz w:val="22"/>
                <w:szCs w:val="22"/>
              </w:rPr>
              <w:t xml:space="preserve">18-Month </w:t>
            </w:r>
            <w:r w:rsidR="00125B74" w:rsidRPr="00C46BE1">
              <w:rPr>
                <w:rFonts w:ascii="Tw Cen MT" w:hAnsi="Tw Cen MT"/>
                <w:sz w:val="22"/>
                <w:szCs w:val="22"/>
              </w:rPr>
              <w:t>Client Level</w:t>
            </w:r>
            <w:r w:rsidR="0008439E" w:rsidRPr="00C46BE1">
              <w:rPr>
                <w:rFonts w:ascii="Tw Cen MT" w:hAnsi="Tw Cen MT"/>
                <w:sz w:val="22"/>
                <w:szCs w:val="22"/>
              </w:rPr>
              <w:t xml:space="preserve"> Data</w:t>
            </w:r>
            <w:r w:rsidR="00125B74" w:rsidRPr="00C46BE1">
              <w:rPr>
                <w:rFonts w:ascii="Tw Cen MT" w:hAnsi="Tw Cen MT"/>
                <w:sz w:val="22"/>
                <w:szCs w:val="22"/>
              </w:rPr>
              <w:t xml:space="preserve"> Abstraction </w:t>
            </w:r>
            <w:r w:rsidRPr="00C46BE1">
              <w:rPr>
                <w:rFonts w:ascii="Tw Cen MT" w:hAnsi="Tw Cen MT"/>
                <w:sz w:val="22"/>
                <w:szCs w:val="22"/>
              </w:rPr>
              <w:t>Tool</w:t>
            </w:r>
            <w:r w:rsidR="002E5664" w:rsidRPr="00C46BE1">
              <w:rPr>
                <w:rFonts w:ascii="Tw Cen MT" w:hAnsi="Tw Cen MT"/>
                <w:sz w:val="22"/>
                <w:szCs w:val="22"/>
              </w:rPr>
              <w:t xml:space="preserve"> </w:t>
            </w:r>
          </w:p>
        </w:tc>
        <w:tc>
          <w:tcPr>
            <w:tcW w:w="8010" w:type="dxa"/>
          </w:tcPr>
          <w:p w14:paraId="4CF739B0" w14:textId="7BA54205" w:rsidR="00E842CC" w:rsidRPr="00C46BE1" w:rsidRDefault="003F17C1" w:rsidP="001C2C0C">
            <w:pPr>
              <w:rPr>
                <w:rFonts w:ascii="Tw Cen MT" w:eastAsia="Calibri" w:hAnsi="Tw Cen MT"/>
                <w:sz w:val="22"/>
                <w:szCs w:val="22"/>
              </w:rPr>
            </w:pPr>
            <w:r w:rsidRPr="00C46BE1">
              <w:rPr>
                <w:rFonts w:ascii="Tw Cen MT" w:eastAsia="Calibri" w:hAnsi="Tw Cen MT"/>
                <w:sz w:val="22"/>
                <w:szCs w:val="22"/>
              </w:rPr>
              <w:t xml:space="preserve">The 18-Month Tool will capture long-term </w:t>
            </w:r>
            <w:r w:rsidR="00125B74" w:rsidRPr="00C46BE1">
              <w:rPr>
                <w:rFonts w:ascii="Tw Cen MT" w:eastAsia="Calibri" w:hAnsi="Tw Cen MT"/>
                <w:sz w:val="22"/>
                <w:szCs w:val="22"/>
              </w:rPr>
              <w:t>recidivism</w:t>
            </w:r>
            <w:r w:rsidRPr="00C46BE1">
              <w:rPr>
                <w:rFonts w:ascii="Tw Cen MT" w:eastAsia="Calibri" w:hAnsi="Tw Cen MT"/>
                <w:sz w:val="22"/>
                <w:szCs w:val="22"/>
              </w:rPr>
              <w:t xml:space="preserve"> for BHTCC participants and </w:t>
            </w:r>
            <w:r w:rsidR="00125B74" w:rsidRPr="00C46BE1">
              <w:rPr>
                <w:rFonts w:ascii="Tw Cen MT" w:eastAsia="Calibri" w:hAnsi="Tw Cen MT"/>
                <w:sz w:val="22"/>
                <w:szCs w:val="22"/>
              </w:rPr>
              <w:t xml:space="preserve">comparison </w:t>
            </w:r>
            <w:r w:rsidR="003F2553" w:rsidRPr="00C46BE1">
              <w:rPr>
                <w:rFonts w:ascii="Tw Cen MT" w:eastAsia="Calibri" w:hAnsi="Tw Cen MT"/>
                <w:sz w:val="22"/>
                <w:szCs w:val="22"/>
              </w:rPr>
              <w:t>subs</w:t>
            </w:r>
            <w:r w:rsidR="00125B74" w:rsidRPr="00C46BE1">
              <w:rPr>
                <w:rFonts w:ascii="Tw Cen MT" w:eastAsia="Calibri" w:hAnsi="Tw Cen MT"/>
                <w:sz w:val="22"/>
                <w:szCs w:val="22"/>
              </w:rPr>
              <w:t xml:space="preserve">tudy </w:t>
            </w:r>
            <w:r w:rsidRPr="00C46BE1">
              <w:rPr>
                <w:rFonts w:ascii="Tw Cen MT" w:eastAsia="Calibri" w:hAnsi="Tw Cen MT"/>
                <w:sz w:val="22"/>
                <w:szCs w:val="22"/>
              </w:rPr>
              <w:t>controls not otherwise collected through other measures</w:t>
            </w:r>
            <w:r w:rsidR="00125B74" w:rsidRPr="00C46BE1">
              <w:rPr>
                <w:rFonts w:ascii="Tw Cen MT" w:eastAsia="Calibri" w:hAnsi="Tw Cen MT"/>
                <w:sz w:val="22"/>
                <w:szCs w:val="22"/>
              </w:rPr>
              <w:t xml:space="preserve">. </w:t>
            </w:r>
            <w:r w:rsidR="002E5664" w:rsidRPr="00C46BE1">
              <w:rPr>
                <w:rFonts w:ascii="Tw Cen MT" w:eastAsia="Calibri" w:hAnsi="Tw Cen MT"/>
                <w:sz w:val="22"/>
                <w:szCs w:val="22"/>
              </w:rPr>
              <w:t xml:space="preserve">If these data are not collected for BHTCC participants, it will not be possible to assess their long-term outcomes. Further, the longitudinal implementation of the Comparison Study Tool and 18-Month Tool serve as the basis for the BHTCC Comparison Study. Collecting this information less frequently will impair the rigor of the quasi-experimental design and the ability to assess and fully understand the impacts of the BHTCC Program.  </w:t>
            </w:r>
          </w:p>
        </w:tc>
      </w:tr>
      <w:tr w:rsidR="008C0CB4" w:rsidRPr="00C46BE1" w14:paraId="625E126F" w14:textId="77777777" w:rsidTr="008C0CB4">
        <w:trPr>
          <w:trHeight w:val="1459"/>
        </w:trPr>
        <w:tc>
          <w:tcPr>
            <w:tcW w:w="1525" w:type="dxa"/>
          </w:tcPr>
          <w:p w14:paraId="471631D5" w14:textId="3A93A233" w:rsidR="008C0CB4" w:rsidRPr="00C46BE1" w:rsidRDefault="008C0CB4" w:rsidP="00537179">
            <w:pPr>
              <w:jc w:val="left"/>
              <w:rPr>
                <w:rFonts w:ascii="Tw Cen MT" w:hAnsi="Tw Cen MT"/>
                <w:sz w:val="22"/>
                <w:szCs w:val="22"/>
              </w:rPr>
            </w:pPr>
            <w:r w:rsidRPr="00C46BE1">
              <w:rPr>
                <w:rFonts w:ascii="Tw Cen MT" w:hAnsi="Tw Cen MT"/>
                <w:sz w:val="22"/>
                <w:szCs w:val="22"/>
              </w:rPr>
              <w:t>Comparison Study Tool—BL</w:t>
            </w:r>
            <w:r w:rsidR="00537179" w:rsidRPr="00C46BE1">
              <w:rPr>
                <w:rFonts w:ascii="Tw Cen MT" w:hAnsi="Tw Cen MT"/>
                <w:sz w:val="22"/>
                <w:szCs w:val="22"/>
              </w:rPr>
              <w:t>, 6-Month</w:t>
            </w:r>
            <w:r w:rsidRPr="00C46BE1">
              <w:rPr>
                <w:rFonts w:ascii="Tw Cen MT" w:hAnsi="Tw Cen MT"/>
                <w:sz w:val="22"/>
                <w:szCs w:val="22"/>
              </w:rPr>
              <w:t xml:space="preserve"> and 18-Month </w:t>
            </w:r>
          </w:p>
        </w:tc>
        <w:tc>
          <w:tcPr>
            <w:tcW w:w="8010" w:type="dxa"/>
          </w:tcPr>
          <w:p w14:paraId="39829A16" w14:textId="292D740E" w:rsidR="008C0CB4" w:rsidRPr="00C46BE1" w:rsidRDefault="008C0CB4" w:rsidP="008C0CB4">
            <w:pPr>
              <w:rPr>
                <w:rFonts w:ascii="Tw Cen MT" w:eastAsia="Calibri" w:hAnsi="Tw Cen MT"/>
                <w:sz w:val="22"/>
                <w:szCs w:val="22"/>
              </w:rPr>
            </w:pPr>
            <w:r w:rsidRPr="00C46BE1">
              <w:rPr>
                <w:rFonts w:ascii="Tw Cen MT" w:eastAsia="Calibri" w:hAnsi="Tw Cen MT"/>
                <w:sz w:val="22"/>
                <w:szCs w:val="22"/>
              </w:rPr>
              <w:t xml:space="preserve">The longitudinal implementation of the Comparison Study Tools at BL, 6 months, and 18 months serve as the basis for the BHTCC Comparison Study. If these data are not collected, it will not be possible to compare short- and long-term outcomes for BHTCC and non-BHTCC participants. Collecting this information less frequently will impair the rigor of the quasi-experimental design and the ability to assess and fully understand the impacts of the BHTCC Program.  </w:t>
            </w:r>
          </w:p>
        </w:tc>
      </w:tr>
    </w:tbl>
    <w:p w14:paraId="4F3C072F" w14:textId="2F770965" w:rsidR="00683939" w:rsidRPr="00C46BE1" w:rsidRDefault="00683939" w:rsidP="00090868">
      <w:pPr>
        <w:pStyle w:val="SuicideBodyText"/>
        <w:keepNext/>
        <w:numPr>
          <w:ilvl w:val="0"/>
          <w:numId w:val="8"/>
        </w:numPr>
        <w:spacing w:before="360" w:after="120"/>
        <w:rPr>
          <w:rFonts w:ascii="Tw Cen MT" w:hAnsi="Tw Cen MT" w:cs="Arial"/>
          <w:b/>
          <w:sz w:val="28"/>
          <w:szCs w:val="28"/>
        </w:rPr>
      </w:pPr>
      <w:r w:rsidRPr="00C46BE1">
        <w:rPr>
          <w:rFonts w:ascii="Tw Cen MT" w:hAnsi="Tw Cen MT" w:cs="Arial"/>
          <w:b/>
          <w:sz w:val="28"/>
          <w:szCs w:val="28"/>
        </w:rPr>
        <w:t>Consistency with the Guidelines of 5 CFR 1320.5(d)(2)</w:t>
      </w:r>
    </w:p>
    <w:p w14:paraId="14918CF0" w14:textId="77777777" w:rsidR="00683939" w:rsidRPr="00C46BE1" w:rsidRDefault="00683939" w:rsidP="001E50ED">
      <w:pPr>
        <w:pStyle w:val="SuicideBodyText"/>
        <w:spacing w:after="200"/>
      </w:pPr>
      <w:r w:rsidRPr="00C46BE1">
        <w:t>The data collection fully complies with the requirements of 5 CFR 1320.5(d) (2).</w:t>
      </w:r>
    </w:p>
    <w:p w14:paraId="6EB49B0A" w14:textId="4550FFFF" w:rsidR="00683939" w:rsidRPr="00C46BE1" w:rsidRDefault="00683939" w:rsidP="00090868">
      <w:pPr>
        <w:pStyle w:val="SuicideBodyText"/>
        <w:numPr>
          <w:ilvl w:val="0"/>
          <w:numId w:val="8"/>
        </w:numPr>
        <w:spacing w:before="360" w:after="120"/>
        <w:rPr>
          <w:rFonts w:ascii="Tw Cen MT" w:hAnsi="Tw Cen MT" w:cs="Arial"/>
          <w:b/>
          <w:sz w:val="28"/>
          <w:szCs w:val="28"/>
        </w:rPr>
      </w:pPr>
      <w:r w:rsidRPr="00C46BE1">
        <w:rPr>
          <w:rFonts w:ascii="Tw Cen MT" w:hAnsi="Tw Cen MT" w:cs="Arial"/>
          <w:b/>
          <w:sz w:val="28"/>
          <w:szCs w:val="28"/>
        </w:rPr>
        <w:t>Consultation Outside the Agency</w:t>
      </w:r>
    </w:p>
    <w:p w14:paraId="356D8340" w14:textId="4F49C016" w:rsidR="00683939" w:rsidRPr="00C46BE1" w:rsidRDefault="00683939" w:rsidP="00090868">
      <w:pPr>
        <w:pStyle w:val="SuicideBodyText"/>
        <w:numPr>
          <w:ilvl w:val="0"/>
          <w:numId w:val="11"/>
        </w:numPr>
        <w:spacing w:after="120"/>
        <w:rPr>
          <w:rFonts w:ascii="Tw Cen MT" w:hAnsi="Tw Cen MT" w:cs="Arial"/>
          <w:b/>
          <w:sz w:val="28"/>
          <w:szCs w:val="28"/>
        </w:rPr>
      </w:pPr>
      <w:r w:rsidRPr="00C46BE1">
        <w:rPr>
          <w:rFonts w:ascii="Tw Cen MT" w:hAnsi="Tw Cen MT" w:cs="Arial"/>
          <w:b/>
          <w:sz w:val="28"/>
          <w:szCs w:val="28"/>
        </w:rPr>
        <w:t>Federal Register Notice</w:t>
      </w:r>
    </w:p>
    <w:p w14:paraId="2132CCC0" w14:textId="0688F237" w:rsidR="006910EB" w:rsidRPr="00C46BE1" w:rsidRDefault="00683939" w:rsidP="001E50ED">
      <w:pPr>
        <w:pStyle w:val="SuicideBodyText"/>
        <w:spacing w:after="200"/>
        <w:rPr>
          <w:spacing w:val="-2"/>
        </w:rPr>
      </w:pPr>
      <w:r w:rsidRPr="00C46BE1">
        <w:rPr>
          <w:spacing w:val="-2"/>
        </w:rPr>
        <w:t xml:space="preserve">SAMHSA published a notice in the </w:t>
      </w:r>
      <w:r w:rsidRPr="00C46BE1">
        <w:rPr>
          <w:i/>
          <w:iCs/>
          <w:spacing w:val="-2"/>
        </w:rPr>
        <w:t xml:space="preserve">Federal Register </w:t>
      </w:r>
      <w:r w:rsidR="006910EB" w:rsidRPr="00C46BE1">
        <w:rPr>
          <w:iCs/>
          <w:spacing w:val="-2"/>
        </w:rPr>
        <w:t>on</w:t>
      </w:r>
      <w:r w:rsidR="006910EB" w:rsidRPr="00C46BE1">
        <w:rPr>
          <w:i/>
          <w:iCs/>
          <w:spacing w:val="-2"/>
        </w:rPr>
        <w:t xml:space="preserve"> </w:t>
      </w:r>
      <w:r w:rsidR="0021163D">
        <w:rPr>
          <w:iCs/>
          <w:spacing w:val="-2"/>
        </w:rPr>
        <w:t>December 21</w:t>
      </w:r>
      <w:bookmarkStart w:id="0" w:name="_GoBack"/>
      <w:bookmarkEnd w:id="0"/>
      <w:r w:rsidR="00525D28" w:rsidRPr="00C46BE1">
        <w:rPr>
          <w:spacing w:val="-2"/>
        </w:rPr>
        <w:t>, 2015</w:t>
      </w:r>
      <w:r w:rsidR="006910EB" w:rsidRPr="00C46BE1">
        <w:rPr>
          <w:spacing w:val="-2"/>
        </w:rPr>
        <w:t xml:space="preserve"> (</w:t>
      </w:r>
      <w:r w:rsidR="00E83649" w:rsidRPr="00C46BE1">
        <w:rPr>
          <w:spacing w:val="-2"/>
        </w:rPr>
        <w:t xml:space="preserve">80 FR </w:t>
      </w:r>
      <w:r w:rsidR="007D3F04" w:rsidRPr="00C46BE1">
        <w:rPr>
          <w:spacing w:val="-2"/>
        </w:rPr>
        <w:t>79349</w:t>
      </w:r>
      <w:r w:rsidR="006910EB" w:rsidRPr="00C46BE1">
        <w:rPr>
          <w:spacing w:val="-2"/>
        </w:rPr>
        <w:t>)</w:t>
      </w:r>
      <w:r w:rsidRPr="00C46BE1">
        <w:rPr>
          <w:spacing w:val="-2"/>
        </w:rPr>
        <w:t xml:space="preserve">, soliciting public comment on this study. </w:t>
      </w:r>
      <w:r w:rsidR="00A01D1C">
        <w:rPr>
          <w:spacing w:val="-2"/>
        </w:rPr>
        <w:t xml:space="preserve"> </w:t>
      </w:r>
      <w:r w:rsidRPr="00C46BE1">
        <w:rPr>
          <w:spacing w:val="-2"/>
        </w:rPr>
        <w:t xml:space="preserve"> </w:t>
      </w:r>
    </w:p>
    <w:p w14:paraId="13CDF56A" w14:textId="591CA2E3" w:rsidR="00683939" w:rsidRPr="00C46BE1" w:rsidRDefault="00683939" w:rsidP="00090868">
      <w:pPr>
        <w:pStyle w:val="SuicideBodyText"/>
        <w:keepNext/>
        <w:numPr>
          <w:ilvl w:val="0"/>
          <w:numId w:val="11"/>
        </w:numPr>
        <w:spacing w:after="120"/>
        <w:rPr>
          <w:rFonts w:ascii="Tw Cen MT" w:hAnsi="Tw Cen MT" w:cs="Arial"/>
          <w:b/>
          <w:sz w:val="28"/>
          <w:szCs w:val="28"/>
        </w:rPr>
      </w:pPr>
      <w:r w:rsidRPr="00C46BE1">
        <w:rPr>
          <w:rFonts w:ascii="Tw Cen MT" w:hAnsi="Tw Cen MT" w:cs="Arial"/>
          <w:b/>
          <w:sz w:val="28"/>
          <w:szCs w:val="28"/>
        </w:rPr>
        <w:t>Consultation Outside the Agency</w:t>
      </w:r>
    </w:p>
    <w:p w14:paraId="4A0B68CC" w14:textId="320D16FF" w:rsidR="00E92813" w:rsidRPr="00C46BE1" w:rsidRDefault="00F6549D" w:rsidP="00F6549D">
      <w:pPr>
        <w:pStyle w:val="SuicideBodyText"/>
        <w:spacing w:after="200"/>
      </w:pPr>
      <w:r w:rsidRPr="00C46BE1">
        <w:t>Two s</w:t>
      </w:r>
      <w:r w:rsidR="00C35B6F" w:rsidRPr="00C46BE1">
        <w:t>teering committee</w:t>
      </w:r>
      <w:r w:rsidRPr="00C46BE1">
        <w:t>s</w:t>
      </w:r>
      <w:r w:rsidR="00C35B6F" w:rsidRPr="00C46BE1">
        <w:t xml:space="preserve"> (BHTCC and SE) were established for the </w:t>
      </w:r>
      <w:r w:rsidRPr="00C46BE1">
        <w:t>CSE</w:t>
      </w:r>
      <w:r w:rsidR="00C35B6F" w:rsidRPr="00C46BE1">
        <w:t>. Feedback on the data colle</w:t>
      </w:r>
      <w:r w:rsidRPr="00C46BE1">
        <w:t xml:space="preserve">ction instruments and protocols, </w:t>
      </w:r>
      <w:r w:rsidR="00C35B6F" w:rsidRPr="00C46BE1">
        <w:t>as well as overall evaluation design</w:t>
      </w:r>
      <w:r w:rsidRPr="00C46BE1">
        <w:t>,</w:t>
      </w:r>
      <w:r w:rsidR="00C35B6F" w:rsidRPr="00C46BE1">
        <w:t xml:space="preserve"> were solicited from the steering committee</w:t>
      </w:r>
      <w:r w:rsidRPr="00C46BE1">
        <w:t>;</w:t>
      </w:r>
      <w:r w:rsidR="00C35B6F" w:rsidRPr="00C46BE1">
        <w:t xml:space="preserve"> SAMHSA/CMHS Contracting Officer’s Rep</w:t>
      </w:r>
      <w:r w:rsidRPr="00C46BE1">
        <w:t xml:space="preserve">resentative (COR) </w:t>
      </w:r>
      <w:r w:rsidR="00C35B6F" w:rsidRPr="00C46BE1">
        <w:t>and Alternate COR</w:t>
      </w:r>
      <w:r w:rsidRPr="00C46BE1">
        <w:t>;</w:t>
      </w:r>
      <w:r w:rsidR="00C35B6F" w:rsidRPr="00C46BE1">
        <w:t xml:space="preserve"> the SAMHSA Center for Behavioral Health Statistics and </w:t>
      </w:r>
      <w:r w:rsidRPr="00C46BE1">
        <w:t>Quality Evaluation Desk Officer;</w:t>
      </w:r>
      <w:r w:rsidR="00C35B6F" w:rsidRPr="00C46BE1">
        <w:t xml:space="preserve"> the evaluation contractor</w:t>
      </w:r>
      <w:r w:rsidRPr="00C46BE1">
        <w:t>;</w:t>
      </w:r>
      <w:r w:rsidR="00C35B6F" w:rsidRPr="00C46BE1">
        <w:t xml:space="preserve"> SAMHSA grantee project officers</w:t>
      </w:r>
      <w:r w:rsidRPr="00C46BE1">
        <w:t xml:space="preserve">; </w:t>
      </w:r>
      <w:r w:rsidR="00C35B6F" w:rsidRPr="00C46BE1">
        <w:t>and grantee representatives</w:t>
      </w:r>
      <w:r w:rsidRPr="00C46BE1">
        <w:t>,</w:t>
      </w:r>
      <w:r w:rsidR="00C35B6F" w:rsidRPr="00C46BE1">
        <w:t xml:space="preserve"> including project directors and local evaluators. BHTCC and SE </w:t>
      </w:r>
      <w:r w:rsidRPr="00C46BE1">
        <w:t>Study-</w:t>
      </w:r>
      <w:r w:rsidR="00C35B6F" w:rsidRPr="00C46BE1">
        <w:t xml:space="preserve">specific webinars were conducted to review the details of the evaluation and the proposed data collection for review and comment. Based on the feedback from the steering committee and other reviewers described above, modifications were made to the instruments, evaluation questions, and evaluation protocols.  Organizations and individuals </w:t>
      </w:r>
      <w:r w:rsidRPr="00C46BE1">
        <w:t>that reviewed the</w:t>
      </w:r>
      <w:r w:rsidR="00C35B6F" w:rsidRPr="00C46BE1">
        <w:t xml:space="preserve"> data collection </w:t>
      </w:r>
      <w:r w:rsidRPr="00C46BE1">
        <w:t>activities</w:t>
      </w:r>
      <w:r w:rsidR="00C35B6F" w:rsidRPr="00C46BE1">
        <w:t xml:space="preserve"> </w:t>
      </w:r>
      <w:r w:rsidR="00E92813" w:rsidRPr="00C46BE1">
        <w:t xml:space="preserve">are listed in Exhibit </w:t>
      </w:r>
      <w:r w:rsidR="00690A8B" w:rsidRPr="00C46BE1">
        <w:t>8</w:t>
      </w:r>
      <w:r w:rsidR="00E92813" w:rsidRPr="00C46BE1">
        <w:t xml:space="preserve">. </w:t>
      </w:r>
    </w:p>
    <w:p w14:paraId="6CD2659E" w14:textId="1FC16A30" w:rsidR="00E92813" w:rsidRPr="00C46BE1" w:rsidRDefault="00E92813" w:rsidP="00E92813">
      <w:pPr>
        <w:pStyle w:val="SuicideBodyText"/>
        <w:keepNext/>
        <w:spacing w:after="120"/>
        <w:jc w:val="center"/>
        <w:rPr>
          <w:rFonts w:ascii="Tw Cen MT" w:hAnsi="Tw Cen MT" w:cs="Arial"/>
          <w:b/>
        </w:rPr>
      </w:pPr>
      <w:r w:rsidRPr="00C46BE1">
        <w:rPr>
          <w:rFonts w:ascii="Tw Cen MT" w:hAnsi="Tw Cen MT"/>
          <w:b/>
        </w:rPr>
        <w:t xml:space="preserve">Exhibit </w:t>
      </w:r>
      <w:r w:rsidR="00690A8B" w:rsidRPr="00C46BE1">
        <w:rPr>
          <w:rFonts w:ascii="Tw Cen MT" w:hAnsi="Tw Cen MT"/>
          <w:b/>
        </w:rPr>
        <w:t>8</w:t>
      </w:r>
      <w:r w:rsidRPr="00C46BE1">
        <w:rPr>
          <w:rFonts w:ascii="Tw Cen MT" w:hAnsi="Tw Cen MT"/>
          <w:b/>
        </w:rPr>
        <w:t xml:space="preserve">. </w:t>
      </w:r>
      <w:r w:rsidR="00192F5B" w:rsidRPr="00C46BE1">
        <w:rPr>
          <w:rFonts w:ascii="Tw Cen MT" w:hAnsi="Tw Cen MT"/>
          <w:b/>
        </w:rPr>
        <w:t xml:space="preserve">Consultation </w:t>
      </w:r>
      <w:r w:rsidR="00CC386E" w:rsidRPr="00C46BE1">
        <w:rPr>
          <w:rFonts w:ascii="Tw Cen MT" w:hAnsi="Tw Cen MT"/>
          <w:b/>
        </w:rPr>
        <w:t>o</w:t>
      </w:r>
      <w:r w:rsidR="00192F5B" w:rsidRPr="00C46BE1">
        <w:rPr>
          <w:rFonts w:ascii="Tw Cen MT" w:hAnsi="Tw Cen MT"/>
          <w:b/>
        </w:rPr>
        <w:t>utside the Agency</w:t>
      </w:r>
    </w:p>
    <w:tbl>
      <w:tblPr>
        <w:tblStyle w:val="TableGrid"/>
        <w:tblW w:w="5000" w:type="pct"/>
        <w:tblCellMar>
          <w:top w:w="43" w:type="dxa"/>
          <w:left w:w="115" w:type="dxa"/>
          <w:bottom w:w="43" w:type="dxa"/>
          <w:right w:w="115" w:type="dxa"/>
        </w:tblCellMar>
        <w:tblLook w:val="04A0" w:firstRow="1" w:lastRow="0" w:firstColumn="1" w:lastColumn="0" w:noHBand="0" w:noVBand="1"/>
      </w:tblPr>
      <w:tblGrid>
        <w:gridCol w:w="4611"/>
        <w:gridCol w:w="4979"/>
      </w:tblGrid>
      <w:tr w:rsidR="00BC4F10" w:rsidRPr="00C46BE1" w14:paraId="77423145" w14:textId="7119147F" w:rsidTr="009A04D9">
        <w:trPr>
          <w:cantSplit/>
          <w:trHeight w:val="100"/>
          <w:tblHeader/>
        </w:trPr>
        <w:tc>
          <w:tcPr>
            <w:tcW w:w="2404" w:type="pct"/>
            <w:tcBorders>
              <w:bottom w:val="single" w:sz="4" w:space="0" w:color="auto"/>
            </w:tcBorders>
            <w:shd w:val="clear" w:color="auto" w:fill="323E4F" w:themeFill="text2" w:themeFillShade="BF"/>
          </w:tcPr>
          <w:p w14:paraId="5E9161E6" w14:textId="1240A055" w:rsidR="00BC4F10" w:rsidRPr="00C46BE1" w:rsidRDefault="00BC4F10" w:rsidP="0079237C">
            <w:pPr>
              <w:jc w:val="center"/>
              <w:rPr>
                <w:rFonts w:ascii="Tw Cen MT" w:hAnsi="Tw Cen MT"/>
                <w:color w:val="FFFFFF" w:themeColor="background1"/>
                <w:sz w:val="22"/>
                <w:szCs w:val="22"/>
              </w:rPr>
            </w:pPr>
            <w:r w:rsidRPr="00C46BE1">
              <w:rPr>
                <w:rFonts w:ascii="Tw Cen MT" w:hAnsi="Tw Cen MT"/>
                <w:color w:val="FFFFFF" w:themeColor="background1"/>
                <w:sz w:val="22"/>
                <w:szCs w:val="22"/>
              </w:rPr>
              <w:t>Name/Title</w:t>
            </w:r>
          </w:p>
        </w:tc>
        <w:tc>
          <w:tcPr>
            <w:tcW w:w="2596" w:type="pct"/>
            <w:tcBorders>
              <w:bottom w:val="single" w:sz="4" w:space="0" w:color="auto"/>
            </w:tcBorders>
            <w:shd w:val="clear" w:color="auto" w:fill="323E4F" w:themeFill="text2" w:themeFillShade="BF"/>
          </w:tcPr>
          <w:p w14:paraId="0A659CEF" w14:textId="133FE05C" w:rsidR="00BC4F10" w:rsidRPr="00C46BE1" w:rsidRDefault="00BC4F10" w:rsidP="0079237C">
            <w:pPr>
              <w:jc w:val="center"/>
              <w:rPr>
                <w:rFonts w:ascii="Tw Cen MT" w:hAnsi="Tw Cen MT"/>
                <w:color w:val="FFFFFF" w:themeColor="background1"/>
                <w:sz w:val="22"/>
                <w:szCs w:val="22"/>
              </w:rPr>
            </w:pPr>
            <w:r w:rsidRPr="00C46BE1">
              <w:rPr>
                <w:rFonts w:ascii="Tw Cen MT" w:hAnsi="Tw Cen MT"/>
                <w:color w:val="FFFFFF" w:themeColor="background1"/>
                <w:sz w:val="22"/>
                <w:szCs w:val="22"/>
              </w:rPr>
              <w:t>Contact Information</w:t>
            </w:r>
          </w:p>
        </w:tc>
      </w:tr>
      <w:tr w:rsidR="007F115C" w:rsidRPr="00C46BE1" w14:paraId="592BE32F" w14:textId="77777777" w:rsidTr="009A04D9">
        <w:tc>
          <w:tcPr>
            <w:tcW w:w="2404" w:type="pct"/>
          </w:tcPr>
          <w:p w14:paraId="0AD82C4D" w14:textId="27000ACC" w:rsidR="007F115C" w:rsidRPr="00C46BE1" w:rsidRDefault="007F115C" w:rsidP="007F115C">
            <w:pPr>
              <w:jc w:val="left"/>
              <w:rPr>
                <w:rFonts w:ascii="Tw Cen MT" w:hAnsi="Tw Cen MT"/>
                <w:sz w:val="22"/>
                <w:szCs w:val="22"/>
              </w:rPr>
            </w:pPr>
            <w:r w:rsidRPr="00C46BE1">
              <w:rPr>
                <w:rFonts w:ascii="Tw Cen MT" w:hAnsi="Tw Cen MT"/>
                <w:sz w:val="22"/>
                <w:szCs w:val="22"/>
              </w:rPr>
              <w:t>Robin Davis, PhD</w:t>
            </w:r>
          </w:p>
          <w:p w14:paraId="22282EE3" w14:textId="77777777" w:rsidR="007F115C" w:rsidRPr="00C46BE1" w:rsidRDefault="007F115C" w:rsidP="007F115C">
            <w:pPr>
              <w:jc w:val="left"/>
              <w:rPr>
                <w:rFonts w:ascii="Tw Cen MT" w:hAnsi="Tw Cen MT"/>
                <w:sz w:val="22"/>
                <w:szCs w:val="22"/>
              </w:rPr>
            </w:pPr>
            <w:r w:rsidRPr="00C46BE1">
              <w:rPr>
                <w:rFonts w:ascii="Tw Cen MT" w:hAnsi="Tw Cen MT"/>
                <w:sz w:val="22"/>
                <w:szCs w:val="22"/>
              </w:rPr>
              <w:t>Principal Investigator/Project Director</w:t>
            </w:r>
          </w:p>
          <w:p w14:paraId="736B63A6" w14:textId="7A9B74AE" w:rsidR="007F115C" w:rsidRPr="00C46BE1" w:rsidRDefault="007F115C" w:rsidP="007F115C">
            <w:pPr>
              <w:jc w:val="left"/>
              <w:rPr>
                <w:rFonts w:ascii="Tw Cen MT" w:hAnsi="Tw Cen MT"/>
                <w:sz w:val="22"/>
                <w:szCs w:val="22"/>
              </w:rPr>
            </w:pPr>
            <w:r w:rsidRPr="00C46BE1">
              <w:rPr>
                <w:rFonts w:ascii="Tw Cen MT" w:hAnsi="Tw Cen MT"/>
                <w:sz w:val="22"/>
                <w:szCs w:val="22"/>
              </w:rPr>
              <w:t xml:space="preserve"> </w:t>
            </w:r>
          </w:p>
        </w:tc>
        <w:tc>
          <w:tcPr>
            <w:tcW w:w="2596" w:type="pct"/>
          </w:tcPr>
          <w:p w14:paraId="5A990641" w14:textId="77777777" w:rsidR="007F115C" w:rsidRPr="00C46BE1" w:rsidRDefault="007F115C" w:rsidP="007F115C">
            <w:pPr>
              <w:rPr>
                <w:rFonts w:ascii="Tw Cen MT" w:hAnsi="Tw Cen MT"/>
                <w:sz w:val="22"/>
                <w:szCs w:val="22"/>
              </w:rPr>
            </w:pPr>
            <w:r w:rsidRPr="00C46BE1">
              <w:rPr>
                <w:rFonts w:ascii="Tw Cen MT" w:hAnsi="Tw Cen MT"/>
                <w:sz w:val="22"/>
                <w:szCs w:val="22"/>
              </w:rPr>
              <w:t>ICF International</w:t>
            </w:r>
          </w:p>
          <w:p w14:paraId="3B91DB8F" w14:textId="77777777" w:rsidR="007F115C" w:rsidRPr="00C46BE1" w:rsidRDefault="007F115C" w:rsidP="007F115C">
            <w:pPr>
              <w:rPr>
                <w:rFonts w:ascii="Tw Cen MT" w:hAnsi="Tw Cen MT"/>
                <w:sz w:val="22"/>
                <w:szCs w:val="22"/>
              </w:rPr>
            </w:pPr>
            <w:r w:rsidRPr="00C46BE1">
              <w:rPr>
                <w:rFonts w:ascii="Tw Cen MT" w:hAnsi="Tw Cen MT"/>
                <w:sz w:val="22"/>
                <w:szCs w:val="22"/>
              </w:rPr>
              <w:t>3 Corporate Square, NE</w:t>
            </w:r>
          </w:p>
          <w:p w14:paraId="65A0BEA9" w14:textId="77777777" w:rsidR="007F115C" w:rsidRPr="00C46BE1" w:rsidRDefault="007F115C" w:rsidP="007F115C">
            <w:pPr>
              <w:rPr>
                <w:rFonts w:ascii="Tw Cen MT" w:hAnsi="Tw Cen MT"/>
                <w:sz w:val="22"/>
                <w:szCs w:val="22"/>
              </w:rPr>
            </w:pPr>
            <w:r w:rsidRPr="00C46BE1">
              <w:rPr>
                <w:rFonts w:ascii="Tw Cen MT" w:hAnsi="Tw Cen MT"/>
                <w:sz w:val="22"/>
                <w:szCs w:val="22"/>
              </w:rPr>
              <w:t>Suite 370</w:t>
            </w:r>
          </w:p>
          <w:p w14:paraId="62BF3EB2" w14:textId="77777777" w:rsidR="007F115C" w:rsidRPr="00C46BE1" w:rsidRDefault="007F115C" w:rsidP="007F115C">
            <w:pPr>
              <w:rPr>
                <w:rFonts w:ascii="Tw Cen MT" w:hAnsi="Tw Cen MT"/>
                <w:sz w:val="22"/>
                <w:szCs w:val="22"/>
              </w:rPr>
            </w:pPr>
            <w:r w:rsidRPr="00C46BE1">
              <w:rPr>
                <w:rFonts w:ascii="Tw Cen MT" w:hAnsi="Tw Cen MT"/>
                <w:sz w:val="22"/>
                <w:szCs w:val="22"/>
              </w:rPr>
              <w:t>Atlanta, GA 30329</w:t>
            </w:r>
          </w:p>
          <w:p w14:paraId="5DD522AE" w14:textId="77777777" w:rsidR="007F115C" w:rsidRPr="00C46BE1" w:rsidRDefault="0021163D" w:rsidP="007F115C">
            <w:pPr>
              <w:rPr>
                <w:rFonts w:ascii="Tw Cen MT" w:hAnsi="Tw Cen MT"/>
                <w:sz w:val="22"/>
                <w:szCs w:val="22"/>
              </w:rPr>
            </w:pPr>
            <w:hyperlink r:id="rId11" w:history="1">
              <w:r w:rsidR="007F115C" w:rsidRPr="00C46BE1">
                <w:rPr>
                  <w:rStyle w:val="Hyperlink"/>
                  <w:rFonts w:ascii="Tw Cen MT" w:hAnsi="Tw Cen MT"/>
                  <w:sz w:val="22"/>
                  <w:szCs w:val="22"/>
                </w:rPr>
                <w:t>robin.davis@icfi.com</w:t>
              </w:r>
            </w:hyperlink>
          </w:p>
          <w:p w14:paraId="79DAC7B2" w14:textId="54A05C41" w:rsidR="007F115C" w:rsidRPr="00C46BE1" w:rsidRDefault="007F115C" w:rsidP="007F115C">
            <w:pPr>
              <w:rPr>
                <w:rFonts w:ascii="Tw Cen MT" w:hAnsi="Tw Cen MT"/>
                <w:sz w:val="22"/>
                <w:szCs w:val="22"/>
              </w:rPr>
            </w:pPr>
            <w:r w:rsidRPr="00C46BE1">
              <w:rPr>
                <w:rFonts w:ascii="Tw Cen MT" w:hAnsi="Tw Cen MT"/>
                <w:sz w:val="22"/>
                <w:szCs w:val="22"/>
              </w:rPr>
              <w:t>404-321-3211</w:t>
            </w:r>
          </w:p>
        </w:tc>
      </w:tr>
      <w:tr w:rsidR="007F115C" w:rsidRPr="00C46BE1" w14:paraId="147B9239" w14:textId="77777777" w:rsidTr="009A04D9">
        <w:tc>
          <w:tcPr>
            <w:tcW w:w="2404" w:type="pct"/>
          </w:tcPr>
          <w:p w14:paraId="78A47139" w14:textId="00E57D92" w:rsidR="007F115C" w:rsidRPr="00C46BE1" w:rsidRDefault="007F115C" w:rsidP="007F115C">
            <w:pPr>
              <w:jc w:val="left"/>
              <w:rPr>
                <w:rFonts w:ascii="Tw Cen MT" w:hAnsi="Tw Cen MT"/>
                <w:sz w:val="22"/>
                <w:szCs w:val="22"/>
              </w:rPr>
            </w:pPr>
            <w:r w:rsidRPr="00C46BE1">
              <w:rPr>
                <w:rFonts w:ascii="Tw Cen MT" w:hAnsi="Tw Cen MT"/>
                <w:sz w:val="22"/>
                <w:szCs w:val="22"/>
              </w:rPr>
              <w:t>Christine Walrath, PhD</w:t>
            </w:r>
          </w:p>
        </w:tc>
        <w:tc>
          <w:tcPr>
            <w:tcW w:w="2596" w:type="pct"/>
          </w:tcPr>
          <w:p w14:paraId="7F0EECE1" w14:textId="77777777" w:rsidR="007F115C" w:rsidRPr="00C46BE1" w:rsidRDefault="007F115C" w:rsidP="007F115C">
            <w:pPr>
              <w:rPr>
                <w:rFonts w:ascii="Tw Cen MT" w:hAnsi="Tw Cen MT"/>
                <w:sz w:val="22"/>
                <w:szCs w:val="22"/>
              </w:rPr>
            </w:pPr>
            <w:r w:rsidRPr="00C46BE1">
              <w:rPr>
                <w:rFonts w:ascii="Tw Cen MT" w:hAnsi="Tw Cen MT"/>
                <w:sz w:val="22"/>
                <w:szCs w:val="22"/>
              </w:rPr>
              <w:t xml:space="preserve">ICF International </w:t>
            </w:r>
          </w:p>
          <w:p w14:paraId="7AA25F55" w14:textId="77777777" w:rsidR="007F115C" w:rsidRPr="00C46BE1" w:rsidRDefault="007F115C" w:rsidP="007F115C">
            <w:pPr>
              <w:rPr>
                <w:rFonts w:ascii="Tw Cen MT" w:hAnsi="Tw Cen MT"/>
                <w:sz w:val="22"/>
                <w:szCs w:val="22"/>
              </w:rPr>
            </w:pPr>
            <w:r w:rsidRPr="00C46BE1">
              <w:rPr>
                <w:rFonts w:ascii="Tw Cen MT" w:hAnsi="Tw Cen MT"/>
                <w:sz w:val="22"/>
                <w:szCs w:val="22"/>
              </w:rPr>
              <w:t>40 Wall Street, Suite 3400</w:t>
            </w:r>
          </w:p>
          <w:p w14:paraId="42304554" w14:textId="77777777" w:rsidR="007F115C" w:rsidRPr="00C46BE1" w:rsidRDefault="007F115C" w:rsidP="007F115C">
            <w:pPr>
              <w:rPr>
                <w:rFonts w:ascii="Tw Cen MT" w:hAnsi="Tw Cen MT"/>
                <w:sz w:val="22"/>
                <w:szCs w:val="22"/>
              </w:rPr>
            </w:pPr>
            <w:r w:rsidRPr="00C46BE1">
              <w:rPr>
                <w:rFonts w:ascii="Tw Cen MT" w:hAnsi="Tw Cen MT"/>
                <w:sz w:val="22"/>
                <w:szCs w:val="22"/>
              </w:rPr>
              <w:t>New York, NY 10005</w:t>
            </w:r>
          </w:p>
          <w:p w14:paraId="50E06E52" w14:textId="4317BAA5" w:rsidR="007F115C" w:rsidRPr="00C46BE1" w:rsidRDefault="0021163D" w:rsidP="007F115C">
            <w:pPr>
              <w:rPr>
                <w:rFonts w:ascii="Tw Cen MT" w:hAnsi="Tw Cen MT"/>
                <w:sz w:val="22"/>
                <w:szCs w:val="22"/>
              </w:rPr>
            </w:pPr>
            <w:hyperlink r:id="rId12" w:history="1">
              <w:r w:rsidR="00181131" w:rsidRPr="00C46BE1">
                <w:rPr>
                  <w:rStyle w:val="Hyperlink"/>
                  <w:rFonts w:ascii="Tw Cen MT" w:eastAsiaTheme="majorEastAsia" w:hAnsi="Tw Cen MT"/>
                  <w:sz w:val="22"/>
                  <w:szCs w:val="22"/>
                </w:rPr>
                <w:t>Christine.Walrath@icfi.com</w:t>
              </w:r>
            </w:hyperlink>
          </w:p>
          <w:p w14:paraId="57989AE8" w14:textId="4CF53294" w:rsidR="007F115C" w:rsidRPr="00C46BE1" w:rsidRDefault="007F115C" w:rsidP="007F115C">
            <w:pPr>
              <w:jc w:val="left"/>
              <w:rPr>
                <w:rFonts w:ascii="Tw Cen MT" w:hAnsi="Tw Cen MT"/>
                <w:sz w:val="22"/>
                <w:szCs w:val="22"/>
              </w:rPr>
            </w:pPr>
            <w:r w:rsidRPr="00C46BE1">
              <w:rPr>
                <w:rFonts w:ascii="Tw Cen MT" w:hAnsi="Tw Cen MT"/>
                <w:sz w:val="22"/>
                <w:szCs w:val="22"/>
              </w:rPr>
              <w:t>646-695-8154</w:t>
            </w:r>
          </w:p>
        </w:tc>
      </w:tr>
      <w:tr w:rsidR="007F115C" w:rsidRPr="00C46BE1" w14:paraId="768E479C" w14:textId="6F76448F" w:rsidTr="009A04D9">
        <w:tc>
          <w:tcPr>
            <w:tcW w:w="2404" w:type="pct"/>
          </w:tcPr>
          <w:p w14:paraId="66362D1E" w14:textId="7E1FD56C" w:rsidR="007F115C" w:rsidRPr="00C46BE1" w:rsidRDefault="007F115C" w:rsidP="007F115C">
            <w:pPr>
              <w:jc w:val="left"/>
              <w:rPr>
                <w:rFonts w:ascii="Tw Cen MT" w:hAnsi="Tw Cen MT"/>
                <w:sz w:val="22"/>
                <w:szCs w:val="22"/>
              </w:rPr>
            </w:pPr>
            <w:r w:rsidRPr="00C46BE1">
              <w:rPr>
                <w:rFonts w:ascii="Tw Cen MT" w:hAnsi="Tw Cen MT"/>
                <w:sz w:val="22"/>
                <w:szCs w:val="22"/>
              </w:rPr>
              <w:t>Samantha Lowry, MS</w:t>
            </w:r>
          </w:p>
          <w:p w14:paraId="416929F7" w14:textId="476DB2A3" w:rsidR="007F115C" w:rsidRPr="00C46BE1" w:rsidRDefault="007F115C" w:rsidP="007F115C">
            <w:pPr>
              <w:jc w:val="left"/>
              <w:rPr>
                <w:rFonts w:ascii="Tw Cen MT" w:hAnsi="Tw Cen MT"/>
                <w:sz w:val="22"/>
                <w:szCs w:val="22"/>
              </w:rPr>
            </w:pPr>
            <w:r w:rsidRPr="00C46BE1">
              <w:rPr>
                <w:rFonts w:ascii="Tw Cen MT" w:hAnsi="Tw Cen MT"/>
                <w:sz w:val="22"/>
                <w:szCs w:val="22"/>
              </w:rPr>
              <w:t>BHTCC Study Manager</w:t>
            </w:r>
          </w:p>
        </w:tc>
        <w:tc>
          <w:tcPr>
            <w:tcW w:w="2596" w:type="pct"/>
          </w:tcPr>
          <w:p w14:paraId="5F7D99F4" w14:textId="77777777" w:rsidR="007F115C" w:rsidRPr="00C46BE1" w:rsidRDefault="007F115C" w:rsidP="007F115C">
            <w:pPr>
              <w:jc w:val="left"/>
              <w:rPr>
                <w:rFonts w:ascii="Tw Cen MT" w:hAnsi="Tw Cen MT"/>
                <w:sz w:val="22"/>
                <w:szCs w:val="22"/>
              </w:rPr>
            </w:pPr>
            <w:r w:rsidRPr="00C46BE1">
              <w:rPr>
                <w:rFonts w:ascii="Tw Cen MT" w:hAnsi="Tw Cen MT"/>
                <w:sz w:val="22"/>
                <w:szCs w:val="22"/>
              </w:rPr>
              <w:t>ICF International</w:t>
            </w:r>
          </w:p>
          <w:p w14:paraId="70881EB9" w14:textId="77777777" w:rsidR="007F115C" w:rsidRPr="00C46BE1" w:rsidRDefault="007F115C" w:rsidP="007F115C">
            <w:pPr>
              <w:jc w:val="left"/>
              <w:rPr>
                <w:rFonts w:ascii="Tw Cen MT" w:hAnsi="Tw Cen MT"/>
                <w:sz w:val="22"/>
                <w:szCs w:val="22"/>
              </w:rPr>
            </w:pPr>
            <w:r w:rsidRPr="00C46BE1">
              <w:rPr>
                <w:rFonts w:ascii="Tw Cen MT" w:hAnsi="Tw Cen MT"/>
                <w:sz w:val="22"/>
                <w:szCs w:val="22"/>
              </w:rPr>
              <w:t>9300 Lee Highway</w:t>
            </w:r>
          </w:p>
          <w:p w14:paraId="310F8D6E" w14:textId="7D21AA6A" w:rsidR="007F115C" w:rsidRPr="00C46BE1" w:rsidRDefault="007F115C" w:rsidP="007F115C">
            <w:pPr>
              <w:jc w:val="left"/>
              <w:rPr>
                <w:rFonts w:ascii="Tw Cen MT" w:hAnsi="Tw Cen MT"/>
                <w:sz w:val="22"/>
                <w:szCs w:val="22"/>
              </w:rPr>
            </w:pPr>
            <w:r w:rsidRPr="00C46BE1">
              <w:rPr>
                <w:rFonts w:ascii="Tw Cen MT" w:hAnsi="Tw Cen MT"/>
                <w:sz w:val="22"/>
                <w:szCs w:val="22"/>
              </w:rPr>
              <w:t>Fairfax, VA 22031</w:t>
            </w:r>
            <w:r w:rsidRPr="00C46BE1">
              <w:rPr>
                <w:rFonts w:ascii="Tw Cen MT" w:hAnsi="Tw Cen MT"/>
                <w:sz w:val="22"/>
                <w:szCs w:val="22"/>
              </w:rPr>
              <w:br/>
            </w:r>
            <w:hyperlink r:id="rId13" w:history="1">
              <w:r w:rsidR="00181131" w:rsidRPr="00C46BE1">
                <w:rPr>
                  <w:rStyle w:val="Hyperlink"/>
                  <w:rFonts w:ascii="Tw Cen MT" w:eastAsiaTheme="majorEastAsia" w:hAnsi="Tw Cen MT"/>
                  <w:sz w:val="22"/>
                  <w:szCs w:val="22"/>
                </w:rPr>
                <w:t>Samantha.Lowry@icfi.com</w:t>
              </w:r>
            </w:hyperlink>
            <w:r w:rsidR="00181131" w:rsidRPr="00C46BE1">
              <w:rPr>
                <w:rStyle w:val="Hyperlink"/>
                <w:rFonts w:ascii="Tw Cen MT" w:eastAsiaTheme="majorEastAsia" w:hAnsi="Tw Cen MT"/>
                <w:color w:val="auto"/>
                <w:sz w:val="22"/>
                <w:szCs w:val="22"/>
              </w:rPr>
              <w:t xml:space="preserve"> </w:t>
            </w:r>
          </w:p>
          <w:p w14:paraId="7A7BB2FB" w14:textId="3CB16FEE" w:rsidR="007F115C" w:rsidRPr="00C46BE1" w:rsidRDefault="007F115C" w:rsidP="007F115C">
            <w:pPr>
              <w:rPr>
                <w:rFonts w:ascii="Tw Cen MT" w:eastAsia="Calibri" w:hAnsi="Tw Cen MT"/>
                <w:sz w:val="22"/>
                <w:szCs w:val="22"/>
              </w:rPr>
            </w:pPr>
            <w:r w:rsidRPr="00C46BE1">
              <w:rPr>
                <w:rFonts w:ascii="Tw Cen MT" w:hAnsi="Tw Cen MT"/>
                <w:sz w:val="22"/>
                <w:szCs w:val="22"/>
              </w:rPr>
              <w:t>703-251-0368</w:t>
            </w:r>
          </w:p>
        </w:tc>
      </w:tr>
      <w:tr w:rsidR="00BC4F10" w:rsidRPr="00C46BE1" w14:paraId="2AA45BC6" w14:textId="485DD1B8" w:rsidTr="00181131">
        <w:trPr>
          <w:trHeight w:val="217"/>
        </w:trPr>
        <w:tc>
          <w:tcPr>
            <w:tcW w:w="2404" w:type="pct"/>
          </w:tcPr>
          <w:p w14:paraId="4701EF55" w14:textId="30475EEE" w:rsidR="00BC4F10" w:rsidRPr="00C46BE1" w:rsidRDefault="00192F5B" w:rsidP="0079237C">
            <w:pPr>
              <w:jc w:val="left"/>
              <w:rPr>
                <w:rFonts w:ascii="Tw Cen MT" w:hAnsi="Tw Cen MT"/>
                <w:sz w:val="22"/>
                <w:szCs w:val="22"/>
              </w:rPr>
            </w:pPr>
            <w:r w:rsidRPr="00C46BE1">
              <w:rPr>
                <w:rFonts w:ascii="Tw Cen MT" w:hAnsi="Tw Cen MT"/>
                <w:sz w:val="22"/>
                <w:szCs w:val="22"/>
              </w:rPr>
              <w:t>Emily Appel-Newby</w:t>
            </w:r>
          </w:p>
          <w:p w14:paraId="2E7AFFEB" w14:textId="3D119C24" w:rsidR="00192F5B" w:rsidRPr="00C46BE1" w:rsidRDefault="00192F5B" w:rsidP="0079237C">
            <w:pPr>
              <w:jc w:val="left"/>
              <w:rPr>
                <w:rFonts w:ascii="Tw Cen MT" w:hAnsi="Tw Cen MT"/>
                <w:sz w:val="22"/>
                <w:szCs w:val="22"/>
              </w:rPr>
            </w:pPr>
            <w:r w:rsidRPr="00C46BE1">
              <w:rPr>
                <w:rFonts w:ascii="Tw Cen MT" w:hAnsi="Tw Cen MT"/>
                <w:sz w:val="22"/>
                <w:szCs w:val="22"/>
              </w:rPr>
              <w:t>SE Study Manager</w:t>
            </w:r>
          </w:p>
        </w:tc>
        <w:tc>
          <w:tcPr>
            <w:tcW w:w="2596" w:type="pct"/>
          </w:tcPr>
          <w:p w14:paraId="1F16C0C5" w14:textId="77777777" w:rsidR="009A04D9" w:rsidRPr="00C46BE1" w:rsidRDefault="009A04D9" w:rsidP="009A04D9">
            <w:pPr>
              <w:rPr>
                <w:rFonts w:ascii="Tw Cen MT" w:hAnsi="Tw Cen MT"/>
                <w:sz w:val="22"/>
                <w:szCs w:val="22"/>
              </w:rPr>
            </w:pPr>
            <w:r w:rsidRPr="00C46BE1">
              <w:rPr>
                <w:rFonts w:ascii="Tw Cen MT" w:hAnsi="Tw Cen MT"/>
                <w:sz w:val="22"/>
                <w:szCs w:val="22"/>
              </w:rPr>
              <w:t>ICF International</w:t>
            </w:r>
          </w:p>
          <w:p w14:paraId="46EE0555" w14:textId="77777777" w:rsidR="009A04D9" w:rsidRPr="00C46BE1" w:rsidRDefault="009A04D9" w:rsidP="009A04D9">
            <w:pPr>
              <w:rPr>
                <w:rFonts w:ascii="Tw Cen MT" w:hAnsi="Tw Cen MT"/>
                <w:sz w:val="22"/>
                <w:szCs w:val="22"/>
              </w:rPr>
            </w:pPr>
            <w:r w:rsidRPr="00C46BE1">
              <w:rPr>
                <w:rFonts w:ascii="Tw Cen MT" w:hAnsi="Tw Cen MT"/>
                <w:sz w:val="22"/>
                <w:szCs w:val="22"/>
              </w:rPr>
              <w:t>9300 Lee Highway</w:t>
            </w:r>
          </w:p>
          <w:p w14:paraId="344F5776" w14:textId="77777777" w:rsidR="009A04D9" w:rsidRPr="00C46BE1" w:rsidRDefault="009A04D9" w:rsidP="009A04D9">
            <w:pPr>
              <w:rPr>
                <w:rFonts w:ascii="Tw Cen MT" w:hAnsi="Tw Cen MT"/>
                <w:sz w:val="22"/>
                <w:szCs w:val="22"/>
              </w:rPr>
            </w:pPr>
            <w:r w:rsidRPr="00C46BE1">
              <w:rPr>
                <w:rFonts w:ascii="Tw Cen MT" w:hAnsi="Tw Cen MT"/>
                <w:sz w:val="22"/>
                <w:szCs w:val="22"/>
              </w:rPr>
              <w:t>Fairfax, VA 22031</w:t>
            </w:r>
          </w:p>
          <w:p w14:paraId="62DB0B94" w14:textId="0FABEF91" w:rsidR="009A04D9" w:rsidRPr="00C46BE1" w:rsidRDefault="0021163D" w:rsidP="009A04D9">
            <w:pPr>
              <w:rPr>
                <w:rFonts w:ascii="Tw Cen MT" w:hAnsi="Tw Cen MT"/>
                <w:sz w:val="22"/>
                <w:szCs w:val="22"/>
              </w:rPr>
            </w:pPr>
            <w:hyperlink r:id="rId14" w:history="1">
              <w:r w:rsidR="00181131" w:rsidRPr="00C46BE1">
                <w:rPr>
                  <w:rStyle w:val="Hyperlink"/>
                  <w:rFonts w:ascii="Tw Cen MT" w:eastAsiaTheme="majorEastAsia" w:hAnsi="Tw Cen MT"/>
                  <w:sz w:val="22"/>
                  <w:szCs w:val="22"/>
                </w:rPr>
                <w:t>Emily.Appel-Newby@icfi.com</w:t>
              </w:r>
            </w:hyperlink>
            <w:r w:rsidR="009A04D9" w:rsidRPr="00C46BE1">
              <w:rPr>
                <w:rFonts w:ascii="Tw Cen MT" w:hAnsi="Tw Cen MT"/>
                <w:sz w:val="22"/>
                <w:szCs w:val="22"/>
              </w:rPr>
              <w:t xml:space="preserve">   </w:t>
            </w:r>
          </w:p>
          <w:p w14:paraId="3FB8ABD2" w14:textId="08581213" w:rsidR="00BC4F10" w:rsidRPr="00C46BE1" w:rsidRDefault="009A04D9" w:rsidP="009A04D9">
            <w:pPr>
              <w:rPr>
                <w:rFonts w:ascii="Tw Cen MT" w:eastAsia="Calibri" w:hAnsi="Tw Cen MT"/>
                <w:sz w:val="22"/>
                <w:szCs w:val="22"/>
              </w:rPr>
            </w:pPr>
            <w:r w:rsidRPr="00C46BE1">
              <w:rPr>
                <w:rFonts w:ascii="Tw Cen MT" w:hAnsi="Tw Cen MT"/>
                <w:sz w:val="22"/>
                <w:szCs w:val="22"/>
              </w:rPr>
              <w:t>703-225-2409</w:t>
            </w:r>
          </w:p>
        </w:tc>
      </w:tr>
      <w:tr w:rsidR="007F115C" w:rsidRPr="00C46BE1" w14:paraId="31699EC6" w14:textId="77777777" w:rsidTr="009A04D9">
        <w:trPr>
          <w:trHeight w:val="307"/>
        </w:trPr>
        <w:tc>
          <w:tcPr>
            <w:tcW w:w="2404" w:type="pct"/>
          </w:tcPr>
          <w:p w14:paraId="2393C7E5" w14:textId="264B99E1" w:rsidR="007F115C" w:rsidRPr="00C46BE1" w:rsidRDefault="007F115C" w:rsidP="007F115C">
            <w:pPr>
              <w:jc w:val="left"/>
              <w:rPr>
                <w:rFonts w:ascii="Tw Cen MT" w:hAnsi="Tw Cen MT"/>
                <w:sz w:val="22"/>
                <w:szCs w:val="22"/>
              </w:rPr>
            </w:pPr>
            <w:r w:rsidRPr="00C46BE1">
              <w:rPr>
                <w:rFonts w:ascii="Tw Cen MT" w:hAnsi="Tw Cen MT"/>
                <w:sz w:val="22"/>
                <w:szCs w:val="22"/>
              </w:rPr>
              <w:t>Lucas Godoy Garraza, MA</w:t>
            </w:r>
          </w:p>
          <w:p w14:paraId="465F3F39" w14:textId="776861F2" w:rsidR="007F115C" w:rsidRPr="00C46BE1" w:rsidRDefault="007F115C" w:rsidP="007F115C">
            <w:pPr>
              <w:jc w:val="left"/>
              <w:rPr>
                <w:rFonts w:ascii="Tw Cen MT" w:hAnsi="Tw Cen MT"/>
                <w:sz w:val="22"/>
                <w:szCs w:val="22"/>
              </w:rPr>
            </w:pPr>
            <w:r w:rsidRPr="00C46BE1">
              <w:rPr>
                <w:rFonts w:ascii="Tw Cen MT" w:hAnsi="Tw Cen MT"/>
                <w:sz w:val="22"/>
                <w:szCs w:val="22"/>
              </w:rPr>
              <w:t>Senior Statistician</w:t>
            </w:r>
          </w:p>
        </w:tc>
        <w:tc>
          <w:tcPr>
            <w:tcW w:w="2596" w:type="pct"/>
          </w:tcPr>
          <w:p w14:paraId="2E8AB0E0" w14:textId="77777777" w:rsidR="007F115C" w:rsidRPr="00C46BE1" w:rsidRDefault="007F115C" w:rsidP="007F115C">
            <w:pPr>
              <w:rPr>
                <w:rFonts w:ascii="Tw Cen MT" w:hAnsi="Tw Cen MT"/>
                <w:sz w:val="22"/>
                <w:szCs w:val="22"/>
              </w:rPr>
            </w:pPr>
            <w:r w:rsidRPr="00C46BE1">
              <w:rPr>
                <w:rFonts w:ascii="Tw Cen MT" w:hAnsi="Tw Cen MT"/>
                <w:sz w:val="22"/>
                <w:szCs w:val="22"/>
              </w:rPr>
              <w:t xml:space="preserve">ICF International </w:t>
            </w:r>
          </w:p>
          <w:p w14:paraId="19B045DD" w14:textId="77777777" w:rsidR="007F115C" w:rsidRPr="00C46BE1" w:rsidRDefault="007F115C" w:rsidP="007F115C">
            <w:pPr>
              <w:rPr>
                <w:rFonts w:ascii="Tw Cen MT" w:hAnsi="Tw Cen MT"/>
                <w:sz w:val="22"/>
                <w:szCs w:val="22"/>
              </w:rPr>
            </w:pPr>
            <w:r w:rsidRPr="00C46BE1">
              <w:rPr>
                <w:rFonts w:ascii="Tw Cen MT" w:hAnsi="Tw Cen MT"/>
                <w:sz w:val="22"/>
                <w:szCs w:val="22"/>
              </w:rPr>
              <w:t>40 Wall Street, Suite 3400</w:t>
            </w:r>
          </w:p>
          <w:p w14:paraId="1A74E383" w14:textId="77777777" w:rsidR="007F115C" w:rsidRPr="00C46BE1" w:rsidRDefault="007F115C" w:rsidP="007F115C">
            <w:pPr>
              <w:rPr>
                <w:rFonts w:ascii="Tw Cen MT" w:hAnsi="Tw Cen MT"/>
                <w:sz w:val="22"/>
                <w:szCs w:val="22"/>
              </w:rPr>
            </w:pPr>
            <w:r w:rsidRPr="00C46BE1">
              <w:rPr>
                <w:rFonts w:ascii="Tw Cen MT" w:hAnsi="Tw Cen MT"/>
                <w:sz w:val="22"/>
                <w:szCs w:val="22"/>
              </w:rPr>
              <w:t>New York, NY 10005</w:t>
            </w:r>
          </w:p>
          <w:p w14:paraId="4F094359" w14:textId="2E338F62" w:rsidR="007F115C" w:rsidRPr="00C46BE1" w:rsidRDefault="0021163D" w:rsidP="007F115C">
            <w:pPr>
              <w:rPr>
                <w:rFonts w:ascii="Tw Cen MT" w:hAnsi="Tw Cen MT"/>
                <w:sz w:val="22"/>
                <w:szCs w:val="22"/>
              </w:rPr>
            </w:pPr>
            <w:hyperlink r:id="rId15" w:history="1">
              <w:r w:rsidR="007F115C" w:rsidRPr="00C46BE1">
                <w:rPr>
                  <w:rStyle w:val="Hyperlink"/>
                  <w:rFonts w:ascii="Tw Cen MT" w:eastAsiaTheme="majorEastAsia" w:hAnsi="Tw Cen MT"/>
                  <w:sz w:val="22"/>
                  <w:szCs w:val="22"/>
                </w:rPr>
                <w:t>Lucas.GodoyGarraza@icfi.com</w:t>
              </w:r>
            </w:hyperlink>
          </w:p>
        </w:tc>
      </w:tr>
      <w:tr w:rsidR="005C3E3C" w:rsidRPr="00C46BE1" w14:paraId="22D291FB" w14:textId="77777777" w:rsidTr="009A04D9">
        <w:trPr>
          <w:trHeight w:val="307"/>
        </w:trPr>
        <w:tc>
          <w:tcPr>
            <w:tcW w:w="2404" w:type="pct"/>
          </w:tcPr>
          <w:p w14:paraId="75A23C17" w14:textId="6BE846DF" w:rsidR="005C3E3C" w:rsidRPr="00C46BE1" w:rsidRDefault="005C3E3C" w:rsidP="005C3E3C">
            <w:pPr>
              <w:jc w:val="left"/>
              <w:rPr>
                <w:rFonts w:ascii="Tw Cen MT" w:hAnsi="Tw Cen MT"/>
                <w:sz w:val="22"/>
                <w:szCs w:val="22"/>
              </w:rPr>
            </w:pPr>
            <w:r w:rsidRPr="00C46BE1">
              <w:rPr>
                <w:rFonts w:ascii="Tw Cen MT" w:hAnsi="Tw Cen MT"/>
                <w:sz w:val="22"/>
                <w:szCs w:val="22"/>
              </w:rPr>
              <w:t>Megan Brooks</w:t>
            </w:r>
            <w:r w:rsidR="007F115C" w:rsidRPr="00C46BE1">
              <w:rPr>
                <w:rFonts w:ascii="Tw Cen MT" w:hAnsi="Tw Cen MT"/>
                <w:sz w:val="22"/>
                <w:szCs w:val="22"/>
              </w:rPr>
              <w:t>, MA</w:t>
            </w:r>
          </w:p>
          <w:p w14:paraId="09A0CB31" w14:textId="4D9BE7D5" w:rsidR="007F115C" w:rsidRPr="00C46BE1" w:rsidRDefault="007F115C" w:rsidP="005C3E3C">
            <w:pPr>
              <w:jc w:val="left"/>
              <w:rPr>
                <w:rFonts w:ascii="Tw Cen MT" w:hAnsi="Tw Cen MT"/>
                <w:sz w:val="22"/>
                <w:szCs w:val="22"/>
              </w:rPr>
            </w:pPr>
            <w:r w:rsidRPr="00C46BE1">
              <w:rPr>
                <w:rFonts w:ascii="Tw Cen MT" w:hAnsi="Tw Cen MT"/>
                <w:sz w:val="22"/>
                <w:szCs w:val="22"/>
              </w:rPr>
              <w:t>Data Manager</w:t>
            </w:r>
          </w:p>
        </w:tc>
        <w:tc>
          <w:tcPr>
            <w:tcW w:w="2596" w:type="pct"/>
          </w:tcPr>
          <w:p w14:paraId="454DCBB3" w14:textId="77777777" w:rsidR="00286C42" w:rsidRDefault="005C3E3C" w:rsidP="005C3E3C">
            <w:pPr>
              <w:jc w:val="left"/>
              <w:rPr>
                <w:rFonts w:ascii="Tw Cen MT" w:hAnsi="Tw Cen MT"/>
                <w:sz w:val="22"/>
                <w:szCs w:val="22"/>
              </w:rPr>
            </w:pPr>
            <w:r w:rsidRPr="00C46BE1">
              <w:rPr>
                <w:rFonts w:ascii="Tw Cen MT" w:hAnsi="Tw Cen MT"/>
                <w:sz w:val="22"/>
                <w:szCs w:val="22"/>
              </w:rPr>
              <w:t>ICF International</w:t>
            </w:r>
          </w:p>
          <w:p w14:paraId="4E021ACC" w14:textId="548C735C" w:rsidR="005C3E3C" w:rsidRPr="00C46BE1" w:rsidRDefault="005C3E3C" w:rsidP="005C3E3C">
            <w:pPr>
              <w:jc w:val="left"/>
              <w:rPr>
                <w:rFonts w:ascii="Tw Cen MT" w:hAnsi="Tw Cen MT"/>
                <w:sz w:val="22"/>
                <w:szCs w:val="22"/>
              </w:rPr>
            </w:pPr>
            <w:r w:rsidRPr="00C46BE1">
              <w:rPr>
                <w:rFonts w:ascii="Tw Cen MT" w:hAnsi="Tw Cen MT"/>
                <w:sz w:val="22"/>
                <w:szCs w:val="22"/>
              </w:rPr>
              <w:t>3 Corporate Square, NE</w:t>
            </w:r>
            <w:r w:rsidRPr="00C46BE1">
              <w:rPr>
                <w:rFonts w:ascii="Tw Cen MT" w:hAnsi="Tw Cen MT"/>
                <w:sz w:val="22"/>
                <w:szCs w:val="22"/>
              </w:rPr>
              <w:br/>
              <w:t>Suite 370</w:t>
            </w:r>
            <w:r w:rsidRPr="00C46BE1">
              <w:rPr>
                <w:rFonts w:ascii="Tw Cen MT" w:hAnsi="Tw Cen MT"/>
                <w:sz w:val="22"/>
                <w:szCs w:val="22"/>
              </w:rPr>
              <w:br/>
              <w:t>Atlanta, GA 30329</w:t>
            </w:r>
          </w:p>
          <w:p w14:paraId="41CAE5E4" w14:textId="39DD8D67" w:rsidR="005C3E3C" w:rsidRPr="00C46BE1" w:rsidRDefault="0021163D" w:rsidP="005C3E3C">
            <w:pPr>
              <w:jc w:val="left"/>
              <w:rPr>
                <w:rFonts w:ascii="Tw Cen MT" w:hAnsi="Tw Cen MT"/>
                <w:sz w:val="22"/>
                <w:szCs w:val="22"/>
              </w:rPr>
            </w:pPr>
            <w:hyperlink r:id="rId16" w:history="1">
              <w:r w:rsidR="00181131" w:rsidRPr="00C46BE1">
                <w:rPr>
                  <w:rStyle w:val="Hyperlink"/>
                  <w:rFonts w:ascii="Tw Cen MT" w:eastAsiaTheme="majorEastAsia" w:hAnsi="Tw Cen MT"/>
                  <w:sz w:val="22"/>
                  <w:szCs w:val="22"/>
                </w:rPr>
                <w:t>Megan.Brooks@icfi.com</w:t>
              </w:r>
            </w:hyperlink>
            <w:r w:rsidR="005C3E3C" w:rsidRPr="00C46BE1">
              <w:rPr>
                <w:rFonts w:ascii="Tw Cen MT" w:hAnsi="Tw Cen MT"/>
                <w:sz w:val="22"/>
                <w:szCs w:val="22"/>
              </w:rPr>
              <w:t xml:space="preserve">  </w:t>
            </w:r>
          </w:p>
          <w:p w14:paraId="789FBAEA" w14:textId="1FE2373E" w:rsidR="005C3E3C" w:rsidRPr="00C46BE1" w:rsidRDefault="005C3E3C" w:rsidP="005C3E3C">
            <w:pPr>
              <w:jc w:val="left"/>
              <w:rPr>
                <w:rFonts w:ascii="Tw Cen MT" w:hAnsi="Tw Cen MT"/>
                <w:sz w:val="22"/>
                <w:szCs w:val="22"/>
              </w:rPr>
            </w:pPr>
            <w:r w:rsidRPr="00C46BE1">
              <w:rPr>
                <w:rFonts w:ascii="Tw Cen MT" w:hAnsi="Tw Cen MT"/>
                <w:sz w:val="22"/>
                <w:szCs w:val="22"/>
              </w:rPr>
              <w:t>651-330-6085</w:t>
            </w:r>
          </w:p>
        </w:tc>
      </w:tr>
      <w:tr w:rsidR="009A04D9" w:rsidRPr="00C46BE1" w14:paraId="26CD2700" w14:textId="77777777" w:rsidTr="009A04D9">
        <w:trPr>
          <w:trHeight w:val="307"/>
        </w:trPr>
        <w:tc>
          <w:tcPr>
            <w:tcW w:w="2404" w:type="pct"/>
          </w:tcPr>
          <w:p w14:paraId="672D4709" w14:textId="56460B02" w:rsidR="009A04D9" w:rsidRPr="00C46BE1" w:rsidRDefault="009A04D9" w:rsidP="009A04D9">
            <w:pPr>
              <w:jc w:val="left"/>
              <w:rPr>
                <w:rFonts w:ascii="Tw Cen MT" w:hAnsi="Tw Cen MT"/>
                <w:sz w:val="22"/>
                <w:szCs w:val="22"/>
              </w:rPr>
            </w:pPr>
            <w:r w:rsidRPr="00C46BE1">
              <w:rPr>
                <w:rFonts w:ascii="Tw Cen MT" w:hAnsi="Tw Cen MT"/>
                <w:sz w:val="22"/>
                <w:szCs w:val="22"/>
              </w:rPr>
              <w:t>Janeen Buck Wil</w:t>
            </w:r>
            <w:r w:rsidR="005F6E50" w:rsidRPr="00C46BE1">
              <w:rPr>
                <w:rFonts w:ascii="Tw Cen MT" w:hAnsi="Tw Cen MT"/>
                <w:sz w:val="22"/>
                <w:szCs w:val="22"/>
              </w:rPr>
              <w:t>l</w:t>
            </w:r>
            <w:r w:rsidRPr="00C46BE1">
              <w:rPr>
                <w:rFonts w:ascii="Tw Cen MT" w:hAnsi="Tw Cen MT"/>
                <w:sz w:val="22"/>
                <w:szCs w:val="22"/>
              </w:rPr>
              <w:t>ison</w:t>
            </w:r>
            <w:r w:rsidR="007F115C" w:rsidRPr="00C46BE1">
              <w:rPr>
                <w:rFonts w:ascii="Tw Cen MT" w:hAnsi="Tw Cen MT"/>
                <w:sz w:val="22"/>
                <w:szCs w:val="22"/>
              </w:rPr>
              <w:t>, MSJ</w:t>
            </w:r>
          </w:p>
          <w:p w14:paraId="435696B7" w14:textId="74208A95" w:rsidR="009A04D9" w:rsidRPr="00C46BE1" w:rsidRDefault="009A04D9" w:rsidP="009A04D9">
            <w:pPr>
              <w:jc w:val="left"/>
              <w:rPr>
                <w:rFonts w:ascii="Tw Cen MT" w:hAnsi="Tw Cen MT"/>
                <w:sz w:val="22"/>
                <w:szCs w:val="22"/>
              </w:rPr>
            </w:pPr>
            <w:r w:rsidRPr="00C46BE1">
              <w:rPr>
                <w:rFonts w:ascii="Tw Cen MT" w:hAnsi="Tw Cen MT"/>
                <w:sz w:val="22"/>
                <w:szCs w:val="22"/>
              </w:rPr>
              <w:t>Evaluation Advisor</w:t>
            </w:r>
          </w:p>
        </w:tc>
        <w:tc>
          <w:tcPr>
            <w:tcW w:w="2596" w:type="pct"/>
          </w:tcPr>
          <w:p w14:paraId="04A81F75" w14:textId="77777777" w:rsidR="009A04D9" w:rsidRPr="00C46BE1" w:rsidRDefault="009A04D9" w:rsidP="009A04D9">
            <w:pPr>
              <w:rPr>
                <w:rFonts w:ascii="Tw Cen MT" w:hAnsi="Tw Cen MT"/>
                <w:sz w:val="22"/>
                <w:szCs w:val="22"/>
              </w:rPr>
            </w:pPr>
            <w:r w:rsidRPr="00C46BE1">
              <w:rPr>
                <w:rFonts w:ascii="Tw Cen MT" w:hAnsi="Tw Cen MT"/>
                <w:sz w:val="22"/>
                <w:szCs w:val="22"/>
              </w:rPr>
              <w:t>Urban Institute</w:t>
            </w:r>
          </w:p>
          <w:p w14:paraId="40CB8294" w14:textId="77777777" w:rsidR="009A04D9" w:rsidRPr="00C46BE1" w:rsidRDefault="009A04D9" w:rsidP="009A04D9">
            <w:pPr>
              <w:rPr>
                <w:rFonts w:ascii="Tw Cen MT" w:hAnsi="Tw Cen MT"/>
                <w:sz w:val="22"/>
                <w:szCs w:val="22"/>
              </w:rPr>
            </w:pPr>
            <w:r w:rsidRPr="00C46BE1">
              <w:rPr>
                <w:rFonts w:ascii="Tw Cen MT" w:hAnsi="Tw Cen MT"/>
                <w:sz w:val="22"/>
                <w:szCs w:val="22"/>
              </w:rPr>
              <w:t>2100 M Street NW</w:t>
            </w:r>
          </w:p>
          <w:p w14:paraId="5A5D2EA6" w14:textId="77777777" w:rsidR="009A04D9" w:rsidRPr="00C46BE1" w:rsidRDefault="009A04D9" w:rsidP="009A04D9">
            <w:pPr>
              <w:rPr>
                <w:rFonts w:ascii="Tw Cen MT" w:hAnsi="Tw Cen MT"/>
                <w:sz w:val="22"/>
                <w:szCs w:val="22"/>
              </w:rPr>
            </w:pPr>
            <w:r w:rsidRPr="00C46BE1">
              <w:rPr>
                <w:rFonts w:ascii="Tw Cen MT" w:hAnsi="Tw Cen MT"/>
                <w:sz w:val="22"/>
                <w:szCs w:val="22"/>
              </w:rPr>
              <w:t>Washington, DC 20037</w:t>
            </w:r>
          </w:p>
          <w:p w14:paraId="318F906A" w14:textId="77777777" w:rsidR="00C46BE1" w:rsidRDefault="00C46BE1" w:rsidP="009A04D9">
            <w:pPr>
              <w:rPr>
                <w:rFonts w:ascii="Tw Cen MT" w:hAnsi="Tw Cen MT"/>
                <w:sz w:val="22"/>
                <w:szCs w:val="22"/>
                <w:lang w:val="en"/>
              </w:rPr>
            </w:pPr>
            <w:r w:rsidRPr="00C46BE1">
              <w:rPr>
                <w:rFonts w:ascii="Tw Cen MT" w:hAnsi="Tw Cen MT"/>
                <w:sz w:val="22"/>
                <w:szCs w:val="22"/>
                <w:lang w:val="en"/>
              </w:rPr>
              <w:t>202-261-5746</w:t>
            </w:r>
          </w:p>
          <w:p w14:paraId="6BE0B6AE" w14:textId="0FB9C129" w:rsidR="009A04D9" w:rsidRPr="00C46BE1" w:rsidRDefault="0021163D" w:rsidP="00C46BE1">
            <w:pPr>
              <w:rPr>
                <w:rFonts w:ascii="Tw Cen MT" w:eastAsia="Calibri" w:hAnsi="Tw Cen MT"/>
                <w:sz w:val="22"/>
                <w:szCs w:val="22"/>
              </w:rPr>
            </w:pPr>
            <w:hyperlink r:id="rId17" w:history="1">
              <w:r w:rsidR="009A04D9" w:rsidRPr="00C46BE1">
                <w:rPr>
                  <w:rStyle w:val="Hyperlink"/>
                  <w:rFonts w:ascii="Tw Cen MT" w:eastAsiaTheme="majorEastAsia" w:hAnsi="Tw Cen MT"/>
                  <w:color w:val="auto"/>
                  <w:sz w:val="22"/>
                  <w:szCs w:val="22"/>
                </w:rPr>
                <w:t>jbuck@urban.org</w:t>
              </w:r>
            </w:hyperlink>
            <w:r w:rsidR="00181131" w:rsidRPr="00C46BE1">
              <w:rPr>
                <w:rStyle w:val="Hyperlink"/>
                <w:rFonts w:ascii="Tw Cen MT" w:eastAsiaTheme="majorEastAsia" w:hAnsi="Tw Cen MT"/>
                <w:color w:val="auto"/>
                <w:sz w:val="22"/>
                <w:szCs w:val="22"/>
              </w:rPr>
              <w:t xml:space="preserve">  </w:t>
            </w:r>
          </w:p>
        </w:tc>
      </w:tr>
      <w:tr w:rsidR="009A04D9" w:rsidRPr="00C46BE1" w14:paraId="4EB8767C" w14:textId="77777777" w:rsidTr="009A04D9">
        <w:trPr>
          <w:trHeight w:val="307"/>
        </w:trPr>
        <w:tc>
          <w:tcPr>
            <w:tcW w:w="2404" w:type="pct"/>
          </w:tcPr>
          <w:p w14:paraId="1F7161A7" w14:textId="466DA55D" w:rsidR="009A04D9" w:rsidRPr="00C46BE1" w:rsidRDefault="009A04D9" w:rsidP="009A04D9">
            <w:pPr>
              <w:jc w:val="left"/>
              <w:rPr>
                <w:rFonts w:ascii="Tw Cen MT" w:hAnsi="Tw Cen MT"/>
                <w:sz w:val="22"/>
                <w:szCs w:val="22"/>
              </w:rPr>
            </w:pPr>
            <w:r w:rsidRPr="00C46BE1">
              <w:rPr>
                <w:rFonts w:ascii="Tw Cen MT" w:hAnsi="Tw Cen MT"/>
                <w:sz w:val="22"/>
                <w:szCs w:val="22"/>
              </w:rPr>
              <w:t>Janine Zweig</w:t>
            </w:r>
            <w:r w:rsidR="007F115C" w:rsidRPr="00C46BE1">
              <w:rPr>
                <w:rFonts w:ascii="Tw Cen MT" w:hAnsi="Tw Cen MT"/>
                <w:sz w:val="22"/>
                <w:szCs w:val="22"/>
              </w:rPr>
              <w:t>, PhD</w:t>
            </w:r>
          </w:p>
          <w:p w14:paraId="275DF328" w14:textId="5BBC1051" w:rsidR="009A04D9" w:rsidRPr="00C46BE1" w:rsidRDefault="009A04D9" w:rsidP="009A04D9">
            <w:pPr>
              <w:jc w:val="left"/>
              <w:rPr>
                <w:rFonts w:ascii="Tw Cen MT" w:hAnsi="Tw Cen MT"/>
                <w:sz w:val="22"/>
                <w:szCs w:val="22"/>
              </w:rPr>
            </w:pPr>
            <w:r w:rsidRPr="00C46BE1">
              <w:rPr>
                <w:rFonts w:ascii="Tw Cen MT" w:hAnsi="Tw Cen MT"/>
                <w:sz w:val="22"/>
                <w:szCs w:val="22"/>
              </w:rPr>
              <w:t>Evaluation Advisor</w:t>
            </w:r>
          </w:p>
        </w:tc>
        <w:tc>
          <w:tcPr>
            <w:tcW w:w="2596" w:type="pct"/>
          </w:tcPr>
          <w:p w14:paraId="67C762E2" w14:textId="77777777" w:rsidR="009A04D9" w:rsidRPr="00C46BE1" w:rsidRDefault="009A04D9" w:rsidP="009A04D9">
            <w:pPr>
              <w:rPr>
                <w:rFonts w:ascii="Tw Cen MT" w:hAnsi="Tw Cen MT"/>
                <w:sz w:val="22"/>
                <w:szCs w:val="22"/>
              </w:rPr>
            </w:pPr>
            <w:r w:rsidRPr="00C46BE1">
              <w:rPr>
                <w:rFonts w:ascii="Tw Cen MT" w:hAnsi="Tw Cen MT"/>
                <w:sz w:val="22"/>
                <w:szCs w:val="22"/>
              </w:rPr>
              <w:t>Urban Institute</w:t>
            </w:r>
          </w:p>
          <w:p w14:paraId="6729662B" w14:textId="77777777" w:rsidR="009A04D9" w:rsidRPr="00C46BE1" w:rsidRDefault="009A04D9" w:rsidP="009A04D9">
            <w:pPr>
              <w:rPr>
                <w:rFonts w:ascii="Tw Cen MT" w:hAnsi="Tw Cen MT"/>
                <w:sz w:val="22"/>
                <w:szCs w:val="22"/>
              </w:rPr>
            </w:pPr>
            <w:r w:rsidRPr="00C46BE1">
              <w:rPr>
                <w:rFonts w:ascii="Tw Cen MT" w:hAnsi="Tw Cen MT"/>
                <w:sz w:val="22"/>
                <w:szCs w:val="22"/>
              </w:rPr>
              <w:t>2100 M Street NW</w:t>
            </w:r>
          </w:p>
          <w:p w14:paraId="02E207A3" w14:textId="77777777" w:rsidR="00C46BE1" w:rsidRDefault="009A04D9" w:rsidP="009A04D9">
            <w:pPr>
              <w:rPr>
                <w:rFonts w:ascii="Tw Cen MT" w:hAnsi="Tw Cen MT"/>
                <w:sz w:val="22"/>
                <w:szCs w:val="22"/>
              </w:rPr>
            </w:pPr>
            <w:r w:rsidRPr="00C46BE1">
              <w:rPr>
                <w:rFonts w:ascii="Tw Cen MT" w:hAnsi="Tw Cen MT"/>
                <w:sz w:val="22"/>
                <w:szCs w:val="22"/>
              </w:rPr>
              <w:t>Washington, DC 20037</w:t>
            </w:r>
          </w:p>
          <w:p w14:paraId="3A41794E" w14:textId="344BBA3A" w:rsidR="009A04D9" w:rsidRPr="00C46BE1" w:rsidRDefault="00C46BE1" w:rsidP="009A04D9">
            <w:pPr>
              <w:rPr>
                <w:rFonts w:ascii="Tw Cen MT" w:hAnsi="Tw Cen MT"/>
                <w:sz w:val="22"/>
                <w:szCs w:val="22"/>
              </w:rPr>
            </w:pPr>
            <w:r w:rsidRPr="00C46BE1">
              <w:rPr>
                <w:rFonts w:ascii="Tw Cen MT" w:hAnsi="Tw Cen MT"/>
                <w:sz w:val="22"/>
                <w:szCs w:val="22"/>
                <w:lang w:val="en"/>
              </w:rPr>
              <w:t>518-791-1058</w:t>
            </w:r>
          </w:p>
          <w:p w14:paraId="5A461C4C" w14:textId="58341DE2" w:rsidR="009A04D9" w:rsidRPr="00C46BE1" w:rsidRDefault="0021163D" w:rsidP="00C46BE1">
            <w:pPr>
              <w:rPr>
                <w:rFonts w:ascii="Tw Cen MT" w:eastAsia="Calibri" w:hAnsi="Tw Cen MT"/>
                <w:sz w:val="22"/>
                <w:szCs w:val="22"/>
              </w:rPr>
            </w:pPr>
            <w:hyperlink r:id="rId18" w:history="1">
              <w:r w:rsidR="009A04D9" w:rsidRPr="00C46BE1">
                <w:rPr>
                  <w:rStyle w:val="Hyperlink"/>
                  <w:rFonts w:ascii="Tw Cen MT" w:eastAsiaTheme="majorEastAsia" w:hAnsi="Tw Cen MT"/>
                  <w:color w:val="auto"/>
                  <w:sz w:val="22"/>
                  <w:szCs w:val="22"/>
                </w:rPr>
                <w:t>jzweig@urban.org</w:t>
              </w:r>
            </w:hyperlink>
            <w:r w:rsidR="009A04D9" w:rsidRPr="00C46BE1">
              <w:rPr>
                <w:rFonts w:ascii="Tw Cen MT" w:hAnsi="Tw Cen MT"/>
                <w:sz w:val="22"/>
                <w:szCs w:val="22"/>
              </w:rPr>
              <w:t xml:space="preserve"> </w:t>
            </w:r>
          </w:p>
        </w:tc>
      </w:tr>
      <w:tr w:rsidR="009A04D9" w:rsidRPr="00C46BE1" w14:paraId="7DD0A620" w14:textId="77777777" w:rsidTr="009A04D9">
        <w:trPr>
          <w:trHeight w:val="307"/>
        </w:trPr>
        <w:tc>
          <w:tcPr>
            <w:tcW w:w="2404" w:type="pct"/>
          </w:tcPr>
          <w:p w14:paraId="58CAECA9" w14:textId="776DB287" w:rsidR="009A04D9" w:rsidRPr="00C46BE1" w:rsidRDefault="009A04D9" w:rsidP="009A04D9">
            <w:pPr>
              <w:jc w:val="left"/>
              <w:rPr>
                <w:rFonts w:ascii="Tw Cen MT" w:hAnsi="Tw Cen MT"/>
                <w:sz w:val="22"/>
                <w:szCs w:val="22"/>
              </w:rPr>
            </w:pPr>
            <w:r w:rsidRPr="00C46BE1">
              <w:rPr>
                <w:rFonts w:ascii="Tw Cen MT" w:hAnsi="Tw Cen MT"/>
                <w:sz w:val="22"/>
                <w:szCs w:val="22"/>
              </w:rPr>
              <w:t xml:space="preserve">Steven </w:t>
            </w:r>
            <w:proofErr w:type="spellStart"/>
            <w:r w:rsidRPr="00C46BE1">
              <w:rPr>
                <w:rFonts w:ascii="Tw Cen MT" w:hAnsi="Tw Cen MT"/>
                <w:sz w:val="22"/>
                <w:szCs w:val="22"/>
              </w:rPr>
              <w:t>Belenko</w:t>
            </w:r>
            <w:proofErr w:type="spellEnd"/>
            <w:r w:rsidR="007F115C" w:rsidRPr="00C46BE1">
              <w:rPr>
                <w:rFonts w:ascii="Tw Cen MT" w:hAnsi="Tw Cen MT"/>
                <w:sz w:val="22"/>
                <w:szCs w:val="22"/>
              </w:rPr>
              <w:t>, PhD</w:t>
            </w:r>
          </w:p>
          <w:p w14:paraId="15A65BF3" w14:textId="7BE5E52F" w:rsidR="009A04D9" w:rsidRPr="00C46BE1" w:rsidRDefault="009A04D9" w:rsidP="009A04D9">
            <w:pPr>
              <w:jc w:val="left"/>
              <w:rPr>
                <w:rFonts w:ascii="Tw Cen MT" w:hAnsi="Tw Cen MT"/>
                <w:sz w:val="22"/>
                <w:szCs w:val="22"/>
              </w:rPr>
            </w:pPr>
            <w:r w:rsidRPr="00C46BE1">
              <w:rPr>
                <w:rFonts w:ascii="Tw Cen MT" w:hAnsi="Tw Cen MT"/>
                <w:sz w:val="22"/>
                <w:szCs w:val="22"/>
              </w:rPr>
              <w:t>Evaluation Advisor</w:t>
            </w:r>
          </w:p>
        </w:tc>
        <w:tc>
          <w:tcPr>
            <w:tcW w:w="2596" w:type="pct"/>
          </w:tcPr>
          <w:p w14:paraId="75781DAC" w14:textId="77777777" w:rsidR="009A04D9" w:rsidRPr="00C46BE1" w:rsidRDefault="009A04D9" w:rsidP="009A04D9">
            <w:pPr>
              <w:rPr>
                <w:rFonts w:ascii="Tw Cen MT" w:hAnsi="Tw Cen MT"/>
                <w:sz w:val="22"/>
                <w:szCs w:val="22"/>
              </w:rPr>
            </w:pPr>
            <w:r w:rsidRPr="00C46BE1">
              <w:rPr>
                <w:rFonts w:ascii="Tw Cen MT" w:hAnsi="Tw Cen MT"/>
                <w:sz w:val="22"/>
                <w:szCs w:val="22"/>
              </w:rPr>
              <w:t>Consultant</w:t>
            </w:r>
            <w:r w:rsidRPr="00C46BE1">
              <w:rPr>
                <w:rFonts w:ascii="Tw Cen MT" w:hAnsi="Tw Cen MT"/>
                <w:sz w:val="22"/>
                <w:szCs w:val="22"/>
              </w:rPr>
              <w:br/>
              <w:t>Temple University- Department of Criminal Justice</w:t>
            </w:r>
          </w:p>
          <w:p w14:paraId="1C173623" w14:textId="77777777" w:rsidR="009A04D9" w:rsidRPr="00C46BE1" w:rsidRDefault="009A04D9" w:rsidP="009A04D9">
            <w:pPr>
              <w:rPr>
                <w:rFonts w:ascii="Tw Cen MT" w:hAnsi="Tw Cen MT"/>
                <w:sz w:val="22"/>
                <w:szCs w:val="22"/>
              </w:rPr>
            </w:pPr>
            <w:r w:rsidRPr="00C46BE1">
              <w:rPr>
                <w:rFonts w:ascii="Tw Cen MT" w:hAnsi="Tw Cen MT"/>
                <w:sz w:val="22"/>
                <w:szCs w:val="22"/>
              </w:rPr>
              <w:t xml:space="preserve">1115 </w:t>
            </w:r>
            <w:proofErr w:type="spellStart"/>
            <w:r w:rsidRPr="00C46BE1">
              <w:rPr>
                <w:rFonts w:ascii="Tw Cen MT" w:hAnsi="Tw Cen MT"/>
                <w:sz w:val="22"/>
                <w:szCs w:val="22"/>
              </w:rPr>
              <w:t>Polett</w:t>
            </w:r>
            <w:proofErr w:type="spellEnd"/>
            <w:r w:rsidRPr="00C46BE1">
              <w:rPr>
                <w:rFonts w:ascii="Tw Cen MT" w:hAnsi="Tw Cen MT"/>
                <w:sz w:val="22"/>
                <w:szCs w:val="22"/>
              </w:rPr>
              <w:t xml:space="preserve"> Walk</w:t>
            </w:r>
          </w:p>
          <w:p w14:paraId="4184B0DC" w14:textId="77777777" w:rsidR="009A04D9" w:rsidRPr="00C46BE1" w:rsidRDefault="009A04D9" w:rsidP="009A04D9">
            <w:pPr>
              <w:rPr>
                <w:rFonts w:ascii="Tw Cen MT" w:hAnsi="Tw Cen MT"/>
                <w:sz w:val="22"/>
                <w:szCs w:val="22"/>
              </w:rPr>
            </w:pPr>
            <w:r w:rsidRPr="00C46BE1">
              <w:rPr>
                <w:rFonts w:ascii="Tw Cen MT" w:hAnsi="Tw Cen MT"/>
                <w:sz w:val="22"/>
                <w:szCs w:val="22"/>
              </w:rPr>
              <w:t>5</w:t>
            </w:r>
            <w:r w:rsidRPr="00C46BE1">
              <w:rPr>
                <w:rFonts w:ascii="Tw Cen MT" w:hAnsi="Tw Cen MT"/>
                <w:sz w:val="22"/>
                <w:szCs w:val="22"/>
                <w:vertAlign w:val="superscript"/>
              </w:rPr>
              <w:t>th</w:t>
            </w:r>
            <w:r w:rsidRPr="00C46BE1">
              <w:rPr>
                <w:rFonts w:ascii="Tw Cen MT" w:hAnsi="Tw Cen MT"/>
                <w:sz w:val="22"/>
                <w:szCs w:val="22"/>
              </w:rPr>
              <w:t xml:space="preserve"> Floor </w:t>
            </w:r>
            <w:proofErr w:type="spellStart"/>
            <w:r w:rsidRPr="00C46BE1">
              <w:rPr>
                <w:rFonts w:ascii="Tw Cen MT" w:hAnsi="Tw Cen MT"/>
                <w:sz w:val="22"/>
                <w:szCs w:val="22"/>
              </w:rPr>
              <w:t>Gladfelter</w:t>
            </w:r>
            <w:proofErr w:type="spellEnd"/>
            <w:r w:rsidRPr="00C46BE1">
              <w:rPr>
                <w:rFonts w:ascii="Tw Cen MT" w:hAnsi="Tw Cen MT"/>
                <w:sz w:val="22"/>
                <w:szCs w:val="22"/>
              </w:rPr>
              <w:t xml:space="preserve"> Hall</w:t>
            </w:r>
          </w:p>
          <w:p w14:paraId="1A81C117" w14:textId="77777777" w:rsidR="009A04D9" w:rsidRPr="00C46BE1" w:rsidRDefault="009A04D9" w:rsidP="009A04D9">
            <w:pPr>
              <w:rPr>
                <w:rFonts w:ascii="Tw Cen MT" w:hAnsi="Tw Cen MT"/>
                <w:sz w:val="22"/>
                <w:szCs w:val="22"/>
              </w:rPr>
            </w:pPr>
            <w:r w:rsidRPr="00C46BE1">
              <w:rPr>
                <w:rFonts w:ascii="Tw Cen MT" w:hAnsi="Tw Cen MT"/>
                <w:sz w:val="22"/>
                <w:szCs w:val="22"/>
              </w:rPr>
              <w:t>Philadelphia, PA 19122</w:t>
            </w:r>
          </w:p>
          <w:p w14:paraId="499C2840" w14:textId="77777777" w:rsidR="00C46BE1" w:rsidRDefault="00C46BE1" w:rsidP="009A04D9">
            <w:pPr>
              <w:rPr>
                <w:rFonts w:ascii="Tw Cen MT" w:hAnsi="Tw Cen MT"/>
                <w:sz w:val="22"/>
                <w:szCs w:val="22"/>
              </w:rPr>
            </w:pPr>
            <w:r w:rsidRPr="00C46BE1">
              <w:rPr>
                <w:rFonts w:ascii="Tw Cen MT" w:hAnsi="Tw Cen MT"/>
                <w:sz w:val="22"/>
                <w:szCs w:val="22"/>
              </w:rPr>
              <w:t>215-204-2211</w:t>
            </w:r>
          </w:p>
          <w:p w14:paraId="2A223825" w14:textId="3326A448" w:rsidR="009A04D9" w:rsidRPr="00C46BE1" w:rsidRDefault="0021163D" w:rsidP="00C46BE1">
            <w:pPr>
              <w:rPr>
                <w:rFonts w:ascii="Tw Cen MT" w:eastAsia="Calibri" w:hAnsi="Tw Cen MT"/>
                <w:sz w:val="22"/>
                <w:szCs w:val="22"/>
              </w:rPr>
            </w:pPr>
            <w:hyperlink r:id="rId19" w:history="1">
              <w:r w:rsidR="009A04D9" w:rsidRPr="00C46BE1">
                <w:rPr>
                  <w:rStyle w:val="Hyperlink"/>
                  <w:rFonts w:ascii="Tw Cen MT" w:eastAsiaTheme="majorEastAsia" w:hAnsi="Tw Cen MT"/>
                  <w:color w:val="auto"/>
                  <w:sz w:val="22"/>
                  <w:szCs w:val="22"/>
                </w:rPr>
                <w:t>sbelenko@temple.edu</w:t>
              </w:r>
            </w:hyperlink>
          </w:p>
        </w:tc>
      </w:tr>
      <w:tr w:rsidR="000D780A" w:rsidRPr="00C46BE1" w14:paraId="42EFF179" w14:textId="77777777" w:rsidTr="009A04D9">
        <w:trPr>
          <w:trHeight w:val="307"/>
        </w:trPr>
        <w:tc>
          <w:tcPr>
            <w:tcW w:w="2404" w:type="pct"/>
          </w:tcPr>
          <w:p w14:paraId="67E3E7BD" w14:textId="2C9916E0" w:rsidR="000D780A" w:rsidRPr="00C46BE1" w:rsidRDefault="000D780A" w:rsidP="009A04D9">
            <w:pPr>
              <w:jc w:val="left"/>
              <w:rPr>
                <w:rFonts w:ascii="Tw Cen MT" w:hAnsi="Tw Cen MT"/>
                <w:sz w:val="22"/>
                <w:szCs w:val="22"/>
              </w:rPr>
            </w:pPr>
            <w:r w:rsidRPr="00C46BE1">
              <w:rPr>
                <w:rFonts w:ascii="Tw Cen MT" w:hAnsi="Tw Cen MT"/>
                <w:sz w:val="22"/>
                <w:szCs w:val="22"/>
              </w:rPr>
              <w:t>Carrie Petrucci, PhD, MSW</w:t>
            </w:r>
          </w:p>
        </w:tc>
        <w:tc>
          <w:tcPr>
            <w:tcW w:w="2596" w:type="pct"/>
          </w:tcPr>
          <w:p w14:paraId="080F507E" w14:textId="77777777" w:rsidR="000D780A" w:rsidRPr="00C46BE1" w:rsidRDefault="000D780A" w:rsidP="009A04D9">
            <w:pPr>
              <w:rPr>
                <w:rFonts w:ascii="Tw Cen MT" w:hAnsi="Tw Cen MT"/>
                <w:sz w:val="22"/>
                <w:szCs w:val="22"/>
              </w:rPr>
            </w:pPr>
            <w:r w:rsidRPr="00C46BE1">
              <w:rPr>
                <w:rFonts w:ascii="Tw Cen MT" w:hAnsi="Tw Cen MT"/>
                <w:sz w:val="22"/>
                <w:szCs w:val="22"/>
              </w:rPr>
              <w:t>EMT Associates, Inc.</w:t>
            </w:r>
          </w:p>
          <w:p w14:paraId="4B7FF8F2" w14:textId="77777777" w:rsidR="000D780A" w:rsidRPr="00C46BE1" w:rsidRDefault="000D780A" w:rsidP="009A04D9">
            <w:pPr>
              <w:rPr>
                <w:rFonts w:ascii="Tw Cen MT" w:hAnsi="Tw Cen MT"/>
                <w:sz w:val="22"/>
                <w:szCs w:val="22"/>
              </w:rPr>
            </w:pPr>
            <w:r w:rsidRPr="00C46BE1">
              <w:rPr>
                <w:rFonts w:ascii="Tw Cen MT" w:hAnsi="Tw Cen MT"/>
                <w:sz w:val="22"/>
                <w:szCs w:val="22"/>
              </w:rPr>
              <w:t>818.667.9167</w:t>
            </w:r>
          </w:p>
          <w:p w14:paraId="2D3E1D1F" w14:textId="299E2035" w:rsidR="00181131" w:rsidRPr="00C46BE1" w:rsidRDefault="0021163D" w:rsidP="00181131">
            <w:pPr>
              <w:jc w:val="left"/>
              <w:rPr>
                <w:rFonts w:ascii="Tw Cen MT" w:hAnsi="Tw Cen MT"/>
                <w:sz w:val="22"/>
                <w:szCs w:val="22"/>
              </w:rPr>
            </w:pPr>
            <w:hyperlink r:id="rId20" w:history="1">
              <w:r w:rsidR="00181131" w:rsidRPr="00C46BE1">
                <w:rPr>
                  <w:rStyle w:val="Hyperlink"/>
                  <w:rFonts w:ascii="Tw Cen MT" w:hAnsi="Tw Cen MT"/>
                  <w:sz w:val="22"/>
                  <w:szCs w:val="22"/>
                </w:rPr>
                <w:t>carrie.petrucci@gmail.com</w:t>
              </w:r>
            </w:hyperlink>
          </w:p>
        </w:tc>
      </w:tr>
      <w:tr w:rsidR="00192F5B" w:rsidRPr="00C46BE1" w14:paraId="4FA8066E" w14:textId="77777777" w:rsidTr="001C2C0C">
        <w:trPr>
          <w:trHeight w:val="145"/>
        </w:trPr>
        <w:tc>
          <w:tcPr>
            <w:tcW w:w="5000" w:type="pct"/>
            <w:gridSpan w:val="2"/>
            <w:shd w:val="clear" w:color="auto" w:fill="D5DCE4" w:themeFill="text2" w:themeFillTint="33"/>
          </w:tcPr>
          <w:p w14:paraId="642A8E75" w14:textId="0A9AAC8A" w:rsidR="00192F5B" w:rsidRPr="00C46BE1" w:rsidRDefault="00192F5B" w:rsidP="00192F5B">
            <w:pPr>
              <w:jc w:val="center"/>
              <w:rPr>
                <w:rFonts w:ascii="Tw Cen MT" w:eastAsia="Calibri" w:hAnsi="Tw Cen MT"/>
                <w:sz w:val="22"/>
                <w:szCs w:val="22"/>
              </w:rPr>
            </w:pPr>
            <w:r w:rsidRPr="00C46BE1">
              <w:rPr>
                <w:rFonts w:ascii="Tw Cen MT" w:hAnsi="Tw Cen MT"/>
                <w:sz w:val="22"/>
                <w:szCs w:val="22"/>
              </w:rPr>
              <w:t>BHTCC Steering Committee</w:t>
            </w:r>
          </w:p>
        </w:tc>
      </w:tr>
      <w:tr w:rsidR="009A04D9" w:rsidRPr="00C46BE1" w14:paraId="5B0CBB83" w14:textId="77777777" w:rsidTr="009A04D9">
        <w:trPr>
          <w:trHeight w:val="307"/>
        </w:trPr>
        <w:tc>
          <w:tcPr>
            <w:tcW w:w="2404" w:type="pct"/>
          </w:tcPr>
          <w:p w14:paraId="7C0B8153" w14:textId="49221EA4" w:rsidR="009A04D9" w:rsidRPr="00C46BE1" w:rsidRDefault="009A04D9" w:rsidP="009A04D9">
            <w:pPr>
              <w:jc w:val="left"/>
              <w:rPr>
                <w:rFonts w:ascii="Tw Cen MT" w:hAnsi="Tw Cen MT"/>
                <w:sz w:val="22"/>
                <w:szCs w:val="22"/>
              </w:rPr>
            </w:pPr>
            <w:r w:rsidRPr="00C46BE1">
              <w:rPr>
                <w:rFonts w:ascii="Tw Cen MT" w:hAnsi="Tw Cen MT"/>
                <w:sz w:val="22"/>
                <w:szCs w:val="22"/>
              </w:rPr>
              <w:t xml:space="preserve"> Michael </w:t>
            </w:r>
            <w:proofErr w:type="spellStart"/>
            <w:r w:rsidRPr="00C46BE1">
              <w:rPr>
                <w:rFonts w:ascii="Tw Cen MT" w:hAnsi="Tw Cen MT"/>
                <w:sz w:val="22"/>
                <w:szCs w:val="22"/>
              </w:rPr>
              <w:t>Endres</w:t>
            </w:r>
            <w:proofErr w:type="spellEnd"/>
            <w:r w:rsidR="007F115C" w:rsidRPr="00C46BE1">
              <w:rPr>
                <w:rFonts w:ascii="Tw Cen MT" w:hAnsi="Tw Cen MT"/>
                <w:sz w:val="22"/>
                <w:szCs w:val="22"/>
              </w:rPr>
              <w:t>, PhD</w:t>
            </w:r>
          </w:p>
        </w:tc>
        <w:tc>
          <w:tcPr>
            <w:tcW w:w="2596" w:type="pct"/>
          </w:tcPr>
          <w:p w14:paraId="21265FB8" w14:textId="77777777" w:rsidR="009A04D9" w:rsidRPr="00C46BE1" w:rsidRDefault="009A04D9" w:rsidP="009A04D9">
            <w:pPr>
              <w:rPr>
                <w:rFonts w:ascii="Tw Cen MT" w:hAnsi="Tw Cen MT"/>
                <w:sz w:val="22"/>
                <w:szCs w:val="22"/>
              </w:rPr>
            </w:pPr>
            <w:r w:rsidRPr="00C46BE1">
              <w:rPr>
                <w:rFonts w:ascii="Tw Cen MT" w:hAnsi="Tw Cen MT"/>
                <w:sz w:val="22"/>
                <w:szCs w:val="22"/>
              </w:rPr>
              <w:t xml:space="preserve">Office of Program Improvement and Excellence for the State of Hawaii Department of Health </w:t>
            </w:r>
          </w:p>
          <w:p w14:paraId="5832D0BC" w14:textId="77777777" w:rsidR="009A04D9" w:rsidRPr="00C46BE1" w:rsidRDefault="009A04D9" w:rsidP="009A04D9">
            <w:pPr>
              <w:rPr>
                <w:rFonts w:ascii="Tw Cen MT" w:hAnsi="Tw Cen MT"/>
                <w:sz w:val="22"/>
                <w:szCs w:val="22"/>
              </w:rPr>
            </w:pPr>
            <w:r w:rsidRPr="00C46BE1">
              <w:rPr>
                <w:rFonts w:ascii="Tw Cen MT" w:hAnsi="Tw Cen MT"/>
                <w:sz w:val="22"/>
                <w:szCs w:val="22"/>
              </w:rPr>
              <w:t>P.O. Box 3378; Honolulu, HI. 96801-3378</w:t>
            </w:r>
          </w:p>
          <w:p w14:paraId="00F71B82" w14:textId="77777777" w:rsidR="00C46BE1" w:rsidRDefault="00C46BE1" w:rsidP="009A04D9">
            <w:pPr>
              <w:rPr>
                <w:rFonts w:ascii="Tw Cen MT" w:hAnsi="Tw Cen MT"/>
                <w:sz w:val="22"/>
                <w:szCs w:val="22"/>
              </w:rPr>
            </w:pPr>
            <w:r w:rsidRPr="00C46BE1">
              <w:rPr>
                <w:rFonts w:ascii="Tw Cen MT" w:hAnsi="Tw Cen MT"/>
                <w:sz w:val="22"/>
                <w:szCs w:val="22"/>
              </w:rPr>
              <w:t>808-586-4132</w:t>
            </w:r>
          </w:p>
          <w:p w14:paraId="606D4569" w14:textId="07850D06" w:rsidR="009A04D9" w:rsidRPr="00C46BE1" w:rsidRDefault="0021163D" w:rsidP="00C46BE1">
            <w:pPr>
              <w:rPr>
                <w:rFonts w:ascii="Tw Cen MT" w:eastAsia="Calibri" w:hAnsi="Tw Cen MT"/>
                <w:sz w:val="22"/>
                <w:szCs w:val="22"/>
              </w:rPr>
            </w:pPr>
            <w:hyperlink r:id="rId21" w:history="1">
              <w:r w:rsidR="009A04D9" w:rsidRPr="00C46BE1">
                <w:rPr>
                  <w:rStyle w:val="Hyperlink"/>
                  <w:rFonts w:ascii="Tw Cen MT" w:eastAsiaTheme="majorEastAsia" w:hAnsi="Tw Cen MT"/>
                  <w:color w:val="auto"/>
                  <w:sz w:val="22"/>
                  <w:szCs w:val="22"/>
                </w:rPr>
                <w:t>michael.endres@doh.hawaii.gov</w:t>
              </w:r>
            </w:hyperlink>
            <w:r w:rsidR="00C46BE1">
              <w:rPr>
                <w:rStyle w:val="Hyperlink"/>
                <w:rFonts w:ascii="Tw Cen MT" w:eastAsiaTheme="majorEastAsia" w:hAnsi="Tw Cen MT"/>
                <w:color w:val="auto"/>
                <w:sz w:val="22"/>
                <w:szCs w:val="22"/>
              </w:rPr>
              <w:t xml:space="preserve"> </w:t>
            </w:r>
          </w:p>
        </w:tc>
      </w:tr>
      <w:tr w:rsidR="009A04D9" w:rsidRPr="00C46BE1" w14:paraId="79433614" w14:textId="77777777" w:rsidTr="009A04D9">
        <w:trPr>
          <w:trHeight w:val="307"/>
        </w:trPr>
        <w:tc>
          <w:tcPr>
            <w:tcW w:w="2404" w:type="pct"/>
          </w:tcPr>
          <w:p w14:paraId="12827FC9" w14:textId="24A37833" w:rsidR="009A04D9" w:rsidRPr="00C46BE1" w:rsidRDefault="009A04D9" w:rsidP="009A04D9">
            <w:pPr>
              <w:jc w:val="left"/>
              <w:rPr>
                <w:rFonts w:ascii="Tw Cen MT" w:hAnsi="Tw Cen MT"/>
                <w:sz w:val="22"/>
                <w:szCs w:val="22"/>
              </w:rPr>
            </w:pPr>
            <w:r w:rsidRPr="00C46BE1">
              <w:rPr>
                <w:rFonts w:ascii="Tw Cen MT" w:hAnsi="Tw Cen MT"/>
                <w:sz w:val="22"/>
                <w:szCs w:val="22"/>
              </w:rPr>
              <w:t xml:space="preserve"> Joan </w:t>
            </w:r>
            <w:proofErr w:type="spellStart"/>
            <w:r w:rsidRPr="00C46BE1">
              <w:rPr>
                <w:rFonts w:ascii="Tw Cen MT" w:hAnsi="Tw Cen MT"/>
                <w:sz w:val="22"/>
                <w:szCs w:val="22"/>
              </w:rPr>
              <w:t>Gillece</w:t>
            </w:r>
            <w:proofErr w:type="spellEnd"/>
            <w:r w:rsidR="007F115C" w:rsidRPr="00C46BE1">
              <w:rPr>
                <w:rFonts w:ascii="Tw Cen MT" w:hAnsi="Tw Cen MT"/>
                <w:sz w:val="22"/>
                <w:szCs w:val="22"/>
              </w:rPr>
              <w:t>, PhD</w:t>
            </w:r>
          </w:p>
        </w:tc>
        <w:tc>
          <w:tcPr>
            <w:tcW w:w="2596" w:type="pct"/>
          </w:tcPr>
          <w:p w14:paraId="498C3E46" w14:textId="4044D415" w:rsidR="009A04D9" w:rsidRPr="00C46BE1" w:rsidRDefault="009A04D9" w:rsidP="009A04D9">
            <w:pPr>
              <w:rPr>
                <w:rFonts w:ascii="Tw Cen MT" w:hAnsi="Tw Cen MT"/>
                <w:sz w:val="22"/>
                <w:szCs w:val="22"/>
              </w:rPr>
            </w:pPr>
            <w:r w:rsidRPr="00C46BE1">
              <w:rPr>
                <w:rFonts w:ascii="Tw Cen MT" w:hAnsi="Tw Cen MT"/>
                <w:sz w:val="22"/>
                <w:szCs w:val="22"/>
              </w:rPr>
              <w:t>SAMHSA National Center for Trauma Informed Care</w:t>
            </w:r>
            <w:r w:rsidRPr="00C46BE1">
              <w:rPr>
                <w:rStyle w:val="apple-converted-space"/>
                <w:rFonts w:ascii="Tw Cen MT" w:hAnsi="Tw Cen MT"/>
                <w:sz w:val="22"/>
                <w:szCs w:val="22"/>
              </w:rPr>
              <w:t> </w:t>
            </w:r>
          </w:p>
          <w:p w14:paraId="336D0AC7" w14:textId="243DF22D" w:rsidR="009A04D9" w:rsidRPr="00C46BE1" w:rsidRDefault="0021163D" w:rsidP="009A04D9">
            <w:pPr>
              <w:rPr>
                <w:rFonts w:ascii="Tw Cen MT" w:eastAsia="Calibri" w:hAnsi="Tw Cen MT"/>
                <w:sz w:val="22"/>
                <w:szCs w:val="22"/>
              </w:rPr>
            </w:pPr>
            <w:hyperlink r:id="rId22" w:history="1">
              <w:r w:rsidR="009A04D9" w:rsidRPr="00C46BE1">
                <w:rPr>
                  <w:rStyle w:val="Hyperlink"/>
                  <w:rFonts w:ascii="Tw Cen MT" w:eastAsiaTheme="majorEastAsia" w:hAnsi="Tw Cen MT"/>
                  <w:color w:val="auto"/>
                  <w:sz w:val="22"/>
                  <w:szCs w:val="22"/>
                </w:rPr>
                <w:t>Joan.Gillece@nasmhpd.org</w:t>
              </w:r>
            </w:hyperlink>
            <w:r w:rsidR="009A04D9" w:rsidRPr="00C46BE1">
              <w:rPr>
                <w:rFonts w:ascii="Tw Cen MT" w:hAnsi="Tw Cen MT"/>
                <w:sz w:val="22"/>
                <w:szCs w:val="22"/>
              </w:rPr>
              <w:t xml:space="preserve"> </w:t>
            </w:r>
          </w:p>
        </w:tc>
      </w:tr>
      <w:tr w:rsidR="009A04D9" w:rsidRPr="00C46BE1" w14:paraId="24E0A10D" w14:textId="77777777" w:rsidTr="009A04D9">
        <w:trPr>
          <w:trHeight w:val="307"/>
        </w:trPr>
        <w:tc>
          <w:tcPr>
            <w:tcW w:w="2404" w:type="pct"/>
          </w:tcPr>
          <w:p w14:paraId="227E898A" w14:textId="768E38B3" w:rsidR="009A04D9" w:rsidRPr="00C46BE1" w:rsidRDefault="009A04D9" w:rsidP="007F115C">
            <w:pPr>
              <w:jc w:val="left"/>
              <w:rPr>
                <w:rFonts w:ascii="Tw Cen MT" w:hAnsi="Tw Cen MT"/>
                <w:sz w:val="22"/>
                <w:szCs w:val="22"/>
              </w:rPr>
            </w:pPr>
            <w:r w:rsidRPr="00C46BE1">
              <w:rPr>
                <w:rFonts w:ascii="Tw Cen MT" w:hAnsi="Tw Cen MT"/>
                <w:sz w:val="22"/>
                <w:szCs w:val="22"/>
              </w:rPr>
              <w:t> Honorable Stephen Goss</w:t>
            </w:r>
            <w:r w:rsidR="007F115C" w:rsidRPr="00C46BE1">
              <w:rPr>
                <w:rFonts w:ascii="Tw Cen MT" w:hAnsi="Tw Cen MT"/>
                <w:sz w:val="22"/>
                <w:szCs w:val="22"/>
              </w:rPr>
              <w:t>, JD</w:t>
            </w:r>
          </w:p>
        </w:tc>
        <w:tc>
          <w:tcPr>
            <w:tcW w:w="2596" w:type="pct"/>
          </w:tcPr>
          <w:p w14:paraId="0FE50ADC" w14:textId="77777777" w:rsidR="007F115C" w:rsidRPr="00C46BE1" w:rsidRDefault="009A04D9" w:rsidP="007F115C">
            <w:pPr>
              <w:rPr>
                <w:rFonts w:ascii="Tw Cen MT" w:hAnsi="Tw Cen MT"/>
                <w:sz w:val="22"/>
                <w:szCs w:val="22"/>
              </w:rPr>
            </w:pPr>
            <w:r w:rsidRPr="00C46BE1">
              <w:rPr>
                <w:rFonts w:ascii="Tw Cen MT" w:hAnsi="Tw Cen MT"/>
                <w:sz w:val="22"/>
                <w:szCs w:val="22"/>
              </w:rPr>
              <w:t>Dougherty Judicial Circuit Superior Court</w:t>
            </w:r>
          </w:p>
          <w:p w14:paraId="14FBA08C" w14:textId="60DE4E12" w:rsidR="009A04D9" w:rsidRPr="00C46BE1" w:rsidRDefault="009A04D9" w:rsidP="007F115C">
            <w:pPr>
              <w:rPr>
                <w:rFonts w:ascii="Tw Cen MT" w:hAnsi="Tw Cen MT"/>
                <w:color w:val="1F497D"/>
                <w:sz w:val="22"/>
                <w:szCs w:val="22"/>
                <w:shd w:val="clear" w:color="auto" w:fill="FFFFFF"/>
              </w:rPr>
            </w:pPr>
            <w:r w:rsidRPr="00C46BE1">
              <w:rPr>
                <w:rFonts w:ascii="Tw Cen MT" w:hAnsi="Tw Cen MT"/>
                <w:sz w:val="22"/>
                <w:szCs w:val="22"/>
                <w:shd w:val="clear" w:color="auto" w:fill="FFFFFF"/>
              </w:rPr>
              <w:t xml:space="preserve">225 Pine Avenue, Room 222 </w:t>
            </w:r>
          </w:p>
          <w:p w14:paraId="144ADE86" w14:textId="77777777" w:rsidR="009A04D9" w:rsidRPr="00C46BE1" w:rsidRDefault="009A04D9" w:rsidP="007F115C">
            <w:pPr>
              <w:rPr>
                <w:rFonts w:ascii="Tw Cen MT" w:hAnsi="Tw Cen MT"/>
                <w:sz w:val="22"/>
                <w:szCs w:val="22"/>
                <w:shd w:val="clear" w:color="auto" w:fill="FFFFFF"/>
              </w:rPr>
            </w:pPr>
            <w:r w:rsidRPr="00C46BE1">
              <w:rPr>
                <w:rFonts w:ascii="Tw Cen MT" w:hAnsi="Tw Cen MT"/>
                <w:sz w:val="22"/>
                <w:szCs w:val="22"/>
                <w:shd w:val="clear" w:color="auto" w:fill="FFFFFF"/>
              </w:rPr>
              <w:t>Albany, Georgia 31701</w:t>
            </w:r>
          </w:p>
          <w:p w14:paraId="17476EFC" w14:textId="74AEA953" w:rsidR="009A04D9" w:rsidRPr="00C46BE1" w:rsidRDefault="0021163D" w:rsidP="007F115C">
            <w:pPr>
              <w:rPr>
                <w:rFonts w:ascii="Tw Cen MT" w:hAnsi="Tw Cen MT"/>
                <w:color w:val="1F497D"/>
                <w:sz w:val="22"/>
                <w:szCs w:val="22"/>
              </w:rPr>
            </w:pPr>
            <w:hyperlink r:id="rId23" w:history="1">
              <w:r w:rsidR="009A04D9" w:rsidRPr="00C46BE1">
                <w:rPr>
                  <w:rStyle w:val="Hyperlink"/>
                  <w:rFonts w:ascii="Tw Cen MT" w:hAnsi="Tw Cen MT"/>
                  <w:color w:val="auto"/>
                  <w:sz w:val="22"/>
                  <w:szCs w:val="22"/>
                </w:rPr>
                <w:t>judgestevegoss@bellsouth.net</w:t>
              </w:r>
            </w:hyperlink>
            <w:r w:rsidR="00C46BE1" w:rsidRPr="00C46BE1">
              <w:rPr>
                <w:rStyle w:val="Hyperlink"/>
                <w:rFonts w:ascii="Tw Cen MT" w:hAnsi="Tw Cen MT"/>
                <w:color w:val="auto"/>
                <w:sz w:val="22"/>
                <w:szCs w:val="22"/>
              </w:rPr>
              <w:t xml:space="preserve"> </w:t>
            </w:r>
          </w:p>
          <w:p w14:paraId="6B6F38BD" w14:textId="2A7964C8" w:rsidR="009A04D9" w:rsidRPr="00C46BE1" w:rsidRDefault="009A04D9" w:rsidP="007F115C">
            <w:pPr>
              <w:rPr>
                <w:rFonts w:ascii="Tw Cen MT" w:eastAsia="Calibri" w:hAnsi="Tw Cen MT"/>
              </w:rPr>
            </w:pPr>
            <w:r w:rsidRPr="00C46BE1">
              <w:rPr>
                <w:rFonts w:ascii="Tw Cen MT" w:hAnsi="Tw Cen MT"/>
                <w:sz w:val="22"/>
                <w:szCs w:val="22"/>
                <w:shd w:val="clear" w:color="auto" w:fill="FFFFFF"/>
              </w:rPr>
              <w:t>229-434-2683</w:t>
            </w:r>
            <w:r w:rsidRPr="00C46BE1">
              <w:rPr>
                <w:rFonts w:ascii="Tw Cen MT" w:hAnsi="Tw Cen MT"/>
                <w:shd w:val="clear" w:color="auto" w:fill="FFFFFF"/>
              </w:rPr>
              <w:t>  </w:t>
            </w:r>
          </w:p>
        </w:tc>
      </w:tr>
      <w:tr w:rsidR="009A04D9" w:rsidRPr="00C46BE1" w14:paraId="14272F5B" w14:textId="77777777" w:rsidTr="009A04D9">
        <w:trPr>
          <w:trHeight w:val="307"/>
        </w:trPr>
        <w:tc>
          <w:tcPr>
            <w:tcW w:w="2404" w:type="pct"/>
          </w:tcPr>
          <w:p w14:paraId="588F22E6" w14:textId="21A72782" w:rsidR="009A04D9" w:rsidRPr="00C46BE1" w:rsidRDefault="009A04D9" w:rsidP="009A04D9">
            <w:pPr>
              <w:jc w:val="left"/>
              <w:rPr>
                <w:rFonts w:ascii="Tw Cen MT" w:hAnsi="Tw Cen MT"/>
                <w:sz w:val="22"/>
                <w:szCs w:val="22"/>
              </w:rPr>
            </w:pPr>
            <w:r w:rsidRPr="00C46BE1">
              <w:rPr>
                <w:rFonts w:ascii="Tw Cen MT" w:hAnsi="Tw Cen MT"/>
                <w:sz w:val="22"/>
                <w:szCs w:val="22"/>
              </w:rPr>
              <w:t> Tara Kunkel</w:t>
            </w:r>
            <w:r w:rsidR="007F115C" w:rsidRPr="00C46BE1">
              <w:rPr>
                <w:rFonts w:ascii="Tw Cen MT" w:hAnsi="Tw Cen MT"/>
                <w:sz w:val="22"/>
                <w:szCs w:val="22"/>
              </w:rPr>
              <w:t>, MSW</w:t>
            </w:r>
          </w:p>
        </w:tc>
        <w:tc>
          <w:tcPr>
            <w:tcW w:w="2596" w:type="pct"/>
          </w:tcPr>
          <w:p w14:paraId="0E1C1F15" w14:textId="076FFCB3" w:rsidR="009A04D9" w:rsidRPr="00C46BE1" w:rsidRDefault="009A04D9" w:rsidP="009A04D9">
            <w:pPr>
              <w:rPr>
                <w:rFonts w:ascii="Tw Cen MT" w:hAnsi="Tw Cen MT"/>
                <w:sz w:val="22"/>
                <w:szCs w:val="22"/>
              </w:rPr>
            </w:pPr>
            <w:r w:rsidRPr="00C46BE1">
              <w:rPr>
                <w:rFonts w:ascii="Tw Cen MT" w:hAnsi="Tw Cen MT"/>
                <w:sz w:val="22"/>
                <w:szCs w:val="22"/>
              </w:rPr>
              <w:t>National Center for State Courts</w:t>
            </w:r>
          </w:p>
          <w:p w14:paraId="67E1149C" w14:textId="77777777" w:rsidR="009A04D9" w:rsidRPr="00C46BE1" w:rsidRDefault="009A04D9" w:rsidP="009A04D9">
            <w:pPr>
              <w:rPr>
                <w:rFonts w:ascii="Tw Cen MT" w:hAnsi="Tw Cen MT"/>
                <w:sz w:val="22"/>
                <w:szCs w:val="22"/>
              </w:rPr>
            </w:pPr>
            <w:r w:rsidRPr="00C46BE1">
              <w:rPr>
                <w:rFonts w:ascii="Tw Cen MT" w:hAnsi="Tw Cen MT"/>
                <w:sz w:val="22"/>
                <w:szCs w:val="22"/>
              </w:rPr>
              <w:t>300 Newport Avenue</w:t>
            </w:r>
          </w:p>
          <w:p w14:paraId="40E0966A" w14:textId="77777777" w:rsidR="009A04D9" w:rsidRPr="00C46BE1" w:rsidRDefault="009A04D9" w:rsidP="009A04D9">
            <w:pPr>
              <w:rPr>
                <w:rFonts w:ascii="Tw Cen MT" w:hAnsi="Tw Cen MT"/>
                <w:sz w:val="22"/>
                <w:szCs w:val="22"/>
              </w:rPr>
            </w:pPr>
            <w:r w:rsidRPr="00C46BE1">
              <w:rPr>
                <w:rFonts w:ascii="Tw Cen MT" w:hAnsi="Tw Cen MT"/>
                <w:sz w:val="22"/>
                <w:szCs w:val="22"/>
              </w:rPr>
              <w:t>Williamsburg, VA 23185</w:t>
            </w:r>
          </w:p>
          <w:p w14:paraId="02F73003" w14:textId="77777777" w:rsidR="009A04D9" w:rsidRPr="00C46BE1" w:rsidRDefault="009A04D9" w:rsidP="009A04D9">
            <w:pPr>
              <w:rPr>
                <w:rFonts w:ascii="Tw Cen MT" w:hAnsi="Tw Cen MT"/>
                <w:sz w:val="22"/>
                <w:szCs w:val="22"/>
              </w:rPr>
            </w:pPr>
            <w:r w:rsidRPr="00C46BE1">
              <w:rPr>
                <w:rStyle w:val="Strong"/>
                <w:rFonts w:ascii="Tw Cen MT" w:hAnsi="Tw Cen MT"/>
                <w:b w:val="0"/>
                <w:bCs w:val="0"/>
                <w:sz w:val="22"/>
                <w:szCs w:val="22"/>
              </w:rPr>
              <w:t>757-259-1575</w:t>
            </w:r>
          </w:p>
          <w:p w14:paraId="063AADB8" w14:textId="31892073" w:rsidR="009A04D9" w:rsidRPr="00C46BE1" w:rsidRDefault="0021163D" w:rsidP="009A04D9">
            <w:pPr>
              <w:rPr>
                <w:rFonts w:ascii="Tw Cen MT" w:eastAsia="Calibri" w:hAnsi="Tw Cen MT"/>
                <w:sz w:val="22"/>
                <w:szCs w:val="22"/>
              </w:rPr>
            </w:pPr>
            <w:hyperlink r:id="rId24" w:history="1">
              <w:r w:rsidR="009A04D9" w:rsidRPr="00C46BE1">
                <w:rPr>
                  <w:rStyle w:val="Hyperlink"/>
                  <w:rFonts w:ascii="Tw Cen MT" w:eastAsiaTheme="majorEastAsia" w:hAnsi="Tw Cen MT"/>
                  <w:color w:val="auto"/>
                  <w:sz w:val="22"/>
                  <w:szCs w:val="22"/>
                </w:rPr>
                <w:t>tkunkel@ncsc.org</w:t>
              </w:r>
            </w:hyperlink>
            <w:r w:rsidR="00C46BE1">
              <w:rPr>
                <w:rStyle w:val="Hyperlink"/>
                <w:rFonts w:ascii="Tw Cen MT" w:eastAsiaTheme="majorEastAsia" w:hAnsi="Tw Cen MT"/>
                <w:color w:val="auto"/>
                <w:sz w:val="22"/>
                <w:szCs w:val="22"/>
              </w:rPr>
              <w:t xml:space="preserve"> </w:t>
            </w:r>
            <w:r w:rsidR="009A04D9" w:rsidRPr="00C46BE1">
              <w:rPr>
                <w:rFonts w:ascii="Tw Cen MT" w:hAnsi="Tw Cen MT"/>
                <w:sz w:val="22"/>
                <w:szCs w:val="22"/>
              </w:rPr>
              <w:t xml:space="preserve"> </w:t>
            </w:r>
          </w:p>
        </w:tc>
      </w:tr>
      <w:tr w:rsidR="009A04D9" w:rsidRPr="00C46BE1" w14:paraId="35C9F398" w14:textId="77777777" w:rsidTr="009A04D9">
        <w:trPr>
          <w:trHeight w:val="307"/>
        </w:trPr>
        <w:tc>
          <w:tcPr>
            <w:tcW w:w="2404" w:type="pct"/>
          </w:tcPr>
          <w:p w14:paraId="3E5082C9" w14:textId="390A834F" w:rsidR="009A04D9" w:rsidRPr="00C46BE1" w:rsidRDefault="009A04D9" w:rsidP="009A04D9">
            <w:pPr>
              <w:jc w:val="left"/>
              <w:rPr>
                <w:rFonts w:ascii="Tw Cen MT" w:hAnsi="Tw Cen MT"/>
                <w:sz w:val="22"/>
                <w:szCs w:val="22"/>
              </w:rPr>
            </w:pPr>
            <w:r w:rsidRPr="00C46BE1">
              <w:rPr>
                <w:rFonts w:ascii="Tw Cen MT" w:hAnsi="Tw Cen MT"/>
                <w:sz w:val="22"/>
                <w:szCs w:val="22"/>
              </w:rPr>
              <w:t xml:space="preserve"> Margaret Baughman </w:t>
            </w:r>
            <w:proofErr w:type="spellStart"/>
            <w:r w:rsidRPr="00C46BE1">
              <w:rPr>
                <w:rFonts w:ascii="Tw Cen MT" w:hAnsi="Tw Cen MT"/>
                <w:sz w:val="22"/>
                <w:szCs w:val="22"/>
              </w:rPr>
              <w:t>Sladky</w:t>
            </w:r>
            <w:proofErr w:type="spellEnd"/>
            <w:r w:rsidR="007F115C" w:rsidRPr="00C46BE1">
              <w:rPr>
                <w:rFonts w:ascii="Tw Cen MT" w:hAnsi="Tw Cen MT"/>
                <w:sz w:val="22"/>
                <w:szCs w:val="22"/>
              </w:rPr>
              <w:t>, PhD</w:t>
            </w:r>
          </w:p>
        </w:tc>
        <w:tc>
          <w:tcPr>
            <w:tcW w:w="2596" w:type="pct"/>
          </w:tcPr>
          <w:p w14:paraId="546AE63A" w14:textId="77777777" w:rsidR="009A04D9" w:rsidRPr="00C46BE1" w:rsidRDefault="009A04D9" w:rsidP="009A04D9">
            <w:pPr>
              <w:jc w:val="left"/>
              <w:rPr>
                <w:rFonts w:ascii="Tw Cen MT" w:hAnsi="Tw Cen MT"/>
                <w:sz w:val="22"/>
                <w:szCs w:val="22"/>
              </w:rPr>
            </w:pPr>
            <w:r w:rsidRPr="00C46BE1">
              <w:rPr>
                <w:rFonts w:ascii="Tw Cen MT" w:hAnsi="Tw Cen MT"/>
                <w:sz w:val="22"/>
                <w:szCs w:val="22"/>
              </w:rPr>
              <w:t>Begun Center for Violence Prevention Research and Education as Case Western University</w:t>
            </w:r>
          </w:p>
          <w:p w14:paraId="240F2F9D" w14:textId="77777777" w:rsidR="009A04D9" w:rsidRPr="00C46BE1" w:rsidRDefault="009A04D9" w:rsidP="009A04D9">
            <w:pPr>
              <w:jc w:val="left"/>
              <w:rPr>
                <w:rFonts w:ascii="Tw Cen MT" w:hAnsi="Tw Cen MT"/>
                <w:sz w:val="22"/>
                <w:szCs w:val="22"/>
              </w:rPr>
            </w:pPr>
            <w:r w:rsidRPr="00C46BE1">
              <w:rPr>
                <w:rFonts w:ascii="Tw Cen MT" w:hAnsi="Tw Cen MT"/>
                <w:sz w:val="22"/>
                <w:szCs w:val="22"/>
              </w:rPr>
              <w:t xml:space="preserve">11402 Bellflower Rd. </w:t>
            </w:r>
          </w:p>
          <w:p w14:paraId="75A26D21" w14:textId="77777777" w:rsidR="009A04D9" w:rsidRPr="00C46BE1" w:rsidRDefault="009A04D9" w:rsidP="009A04D9">
            <w:pPr>
              <w:jc w:val="left"/>
              <w:rPr>
                <w:rFonts w:ascii="Tw Cen MT" w:hAnsi="Tw Cen MT"/>
                <w:sz w:val="22"/>
                <w:szCs w:val="22"/>
              </w:rPr>
            </w:pPr>
            <w:r w:rsidRPr="00C46BE1">
              <w:rPr>
                <w:rFonts w:ascii="Tw Cen MT" w:hAnsi="Tw Cen MT"/>
                <w:sz w:val="22"/>
                <w:szCs w:val="22"/>
              </w:rPr>
              <w:t>Cleveland, OH 44106</w:t>
            </w:r>
          </w:p>
          <w:p w14:paraId="2B8901F9" w14:textId="77777777" w:rsidR="009A04D9" w:rsidRPr="00C46BE1" w:rsidRDefault="009A04D9" w:rsidP="009A04D9">
            <w:pPr>
              <w:jc w:val="left"/>
              <w:rPr>
                <w:rFonts w:ascii="Tw Cen MT" w:hAnsi="Tw Cen MT"/>
                <w:sz w:val="22"/>
                <w:szCs w:val="22"/>
              </w:rPr>
            </w:pPr>
            <w:r w:rsidRPr="00C46BE1">
              <w:rPr>
                <w:rFonts w:ascii="Tw Cen MT" w:hAnsi="Tw Cen MT"/>
                <w:sz w:val="22"/>
                <w:szCs w:val="22"/>
              </w:rPr>
              <w:t>216-368-0160</w:t>
            </w:r>
          </w:p>
          <w:p w14:paraId="31B632DC" w14:textId="62FD7BF4" w:rsidR="009A04D9" w:rsidRPr="00C46BE1" w:rsidRDefault="0021163D" w:rsidP="009A04D9">
            <w:pPr>
              <w:jc w:val="left"/>
              <w:rPr>
                <w:rFonts w:ascii="Tw Cen MT" w:hAnsi="Tw Cen MT"/>
                <w:sz w:val="22"/>
                <w:szCs w:val="22"/>
              </w:rPr>
            </w:pPr>
            <w:hyperlink r:id="rId25" w:history="1">
              <w:r w:rsidR="00C46BE1" w:rsidRPr="0001022B">
                <w:rPr>
                  <w:rStyle w:val="Hyperlink"/>
                  <w:rFonts w:ascii="Tw Cen MT" w:hAnsi="Tw Cen MT"/>
                  <w:sz w:val="22"/>
                  <w:szCs w:val="22"/>
                </w:rPr>
                <w:t>margaret.baughman@case.edu</w:t>
              </w:r>
            </w:hyperlink>
            <w:r w:rsidR="00C46BE1">
              <w:rPr>
                <w:rFonts w:ascii="Tw Cen MT" w:hAnsi="Tw Cen MT"/>
                <w:sz w:val="22"/>
                <w:szCs w:val="22"/>
              </w:rPr>
              <w:t xml:space="preserve"> </w:t>
            </w:r>
          </w:p>
        </w:tc>
      </w:tr>
      <w:tr w:rsidR="009A04D9" w:rsidRPr="00C46BE1" w14:paraId="6E0A584E" w14:textId="77777777" w:rsidTr="009A04D9">
        <w:trPr>
          <w:trHeight w:val="307"/>
        </w:trPr>
        <w:tc>
          <w:tcPr>
            <w:tcW w:w="2404" w:type="pct"/>
          </w:tcPr>
          <w:p w14:paraId="1F92E79C" w14:textId="5CB2238B" w:rsidR="009A04D9" w:rsidRPr="00C46BE1" w:rsidRDefault="009A04D9" w:rsidP="009A04D9">
            <w:pPr>
              <w:jc w:val="left"/>
              <w:rPr>
                <w:rFonts w:ascii="Tw Cen MT" w:hAnsi="Tw Cen MT"/>
                <w:sz w:val="22"/>
                <w:szCs w:val="22"/>
              </w:rPr>
            </w:pPr>
            <w:r w:rsidRPr="00C46BE1">
              <w:rPr>
                <w:rFonts w:ascii="Tw Cen MT" w:hAnsi="Tw Cen MT"/>
                <w:sz w:val="22"/>
                <w:szCs w:val="22"/>
              </w:rPr>
              <w:t> Jana Spalding</w:t>
            </w:r>
            <w:r w:rsidR="007F115C" w:rsidRPr="00C46BE1">
              <w:rPr>
                <w:rFonts w:ascii="Tw Cen MT" w:hAnsi="Tw Cen MT"/>
                <w:sz w:val="22"/>
                <w:szCs w:val="22"/>
              </w:rPr>
              <w:t>, MD</w:t>
            </w:r>
          </w:p>
        </w:tc>
        <w:tc>
          <w:tcPr>
            <w:tcW w:w="2596" w:type="pct"/>
          </w:tcPr>
          <w:p w14:paraId="65AC4CCD" w14:textId="77777777" w:rsidR="009A04D9" w:rsidRPr="00C46BE1" w:rsidRDefault="009A04D9" w:rsidP="009A04D9">
            <w:pPr>
              <w:jc w:val="left"/>
              <w:rPr>
                <w:rFonts w:ascii="Tw Cen MT" w:hAnsi="Tw Cen MT"/>
                <w:sz w:val="22"/>
                <w:szCs w:val="22"/>
              </w:rPr>
            </w:pPr>
            <w:r w:rsidRPr="00C46BE1">
              <w:rPr>
                <w:rFonts w:ascii="Tw Cen MT" w:hAnsi="Tw Cen MT"/>
                <w:sz w:val="22"/>
                <w:szCs w:val="22"/>
              </w:rPr>
              <w:t xml:space="preserve">Arizona State University </w:t>
            </w:r>
          </w:p>
          <w:p w14:paraId="1E0B313C" w14:textId="77777777" w:rsidR="009A04D9" w:rsidRPr="00C46BE1" w:rsidRDefault="009A04D9" w:rsidP="009A04D9">
            <w:pPr>
              <w:jc w:val="left"/>
              <w:rPr>
                <w:rFonts w:ascii="Tw Cen MT" w:hAnsi="Tw Cen MT"/>
                <w:sz w:val="22"/>
                <w:szCs w:val="22"/>
              </w:rPr>
            </w:pPr>
            <w:r w:rsidRPr="00C46BE1">
              <w:rPr>
                <w:rFonts w:ascii="Tw Cen MT" w:hAnsi="Tw Cen MT"/>
                <w:sz w:val="22"/>
                <w:szCs w:val="22"/>
              </w:rPr>
              <w:t>500 N. Third St., Ste. 200</w:t>
            </w:r>
          </w:p>
          <w:p w14:paraId="2E6C9FB1" w14:textId="77777777" w:rsidR="009A04D9" w:rsidRPr="00C46BE1" w:rsidRDefault="009A04D9" w:rsidP="009A04D9">
            <w:pPr>
              <w:jc w:val="left"/>
              <w:rPr>
                <w:rFonts w:ascii="Tw Cen MT" w:hAnsi="Tw Cen MT"/>
                <w:sz w:val="22"/>
                <w:szCs w:val="22"/>
              </w:rPr>
            </w:pPr>
            <w:r w:rsidRPr="00C46BE1">
              <w:rPr>
                <w:rFonts w:ascii="Tw Cen MT" w:hAnsi="Tw Cen MT"/>
                <w:sz w:val="22"/>
                <w:szCs w:val="22"/>
              </w:rPr>
              <w:t>Phoenix, AZ 85004</w:t>
            </w:r>
          </w:p>
          <w:p w14:paraId="18371B6D" w14:textId="77777777" w:rsidR="009A04D9" w:rsidRPr="00C46BE1" w:rsidRDefault="009A04D9" w:rsidP="009A04D9">
            <w:pPr>
              <w:jc w:val="left"/>
              <w:rPr>
                <w:rFonts w:ascii="Tw Cen MT" w:hAnsi="Tw Cen MT"/>
                <w:sz w:val="22"/>
                <w:szCs w:val="22"/>
                <w:shd w:val="clear" w:color="auto" w:fill="1E1E1E"/>
              </w:rPr>
            </w:pPr>
            <w:r w:rsidRPr="00C46BE1">
              <w:rPr>
                <w:rFonts w:ascii="Tw Cen MT" w:hAnsi="Tw Cen MT"/>
                <w:sz w:val="22"/>
                <w:szCs w:val="22"/>
              </w:rPr>
              <w:t>602-496-1470</w:t>
            </w:r>
          </w:p>
          <w:p w14:paraId="61CC19E5" w14:textId="1523DB13" w:rsidR="009A04D9" w:rsidRPr="00C46BE1" w:rsidRDefault="0021163D" w:rsidP="009A04D9">
            <w:pPr>
              <w:jc w:val="left"/>
              <w:rPr>
                <w:rFonts w:ascii="Tw Cen MT" w:eastAsia="Calibri" w:hAnsi="Tw Cen MT"/>
                <w:sz w:val="22"/>
                <w:szCs w:val="22"/>
              </w:rPr>
            </w:pPr>
            <w:hyperlink r:id="rId26" w:history="1">
              <w:r w:rsidR="009A04D9" w:rsidRPr="00C46BE1">
                <w:rPr>
                  <w:rStyle w:val="Hyperlink"/>
                  <w:rFonts w:ascii="Tw Cen MT" w:eastAsiaTheme="majorEastAsia" w:hAnsi="Tw Cen MT"/>
                  <w:color w:val="auto"/>
                  <w:sz w:val="22"/>
                  <w:szCs w:val="22"/>
                </w:rPr>
                <w:t>Jana.Spalding@asu.edu</w:t>
              </w:r>
            </w:hyperlink>
            <w:r w:rsidR="009A04D9" w:rsidRPr="00C46BE1">
              <w:rPr>
                <w:rFonts w:ascii="Tw Cen MT" w:hAnsi="Tw Cen MT"/>
                <w:sz w:val="22"/>
                <w:szCs w:val="22"/>
              </w:rPr>
              <w:t xml:space="preserve"> </w:t>
            </w:r>
          </w:p>
        </w:tc>
      </w:tr>
      <w:tr w:rsidR="009A04D9" w:rsidRPr="00C46BE1" w14:paraId="5199FD31" w14:textId="77777777" w:rsidTr="009A04D9">
        <w:trPr>
          <w:trHeight w:val="307"/>
        </w:trPr>
        <w:tc>
          <w:tcPr>
            <w:tcW w:w="2404" w:type="pct"/>
          </w:tcPr>
          <w:p w14:paraId="1DEA9AAE" w14:textId="6E3E077C" w:rsidR="009A04D9" w:rsidRPr="00C46BE1" w:rsidRDefault="009A04D9" w:rsidP="009A04D9">
            <w:pPr>
              <w:jc w:val="left"/>
              <w:rPr>
                <w:rFonts w:ascii="Tw Cen MT" w:hAnsi="Tw Cen MT"/>
                <w:sz w:val="22"/>
                <w:szCs w:val="22"/>
              </w:rPr>
            </w:pPr>
            <w:r w:rsidRPr="00C46BE1">
              <w:rPr>
                <w:rFonts w:ascii="Tw Cen MT" w:hAnsi="Tw Cen MT"/>
                <w:sz w:val="22"/>
                <w:szCs w:val="22"/>
              </w:rPr>
              <w:t> Doug Marlowe</w:t>
            </w:r>
            <w:r w:rsidR="007F115C" w:rsidRPr="00C46BE1">
              <w:rPr>
                <w:rFonts w:ascii="Tw Cen MT" w:hAnsi="Tw Cen MT"/>
                <w:sz w:val="22"/>
                <w:szCs w:val="22"/>
              </w:rPr>
              <w:t>, PhD</w:t>
            </w:r>
          </w:p>
        </w:tc>
        <w:tc>
          <w:tcPr>
            <w:tcW w:w="2596" w:type="pct"/>
          </w:tcPr>
          <w:p w14:paraId="4C3CBFE1" w14:textId="0194F09B" w:rsidR="009A04D9" w:rsidRPr="00C46BE1" w:rsidRDefault="009A04D9" w:rsidP="00C46BE1">
            <w:pPr>
              <w:jc w:val="left"/>
              <w:rPr>
                <w:rFonts w:ascii="Tw Cen MT" w:eastAsia="Calibri" w:hAnsi="Tw Cen MT"/>
                <w:sz w:val="22"/>
                <w:szCs w:val="22"/>
              </w:rPr>
            </w:pPr>
            <w:r w:rsidRPr="00C46BE1">
              <w:rPr>
                <w:rFonts w:ascii="Tw Cen MT" w:hAnsi="Tw Cen MT"/>
                <w:sz w:val="22"/>
                <w:szCs w:val="22"/>
                <w:shd w:val="clear" w:color="auto" w:fill="FFFFFF"/>
              </w:rPr>
              <w:t xml:space="preserve">National Association of Drug Court Professionals </w:t>
            </w:r>
            <w:r w:rsidRPr="00C46BE1">
              <w:rPr>
                <w:rFonts w:ascii="Tw Cen MT" w:hAnsi="Tw Cen MT"/>
                <w:sz w:val="22"/>
                <w:szCs w:val="22"/>
              </w:rPr>
              <w:br/>
            </w:r>
            <w:r w:rsidRPr="00C46BE1">
              <w:rPr>
                <w:rFonts w:ascii="Tw Cen MT" w:hAnsi="Tw Cen MT"/>
                <w:sz w:val="22"/>
                <w:szCs w:val="22"/>
                <w:shd w:val="clear" w:color="auto" w:fill="FFFFFF"/>
              </w:rPr>
              <w:t>1029 North Royal Street, Suite 201</w:t>
            </w:r>
            <w:r w:rsidRPr="00C46BE1">
              <w:rPr>
                <w:rFonts w:ascii="Tw Cen MT" w:hAnsi="Tw Cen MT"/>
                <w:sz w:val="22"/>
                <w:szCs w:val="22"/>
              </w:rPr>
              <w:br/>
            </w:r>
            <w:r w:rsidRPr="00C46BE1">
              <w:rPr>
                <w:rFonts w:ascii="Tw Cen MT" w:hAnsi="Tw Cen MT"/>
                <w:sz w:val="22"/>
                <w:szCs w:val="22"/>
                <w:shd w:val="clear" w:color="auto" w:fill="FFFFFF"/>
              </w:rPr>
              <w:t>Alexandria, VA 22314</w:t>
            </w:r>
            <w:r w:rsidRPr="00C46BE1">
              <w:rPr>
                <w:rFonts w:ascii="Tw Cen MT" w:hAnsi="Tw Cen MT"/>
                <w:sz w:val="22"/>
                <w:szCs w:val="22"/>
              </w:rPr>
              <w:br/>
            </w:r>
            <w:r w:rsidRPr="00C46BE1">
              <w:rPr>
                <w:rFonts w:ascii="Tw Cen MT" w:hAnsi="Tw Cen MT"/>
                <w:sz w:val="22"/>
                <w:szCs w:val="22"/>
                <w:shd w:val="clear" w:color="auto" w:fill="FFFFFF"/>
              </w:rPr>
              <w:t>610-299-7480</w:t>
            </w:r>
            <w:r w:rsidRPr="00C46BE1">
              <w:rPr>
                <w:rFonts w:ascii="Tw Cen MT" w:hAnsi="Tw Cen MT"/>
                <w:sz w:val="22"/>
                <w:szCs w:val="22"/>
              </w:rPr>
              <w:br/>
            </w:r>
            <w:hyperlink r:id="rId27" w:history="1">
              <w:r w:rsidRPr="00C46BE1">
                <w:rPr>
                  <w:rStyle w:val="Hyperlink"/>
                  <w:rFonts w:ascii="Tw Cen MT" w:eastAsiaTheme="majorEastAsia" w:hAnsi="Tw Cen MT"/>
                  <w:color w:val="auto"/>
                  <w:sz w:val="22"/>
                  <w:szCs w:val="22"/>
                  <w:u w:val="none"/>
                  <w:shd w:val="clear" w:color="auto" w:fill="FFFFFF"/>
                </w:rPr>
                <w:t>dmarlowe@nadcp.org</w:t>
              </w:r>
            </w:hyperlink>
            <w:r w:rsidR="00C46BE1">
              <w:rPr>
                <w:rStyle w:val="apple-converted-space"/>
                <w:rFonts w:ascii="Tw Cen MT" w:hAnsi="Tw Cen MT"/>
                <w:sz w:val="22"/>
                <w:szCs w:val="22"/>
                <w:shd w:val="clear" w:color="auto" w:fill="FFFFFF"/>
              </w:rPr>
              <w:t xml:space="preserve"> </w:t>
            </w:r>
            <w:r w:rsidRPr="00C46BE1">
              <w:rPr>
                <w:rStyle w:val="apple-converted-space"/>
                <w:rFonts w:ascii="Tw Cen MT" w:hAnsi="Tw Cen MT"/>
                <w:sz w:val="22"/>
                <w:szCs w:val="22"/>
                <w:shd w:val="clear" w:color="auto" w:fill="FFFFFF"/>
              </w:rPr>
              <w:t> </w:t>
            </w:r>
          </w:p>
        </w:tc>
      </w:tr>
      <w:tr w:rsidR="00192F5B" w:rsidRPr="00C46BE1" w14:paraId="3686A9CF" w14:textId="77777777" w:rsidTr="00463BBD">
        <w:trPr>
          <w:trHeight w:val="82"/>
        </w:trPr>
        <w:tc>
          <w:tcPr>
            <w:tcW w:w="5000" w:type="pct"/>
            <w:gridSpan w:val="2"/>
            <w:shd w:val="clear" w:color="auto" w:fill="D5DCE4" w:themeFill="text2" w:themeFillTint="33"/>
          </w:tcPr>
          <w:p w14:paraId="79546A80" w14:textId="090375B7" w:rsidR="00192F5B" w:rsidRPr="00C46BE1" w:rsidRDefault="00192F5B" w:rsidP="00192F5B">
            <w:pPr>
              <w:jc w:val="center"/>
              <w:rPr>
                <w:rFonts w:ascii="Tw Cen MT" w:eastAsia="Calibri" w:hAnsi="Tw Cen MT"/>
                <w:sz w:val="22"/>
                <w:szCs w:val="22"/>
              </w:rPr>
            </w:pPr>
            <w:r w:rsidRPr="00C46BE1">
              <w:rPr>
                <w:rFonts w:ascii="Tw Cen MT" w:hAnsi="Tw Cen MT"/>
                <w:sz w:val="22"/>
                <w:szCs w:val="22"/>
              </w:rPr>
              <w:t>SE Steering Committee</w:t>
            </w:r>
          </w:p>
        </w:tc>
      </w:tr>
      <w:tr w:rsidR="00192F5B" w:rsidRPr="00C46BE1" w14:paraId="158DB72A" w14:textId="77777777" w:rsidTr="009A04D9">
        <w:trPr>
          <w:trHeight w:val="307"/>
        </w:trPr>
        <w:tc>
          <w:tcPr>
            <w:tcW w:w="2404" w:type="pct"/>
          </w:tcPr>
          <w:p w14:paraId="64CCCB13" w14:textId="3CFE5DE8" w:rsidR="00192F5B" w:rsidRPr="00C46BE1" w:rsidRDefault="00192F5B" w:rsidP="0079237C">
            <w:pPr>
              <w:jc w:val="left"/>
              <w:rPr>
                <w:rFonts w:ascii="Tw Cen MT" w:hAnsi="Tw Cen MT"/>
                <w:sz w:val="22"/>
                <w:szCs w:val="22"/>
              </w:rPr>
            </w:pPr>
            <w:r w:rsidRPr="00C46BE1">
              <w:rPr>
                <w:rFonts w:ascii="Tw Cen MT" w:hAnsi="Tw Cen MT"/>
                <w:sz w:val="22"/>
                <w:szCs w:val="22"/>
              </w:rPr>
              <w:t>Sean Harris</w:t>
            </w:r>
            <w:r w:rsidR="007F115C" w:rsidRPr="00C46BE1">
              <w:rPr>
                <w:rFonts w:ascii="Tw Cen MT" w:hAnsi="Tw Cen MT"/>
                <w:sz w:val="22"/>
                <w:szCs w:val="22"/>
              </w:rPr>
              <w:t>, PhD</w:t>
            </w:r>
          </w:p>
        </w:tc>
        <w:tc>
          <w:tcPr>
            <w:tcW w:w="2596" w:type="pct"/>
          </w:tcPr>
          <w:p w14:paraId="48F81A0C" w14:textId="77777777" w:rsidR="007F115C" w:rsidRPr="00C46BE1" w:rsidRDefault="007F115C" w:rsidP="007F115C">
            <w:pPr>
              <w:rPr>
                <w:rFonts w:ascii="Tw Cen MT" w:eastAsia="Calibri" w:hAnsi="Tw Cen MT"/>
                <w:sz w:val="22"/>
                <w:szCs w:val="22"/>
              </w:rPr>
            </w:pPr>
            <w:r w:rsidRPr="00C46BE1">
              <w:rPr>
                <w:rFonts w:ascii="Tw Cen MT" w:eastAsia="Calibri" w:hAnsi="Tw Cen MT"/>
                <w:sz w:val="22"/>
                <w:szCs w:val="22"/>
              </w:rPr>
              <w:t>Recovery Institute</w:t>
            </w:r>
          </w:p>
          <w:p w14:paraId="710C229C" w14:textId="77777777" w:rsidR="007F115C" w:rsidRPr="00C46BE1" w:rsidRDefault="007F115C" w:rsidP="007F115C">
            <w:pPr>
              <w:rPr>
                <w:rFonts w:ascii="Tw Cen MT" w:eastAsia="Calibri" w:hAnsi="Tw Cen MT"/>
                <w:sz w:val="22"/>
                <w:szCs w:val="22"/>
              </w:rPr>
            </w:pPr>
            <w:r w:rsidRPr="00C46BE1">
              <w:rPr>
                <w:rFonts w:ascii="Tw Cen MT" w:eastAsia="Calibri" w:hAnsi="Tw Cen MT"/>
                <w:sz w:val="22"/>
                <w:szCs w:val="22"/>
              </w:rPr>
              <w:t xml:space="preserve">1020 South </w:t>
            </w:r>
            <w:proofErr w:type="spellStart"/>
            <w:r w:rsidRPr="00C46BE1">
              <w:rPr>
                <w:rFonts w:ascii="Tw Cen MT" w:eastAsia="Calibri" w:hAnsi="Tw Cen MT"/>
                <w:sz w:val="22"/>
                <w:szCs w:val="22"/>
              </w:rPr>
              <w:t>Westnedge</w:t>
            </w:r>
            <w:proofErr w:type="spellEnd"/>
            <w:r w:rsidRPr="00C46BE1">
              <w:rPr>
                <w:rFonts w:ascii="Tw Cen MT" w:eastAsia="Calibri" w:hAnsi="Tw Cen MT"/>
                <w:sz w:val="22"/>
                <w:szCs w:val="22"/>
              </w:rPr>
              <w:t xml:space="preserve"> Avenue</w:t>
            </w:r>
          </w:p>
          <w:p w14:paraId="7998BC38" w14:textId="77777777" w:rsidR="007F115C" w:rsidRPr="00C46BE1" w:rsidRDefault="007F115C" w:rsidP="007F115C">
            <w:pPr>
              <w:rPr>
                <w:rFonts w:ascii="Tw Cen MT" w:eastAsia="Calibri" w:hAnsi="Tw Cen MT"/>
                <w:sz w:val="22"/>
                <w:szCs w:val="22"/>
              </w:rPr>
            </w:pPr>
            <w:r w:rsidRPr="00C46BE1">
              <w:rPr>
                <w:rFonts w:ascii="Tw Cen MT" w:eastAsia="Calibri" w:hAnsi="Tw Cen MT"/>
                <w:sz w:val="22"/>
                <w:szCs w:val="22"/>
              </w:rPr>
              <w:t>Kalamazoo, MI 49008</w:t>
            </w:r>
          </w:p>
          <w:p w14:paraId="681D989C" w14:textId="77777777" w:rsidR="00C46BE1" w:rsidRDefault="00C46BE1" w:rsidP="007F115C">
            <w:pPr>
              <w:rPr>
                <w:rFonts w:ascii="Tw Cen MT" w:eastAsia="Calibri" w:hAnsi="Tw Cen MT"/>
                <w:sz w:val="22"/>
                <w:szCs w:val="22"/>
              </w:rPr>
            </w:pPr>
            <w:r w:rsidRPr="00C46BE1">
              <w:rPr>
                <w:rFonts w:ascii="Tw Cen MT" w:eastAsia="Calibri" w:hAnsi="Tw Cen MT"/>
                <w:sz w:val="22"/>
                <w:szCs w:val="22"/>
              </w:rPr>
              <w:t>269.343.6725</w:t>
            </w:r>
          </w:p>
          <w:p w14:paraId="1F979722" w14:textId="5A25C891" w:rsidR="00192F5B" w:rsidRPr="00C46BE1" w:rsidRDefault="0021163D" w:rsidP="00C46BE1">
            <w:pPr>
              <w:rPr>
                <w:rFonts w:ascii="Tw Cen MT" w:eastAsia="Calibri" w:hAnsi="Tw Cen MT"/>
                <w:sz w:val="22"/>
                <w:szCs w:val="22"/>
              </w:rPr>
            </w:pPr>
            <w:hyperlink r:id="rId28" w:history="1">
              <w:r w:rsidR="00C46BE1" w:rsidRPr="0001022B">
                <w:rPr>
                  <w:rStyle w:val="Hyperlink"/>
                  <w:rFonts w:ascii="Tw Cen MT" w:eastAsia="Calibri" w:hAnsi="Tw Cen MT"/>
                  <w:sz w:val="22"/>
                  <w:szCs w:val="22"/>
                </w:rPr>
                <w:t>sharris@recoverymi.org</w:t>
              </w:r>
            </w:hyperlink>
            <w:r w:rsidR="00C46BE1">
              <w:rPr>
                <w:rFonts w:ascii="Tw Cen MT" w:eastAsia="Calibri" w:hAnsi="Tw Cen MT"/>
                <w:sz w:val="22"/>
                <w:szCs w:val="22"/>
              </w:rPr>
              <w:t xml:space="preserve"> </w:t>
            </w:r>
          </w:p>
        </w:tc>
      </w:tr>
      <w:tr w:rsidR="00192F5B" w:rsidRPr="00C46BE1" w14:paraId="2BFF6A05" w14:textId="77777777" w:rsidTr="009A04D9">
        <w:trPr>
          <w:trHeight w:val="307"/>
        </w:trPr>
        <w:tc>
          <w:tcPr>
            <w:tcW w:w="2404" w:type="pct"/>
          </w:tcPr>
          <w:p w14:paraId="78B8887E" w14:textId="66A92A5E" w:rsidR="00192F5B" w:rsidRPr="00C46BE1" w:rsidRDefault="00CC386E" w:rsidP="0079237C">
            <w:pPr>
              <w:jc w:val="left"/>
              <w:rPr>
                <w:rFonts w:ascii="Tw Cen MT" w:hAnsi="Tw Cen MT"/>
                <w:sz w:val="22"/>
                <w:szCs w:val="22"/>
              </w:rPr>
            </w:pPr>
            <w:r w:rsidRPr="00C46BE1">
              <w:rPr>
                <w:rFonts w:ascii="Tw Cen MT" w:hAnsi="Tw Cen MT"/>
                <w:sz w:val="22"/>
                <w:szCs w:val="22"/>
              </w:rPr>
              <w:t>C</w:t>
            </w:r>
            <w:r w:rsidR="00192F5B" w:rsidRPr="00C46BE1">
              <w:rPr>
                <w:rFonts w:ascii="Tw Cen MT" w:hAnsi="Tw Cen MT"/>
                <w:sz w:val="22"/>
                <w:szCs w:val="22"/>
              </w:rPr>
              <w:t xml:space="preserve">rystal </w:t>
            </w:r>
            <w:proofErr w:type="spellStart"/>
            <w:r w:rsidR="00192F5B" w:rsidRPr="00C46BE1">
              <w:rPr>
                <w:rFonts w:ascii="Tw Cen MT" w:hAnsi="Tw Cen MT"/>
                <w:sz w:val="22"/>
                <w:szCs w:val="22"/>
              </w:rPr>
              <w:t>Blyler</w:t>
            </w:r>
            <w:proofErr w:type="spellEnd"/>
            <w:r w:rsidRPr="00C46BE1">
              <w:rPr>
                <w:rFonts w:ascii="Tw Cen MT" w:hAnsi="Tw Cen MT"/>
                <w:sz w:val="22"/>
                <w:szCs w:val="22"/>
              </w:rPr>
              <w:t>, PhD</w:t>
            </w:r>
          </w:p>
        </w:tc>
        <w:tc>
          <w:tcPr>
            <w:tcW w:w="2596" w:type="pct"/>
          </w:tcPr>
          <w:p w14:paraId="08C9A31D" w14:textId="77777777" w:rsidR="00CC386E" w:rsidRPr="00C46BE1" w:rsidRDefault="00CC386E" w:rsidP="00CC386E">
            <w:pPr>
              <w:rPr>
                <w:rFonts w:ascii="Tw Cen MT" w:hAnsi="Tw Cen MT"/>
                <w:sz w:val="22"/>
                <w:szCs w:val="22"/>
              </w:rPr>
            </w:pPr>
            <w:r w:rsidRPr="00C46BE1">
              <w:rPr>
                <w:rFonts w:ascii="Tw Cen MT" w:hAnsi="Tw Cen MT"/>
                <w:sz w:val="22"/>
                <w:szCs w:val="22"/>
              </w:rPr>
              <w:t>Mathematica Policy Research, Inc.</w:t>
            </w:r>
          </w:p>
          <w:p w14:paraId="5B7C0EA8" w14:textId="77777777" w:rsidR="00CC386E" w:rsidRPr="00C46BE1" w:rsidRDefault="00CC386E" w:rsidP="00CC386E">
            <w:pPr>
              <w:rPr>
                <w:rFonts w:ascii="Tw Cen MT" w:hAnsi="Tw Cen MT"/>
                <w:sz w:val="22"/>
                <w:szCs w:val="22"/>
              </w:rPr>
            </w:pPr>
            <w:r w:rsidRPr="00C46BE1">
              <w:rPr>
                <w:rFonts w:ascii="Tw Cen MT" w:hAnsi="Tw Cen MT"/>
                <w:sz w:val="22"/>
                <w:szCs w:val="22"/>
              </w:rPr>
              <w:t>1100 1st Street, NE, 12th Floor</w:t>
            </w:r>
          </w:p>
          <w:p w14:paraId="3A834868" w14:textId="6A4EA8A8" w:rsidR="00CC386E" w:rsidRPr="00C46BE1" w:rsidRDefault="00CC386E" w:rsidP="00CC386E">
            <w:pPr>
              <w:rPr>
                <w:rFonts w:ascii="Tw Cen MT" w:hAnsi="Tw Cen MT"/>
                <w:sz w:val="22"/>
                <w:szCs w:val="22"/>
              </w:rPr>
            </w:pPr>
            <w:r w:rsidRPr="00C46BE1">
              <w:rPr>
                <w:rFonts w:ascii="Tw Cen MT" w:hAnsi="Tw Cen MT"/>
                <w:sz w:val="22"/>
                <w:szCs w:val="22"/>
              </w:rPr>
              <w:t>Washington, DC 20002-4221</w:t>
            </w:r>
          </w:p>
          <w:p w14:paraId="597D9273" w14:textId="0EDA5AF6" w:rsidR="00CC386E" w:rsidRPr="00C46BE1" w:rsidRDefault="00CC386E" w:rsidP="00CC386E">
            <w:pPr>
              <w:rPr>
                <w:rFonts w:ascii="Tw Cen MT" w:hAnsi="Tw Cen MT"/>
                <w:sz w:val="22"/>
                <w:szCs w:val="22"/>
              </w:rPr>
            </w:pPr>
            <w:r w:rsidRPr="00C46BE1">
              <w:rPr>
                <w:rFonts w:ascii="Tw Cen MT" w:hAnsi="Tw Cen MT"/>
                <w:sz w:val="22"/>
                <w:szCs w:val="22"/>
              </w:rPr>
              <w:t xml:space="preserve">202.250.3502 </w:t>
            </w:r>
          </w:p>
          <w:p w14:paraId="5A59397E" w14:textId="5F0271FE" w:rsidR="00192F5B" w:rsidRPr="00C46BE1" w:rsidRDefault="0021163D" w:rsidP="00CC386E">
            <w:pPr>
              <w:rPr>
                <w:rFonts w:ascii="Tw Cen MT" w:eastAsia="Calibri" w:hAnsi="Tw Cen MT"/>
                <w:sz w:val="22"/>
                <w:szCs w:val="22"/>
              </w:rPr>
            </w:pPr>
            <w:hyperlink r:id="rId29" w:history="1">
              <w:r w:rsidR="00C46BE1" w:rsidRPr="0001022B">
                <w:rPr>
                  <w:rStyle w:val="Hyperlink"/>
                  <w:rFonts w:ascii="Tw Cen MT" w:hAnsi="Tw Cen MT"/>
                  <w:sz w:val="22"/>
                  <w:szCs w:val="22"/>
                </w:rPr>
                <w:t>cblyler@mathematica-mpr.com</w:t>
              </w:r>
            </w:hyperlink>
            <w:r w:rsidR="00C46BE1">
              <w:rPr>
                <w:rFonts w:ascii="Tw Cen MT" w:hAnsi="Tw Cen MT"/>
                <w:sz w:val="22"/>
                <w:szCs w:val="22"/>
              </w:rPr>
              <w:t xml:space="preserve"> </w:t>
            </w:r>
          </w:p>
        </w:tc>
      </w:tr>
      <w:tr w:rsidR="009A04D9" w:rsidRPr="00C46BE1" w14:paraId="4D5084D3" w14:textId="77777777" w:rsidTr="009A04D9">
        <w:trPr>
          <w:trHeight w:val="307"/>
        </w:trPr>
        <w:tc>
          <w:tcPr>
            <w:tcW w:w="2404" w:type="pct"/>
          </w:tcPr>
          <w:p w14:paraId="00931418" w14:textId="391D74C5" w:rsidR="009A04D9" w:rsidRPr="00C46BE1" w:rsidRDefault="009A04D9" w:rsidP="009A04D9">
            <w:pPr>
              <w:jc w:val="left"/>
              <w:rPr>
                <w:rFonts w:ascii="Tw Cen MT" w:hAnsi="Tw Cen MT"/>
                <w:sz w:val="22"/>
                <w:szCs w:val="22"/>
              </w:rPr>
            </w:pPr>
            <w:r w:rsidRPr="00C46BE1">
              <w:rPr>
                <w:rFonts w:ascii="Tw Cen MT" w:hAnsi="Tw Cen MT"/>
                <w:sz w:val="22"/>
                <w:szCs w:val="22"/>
              </w:rPr>
              <w:t xml:space="preserve">Jonathan </w:t>
            </w:r>
            <w:proofErr w:type="spellStart"/>
            <w:r w:rsidRPr="00C46BE1">
              <w:rPr>
                <w:rFonts w:ascii="Tw Cen MT" w:hAnsi="Tw Cen MT"/>
                <w:sz w:val="22"/>
                <w:szCs w:val="22"/>
              </w:rPr>
              <w:t>Delman</w:t>
            </w:r>
            <w:proofErr w:type="spellEnd"/>
            <w:r w:rsidR="00CC386E" w:rsidRPr="00C46BE1">
              <w:rPr>
                <w:rFonts w:ascii="Tw Cen MT" w:hAnsi="Tw Cen MT"/>
                <w:sz w:val="22"/>
                <w:szCs w:val="22"/>
              </w:rPr>
              <w:t>, PhD</w:t>
            </w:r>
            <w:r w:rsidR="00D26B5A" w:rsidRPr="00C46BE1">
              <w:rPr>
                <w:rFonts w:ascii="Tw Cen MT" w:hAnsi="Tw Cen MT"/>
                <w:sz w:val="22"/>
                <w:szCs w:val="22"/>
              </w:rPr>
              <w:t>, JD</w:t>
            </w:r>
          </w:p>
        </w:tc>
        <w:tc>
          <w:tcPr>
            <w:tcW w:w="2596" w:type="pct"/>
          </w:tcPr>
          <w:p w14:paraId="23E69714" w14:textId="77777777" w:rsidR="00D26B5A" w:rsidRPr="00C46BE1" w:rsidRDefault="00D26B5A" w:rsidP="009A04D9">
            <w:pPr>
              <w:rPr>
                <w:rFonts w:ascii="Tw Cen MT" w:hAnsi="Tw Cen MT"/>
                <w:sz w:val="22"/>
                <w:szCs w:val="22"/>
              </w:rPr>
            </w:pPr>
            <w:r w:rsidRPr="00C46BE1">
              <w:rPr>
                <w:rFonts w:ascii="Tw Cen MT" w:hAnsi="Tw Cen MT"/>
                <w:sz w:val="22"/>
                <w:szCs w:val="22"/>
              </w:rPr>
              <w:t>Technical Assistance Collaborative</w:t>
            </w:r>
          </w:p>
          <w:p w14:paraId="37E1ED07" w14:textId="77777777" w:rsidR="00D26B5A" w:rsidRPr="00C46BE1" w:rsidRDefault="00D26B5A" w:rsidP="009A04D9">
            <w:pPr>
              <w:rPr>
                <w:rFonts w:ascii="Tw Cen MT" w:hAnsi="Tw Cen MT"/>
                <w:sz w:val="22"/>
                <w:szCs w:val="22"/>
              </w:rPr>
            </w:pPr>
            <w:r w:rsidRPr="00C46BE1">
              <w:rPr>
                <w:rFonts w:ascii="Tw Cen MT" w:hAnsi="Tw Cen MT"/>
                <w:sz w:val="22"/>
                <w:szCs w:val="22"/>
              </w:rPr>
              <w:t>31 St James Avenue Suite 950</w:t>
            </w:r>
          </w:p>
          <w:p w14:paraId="666FAD3F" w14:textId="77777777" w:rsidR="00D26B5A" w:rsidRPr="00C46BE1" w:rsidRDefault="00D26B5A" w:rsidP="00D26B5A">
            <w:pPr>
              <w:rPr>
                <w:rFonts w:ascii="Tw Cen MT" w:hAnsi="Tw Cen MT"/>
                <w:sz w:val="22"/>
                <w:szCs w:val="22"/>
              </w:rPr>
            </w:pPr>
            <w:r w:rsidRPr="00C46BE1">
              <w:rPr>
                <w:rFonts w:ascii="Tw Cen MT" w:hAnsi="Tw Cen MT"/>
                <w:sz w:val="22"/>
                <w:szCs w:val="22"/>
              </w:rPr>
              <w:t xml:space="preserve">Boston, MA </w:t>
            </w:r>
          </w:p>
          <w:p w14:paraId="25767AC4" w14:textId="6556418C" w:rsidR="009A04D9" w:rsidRPr="00C46BE1" w:rsidRDefault="0021163D" w:rsidP="00D26B5A">
            <w:pPr>
              <w:rPr>
                <w:rFonts w:ascii="Tw Cen MT" w:hAnsi="Tw Cen MT"/>
                <w:sz w:val="22"/>
                <w:szCs w:val="22"/>
              </w:rPr>
            </w:pPr>
            <w:hyperlink r:id="rId30" w:history="1">
              <w:r w:rsidR="00CC386E" w:rsidRPr="00C46BE1">
                <w:rPr>
                  <w:rStyle w:val="Hyperlink"/>
                  <w:rFonts w:ascii="Tw Cen MT" w:hAnsi="Tw Cen MT"/>
                  <w:sz w:val="22"/>
                  <w:szCs w:val="22"/>
                </w:rPr>
                <w:t>jdelman@tacinc.org</w:t>
              </w:r>
            </w:hyperlink>
          </w:p>
        </w:tc>
      </w:tr>
    </w:tbl>
    <w:p w14:paraId="653AA0CE" w14:textId="600647B0" w:rsidR="008C75E5" w:rsidRPr="00C46BE1" w:rsidRDefault="00B72B27" w:rsidP="00090868">
      <w:pPr>
        <w:pStyle w:val="SuicideBodyText"/>
        <w:keepNext/>
        <w:numPr>
          <w:ilvl w:val="0"/>
          <w:numId w:val="8"/>
        </w:numPr>
        <w:spacing w:before="360" w:after="120"/>
        <w:rPr>
          <w:rFonts w:ascii="Tw Cen MT" w:hAnsi="Tw Cen MT" w:cs="Arial"/>
          <w:b/>
          <w:sz w:val="28"/>
          <w:szCs w:val="28"/>
        </w:rPr>
      </w:pPr>
      <w:r w:rsidRPr="00C46BE1">
        <w:rPr>
          <w:rFonts w:ascii="Tw Cen MT" w:hAnsi="Tw Cen MT" w:cs="Arial"/>
          <w:b/>
          <w:sz w:val="28"/>
          <w:szCs w:val="28"/>
          <w:lang w:val="en-CA"/>
        </w:rPr>
        <w:t>Payment to Respondents</w:t>
      </w:r>
    </w:p>
    <w:p w14:paraId="0F5DB3CE" w14:textId="03B13365" w:rsidR="00430ADF" w:rsidRPr="00C46BE1" w:rsidRDefault="00F96D24" w:rsidP="001E50ED">
      <w:pPr>
        <w:pStyle w:val="SuicideBodyText"/>
        <w:spacing w:after="200"/>
        <w:rPr>
          <w:lang w:val="en-CA"/>
        </w:rPr>
      </w:pPr>
      <w:r w:rsidRPr="00C46BE1">
        <w:rPr>
          <w:lang w:val="en-CA"/>
        </w:rPr>
        <w:t xml:space="preserve">The </w:t>
      </w:r>
      <w:r w:rsidR="00192F5B" w:rsidRPr="00C46BE1">
        <w:rPr>
          <w:lang w:val="en-CA"/>
        </w:rPr>
        <w:t xml:space="preserve">CSE </w:t>
      </w:r>
      <w:r w:rsidR="00BF1869" w:rsidRPr="00C46BE1">
        <w:rPr>
          <w:lang w:val="en-CA"/>
        </w:rPr>
        <w:t xml:space="preserve">uses a </w:t>
      </w:r>
      <w:r w:rsidR="00FA3C1E" w:rsidRPr="00C46BE1">
        <w:rPr>
          <w:lang w:val="en-CA"/>
        </w:rPr>
        <w:t>participatory evaluation</w:t>
      </w:r>
      <w:r w:rsidR="0013746B" w:rsidRPr="00C46BE1">
        <w:rPr>
          <w:lang w:val="en-CA"/>
        </w:rPr>
        <w:t xml:space="preserve"> approach</w:t>
      </w:r>
      <w:r w:rsidR="00BF1869" w:rsidRPr="00C46BE1">
        <w:rPr>
          <w:lang w:val="en-CA"/>
        </w:rPr>
        <w:t xml:space="preserve"> </w:t>
      </w:r>
      <w:r w:rsidR="00B37483" w:rsidRPr="00C46BE1">
        <w:rPr>
          <w:lang w:val="en-CA"/>
        </w:rPr>
        <w:t>and</w:t>
      </w:r>
      <w:r w:rsidR="00BF1869" w:rsidRPr="00C46BE1">
        <w:rPr>
          <w:lang w:val="en-CA"/>
        </w:rPr>
        <w:t xml:space="preserve"> </w:t>
      </w:r>
      <w:r w:rsidR="00FA3C1E" w:rsidRPr="00C46BE1">
        <w:rPr>
          <w:lang w:val="en-CA"/>
        </w:rPr>
        <w:t>requires the</w:t>
      </w:r>
      <w:r w:rsidR="0013746B" w:rsidRPr="00C46BE1">
        <w:rPr>
          <w:lang w:val="en-CA"/>
        </w:rPr>
        <w:t xml:space="preserve"> participation of </w:t>
      </w:r>
      <w:r w:rsidR="00FA3C1E" w:rsidRPr="00C46BE1">
        <w:rPr>
          <w:lang w:val="en-CA"/>
        </w:rPr>
        <w:t>individuals beyond grantee program staff</w:t>
      </w:r>
      <w:r w:rsidR="00BF1869" w:rsidRPr="00C46BE1">
        <w:rPr>
          <w:lang w:val="en-CA"/>
        </w:rPr>
        <w:t>, such as</w:t>
      </w:r>
      <w:r w:rsidR="00FA3C1E" w:rsidRPr="00C46BE1">
        <w:rPr>
          <w:lang w:val="en-CA"/>
        </w:rPr>
        <w:t xml:space="preserve"> </w:t>
      </w:r>
      <w:r w:rsidR="00BF1869" w:rsidRPr="00C46BE1">
        <w:rPr>
          <w:lang w:val="en-CA"/>
        </w:rPr>
        <w:t>consumers and</w:t>
      </w:r>
      <w:r w:rsidR="00FA3C1E" w:rsidRPr="00C46BE1">
        <w:rPr>
          <w:lang w:val="en-CA"/>
        </w:rPr>
        <w:t xml:space="preserve"> </w:t>
      </w:r>
      <w:r w:rsidR="00BF1869" w:rsidRPr="00C46BE1">
        <w:rPr>
          <w:lang w:val="en-CA"/>
        </w:rPr>
        <w:t>employers</w:t>
      </w:r>
      <w:r w:rsidR="0013746B" w:rsidRPr="00C46BE1">
        <w:rPr>
          <w:lang w:val="en-CA"/>
        </w:rPr>
        <w:t xml:space="preserve">. </w:t>
      </w:r>
      <w:r w:rsidR="00FA3C1E" w:rsidRPr="00C46BE1">
        <w:rPr>
          <w:lang w:val="en-CA"/>
        </w:rPr>
        <w:t xml:space="preserve">Consequently, </w:t>
      </w:r>
      <w:r w:rsidR="0039474F" w:rsidRPr="00C46BE1">
        <w:rPr>
          <w:lang w:val="en-CA"/>
        </w:rPr>
        <w:t xml:space="preserve">remuneration is suggested for </w:t>
      </w:r>
      <w:r w:rsidR="00BF1869" w:rsidRPr="00C46BE1">
        <w:rPr>
          <w:lang w:val="en-CA"/>
        </w:rPr>
        <w:t xml:space="preserve">respondents who are </w:t>
      </w:r>
      <w:r w:rsidR="0039474F" w:rsidRPr="00C46BE1">
        <w:rPr>
          <w:lang w:val="en-CA"/>
        </w:rPr>
        <w:t xml:space="preserve">not directly affiliated with </w:t>
      </w:r>
      <w:r w:rsidRPr="00C46BE1">
        <w:rPr>
          <w:lang w:val="en-CA"/>
        </w:rPr>
        <w:t>the BHTCC and SE</w:t>
      </w:r>
      <w:r w:rsidR="0039474F" w:rsidRPr="00C46BE1">
        <w:rPr>
          <w:lang w:val="en-CA"/>
        </w:rPr>
        <w:t xml:space="preserve"> programs </w:t>
      </w:r>
      <w:r w:rsidR="0013746B" w:rsidRPr="00C46BE1">
        <w:rPr>
          <w:lang w:val="en-CA"/>
        </w:rPr>
        <w:t>at the</w:t>
      </w:r>
      <w:r w:rsidR="00FA3C1E" w:rsidRPr="00C46BE1">
        <w:rPr>
          <w:lang w:val="en-CA"/>
        </w:rPr>
        <w:t xml:space="preserve"> time of their participation</w:t>
      </w:r>
      <w:r w:rsidR="0013746B" w:rsidRPr="00C46BE1">
        <w:rPr>
          <w:lang w:val="en-CA"/>
        </w:rPr>
        <w:t xml:space="preserve"> </w:t>
      </w:r>
      <w:r w:rsidR="0039474F" w:rsidRPr="00C46BE1">
        <w:rPr>
          <w:lang w:val="en-CA"/>
        </w:rPr>
        <w:t>as</w:t>
      </w:r>
      <w:r w:rsidR="0013746B" w:rsidRPr="00C46BE1">
        <w:rPr>
          <w:lang w:val="en-CA"/>
        </w:rPr>
        <w:t xml:space="preserve"> compensation for the </w:t>
      </w:r>
      <w:r w:rsidR="00FA3C1E" w:rsidRPr="00C46BE1">
        <w:rPr>
          <w:lang w:val="en-CA"/>
        </w:rPr>
        <w:t>associated</w:t>
      </w:r>
      <w:r w:rsidR="0013746B" w:rsidRPr="00C46BE1">
        <w:rPr>
          <w:lang w:val="en-CA"/>
        </w:rPr>
        <w:t xml:space="preserve"> burden, potential inconvenience of participation, and any </w:t>
      </w:r>
      <w:r w:rsidR="004B6517" w:rsidRPr="00C46BE1">
        <w:rPr>
          <w:lang w:val="en-CA"/>
        </w:rPr>
        <w:t xml:space="preserve">related </w:t>
      </w:r>
      <w:r w:rsidR="0013746B" w:rsidRPr="00C46BE1">
        <w:rPr>
          <w:lang w:val="en-CA"/>
        </w:rPr>
        <w:t xml:space="preserve">costs </w:t>
      </w:r>
      <w:r w:rsidR="004B6517" w:rsidRPr="00C46BE1">
        <w:rPr>
          <w:lang w:val="en-CA"/>
        </w:rPr>
        <w:t>(e.g., transportation, mobile phone minutes or data, compensation for time)</w:t>
      </w:r>
      <w:r w:rsidR="0013746B" w:rsidRPr="00C46BE1">
        <w:rPr>
          <w:lang w:val="en-CA"/>
        </w:rPr>
        <w:t>.</w:t>
      </w:r>
      <w:r w:rsidR="0039474F" w:rsidRPr="00C46BE1">
        <w:rPr>
          <w:lang w:val="en-CA"/>
        </w:rPr>
        <w:t xml:space="preserve"> </w:t>
      </w:r>
      <w:r w:rsidR="00B37483" w:rsidRPr="00C46BE1">
        <w:rPr>
          <w:lang w:val="en-CA"/>
        </w:rPr>
        <w:t xml:space="preserve">The CSE also involves longitudinal data collection. </w:t>
      </w:r>
      <w:r w:rsidR="004B6517" w:rsidRPr="00C46BE1">
        <w:t>R</w:t>
      </w:r>
      <w:r w:rsidR="0039474F" w:rsidRPr="00C46BE1">
        <w:t xml:space="preserve">emuneration is a standard practice in longitudinal studies </w:t>
      </w:r>
      <w:r w:rsidR="004B6517" w:rsidRPr="00C46BE1">
        <w:t>partly</w:t>
      </w:r>
      <w:r w:rsidR="0039474F" w:rsidRPr="00C46BE1">
        <w:t xml:space="preserve"> because respondents are </w:t>
      </w:r>
      <w:r w:rsidR="004B6517" w:rsidRPr="00C46BE1">
        <w:t xml:space="preserve">typically </w:t>
      </w:r>
      <w:r w:rsidR="0039474F" w:rsidRPr="00C46BE1">
        <w:t xml:space="preserve">not directly affiliated with the program being evaluated. Given the </w:t>
      </w:r>
      <w:r w:rsidR="004B6517" w:rsidRPr="00C46BE1">
        <w:t>use of longi</w:t>
      </w:r>
      <w:r w:rsidRPr="00C46BE1">
        <w:t xml:space="preserve">tudinal data collection </w:t>
      </w:r>
      <w:r w:rsidR="004B6517" w:rsidRPr="00C46BE1">
        <w:t xml:space="preserve">and the </w:t>
      </w:r>
      <w:r w:rsidR="0039474F" w:rsidRPr="00C46BE1">
        <w:rPr>
          <w:lang w:val="en-CA"/>
        </w:rPr>
        <w:t>hard-to-reach nature of these populations,</w:t>
      </w:r>
      <w:r w:rsidR="00B37483" w:rsidRPr="00C46BE1">
        <w:rPr>
          <w:lang w:val="en-CA"/>
        </w:rPr>
        <w:t xml:space="preserve"> compensation will be provided to respondents of the following activities: </w:t>
      </w:r>
      <w:r w:rsidR="0008439E" w:rsidRPr="00C46BE1">
        <w:t>SLA KII</w:t>
      </w:r>
      <w:r w:rsidR="00B37483" w:rsidRPr="00C46BE1">
        <w:t>–Consumer Version</w:t>
      </w:r>
      <w:r w:rsidR="006C419C" w:rsidRPr="00C46BE1">
        <w:t xml:space="preserve"> </w:t>
      </w:r>
      <w:r w:rsidR="0013746B" w:rsidRPr="00C46BE1">
        <w:t xml:space="preserve">($10) </w:t>
      </w:r>
      <w:r w:rsidR="006C419C" w:rsidRPr="00C46BE1">
        <w:t xml:space="preserve">and </w:t>
      </w:r>
      <w:r w:rsidR="00B37483" w:rsidRPr="00C46BE1">
        <w:t>the ENFG–Employer Version</w:t>
      </w:r>
      <w:r w:rsidR="0013746B" w:rsidRPr="00C46BE1">
        <w:t xml:space="preserve"> ($</w:t>
      </w:r>
      <w:r w:rsidR="00775322" w:rsidRPr="00C46BE1">
        <w:t>50</w:t>
      </w:r>
      <w:r w:rsidR="0013746B" w:rsidRPr="00C46BE1">
        <w:t>)</w:t>
      </w:r>
      <w:r w:rsidR="006C419C" w:rsidRPr="00C46BE1">
        <w:t xml:space="preserve">. </w:t>
      </w:r>
      <w:r w:rsidR="00430ADF" w:rsidRPr="00C46BE1">
        <w:rPr>
          <w:lang w:val="en-CA"/>
        </w:rPr>
        <w:t xml:space="preserve">Respondents to other data collection activities are primarily staff of the </w:t>
      </w:r>
      <w:r w:rsidR="00B37483" w:rsidRPr="00C46BE1">
        <w:rPr>
          <w:lang w:val="en-CA"/>
        </w:rPr>
        <w:t>BHTCC and SE</w:t>
      </w:r>
      <w:r w:rsidR="00430ADF" w:rsidRPr="00C46BE1">
        <w:rPr>
          <w:lang w:val="en-CA"/>
        </w:rPr>
        <w:t xml:space="preserve"> programs or close affiliates. Therefore, no remuneration is planned for those activities. </w:t>
      </w:r>
      <w:r w:rsidR="00EE12F0" w:rsidRPr="00C46BE1">
        <w:rPr>
          <w:lang w:val="en-CA"/>
        </w:rPr>
        <w:t xml:space="preserve"> </w:t>
      </w:r>
    </w:p>
    <w:p w14:paraId="420AEA1E" w14:textId="1A6C5228" w:rsidR="00B72B27" w:rsidRPr="00C46BE1" w:rsidRDefault="00B72B27" w:rsidP="00090868">
      <w:pPr>
        <w:pStyle w:val="SuicideBodyText"/>
        <w:keepNext/>
        <w:numPr>
          <w:ilvl w:val="0"/>
          <w:numId w:val="8"/>
        </w:numPr>
        <w:spacing w:before="360" w:after="120"/>
        <w:rPr>
          <w:rFonts w:ascii="Tw Cen MT" w:hAnsi="Tw Cen MT" w:cs="Arial"/>
          <w:b/>
          <w:sz w:val="28"/>
          <w:szCs w:val="28"/>
        </w:rPr>
      </w:pPr>
      <w:r w:rsidRPr="00C46BE1">
        <w:rPr>
          <w:rFonts w:ascii="Tw Cen MT" w:hAnsi="Tw Cen MT" w:cs="Arial"/>
          <w:b/>
          <w:sz w:val="28"/>
          <w:szCs w:val="28"/>
          <w:lang w:val="en-CA"/>
        </w:rPr>
        <w:t>Assurances of Confidentiality</w:t>
      </w:r>
    </w:p>
    <w:p w14:paraId="064C0134" w14:textId="48B870A2" w:rsidR="00AE3B1F" w:rsidRPr="00C46BE1" w:rsidRDefault="00831C7A" w:rsidP="00CF5DFC">
      <w:pPr>
        <w:pStyle w:val="GLSBody"/>
        <w:spacing w:after="200"/>
        <w:rPr>
          <w:color w:val="C00000"/>
          <w:lang w:val="en-CA"/>
        </w:rPr>
      </w:pPr>
      <w:r w:rsidRPr="00C46BE1">
        <w:t xml:space="preserve">To ensure the </w:t>
      </w:r>
      <w:r w:rsidR="00E83649" w:rsidRPr="00C46BE1">
        <w:t xml:space="preserve">privacy </w:t>
      </w:r>
      <w:r w:rsidRPr="00C46BE1">
        <w:t xml:space="preserve">of data compiled </w:t>
      </w:r>
      <w:r w:rsidR="00E83649" w:rsidRPr="00C46BE1">
        <w:t xml:space="preserve">for </w:t>
      </w:r>
      <w:r w:rsidRPr="00C46BE1">
        <w:t xml:space="preserve">the protection of human subjects, the data collection protocol and instruments for </w:t>
      </w:r>
      <w:r w:rsidR="000A51F9" w:rsidRPr="00C46BE1">
        <w:t>the CSE</w:t>
      </w:r>
      <w:r w:rsidRPr="00C46BE1">
        <w:t xml:space="preserve"> will be reviewed through the </w:t>
      </w:r>
      <w:r w:rsidR="000E049A" w:rsidRPr="00C46BE1">
        <w:t>c</w:t>
      </w:r>
      <w:r w:rsidR="00E83649" w:rsidRPr="00C46BE1">
        <w:t xml:space="preserve">ontractor’s </w:t>
      </w:r>
      <w:r w:rsidRPr="00C46BE1">
        <w:t xml:space="preserve">institutional review board (IRB) prior to the collection of covered or protected data. The </w:t>
      </w:r>
      <w:r w:rsidR="000E049A" w:rsidRPr="00C46BE1">
        <w:t>c</w:t>
      </w:r>
      <w:r w:rsidR="00186A6F" w:rsidRPr="00C46BE1">
        <w:t xml:space="preserve">ontractor’s </w:t>
      </w:r>
      <w:r w:rsidRPr="00C46BE1">
        <w:t>IRB holds a Federal wide Assurance (FWA00000845; Expira</w:t>
      </w:r>
      <w:r w:rsidR="00C36547" w:rsidRPr="00C46BE1">
        <w:t xml:space="preserve">tion, </w:t>
      </w:r>
      <w:r w:rsidRPr="00C46BE1">
        <w:t>April 13, 2019) from the HHS Office for Human Research Protections (OHRP)</w:t>
      </w:r>
      <w:r w:rsidR="00C36547" w:rsidRPr="00C46BE1">
        <w:t>.</w:t>
      </w:r>
      <w:r w:rsidRPr="00C46BE1">
        <w:t xml:space="preserve"> This review ensures compliance with the spirit and letter of HHS regulations governing such projects. </w:t>
      </w:r>
      <w:r w:rsidR="00C36547" w:rsidRPr="00C46BE1">
        <w:t xml:space="preserve">All protected data will be stored on </w:t>
      </w:r>
      <w:r w:rsidR="000E049A" w:rsidRPr="00C46BE1">
        <w:t>the c</w:t>
      </w:r>
      <w:r w:rsidR="00186A6F" w:rsidRPr="00C46BE1">
        <w:t xml:space="preserve">ontractor’s </w:t>
      </w:r>
      <w:r w:rsidR="00C36547" w:rsidRPr="00C46BE1">
        <w:t xml:space="preserve">secure servers in the manner described in the IT Plan and IT Data Security Plan </w:t>
      </w:r>
      <w:r w:rsidR="008368B7" w:rsidRPr="00C46BE1">
        <w:t>submitted to SAMHSA</w:t>
      </w:r>
      <w:r w:rsidR="00C36547" w:rsidRPr="00C46BE1">
        <w:t xml:space="preserve"> </w:t>
      </w:r>
      <w:r w:rsidR="00725013" w:rsidRPr="00C46BE1">
        <w:t>on August 31, 2015</w:t>
      </w:r>
      <w:r w:rsidR="00C36547" w:rsidRPr="00C46BE1">
        <w:t xml:space="preserve">. </w:t>
      </w:r>
      <w:r w:rsidR="00AE3B1F" w:rsidRPr="00C46BE1">
        <w:t>In addition, t</w:t>
      </w:r>
      <w:r w:rsidR="00C36547" w:rsidRPr="00C46BE1">
        <w:rPr>
          <w:lang w:val="en-CA"/>
        </w:rPr>
        <w:t xml:space="preserve">he </w:t>
      </w:r>
      <w:r w:rsidR="00A81A2B" w:rsidRPr="00C46BE1">
        <w:rPr>
          <w:lang w:val="en-CA"/>
        </w:rPr>
        <w:t xml:space="preserve">secure </w:t>
      </w:r>
      <w:r w:rsidR="00F1232C" w:rsidRPr="00C46BE1">
        <w:rPr>
          <w:lang w:val="en-CA"/>
        </w:rPr>
        <w:t>w</w:t>
      </w:r>
      <w:r w:rsidR="00C36547" w:rsidRPr="00C46BE1">
        <w:rPr>
          <w:lang w:val="en-CA"/>
        </w:rPr>
        <w:t xml:space="preserve">eb-based data collection and management system, the </w:t>
      </w:r>
      <w:r w:rsidR="000A51F9" w:rsidRPr="00C46BE1">
        <w:rPr>
          <w:lang w:val="en-CA"/>
        </w:rPr>
        <w:t>CSEDS</w:t>
      </w:r>
      <w:r w:rsidR="00C36547" w:rsidRPr="00C46BE1">
        <w:rPr>
          <w:lang w:val="en-CA"/>
        </w:rPr>
        <w:t xml:space="preserve">, will facilitate data entry and management for the evaluation. </w:t>
      </w:r>
    </w:p>
    <w:p w14:paraId="34241DF0" w14:textId="45106483" w:rsidR="00C36547" w:rsidRPr="00C46BE1" w:rsidRDefault="00597423" w:rsidP="00CF5DFC">
      <w:pPr>
        <w:pStyle w:val="GLSBody"/>
        <w:spacing w:after="200"/>
        <w:rPr>
          <w:lang w:val="en-CA"/>
        </w:rPr>
      </w:pPr>
      <w:r w:rsidRPr="00C46BE1">
        <w:rPr>
          <w:rFonts w:ascii="TimesNewRomanPSMT" w:hAnsi="TimesNewRomanPSMT" w:cs="TimesNewRomanPSMT"/>
        </w:rPr>
        <w:t xml:space="preserve">CSE respondents will be selected on the basis of their roles in the BHTCC and SE Programs. </w:t>
      </w:r>
      <w:r w:rsidRPr="00C46BE1">
        <w:rPr>
          <w:lang w:val="en-CA"/>
        </w:rPr>
        <w:t>Descriptive</w:t>
      </w:r>
      <w:r w:rsidR="00C36547" w:rsidRPr="00C46BE1">
        <w:rPr>
          <w:lang w:val="en-CA"/>
        </w:rPr>
        <w:t xml:space="preserve"> information will be collected </w:t>
      </w:r>
      <w:r w:rsidRPr="00C46BE1">
        <w:rPr>
          <w:lang w:val="en-CA"/>
        </w:rPr>
        <w:t>on</w:t>
      </w:r>
      <w:r w:rsidR="00C36547" w:rsidRPr="00C46BE1">
        <w:rPr>
          <w:lang w:val="en-CA"/>
        </w:rPr>
        <w:t xml:space="preserve"> respondents, but no identifying information will be entered or stored in the </w:t>
      </w:r>
      <w:r w:rsidR="000A51F9" w:rsidRPr="00C46BE1">
        <w:rPr>
          <w:lang w:val="en-CA"/>
        </w:rPr>
        <w:t>CSEDS</w:t>
      </w:r>
      <w:r w:rsidR="00C36547" w:rsidRPr="00C46BE1">
        <w:rPr>
          <w:lang w:val="en-CA"/>
        </w:rPr>
        <w:t>.</w:t>
      </w:r>
      <w:r w:rsidR="00702939" w:rsidRPr="00C46BE1">
        <w:rPr>
          <w:lang w:val="en-CA"/>
        </w:rPr>
        <w:t xml:space="preserve"> </w:t>
      </w:r>
      <w:r w:rsidRPr="00C46BE1">
        <w:rPr>
          <w:lang w:val="en-CA"/>
        </w:rPr>
        <w:t>For the SLA</w:t>
      </w:r>
      <w:r w:rsidR="008C0CB4" w:rsidRPr="00C46BE1">
        <w:rPr>
          <w:lang w:val="en-CA"/>
        </w:rPr>
        <w:t xml:space="preserve"> KIIs and </w:t>
      </w:r>
      <w:r w:rsidR="00181131" w:rsidRPr="00C46BE1">
        <w:rPr>
          <w:lang w:val="en-CA"/>
        </w:rPr>
        <w:t>SSA</w:t>
      </w:r>
      <w:r w:rsidRPr="00C46BE1">
        <w:rPr>
          <w:lang w:val="en-CA"/>
        </w:rPr>
        <w:t xml:space="preserve"> KIIs, grantee staff will collect consent to contact from potential participants and forward the forms to </w:t>
      </w:r>
      <w:r w:rsidR="000E049A" w:rsidRPr="00C46BE1">
        <w:rPr>
          <w:lang w:val="en-CA"/>
        </w:rPr>
        <w:t>the c</w:t>
      </w:r>
      <w:r w:rsidR="00186A6F" w:rsidRPr="00C46BE1">
        <w:rPr>
          <w:lang w:val="en-CA"/>
        </w:rPr>
        <w:t>ontractor</w:t>
      </w:r>
      <w:r w:rsidRPr="00C46BE1">
        <w:rPr>
          <w:lang w:val="en-CA"/>
        </w:rPr>
        <w:t xml:space="preserve">. </w:t>
      </w:r>
      <w:r w:rsidR="00AE3B1F" w:rsidRPr="00C46BE1">
        <w:rPr>
          <w:lang w:val="en-CA"/>
        </w:rPr>
        <w:t>All</w:t>
      </w:r>
      <w:r w:rsidR="00C10AE1" w:rsidRPr="00C46BE1">
        <w:rPr>
          <w:lang w:val="en-CA"/>
        </w:rPr>
        <w:t xml:space="preserve"> </w:t>
      </w:r>
      <w:r w:rsidR="00C10AE1" w:rsidRPr="00C46BE1">
        <w:rPr>
          <w:iCs/>
          <w:lang w:val="en-CA"/>
        </w:rPr>
        <w:t>hard copy forms with identifying information will be stored in locked cabinets</w:t>
      </w:r>
      <w:r w:rsidR="00AE3B1F" w:rsidRPr="00C46BE1">
        <w:rPr>
          <w:iCs/>
          <w:lang w:val="en-CA"/>
        </w:rPr>
        <w:t xml:space="preserve">; </w:t>
      </w:r>
      <w:r w:rsidR="00C10AE1" w:rsidRPr="00C46BE1">
        <w:rPr>
          <w:iCs/>
          <w:lang w:val="en-CA"/>
        </w:rPr>
        <w:t xml:space="preserve">contact information will be entered into a password-protected database </w:t>
      </w:r>
      <w:r w:rsidR="00A81A2B" w:rsidRPr="00C46BE1">
        <w:rPr>
          <w:iCs/>
          <w:lang w:val="en-CA"/>
        </w:rPr>
        <w:t>accessible to</w:t>
      </w:r>
      <w:r w:rsidR="00C10AE1" w:rsidRPr="00C46BE1">
        <w:rPr>
          <w:iCs/>
          <w:lang w:val="en-CA"/>
        </w:rPr>
        <w:t xml:space="preserve"> the limited number of individuals who require access (selected </w:t>
      </w:r>
      <w:r w:rsidR="000E049A" w:rsidRPr="00C46BE1">
        <w:rPr>
          <w:iCs/>
          <w:lang w:val="en-CA"/>
        </w:rPr>
        <w:t>c</w:t>
      </w:r>
      <w:r w:rsidR="00186A6F" w:rsidRPr="00C46BE1">
        <w:rPr>
          <w:iCs/>
          <w:lang w:val="en-CA"/>
        </w:rPr>
        <w:t xml:space="preserve">ontractor </w:t>
      </w:r>
      <w:r w:rsidR="00C10AE1" w:rsidRPr="00C46BE1">
        <w:rPr>
          <w:iCs/>
          <w:lang w:val="en-CA"/>
        </w:rPr>
        <w:t xml:space="preserve">staff such as data analysts and administrative staff for administering the incentives). These individuals have signed privacy, data access, and data use agreements. </w:t>
      </w:r>
      <w:r w:rsidR="00AE3B1F" w:rsidRPr="00C46BE1">
        <w:rPr>
          <w:lang w:val="en-CA"/>
        </w:rPr>
        <w:t>Identifying information</w:t>
      </w:r>
      <w:r w:rsidR="008F057A" w:rsidRPr="00C46BE1">
        <w:rPr>
          <w:lang w:val="en-CA"/>
        </w:rPr>
        <w:t xml:space="preserve"> (e.g., name, e-mail address)</w:t>
      </w:r>
      <w:r w:rsidR="00AE3B1F" w:rsidRPr="00C46BE1">
        <w:rPr>
          <w:lang w:val="en-CA"/>
        </w:rPr>
        <w:t xml:space="preserve"> collected to facilitate the administration of surveys</w:t>
      </w:r>
      <w:r w:rsidR="00A81A2B" w:rsidRPr="00C46BE1">
        <w:rPr>
          <w:lang w:val="en-CA"/>
        </w:rPr>
        <w:t>, interviews, and focus groups</w:t>
      </w:r>
      <w:r w:rsidR="00AE3B1F" w:rsidRPr="00C46BE1">
        <w:rPr>
          <w:lang w:val="en-CA"/>
        </w:rPr>
        <w:t xml:space="preserve"> will not be stored with responses. </w:t>
      </w:r>
      <w:r w:rsidR="00B26A10" w:rsidRPr="00C46BE1">
        <w:rPr>
          <w:lang w:val="en-CA"/>
        </w:rPr>
        <w:t>Further, d</w:t>
      </w:r>
      <w:r w:rsidR="00B26A10" w:rsidRPr="00C46BE1">
        <w:rPr>
          <w:iCs/>
          <w:lang w:val="en-CA"/>
        </w:rPr>
        <w:t xml:space="preserve">atasets will be stripped of any identifying information prior to use by data analysts. </w:t>
      </w:r>
      <w:r w:rsidR="00C10AE1" w:rsidRPr="00C46BE1">
        <w:rPr>
          <w:iCs/>
          <w:lang w:val="en-CA"/>
        </w:rPr>
        <w:t xml:space="preserve">Once </w:t>
      </w:r>
      <w:r w:rsidR="00A21636" w:rsidRPr="00C46BE1">
        <w:rPr>
          <w:iCs/>
          <w:lang w:val="en-CA"/>
        </w:rPr>
        <w:t xml:space="preserve">final data collection is complete and </w:t>
      </w:r>
      <w:r w:rsidR="00C10AE1" w:rsidRPr="00C46BE1">
        <w:rPr>
          <w:iCs/>
          <w:lang w:val="en-CA"/>
        </w:rPr>
        <w:t xml:space="preserve">incentives </w:t>
      </w:r>
      <w:r w:rsidR="00B26A10" w:rsidRPr="00C46BE1">
        <w:rPr>
          <w:iCs/>
          <w:lang w:val="en-CA"/>
        </w:rPr>
        <w:t>have been distributed</w:t>
      </w:r>
      <w:r w:rsidR="00C10AE1" w:rsidRPr="00C46BE1">
        <w:rPr>
          <w:iCs/>
          <w:lang w:val="en-CA"/>
        </w:rPr>
        <w:t xml:space="preserve"> (as appropriate), respondent contact information will be deleted from the database and the hard copy forms will be destroyed.</w:t>
      </w:r>
      <w:r w:rsidRPr="00C46BE1">
        <w:rPr>
          <w:iCs/>
          <w:lang w:val="en-CA"/>
        </w:rPr>
        <w:t xml:space="preserve"> </w:t>
      </w:r>
      <w:r w:rsidR="00AE3B1F" w:rsidRPr="00C46BE1">
        <w:rPr>
          <w:lang w:val="en-CA"/>
        </w:rPr>
        <w:t>Data collection activities requiring the collection of i</w:t>
      </w:r>
      <w:r w:rsidR="00C36547" w:rsidRPr="00C46BE1">
        <w:rPr>
          <w:lang w:val="en-CA"/>
        </w:rPr>
        <w:t xml:space="preserve">dentifying information </w:t>
      </w:r>
      <w:r w:rsidR="00ED3E9C" w:rsidRPr="00C46BE1">
        <w:rPr>
          <w:lang w:val="en-CA"/>
        </w:rPr>
        <w:t xml:space="preserve">and specific procedures to protect respondent privacy are described </w:t>
      </w:r>
      <w:r w:rsidR="001B3AAF" w:rsidRPr="00C46BE1">
        <w:rPr>
          <w:lang w:val="en-CA"/>
        </w:rPr>
        <w:t xml:space="preserve">in Exhibit </w:t>
      </w:r>
      <w:r w:rsidR="00690A8B" w:rsidRPr="00C46BE1">
        <w:rPr>
          <w:lang w:val="en-CA"/>
        </w:rPr>
        <w:t>9</w:t>
      </w:r>
      <w:r w:rsidR="00ED3E9C" w:rsidRPr="00C46BE1">
        <w:rPr>
          <w:lang w:val="en-CA"/>
        </w:rPr>
        <w:t xml:space="preserve">. </w:t>
      </w:r>
    </w:p>
    <w:p w14:paraId="2F890394" w14:textId="49CA9767" w:rsidR="001B3AAF" w:rsidRPr="00C46BE1" w:rsidRDefault="001B3AAF" w:rsidP="001B3AAF">
      <w:pPr>
        <w:pStyle w:val="SuicideBodyText"/>
        <w:keepNext/>
        <w:spacing w:after="120"/>
        <w:jc w:val="center"/>
        <w:rPr>
          <w:rFonts w:ascii="Tw Cen MT" w:hAnsi="Tw Cen MT" w:cs="Arial"/>
          <w:b/>
        </w:rPr>
      </w:pPr>
      <w:r w:rsidRPr="00C46BE1">
        <w:rPr>
          <w:rFonts w:ascii="Tw Cen MT" w:hAnsi="Tw Cen MT"/>
          <w:b/>
        </w:rPr>
        <w:t xml:space="preserve">Exhibit </w:t>
      </w:r>
      <w:r w:rsidR="00690A8B" w:rsidRPr="00C46BE1">
        <w:rPr>
          <w:rFonts w:ascii="Tw Cen MT" w:hAnsi="Tw Cen MT"/>
          <w:b/>
        </w:rPr>
        <w:t>9</w:t>
      </w:r>
      <w:r w:rsidRPr="00C46BE1">
        <w:rPr>
          <w:rFonts w:ascii="Tw Cen MT" w:hAnsi="Tw Cen MT"/>
          <w:b/>
        </w:rPr>
        <w:t>. Procedures to Protect Respondent Privacy</w:t>
      </w:r>
    </w:p>
    <w:tbl>
      <w:tblPr>
        <w:tblStyle w:val="TableGrid"/>
        <w:tblW w:w="9535" w:type="dxa"/>
        <w:tblLayout w:type="fixed"/>
        <w:tblCellMar>
          <w:top w:w="43" w:type="dxa"/>
          <w:left w:w="115" w:type="dxa"/>
          <w:bottom w:w="43" w:type="dxa"/>
          <w:right w:w="115" w:type="dxa"/>
        </w:tblCellMar>
        <w:tblLook w:val="04A0" w:firstRow="1" w:lastRow="0" w:firstColumn="1" w:lastColumn="0" w:noHBand="0" w:noVBand="1"/>
      </w:tblPr>
      <w:tblGrid>
        <w:gridCol w:w="1345"/>
        <w:gridCol w:w="8190"/>
      </w:tblGrid>
      <w:tr w:rsidR="001B3AAF" w:rsidRPr="00C46BE1" w14:paraId="3BA5C53C" w14:textId="77777777" w:rsidTr="006739CA">
        <w:trPr>
          <w:cantSplit/>
          <w:trHeight w:val="100"/>
          <w:tblHeader/>
        </w:trPr>
        <w:tc>
          <w:tcPr>
            <w:tcW w:w="1345" w:type="dxa"/>
            <w:tcBorders>
              <w:bottom w:val="single" w:sz="4" w:space="0" w:color="auto"/>
            </w:tcBorders>
            <w:shd w:val="clear" w:color="auto" w:fill="323E4F" w:themeFill="text2" w:themeFillShade="BF"/>
          </w:tcPr>
          <w:p w14:paraId="4F5B298E" w14:textId="77777777" w:rsidR="001B3AAF" w:rsidRPr="00C46BE1" w:rsidRDefault="001B3AAF" w:rsidP="006739CA">
            <w:pPr>
              <w:jc w:val="center"/>
              <w:rPr>
                <w:rFonts w:ascii="Tw Cen MT" w:hAnsi="Tw Cen MT"/>
                <w:color w:val="FFFFFF" w:themeColor="background1"/>
                <w:sz w:val="22"/>
                <w:szCs w:val="22"/>
              </w:rPr>
            </w:pPr>
            <w:r w:rsidRPr="00C46BE1">
              <w:rPr>
                <w:rFonts w:ascii="Tw Cen MT" w:hAnsi="Tw Cen MT"/>
                <w:color w:val="FFFFFF" w:themeColor="background1"/>
                <w:sz w:val="22"/>
                <w:szCs w:val="22"/>
              </w:rPr>
              <w:t>Activity</w:t>
            </w:r>
          </w:p>
        </w:tc>
        <w:tc>
          <w:tcPr>
            <w:tcW w:w="8190" w:type="dxa"/>
            <w:tcBorders>
              <w:bottom w:val="single" w:sz="4" w:space="0" w:color="auto"/>
            </w:tcBorders>
            <w:shd w:val="clear" w:color="auto" w:fill="323E4F" w:themeFill="text2" w:themeFillShade="BF"/>
          </w:tcPr>
          <w:p w14:paraId="77560FB7" w14:textId="77777777" w:rsidR="001B3AAF" w:rsidRPr="00C46BE1" w:rsidRDefault="001B3AAF" w:rsidP="006739CA">
            <w:pPr>
              <w:jc w:val="center"/>
              <w:rPr>
                <w:rFonts w:ascii="Tw Cen MT" w:hAnsi="Tw Cen MT"/>
                <w:color w:val="FFFFFF" w:themeColor="background1"/>
                <w:sz w:val="22"/>
                <w:szCs w:val="22"/>
              </w:rPr>
            </w:pPr>
            <w:r w:rsidRPr="00C46BE1">
              <w:rPr>
                <w:rFonts w:ascii="Tw Cen MT" w:hAnsi="Tw Cen MT"/>
                <w:color w:val="FFFFFF" w:themeColor="background1"/>
                <w:sz w:val="22"/>
                <w:szCs w:val="22"/>
              </w:rPr>
              <w:t>Rationale</w:t>
            </w:r>
          </w:p>
        </w:tc>
      </w:tr>
      <w:tr w:rsidR="001B3AAF" w:rsidRPr="00C46BE1" w14:paraId="78BA8E38" w14:textId="77777777" w:rsidTr="006739CA">
        <w:tc>
          <w:tcPr>
            <w:tcW w:w="1345" w:type="dxa"/>
          </w:tcPr>
          <w:p w14:paraId="618C5C0C" w14:textId="5AE5530E" w:rsidR="001B3AAF" w:rsidRPr="00C46BE1" w:rsidRDefault="001B3AAF" w:rsidP="0008439E">
            <w:pPr>
              <w:jc w:val="left"/>
              <w:rPr>
                <w:rFonts w:ascii="Tw Cen MT" w:hAnsi="Tw Cen MT"/>
                <w:sz w:val="22"/>
                <w:szCs w:val="22"/>
              </w:rPr>
            </w:pPr>
            <w:r w:rsidRPr="00C46BE1">
              <w:rPr>
                <w:rFonts w:ascii="Tw Cen MT" w:hAnsi="Tw Cen MT"/>
                <w:sz w:val="22"/>
                <w:szCs w:val="22"/>
              </w:rPr>
              <w:t xml:space="preserve">BPI–BHTCC </w:t>
            </w:r>
            <w:r w:rsidR="0008439E" w:rsidRPr="00C46BE1">
              <w:rPr>
                <w:rFonts w:ascii="Tw Cen MT" w:hAnsi="Tw Cen MT"/>
                <w:sz w:val="22"/>
                <w:szCs w:val="22"/>
              </w:rPr>
              <w:t xml:space="preserve">&amp; </w:t>
            </w:r>
            <w:r w:rsidRPr="00C46BE1">
              <w:rPr>
                <w:rFonts w:ascii="Tw Cen MT" w:hAnsi="Tw Cen MT"/>
                <w:sz w:val="22"/>
                <w:szCs w:val="22"/>
              </w:rPr>
              <w:t xml:space="preserve">BPI–SE </w:t>
            </w:r>
          </w:p>
        </w:tc>
        <w:tc>
          <w:tcPr>
            <w:tcW w:w="8190" w:type="dxa"/>
          </w:tcPr>
          <w:p w14:paraId="60B41C9D" w14:textId="507BEA19" w:rsidR="001B3AAF" w:rsidRPr="00C46BE1" w:rsidRDefault="00A21636" w:rsidP="00F1232C">
            <w:pPr>
              <w:rPr>
                <w:rFonts w:ascii="Tw Cen MT" w:eastAsia="Calibri" w:hAnsi="Tw Cen MT"/>
                <w:sz w:val="22"/>
                <w:szCs w:val="22"/>
              </w:rPr>
            </w:pPr>
            <w:r w:rsidRPr="00C46BE1">
              <w:rPr>
                <w:rFonts w:ascii="Tw Cen MT" w:hAnsi="Tw Cen MT"/>
                <w:sz w:val="22"/>
                <w:szCs w:val="22"/>
                <w:lang w:val="en-CA"/>
              </w:rPr>
              <w:t xml:space="preserve">Information to complete the inventories will be directly entered into the </w:t>
            </w:r>
            <w:r w:rsidR="00F1232C" w:rsidRPr="00C46BE1">
              <w:rPr>
                <w:rFonts w:ascii="Tw Cen MT" w:hAnsi="Tw Cen MT"/>
                <w:sz w:val="22"/>
                <w:szCs w:val="22"/>
                <w:lang w:val="en-CA"/>
              </w:rPr>
              <w:t>w</w:t>
            </w:r>
            <w:r w:rsidRPr="00C46BE1">
              <w:rPr>
                <w:rFonts w:ascii="Tw Cen MT" w:hAnsi="Tw Cen MT"/>
                <w:sz w:val="22"/>
                <w:szCs w:val="22"/>
                <w:lang w:val="en-CA"/>
              </w:rPr>
              <w:t>eb-based system. To access the system, respondents receive an individual username and password to protect their privacy and no identifying information is requested on the inventories.</w:t>
            </w:r>
          </w:p>
        </w:tc>
      </w:tr>
      <w:tr w:rsidR="001B3AAF" w:rsidRPr="00C46BE1" w14:paraId="58F594B2" w14:textId="77777777" w:rsidTr="006739CA">
        <w:tc>
          <w:tcPr>
            <w:tcW w:w="1345" w:type="dxa"/>
          </w:tcPr>
          <w:p w14:paraId="27EEFCB9" w14:textId="43A28AF5" w:rsidR="001B3AAF" w:rsidRPr="00C46BE1" w:rsidRDefault="001B3AAF" w:rsidP="0008439E">
            <w:pPr>
              <w:jc w:val="left"/>
              <w:rPr>
                <w:rFonts w:ascii="Tw Cen MT" w:hAnsi="Tw Cen MT"/>
                <w:sz w:val="22"/>
                <w:szCs w:val="22"/>
              </w:rPr>
            </w:pPr>
            <w:r w:rsidRPr="00C46BE1">
              <w:rPr>
                <w:rFonts w:ascii="Tw Cen MT" w:hAnsi="Tw Cen MT"/>
                <w:sz w:val="22"/>
                <w:szCs w:val="22"/>
              </w:rPr>
              <w:t xml:space="preserve">SLA </w:t>
            </w:r>
            <w:r w:rsidR="008C0CB4" w:rsidRPr="00C46BE1">
              <w:rPr>
                <w:rFonts w:ascii="Tw Cen MT" w:hAnsi="Tw Cen MT"/>
                <w:sz w:val="22"/>
                <w:szCs w:val="22"/>
              </w:rPr>
              <w:t xml:space="preserve">KIIs, </w:t>
            </w:r>
            <w:r w:rsidR="00A21636" w:rsidRPr="00C46BE1">
              <w:rPr>
                <w:rFonts w:ascii="Tw Cen MT" w:hAnsi="Tw Cen MT"/>
                <w:sz w:val="22"/>
                <w:szCs w:val="22"/>
              </w:rPr>
              <w:t xml:space="preserve"> </w:t>
            </w:r>
            <w:r w:rsidRPr="00C46BE1">
              <w:rPr>
                <w:rFonts w:ascii="Tw Cen MT" w:hAnsi="Tw Cen MT"/>
                <w:sz w:val="22"/>
                <w:szCs w:val="22"/>
              </w:rPr>
              <w:t>SSA KIIs</w:t>
            </w:r>
            <w:r w:rsidR="008C0CB4" w:rsidRPr="00C46BE1">
              <w:rPr>
                <w:rFonts w:ascii="Tw Cen MT" w:hAnsi="Tw Cen MT"/>
                <w:sz w:val="22"/>
                <w:szCs w:val="22"/>
              </w:rPr>
              <w:t>,</w:t>
            </w:r>
            <w:r w:rsidR="00A21636" w:rsidRPr="00C46BE1">
              <w:rPr>
                <w:rFonts w:ascii="Tw Cen MT" w:hAnsi="Tw Cen MT"/>
                <w:sz w:val="22"/>
                <w:szCs w:val="22"/>
              </w:rPr>
              <w:t xml:space="preserve"> </w:t>
            </w:r>
            <w:r w:rsidR="0008439E" w:rsidRPr="00C46BE1">
              <w:rPr>
                <w:rFonts w:ascii="Tw Cen MT" w:hAnsi="Tw Cen MT"/>
                <w:sz w:val="22"/>
                <w:szCs w:val="22"/>
              </w:rPr>
              <w:t>&amp;</w:t>
            </w:r>
            <w:r w:rsidR="00A21636" w:rsidRPr="00C46BE1">
              <w:rPr>
                <w:rFonts w:ascii="Tw Cen MT" w:hAnsi="Tw Cen MT"/>
                <w:sz w:val="22"/>
                <w:szCs w:val="22"/>
              </w:rPr>
              <w:t xml:space="preserve"> ENFGs</w:t>
            </w:r>
          </w:p>
        </w:tc>
        <w:tc>
          <w:tcPr>
            <w:tcW w:w="8190" w:type="dxa"/>
          </w:tcPr>
          <w:p w14:paraId="429E9637" w14:textId="2154D855" w:rsidR="00181131" w:rsidRPr="00C46BE1" w:rsidRDefault="00A21636" w:rsidP="00B26A10">
            <w:pPr>
              <w:pStyle w:val="GLSBody"/>
              <w:spacing w:after="0"/>
              <w:rPr>
                <w:rFonts w:ascii="Tw Cen MT" w:eastAsia="Calibri" w:hAnsi="Tw Cen MT"/>
                <w:sz w:val="22"/>
                <w:szCs w:val="22"/>
              </w:rPr>
            </w:pPr>
            <w:r w:rsidRPr="00C46BE1">
              <w:rPr>
                <w:rFonts w:ascii="Tw Cen MT" w:hAnsi="Tw Cen MT"/>
                <w:sz w:val="22"/>
                <w:szCs w:val="22"/>
              </w:rPr>
              <w:t xml:space="preserve">Identifying information for respondents to the </w:t>
            </w:r>
            <w:r w:rsidR="008C0CB4" w:rsidRPr="00C46BE1">
              <w:rPr>
                <w:rFonts w:ascii="Tw Cen MT" w:hAnsi="Tw Cen MT"/>
                <w:sz w:val="22"/>
                <w:szCs w:val="22"/>
              </w:rPr>
              <w:t xml:space="preserve">SLA </w:t>
            </w:r>
            <w:r w:rsidRPr="00C46BE1">
              <w:rPr>
                <w:rFonts w:ascii="Tw Cen MT" w:hAnsi="Tw Cen MT"/>
                <w:sz w:val="22"/>
                <w:szCs w:val="22"/>
              </w:rPr>
              <w:t>KIIs</w:t>
            </w:r>
            <w:r w:rsidR="008C0CB4" w:rsidRPr="00C46BE1">
              <w:rPr>
                <w:rFonts w:ascii="Tw Cen MT" w:hAnsi="Tw Cen MT"/>
                <w:sz w:val="22"/>
                <w:szCs w:val="22"/>
              </w:rPr>
              <w:t>, SSA KIIs,</w:t>
            </w:r>
            <w:r w:rsidRPr="00C46BE1">
              <w:rPr>
                <w:rFonts w:ascii="Tw Cen MT" w:hAnsi="Tw Cen MT"/>
                <w:sz w:val="22"/>
                <w:szCs w:val="22"/>
              </w:rPr>
              <w:t xml:space="preserve"> and ENFGs will be necessary to facilitate the administration of the interviews and focus groups. Contact information will be limited to affiliations, names, email addresses, and telephone numbers and will be </w:t>
            </w:r>
            <w:r w:rsidRPr="00C46BE1">
              <w:rPr>
                <w:rFonts w:ascii="Tw Cen MT" w:hAnsi="Tw Cen MT"/>
                <w:sz w:val="22"/>
                <w:szCs w:val="22"/>
                <w:lang w:val="en-CA"/>
              </w:rPr>
              <w:t xml:space="preserve">entered into and maintained in a password-protected database. </w:t>
            </w:r>
            <w:r w:rsidR="00B26A10" w:rsidRPr="00C46BE1">
              <w:rPr>
                <w:rFonts w:ascii="Tw Cen MT" w:hAnsi="Tw Cen MT"/>
                <w:sz w:val="22"/>
                <w:szCs w:val="22"/>
                <w:lang w:val="en-CA"/>
              </w:rPr>
              <w:t xml:space="preserve">KIIs will be audiotaped and transcribed for analysis. Audio files will be destroyed once transcription is complete and respondent names will be redacted from transcripts. Although the individual’s identifying name will not be used in any reports, reports and datasets will contain the name of BHTCC or SE program. Although unlikely, it is possible that an individual may be identifiable when reporting results. Respondents are informed of possible identification in the consent language at the start of the activity. </w:t>
            </w:r>
          </w:p>
        </w:tc>
      </w:tr>
      <w:tr w:rsidR="001B3AAF" w:rsidRPr="00C46BE1" w14:paraId="12A285AA" w14:textId="77777777" w:rsidTr="006739CA">
        <w:trPr>
          <w:trHeight w:val="307"/>
        </w:trPr>
        <w:tc>
          <w:tcPr>
            <w:tcW w:w="1345" w:type="dxa"/>
          </w:tcPr>
          <w:p w14:paraId="60564CE6" w14:textId="163F26A4" w:rsidR="001B3AAF" w:rsidRPr="00C46BE1" w:rsidRDefault="00A21636" w:rsidP="006739CA">
            <w:pPr>
              <w:jc w:val="left"/>
              <w:rPr>
                <w:rFonts w:ascii="Tw Cen MT" w:hAnsi="Tw Cen MT"/>
                <w:sz w:val="22"/>
                <w:szCs w:val="22"/>
              </w:rPr>
            </w:pPr>
            <w:r w:rsidRPr="00C46BE1">
              <w:rPr>
                <w:rFonts w:ascii="Tw Cen MT" w:hAnsi="Tw Cen MT"/>
                <w:sz w:val="22"/>
                <w:szCs w:val="22"/>
              </w:rPr>
              <w:t>Concept Mapping</w:t>
            </w:r>
          </w:p>
        </w:tc>
        <w:tc>
          <w:tcPr>
            <w:tcW w:w="8190" w:type="dxa"/>
          </w:tcPr>
          <w:p w14:paraId="69D10465" w14:textId="6CEFFDA6" w:rsidR="001B3AAF" w:rsidRPr="00C46BE1" w:rsidRDefault="004F738F" w:rsidP="0008439E">
            <w:pPr>
              <w:rPr>
                <w:rFonts w:ascii="Tw Cen MT" w:eastAsia="Calibri" w:hAnsi="Tw Cen MT"/>
                <w:sz w:val="22"/>
                <w:szCs w:val="22"/>
              </w:rPr>
            </w:pPr>
            <w:r w:rsidRPr="00C46BE1">
              <w:rPr>
                <w:rFonts w:ascii="Tw Cen MT" w:eastAsia="Calibri" w:hAnsi="Tw Cen MT"/>
                <w:sz w:val="22"/>
                <w:szCs w:val="22"/>
              </w:rPr>
              <w:t>Local grantees will take primary responsibility for coordinating and conducting concept mapping. However, identifying</w:t>
            </w:r>
            <w:r w:rsidR="00A21636" w:rsidRPr="00C46BE1">
              <w:rPr>
                <w:rFonts w:ascii="Tw Cen MT" w:eastAsia="Calibri" w:hAnsi="Tw Cen MT"/>
                <w:sz w:val="22"/>
                <w:szCs w:val="22"/>
              </w:rPr>
              <w:t xml:space="preserve"> information for </w:t>
            </w:r>
            <w:r w:rsidR="00B26A10" w:rsidRPr="00C46BE1">
              <w:rPr>
                <w:rFonts w:ascii="Tw Cen MT" w:eastAsia="Calibri" w:hAnsi="Tw Cen MT"/>
                <w:sz w:val="22"/>
                <w:szCs w:val="22"/>
              </w:rPr>
              <w:t xml:space="preserve">some </w:t>
            </w:r>
            <w:r w:rsidR="00A21636" w:rsidRPr="00C46BE1">
              <w:rPr>
                <w:rFonts w:ascii="Tw Cen MT" w:eastAsia="Calibri" w:hAnsi="Tw Cen MT"/>
                <w:sz w:val="22"/>
                <w:szCs w:val="22"/>
              </w:rPr>
              <w:t xml:space="preserve">concept mapping participants </w:t>
            </w:r>
            <w:r w:rsidR="00B26A10" w:rsidRPr="00C46BE1">
              <w:rPr>
                <w:rFonts w:ascii="Tw Cen MT" w:eastAsia="Calibri" w:hAnsi="Tw Cen MT"/>
                <w:sz w:val="22"/>
                <w:szCs w:val="22"/>
              </w:rPr>
              <w:t xml:space="preserve">may </w:t>
            </w:r>
            <w:r w:rsidRPr="00C46BE1">
              <w:rPr>
                <w:rFonts w:ascii="Tw Cen MT" w:eastAsia="Calibri" w:hAnsi="Tw Cen MT"/>
                <w:sz w:val="22"/>
                <w:szCs w:val="22"/>
              </w:rPr>
              <w:t xml:space="preserve">be </w:t>
            </w:r>
            <w:r w:rsidR="00B26A10" w:rsidRPr="00C46BE1">
              <w:rPr>
                <w:rFonts w:ascii="Tw Cen MT" w:eastAsia="Calibri" w:hAnsi="Tw Cen MT"/>
                <w:sz w:val="22"/>
                <w:szCs w:val="22"/>
              </w:rPr>
              <w:t xml:space="preserve">necessary </w:t>
            </w:r>
            <w:r w:rsidRPr="00C46BE1">
              <w:rPr>
                <w:rFonts w:ascii="Tw Cen MT" w:eastAsia="Calibri" w:hAnsi="Tw Cen MT"/>
                <w:sz w:val="22"/>
                <w:szCs w:val="22"/>
              </w:rPr>
              <w:t xml:space="preserve">for </w:t>
            </w:r>
            <w:r w:rsidR="000E049A" w:rsidRPr="00C46BE1">
              <w:rPr>
                <w:rFonts w:ascii="Tw Cen MT" w:eastAsia="Calibri" w:hAnsi="Tw Cen MT"/>
                <w:sz w:val="22"/>
                <w:szCs w:val="22"/>
              </w:rPr>
              <w:t>the c</w:t>
            </w:r>
            <w:r w:rsidR="00E83649" w:rsidRPr="00C46BE1">
              <w:rPr>
                <w:rFonts w:ascii="Tw Cen MT" w:eastAsia="Calibri" w:hAnsi="Tw Cen MT"/>
                <w:sz w:val="22"/>
                <w:szCs w:val="22"/>
              </w:rPr>
              <w:t>ontractor</w:t>
            </w:r>
            <w:r w:rsidRPr="00C46BE1">
              <w:rPr>
                <w:rFonts w:ascii="Tw Cen MT" w:eastAsia="Calibri" w:hAnsi="Tw Cen MT"/>
                <w:sz w:val="22"/>
                <w:szCs w:val="22"/>
              </w:rPr>
              <w:t xml:space="preserve"> </w:t>
            </w:r>
            <w:r w:rsidR="00B26A10" w:rsidRPr="00C46BE1">
              <w:rPr>
                <w:rFonts w:ascii="Tw Cen MT" w:eastAsia="Calibri" w:hAnsi="Tw Cen MT"/>
                <w:sz w:val="22"/>
                <w:szCs w:val="22"/>
              </w:rPr>
              <w:t>t</w:t>
            </w:r>
            <w:r w:rsidR="00A21636" w:rsidRPr="00C46BE1">
              <w:rPr>
                <w:rFonts w:ascii="Tw Cen MT" w:eastAsia="Calibri" w:hAnsi="Tw Cen MT"/>
                <w:sz w:val="22"/>
                <w:szCs w:val="22"/>
              </w:rPr>
              <w:t>o facilitate participation</w:t>
            </w:r>
            <w:r w:rsidR="00B26A10" w:rsidRPr="00C46BE1">
              <w:rPr>
                <w:rFonts w:ascii="Tw Cen MT" w:eastAsia="Calibri" w:hAnsi="Tw Cen MT"/>
                <w:sz w:val="22"/>
                <w:szCs w:val="22"/>
              </w:rPr>
              <w:t xml:space="preserve">, depending on the recruitment </w:t>
            </w:r>
            <w:r w:rsidRPr="00C46BE1">
              <w:rPr>
                <w:rFonts w:ascii="Tw Cen MT" w:eastAsia="Calibri" w:hAnsi="Tw Cen MT"/>
                <w:sz w:val="22"/>
                <w:szCs w:val="22"/>
              </w:rPr>
              <w:t xml:space="preserve">and implementation </w:t>
            </w:r>
            <w:r w:rsidR="00B26A10" w:rsidRPr="00C46BE1">
              <w:rPr>
                <w:rFonts w:ascii="Tw Cen MT" w:eastAsia="Calibri" w:hAnsi="Tw Cen MT"/>
                <w:sz w:val="22"/>
                <w:szCs w:val="22"/>
              </w:rPr>
              <w:t>method</w:t>
            </w:r>
            <w:r w:rsidRPr="00C46BE1">
              <w:rPr>
                <w:rFonts w:ascii="Tw Cen MT" w:eastAsia="Calibri" w:hAnsi="Tw Cen MT"/>
                <w:sz w:val="22"/>
                <w:szCs w:val="22"/>
              </w:rPr>
              <w:t>s</w:t>
            </w:r>
            <w:r w:rsidR="00B26A10" w:rsidRPr="00C46BE1">
              <w:rPr>
                <w:rFonts w:ascii="Tw Cen MT" w:eastAsia="Calibri" w:hAnsi="Tw Cen MT"/>
                <w:sz w:val="22"/>
                <w:szCs w:val="22"/>
              </w:rPr>
              <w:t xml:space="preserve"> used</w:t>
            </w:r>
            <w:r w:rsidR="00A21636" w:rsidRPr="00C46BE1">
              <w:rPr>
                <w:rFonts w:ascii="Tw Cen MT" w:eastAsia="Calibri" w:hAnsi="Tw Cen MT"/>
                <w:sz w:val="22"/>
                <w:szCs w:val="22"/>
              </w:rPr>
              <w:t xml:space="preserve">. </w:t>
            </w:r>
            <w:r w:rsidR="00A21636" w:rsidRPr="00C46BE1">
              <w:rPr>
                <w:rFonts w:ascii="Tw Cen MT" w:hAnsi="Tw Cen MT"/>
                <w:sz w:val="22"/>
                <w:szCs w:val="22"/>
              </w:rPr>
              <w:t>Contact information will be limited to name,</w:t>
            </w:r>
            <w:r w:rsidR="0008439E" w:rsidRPr="00C46BE1">
              <w:rPr>
                <w:rFonts w:ascii="Tw Cen MT" w:hAnsi="Tw Cen MT"/>
                <w:sz w:val="22"/>
                <w:szCs w:val="22"/>
              </w:rPr>
              <w:t xml:space="preserve"> email address</w:t>
            </w:r>
            <w:r w:rsidR="00A21636" w:rsidRPr="00C46BE1">
              <w:rPr>
                <w:rFonts w:ascii="Tw Cen MT" w:hAnsi="Tw Cen MT"/>
                <w:sz w:val="22"/>
                <w:szCs w:val="22"/>
              </w:rPr>
              <w:t>, and</w:t>
            </w:r>
            <w:r w:rsidR="0008439E" w:rsidRPr="00C46BE1">
              <w:rPr>
                <w:rFonts w:ascii="Tw Cen MT" w:hAnsi="Tw Cen MT"/>
                <w:sz w:val="22"/>
                <w:szCs w:val="22"/>
              </w:rPr>
              <w:t>/or telephone number</w:t>
            </w:r>
            <w:r w:rsidR="00A21636" w:rsidRPr="00C46BE1">
              <w:rPr>
                <w:rFonts w:ascii="Tw Cen MT" w:hAnsi="Tw Cen MT"/>
                <w:sz w:val="22"/>
                <w:szCs w:val="22"/>
              </w:rPr>
              <w:t xml:space="preserve"> and will be </w:t>
            </w:r>
            <w:r w:rsidR="00A21636" w:rsidRPr="00C46BE1">
              <w:rPr>
                <w:rFonts w:ascii="Tw Cen MT" w:hAnsi="Tw Cen MT"/>
                <w:sz w:val="22"/>
                <w:szCs w:val="22"/>
                <w:lang w:val="en-CA"/>
              </w:rPr>
              <w:t xml:space="preserve">entered into and maintained in a password-protected database. </w:t>
            </w:r>
          </w:p>
        </w:tc>
      </w:tr>
    </w:tbl>
    <w:p w14:paraId="502659C1" w14:textId="37C45FC2" w:rsidR="007D1703" w:rsidRPr="00C46BE1" w:rsidRDefault="007D1703" w:rsidP="00090868">
      <w:pPr>
        <w:pStyle w:val="SuicideBodyText"/>
        <w:keepNext/>
        <w:numPr>
          <w:ilvl w:val="0"/>
          <w:numId w:val="8"/>
        </w:numPr>
        <w:spacing w:before="360" w:after="120"/>
        <w:rPr>
          <w:rFonts w:ascii="Tw Cen MT" w:hAnsi="Tw Cen MT" w:cs="Arial"/>
          <w:b/>
          <w:sz w:val="28"/>
          <w:szCs w:val="28"/>
        </w:rPr>
      </w:pPr>
      <w:r w:rsidRPr="00C46BE1">
        <w:rPr>
          <w:rFonts w:ascii="Tw Cen MT" w:hAnsi="Tw Cen MT" w:cs="Arial"/>
          <w:b/>
          <w:sz w:val="28"/>
          <w:szCs w:val="28"/>
          <w:lang w:val="en-CA"/>
        </w:rPr>
        <w:t>Questions of a Sensitive Nature</w:t>
      </w:r>
    </w:p>
    <w:p w14:paraId="7917978F" w14:textId="3304C619" w:rsidR="00401A3E" w:rsidRPr="00C46BE1" w:rsidRDefault="00401A3E" w:rsidP="00401A3E">
      <w:pPr>
        <w:spacing w:after="240"/>
      </w:pPr>
      <w:r w:rsidRPr="00C46BE1">
        <w:t xml:space="preserve">Respondents will not be asked any questions of a personally sensitive nature. The subject matter of the BPIs, </w:t>
      </w:r>
      <w:r w:rsidR="008C0CB4" w:rsidRPr="00C46BE1">
        <w:t xml:space="preserve">SLA </w:t>
      </w:r>
      <w:r w:rsidRPr="00C46BE1">
        <w:t>KIIs, Concept Mapping,</w:t>
      </w:r>
      <w:r w:rsidR="008C0CB4" w:rsidRPr="00C46BE1">
        <w:t xml:space="preserve"> SSA KIIs,</w:t>
      </w:r>
      <w:r w:rsidRPr="00C46BE1">
        <w:t xml:space="preserve"> and ENFGs will be limited to the perceptions of planning and implementation activities among key stakeholders of the grants.</w:t>
      </w:r>
    </w:p>
    <w:p w14:paraId="563E6145" w14:textId="3CE2841F" w:rsidR="007D1703" w:rsidRPr="00C46BE1" w:rsidRDefault="007D1703" w:rsidP="00090868">
      <w:pPr>
        <w:pStyle w:val="SuicideBodyText"/>
        <w:keepNext/>
        <w:numPr>
          <w:ilvl w:val="0"/>
          <w:numId w:val="8"/>
        </w:numPr>
        <w:spacing w:before="360" w:after="120"/>
        <w:rPr>
          <w:rFonts w:ascii="Tw Cen MT" w:hAnsi="Tw Cen MT" w:cs="Arial"/>
          <w:b/>
          <w:sz w:val="28"/>
          <w:szCs w:val="28"/>
        </w:rPr>
      </w:pPr>
      <w:r w:rsidRPr="00C46BE1">
        <w:rPr>
          <w:rFonts w:ascii="Tw Cen MT" w:hAnsi="Tw Cen MT" w:cs="Arial"/>
          <w:b/>
          <w:sz w:val="28"/>
          <w:szCs w:val="28"/>
        </w:rPr>
        <w:t>Estimates of Annualized Burden Hours and Costs</w:t>
      </w:r>
    </w:p>
    <w:p w14:paraId="07B21012" w14:textId="072CFD3C" w:rsidR="003E7B58" w:rsidRPr="00C46BE1" w:rsidRDefault="00701A61" w:rsidP="003B635A">
      <w:pPr>
        <w:pStyle w:val="SuicideBodyText"/>
        <w:spacing w:after="240"/>
      </w:pPr>
      <w:r w:rsidRPr="00C46BE1">
        <w:t>Clearance is being requested for 3 ye</w:t>
      </w:r>
      <w:r w:rsidR="00D23D1F" w:rsidRPr="00C46BE1">
        <w:t xml:space="preserve">ars of data collection for the </w:t>
      </w:r>
      <w:r w:rsidR="001D4E0A" w:rsidRPr="00C46BE1">
        <w:t>Community Support</w:t>
      </w:r>
      <w:r w:rsidR="00D23D1F" w:rsidRPr="00C46BE1">
        <w:t xml:space="preserve"> Evaluation</w:t>
      </w:r>
      <w:r w:rsidR="001D4E0A" w:rsidRPr="00C46BE1">
        <w:t xml:space="preserve"> for 17 BHTCC and 7 SE Program grantees (24 grantees total). </w:t>
      </w:r>
      <w:r w:rsidRPr="00C46BE1">
        <w:t xml:space="preserve">Exhibit </w:t>
      </w:r>
      <w:r w:rsidR="001B3AAF" w:rsidRPr="00C46BE1">
        <w:t>10</w:t>
      </w:r>
      <w:r w:rsidRPr="00C46BE1">
        <w:t xml:space="preserve"> describes the burden and costs associated with </w:t>
      </w:r>
      <w:r w:rsidR="001D4E0A" w:rsidRPr="00C46BE1">
        <w:t>CSE</w:t>
      </w:r>
      <w:r w:rsidR="00244BF0" w:rsidRPr="00C46BE1">
        <w:t xml:space="preserve"> data collection activities and Exhibit 11 describes burden by respondent type.</w:t>
      </w:r>
      <w:r w:rsidRPr="00C46BE1">
        <w:t xml:space="preserve"> The cost was calculated based on the hourly wage rates for appropriate wage rate categories using data collected as part of the National Compensation Survey (BLS, 201</w:t>
      </w:r>
      <w:r w:rsidR="00332004" w:rsidRPr="00C46BE1">
        <w:t>4</w:t>
      </w:r>
      <w:r w:rsidRPr="00C46BE1">
        <w:t>) and from the U</w:t>
      </w:r>
      <w:r w:rsidR="00332004" w:rsidRPr="00C46BE1">
        <w:t xml:space="preserve">.S. </w:t>
      </w:r>
      <w:r w:rsidRPr="00C46BE1">
        <w:t>Department of Labor Federal Minimum Wage Standards.</w:t>
      </w:r>
      <w:r w:rsidR="003E7B58" w:rsidRPr="00C46BE1">
        <w:t xml:space="preserve"> </w:t>
      </w:r>
    </w:p>
    <w:p w14:paraId="4025AC3D" w14:textId="77777777" w:rsidR="008F7BC1" w:rsidRPr="00C46BE1" w:rsidRDefault="00775322" w:rsidP="008F7BC1">
      <w:pPr>
        <w:pStyle w:val="SuicideBodyText"/>
        <w:keepNext/>
        <w:jc w:val="center"/>
        <w:rPr>
          <w:rFonts w:ascii="Tw Cen MT" w:hAnsi="Tw Cen MT"/>
          <w:b/>
        </w:rPr>
      </w:pPr>
      <w:r w:rsidRPr="00C46BE1">
        <w:rPr>
          <w:rFonts w:ascii="Tw Cen MT" w:hAnsi="Tw Cen MT"/>
          <w:b/>
        </w:rPr>
        <w:t xml:space="preserve">Exhibit 10. Estimated Annualized Burden Hours and Costs </w:t>
      </w:r>
    </w:p>
    <w:p w14:paraId="69755414" w14:textId="004D7655" w:rsidR="00775322" w:rsidRPr="00C46BE1" w:rsidRDefault="00775322" w:rsidP="003B635A">
      <w:pPr>
        <w:pStyle w:val="SuicideBodyText"/>
        <w:keepNext/>
        <w:spacing w:after="240"/>
        <w:jc w:val="center"/>
        <w:rPr>
          <w:rFonts w:ascii="Tw Cen MT" w:hAnsi="Tw Cen MT"/>
          <w:b/>
        </w:rPr>
      </w:pPr>
      <w:r w:rsidRPr="00C46BE1">
        <w:rPr>
          <w:rFonts w:ascii="Tw Cen MT" w:hAnsi="Tw Cen MT"/>
          <w:b/>
        </w:rPr>
        <w:t>(Across the 3-Year Clearance Period)</w:t>
      </w:r>
    </w:p>
    <w:tbl>
      <w:tblPr>
        <w:tblStyle w:val="TableGrid"/>
        <w:tblW w:w="10170" w:type="dxa"/>
        <w:tblInd w:w="-5" w:type="dxa"/>
        <w:tblLayout w:type="fixed"/>
        <w:tblLook w:val="04A0" w:firstRow="1" w:lastRow="0" w:firstColumn="1" w:lastColumn="0" w:noHBand="0" w:noVBand="1"/>
      </w:tblPr>
      <w:tblGrid>
        <w:gridCol w:w="1710"/>
        <w:gridCol w:w="1980"/>
        <w:gridCol w:w="1170"/>
        <w:gridCol w:w="1080"/>
        <w:gridCol w:w="990"/>
        <w:gridCol w:w="900"/>
        <w:gridCol w:w="810"/>
        <w:gridCol w:w="720"/>
        <w:gridCol w:w="810"/>
      </w:tblGrid>
      <w:tr w:rsidR="00C43735" w:rsidRPr="00C46BE1" w14:paraId="19DE59CE" w14:textId="77777777" w:rsidTr="003B635A">
        <w:trPr>
          <w:trHeight w:val="746"/>
          <w:tblHeader/>
        </w:trPr>
        <w:tc>
          <w:tcPr>
            <w:tcW w:w="1710" w:type="dxa"/>
            <w:shd w:val="clear" w:color="auto" w:fill="323E4F" w:themeFill="text2" w:themeFillShade="BF"/>
            <w:tcMar>
              <w:left w:w="58" w:type="dxa"/>
              <w:right w:w="58" w:type="dxa"/>
            </w:tcMar>
            <w:vAlign w:val="center"/>
          </w:tcPr>
          <w:p w14:paraId="55276712" w14:textId="77777777" w:rsidR="00775322" w:rsidRPr="00C46BE1" w:rsidRDefault="00775322" w:rsidP="00775322">
            <w:pPr>
              <w:pStyle w:val="SuicideTableHeading1"/>
              <w:rPr>
                <w:rFonts w:ascii="Tw Cen MT" w:hAnsi="Tw Cen MT"/>
                <w:b w:val="0"/>
                <w:color w:val="FFFFFF" w:themeColor="background1"/>
                <w:spacing w:val="-4"/>
                <w:sz w:val="21"/>
                <w:szCs w:val="21"/>
              </w:rPr>
            </w:pPr>
            <w:r w:rsidRPr="00C46BE1">
              <w:rPr>
                <w:rFonts w:ascii="Tw Cen MT" w:hAnsi="Tw Cen MT"/>
                <w:b w:val="0"/>
                <w:color w:val="FFFFFF" w:themeColor="background1"/>
                <w:spacing w:val="-4"/>
                <w:sz w:val="21"/>
                <w:szCs w:val="21"/>
              </w:rPr>
              <w:t>Type of Respondent</w:t>
            </w:r>
          </w:p>
        </w:tc>
        <w:tc>
          <w:tcPr>
            <w:tcW w:w="1980" w:type="dxa"/>
            <w:shd w:val="clear" w:color="auto" w:fill="323E4F" w:themeFill="text2" w:themeFillShade="BF"/>
            <w:tcMar>
              <w:left w:w="58" w:type="dxa"/>
              <w:right w:w="58" w:type="dxa"/>
            </w:tcMar>
            <w:vAlign w:val="center"/>
          </w:tcPr>
          <w:p w14:paraId="63A9F547" w14:textId="77777777" w:rsidR="00775322" w:rsidRPr="00C46BE1" w:rsidRDefault="00775322" w:rsidP="00775322">
            <w:pPr>
              <w:pStyle w:val="SuicideTableHeading1"/>
              <w:rPr>
                <w:rFonts w:ascii="Tw Cen MT" w:hAnsi="Tw Cen MT"/>
                <w:b w:val="0"/>
                <w:color w:val="FFFFFF" w:themeColor="background1"/>
                <w:spacing w:val="-4"/>
                <w:sz w:val="21"/>
                <w:szCs w:val="21"/>
              </w:rPr>
            </w:pPr>
            <w:r w:rsidRPr="00C46BE1">
              <w:rPr>
                <w:rFonts w:ascii="Tw Cen MT" w:hAnsi="Tw Cen MT"/>
                <w:b w:val="0"/>
                <w:color w:val="FFFFFF" w:themeColor="background1"/>
                <w:spacing w:val="-4"/>
                <w:sz w:val="21"/>
                <w:szCs w:val="21"/>
              </w:rPr>
              <w:t>Instrument</w:t>
            </w:r>
          </w:p>
        </w:tc>
        <w:tc>
          <w:tcPr>
            <w:tcW w:w="1170" w:type="dxa"/>
            <w:shd w:val="clear" w:color="auto" w:fill="323E4F" w:themeFill="text2" w:themeFillShade="BF"/>
            <w:tcMar>
              <w:left w:w="58" w:type="dxa"/>
              <w:right w:w="58" w:type="dxa"/>
            </w:tcMar>
            <w:vAlign w:val="center"/>
          </w:tcPr>
          <w:p w14:paraId="0A339989" w14:textId="77777777" w:rsidR="00775322" w:rsidRPr="00C46BE1" w:rsidRDefault="00775322" w:rsidP="00775322">
            <w:pPr>
              <w:pStyle w:val="SuicideTableHeading1"/>
              <w:rPr>
                <w:rFonts w:ascii="Tw Cen MT" w:hAnsi="Tw Cen MT"/>
                <w:b w:val="0"/>
                <w:color w:val="FFFFFF" w:themeColor="background1"/>
                <w:spacing w:val="-4"/>
                <w:sz w:val="21"/>
                <w:szCs w:val="21"/>
              </w:rPr>
            </w:pPr>
            <w:r w:rsidRPr="00C46BE1">
              <w:rPr>
                <w:rFonts w:ascii="Tw Cen MT" w:hAnsi="Tw Cen MT"/>
                <w:b w:val="0"/>
                <w:color w:val="FFFFFF" w:themeColor="background1"/>
                <w:spacing w:val="-4"/>
                <w:sz w:val="21"/>
                <w:szCs w:val="21"/>
              </w:rPr>
              <w:t>Number of Respondents</w:t>
            </w:r>
          </w:p>
        </w:tc>
        <w:tc>
          <w:tcPr>
            <w:tcW w:w="1080" w:type="dxa"/>
            <w:shd w:val="clear" w:color="auto" w:fill="323E4F" w:themeFill="text2" w:themeFillShade="BF"/>
            <w:tcMar>
              <w:left w:w="58" w:type="dxa"/>
              <w:right w:w="58" w:type="dxa"/>
            </w:tcMar>
            <w:vAlign w:val="center"/>
          </w:tcPr>
          <w:p w14:paraId="7895D018" w14:textId="77777777" w:rsidR="00775322" w:rsidRPr="00C46BE1" w:rsidRDefault="00775322" w:rsidP="00775322">
            <w:pPr>
              <w:pStyle w:val="SuicideTableHeading1"/>
              <w:rPr>
                <w:rFonts w:ascii="Tw Cen MT" w:hAnsi="Tw Cen MT"/>
                <w:b w:val="0"/>
                <w:color w:val="FFFFFF" w:themeColor="background1"/>
                <w:spacing w:val="-4"/>
                <w:sz w:val="21"/>
                <w:szCs w:val="21"/>
              </w:rPr>
            </w:pPr>
            <w:r w:rsidRPr="00C46BE1">
              <w:rPr>
                <w:rFonts w:ascii="Tw Cen MT" w:hAnsi="Tw Cen MT"/>
                <w:b w:val="0"/>
                <w:color w:val="FFFFFF" w:themeColor="background1"/>
                <w:spacing w:val="-4"/>
                <w:sz w:val="21"/>
                <w:szCs w:val="21"/>
              </w:rPr>
              <w:t>Responses per Respondent</w:t>
            </w:r>
          </w:p>
        </w:tc>
        <w:tc>
          <w:tcPr>
            <w:tcW w:w="990" w:type="dxa"/>
            <w:shd w:val="clear" w:color="auto" w:fill="323E4F" w:themeFill="text2" w:themeFillShade="BF"/>
            <w:tcMar>
              <w:left w:w="58" w:type="dxa"/>
              <w:right w:w="58" w:type="dxa"/>
            </w:tcMar>
            <w:vAlign w:val="center"/>
          </w:tcPr>
          <w:p w14:paraId="265D12D2" w14:textId="77777777" w:rsidR="00775322" w:rsidRPr="00C46BE1" w:rsidRDefault="00775322" w:rsidP="00775322">
            <w:pPr>
              <w:pStyle w:val="SuicideTableHeading1"/>
              <w:rPr>
                <w:rFonts w:ascii="Tw Cen MT" w:hAnsi="Tw Cen MT"/>
                <w:b w:val="0"/>
                <w:color w:val="FFFFFF" w:themeColor="background1"/>
                <w:spacing w:val="-4"/>
                <w:sz w:val="21"/>
                <w:szCs w:val="21"/>
              </w:rPr>
            </w:pPr>
            <w:r w:rsidRPr="00C46BE1">
              <w:rPr>
                <w:rFonts w:ascii="Tw Cen MT" w:hAnsi="Tw Cen MT"/>
                <w:b w:val="0"/>
                <w:color w:val="FFFFFF" w:themeColor="background1"/>
                <w:spacing w:val="-4"/>
                <w:sz w:val="21"/>
                <w:szCs w:val="21"/>
              </w:rPr>
              <w:t>Total Number of Responses</w:t>
            </w:r>
          </w:p>
        </w:tc>
        <w:tc>
          <w:tcPr>
            <w:tcW w:w="900" w:type="dxa"/>
            <w:shd w:val="clear" w:color="auto" w:fill="323E4F" w:themeFill="text2" w:themeFillShade="BF"/>
            <w:tcMar>
              <w:left w:w="58" w:type="dxa"/>
              <w:right w:w="58" w:type="dxa"/>
            </w:tcMar>
            <w:vAlign w:val="center"/>
          </w:tcPr>
          <w:p w14:paraId="5BA7BD8E" w14:textId="77777777" w:rsidR="00775322" w:rsidRPr="00C46BE1" w:rsidRDefault="00775322" w:rsidP="00775322">
            <w:pPr>
              <w:pStyle w:val="SuicideTableHeading1"/>
              <w:rPr>
                <w:rFonts w:ascii="Tw Cen MT" w:hAnsi="Tw Cen MT"/>
                <w:b w:val="0"/>
                <w:color w:val="FFFFFF" w:themeColor="background1"/>
                <w:spacing w:val="-4"/>
                <w:sz w:val="21"/>
                <w:szCs w:val="21"/>
              </w:rPr>
            </w:pPr>
            <w:r w:rsidRPr="00C46BE1">
              <w:rPr>
                <w:rFonts w:ascii="Tw Cen MT" w:hAnsi="Tw Cen MT"/>
                <w:b w:val="0"/>
                <w:color w:val="FFFFFF" w:themeColor="background1"/>
                <w:spacing w:val="-4"/>
                <w:sz w:val="21"/>
                <w:szCs w:val="21"/>
              </w:rPr>
              <w:t>Burden per Response (hours)</w:t>
            </w:r>
          </w:p>
        </w:tc>
        <w:tc>
          <w:tcPr>
            <w:tcW w:w="810" w:type="dxa"/>
            <w:shd w:val="clear" w:color="auto" w:fill="323E4F" w:themeFill="text2" w:themeFillShade="BF"/>
            <w:tcMar>
              <w:left w:w="58" w:type="dxa"/>
              <w:right w:w="58" w:type="dxa"/>
            </w:tcMar>
            <w:vAlign w:val="center"/>
          </w:tcPr>
          <w:p w14:paraId="4D1FE46D" w14:textId="77777777" w:rsidR="00775322" w:rsidRPr="00C46BE1" w:rsidRDefault="00775322" w:rsidP="00775322">
            <w:pPr>
              <w:pStyle w:val="SuicideTableHeading1"/>
              <w:rPr>
                <w:rFonts w:ascii="Tw Cen MT" w:hAnsi="Tw Cen MT"/>
                <w:b w:val="0"/>
                <w:color w:val="FFFFFF" w:themeColor="background1"/>
                <w:spacing w:val="-4"/>
                <w:sz w:val="21"/>
                <w:szCs w:val="21"/>
              </w:rPr>
            </w:pPr>
            <w:r w:rsidRPr="00C46BE1">
              <w:rPr>
                <w:rFonts w:ascii="Tw Cen MT" w:hAnsi="Tw Cen MT"/>
                <w:b w:val="0"/>
                <w:color w:val="FFFFFF" w:themeColor="background1"/>
                <w:spacing w:val="-4"/>
                <w:sz w:val="21"/>
                <w:szCs w:val="21"/>
              </w:rPr>
              <w:t>Annual Burden (hours)</w:t>
            </w:r>
          </w:p>
        </w:tc>
        <w:tc>
          <w:tcPr>
            <w:tcW w:w="720" w:type="dxa"/>
            <w:shd w:val="clear" w:color="auto" w:fill="323E4F" w:themeFill="text2" w:themeFillShade="BF"/>
            <w:tcMar>
              <w:left w:w="58" w:type="dxa"/>
              <w:right w:w="58" w:type="dxa"/>
            </w:tcMar>
            <w:vAlign w:val="center"/>
          </w:tcPr>
          <w:p w14:paraId="5B8AFC64" w14:textId="77777777" w:rsidR="00775322" w:rsidRPr="00C46BE1" w:rsidRDefault="00775322" w:rsidP="00775322">
            <w:pPr>
              <w:pStyle w:val="SuicideTableHeading1"/>
              <w:rPr>
                <w:rFonts w:ascii="Tw Cen MT" w:hAnsi="Tw Cen MT"/>
                <w:b w:val="0"/>
                <w:color w:val="FFFFFF" w:themeColor="background1"/>
                <w:spacing w:val="-4"/>
                <w:sz w:val="21"/>
                <w:szCs w:val="21"/>
              </w:rPr>
            </w:pPr>
            <w:r w:rsidRPr="00C46BE1">
              <w:rPr>
                <w:rFonts w:ascii="Tw Cen MT" w:hAnsi="Tw Cen MT"/>
                <w:b w:val="0"/>
                <w:color w:val="FFFFFF" w:themeColor="background1"/>
                <w:spacing w:val="-4"/>
                <w:sz w:val="21"/>
                <w:szCs w:val="21"/>
              </w:rPr>
              <w:t>Hourly</w:t>
            </w:r>
          </w:p>
          <w:p w14:paraId="7E017D83" w14:textId="77777777" w:rsidR="00775322" w:rsidRPr="00C46BE1" w:rsidRDefault="00775322" w:rsidP="00775322">
            <w:pPr>
              <w:pStyle w:val="SuicideTableHeading1"/>
              <w:rPr>
                <w:rFonts w:ascii="Tw Cen MT" w:hAnsi="Tw Cen MT"/>
                <w:b w:val="0"/>
                <w:color w:val="FFFFFF" w:themeColor="background1"/>
                <w:spacing w:val="-4"/>
                <w:sz w:val="21"/>
                <w:szCs w:val="21"/>
              </w:rPr>
            </w:pPr>
            <w:r w:rsidRPr="00C46BE1">
              <w:rPr>
                <w:rFonts w:ascii="Tw Cen MT" w:hAnsi="Tw Cen MT"/>
                <w:b w:val="0"/>
                <w:color w:val="FFFFFF" w:themeColor="background1"/>
                <w:spacing w:val="-4"/>
                <w:sz w:val="21"/>
                <w:szCs w:val="21"/>
              </w:rPr>
              <w:t>Wage Rate ($)</w:t>
            </w:r>
          </w:p>
        </w:tc>
        <w:tc>
          <w:tcPr>
            <w:tcW w:w="810" w:type="dxa"/>
            <w:shd w:val="clear" w:color="auto" w:fill="323E4F" w:themeFill="text2" w:themeFillShade="BF"/>
            <w:tcMar>
              <w:left w:w="58" w:type="dxa"/>
              <w:right w:w="58" w:type="dxa"/>
            </w:tcMar>
            <w:vAlign w:val="center"/>
          </w:tcPr>
          <w:p w14:paraId="1A390E17" w14:textId="77777777" w:rsidR="00775322" w:rsidRPr="00C46BE1" w:rsidRDefault="00775322" w:rsidP="00775322">
            <w:pPr>
              <w:pStyle w:val="SuicideTableHeading1"/>
              <w:rPr>
                <w:rFonts w:ascii="Tw Cen MT" w:hAnsi="Tw Cen MT"/>
                <w:b w:val="0"/>
                <w:color w:val="FFFFFF" w:themeColor="background1"/>
                <w:spacing w:val="-4"/>
                <w:sz w:val="21"/>
                <w:szCs w:val="21"/>
              </w:rPr>
            </w:pPr>
            <w:r w:rsidRPr="00C46BE1">
              <w:rPr>
                <w:rFonts w:ascii="Tw Cen MT" w:hAnsi="Tw Cen MT"/>
                <w:b w:val="0"/>
                <w:color w:val="FFFFFF" w:themeColor="background1"/>
                <w:spacing w:val="-4"/>
                <w:sz w:val="21"/>
                <w:szCs w:val="21"/>
              </w:rPr>
              <w:t>Total Cost ($)</w:t>
            </w:r>
          </w:p>
        </w:tc>
      </w:tr>
      <w:tr w:rsidR="00775322" w:rsidRPr="00C46BE1" w14:paraId="526E3C60" w14:textId="77777777" w:rsidTr="003B635A">
        <w:trPr>
          <w:trHeight w:val="287"/>
        </w:trPr>
        <w:tc>
          <w:tcPr>
            <w:tcW w:w="10170" w:type="dxa"/>
            <w:gridSpan w:val="9"/>
            <w:shd w:val="clear" w:color="auto" w:fill="D5DCE4" w:themeFill="text2" w:themeFillTint="33"/>
            <w:tcMar>
              <w:left w:w="58" w:type="dxa"/>
              <w:right w:w="58" w:type="dxa"/>
            </w:tcMar>
            <w:vAlign w:val="center"/>
          </w:tcPr>
          <w:p w14:paraId="0227F853" w14:textId="77777777" w:rsidR="00775322" w:rsidRPr="00C46BE1" w:rsidRDefault="00775322" w:rsidP="00775322">
            <w:pPr>
              <w:pStyle w:val="SuicideTableHeading1"/>
              <w:rPr>
                <w:rFonts w:ascii="Tw Cen MT" w:hAnsi="Tw Cen MT"/>
                <w:b w:val="0"/>
                <w:caps/>
                <w:color w:val="auto"/>
                <w:spacing w:val="-4"/>
                <w:sz w:val="21"/>
                <w:szCs w:val="21"/>
              </w:rPr>
            </w:pPr>
            <w:r w:rsidRPr="00C46BE1">
              <w:rPr>
                <w:rFonts w:ascii="Tw Cen MT" w:hAnsi="Tw Cen MT"/>
                <w:b w:val="0"/>
                <w:bCs/>
                <w:caps/>
                <w:color w:val="auto"/>
                <w:sz w:val="21"/>
                <w:szCs w:val="21"/>
              </w:rPr>
              <w:t xml:space="preserve">BHTCC </w:t>
            </w:r>
            <w:r w:rsidRPr="00C46BE1">
              <w:rPr>
                <w:rFonts w:ascii="Tw Cen MT" w:hAnsi="Tw Cen MT"/>
                <w:b w:val="0"/>
                <w:bCs/>
                <w:color w:val="auto"/>
                <w:sz w:val="21"/>
                <w:szCs w:val="21"/>
              </w:rPr>
              <w:t>Study</w:t>
            </w:r>
          </w:p>
        </w:tc>
      </w:tr>
      <w:tr w:rsidR="00C43735" w:rsidRPr="00C46BE1" w14:paraId="0C74A0DF" w14:textId="77777777" w:rsidTr="003B635A">
        <w:trPr>
          <w:trHeight w:val="314"/>
        </w:trPr>
        <w:tc>
          <w:tcPr>
            <w:tcW w:w="1710" w:type="dxa"/>
            <w:shd w:val="clear" w:color="auto" w:fill="auto"/>
            <w:tcMar>
              <w:left w:w="72" w:type="dxa"/>
              <w:right w:w="72" w:type="dxa"/>
            </w:tcMar>
            <w:vAlign w:val="center"/>
          </w:tcPr>
          <w:p w14:paraId="6A0F1FDE" w14:textId="3AC2A11A" w:rsidR="00775322" w:rsidRPr="00C46BE1" w:rsidRDefault="00775322" w:rsidP="00775322">
            <w:pPr>
              <w:jc w:val="left"/>
              <w:rPr>
                <w:rFonts w:ascii="Tw Cen MT" w:hAnsi="Tw Cen MT"/>
                <w:color w:val="000000"/>
                <w:sz w:val="21"/>
                <w:szCs w:val="21"/>
              </w:rPr>
            </w:pPr>
            <w:r w:rsidRPr="00C46BE1">
              <w:rPr>
                <w:rFonts w:ascii="Tw Cen MT" w:hAnsi="Tw Cen MT"/>
                <w:color w:val="000000"/>
                <w:sz w:val="21"/>
                <w:szCs w:val="21"/>
              </w:rPr>
              <w:t>Project Evaluators</w:t>
            </w:r>
          </w:p>
        </w:tc>
        <w:tc>
          <w:tcPr>
            <w:tcW w:w="1980" w:type="dxa"/>
            <w:tcMar>
              <w:left w:w="72" w:type="dxa"/>
              <w:right w:w="72" w:type="dxa"/>
            </w:tcMar>
            <w:vAlign w:val="center"/>
          </w:tcPr>
          <w:p w14:paraId="61467531" w14:textId="5D7B7F7B" w:rsidR="00775322" w:rsidRPr="00C46BE1" w:rsidRDefault="00B26A10" w:rsidP="00646C54">
            <w:pPr>
              <w:jc w:val="left"/>
              <w:rPr>
                <w:rFonts w:ascii="Tw Cen MT" w:hAnsi="Tw Cen MT"/>
                <w:color w:val="000000"/>
                <w:sz w:val="21"/>
                <w:szCs w:val="21"/>
              </w:rPr>
            </w:pPr>
            <w:r w:rsidRPr="00C46BE1">
              <w:rPr>
                <w:rFonts w:ascii="Tw Cen MT" w:hAnsi="Tw Cen MT"/>
                <w:color w:val="000000"/>
                <w:sz w:val="21"/>
                <w:szCs w:val="21"/>
              </w:rPr>
              <w:t>Biannual Program Inventory</w:t>
            </w:r>
            <w:r w:rsidR="00646C54" w:rsidRPr="00C46BE1">
              <w:rPr>
                <w:rFonts w:ascii="Tw Cen MT" w:hAnsi="Tw Cen MT"/>
                <w:color w:val="000000"/>
                <w:sz w:val="21"/>
                <w:szCs w:val="21"/>
              </w:rPr>
              <w:t xml:space="preserve"> </w:t>
            </w:r>
            <w:r w:rsidRPr="00C46BE1">
              <w:rPr>
                <w:rFonts w:ascii="Tw Cen MT" w:hAnsi="Tw Cen MT"/>
                <w:color w:val="000000"/>
                <w:sz w:val="21"/>
                <w:szCs w:val="21"/>
              </w:rPr>
              <w:t xml:space="preserve">BHTCC </w:t>
            </w:r>
            <w:r w:rsidR="004B1069" w:rsidRPr="00C46BE1">
              <w:rPr>
                <w:rFonts w:ascii="Tw Cen MT" w:hAnsi="Tw Cen MT"/>
                <w:color w:val="000000"/>
                <w:sz w:val="21"/>
                <w:szCs w:val="21"/>
              </w:rPr>
              <w:t>Version</w:t>
            </w:r>
          </w:p>
        </w:tc>
        <w:tc>
          <w:tcPr>
            <w:tcW w:w="1170" w:type="dxa"/>
            <w:tcMar>
              <w:left w:w="72" w:type="dxa"/>
              <w:right w:w="72" w:type="dxa"/>
            </w:tcMar>
            <w:vAlign w:val="center"/>
          </w:tcPr>
          <w:p w14:paraId="670AC811" w14:textId="77777777" w:rsidR="00775322" w:rsidRPr="00C46BE1" w:rsidRDefault="00775322" w:rsidP="00775322">
            <w:pPr>
              <w:jc w:val="center"/>
              <w:rPr>
                <w:rFonts w:ascii="Tw Cen MT" w:hAnsi="Tw Cen MT"/>
                <w:color w:val="000000"/>
                <w:sz w:val="21"/>
                <w:szCs w:val="21"/>
              </w:rPr>
            </w:pPr>
            <w:r w:rsidRPr="00C46BE1">
              <w:rPr>
                <w:rFonts w:ascii="Tw Cen MT" w:hAnsi="Tw Cen MT"/>
                <w:color w:val="000000"/>
                <w:sz w:val="21"/>
                <w:szCs w:val="21"/>
              </w:rPr>
              <w:t>17</w:t>
            </w:r>
          </w:p>
        </w:tc>
        <w:tc>
          <w:tcPr>
            <w:tcW w:w="1080" w:type="dxa"/>
            <w:tcMar>
              <w:left w:w="72" w:type="dxa"/>
              <w:right w:w="72" w:type="dxa"/>
            </w:tcMar>
            <w:vAlign w:val="center"/>
          </w:tcPr>
          <w:p w14:paraId="23AA2A44" w14:textId="77777777" w:rsidR="00775322" w:rsidRPr="00C46BE1" w:rsidRDefault="00775322" w:rsidP="00775322">
            <w:pPr>
              <w:jc w:val="center"/>
              <w:rPr>
                <w:rFonts w:ascii="Tw Cen MT" w:hAnsi="Tw Cen MT"/>
                <w:sz w:val="21"/>
                <w:szCs w:val="21"/>
              </w:rPr>
            </w:pPr>
            <w:r w:rsidRPr="00C46BE1">
              <w:rPr>
                <w:rFonts w:ascii="Tw Cen MT" w:hAnsi="Tw Cen MT"/>
                <w:color w:val="000000"/>
                <w:sz w:val="21"/>
                <w:szCs w:val="21"/>
              </w:rPr>
              <w:t>2</w:t>
            </w:r>
          </w:p>
        </w:tc>
        <w:tc>
          <w:tcPr>
            <w:tcW w:w="990" w:type="dxa"/>
            <w:tcMar>
              <w:left w:w="72" w:type="dxa"/>
              <w:right w:w="72" w:type="dxa"/>
            </w:tcMar>
            <w:vAlign w:val="center"/>
          </w:tcPr>
          <w:p w14:paraId="5224305E" w14:textId="77777777" w:rsidR="00775322" w:rsidRPr="00C46BE1" w:rsidRDefault="00775322" w:rsidP="00775322">
            <w:pPr>
              <w:jc w:val="center"/>
              <w:rPr>
                <w:rFonts w:ascii="Tw Cen MT" w:hAnsi="Tw Cen MT"/>
                <w:color w:val="000000"/>
                <w:sz w:val="21"/>
                <w:szCs w:val="21"/>
              </w:rPr>
            </w:pPr>
            <w:r w:rsidRPr="00C46BE1">
              <w:rPr>
                <w:rFonts w:ascii="Tw Cen MT" w:hAnsi="Tw Cen MT"/>
                <w:color w:val="000000"/>
                <w:sz w:val="21"/>
                <w:szCs w:val="21"/>
              </w:rPr>
              <w:t>34</w:t>
            </w:r>
          </w:p>
        </w:tc>
        <w:tc>
          <w:tcPr>
            <w:tcW w:w="900" w:type="dxa"/>
            <w:tcMar>
              <w:left w:w="72" w:type="dxa"/>
              <w:right w:w="72" w:type="dxa"/>
            </w:tcMar>
            <w:vAlign w:val="center"/>
          </w:tcPr>
          <w:p w14:paraId="516072CB" w14:textId="77777777" w:rsidR="00775322" w:rsidRPr="00C46BE1" w:rsidRDefault="00775322" w:rsidP="00775322">
            <w:pPr>
              <w:jc w:val="center"/>
              <w:rPr>
                <w:rFonts w:ascii="Tw Cen MT" w:hAnsi="Tw Cen MT"/>
                <w:color w:val="000000"/>
                <w:sz w:val="21"/>
                <w:szCs w:val="21"/>
              </w:rPr>
            </w:pPr>
            <w:r w:rsidRPr="00C46BE1">
              <w:rPr>
                <w:rFonts w:ascii="Tw Cen MT" w:hAnsi="Tw Cen MT"/>
                <w:color w:val="000000"/>
                <w:sz w:val="21"/>
                <w:szCs w:val="21"/>
              </w:rPr>
              <w:t>0.75</w:t>
            </w:r>
          </w:p>
        </w:tc>
        <w:tc>
          <w:tcPr>
            <w:tcW w:w="810" w:type="dxa"/>
            <w:tcMar>
              <w:left w:w="72" w:type="dxa"/>
              <w:right w:w="72" w:type="dxa"/>
            </w:tcMar>
            <w:vAlign w:val="center"/>
          </w:tcPr>
          <w:p w14:paraId="7C20BE1E" w14:textId="17F5AD70" w:rsidR="00775322" w:rsidRPr="00C46BE1" w:rsidRDefault="00EF71A4" w:rsidP="00775322">
            <w:pPr>
              <w:jc w:val="center"/>
              <w:rPr>
                <w:rFonts w:ascii="Tw Cen MT" w:hAnsi="Tw Cen MT"/>
                <w:color w:val="000000"/>
                <w:sz w:val="21"/>
                <w:szCs w:val="21"/>
              </w:rPr>
            </w:pPr>
            <w:r w:rsidRPr="00C46BE1">
              <w:rPr>
                <w:rFonts w:ascii="Tw Cen MT" w:hAnsi="Tw Cen MT"/>
                <w:color w:val="000000"/>
                <w:sz w:val="21"/>
                <w:szCs w:val="21"/>
              </w:rPr>
              <w:t>26</w:t>
            </w:r>
          </w:p>
        </w:tc>
        <w:tc>
          <w:tcPr>
            <w:tcW w:w="720" w:type="dxa"/>
            <w:tcMar>
              <w:left w:w="72" w:type="dxa"/>
              <w:right w:w="72" w:type="dxa"/>
            </w:tcMar>
            <w:vAlign w:val="center"/>
          </w:tcPr>
          <w:p w14:paraId="0F2A8614" w14:textId="77777777" w:rsidR="00775322" w:rsidRPr="00C46BE1" w:rsidRDefault="00775322" w:rsidP="00775322">
            <w:pPr>
              <w:jc w:val="center"/>
              <w:rPr>
                <w:rFonts w:ascii="Tw Cen MT" w:hAnsi="Tw Cen MT"/>
                <w:color w:val="000000"/>
                <w:sz w:val="21"/>
                <w:szCs w:val="21"/>
              </w:rPr>
            </w:pPr>
            <w:r w:rsidRPr="00C46BE1">
              <w:rPr>
                <w:rFonts w:ascii="Tw Cen MT" w:hAnsi="Tw Cen MT"/>
                <w:color w:val="000000"/>
                <w:sz w:val="21"/>
                <w:szCs w:val="21"/>
              </w:rPr>
              <w:t>36.72</w:t>
            </w:r>
          </w:p>
        </w:tc>
        <w:tc>
          <w:tcPr>
            <w:tcW w:w="810" w:type="dxa"/>
            <w:tcMar>
              <w:left w:w="72" w:type="dxa"/>
              <w:right w:w="72" w:type="dxa"/>
            </w:tcMar>
            <w:vAlign w:val="center"/>
          </w:tcPr>
          <w:p w14:paraId="6D66666F" w14:textId="74D52120" w:rsidR="00775322" w:rsidRPr="00C46BE1" w:rsidRDefault="00775322" w:rsidP="00EF71A4">
            <w:pPr>
              <w:jc w:val="center"/>
              <w:rPr>
                <w:rFonts w:ascii="Tw Cen MT" w:hAnsi="Tw Cen MT"/>
                <w:color w:val="000000"/>
                <w:sz w:val="21"/>
                <w:szCs w:val="21"/>
              </w:rPr>
            </w:pPr>
            <w:r w:rsidRPr="00C46BE1">
              <w:rPr>
                <w:rFonts w:ascii="Tw Cen MT" w:hAnsi="Tw Cen MT"/>
                <w:color w:val="000000"/>
                <w:sz w:val="21"/>
                <w:szCs w:val="21"/>
              </w:rPr>
              <w:t>9</w:t>
            </w:r>
            <w:r w:rsidR="00EF71A4" w:rsidRPr="00C46BE1">
              <w:rPr>
                <w:rFonts w:ascii="Tw Cen MT" w:hAnsi="Tw Cen MT"/>
                <w:color w:val="000000"/>
                <w:sz w:val="21"/>
                <w:szCs w:val="21"/>
              </w:rPr>
              <w:t>55</w:t>
            </w:r>
          </w:p>
        </w:tc>
      </w:tr>
      <w:tr w:rsidR="00C43735" w:rsidRPr="00C46BE1" w14:paraId="6A232E1B" w14:textId="77777777" w:rsidTr="003B635A">
        <w:trPr>
          <w:trHeight w:val="350"/>
        </w:trPr>
        <w:tc>
          <w:tcPr>
            <w:tcW w:w="1710" w:type="dxa"/>
            <w:shd w:val="clear" w:color="auto" w:fill="auto"/>
            <w:tcMar>
              <w:left w:w="72" w:type="dxa"/>
              <w:right w:w="72" w:type="dxa"/>
            </w:tcMar>
            <w:vAlign w:val="center"/>
          </w:tcPr>
          <w:p w14:paraId="714C37E4" w14:textId="060F26FD" w:rsidR="00775322" w:rsidRPr="00C46BE1" w:rsidRDefault="00775322" w:rsidP="00813ACD">
            <w:pPr>
              <w:jc w:val="left"/>
              <w:rPr>
                <w:rFonts w:ascii="Tw Cen MT" w:hAnsi="Tw Cen MT"/>
                <w:color w:val="000000"/>
                <w:sz w:val="21"/>
                <w:szCs w:val="21"/>
              </w:rPr>
            </w:pPr>
            <w:r w:rsidRPr="00C46BE1">
              <w:rPr>
                <w:rFonts w:ascii="Tw Cen MT" w:hAnsi="Tw Cen MT"/>
                <w:color w:val="000000"/>
                <w:sz w:val="21"/>
                <w:szCs w:val="21"/>
              </w:rPr>
              <w:t xml:space="preserve">Court Personnel </w:t>
            </w:r>
          </w:p>
        </w:tc>
        <w:tc>
          <w:tcPr>
            <w:tcW w:w="1980" w:type="dxa"/>
            <w:tcMar>
              <w:left w:w="72" w:type="dxa"/>
              <w:right w:w="72" w:type="dxa"/>
            </w:tcMar>
            <w:vAlign w:val="center"/>
          </w:tcPr>
          <w:p w14:paraId="14091E77" w14:textId="6F8E5257" w:rsidR="00775322" w:rsidRPr="00C46BE1" w:rsidRDefault="0008439E" w:rsidP="00646C54">
            <w:pPr>
              <w:jc w:val="left"/>
              <w:rPr>
                <w:rFonts w:ascii="Tw Cen MT" w:hAnsi="Tw Cen MT"/>
                <w:color w:val="000000"/>
                <w:sz w:val="21"/>
                <w:szCs w:val="21"/>
              </w:rPr>
            </w:pPr>
            <w:r w:rsidRPr="00C46BE1">
              <w:rPr>
                <w:rFonts w:ascii="Tw Cen MT" w:hAnsi="Tw Cen MT"/>
                <w:color w:val="000000"/>
                <w:sz w:val="21"/>
                <w:szCs w:val="21"/>
              </w:rPr>
              <w:t>SLA KII</w:t>
            </w:r>
            <w:r w:rsidR="00646C54" w:rsidRPr="00C46BE1">
              <w:rPr>
                <w:rFonts w:ascii="Tw Cen MT" w:hAnsi="Tw Cen MT"/>
                <w:color w:val="000000"/>
                <w:sz w:val="21"/>
                <w:szCs w:val="21"/>
              </w:rPr>
              <w:t xml:space="preserve"> </w:t>
            </w:r>
            <w:r w:rsidRPr="00C46BE1">
              <w:rPr>
                <w:rFonts w:ascii="Tw Cen MT" w:hAnsi="Tw Cen MT"/>
                <w:color w:val="000000"/>
                <w:sz w:val="21"/>
                <w:szCs w:val="21"/>
              </w:rPr>
              <w:t>C</w:t>
            </w:r>
            <w:r w:rsidR="004B1069" w:rsidRPr="00C46BE1">
              <w:rPr>
                <w:rFonts w:ascii="Tw Cen MT" w:hAnsi="Tw Cen MT"/>
                <w:color w:val="000000"/>
                <w:sz w:val="21"/>
                <w:szCs w:val="21"/>
              </w:rPr>
              <w:t xml:space="preserve">ourt Personnel </w:t>
            </w:r>
            <w:r w:rsidRPr="00C46BE1">
              <w:rPr>
                <w:rFonts w:ascii="Tw Cen MT" w:hAnsi="Tw Cen MT"/>
                <w:color w:val="000000"/>
                <w:sz w:val="21"/>
                <w:szCs w:val="21"/>
              </w:rPr>
              <w:t>Version</w:t>
            </w:r>
          </w:p>
        </w:tc>
        <w:tc>
          <w:tcPr>
            <w:tcW w:w="1170" w:type="dxa"/>
            <w:tcMar>
              <w:left w:w="72" w:type="dxa"/>
              <w:right w:w="72" w:type="dxa"/>
            </w:tcMar>
            <w:vAlign w:val="center"/>
          </w:tcPr>
          <w:p w14:paraId="3CE27FCA" w14:textId="77777777" w:rsidR="00775322" w:rsidRPr="00C46BE1" w:rsidRDefault="00775322" w:rsidP="00775322">
            <w:pPr>
              <w:jc w:val="center"/>
              <w:rPr>
                <w:rFonts w:ascii="Tw Cen MT" w:hAnsi="Tw Cen MT"/>
                <w:color w:val="000000"/>
                <w:sz w:val="21"/>
                <w:szCs w:val="21"/>
              </w:rPr>
            </w:pPr>
            <w:r w:rsidRPr="00C46BE1">
              <w:rPr>
                <w:rFonts w:ascii="Tw Cen MT" w:hAnsi="Tw Cen MT"/>
                <w:color w:val="000000"/>
                <w:sz w:val="21"/>
                <w:szCs w:val="21"/>
              </w:rPr>
              <w:t>23</w:t>
            </w:r>
          </w:p>
        </w:tc>
        <w:tc>
          <w:tcPr>
            <w:tcW w:w="1080" w:type="dxa"/>
            <w:tcMar>
              <w:left w:w="72" w:type="dxa"/>
              <w:right w:w="72" w:type="dxa"/>
            </w:tcMar>
            <w:vAlign w:val="center"/>
          </w:tcPr>
          <w:p w14:paraId="584D49F0" w14:textId="77777777" w:rsidR="00775322" w:rsidRPr="00C46BE1" w:rsidRDefault="00775322" w:rsidP="00775322">
            <w:pPr>
              <w:jc w:val="center"/>
              <w:rPr>
                <w:rFonts w:ascii="Tw Cen MT" w:hAnsi="Tw Cen MT"/>
                <w:sz w:val="21"/>
                <w:szCs w:val="21"/>
              </w:rPr>
            </w:pPr>
            <w:r w:rsidRPr="00C46BE1">
              <w:rPr>
                <w:rFonts w:ascii="Tw Cen MT" w:hAnsi="Tw Cen MT"/>
                <w:color w:val="000000"/>
                <w:sz w:val="21"/>
                <w:szCs w:val="21"/>
              </w:rPr>
              <w:t>1</w:t>
            </w:r>
          </w:p>
        </w:tc>
        <w:tc>
          <w:tcPr>
            <w:tcW w:w="990" w:type="dxa"/>
            <w:tcMar>
              <w:left w:w="72" w:type="dxa"/>
              <w:right w:w="72" w:type="dxa"/>
            </w:tcMar>
            <w:vAlign w:val="center"/>
          </w:tcPr>
          <w:p w14:paraId="281A690F" w14:textId="77777777" w:rsidR="00775322" w:rsidRPr="00C46BE1" w:rsidRDefault="00775322" w:rsidP="00775322">
            <w:pPr>
              <w:jc w:val="center"/>
              <w:rPr>
                <w:rFonts w:ascii="Tw Cen MT" w:hAnsi="Tw Cen MT"/>
                <w:color w:val="000000"/>
                <w:sz w:val="21"/>
                <w:szCs w:val="21"/>
              </w:rPr>
            </w:pPr>
            <w:r w:rsidRPr="00C46BE1">
              <w:rPr>
                <w:rFonts w:ascii="Tw Cen MT" w:hAnsi="Tw Cen MT"/>
                <w:color w:val="000000"/>
                <w:sz w:val="21"/>
                <w:szCs w:val="21"/>
              </w:rPr>
              <w:t>23</w:t>
            </w:r>
          </w:p>
        </w:tc>
        <w:tc>
          <w:tcPr>
            <w:tcW w:w="900" w:type="dxa"/>
            <w:tcMar>
              <w:left w:w="72" w:type="dxa"/>
              <w:right w:w="72" w:type="dxa"/>
            </w:tcMar>
            <w:vAlign w:val="center"/>
          </w:tcPr>
          <w:p w14:paraId="183D3B5E" w14:textId="77777777" w:rsidR="00775322" w:rsidRPr="00C46BE1" w:rsidRDefault="00775322" w:rsidP="00775322">
            <w:pPr>
              <w:jc w:val="center"/>
              <w:rPr>
                <w:rFonts w:ascii="Tw Cen MT" w:hAnsi="Tw Cen MT"/>
                <w:color w:val="000000"/>
                <w:sz w:val="21"/>
                <w:szCs w:val="21"/>
              </w:rPr>
            </w:pPr>
            <w:r w:rsidRPr="00C46BE1">
              <w:rPr>
                <w:rFonts w:ascii="Tw Cen MT" w:hAnsi="Tw Cen MT"/>
                <w:color w:val="000000"/>
                <w:sz w:val="21"/>
                <w:szCs w:val="21"/>
              </w:rPr>
              <w:t>1</w:t>
            </w:r>
          </w:p>
        </w:tc>
        <w:tc>
          <w:tcPr>
            <w:tcW w:w="810" w:type="dxa"/>
            <w:tcMar>
              <w:left w:w="72" w:type="dxa"/>
              <w:right w:w="72" w:type="dxa"/>
            </w:tcMar>
            <w:vAlign w:val="center"/>
          </w:tcPr>
          <w:p w14:paraId="001B539A" w14:textId="129966EB" w:rsidR="00775322" w:rsidRPr="00C46BE1" w:rsidRDefault="0011269D" w:rsidP="00775322">
            <w:pPr>
              <w:jc w:val="center"/>
              <w:rPr>
                <w:rFonts w:ascii="Tw Cen MT" w:hAnsi="Tw Cen MT"/>
                <w:color w:val="000000"/>
                <w:sz w:val="21"/>
                <w:szCs w:val="21"/>
              </w:rPr>
            </w:pPr>
            <w:r w:rsidRPr="00C46BE1">
              <w:rPr>
                <w:rFonts w:ascii="Tw Cen MT" w:hAnsi="Tw Cen MT"/>
                <w:color w:val="000000"/>
                <w:sz w:val="21"/>
                <w:szCs w:val="21"/>
              </w:rPr>
              <w:t>23</w:t>
            </w:r>
          </w:p>
        </w:tc>
        <w:tc>
          <w:tcPr>
            <w:tcW w:w="720" w:type="dxa"/>
            <w:tcMar>
              <w:left w:w="72" w:type="dxa"/>
              <w:right w:w="72" w:type="dxa"/>
            </w:tcMar>
            <w:vAlign w:val="center"/>
          </w:tcPr>
          <w:p w14:paraId="3362F53E" w14:textId="77777777" w:rsidR="00775322" w:rsidRPr="00C46BE1" w:rsidRDefault="00775322" w:rsidP="00775322">
            <w:pPr>
              <w:jc w:val="center"/>
              <w:rPr>
                <w:rFonts w:ascii="Tw Cen MT" w:hAnsi="Tw Cen MT"/>
                <w:color w:val="000000"/>
                <w:sz w:val="21"/>
                <w:szCs w:val="21"/>
              </w:rPr>
            </w:pPr>
            <w:r w:rsidRPr="00C46BE1">
              <w:rPr>
                <w:rFonts w:ascii="Tw Cen MT" w:hAnsi="Tw Cen MT"/>
                <w:color w:val="000000"/>
                <w:sz w:val="21"/>
                <w:szCs w:val="21"/>
              </w:rPr>
              <w:t>62.21</w:t>
            </w:r>
          </w:p>
        </w:tc>
        <w:tc>
          <w:tcPr>
            <w:tcW w:w="810" w:type="dxa"/>
            <w:tcMar>
              <w:left w:w="72" w:type="dxa"/>
              <w:right w:w="72" w:type="dxa"/>
            </w:tcMar>
            <w:vAlign w:val="center"/>
          </w:tcPr>
          <w:p w14:paraId="76670B23" w14:textId="77777777" w:rsidR="00775322" w:rsidRPr="00C46BE1" w:rsidRDefault="00775322" w:rsidP="00775322">
            <w:pPr>
              <w:jc w:val="center"/>
              <w:rPr>
                <w:rFonts w:ascii="Tw Cen MT" w:hAnsi="Tw Cen MT"/>
                <w:color w:val="000000"/>
                <w:sz w:val="21"/>
                <w:szCs w:val="21"/>
              </w:rPr>
            </w:pPr>
            <w:r w:rsidRPr="00C46BE1">
              <w:rPr>
                <w:rFonts w:ascii="Tw Cen MT" w:hAnsi="Tw Cen MT"/>
                <w:color w:val="000000"/>
                <w:sz w:val="21"/>
                <w:szCs w:val="21"/>
              </w:rPr>
              <w:t>1,410</w:t>
            </w:r>
          </w:p>
        </w:tc>
      </w:tr>
      <w:tr w:rsidR="00C43735" w:rsidRPr="00C46BE1" w14:paraId="4A1364ED" w14:textId="77777777" w:rsidTr="003B635A">
        <w:trPr>
          <w:trHeight w:val="464"/>
        </w:trPr>
        <w:tc>
          <w:tcPr>
            <w:tcW w:w="1710" w:type="dxa"/>
            <w:shd w:val="clear" w:color="auto" w:fill="auto"/>
            <w:tcMar>
              <w:left w:w="72" w:type="dxa"/>
              <w:right w:w="72" w:type="dxa"/>
            </w:tcMar>
            <w:vAlign w:val="center"/>
          </w:tcPr>
          <w:p w14:paraId="62ACAD54" w14:textId="19C6FBC8" w:rsidR="00775322" w:rsidRPr="00C46BE1" w:rsidRDefault="00E01595" w:rsidP="00813ACD">
            <w:pPr>
              <w:jc w:val="left"/>
              <w:rPr>
                <w:rFonts w:ascii="Tw Cen MT" w:hAnsi="Tw Cen MT"/>
                <w:sz w:val="21"/>
                <w:szCs w:val="21"/>
              </w:rPr>
            </w:pPr>
            <w:r>
              <w:rPr>
                <w:rFonts w:ascii="Tw Cen MT" w:hAnsi="Tw Cen MT"/>
                <w:color w:val="000000"/>
                <w:sz w:val="21"/>
                <w:szCs w:val="21"/>
              </w:rPr>
              <w:t xml:space="preserve">BHTCC </w:t>
            </w:r>
            <w:r w:rsidR="00775322" w:rsidRPr="00C46BE1">
              <w:rPr>
                <w:rFonts w:ascii="Tw Cen MT" w:hAnsi="Tw Cen MT"/>
                <w:color w:val="000000"/>
                <w:sz w:val="21"/>
                <w:szCs w:val="21"/>
              </w:rPr>
              <w:t xml:space="preserve">Service Providers </w:t>
            </w:r>
            <w:r w:rsidR="004B1069" w:rsidRPr="00C46BE1">
              <w:rPr>
                <w:rFonts w:ascii="Tw Cen MT" w:hAnsi="Tw Cen MT"/>
                <w:color w:val="000000"/>
                <w:sz w:val="21"/>
                <w:szCs w:val="21"/>
              </w:rPr>
              <w:t xml:space="preserve"> </w:t>
            </w:r>
          </w:p>
        </w:tc>
        <w:tc>
          <w:tcPr>
            <w:tcW w:w="1980" w:type="dxa"/>
            <w:tcMar>
              <w:left w:w="72" w:type="dxa"/>
              <w:right w:w="72" w:type="dxa"/>
            </w:tcMar>
            <w:vAlign w:val="center"/>
          </w:tcPr>
          <w:p w14:paraId="15826275" w14:textId="6BBE70BE" w:rsidR="00775322" w:rsidRPr="00C46BE1" w:rsidRDefault="0008439E" w:rsidP="00646C54">
            <w:pPr>
              <w:jc w:val="left"/>
              <w:rPr>
                <w:rFonts w:ascii="Tw Cen MT" w:hAnsi="Tw Cen MT"/>
                <w:color w:val="000000"/>
                <w:sz w:val="21"/>
                <w:szCs w:val="21"/>
              </w:rPr>
            </w:pPr>
            <w:r w:rsidRPr="00C46BE1">
              <w:rPr>
                <w:rFonts w:ascii="Tw Cen MT" w:hAnsi="Tw Cen MT"/>
                <w:color w:val="000000"/>
                <w:sz w:val="21"/>
                <w:szCs w:val="21"/>
              </w:rPr>
              <w:t>SLA KII</w:t>
            </w:r>
            <w:r w:rsidR="00646C54" w:rsidRPr="00C46BE1">
              <w:rPr>
                <w:rFonts w:ascii="Tw Cen MT" w:hAnsi="Tw Cen MT"/>
                <w:color w:val="000000"/>
                <w:sz w:val="21"/>
                <w:szCs w:val="21"/>
              </w:rPr>
              <w:t xml:space="preserve"> </w:t>
            </w:r>
            <w:r w:rsidR="004B1069" w:rsidRPr="00C46BE1">
              <w:rPr>
                <w:rFonts w:ascii="Tw Cen MT" w:hAnsi="Tw Cen MT"/>
                <w:color w:val="000000"/>
                <w:sz w:val="21"/>
                <w:szCs w:val="21"/>
              </w:rPr>
              <w:t xml:space="preserve">Service Provider </w:t>
            </w:r>
            <w:r w:rsidRPr="00C46BE1">
              <w:rPr>
                <w:rFonts w:ascii="Tw Cen MT" w:hAnsi="Tw Cen MT"/>
                <w:color w:val="000000"/>
                <w:sz w:val="21"/>
                <w:szCs w:val="21"/>
              </w:rPr>
              <w:t>Version</w:t>
            </w:r>
          </w:p>
        </w:tc>
        <w:tc>
          <w:tcPr>
            <w:tcW w:w="1170" w:type="dxa"/>
            <w:tcMar>
              <w:left w:w="72" w:type="dxa"/>
              <w:right w:w="72" w:type="dxa"/>
            </w:tcMar>
            <w:vAlign w:val="center"/>
          </w:tcPr>
          <w:p w14:paraId="4607EE68" w14:textId="77777777" w:rsidR="00775322" w:rsidRPr="00C46BE1" w:rsidRDefault="00775322" w:rsidP="00775322">
            <w:pPr>
              <w:jc w:val="center"/>
              <w:rPr>
                <w:rFonts w:ascii="Tw Cen MT" w:hAnsi="Tw Cen MT"/>
                <w:color w:val="000000"/>
                <w:sz w:val="21"/>
                <w:szCs w:val="21"/>
              </w:rPr>
            </w:pPr>
            <w:r w:rsidRPr="00C46BE1">
              <w:rPr>
                <w:rFonts w:ascii="Tw Cen MT" w:hAnsi="Tw Cen MT"/>
                <w:color w:val="000000"/>
                <w:sz w:val="21"/>
                <w:szCs w:val="21"/>
              </w:rPr>
              <w:t>23</w:t>
            </w:r>
          </w:p>
        </w:tc>
        <w:tc>
          <w:tcPr>
            <w:tcW w:w="1080" w:type="dxa"/>
            <w:tcMar>
              <w:left w:w="72" w:type="dxa"/>
              <w:right w:w="72" w:type="dxa"/>
            </w:tcMar>
            <w:vAlign w:val="center"/>
          </w:tcPr>
          <w:p w14:paraId="3951E5B2" w14:textId="77777777" w:rsidR="00775322" w:rsidRPr="00C46BE1" w:rsidRDefault="00775322" w:rsidP="00775322">
            <w:pPr>
              <w:jc w:val="center"/>
              <w:rPr>
                <w:rFonts w:ascii="Tw Cen MT" w:hAnsi="Tw Cen MT"/>
                <w:sz w:val="21"/>
                <w:szCs w:val="21"/>
              </w:rPr>
            </w:pPr>
            <w:r w:rsidRPr="00C46BE1">
              <w:rPr>
                <w:rFonts w:ascii="Tw Cen MT" w:hAnsi="Tw Cen MT"/>
                <w:color w:val="000000"/>
                <w:sz w:val="21"/>
                <w:szCs w:val="21"/>
              </w:rPr>
              <w:t>1</w:t>
            </w:r>
          </w:p>
        </w:tc>
        <w:tc>
          <w:tcPr>
            <w:tcW w:w="990" w:type="dxa"/>
            <w:tcMar>
              <w:left w:w="72" w:type="dxa"/>
              <w:right w:w="72" w:type="dxa"/>
            </w:tcMar>
            <w:vAlign w:val="center"/>
          </w:tcPr>
          <w:p w14:paraId="15E5B64F" w14:textId="77777777" w:rsidR="00775322" w:rsidRPr="00C46BE1" w:rsidRDefault="00775322" w:rsidP="00775322">
            <w:pPr>
              <w:jc w:val="center"/>
              <w:rPr>
                <w:rFonts w:ascii="Tw Cen MT" w:hAnsi="Tw Cen MT"/>
                <w:color w:val="000000"/>
                <w:sz w:val="21"/>
                <w:szCs w:val="21"/>
              </w:rPr>
            </w:pPr>
            <w:r w:rsidRPr="00C46BE1">
              <w:rPr>
                <w:rFonts w:ascii="Tw Cen MT" w:hAnsi="Tw Cen MT"/>
                <w:color w:val="000000"/>
                <w:sz w:val="21"/>
                <w:szCs w:val="21"/>
              </w:rPr>
              <w:t>23</w:t>
            </w:r>
          </w:p>
        </w:tc>
        <w:tc>
          <w:tcPr>
            <w:tcW w:w="900" w:type="dxa"/>
            <w:tcMar>
              <w:left w:w="72" w:type="dxa"/>
              <w:right w:w="72" w:type="dxa"/>
            </w:tcMar>
            <w:vAlign w:val="center"/>
          </w:tcPr>
          <w:p w14:paraId="288FA39B" w14:textId="77777777" w:rsidR="00775322" w:rsidRPr="00C46BE1" w:rsidRDefault="00775322" w:rsidP="00775322">
            <w:pPr>
              <w:jc w:val="center"/>
              <w:rPr>
                <w:rFonts w:ascii="Tw Cen MT" w:hAnsi="Tw Cen MT"/>
                <w:color w:val="000000"/>
                <w:sz w:val="21"/>
                <w:szCs w:val="21"/>
              </w:rPr>
            </w:pPr>
            <w:r w:rsidRPr="00C46BE1">
              <w:rPr>
                <w:rFonts w:ascii="Tw Cen MT" w:hAnsi="Tw Cen MT"/>
                <w:color w:val="000000"/>
                <w:sz w:val="21"/>
                <w:szCs w:val="21"/>
              </w:rPr>
              <w:t>1</w:t>
            </w:r>
          </w:p>
        </w:tc>
        <w:tc>
          <w:tcPr>
            <w:tcW w:w="810" w:type="dxa"/>
            <w:tcMar>
              <w:left w:w="72" w:type="dxa"/>
              <w:right w:w="72" w:type="dxa"/>
            </w:tcMar>
            <w:vAlign w:val="center"/>
          </w:tcPr>
          <w:p w14:paraId="29843FE9" w14:textId="02EA3A49" w:rsidR="00775322" w:rsidRPr="00C46BE1" w:rsidRDefault="0011269D" w:rsidP="00775322">
            <w:pPr>
              <w:jc w:val="center"/>
              <w:rPr>
                <w:rFonts w:ascii="Tw Cen MT" w:hAnsi="Tw Cen MT"/>
                <w:color w:val="000000"/>
                <w:sz w:val="21"/>
                <w:szCs w:val="21"/>
              </w:rPr>
            </w:pPr>
            <w:r w:rsidRPr="00C46BE1">
              <w:rPr>
                <w:rFonts w:ascii="Tw Cen MT" w:hAnsi="Tw Cen MT"/>
                <w:color w:val="000000"/>
                <w:sz w:val="21"/>
                <w:szCs w:val="21"/>
              </w:rPr>
              <w:t>23</w:t>
            </w:r>
          </w:p>
        </w:tc>
        <w:tc>
          <w:tcPr>
            <w:tcW w:w="720" w:type="dxa"/>
            <w:tcMar>
              <w:left w:w="72" w:type="dxa"/>
              <w:right w:w="72" w:type="dxa"/>
            </w:tcMar>
            <w:vAlign w:val="center"/>
          </w:tcPr>
          <w:p w14:paraId="519495E0" w14:textId="77777777" w:rsidR="00775322" w:rsidRPr="00C46BE1" w:rsidRDefault="00775322" w:rsidP="00775322">
            <w:pPr>
              <w:jc w:val="center"/>
              <w:rPr>
                <w:rFonts w:ascii="Tw Cen MT" w:hAnsi="Tw Cen MT"/>
                <w:color w:val="000000"/>
                <w:sz w:val="21"/>
                <w:szCs w:val="21"/>
              </w:rPr>
            </w:pPr>
            <w:r w:rsidRPr="00C46BE1">
              <w:rPr>
                <w:rFonts w:ascii="Tw Cen MT" w:hAnsi="Tw Cen MT"/>
                <w:color w:val="000000"/>
                <w:sz w:val="21"/>
                <w:szCs w:val="21"/>
              </w:rPr>
              <w:t>22.03</w:t>
            </w:r>
          </w:p>
        </w:tc>
        <w:tc>
          <w:tcPr>
            <w:tcW w:w="810" w:type="dxa"/>
            <w:tcMar>
              <w:left w:w="72" w:type="dxa"/>
              <w:right w:w="72" w:type="dxa"/>
            </w:tcMar>
            <w:vAlign w:val="center"/>
          </w:tcPr>
          <w:p w14:paraId="4C46901C" w14:textId="77777777" w:rsidR="00775322" w:rsidRPr="00C46BE1" w:rsidRDefault="00775322" w:rsidP="00775322">
            <w:pPr>
              <w:jc w:val="center"/>
              <w:rPr>
                <w:rFonts w:ascii="Tw Cen MT" w:hAnsi="Tw Cen MT"/>
                <w:color w:val="000000"/>
                <w:sz w:val="21"/>
                <w:szCs w:val="21"/>
              </w:rPr>
            </w:pPr>
            <w:r w:rsidRPr="00C46BE1">
              <w:rPr>
                <w:rFonts w:ascii="Tw Cen MT" w:hAnsi="Tw Cen MT"/>
                <w:color w:val="000000"/>
                <w:sz w:val="21"/>
                <w:szCs w:val="21"/>
              </w:rPr>
              <w:t>499</w:t>
            </w:r>
          </w:p>
        </w:tc>
      </w:tr>
      <w:tr w:rsidR="00C43735" w:rsidRPr="00C46BE1" w14:paraId="2F5DC69D" w14:textId="77777777" w:rsidTr="003B635A">
        <w:trPr>
          <w:trHeight w:val="464"/>
        </w:trPr>
        <w:tc>
          <w:tcPr>
            <w:tcW w:w="1710" w:type="dxa"/>
            <w:shd w:val="clear" w:color="auto" w:fill="auto"/>
            <w:tcMar>
              <w:left w:w="72" w:type="dxa"/>
              <w:right w:w="72" w:type="dxa"/>
            </w:tcMar>
            <w:vAlign w:val="center"/>
          </w:tcPr>
          <w:p w14:paraId="6513C15F" w14:textId="482D4441" w:rsidR="00775322" w:rsidRPr="00C46BE1" w:rsidRDefault="00775322" w:rsidP="00813ACD">
            <w:pPr>
              <w:jc w:val="left"/>
              <w:rPr>
                <w:rFonts w:ascii="Tw Cen MT" w:hAnsi="Tw Cen MT"/>
                <w:sz w:val="21"/>
                <w:szCs w:val="21"/>
              </w:rPr>
            </w:pPr>
            <w:r w:rsidRPr="00C46BE1">
              <w:rPr>
                <w:rFonts w:ascii="Tw Cen MT" w:hAnsi="Tw Cen MT"/>
                <w:color w:val="000000"/>
                <w:sz w:val="21"/>
                <w:szCs w:val="21"/>
              </w:rPr>
              <w:t>Consumer</w:t>
            </w:r>
            <w:r w:rsidR="004B1069" w:rsidRPr="00C46BE1">
              <w:rPr>
                <w:rFonts w:ascii="Tw Cen MT" w:hAnsi="Tw Cen MT"/>
                <w:color w:val="000000"/>
                <w:sz w:val="21"/>
                <w:szCs w:val="21"/>
              </w:rPr>
              <w:t>s</w:t>
            </w:r>
            <w:r w:rsidRPr="00C46BE1">
              <w:rPr>
                <w:rFonts w:ascii="Tw Cen MT" w:hAnsi="Tw Cen MT"/>
                <w:color w:val="000000"/>
                <w:sz w:val="21"/>
                <w:szCs w:val="21"/>
              </w:rPr>
              <w:t xml:space="preserve"> </w:t>
            </w:r>
          </w:p>
        </w:tc>
        <w:tc>
          <w:tcPr>
            <w:tcW w:w="1980" w:type="dxa"/>
            <w:tcMar>
              <w:left w:w="72" w:type="dxa"/>
              <w:right w:w="72" w:type="dxa"/>
            </w:tcMar>
            <w:vAlign w:val="center"/>
          </w:tcPr>
          <w:p w14:paraId="41EE3B38" w14:textId="2BEFC4EE" w:rsidR="00775322" w:rsidRPr="00C46BE1" w:rsidRDefault="0008439E" w:rsidP="00646C54">
            <w:pPr>
              <w:jc w:val="left"/>
              <w:rPr>
                <w:rFonts w:ascii="Tw Cen MT" w:hAnsi="Tw Cen MT"/>
                <w:color w:val="000000"/>
                <w:sz w:val="21"/>
                <w:szCs w:val="21"/>
              </w:rPr>
            </w:pPr>
            <w:r w:rsidRPr="00C46BE1">
              <w:rPr>
                <w:rFonts w:ascii="Tw Cen MT" w:hAnsi="Tw Cen MT"/>
                <w:color w:val="000000"/>
                <w:sz w:val="21"/>
                <w:szCs w:val="21"/>
              </w:rPr>
              <w:t>SLA KII</w:t>
            </w:r>
            <w:r w:rsidR="00646C54" w:rsidRPr="00C46BE1">
              <w:rPr>
                <w:rFonts w:ascii="Tw Cen MT" w:hAnsi="Tw Cen MT"/>
                <w:color w:val="000000"/>
                <w:sz w:val="21"/>
                <w:szCs w:val="21"/>
              </w:rPr>
              <w:t xml:space="preserve"> </w:t>
            </w:r>
            <w:r w:rsidRPr="00C46BE1">
              <w:rPr>
                <w:rFonts w:ascii="Tw Cen MT" w:hAnsi="Tw Cen MT"/>
                <w:color w:val="000000"/>
                <w:sz w:val="21"/>
                <w:szCs w:val="21"/>
              </w:rPr>
              <w:t>C</w:t>
            </w:r>
            <w:r w:rsidR="004B1069" w:rsidRPr="00C46BE1">
              <w:rPr>
                <w:rFonts w:ascii="Tw Cen MT" w:hAnsi="Tw Cen MT"/>
                <w:color w:val="000000"/>
                <w:sz w:val="21"/>
                <w:szCs w:val="21"/>
              </w:rPr>
              <w:t xml:space="preserve">onsumer </w:t>
            </w:r>
            <w:r w:rsidRPr="00C46BE1">
              <w:rPr>
                <w:rFonts w:ascii="Tw Cen MT" w:hAnsi="Tw Cen MT"/>
                <w:color w:val="000000"/>
                <w:sz w:val="21"/>
                <w:szCs w:val="21"/>
              </w:rPr>
              <w:t>Version</w:t>
            </w:r>
          </w:p>
        </w:tc>
        <w:tc>
          <w:tcPr>
            <w:tcW w:w="1170" w:type="dxa"/>
            <w:tcMar>
              <w:left w:w="72" w:type="dxa"/>
              <w:right w:w="72" w:type="dxa"/>
            </w:tcMar>
            <w:vAlign w:val="center"/>
          </w:tcPr>
          <w:p w14:paraId="6B62A7C9" w14:textId="77777777" w:rsidR="00775322" w:rsidRPr="00C46BE1" w:rsidRDefault="00775322" w:rsidP="00775322">
            <w:pPr>
              <w:jc w:val="center"/>
              <w:rPr>
                <w:rFonts w:ascii="Tw Cen MT" w:hAnsi="Tw Cen MT"/>
                <w:color w:val="000000"/>
                <w:sz w:val="21"/>
                <w:szCs w:val="21"/>
              </w:rPr>
            </w:pPr>
            <w:r w:rsidRPr="00C46BE1">
              <w:rPr>
                <w:rFonts w:ascii="Tw Cen MT" w:hAnsi="Tw Cen MT"/>
                <w:color w:val="000000"/>
                <w:sz w:val="21"/>
                <w:szCs w:val="21"/>
              </w:rPr>
              <w:t>12</w:t>
            </w:r>
          </w:p>
        </w:tc>
        <w:tc>
          <w:tcPr>
            <w:tcW w:w="1080" w:type="dxa"/>
            <w:tcMar>
              <w:left w:w="72" w:type="dxa"/>
              <w:right w:w="72" w:type="dxa"/>
            </w:tcMar>
            <w:vAlign w:val="center"/>
          </w:tcPr>
          <w:p w14:paraId="42CBBF0F" w14:textId="77777777" w:rsidR="00775322" w:rsidRPr="00C46BE1" w:rsidRDefault="00775322" w:rsidP="00775322">
            <w:pPr>
              <w:jc w:val="center"/>
              <w:rPr>
                <w:rFonts w:ascii="Tw Cen MT" w:hAnsi="Tw Cen MT"/>
                <w:sz w:val="21"/>
                <w:szCs w:val="21"/>
              </w:rPr>
            </w:pPr>
            <w:r w:rsidRPr="00C46BE1">
              <w:rPr>
                <w:rFonts w:ascii="Tw Cen MT" w:hAnsi="Tw Cen MT"/>
                <w:color w:val="000000"/>
                <w:sz w:val="21"/>
                <w:szCs w:val="21"/>
              </w:rPr>
              <w:t>1</w:t>
            </w:r>
          </w:p>
        </w:tc>
        <w:tc>
          <w:tcPr>
            <w:tcW w:w="990" w:type="dxa"/>
            <w:tcMar>
              <w:left w:w="72" w:type="dxa"/>
              <w:right w:w="72" w:type="dxa"/>
            </w:tcMar>
            <w:vAlign w:val="center"/>
          </w:tcPr>
          <w:p w14:paraId="1D6D71CD" w14:textId="77777777" w:rsidR="00775322" w:rsidRPr="00C46BE1" w:rsidRDefault="00775322" w:rsidP="00775322">
            <w:pPr>
              <w:jc w:val="center"/>
              <w:rPr>
                <w:rFonts w:ascii="Tw Cen MT" w:hAnsi="Tw Cen MT"/>
                <w:color w:val="000000"/>
                <w:sz w:val="21"/>
                <w:szCs w:val="21"/>
              </w:rPr>
            </w:pPr>
            <w:r w:rsidRPr="00C46BE1">
              <w:rPr>
                <w:rFonts w:ascii="Tw Cen MT" w:hAnsi="Tw Cen MT"/>
                <w:color w:val="000000"/>
                <w:sz w:val="21"/>
                <w:szCs w:val="21"/>
              </w:rPr>
              <w:t>12</w:t>
            </w:r>
          </w:p>
        </w:tc>
        <w:tc>
          <w:tcPr>
            <w:tcW w:w="900" w:type="dxa"/>
            <w:tcMar>
              <w:left w:w="72" w:type="dxa"/>
              <w:right w:w="72" w:type="dxa"/>
            </w:tcMar>
            <w:vAlign w:val="center"/>
          </w:tcPr>
          <w:p w14:paraId="0AB386AA" w14:textId="77777777" w:rsidR="00775322" w:rsidRPr="00C46BE1" w:rsidRDefault="00775322" w:rsidP="00775322">
            <w:pPr>
              <w:jc w:val="center"/>
              <w:rPr>
                <w:rFonts w:ascii="Tw Cen MT" w:hAnsi="Tw Cen MT"/>
                <w:color w:val="000000"/>
                <w:sz w:val="21"/>
                <w:szCs w:val="21"/>
              </w:rPr>
            </w:pPr>
            <w:r w:rsidRPr="00C46BE1">
              <w:rPr>
                <w:rFonts w:ascii="Tw Cen MT" w:hAnsi="Tw Cen MT"/>
                <w:color w:val="000000"/>
                <w:sz w:val="21"/>
                <w:szCs w:val="21"/>
              </w:rPr>
              <w:t>1</w:t>
            </w:r>
          </w:p>
        </w:tc>
        <w:tc>
          <w:tcPr>
            <w:tcW w:w="810" w:type="dxa"/>
            <w:tcMar>
              <w:left w:w="72" w:type="dxa"/>
              <w:right w:w="72" w:type="dxa"/>
            </w:tcMar>
            <w:vAlign w:val="center"/>
          </w:tcPr>
          <w:p w14:paraId="2441DC49" w14:textId="6EF4C532" w:rsidR="00775322" w:rsidRPr="00C46BE1" w:rsidRDefault="0011269D" w:rsidP="00775322">
            <w:pPr>
              <w:jc w:val="center"/>
              <w:rPr>
                <w:rFonts w:ascii="Tw Cen MT" w:hAnsi="Tw Cen MT"/>
                <w:color w:val="000000"/>
                <w:sz w:val="21"/>
                <w:szCs w:val="21"/>
              </w:rPr>
            </w:pPr>
            <w:r w:rsidRPr="00C46BE1">
              <w:rPr>
                <w:rFonts w:ascii="Tw Cen MT" w:hAnsi="Tw Cen MT"/>
                <w:color w:val="000000"/>
                <w:sz w:val="21"/>
                <w:szCs w:val="21"/>
              </w:rPr>
              <w:t>12</w:t>
            </w:r>
          </w:p>
        </w:tc>
        <w:tc>
          <w:tcPr>
            <w:tcW w:w="720" w:type="dxa"/>
            <w:tcMar>
              <w:left w:w="72" w:type="dxa"/>
              <w:right w:w="72" w:type="dxa"/>
            </w:tcMar>
            <w:vAlign w:val="center"/>
          </w:tcPr>
          <w:p w14:paraId="0DAC9CA9" w14:textId="77777777" w:rsidR="00775322" w:rsidRPr="00C46BE1" w:rsidRDefault="00775322" w:rsidP="00775322">
            <w:pPr>
              <w:jc w:val="center"/>
              <w:rPr>
                <w:rFonts w:ascii="Tw Cen MT" w:hAnsi="Tw Cen MT"/>
                <w:color w:val="000000"/>
                <w:sz w:val="21"/>
                <w:szCs w:val="21"/>
              </w:rPr>
            </w:pPr>
            <w:r w:rsidRPr="00C46BE1">
              <w:rPr>
                <w:rFonts w:ascii="Tw Cen MT" w:hAnsi="Tw Cen MT"/>
                <w:color w:val="000000"/>
                <w:sz w:val="21"/>
                <w:szCs w:val="21"/>
              </w:rPr>
              <w:t>7.25</w:t>
            </w:r>
          </w:p>
        </w:tc>
        <w:tc>
          <w:tcPr>
            <w:tcW w:w="810" w:type="dxa"/>
            <w:tcMar>
              <w:left w:w="72" w:type="dxa"/>
              <w:right w:w="72" w:type="dxa"/>
            </w:tcMar>
            <w:vAlign w:val="center"/>
          </w:tcPr>
          <w:p w14:paraId="3202C574" w14:textId="77777777" w:rsidR="00775322" w:rsidRPr="00C46BE1" w:rsidRDefault="00775322" w:rsidP="00775322">
            <w:pPr>
              <w:jc w:val="center"/>
              <w:rPr>
                <w:rFonts w:ascii="Tw Cen MT" w:hAnsi="Tw Cen MT"/>
                <w:color w:val="000000"/>
                <w:sz w:val="21"/>
                <w:szCs w:val="21"/>
              </w:rPr>
            </w:pPr>
            <w:r w:rsidRPr="00C46BE1">
              <w:rPr>
                <w:rFonts w:ascii="Tw Cen MT" w:hAnsi="Tw Cen MT"/>
                <w:color w:val="000000"/>
                <w:sz w:val="21"/>
                <w:szCs w:val="21"/>
              </w:rPr>
              <w:t>87</w:t>
            </w:r>
          </w:p>
        </w:tc>
      </w:tr>
      <w:tr w:rsidR="00C43735" w:rsidRPr="00C46BE1" w14:paraId="7A036006" w14:textId="77777777" w:rsidTr="003B635A">
        <w:trPr>
          <w:trHeight w:val="464"/>
        </w:trPr>
        <w:tc>
          <w:tcPr>
            <w:tcW w:w="1710" w:type="dxa"/>
            <w:shd w:val="clear" w:color="auto" w:fill="auto"/>
            <w:tcMar>
              <w:left w:w="72" w:type="dxa"/>
              <w:right w:w="72" w:type="dxa"/>
            </w:tcMar>
            <w:vAlign w:val="center"/>
          </w:tcPr>
          <w:p w14:paraId="3B9935D9" w14:textId="5D0BDDCF" w:rsidR="00775322" w:rsidRPr="00C46BE1" w:rsidRDefault="00775322" w:rsidP="00775322">
            <w:pPr>
              <w:jc w:val="left"/>
              <w:rPr>
                <w:rFonts w:ascii="Tw Cen MT" w:hAnsi="Tw Cen MT"/>
                <w:color w:val="000000"/>
                <w:sz w:val="21"/>
                <w:szCs w:val="21"/>
              </w:rPr>
            </w:pPr>
            <w:r w:rsidRPr="00C46BE1">
              <w:rPr>
                <w:rFonts w:ascii="Tw Cen MT" w:hAnsi="Tw Cen MT"/>
                <w:color w:val="000000"/>
                <w:sz w:val="21"/>
                <w:szCs w:val="21"/>
              </w:rPr>
              <w:t>Project Evaluators</w:t>
            </w:r>
          </w:p>
        </w:tc>
        <w:tc>
          <w:tcPr>
            <w:tcW w:w="1980" w:type="dxa"/>
            <w:tcMar>
              <w:left w:w="72" w:type="dxa"/>
              <w:right w:w="72" w:type="dxa"/>
            </w:tcMar>
            <w:vAlign w:val="center"/>
          </w:tcPr>
          <w:p w14:paraId="7FB3A43D" w14:textId="0AC9FEFB" w:rsidR="00775322" w:rsidRPr="00C46BE1" w:rsidRDefault="00775322" w:rsidP="004B1069">
            <w:pPr>
              <w:jc w:val="left"/>
              <w:rPr>
                <w:rFonts w:ascii="Tw Cen MT" w:hAnsi="Tw Cen MT"/>
                <w:color w:val="000000"/>
                <w:sz w:val="21"/>
                <w:szCs w:val="21"/>
              </w:rPr>
            </w:pPr>
            <w:r w:rsidRPr="00C46BE1">
              <w:rPr>
                <w:rFonts w:ascii="Tw Cen MT" w:hAnsi="Tw Cen MT"/>
                <w:color w:val="000000"/>
                <w:sz w:val="21"/>
                <w:szCs w:val="21"/>
              </w:rPr>
              <w:t>18-Month Tool</w:t>
            </w:r>
          </w:p>
        </w:tc>
        <w:tc>
          <w:tcPr>
            <w:tcW w:w="1170" w:type="dxa"/>
            <w:tcMar>
              <w:left w:w="72" w:type="dxa"/>
              <w:right w:w="72" w:type="dxa"/>
            </w:tcMar>
            <w:vAlign w:val="center"/>
          </w:tcPr>
          <w:p w14:paraId="29B0B345" w14:textId="77777777" w:rsidR="00775322" w:rsidRPr="00C46BE1" w:rsidRDefault="00775322" w:rsidP="00775322">
            <w:pPr>
              <w:jc w:val="center"/>
              <w:rPr>
                <w:rFonts w:ascii="Tw Cen MT" w:hAnsi="Tw Cen MT"/>
                <w:color w:val="000000"/>
                <w:sz w:val="21"/>
                <w:szCs w:val="21"/>
              </w:rPr>
            </w:pPr>
            <w:r w:rsidRPr="00C46BE1">
              <w:rPr>
                <w:rFonts w:ascii="Tw Cen MT" w:hAnsi="Tw Cen MT"/>
                <w:color w:val="000000"/>
                <w:sz w:val="21"/>
                <w:szCs w:val="21"/>
              </w:rPr>
              <w:t>17</w:t>
            </w:r>
          </w:p>
        </w:tc>
        <w:tc>
          <w:tcPr>
            <w:tcW w:w="1080" w:type="dxa"/>
            <w:tcMar>
              <w:left w:w="72" w:type="dxa"/>
              <w:right w:w="72" w:type="dxa"/>
            </w:tcMar>
            <w:vAlign w:val="center"/>
          </w:tcPr>
          <w:p w14:paraId="7ADA2253" w14:textId="08B36035" w:rsidR="00775322" w:rsidRPr="00C46BE1" w:rsidRDefault="00542283" w:rsidP="00775322">
            <w:pPr>
              <w:jc w:val="center"/>
              <w:rPr>
                <w:rFonts w:ascii="Tw Cen MT" w:hAnsi="Tw Cen MT"/>
                <w:sz w:val="21"/>
                <w:szCs w:val="21"/>
              </w:rPr>
            </w:pPr>
            <w:r w:rsidRPr="00C46BE1">
              <w:rPr>
                <w:rFonts w:ascii="Tw Cen MT" w:hAnsi="Tw Cen MT"/>
                <w:color w:val="000000"/>
                <w:sz w:val="21"/>
                <w:szCs w:val="21"/>
              </w:rPr>
              <w:t>1</w:t>
            </w:r>
          </w:p>
        </w:tc>
        <w:tc>
          <w:tcPr>
            <w:tcW w:w="990" w:type="dxa"/>
            <w:tcMar>
              <w:left w:w="72" w:type="dxa"/>
              <w:right w:w="72" w:type="dxa"/>
            </w:tcMar>
            <w:vAlign w:val="center"/>
          </w:tcPr>
          <w:p w14:paraId="1D63B634" w14:textId="647E77FD" w:rsidR="00775322" w:rsidRPr="00C46BE1" w:rsidRDefault="00542283" w:rsidP="00775322">
            <w:pPr>
              <w:jc w:val="center"/>
              <w:rPr>
                <w:rFonts w:ascii="Tw Cen MT" w:hAnsi="Tw Cen MT"/>
                <w:color w:val="000000"/>
                <w:sz w:val="21"/>
                <w:szCs w:val="21"/>
              </w:rPr>
            </w:pPr>
            <w:r w:rsidRPr="00C46BE1">
              <w:rPr>
                <w:rFonts w:ascii="Tw Cen MT" w:hAnsi="Tw Cen MT"/>
                <w:color w:val="000000"/>
                <w:sz w:val="21"/>
                <w:szCs w:val="21"/>
              </w:rPr>
              <w:t>17</w:t>
            </w:r>
          </w:p>
        </w:tc>
        <w:tc>
          <w:tcPr>
            <w:tcW w:w="900" w:type="dxa"/>
            <w:tcMar>
              <w:left w:w="72" w:type="dxa"/>
              <w:right w:w="72" w:type="dxa"/>
            </w:tcMar>
            <w:vAlign w:val="center"/>
          </w:tcPr>
          <w:p w14:paraId="155199AC" w14:textId="3F3DF07F" w:rsidR="00775322" w:rsidRPr="00C46BE1" w:rsidRDefault="00542283" w:rsidP="0011269D">
            <w:pPr>
              <w:jc w:val="center"/>
              <w:rPr>
                <w:rFonts w:ascii="Tw Cen MT" w:hAnsi="Tw Cen MT"/>
                <w:color w:val="000000"/>
                <w:sz w:val="21"/>
                <w:szCs w:val="21"/>
              </w:rPr>
            </w:pPr>
            <w:r w:rsidRPr="00C46BE1">
              <w:rPr>
                <w:rFonts w:ascii="Tw Cen MT" w:hAnsi="Tw Cen MT"/>
                <w:color w:val="000000"/>
                <w:sz w:val="21"/>
                <w:szCs w:val="21"/>
              </w:rPr>
              <w:t>5.4</w:t>
            </w:r>
          </w:p>
        </w:tc>
        <w:tc>
          <w:tcPr>
            <w:tcW w:w="810" w:type="dxa"/>
            <w:tcMar>
              <w:left w:w="72" w:type="dxa"/>
              <w:right w:w="72" w:type="dxa"/>
            </w:tcMar>
            <w:vAlign w:val="center"/>
          </w:tcPr>
          <w:p w14:paraId="76811879" w14:textId="18EB814A" w:rsidR="00775322" w:rsidRPr="00C46BE1" w:rsidRDefault="00542283" w:rsidP="00775322">
            <w:pPr>
              <w:jc w:val="center"/>
              <w:rPr>
                <w:rFonts w:ascii="Tw Cen MT" w:hAnsi="Tw Cen MT"/>
                <w:color w:val="000000"/>
                <w:sz w:val="21"/>
                <w:szCs w:val="21"/>
              </w:rPr>
            </w:pPr>
            <w:r w:rsidRPr="00C46BE1">
              <w:rPr>
                <w:rFonts w:ascii="Tw Cen MT" w:hAnsi="Tw Cen MT"/>
                <w:color w:val="000000"/>
                <w:sz w:val="21"/>
                <w:szCs w:val="21"/>
              </w:rPr>
              <w:t>92</w:t>
            </w:r>
          </w:p>
        </w:tc>
        <w:tc>
          <w:tcPr>
            <w:tcW w:w="720" w:type="dxa"/>
            <w:tcMar>
              <w:left w:w="72" w:type="dxa"/>
              <w:right w:w="72" w:type="dxa"/>
            </w:tcMar>
            <w:vAlign w:val="center"/>
          </w:tcPr>
          <w:p w14:paraId="5194D49D" w14:textId="77777777" w:rsidR="00775322" w:rsidRPr="00C46BE1" w:rsidRDefault="00775322" w:rsidP="00775322">
            <w:pPr>
              <w:jc w:val="center"/>
              <w:rPr>
                <w:rFonts w:ascii="Tw Cen MT" w:hAnsi="Tw Cen MT"/>
                <w:color w:val="000000"/>
                <w:sz w:val="21"/>
                <w:szCs w:val="21"/>
              </w:rPr>
            </w:pPr>
            <w:r w:rsidRPr="00C46BE1">
              <w:rPr>
                <w:rFonts w:ascii="Tw Cen MT" w:hAnsi="Tw Cen MT"/>
                <w:color w:val="000000"/>
                <w:sz w:val="21"/>
                <w:szCs w:val="21"/>
              </w:rPr>
              <w:t>36.72</w:t>
            </w:r>
          </w:p>
        </w:tc>
        <w:tc>
          <w:tcPr>
            <w:tcW w:w="810" w:type="dxa"/>
            <w:tcMar>
              <w:left w:w="72" w:type="dxa"/>
              <w:right w:w="72" w:type="dxa"/>
            </w:tcMar>
            <w:vAlign w:val="center"/>
          </w:tcPr>
          <w:p w14:paraId="55AD7236" w14:textId="39734B75" w:rsidR="00775322" w:rsidRPr="00C46BE1" w:rsidRDefault="00542283" w:rsidP="00EF71A4">
            <w:pPr>
              <w:jc w:val="center"/>
              <w:rPr>
                <w:rFonts w:ascii="Tw Cen MT" w:hAnsi="Tw Cen MT"/>
                <w:color w:val="000000"/>
                <w:sz w:val="21"/>
                <w:szCs w:val="21"/>
              </w:rPr>
            </w:pPr>
            <w:r w:rsidRPr="00C46BE1">
              <w:rPr>
                <w:rFonts w:ascii="Tw Cen MT" w:hAnsi="Tw Cen MT"/>
                <w:color w:val="000000"/>
                <w:sz w:val="21"/>
                <w:szCs w:val="21"/>
              </w:rPr>
              <w:t>3,37</w:t>
            </w:r>
            <w:r w:rsidR="00EF71A4" w:rsidRPr="00C46BE1">
              <w:rPr>
                <w:rFonts w:ascii="Tw Cen MT" w:hAnsi="Tw Cen MT"/>
                <w:color w:val="000000"/>
                <w:sz w:val="21"/>
                <w:szCs w:val="21"/>
              </w:rPr>
              <w:t>8</w:t>
            </w:r>
          </w:p>
        </w:tc>
      </w:tr>
      <w:tr w:rsidR="00C43735" w:rsidRPr="00C46BE1" w14:paraId="420A747F" w14:textId="77777777" w:rsidTr="003B635A">
        <w:trPr>
          <w:trHeight w:val="464"/>
        </w:trPr>
        <w:tc>
          <w:tcPr>
            <w:tcW w:w="1710" w:type="dxa"/>
            <w:shd w:val="clear" w:color="auto" w:fill="auto"/>
            <w:tcMar>
              <w:left w:w="72" w:type="dxa"/>
              <w:right w:w="72" w:type="dxa"/>
            </w:tcMar>
            <w:vAlign w:val="center"/>
          </w:tcPr>
          <w:p w14:paraId="6E87C149" w14:textId="72DA0C34" w:rsidR="00775322" w:rsidRPr="00C46BE1" w:rsidRDefault="00775322" w:rsidP="00775322">
            <w:pPr>
              <w:jc w:val="left"/>
              <w:rPr>
                <w:rFonts w:ascii="Tw Cen MT" w:hAnsi="Tw Cen MT"/>
                <w:color w:val="000000"/>
                <w:sz w:val="21"/>
                <w:szCs w:val="21"/>
              </w:rPr>
            </w:pPr>
            <w:r w:rsidRPr="00C46BE1">
              <w:rPr>
                <w:rFonts w:ascii="Tw Cen MT" w:hAnsi="Tw Cen MT"/>
                <w:color w:val="000000"/>
                <w:sz w:val="21"/>
                <w:szCs w:val="21"/>
              </w:rPr>
              <w:t>Court Clerks</w:t>
            </w:r>
          </w:p>
        </w:tc>
        <w:tc>
          <w:tcPr>
            <w:tcW w:w="1980" w:type="dxa"/>
            <w:tcMar>
              <w:left w:w="72" w:type="dxa"/>
              <w:right w:w="72" w:type="dxa"/>
            </w:tcMar>
            <w:vAlign w:val="center"/>
          </w:tcPr>
          <w:p w14:paraId="690EF824" w14:textId="7DBA5FF0" w:rsidR="00775322" w:rsidRPr="00C46BE1" w:rsidRDefault="004B1069" w:rsidP="004B1069">
            <w:pPr>
              <w:jc w:val="left"/>
              <w:rPr>
                <w:rFonts w:ascii="Tw Cen MT" w:hAnsi="Tw Cen MT"/>
                <w:color w:val="000000"/>
                <w:sz w:val="21"/>
                <w:szCs w:val="21"/>
              </w:rPr>
            </w:pPr>
            <w:r w:rsidRPr="00C46BE1">
              <w:rPr>
                <w:rFonts w:ascii="Tw Cen MT" w:hAnsi="Tw Cen MT"/>
                <w:color w:val="000000"/>
                <w:sz w:val="21"/>
                <w:szCs w:val="21"/>
              </w:rPr>
              <w:t xml:space="preserve">Comparison Study </w:t>
            </w:r>
            <w:r w:rsidR="00775322" w:rsidRPr="00C46BE1">
              <w:rPr>
                <w:rFonts w:ascii="Tw Cen MT" w:hAnsi="Tw Cen MT"/>
                <w:color w:val="000000"/>
                <w:sz w:val="21"/>
                <w:szCs w:val="21"/>
              </w:rPr>
              <w:t>18-Month Tool</w:t>
            </w:r>
          </w:p>
        </w:tc>
        <w:tc>
          <w:tcPr>
            <w:tcW w:w="1170" w:type="dxa"/>
            <w:tcMar>
              <w:left w:w="72" w:type="dxa"/>
              <w:right w:w="72" w:type="dxa"/>
            </w:tcMar>
            <w:vAlign w:val="center"/>
          </w:tcPr>
          <w:p w14:paraId="7E526932" w14:textId="77777777" w:rsidR="00775322" w:rsidRPr="00C46BE1" w:rsidRDefault="00775322" w:rsidP="00775322">
            <w:pPr>
              <w:jc w:val="center"/>
              <w:rPr>
                <w:rFonts w:ascii="Tw Cen MT" w:hAnsi="Tw Cen MT"/>
                <w:color w:val="000000"/>
                <w:sz w:val="21"/>
                <w:szCs w:val="21"/>
              </w:rPr>
            </w:pPr>
            <w:r w:rsidRPr="00C46BE1">
              <w:rPr>
                <w:rFonts w:ascii="Tw Cen MT" w:hAnsi="Tw Cen MT"/>
                <w:color w:val="000000"/>
                <w:sz w:val="21"/>
                <w:szCs w:val="21"/>
              </w:rPr>
              <w:t>2</w:t>
            </w:r>
          </w:p>
        </w:tc>
        <w:tc>
          <w:tcPr>
            <w:tcW w:w="1080" w:type="dxa"/>
            <w:tcMar>
              <w:left w:w="72" w:type="dxa"/>
              <w:right w:w="72" w:type="dxa"/>
            </w:tcMar>
            <w:vAlign w:val="center"/>
          </w:tcPr>
          <w:p w14:paraId="3A9AA77D" w14:textId="2916E3A3" w:rsidR="00775322" w:rsidRPr="00C46BE1" w:rsidRDefault="00203EEB" w:rsidP="00775322">
            <w:pPr>
              <w:jc w:val="center"/>
              <w:rPr>
                <w:rFonts w:ascii="Tw Cen MT" w:hAnsi="Tw Cen MT"/>
                <w:sz w:val="21"/>
                <w:szCs w:val="21"/>
              </w:rPr>
            </w:pPr>
            <w:r w:rsidRPr="00C46BE1">
              <w:rPr>
                <w:rFonts w:ascii="Tw Cen MT" w:hAnsi="Tw Cen MT"/>
                <w:color w:val="000000"/>
                <w:sz w:val="21"/>
                <w:szCs w:val="21"/>
              </w:rPr>
              <w:t>1</w:t>
            </w:r>
          </w:p>
        </w:tc>
        <w:tc>
          <w:tcPr>
            <w:tcW w:w="990" w:type="dxa"/>
            <w:tcMar>
              <w:left w:w="72" w:type="dxa"/>
              <w:right w:w="72" w:type="dxa"/>
            </w:tcMar>
            <w:vAlign w:val="center"/>
          </w:tcPr>
          <w:p w14:paraId="5A1837DB" w14:textId="6E27BC07" w:rsidR="00775322" w:rsidRPr="00C46BE1" w:rsidRDefault="00203EEB" w:rsidP="00775322">
            <w:pPr>
              <w:jc w:val="center"/>
              <w:rPr>
                <w:rFonts w:ascii="Tw Cen MT" w:hAnsi="Tw Cen MT"/>
                <w:color w:val="000000"/>
                <w:sz w:val="21"/>
                <w:szCs w:val="21"/>
              </w:rPr>
            </w:pPr>
            <w:r w:rsidRPr="00C46BE1">
              <w:rPr>
                <w:rFonts w:ascii="Tw Cen MT" w:hAnsi="Tw Cen MT"/>
                <w:color w:val="000000"/>
                <w:sz w:val="21"/>
                <w:szCs w:val="21"/>
              </w:rPr>
              <w:t>2</w:t>
            </w:r>
          </w:p>
        </w:tc>
        <w:tc>
          <w:tcPr>
            <w:tcW w:w="900" w:type="dxa"/>
            <w:tcMar>
              <w:left w:w="72" w:type="dxa"/>
              <w:right w:w="72" w:type="dxa"/>
            </w:tcMar>
            <w:vAlign w:val="center"/>
          </w:tcPr>
          <w:p w14:paraId="6E23B767" w14:textId="4640102D" w:rsidR="00775322" w:rsidRPr="00C46BE1" w:rsidRDefault="00203EEB" w:rsidP="0011269D">
            <w:pPr>
              <w:jc w:val="center"/>
              <w:rPr>
                <w:rFonts w:ascii="Tw Cen MT" w:hAnsi="Tw Cen MT"/>
                <w:color w:val="000000"/>
                <w:sz w:val="21"/>
                <w:szCs w:val="21"/>
              </w:rPr>
            </w:pPr>
            <w:r w:rsidRPr="00C46BE1">
              <w:rPr>
                <w:rFonts w:ascii="Tw Cen MT" w:hAnsi="Tw Cen MT"/>
                <w:color w:val="000000"/>
                <w:sz w:val="21"/>
                <w:szCs w:val="21"/>
              </w:rPr>
              <w:t>5.4</w:t>
            </w:r>
          </w:p>
        </w:tc>
        <w:tc>
          <w:tcPr>
            <w:tcW w:w="810" w:type="dxa"/>
            <w:tcMar>
              <w:left w:w="72" w:type="dxa"/>
              <w:right w:w="72" w:type="dxa"/>
            </w:tcMar>
            <w:vAlign w:val="center"/>
          </w:tcPr>
          <w:p w14:paraId="6B3FEB5E" w14:textId="45005849" w:rsidR="00775322" w:rsidRPr="00C46BE1" w:rsidRDefault="0011269D" w:rsidP="00775322">
            <w:pPr>
              <w:jc w:val="center"/>
              <w:rPr>
                <w:rFonts w:ascii="Tw Cen MT" w:hAnsi="Tw Cen MT"/>
                <w:color w:val="000000"/>
                <w:sz w:val="21"/>
                <w:szCs w:val="21"/>
              </w:rPr>
            </w:pPr>
            <w:r w:rsidRPr="00C46BE1">
              <w:rPr>
                <w:rFonts w:ascii="Tw Cen MT" w:hAnsi="Tw Cen MT"/>
                <w:color w:val="000000"/>
                <w:sz w:val="21"/>
                <w:szCs w:val="21"/>
              </w:rPr>
              <w:t>11</w:t>
            </w:r>
          </w:p>
        </w:tc>
        <w:tc>
          <w:tcPr>
            <w:tcW w:w="720" w:type="dxa"/>
            <w:tcMar>
              <w:left w:w="72" w:type="dxa"/>
              <w:right w:w="72" w:type="dxa"/>
            </w:tcMar>
            <w:vAlign w:val="center"/>
          </w:tcPr>
          <w:p w14:paraId="0E356638" w14:textId="77777777" w:rsidR="00775322" w:rsidRPr="00C46BE1" w:rsidRDefault="00775322" w:rsidP="00775322">
            <w:pPr>
              <w:jc w:val="center"/>
              <w:rPr>
                <w:rFonts w:ascii="Tw Cen MT" w:hAnsi="Tw Cen MT"/>
                <w:color w:val="000000"/>
                <w:sz w:val="21"/>
                <w:szCs w:val="21"/>
              </w:rPr>
            </w:pPr>
            <w:r w:rsidRPr="00C46BE1">
              <w:rPr>
                <w:rFonts w:ascii="Tw Cen MT" w:hAnsi="Tw Cen MT"/>
                <w:color w:val="000000"/>
                <w:sz w:val="21"/>
                <w:szCs w:val="21"/>
              </w:rPr>
              <w:t>17.05</w:t>
            </w:r>
          </w:p>
        </w:tc>
        <w:tc>
          <w:tcPr>
            <w:tcW w:w="810" w:type="dxa"/>
            <w:tcMar>
              <w:left w:w="72" w:type="dxa"/>
              <w:right w:w="72" w:type="dxa"/>
            </w:tcMar>
            <w:vAlign w:val="center"/>
          </w:tcPr>
          <w:p w14:paraId="319F2991" w14:textId="2857CA57" w:rsidR="00775322" w:rsidRPr="00C46BE1" w:rsidRDefault="00203EEB" w:rsidP="00EF71A4">
            <w:pPr>
              <w:jc w:val="center"/>
              <w:rPr>
                <w:rFonts w:ascii="Tw Cen MT" w:hAnsi="Tw Cen MT"/>
                <w:color w:val="000000"/>
                <w:sz w:val="21"/>
                <w:szCs w:val="21"/>
              </w:rPr>
            </w:pPr>
            <w:r w:rsidRPr="00C46BE1">
              <w:rPr>
                <w:rFonts w:ascii="Tw Cen MT" w:hAnsi="Tw Cen MT"/>
                <w:color w:val="000000"/>
                <w:sz w:val="21"/>
                <w:szCs w:val="21"/>
              </w:rPr>
              <w:t>18</w:t>
            </w:r>
            <w:r w:rsidR="00EF71A4" w:rsidRPr="00C46BE1">
              <w:rPr>
                <w:rFonts w:ascii="Tw Cen MT" w:hAnsi="Tw Cen MT"/>
                <w:color w:val="000000"/>
                <w:sz w:val="21"/>
                <w:szCs w:val="21"/>
              </w:rPr>
              <w:t>8</w:t>
            </w:r>
          </w:p>
        </w:tc>
      </w:tr>
      <w:tr w:rsidR="00C43735" w:rsidRPr="00C46BE1" w14:paraId="24372291" w14:textId="77777777" w:rsidTr="003B635A">
        <w:trPr>
          <w:trHeight w:val="350"/>
        </w:trPr>
        <w:tc>
          <w:tcPr>
            <w:tcW w:w="1710" w:type="dxa"/>
            <w:shd w:val="clear" w:color="auto" w:fill="auto"/>
            <w:tcMar>
              <w:left w:w="72" w:type="dxa"/>
              <w:right w:w="72" w:type="dxa"/>
            </w:tcMar>
            <w:vAlign w:val="center"/>
          </w:tcPr>
          <w:p w14:paraId="2623F74B" w14:textId="33BF54B5" w:rsidR="00775322" w:rsidRPr="00C46BE1" w:rsidRDefault="00775322" w:rsidP="00775322">
            <w:pPr>
              <w:jc w:val="left"/>
              <w:rPr>
                <w:rFonts w:ascii="Tw Cen MT" w:hAnsi="Tw Cen MT"/>
                <w:sz w:val="21"/>
                <w:szCs w:val="21"/>
              </w:rPr>
            </w:pPr>
            <w:r w:rsidRPr="00C46BE1">
              <w:rPr>
                <w:rFonts w:ascii="Tw Cen MT" w:hAnsi="Tw Cen MT"/>
                <w:color w:val="000000"/>
                <w:sz w:val="21"/>
                <w:szCs w:val="21"/>
              </w:rPr>
              <w:t>Court Clerks</w:t>
            </w:r>
          </w:p>
        </w:tc>
        <w:tc>
          <w:tcPr>
            <w:tcW w:w="1980" w:type="dxa"/>
            <w:tcMar>
              <w:left w:w="72" w:type="dxa"/>
              <w:right w:w="72" w:type="dxa"/>
            </w:tcMar>
            <w:vAlign w:val="center"/>
          </w:tcPr>
          <w:p w14:paraId="4CD2B2D7" w14:textId="41F9B503" w:rsidR="00775322" w:rsidRPr="00C46BE1" w:rsidRDefault="00775322" w:rsidP="00646C54">
            <w:pPr>
              <w:jc w:val="left"/>
              <w:rPr>
                <w:rFonts w:ascii="Tw Cen MT" w:hAnsi="Tw Cen MT"/>
                <w:color w:val="000000"/>
                <w:sz w:val="21"/>
                <w:szCs w:val="21"/>
              </w:rPr>
            </w:pPr>
            <w:r w:rsidRPr="00C46BE1">
              <w:rPr>
                <w:rFonts w:ascii="Tw Cen MT" w:hAnsi="Tw Cen MT"/>
                <w:color w:val="000000"/>
                <w:sz w:val="21"/>
                <w:szCs w:val="21"/>
              </w:rPr>
              <w:t>Comparison Study Tool</w:t>
            </w:r>
            <w:r w:rsidR="004B1069" w:rsidRPr="00C46BE1">
              <w:rPr>
                <w:rFonts w:ascii="Tw Cen MT" w:hAnsi="Tw Cen MT"/>
                <w:color w:val="000000"/>
                <w:sz w:val="21"/>
                <w:szCs w:val="21"/>
              </w:rPr>
              <w:t xml:space="preserve"> BL Version</w:t>
            </w:r>
          </w:p>
        </w:tc>
        <w:tc>
          <w:tcPr>
            <w:tcW w:w="1170" w:type="dxa"/>
            <w:tcMar>
              <w:left w:w="72" w:type="dxa"/>
              <w:right w:w="72" w:type="dxa"/>
            </w:tcMar>
            <w:vAlign w:val="center"/>
          </w:tcPr>
          <w:p w14:paraId="4A23BD98" w14:textId="77777777" w:rsidR="00775322" w:rsidRPr="00C46BE1" w:rsidRDefault="00775322" w:rsidP="00775322">
            <w:pPr>
              <w:jc w:val="center"/>
              <w:rPr>
                <w:rFonts w:ascii="Tw Cen MT" w:hAnsi="Tw Cen MT"/>
                <w:color w:val="000000"/>
                <w:sz w:val="21"/>
                <w:szCs w:val="21"/>
              </w:rPr>
            </w:pPr>
            <w:r w:rsidRPr="00C46BE1">
              <w:rPr>
                <w:rFonts w:ascii="Tw Cen MT" w:hAnsi="Tw Cen MT"/>
                <w:color w:val="000000"/>
                <w:sz w:val="21"/>
                <w:szCs w:val="21"/>
              </w:rPr>
              <w:t>2</w:t>
            </w:r>
          </w:p>
        </w:tc>
        <w:tc>
          <w:tcPr>
            <w:tcW w:w="1080" w:type="dxa"/>
            <w:tcMar>
              <w:left w:w="72" w:type="dxa"/>
              <w:right w:w="72" w:type="dxa"/>
            </w:tcMar>
            <w:vAlign w:val="center"/>
          </w:tcPr>
          <w:p w14:paraId="582D41BD" w14:textId="604DCD0E" w:rsidR="00775322" w:rsidRPr="00C46BE1" w:rsidRDefault="00203EEB" w:rsidP="00775322">
            <w:pPr>
              <w:jc w:val="center"/>
              <w:rPr>
                <w:rFonts w:ascii="Tw Cen MT" w:hAnsi="Tw Cen MT"/>
                <w:sz w:val="21"/>
                <w:szCs w:val="21"/>
              </w:rPr>
            </w:pPr>
            <w:r w:rsidRPr="00C46BE1">
              <w:rPr>
                <w:rFonts w:ascii="Tw Cen MT" w:hAnsi="Tw Cen MT"/>
                <w:color w:val="000000"/>
                <w:sz w:val="21"/>
                <w:szCs w:val="21"/>
              </w:rPr>
              <w:t>1</w:t>
            </w:r>
          </w:p>
        </w:tc>
        <w:tc>
          <w:tcPr>
            <w:tcW w:w="990" w:type="dxa"/>
            <w:tcMar>
              <w:left w:w="72" w:type="dxa"/>
              <w:right w:w="72" w:type="dxa"/>
            </w:tcMar>
            <w:vAlign w:val="center"/>
          </w:tcPr>
          <w:p w14:paraId="5B3FE17A" w14:textId="23C071C5" w:rsidR="00775322" w:rsidRPr="00C46BE1" w:rsidRDefault="00203EEB" w:rsidP="00775322">
            <w:pPr>
              <w:jc w:val="center"/>
              <w:rPr>
                <w:rFonts w:ascii="Tw Cen MT" w:hAnsi="Tw Cen MT"/>
                <w:color w:val="000000"/>
                <w:sz w:val="21"/>
                <w:szCs w:val="21"/>
              </w:rPr>
            </w:pPr>
            <w:r w:rsidRPr="00C46BE1">
              <w:rPr>
                <w:rFonts w:ascii="Tw Cen MT" w:hAnsi="Tw Cen MT"/>
                <w:color w:val="000000"/>
                <w:sz w:val="21"/>
                <w:szCs w:val="21"/>
              </w:rPr>
              <w:t>2</w:t>
            </w:r>
          </w:p>
        </w:tc>
        <w:tc>
          <w:tcPr>
            <w:tcW w:w="900" w:type="dxa"/>
            <w:tcMar>
              <w:left w:w="72" w:type="dxa"/>
              <w:right w:w="72" w:type="dxa"/>
            </w:tcMar>
            <w:vAlign w:val="center"/>
          </w:tcPr>
          <w:p w14:paraId="3CB9DBCA" w14:textId="28D96AAF" w:rsidR="00775322" w:rsidRPr="00C46BE1" w:rsidRDefault="00203EEB" w:rsidP="00775322">
            <w:pPr>
              <w:jc w:val="center"/>
              <w:rPr>
                <w:rFonts w:ascii="Tw Cen MT" w:hAnsi="Tw Cen MT"/>
                <w:color w:val="000000"/>
                <w:sz w:val="21"/>
                <w:szCs w:val="21"/>
              </w:rPr>
            </w:pPr>
            <w:r w:rsidRPr="00C46BE1">
              <w:rPr>
                <w:rFonts w:ascii="Tw Cen MT" w:hAnsi="Tw Cen MT"/>
                <w:color w:val="000000"/>
                <w:sz w:val="21"/>
                <w:szCs w:val="21"/>
              </w:rPr>
              <w:t>7</w:t>
            </w:r>
          </w:p>
        </w:tc>
        <w:tc>
          <w:tcPr>
            <w:tcW w:w="810" w:type="dxa"/>
            <w:tcMar>
              <w:left w:w="72" w:type="dxa"/>
              <w:right w:w="72" w:type="dxa"/>
            </w:tcMar>
            <w:vAlign w:val="center"/>
          </w:tcPr>
          <w:p w14:paraId="41319F63" w14:textId="37DE866E" w:rsidR="00775322" w:rsidRPr="00C46BE1" w:rsidRDefault="00203EEB" w:rsidP="00775322">
            <w:pPr>
              <w:jc w:val="center"/>
              <w:rPr>
                <w:rFonts w:ascii="Tw Cen MT" w:hAnsi="Tw Cen MT"/>
                <w:color w:val="000000"/>
                <w:sz w:val="21"/>
                <w:szCs w:val="21"/>
              </w:rPr>
            </w:pPr>
            <w:r w:rsidRPr="00C46BE1">
              <w:rPr>
                <w:rFonts w:ascii="Tw Cen MT" w:hAnsi="Tw Cen MT"/>
                <w:color w:val="000000"/>
                <w:sz w:val="21"/>
                <w:szCs w:val="21"/>
              </w:rPr>
              <w:t>14</w:t>
            </w:r>
          </w:p>
        </w:tc>
        <w:tc>
          <w:tcPr>
            <w:tcW w:w="720" w:type="dxa"/>
            <w:tcMar>
              <w:left w:w="72" w:type="dxa"/>
              <w:right w:w="72" w:type="dxa"/>
            </w:tcMar>
            <w:vAlign w:val="center"/>
          </w:tcPr>
          <w:p w14:paraId="27BC6BFD" w14:textId="77777777" w:rsidR="00775322" w:rsidRPr="00C46BE1" w:rsidRDefault="00775322" w:rsidP="00775322">
            <w:pPr>
              <w:jc w:val="center"/>
              <w:rPr>
                <w:rFonts w:ascii="Tw Cen MT" w:hAnsi="Tw Cen MT"/>
                <w:color w:val="000000"/>
                <w:sz w:val="21"/>
                <w:szCs w:val="21"/>
              </w:rPr>
            </w:pPr>
            <w:r w:rsidRPr="00C46BE1">
              <w:rPr>
                <w:rFonts w:ascii="Tw Cen MT" w:hAnsi="Tw Cen MT"/>
                <w:color w:val="000000"/>
                <w:sz w:val="21"/>
                <w:szCs w:val="21"/>
              </w:rPr>
              <w:t>17.05</w:t>
            </w:r>
          </w:p>
        </w:tc>
        <w:tc>
          <w:tcPr>
            <w:tcW w:w="810" w:type="dxa"/>
            <w:tcMar>
              <w:left w:w="72" w:type="dxa"/>
              <w:right w:w="72" w:type="dxa"/>
            </w:tcMar>
            <w:vAlign w:val="center"/>
          </w:tcPr>
          <w:p w14:paraId="02878648" w14:textId="2F82E5CE" w:rsidR="00775322" w:rsidRPr="00C46BE1" w:rsidRDefault="00203EEB" w:rsidP="00EF71A4">
            <w:pPr>
              <w:jc w:val="center"/>
              <w:rPr>
                <w:rFonts w:ascii="Tw Cen MT" w:hAnsi="Tw Cen MT"/>
                <w:color w:val="000000"/>
                <w:sz w:val="21"/>
                <w:szCs w:val="21"/>
              </w:rPr>
            </w:pPr>
            <w:r w:rsidRPr="00C46BE1">
              <w:rPr>
                <w:rFonts w:ascii="Tw Cen MT" w:hAnsi="Tw Cen MT"/>
                <w:color w:val="000000"/>
                <w:sz w:val="21"/>
                <w:szCs w:val="21"/>
              </w:rPr>
              <w:t>23</w:t>
            </w:r>
            <w:r w:rsidR="00EF71A4" w:rsidRPr="00C46BE1">
              <w:rPr>
                <w:rFonts w:ascii="Tw Cen MT" w:hAnsi="Tw Cen MT"/>
                <w:color w:val="000000"/>
                <w:sz w:val="21"/>
                <w:szCs w:val="21"/>
              </w:rPr>
              <w:t>9</w:t>
            </w:r>
          </w:p>
        </w:tc>
      </w:tr>
      <w:tr w:rsidR="00C43735" w:rsidRPr="00C46BE1" w14:paraId="4DB4DCA2" w14:textId="77777777" w:rsidTr="003B635A">
        <w:trPr>
          <w:trHeight w:val="350"/>
        </w:trPr>
        <w:tc>
          <w:tcPr>
            <w:tcW w:w="1710" w:type="dxa"/>
            <w:shd w:val="clear" w:color="auto" w:fill="auto"/>
            <w:tcMar>
              <w:left w:w="72" w:type="dxa"/>
              <w:right w:w="72" w:type="dxa"/>
            </w:tcMar>
            <w:vAlign w:val="center"/>
          </w:tcPr>
          <w:p w14:paraId="7235E72C" w14:textId="4E216DC8" w:rsidR="00775322" w:rsidRPr="00C46BE1" w:rsidRDefault="00775322" w:rsidP="00775322">
            <w:pPr>
              <w:jc w:val="left"/>
              <w:rPr>
                <w:rFonts w:ascii="Tw Cen MT" w:hAnsi="Tw Cen MT"/>
                <w:sz w:val="21"/>
                <w:szCs w:val="21"/>
              </w:rPr>
            </w:pPr>
            <w:r w:rsidRPr="00C46BE1">
              <w:rPr>
                <w:rFonts w:ascii="Tw Cen MT" w:hAnsi="Tw Cen MT"/>
                <w:color w:val="000000"/>
                <w:sz w:val="21"/>
                <w:szCs w:val="21"/>
              </w:rPr>
              <w:t>Court Clerks</w:t>
            </w:r>
          </w:p>
        </w:tc>
        <w:tc>
          <w:tcPr>
            <w:tcW w:w="1980" w:type="dxa"/>
            <w:tcMar>
              <w:left w:w="72" w:type="dxa"/>
              <w:right w:w="72" w:type="dxa"/>
            </w:tcMar>
            <w:vAlign w:val="center"/>
          </w:tcPr>
          <w:p w14:paraId="18F2734E" w14:textId="6CB265E0" w:rsidR="00775322" w:rsidRPr="00C46BE1" w:rsidRDefault="00775322" w:rsidP="004B1069">
            <w:pPr>
              <w:jc w:val="left"/>
              <w:rPr>
                <w:rFonts w:ascii="Tw Cen MT" w:hAnsi="Tw Cen MT"/>
                <w:color w:val="000000"/>
                <w:sz w:val="21"/>
                <w:szCs w:val="21"/>
              </w:rPr>
            </w:pPr>
            <w:r w:rsidRPr="00C46BE1">
              <w:rPr>
                <w:rFonts w:ascii="Tw Cen MT" w:hAnsi="Tw Cen MT"/>
                <w:color w:val="000000"/>
                <w:sz w:val="21"/>
                <w:szCs w:val="21"/>
              </w:rPr>
              <w:t>Comparison Study Tool</w:t>
            </w:r>
            <w:r w:rsidR="004B1069" w:rsidRPr="00C46BE1">
              <w:rPr>
                <w:rFonts w:ascii="Tw Cen MT" w:hAnsi="Tw Cen MT"/>
                <w:color w:val="000000"/>
                <w:sz w:val="21"/>
                <w:szCs w:val="21"/>
              </w:rPr>
              <w:t xml:space="preserve"> 6-Month Version</w:t>
            </w:r>
          </w:p>
        </w:tc>
        <w:tc>
          <w:tcPr>
            <w:tcW w:w="1170" w:type="dxa"/>
            <w:tcMar>
              <w:left w:w="72" w:type="dxa"/>
              <w:right w:w="72" w:type="dxa"/>
            </w:tcMar>
            <w:vAlign w:val="center"/>
          </w:tcPr>
          <w:p w14:paraId="283E359A" w14:textId="77777777" w:rsidR="00775322" w:rsidRPr="00C46BE1" w:rsidRDefault="00775322" w:rsidP="00775322">
            <w:pPr>
              <w:jc w:val="center"/>
              <w:rPr>
                <w:rFonts w:ascii="Tw Cen MT" w:hAnsi="Tw Cen MT"/>
                <w:color w:val="000000"/>
                <w:sz w:val="21"/>
                <w:szCs w:val="21"/>
              </w:rPr>
            </w:pPr>
            <w:r w:rsidRPr="00C46BE1">
              <w:rPr>
                <w:rFonts w:ascii="Tw Cen MT" w:hAnsi="Tw Cen MT"/>
                <w:color w:val="000000"/>
                <w:sz w:val="21"/>
                <w:szCs w:val="21"/>
              </w:rPr>
              <w:t>2</w:t>
            </w:r>
          </w:p>
        </w:tc>
        <w:tc>
          <w:tcPr>
            <w:tcW w:w="1080" w:type="dxa"/>
            <w:tcMar>
              <w:left w:w="72" w:type="dxa"/>
              <w:right w:w="72" w:type="dxa"/>
            </w:tcMar>
            <w:vAlign w:val="center"/>
          </w:tcPr>
          <w:p w14:paraId="759B2C9C" w14:textId="6CFA64F7" w:rsidR="00775322" w:rsidRPr="00C46BE1" w:rsidRDefault="00203EEB" w:rsidP="00775322">
            <w:pPr>
              <w:jc w:val="center"/>
              <w:rPr>
                <w:rFonts w:ascii="Tw Cen MT" w:hAnsi="Tw Cen MT"/>
                <w:sz w:val="21"/>
                <w:szCs w:val="21"/>
              </w:rPr>
            </w:pPr>
            <w:r w:rsidRPr="00C46BE1">
              <w:rPr>
                <w:rFonts w:ascii="Tw Cen MT" w:hAnsi="Tw Cen MT"/>
                <w:color w:val="000000"/>
                <w:sz w:val="21"/>
                <w:szCs w:val="21"/>
              </w:rPr>
              <w:t>1</w:t>
            </w:r>
          </w:p>
        </w:tc>
        <w:tc>
          <w:tcPr>
            <w:tcW w:w="990" w:type="dxa"/>
            <w:tcMar>
              <w:left w:w="72" w:type="dxa"/>
              <w:right w:w="72" w:type="dxa"/>
            </w:tcMar>
            <w:vAlign w:val="center"/>
          </w:tcPr>
          <w:p w14:paraId="5D0B4A71" w14:textId="5D004E31" w:rsidR="00775322" w:rsidRPr="00C46BE1" w:rsidRDefault="00203EEB" w:rsidP="00775322">
            <w:pPr>
              <w:jc w:val="center"/>
              <w:rPr>
                <w:rFonts w:ascii="Tw Cen MT" w:hAnsi="Tw Cen MT"/>
                <w:color w:val="000000"/>
                <w:sz w:val="21"/>
                <w:szCs w:val="21"/>
              </w:rPr>
            </w:pPr>
            <w:r w:rsidRPr="00C46BE1">
              <w:rPr>
                <w:rFonts w:ascii="Tw Cen MT" w:hAnsi="Tw Cen MT"/>
                <w:color w:val="000000"/>
                <w:sz w:val="21"/>
                <w:szCs w:val="21"/>
              </w:rPr>
              <w:t>2</w:t>
            </w:r>
          </w:p>
        </w:tc>
        <w:tc>
          <w:tcPr>
            <w:tcW w:w="900" w:type="dxa"/>
            <w:tcMar>
              <w:left w:w="72" w:type="dxa"/>
              <w:right w:w="72" w:type="dxa"/>
            </w:tcMar>
            <w:vAlign w:val="center"/>
          </w:tcPr>
          <w:p w14:paraId="1533AEF0" w14:textId="6FC48E61" w:rsidR="00775322" w:rsidRPr="00C46BE1" w:rsidRDefault="00203EEB" w:rsidP="00775322">
            <w:pPr>
              <w:jc w:val="center"/>
              <w:rPr>
                <w:rFonts w:ascii="Tw Cen MT" w:hAnsi="Tw Cen MT"/>
                <w:color w:val="000000"/>
                <w:sz w:val="21"/>
                <w:szCs w:val="21"/>
              </w:rPr>
            </w:pPr>
            <w:r w:rsidRPr="00C46BE1">
              <w:rPr>
                <w:rFonts w:ascii="Tw Cen MT" w:hAnsi="Tw Cen MT"/>
                <w:color w:val="000000"/>
                <w:sz w:val="21"/>
                <w:szCs w:val="21"/>
              </w:rPr>
              <w:t>7</w:t>
            </w:r>
          </w:p>
        </w:tc>
        <w:tc>
          <w:tcPr>
            <w:tcW w:w="810" w:type="dxa"/>
            <w:tcMar>
              <w:left w:w="72" w:type="dxa"/>
              <w:right w:w="72" w:type="dxa"/>
            </w:tcMar>
            <w:vAlign w:val="center"/>
          </w:tcPr>
          <w:p w14:paraId="7ACAF783" w14:textId="6297249C" w:rsidR="00775322" w:rsidRPr="00C46BE1" w:rsidRDefault="00203EEB" w:rsidP="00775322">
            <w:pPr>
              <w:jc w:val="center"/>
              <w:rPr>
                <w:rFonts w:ascii="Tw Cen MT" w:hAnsi="Tw Cen MT"/>
                <w:color w:val="000000"/>
                <w:sz w:val="21"/>
                <w:szCs w:val="21"/>
              </w:rPr>
            </w:pPr>
            <w:r w:rsidRPr="00C46BE1">
              <w:rPr>
                <w:rFonts w:ascii="Tw Cen MT" w:hAnsi="Tw Cen MT"/>
                <w:color w:val="000000"/>
                <w:sz w:val="21"/>
                <w:szCs w:val="21"/>
              </w:rPr>
              <w:t>14</w:t>
            </w:r>
          </w:p>
        </w:tc>
        <w:tc>
          <w:tcPr>
            <w:tcW w:w="720" w:type="dxa"/>
            <w:tcMar>
              <w:left w:w="72" w:type="dxa"/>
              <w:right w:w="72" w:type="dxa"/>
            </w:tcMar>
            <w:vAlign w:val="center"/>
          </w:tcPr>
          <w:p w14:paraId="578663FC" w14:textId="77777777" w:rsidR="00775322" w:rsidRPr="00C46BE1" w:rsidRDefault="00775322" w:rsidP="00775322">
            <w:pPr>
              <w:jc w:val="center"/>
              <w:rPr>
                <w:rFonts w:ascii="Tw Cen MT" w:hAnsi="Tw Cen MT"/>
                <w:color w:val="000000"/>
                <w:sz w:val="21"/>
                <w:szCs w:val="21"/>
              </w:rPr>
            </w:pPr>
            <w:r w:rsidRPr="00C46BE1">
              <w:rPr>
                <w:rFonts w:ascii="Tw Cen MT" w:hAnsi="Tw Cen MT"/>
                <w:color w:val="000000"/>
                <w:sz w:val="21"/>
                <w:szCs w:val="21"/>
              </w:rPr>
              <w:t>17.05</w:t>
            </w:r>
          </w:p>
        </w:tc>
        <w:tc>
          <w:tcPr>
            <w:tcW w:w="810" w:type="dxa"/>
            <w:tcMar>
              <w:left w:w="72" w:type="dxa"/>
              <w:right w:w="72" w:type="dxa"/>
            </w:tcMar>
            <w:vAlign w:val="center"/>
          </w:tcPr>
          <w:p w14:paraId="59B69D14" w14:textId="40246691" w:rsidR="00775322" w:rsidRPr="00C46BE1" w:rsidRDefault="00203EEB" w:rsidP="00EF71A4">
            <w:pPr>
              <w:jc w:val="center"/>
              <w:rPr>
                <w:rFonts w:ascii="Tw Cen MT" w:hAnsi="Tw Cen MT"/>
                <w:color w:val="000000"/>
                <w:sz w:val="21"/>
                <w:szCs w:val="21"/>
              </w:rPr>
            </w:pPr>
            <w:r w:rsidRPr="00C46BE1">
              <w:rPr>
                <w:rFonts w:ascii="Tw Cen MT" w:hAnsi="Tw Cen MT"/>
                <w:color w:val="000000"/>
                <w:sz w:val="21"/>
                <w:szCs w:val="21"/>
              </w:rPr>
              <w:t>23</w:t>
            </w:r>
            <w:r w:rsidR="00EF71A4" w:rsidRPr="00C46BE1">
              <w:rPr>
                <w:rFonts w:ascii="Tw Cen MT" w:hAnsi="Tw Cen MT"/>
                <w:color w:val="000000"/>
                <w:sz w:val="21"/>
                <w:szCs w:val="21"/>
              </w:rPr>
              <w:t>9</w:t>
            </w:r>
          </w:p>
        </w:tc>
      </w:tr>
      <w:tr w:rsidR="00A80E0F" w:rsidRPr="00C46BE1" w14:paraId="78672E41" w14:textId="77777777" w:rsidTr="003B635A">
        <w:trPr>
          <w:trHeight w:val="350"/>
        </w:trPr>
        <w:tc>
          <w:tcPr>
            <w:tcW w:w="1710" w:type="dxa"/>
            <w:shd w:val="clear" w:color="auto" w:fill="auto"/>
            <w:tcMar>
              <w:left w:w="72" w:type="dxa"/>
              <w:right w:w="72" w:type="dxa"/>
            </w:tcMar>
            <w:vAlign w:val="center"/>
          </w:tcPr>
          <w:p w14:paraId="01D3E531" w14:textId="29666EB9" w:rsidR="00A80E0F" w:rsidRPr="00C46BE1" w:rsidRDefault="00A80E0F" w:rsidP="00775322">
            <w:pPr>
              <w:jc w:val="left"/>
              <w:rPr>
                <w:rFonts w:ascii="Tw Cen MT" w:hAnsi="Tw Cen MT"/>
                <w:color w:val="000000"/>
                <w:sz w:val="21"/>
                <w:szCs w:val="21"/>
              </w:rPr>
            </w:pPr>
            <w:r w:rsidRPr="00C46BE1">
              <w:rPr>
                <w:rFonts w:ascii="Tw Cen MT" w:hAnsi="Tw Cen MT"/>
                <w:color w:val="000000"/>
                <w:sz w:val="21"/>
                <w:szCs w:val="21"/>
              </w:rPr>
              <w:t>BHTCC Stakeholders</w:t>
            </w:r>
          </w:p>
        </w:tc>
        <w:tc>
          <w:tcPr>
            <w:tcW w:w="1980" w:type="dxa"/>
            <w:tcMar>
              <w:left w:w="72" w:type="dxa"/>
              <w:right w:w="72" w:type="dxa"/>
            </w:tcMar>
            <w:vAlign w:val="center"/>
          </w:tcPr>
          <w:p w14:paraId="390C44AB" w14:textId="73C0D73E" w:rsidR="00A80E0F" w:rsidRPr="00C46BE1" w:rsidRDefault="00A80E0F" w:rsidP="00646C54">
            <w:pPr>
              <w:jc w:val="left"/>
              <w:rPr>
                <w:rFonts w:ascii="Tw Cen MT" w:hAnsi="Tw Cen MT"/>
                <w:color w:val="000000"/>
                <w:sz w:val="21"/>
                <w:szCs w:val="21"/>
              </w:rPr>
            </w:pPr>
            <w:r w:rsidRPr="00C46BE1">
              <w:rPr>
                <w:rFonts w:ascii="Tw Cen MT" w:hAnsi="Tw Cen MT"/>
                <w:color w:val="000000"/>
                <w:sz w:val="21"/>
                <w:szCs w:val="21"/>
              </w:rPr>
              <w:t>Concept Mappin</w:t>
            </w:r>
            <w:r w:rsidR="0008439E" w:rsidRPr="00C46BE1">
              <w:rPr>
                <w:rFonts w:ascii="Tw Cen MT" w:hAnsi="Tw Cen MT"/>
                <w:color w:val="000000"/>
                <w:sz w:val="21"/>
                <w:szCs w:val="21"/>
              </w:rPr>
              <w:t>g</w:t>
            </w:r>
            <w:r w:rsidR="00646C54" w:rsidRPr="00C46BE1">
              <w:rPr>
                <w:rFonts w:ascii="Tw Cen MT" w:hAnsi="Tw Cen MT"/>
                <w:color w:val="000000"/>
                <w:sz w:val="21"/>
                <w:szCs w:val="21"/>
              </w:rPr>
              <w:t xml:space="preserve"> </w:t>
            </w:r>
            <w:r w:rsidR="0008439E" w:rsidRPr="00C46BE1">
              <w:rPr>
                <w:rFonts w:ascii="Tw Cen MT" w:hAnsi="Tw Cen MT"/>
                <w:color w:val="000000"/>
                <w:sz w:val="21"/>
                <w:szCs w:val="21"/>
              </w:rPr>
              <w:t>Brainstorming Activity</w:t>
            </w:r>
          </w:p>
        </w:tc>
        <w:tc>
          <w:tcPr>
            <w:tcW w:w="1170" w:type="dxa"/>
            <w:tcMar>
              <w:left w:w="72" w:type="dxa"/>
              <w:right w:w="72" w:type="dxa"/>
            </w:tcMar>
            <w:vAlign w:val="center"/>
          </w:tcPr>
          <w:p w14:paraId="26B332FC" w14:textId="62AF7448" w:rsidR="00A80E0F" w:rsidRPr="00C46BE1" w:rsidRDefault="001C2A2F" w:rsidP="00A80E0F">
            <w:pPr>
              <w:jc w:val="center"/>
              <w:rPr>
                <w:rFonts w:ascii="Tw Cen MT" w:hAnsi="Tw Cen MT"/>
                <w:color w:val="000000"/>
                <w:sz w:val="21"/>
                <w:szCs w:val="21"/>
              </w:rPr>
            </w:pPr>
            <w:r w:rsidRPr="00C46BE1">
              <w:rPr>
                <w:rFonts w:ascii="Tw Cen MT" w:hAnsi="Tw Cen MT"/>
                <w:color w:val="000000"/>
                <w:sz w:val="21"/>
                <w:szCs w:val="21"/>
              </w:rPr>
              <w:t>180</w:t>
            </w:r>
          </w:p>
        </w:tc>
        <w:tc>
          <w:tcPr>
            <w:tcW w:w="1080" w:type="dxa"/>
            <w:tcMar>
              <w:left w:w="72" w:type="dxa"/>
              <w:right w:w="72" w:type="dxa"/>
            </w:tcMar>
            <w:vAlign w:val="center"/>
          </w:tcPr>
          <w:p w14:paraId="43B7B661" w14:textId="19DA90FF" w:rsidR="00A80E0F" w:rsidRPr="00C46BE1" w:rsidRDefault="00A80E0F" w:rsidP="00775322">
            <w:pPr>
              <w:jc w:val="center"/>
              <w:rPr>
                <w:rFonts w:ascii="Tw Cen MT" w:hAnsi="Tw Cen MT"/>
                <w:color w:val="000000"/>
                <w:sz w:val="21"/>
                <w:szCs w:val="21"/>
              </w:rPr>
            </w:pPr>
            <w:r w:rsidRPr="00C46BE1">
              <w:rPr>
                <w:rFonts w:ascii="Tw Cen MT" w:hAnsi="Tw Cen MT"/>
                <w:color w:val="000000"/>
                <w:sz w:val="21"/>
                <w:szCs w:val="21"/>
              </w:rPr>
              <w:t>1</w:t>
            </w:r>
          </w:p>
        </w:tc>
        <w:tc>
          <w:tcPr>
            <w:tcW w:w="990" w:type="dxa"/>
            <w:tcMar>
              <w:left w:w="72" w:type="dxa"/>
              <w:right w:w="72" w:type="dxa"/>
            </w:tcMar>
            <w:vAlign w:val="center"/>
          </w:tcPr>
          <w:p w14:paraId="79DC6FFE" w14:textId="000CD9FB" w:rsidR="00A80E0F" w:rsidRPr="00C46BE1" w:rsidRDefault="001C2A2F" w:rsidP="00775322">
            <w:pPr>
              <w:jc w:val="center"/>
              <w:rPr>
                <w:rFonts w:ascii="Tw Cen MT" w:hAnsi="Tw Cen MT"/>
                <w:color w:val="000000"/>
                <w:sz w:val="21"/>
                <w:szCs w:val="21"/>
              </w:rPr>
            </w:pPr>
            <w:r w:rsidRPr="00C46BE1">
              <w:rPr>
                <w:rFonts w:ascii="Tw Cen MT" w:hAnsi="Tw Cen MT"/>
                <w:color w:val="000000"/>
                <w:sz w:val="21"/>
                <w:szCs w:val="21"/>
              </w:rPr>
              <w:t>180</w:t>
            </w:r>
          </w:p>
        </w:tc>
        <w:tc>
          <w:tcPr>
            <w:tcW w:w="900" w:type="dxa"/>
            <w:tcMar>
              <w:left w:w="72" w:type="dxa"/>
              <w:right w:w="72" w:type="dxa"/>
            </w:tcMar>
            <w:vAlign w:val="center"/>
          </w:tcPr>
          <w:p w14:paraId="18C14B6D" w14:textId="4F617FF3" w:rsidR="00A80E0F" w:rsidRPr="00C46BE1" w:rsidRDefault="0008439E" w:rsidP="00775322">
            <w:pPr>
              <w:jc w:val="center"/>
              <w:rPr>
                <w:rFonts w:ascii="Tw Cen MT" w:hAnsi="Tw Cen MT"/>
                <w:color w:val="000000"/>
                <w:sz w:val="21"/>
                <w:szCs w:val="21"/>
              </w:rPr>
            </w:pPr>
            <w:r w:rsidRPr="00C46BE1">
              <w:rPr>
                <w:rFonts w:ascii="Tw Cen MT" w:hAnsi="Tw Cen MT"/>
                <w:color w:val="000000"/>
                <w:sz w:val="21"/>
                <w:szCs w:val="21"/>
              </w:rPr>
              <w:t>0.5</w:t>
            </w:r>
          </w:p>
        </w:tc>
        <w:tc>
          <w:tcPr>
            <w:tcW w:w="810" w:type="dxa"/>
            <w:tcMar>
              <w:left w:w="72" w:type="dxa"/>
              <w:right w:w="72" w:type="dxa"/>
            </w:tcMar>
            <w:vAlign w:val="center"/>
          </w:tcPr>
          <w:p w14:paraId="4A775AA8" w14:textId="6F70F7D9" w:rsidR="00A80E0F" w:rsidRPr="00C46BE1" w:rsidRDefault="001C2A2F" w:rsidP="00775322">
            <w:pPr>
              <w:jc w:val="center"/>
              <w:rPr>
                <w:rFonts w:ascii="Tw Cen MT" w:hAnsi="Tw Cen MT"/>
                <w:color w:val="000000"/>
                <w:sz w:val="21"/>
                <w:szCs w:val="21"/>
              </w:rPr>
            </w:pPr>
            <w:r w:rsidRPr="00C46BE1">
              <w:rPr>
                <w:rFonts w:ascii="Tw Cen MT" w:hAnsi="Tw Cen MT"/>
                <w:color w:val="000000"/>
                <w:sz w:val="21"/>
                <w:szCs w:val="21"/>
              </w:rPr>
              <w:t>90</w:t>
            </w:r>
          </w:p>
        </w:tc>
        <w:tc>
          <w:tcPr>
            <w:tcW w:w="720" w:type="dxa"/>
            <w:tcMar>
              <w:left w:w="72" w:type="dxa"/>
              <w:right w:w="72" w:type="dxa"/>
            </w:tcMar>
            <w:vAlign w:val="center"/>
          </w:tcPr>
          <w:p w14:paraId="5FDDB280" w14:textId="551544D4" w:rsidR="00A80E0F" w:rsidRPr="00C46BE1" w:rsidRDefault="001C2A2F" w:rsidP="00775322">
            <w:pPr>
              <w:jc w:val="center"/>
              <w:rPr>
                <w:rFonts w:ascii="Tw Cen MT" w:hAnsi="Tw Cen MT"/>
                <w:color w:val="000000"/>
                <w:sz w:val="21"/>
                <w:szCs w:val="21"/>
              </w:rPr>
            </w:pPr>
            <w:r w:rsidRPr="00C46BE1">
              <w:rPr>
                <w:rFonts w:ascii="Tw Cen MT" w:hAnsi="Tw Cen MT"/>
                <w:color w:val="000000"/>
                <w:sz w:val="21"/>
                <w:szCs w:val="21"/>
              </w:rPr>
              <w:t>24.69</w:t>
            </w:r>
          </w:p>
        </w:tc>
        <w:tc>
          <w:tcPr>
            <w:tcW w:w="810" w:type="dxa"/>
            <w:tcMar>
              <w:left w:w="72" w:type="dxa"/>
              <w:right w:w="72" w:type="dxa"/>
            </w:tcMar>
            <w:vAlign w:val="center"/>
          </w:tcPr>
          <w:p w14:paraId="5715BFAD" w14:textId="2F64CB60" w:rsidR="00A80E0F" w:rsidRPr="00C46BE1" w:rsidRDefault="00646C54" w:rsidP="00775322">
            <w:pPr>
              <w:jc w:val="center"/>
              <w:rPr>
                <w:rFonts w:ascii="Tw Cen MT" w:hAnsi="Tw Cen MT"/>
                <w:color w:val="000000"/>
                <w:sz w:val="21"/>
                <w:szCs w:val="21"/>
              </w:rPr>
            </w:pPr>
            <w:r w:rsidRPr="00C46BE1">
              <w:rPr>
                <w:rFonts w:ascii="Tw Cen MT" w:hAnsi="Tw Cen MT"/>
                <w:color w:val="000000"/>
                <w:sz w:val="21"/>
                <w:szCs w:val="21"/>
              </w:rPr>
              <w:t>2</w:t>
            </w:r>
            <w:r w:rsidR="00EF71A4" w:rsidRPr="00C46BE1">
              <w:rPr>
                <w:rFonts w:ascii="Tw Cen MT" w:hAnsi="Tw Cen MT"/>
                <w:color w:val="000000"/>
                <w:sz w:val="21"/>
                <w:szCs w:val="21"/>
              </w:rPr>
              <w:t>,</w:t>
            </w:r>
            <w:r w:rsidRPr="00C46BE1">
              <w:rPr>
                <w:rFonts w:ascii="Tw Cen MT" w:hAnsi="Tw Cen MT"/>
                <w:color w:val="000000"/>
                <w:sz w:val="21"/>
                <w:szCs w:val="21"/>
              </w:rPr>
              <w:t>222</w:t>
            </w:r>
          </w:p>
        </w:tc>
      </w:tr>
      <w:tr w:rsidR="0008439E" w:rsidRPr="00C46BE1" w14:paraId="39D25CF1" w14:textId="77777777" w:rsidTr="003B635A">
        <w:trPr>
          <w:trHeight w:val="350"/>
        </w:trPr>
        <w:tc>
          <w:tcPr>
            <w:tcW w:w="1710" w:type="dxa"/>
            <w:shd w:val="clear" w:color="auto" w:fill="auto"/>
            <w:tcMar>
              <w:left w:w="72" w:type="dxa"/>
              <w:right w:w="72" w:type="dxa"/>
            </w:tcMar>
            <w:vAlign w:val="center"/>
          </w:tcPr>
          <w:p w14:paraId="1E637784" w14:textId="56445587" w:rsidR="0008439E" w:rsidRPr="00C46BE1" w:rsidRDefault="0008439E" w:rsidP="00775322">
            <w:pPr>
              <w:jc w:val="left"/>
              <w:rPr>
                <w:rFonts w:ascii="Tw Cen MT" w:hAnsi="Tw Cen MT"/>
                <w:color w:val="000000"/>
                <w:sz w:val="21"/>
                <w:szCs w:val="21"/>
              </w:rPr>
            </w:pPr>
            <w:r w:rsidRPr="00C46BE1">
              <w:rPr>
                <w:rFonts w:ascii="Tw Cen MT" w:hAnsi="Tw Cen MT"/>
                <w:color w:val="000000"/>
                <w:sz w:val="21"/>
                <w:szCs w:val="21"/>
              </w:rPr>
              <w:t>BHTCC Stakeholders</w:t>
            </w:r>
          </w:p>
        </w:tc>
        <w:tc>
          <w:tcPr>
            <w:tcW w:w="1980" w:type="dxa"/>
            <w:tcMar>
              <w:left w:w="72" w:type="dxa"/>
              <w:right w:w="72" w:type="dxa"/>
            </w:tcMar>
            <w:vAlign w:val="center"/>
          </w:tcPr>
          <w:p w14:paraId="68ECD825" w14:textId="6C69D66B" w:rsidR="0008439E" w:rsidRPr="00C46BE1" w:rsidRDefault="0008439E" w:rsidP="00646C54">
            <w:pPr>
              <w:jc w:val="left"/>
              <w:rPr>
                <w:rFonts w:ascii="Tw Cen MT" w:hAnsi="Tw Cen MT"/>
                <w:color w:val="000000"/>
                <w:sz w:val="21"/>
                <w:szCs w:val="21"/>
              </w:rPr>
            </w:pPr>
            <w:r w:rsidRPr="00C46BE1">
              <w:rPr>
                <w:rFonts w:ascii="Tw Cen MT" w:hAnsi="Tw Cen MT"/>
                <w:color w:val="000000"/>
                <w:sz w:val="21"/>
                <w:szCs w:val="21"/>
              </w:rPr>
              <w:t>Concept Mapping</w:t>
            </w:r>
            <w:r w:rsidR="00646C54" w:rsidRPr="00C46BE1">
              <w:rPr>
                <w:rFonts w:ascii="Tw Cen MT" w:hAnsi="Tw Cen MT"/>
                <w:color w:val="000000"/>
                <w:sz w:val="21"/>
                <w:szCs w:val="21"/>
              </w:rPr>
              <w:t xml:space="preserve"> </w:t>
            </w:r>
            <w:r w:rsidRPr="00C46BE1">
              <w:rPr>
                <w:rFonts w:ascii="Tw Cen MT" w:hAnsi="Tw Cen MT"/>
                <w:color w:val="000000"/>
                <w:sz w:val="21"/>
                <w:szCs w:val="21"/>
              </w:rPr>
              <w:t>Sorting/Rating Activity</w:t>
            </w:r>
          </w:p>
        </w:tc>
        <w:tc>
          <w:tcPr>
            <w:tcW w:w="1170" w:type="dxa"/>
            <w:tcMar>
              <w:left w:w="72" w:type="dxa"/>
              <w:right w:w="72" w:type="dxa"/>
            </w:tcMar>
            <w:vAlign w:val="center"/>
          </w:tcPr>
          <w:p w14:paraId="612CF16F" w14:textId="205E8A3D" w:rsidR="0008439E" w:rsidRPr="00C46BE1" w:rsidRDefault="00202E1C" w:rsidP="00775322">
            <w:pPr>
              <w:jc w:val="center"/>
              <w:rPr>
                <w:rFonts w:ascii="Tw Cen MT" w:hAnsi="Tw Cen MT"/>
                <w:color w:val="000000"/>
                <w:sz w:val="21"/>
                <w:szCs w:val="21"/>
              </w:rPr>
            </w:pPr>
            <w:r w:rsidRPr="00C46BE1">
              <w:rPr>
                <w:rFonts w:ascii="Tw Cen MT" w:hAnsi="Tw Cen MT"/>
                <w:color w:val="000000"/>
                <w:sz w:val="21"/>
                <w:szCs w:val="21"/>
              </w:rPr>
              <w:t>294</w:t>
            </w:r>
          </w:p>
        </w:tc>
        <w:tc>
          <w:tcPr>
            <w:tcW w:w="1080" w:type="dxa"/>
            <w:tcMar>
              <w:left w:w="72" w:type="dxa"/>
              <w:right w:w="72" w:type="dxa"/>
            </w:tcMar>
            <w:vAlign w:val="center"/>
          </w:tcPr>
          <w:p w14:paraId="1437220B" w14:textId="6A765E33" w:rsidR="0008439E" w:rsidRPr="00C46BE1" w:rsidRDefault="0008439E" w:rsidP="00775322">
            <w:pPr>
              <w:jc w:val="center"/>
              <w:rPr>
                <w:rFonts w:ascii="Tw Cen MT" w:hAnsi="Tw Cen MT"/>
                <w:color w:val="000000"/>
                <w:sz w:val="21"/>
                <w:szCs w:val="21"/>
              </w:rPr>
            </w:pPr>
            <w:r w:rsidRPr="00C46BE1">
              <w:rPr>
                <w:rFonts w:ascii="Tw Cen MT" w:hAnsi="Tw Cen MT"/>
                <w:color w:val="000000"/>
                <w:sz w:val="21"/>
                <w:szCs w:val="21"/>
              </w:rPr>
              <w:t>1</w:t>
            </w:r>
          </w:p>
        </w:tc>
        <w:tc>
          <w:tcPr>
            <w:tcW w:w="990" w:type="dxa"/>
            <w:tcMar>
              <w:left w:w="72" w:type="dxa"/>
              <w:right w:w="72" w:type="dxa"/>
            </w:tcMar>
            <w:vAlign w:val="center"/>
          </w:tcPr>
          <w:p w14:paraId="2221B6FF" w14:textId="5D00A98A" w:rsidR="0008439E" w:rsidRPr="00C46BE1" w:rsidRDefault="001C2A2F" w:rsidP="00202E1C">
            <w:pPr>
              <w:jc w:val="center"/>
              <w:rPr>
                <w:rFonts w:ascii="Tw Cen MT" w:hAnsi="Tw Cen MT"/>
                <w:color w:val="000000"/>
                <w:sz w:val="21"/>
                <w:szCs w:val="21"/>
              </w:rPr>
            </w:pPr>
            <w:r w:rsidRPr="00C46BE1">
              <w:rPr>
                <w:rFonts w:ascii="Tw Cen MT" w:hAnsi="Tw Cen MT"/>
                <w:color w:val="000000"/>
                <w:sz w:val="21"/>
                <w:szCs w:val="21"/>
              </w:rPr>
              <w:t>29</w:t>
            </w:r>
            <w:r w:rsidR="00202E1C" w:rsidRPr="00C46BE1">
              <w:rPr>
                <w:rFonts w:ascii="Tw Cen MT" w:hAnsi="Tw Cen MT"/>
                <w:color w:val="000000"/>
                <w:sz w:val="21"/>
                <w:szCs w:val="21"/>
              </w:rPr>
              <w:t>4</w:t>
            </w:r>
          </w:p>
        </w:tc>
        <w:tc>
          <w:tcPr>
            <w:tcW w:w="900" w:type="dxa"/>
            <w:tcMar>
              <w:left w:w="72" w:type="dxa"/>
              <w:right w:w="72" w:type="dxa"/>
            </w:tcMar>
            <w:vAlign w:val="center"/>
          </w:tcPr>
          <w:p w14:paraId="0276148E" w14:textId="5B61BB76" w:rsidR="0008439E" w:rsidRPr="00C46BE1" w:rsidRDefault="0008439E" w:rsidP="00775322">
            <w:pPr>
              <w:jc w:val="center"/>
              <w:rPr>
                <w:rFonts w:ascii="Tw Cen MT" w:hAnsi="Tw Cen MT"/>
                <w:color w:val="000000"/>
                <w:sz w:val="21"/>
                <w:szCs w:val="21"/>
              </w:rPr>
            </w:pPr>
            <w:r w:rsidRPr="00C46BE1">
              <w:rPr>
                <w:rFonts w:ascii="Tw Cen MT" w:hAnsi="Tw Cen MT"/>
                <w:color w:val="000000"/>
                <w:sz w:val="21"/>
                <w:szCs w:val="21"/>
              </w:rPr>
              <w:t>0.5</w:t>
            </w:r>
          </w:p>
        </w:tc>
        <w:tc>
          <w:tcPr>
            <w:tcW w:w="810" w:type="dxa"/>
            <w:tcMar>
              <w:left w:w="72" w:type="dxa"/>
              <w:right w:w="72" w:type="dxa"/>
            </w:tcMar>
            <w:vAlign w:val="center"/>
          </w:tcPr>
          <w:p w14:paraId="06FF3CBE" w14:textId="7D74FC1B" w:rsidR="0008439E" w:rsidRPr="00C46BE1" w:rsidRDefault="001C2A2F" w:rsidP="00202E1C">
            <w:pPr>
              <w:jc w:val="center"/>
              <w:rPr>
                <w:rFonts w:ascii="Tw Cen MT" w:hAnsi="Tw Cen MT"/>
                <w:color w:val="000000"/>
                <w:sz w:val="21"/>
                <w:szCs w:val="21"/>
              </w:rPr>
            </w:pPr>
            <w:r w:rsidRPr="00C46BE1">
              <w:rPr>
                <w:rFonts w:ascii="Tw Cen MT" w:hAnsi="Tw Cen MT"/>
                <w:color w:val="000000"/>
                <w:sz w:val="21"/>
                <w:szCs w:val="21"/>
              </w:rPr>
              <w:t>147</w:t>
            </w:r>
          </w:p>
        </w:tc>
        <w:tc>
          <w:tcPr>
            <w:tcW w:w="720" w:type="dxa"/>
            <w:tcMar>
              <w:left w:w="72" w:type="dxa"/>
              <w:right w:w="72" w:type="dxa"/>
            </w:tcMar>
            <w:vAlign w:val="center"/>
          </w:tcPr>
          <w:p w14:paraId="08C9FE80" w14:textId="3DD7AAC0" w:rsidR="0008439E" w:rsidRPr="00C46BE1" w:rsidRDefault="00646C54" w:rsidP="00775322">
            <w:pPr>
              <w:jc w:val="center"/>
              <w:rPr>
                <w:rFonts w:ascii="Tw Cen MT" w:hAnsi="Tw Cen MT"/>
                <w:color w:val="000000"/>
                <w:sz w:val="21"/>
                <w:szCs w:val="21"/>
              </w:rPr>
            </w:pPr>
            <w:r w:rsidRPr="00C46BE1">
              <w:rPr>
                <w:rFonts w:ascii="Tw Cen MT" w:hAnsi="Tw Cen MT"/>
                <w:color w:val="000000"/>
                <w:sz w:val="21"/>
                <w:szCs w:val="21"/>
              </w:rPr>
              <w:t>24.69</w:t>
            </w:r>
          </w:p>
        </w:tc>
        <w:tc>
          <w:tcPr>
            <w:tcW w:w="810" w:type="dxa"/>
            <w:tcMar>
              <w:left w:w="72" w:type="dxa"/>
              <w:right w:w="72" w:type="dxa"/>
            </w:tcMar>
            <w:vAlign w:val="center"/>
          </w:tcPr>
          <w:p w14:paraId="483524D2" w14:textId="48DAFA5D" w:rsidR="0008439E" w:rsidRPr="00C46BE1" w:rsidRDefault="00646C54" w:rsidP="00202E1C">
            <w:pPr>
              <w:jc w:val="center"/>
              <w:rPr>
                <w:rFonts w:ascii="Tw Cen MT" w:hAnsi="Tw Cen MT"/>
                <w:color w:val="000000"/>
                <w:sz w:val="21"/>
                <w:szCs w:val="21"/>
              </w:rPr>
            </w:pPr>
            <w:r w:rsidRPr="00C46BE1">
              <w:rPr>
                <w:rFonts w:ascii="Tw Cen MT" w:hAnsi="Tw Cen MT"/>
                <w:color w:val="000000"/>
                <w:sz w:val="21"/>
                <w:szCs w:val="21"/>
              </w:rPr>
              <w:t>3</w:t>
            </w:r>
            <w:r w:rsidR="00EF71A4" w:rsidRPr="00C46BE1">
              <w:rPr>
                <w:rFonts w:ascii="Tw Cen MT" w:hAnsi="Tw Cen MT"/>
                <w:color w:val="000000"/>
                <w:sz w:val="21"/>
                <w:szCs w:val="21"/>
              </w:rPr>
              <w:t>,</w:t>
            </w:r>
            <w:r w:rsidRPr="00C46BE1">
              <w:rPr>
                <w:rFonts w:ascii="Tw Cen MT" w:hAnsi="Tw Cen MT"/>
                <w:color w:val="000000"/>
                <w:sz w:val="21"/>
                <w:szCs w:val="21"/>
              </w:rPr>
              <w:t>6</w:t>
            </w:r>
            <w:r w:rsidR="00202E1C" w:rsidRPr="00C46BE1">
              <w:rPr>
                <w:rFonts w:ascii="Tw Cen MT" w:hAnsi="Tw Cen MT"/>
                <w:color w:val="000000"/>
                <w:sz w:val="21"/>
                <w:szCs w:val="21"/>
              </w:rPr>
              <w:t>29</w:t>
            </w:r>
          </w:p>
        </w:tc>
      </w:tr>
      <w:tr w:rsidR="00775322" w:rsidRPr="00C46BE1" w14:paraId="15CA3274" w14:textId="77777777" w:rsidTr="003B635A">
        <w:trPr>
          <w:trHeight w:val="287"/>
        </w:trPr>
        <w:tc>
          <w:tcPr>
            <w:tcW w:w="10170" w:type="dxa"/>
            <w:gridSpan w:val="9"/>
            <w:shd w:val="clear" w:color="auto" w:fill="D5DCE4" w:themeFill="text2" w:themeFillTint="33"/>
            <w:tcMar>
              <w:left w:w="72" w:type="dxa"/>
              <w:right w:w="72" w:type="dxa"/>
            </w:tcMar>
            <w:vAlign w:val="center"/>
          </w:tcPr>
          <w:p w14:paraId="38F478C7" w14:textId="77777777" w:rsidR="00775322" w:rsidRPr="00C46BE1" w:rsidRDefault="00775322" w:rsidP="00775322">
            <w:pPr>
              <w:jc w:val="center"/>
              <w:rPr>
                <w:rFonts w:ascii="Tw Cen MT" w:hAnsi="Tw Cen MT"/>
                <w:caps/>
                <w:sz w:val="21"/>
                <w:szCs w:val="21"/>
              </w:rPr>
            </w:pPr>
            <w:r w:rsidRPr="00C46BE1">
              <w:rPr>
                <w:rFonts w:ascii="Tw Cen MT" w:hAnsi="Tw Cen MT"/>
                <w:bCs/>
                <w:caps/>
                <w:sz w:val="21"/>
                <w:szCs w:val="21"/>
              </w:rPr>
              <w:t xml:space="preserve">SE </w:t>
            </w:r>
            <w:r w:rsidRPr="00C46BE1">
              <w:rPr>
                <w:rFonts w:ascii="Tw Cen MT" w:hAnsi="Tw Cen MT"/>
                <w:bCs/>
                <w:sz w:val="21"/>
                <w:szCs w:val="21"/>
              </w:rPr>
              <w:t>Study</w:t>
            </w:r>
          </w:p>
        </w:tc>
      </w:tr>
      <w:tr w:rsidR="00C43735" w:rsidRPr="00C46BE1" w14:paraId="39268F9C" w14:textId="77777777" w:rsidTr="003B635A">
        <w:trPr>
          <w:trHeight w:val="323"/>
        </w:trPr>
        <w:tc>
          <w:tcPr>
            <w:tcW w:w="1710" w:type="dxa"/>
            <w:shd w:val="clear" w:color="auto" w:fill="auto"/>
            <w:tcMar>
              <w:left w:w="72" w:type="dxa"/>
              <w:right w:w="72" w:type="dxa"/>
            </w:tcMar>
            <w:vAlign w:val="center"/>
          </w:tcPr>
          <w:p w14:paraId="08FE3C8C" w14:textId="16ED0ADE" w:rsidR="00775322" w:rsidRPr="00C46BE1" w:rsidRDefault="00775322" w:rsidP="00775322">
            <w:pPr>
              <w:rPr>
                <w:rFonts w:ascii="Tw Cen MT" w:hAnsi="Tw Cen MT"/>
                <w:color w:val="000000"/>
                <w:sz w:val="21"/>
                <w:szCs w:val="21"/>
              </w:rPr>
            </w:pPr>
            <w:r w:rsidRPr="00C46BE1">
              <w:rPr>
                <w:rFonts w:ascii="Tw Cen MT" w:hAnsi="Tw Cen MT"/>
                <w:color w:val="000000"/>
                <w:sz w:val="21"/>
                <w:szCs w:val="21"/>
              </w:rPr>
              <w:t>Project Director</w:t>
            </w:r>
            <w:r w:rsidR="00646C54" w:rsidRPr="00C46BE1">
              <w:rPr>
                <w:rFonts w:ascii="Tw Cen MT" w:hAnsi="Tw Cen MT"/>
                <w:color w:val="000000"/>
                <w:sz w:val="21"/>
                <w:szCs w:val="21"/>
              </w:rPr>
              <w:t>s</w:t>
            </w:r>
          </w:p>
        </w:tc>
        <w:tc>
          <w:tcPr>
            <w:tcW w:w="1980" w:type="dxa"/>
            <w:tcMar>
              <w:left w:w="72" w:type="dxa"/>
              <w:right w:w="72" w:type="dxa"/>
            </w:tcMar>
            <w:vAlign w:val="center"/>
          </w:tcPr>
          <w:p w14:paraId="1C658760" w14:textId="1BC0AC57" w:rsidR="00775322" w:rsidRPr="00C46BE1" w:rsidRDefault="00646C54" w:rsidP="00252D80">
            <w:pPr>
              <w:jc w:val="left"/>
              <w:rPr>
                <w:rFonts w:ascii="Tw Cen MT" w:hAnsi="Tw Cen MT"/>
                <w:color w:val="000000"/>
                <w:sz w:val="21"/>
                <w:szCs w:val="21"/>
              </w:rPr>
            </w:pPr>
            <w:r w:rsidRPr="00C46BE1">
              <w:rPr>
                <w:rFonts w:ascii="Tw Cen MT" w:hAnsi="Tw Cen MT"/>
                <w:color w:val="000000"/>
                <w:sz w:val="21"/>
                <w:szCs w:val="21"/>
              </w:rPr>
              <w:t xml:space="preserve">Biannual Program Inventory </w:t>
            </w:r>
            <w:r w:rsidR="00252D80" w:rsidRPr="00C46BE1">
              <w:rPr>
                <w:rFonts w:ascii="Tw Cen MT" w:hAnsi="Tw Cen MT"/>
                <w:color w:val="000000"/>
                <w:sz w:val="21"/>
                <w:szCs w:val="21"/>
              </w:rPr>
              <w:t xml:space="preserve">SE </w:t>
            </w:r>
            <w:r w:rsidR="004B1069" w:rsidRPr="00C46BE1">
              <w:rPr>
                <w:rFonts w:ascii="Tw Cen MT" w:hAnsi="Tw Cen MT"/>
                <w:color w:val="000000"/>
                <w:sz w:val="21"/>
                <w:szCs w:val="21"/>
              </w:rPr>
              <w:t>Version</w:t>
            </w:r>
          </w:p>
        </w:tc>
        <w:tc>
          <w:tcPr>
            <w:tcW w:w="1170" w:type="dxa"/>
            <w:tcMar>
              <w:left w:w="72" w:type="dxa"/>
              <w:right w:w="72" w:type="dxa"/>
            </w:tcMar>
            <w:vAlign w:val="center"/>
          </w:tcPr>
          <w:p w14:paraId="7E073068" w14:textId="77777777" w:rsidR="00775322" w:rsidRPr="00C46BE1" w:rsidRDefault="00775322" w:rsidP="00775322">
            <w:pPr>
              <w:jc w:val="center"/>
              <w:rPr>
                <w:rFonts w:ascii="Tw Cen MT" w:hAnsi="Tw Cen MT"/>
                <w:color w:val="000000"/>
                <w:sz w:val="21"/>
                <w:szCs w:val="21"/>
              </w:rPr>
            </w:pPr>
            <w:r w:rsidRPr="00C46BE1">
              <w:rPr>
                <w:rFonts w:ascii="Tw Cen MT" w:hAnsi="Tw Cen MT"/>
                <w:color w:val="000000"/>
                <w:sz w:val="21"/>
                <w:szCs w:val="21"/>
              </w:rPr>
              <w:t>7</w:t>
            </w:r>
          </w:p>
        </w:tc>
        <w:tc>
          <w:tcPr>
            <w:tcW w:w="1080" w:type="dxa"/>
            <w:tcMar>
              <w:left w:w="72" w:type="dxa"/>
              <w:right w:w="72" w:type="dxa"/>
            </w:tcMar>
            <w:vAlign w:val="center"/>
          </w:tcPr>
          <w:p w14:paraId="74D9115F" w14:textId="77777777" w:rsidR="00775322" w:rsidRPr="00C46BE1" w:rsidRDefault="00775322" w:rsidP="00775322">
            <w:pPr>
              <w:jc w:val="center"/>
              <w:rPr>
                <w:rFonts w:ascii="Tw Cen MT" w:hAnsi="Tw Cen MT"/>
                <w:sz w:val="21"/>
                <w:szCs w:val="21"/>
              </w:rPr>
            </w:pPr>
            <w:r w:rsidRPr="00C46BE1">
              <w:rPr>
                <w:rFonts w:ascii="Tw Cen MT" w:hAnsi="Tw Cen MT"/>
                <w:color w:val="000000"/>
                <w:sz w:val="21"/>
                <w:szCs w:val="21"/>
              </w:rPr>
              <w:t>2</w:t>
            </w:r>
          </w:p>
        </w:tc>
        <w:tc>
          <w:tcPr>
            <w:tcW w:w="990" w:type="dxa"/>
            <w:shd w:val="clear" w:color="auto" w:fill="auto"/>
            <w:tcMar>
              <w:left w:w="72" w:type="dxa"/>
              <w:right w:w="72" w:type="dxa"/>
            </w:tcMar>
            <w:vAlign w:val="center"/>
          </w:tcPr>
          <w:p w14:paraId="467C52A3" w14:textId="77777777" w:rsidR="00775322" w:rsidRPr="00C46BE1" w:rsidRDefault="00775322" w:rsidP="00775322">
            <w:pPr>
              <w:jc w:val="center"/>
              <w:rPr>
                <w:rFonts w:ascii="Tw Cen MT" w:hAnsi="Tw Cen MT"/>
                <w:color w:val="000000"/>
                <w:sz w:val="21"/>
                <w:szCs w:val="21"/>
              </w:rPr>
            </w:pPr>
            <w:r w:rsidRPr="00C46BE1">
              <w:rPr>
                <w:rFonts w:ascii="Tw Cen MT" w:hAnsi="Tw Cen MT"/>
                <w:color w:val="000000"/>
                <w:sz w:val="21"/>
                <w:szCs w:val="21"/>
              </w:rPr>
              <w:t>14</w:t>
            </w:r>
          </w:p>
        </w:tc>
        <w:tc>
          <w:tcPr>
            <w:tcW w:w="900" w:type="dxa"/>
            <w:tcMar>
              <w:left w:w="72" w:type="dxa"/>
              <w:right w:w="72" w:type="dxa"/>
            </w:tcMar>
            <w:vAlign w:val="center"/>
          </w:tcPr>
          <w:p w14:paraId="2A7B0B10" w14:textId="77777777" w:rsidR="00775322" w:rsidRPr="00C46BE1" w:rsidRDefault="00775322" w:rsidP="00775322">
            <w:pPr>
              <w:jc w:val="center"/>
              <w:rPr>
                <w:rFonts w:ascii="Tw Cen MT" w:hAnsi="Tw Cen MT"/>
                <w:color w:val="000000"/>
                <w:sz w:val="21"/>
                <w:szCs w:val="21"/>
              </w:rPr>
            </w:pPr>
            <w:r w:rsidRPr="00C46BE1">
              <w:rPr>
                <w:rFonts w:ascii="Tw Cen MT" w:hAnsi="Tw Cen MT"/>
                <w:color w:val="000000"/>
                <w:sz w:val="21"/>
                <w:szCs w:val="21"/>
              </w:rPr>
              <w:t>0.75</w:t>
            </w:r>
          </w:p>
        </w:tc>
        <w:tc>
          <w:tcPr>
            <w:tcW w:w="810" w:type="dxa"/>
            <w:tcMar>
              <w:left w:w="72" w:type="dxa"/>
              <w:right w:w="72" w:type="dxa"/>
            </w:tcMar>
            <w:vAlign w:val="center"/>
          </w:tcPr>
          <w:p w14:paraId="4D64221A" w14:textId="77777777" w:rsidR="00775322" w:rsidRPr="00C46BE1" w:rsidRDefault="00775322" w:rsidP="00775322">
            <w:pPr>
              <w:jc w:val="center"/>
              <w:rPr>
                <w:rFonts w:ascii="Tw Cen MT" w:hAnsi="Tw Cen MT"/>
                <w:color w:val="000000"/>
                <w:sz w:val="21"/>
                <w:szCs w:val="21"/>
              </w:rPr>
            </w:pPr>
            <w:r w:rsidRPr="00C46BE1">
              <w:rPr>
                <w:rFonts w:ascii="Tw Cen MT" w:hAnsi="Tw Cen MT"/>
                <w:color w:val="000000"/>
                <w:sz w:val="21"/>
                <w:szCs w:val="21"/>
              </w:rPr>
              <w:t>11</w:t>
            </w:r>
          </w:p>
        </w:tc>
        <w:tc>
          <w:tcPr>
            <w:tcW w:w="720" w:type="dxa"/>
            <w:tcMar>
              <w:left w:w="72" w:type="dxa"/>
              <w:right w:w="72" w:type="dxa"/>
            </w:tcMar>
            <w:vAlign w:val="center"/>
          </w:tcPr>
          <w:p w14:paraId="157D2F9E" w14:textId="77777777" w:rsidR="00775322" w:rsidRPr="00C46BE1" w:rsidRDefault="00775322" w:rsidP="00775322">
            <w:pPr>
              <w:jc w:val="center"/>
              <w:rPr>
                <w:rFonts w:ascii="Tw Cen MT" w:hAnsi="Tw Cen MT"/>
                <w:color w:val="000000"/>
                <w:sz w:val="21"/>
                <w:szCs w:val="21"/>
              </w:rPr>
            </w:pPr>
            <w:r w:rsidRPr="00C46BE1">
              <w:rPr>
                <w:rFonts w:ascii="Tw Cen MT" w:hAnsi="Tw Cen MT"/>
                <w:color w:val="000000"/>
                <w:sz w:val="21"/>
                <w:szCs w:val="21"/>
              </w:rPr>
              <w:t>32.56</w:t>
            </w:r>
          </w:p>
        </w:tc>
        <w:tc>
          <w:tcPr>
            <w:tcW w:w="810" w:type="dxa"/>
            <w:tcMar>
              <w:left w:w="72" w:type="dxa"/>
              <w:right w:w="72" w:type="dxa"/>
            </w:tcMar>
            <w:vAlign w:val="center"/>
          </w:tcPr>
          <w:p w14:paraId="7E9870A6" w14:textId="77777777" w:rsidR="00775322" w:rsidRPr="00C46BE1" w:rsidRDefault="00775322" w:rsidP="00775322">
            <w:pPr>
              <w:jc w:val="center"/>
              <w:rPr>
                <w:rFonts w:ascii="Tw Cen MT" w:hAnsi="Tw Cen MT"/>
                <w:color w:val="000000"/>
                <w:sz w:val="21"/>
                <w:szCs w:val="21"/>
              </w:rPr>
            </w:pPr>
            <w:r w:rsidRPr="00C46BE1">
              <w:rPr>
                <w:rFonts w:ascii="Tw Cen MT" w:hAnsi="Tw Cen MT"/>
                <w:color w:val="000000"/>
                <w:sz w:val="21"/>
                <w:szCs w:val="21"/>
              </w:rPr>
              <w:t>342</w:t>
            </w:r>
          </w:p>
        </w:tc>
      </w:tr>
      <w:tr w:rsidR="00C43735" w:rsidRPr="00C46BE1" w14:paraId="69141502" w14:textId="77777777" w:rsidTr="003B635A">
        <w:trPr>
          <w:trHeight w:val="368"/>
        </w:trPr>
        <w:tc>
          <w:tcPr>
            <w:tcW w:w="1710" w:type="dxa"/>
            <w:shd w:val="clear" w:color="auto" w:fill="auto"/>
            <w:tcMar>
              <w:left w:w="72" w:type="dxa"/>
              <w:right w:w="72" w:type="dxa"/>
            </w:tcMar>
            <w:vAlign w:val="center"/>
          </w:tcPr>
          <w:p w14:paraId="17601E87" w14:textId="24842EE9" w:rsidR="00775322" w:rsidRPr="00C46BE1" w:rsidRDefault="00775322" w:rsidP="00775322">
            <w:pPr>
              <w:rPr>
                <w:rFonts w:ascii="Tw Cen MT" w:hAnsi="Tw Cen MT"/>
                <w:color w:val="000000"/>
                <w:sz w:val="21"/>
                <w:szCs w:val="21"/>
              </w:rPr>
            </w:pPr>
            <w:r w:rsidRPr="00C46BE1">
              <w:rPr>
                <w:rFonts w:ascii="Tw Cen MT" w:hAnsi="Tw Cen MT"/>
                <w:color w:val="000000"/>
                <w:sz w:val="21"/>
                <w:szCs w:val="21"/>
              </w:rPr>
              <w:t>Administrators</w:t>
            </w:r>
          </w:p>
        </w:tc>
        <w:tc>
          <w:tcPr>
            <w:tcW w:w="1980" w:type="dxa"/>
            <w:tcMar>
              <w:left w:w="72" w:type="dxa"/>
              <w:right w:w="72" w:type="dxa"/>
            </w:tcMar>
            <w:vAlign w:val="center"/>
          </w:tcPr>
          <w:p w14:paraId="5D7FE620" w14:textId="26A8BF0A" w:rsidR="00775322" w:rsidRPr="00C46BE1" w:rsidRDefault="0008439E" w:rsidP="00646C54">
            <w:pPr>
              <w:jc w:val="left"/>
              <w:rPr>
                <w:rFonts w:ascii="Tw Cen MT" w:hAnsi="Tw Cen MT"/>
                <w:color w:val="000000"/>
                <w:sz w:val="21"/>
                <w:szCs w:val="21"/>
              </w:rPr>
            </w:pPr>
            <w:r w:rsidRPr="00C46BE1">
              <w:rPr>
                <w:rFonts w:ascii="Tw Cen MT" w:hAnsi="Tw Cen MT"/>
                <w:color w:val="000000"/>
                <w:sz w:val="21"/>
                <w:szCs w:val="21"/>
              </w:rPr>
              <w:t xml:space="preserve">SSA KII </w:t>
            </w:r>
            <w:r w:rsidR="00646C54" w:rsidRPr="00C46BE1">
              <w:rPr>
                <w:rFonts w:ascii="Tw Cen MT" w:hAnsi="Tw Cen MT"/>
                <w:color w:val="000000"/>
                <w:sz w:val="21"/>
                <w:szCs w:val="21"/>
              </w:rPr>
              <w:t>A</w:t>
            </w:r>
            <w:r w:rsidR="004B1069" w:rsidRPr="00C46BE1">
              <w:rPr>
                <w:rFonts w:ascii="Tw Cen MT" w:hAnsi="Tw Cen MT"/>
                <w:color w:val="000000"/>
                <w:sz w:val="21"/>
                <w:szCs w:val="21"/>
              </w:rPr>
              <w:t xml:space="preserve">dministrator </w:t>
            </w:r>
            <w:r w:rsidRPr="00C46BE1">
              <w:rPr>
                <w:rFonts w:ascii="Tw Cen MT" w:hAnsi="Tw Cen MT"/>
                <w:color w:val="000000"/>
                <w:sz w:val="21"/>
                <w:szCs w:val="21"/>
              </w:rPr>
              <w:t>Version</w:t>
            </w:r>
          </w:p>
        </w:tc>
        <w:tc>
          <w:tcPr>
            <w:tcW w:w="1170" w:type="dxa"/>
            <w:tcMar>
              <w:left w:w="72" w:type="dxa"/>
              <w:right w:w="72" w:type="dxa"/>
            </w:tcMar>
            <w:vAlign w:val="center"/>
          </w:tcPr>
          <w:p w14:paraId="0EAC459A" w14:textId="77777777" w:rsidR="00775322" w:rsidRPr="00C46BE1" w:rsidRDefault="00775322" w:rsidP="00775322">
            <w:pPr>
              <w:jc w:val="center"/>
              <w:rPr>
                <w:rFonts w:ascii="Tw Cen MT" w:hAnsi="Tw Cen MT"/>
                <w:color w:val="000000"/>
                <w:sz w:val="21"/>
                <w:szCs w:val="21"/>
              </w:rPr>
            </w:pPr>
            <w:r w:rsidRPr="00C46BE1">
              <w:rPr>
                <w:rFonts w:ascii="Tw Cen MT" w:hAnsi="Tw Cen MT"/>
                <w:color w:val="000000"/>
                <w:sz w:val="21"/>
                <w:szCs w:val="21"/>
              </w:rPr>
              <w:t>14</w:t>
            </w:r>
          </w:p>
        </w:tc>
        <w:tc>
          <w:tcPr>
            <w:tcW w:w="1080" w:type="dxa"/>
            <w:tcMar>
              <w:left w:w="72" w:type="dxa"/>
              <w:right w:w="72" w:type="dxa"/>
            </w:tcMar>
            <w:vAlign w:val="center"/>
          </w:tcPr>
          <w:p w14:paraId="01F6CE9C" w14:textId="77777777" w:rsidR="00775322" w:rsidRPr="00C46BE1" w:rsidRDefault="00775322" w:rsidP="00775322">
            <w:pPr>
              <w:jc w:val="center"/>
              <w:rPr>
                <w:rFonts w:ascii="Tw Cen MT" w:hAnsi="Tw Cen MT"/>
                <w:sz w:val="21"/>
                <w:szCs w:val="21"/>
              </w:rPr>
            </w:pPr>
            <w:r w:rsidRPr="00C46BE1">
              <w:rPr>
                <w:rFonts w:ascii="Tw Cen MT" w:hAnsi="Tw Cen MT"/>
                <w:color w:val="000000"/>
                <w:sz w:val="21"/>
                <w:szCs w:val="21"/>
              </w:rPr>
              <w:t>1</w:t>
            </w:r>
          </w:p>
        </w:tc>
        <w:tc>
          <w:tcPr>
            <w:tcW w:w="990" w:type="dxa"/>
            <w:shd w:val="clear" w:color="auto" w:fill="auto"/>
            <w:tcMar>
              <w:left w:w="72" w:type="dxa"/>
              <w:right w:w="72" w:type="dxa"/>
            </w:tcMar>
            <w:vAlign w:val="center"/>
          </w:tcPr>
          <w:p w14:paraId="7460E9D8" w14:textId="77777777" w:rsidR="00775322" w:rsidRPr="00C46BE1" w:rsidRDefault="00775322" w:rsidP="00775322">
            <w:pPr>
              <w:jc w:val="center"/>
              <w:rPr>
                <w:rFonts w:ascii="Tw Cen MT" w:hAnsi="Tw Cen MT"/>
                <w:color w:val="000000"/>
                <w:sz w:val="21"/>
                <w:szCs w:val="21"/>
              </w:rPr>
            </w:pPr>
            <w:r w:rsidRPr="00C46BE1">
              <w:rPr>
                <w:rFonts w:ascii="Tw Cen MT" w:hAnsi="Tw Cen MT"/>
                <w:color w:val="000000"/>
                <w:sz w:val="21"/>
                <w:szCs w:val="21"/>
              </w:rPr>
              <w:t>14</w:t>
            </w:r>
          </w:p>
        </w:tc>
        <w:tc>
          <w:tcPr>
            <w:tcW w:w="900" w:type="dxa"/>
            <w:tcMar>
              <w:left w:w="72" w:type="dxa"/>
              <w:right w:w="72" w:type="dxa"/>
            </w:tcMar>
            <w:vAlign w:val="center"/>
          </w:tcPr>
          <w:p w14:paraId="44F805FF" w14:textId="77777777" w:rsidR="00775322" w:rsidRPr="00C46BE1" w:rsidRDefault="00775322" w:rsidP="00775322">
            <w:pPr>
              <w:jc w:val="center"/>
              <w:rPr>
                <w:rFonts w:ascii="Tw Cen MT" w:hAnsi="Tw Cen MT"/>
                <w:color w:val="000000"/>
                <w:sz w:val="21"/>
                <w:szCs w:val="21"/>
              </w:rPr>
            </w:pPr>
            <w:r w:rsidRPr="00C46BE1">
              <w:rPr>
                <w:rFonts w:ascii="Tw Cen MT" w:hAnsi="Tw Cen MT"/>
                <w:color w:val="000000"/>
                <w:sz w:val="21"/>
                <w:szCs w:val="21"/>
              </w:rPr>
              <w:t>1</w:t>
            </w:r>
          </w:p>
        </w:tc>
        <w:tc>
          <w:tcPr>
            <w:tcW w:w="810" w:type="dxa"/>
            <w:tcMar>
              <w:left w:w="72" w:type="dxa"/>
              <w:right w:w="72" w:type="dxa"/>
            </w:tcMar>
            <w:vAlign w:val="center"/>
          </w:tcPr>
          <w:p w14:paraId="7A0AE239" w14:textId="77777777" w:rsidR="00775322" w:rsidRPr="00C46BE1" w:rsidRDefault="00775322" w:rsidP="00775322">
            <w:pPr>
              <w:jc w:val="center"/>
              <w:rPr>
                <w:rFonts w:ascii="Tw Cen MT" w:hAnsi="Tw Cen MT"/>
                <w:color w:val="000000"/>
                <w:sz w:val="21"/>
                <w:szCs w:val="21"/>
              </w:rPr>
            </w:pPr>
            <w:r w:rsidRPr="00C46BE1">
              <w:rPr>
                <w:rFonts w:ascii="Tw Cen MT" w:hAnsi="Tw Cen MT"/>
                <w:color w:val="000000"/>
                <w:sz w:val="21"/>
                <w:szCs w:val="21"/>
              </w:rPr>
              <w:t>14</w:t>
            </w:r>
          </w:p>
        </w:tc>
        <w:tc>
          <w:tcPr>
            <w:tcW w:w="720" w:type="dxa"/>
            <w:tcMar>
              <w:left w:w="72" w:type="dxa"/>
              <w:right w:w="72" w:type="dxa"/>
            </w:tcMar>
            <w:vAlign w:val="center"/>
          </w:tcPr>
          <w:p w14:paraId="0E9595B4" w14:textId="77777777" w:rsidR="00775322" w:rsidRPr="00C46BE1" w:rsidRDefault="00775322" w:rsidP="00775322">
            <w:pPr>
              <w:jc w:val="center"/>
              <w:rPr>
                <w:rFonts w:ascii="Tw Cen MT" w:hAnsi="Tw Cen MT"/>
                <w:color w:val="000000"/>
                <w:sz w:val="21"/>
                <w:szCs w:val="21"/>
              </w:rPr>
            </w:pPr>
            <w:r w:rsidRPr="00C46BE1">
              <w:rPr>
                <w:rFonts w:ascii="Tw Cen MT" w:hAnsi="Tw Cen MT"/>
                <w:color w:val="000000"/>
                <w:sz w:val="21"/>
                <w:szCs w:val="21"/>
              </w:rPr>
              <w:t>56.35</w:t>
            </w:r>
          </w:p>
        </w:tc>
        <w:tc>
          <w:tcPr>
            <w:tcW w:w="810" w:type="dxa"/>
            <w:tcMar>
              <w:left w:w="72" w:type="dxa"/>
              <w:right w:w="72" w:type="dxa"/>
            </w:tcMar>
            <w:vAlign w:val="center"/>
          </w:tcPr>
          <w:p w14:paraId="1B9CCA92" w14:textId="77777777" w:rsidR="00775322" w:rsidRPr="00C46BE1" w:rsidRDefault="00775322" w:rsidP="00775322">
            <w:pPr>
              <w:jc w:val="center"/>
              <w:rPr>
                <w:rFonts w:ascii="Tw Cen MT" w:hAnsi="Tw Cen MT"/>
                <w:color w:val="000000"/>
                <w:sz w:val="21"/>
                <w:szCs w:val="21"/>
              </w:rPr>
            </w:pPr>
            <w:r w:rsidRPr="00C46BE1">
              <w:rPr>
                <w:rFonts w:ascii="Tw Cen MT" w:hAnsi="Tw Cen MT"/>
                <w:color w:val="000000"/>
                <w:sz w:val="21"/>
                <w:szCs w:val="21"/>
              </w:rPr>
              <w:t>789</w:t>
            </w:r>
          </w:p>
        </w:tc>
      </w:tr>
      <w:tr w:rsidR="00C43735" w:rsidRPr="00C46BE1" w14:paraId="7FC25C0C" w14:textId="77777777" w:rsidTr="003B635A">
        <w:trPr>
          <w:trHeight w:val="332"/>
        </w:trPr>
        <w:tc>
          <w:tcPr>
            <w:tcW w:w="1710" w:type="dxa"/>
            <w:shd w:val="clear" w:color="auto" w:fill="auto"/>
            <w:tcMar>
              <w:left w:w="72" w:type="dxa"/>
              <w:right w:w="72" w:type="dxa"/>
            </w:tcMar>
            <w:vAlign w:val="center"/>
          </w:tcPr>
          <w:p w14:paraId="4276E2FD" w14:textId="01B5D6CA" w:rsidR="00775322" w:rsidRPr="00C46BE1" w:rsidRDefault="00E01595" w:rsidP="00E01595">
            <w:pPr>
              <w:jc w:val="left"/>
              <w:rPr>
                <w:rFonts w:ascii="Tw Cen MT" w:hAnsi="Tw Cen MT"/>
                <w:sz w:val="21"/>
                <w:szCs w:val="21"/>
              </w:rPr>
            </w:pPr>
            <w:r>
              <w:rPr>
                <w:rFonts w:ascii="Tw Cen MT" w:hAnsi="Tw Cen MT"/>
                <w:color w:val="000000"/>
                <w:sz w:val="21"/>
                <w:szCs w:val="21"/>
              </w:rPr>
              <w:t xml:space="preserve">SE </w:t>
            </w:r>
            <w:r w:rsidR="00775322" w:rsidRPr="00C46BE1">
              <w:rPr>
                <w:rFonts w:ascii="Tw Cen MT" w:hAnsi="Tw Cen MT"/>
                <w:color w:val="000000"/>
                <w:sz w:val="21"/>
                <w:szCs w:val="21"/>
              </w:rPr>
              <w:t>Service Providers</w:t>
            </w:r>
          </w:p>
        </w:tc>
        <w:tc>
          <w:tcPr>
            <w:tcW w:w="1980" w:type="dxa"/>
            <w:tcMar>
              <w:left w:w="72" w:type="dxa"/>
              <w:right w:w="72" w:type="dxa"/>
            </w:tcMar>
            <w:vAlign w:val="center"/>
          </w:tcPr>
          <w:p w14:paraId="65EEE803" w14:textId="7D8B67FA" w:rsidR="00775322" w:rsidRPr="00C46BE1" w:rsidRDefault="0008439E" w:rsidP="00646C54">
            <w:pPr>
              <w:jc w:val="left"/>
              <w:rPr>
                <w:rFonts w:ascii="Tw Cen MT" w:hAnsi="Tw Cen MT"/>
                <w:sz w:val="21"/>
                <w:szCs w:val="21"/>
              </w:rPr>
            </w:pPr>
            <w:r w:rsidRPr="00C46BE1">
              <w:rPr>
                <w:rFonts w:ascii="Tw Cen MT" w:hAnsi="Tw Cen MT"/>
                <w:color w:val="000000"/>
                <w:sz w:val="21"/>
                <w:szCs w:val="21"/>
              </w:rPr>
              <w:t>SSA KII</w:t>
            </w:r>
            <w:r w:rsidR="00646C54" w:rsidRPr="00C46BE1">
              <w:rPr>
                <w:rFonts w:ascii="Tw Cen MT" w:hAnsi="Tw Cen MT"/>
                <w:color w:val="000000"/>
                <w:sz w:val="21"/>
                <w:szCs w:val="21"/>
              </w:rPr>
              <w:t xml:space="preserve"> </w:t>
            </w:r>
            <w:r w:rsidRPr="00C46BE1">
              <w:rPr>
                <w:rFonts w:ascii="Tw Cen MT" w:hAnsi="Tw Cen MT"/>
                <w:color w:val="000000"/>
                <w:sz w:val="21"/>
                <w:szCs w:val="21"/>
              </w:rPr>
              <w:t>S</w:t>
            </w:r>
            <w:r w:rsidR="004B1069" w:rsidRPr="00C46BE1">
              <w:rPr>
                <w:rFonts w:ascii="Tw Cen MT" w:hAnsi="Tw Cen MT"/>
                <w:color w:val="000000"/>
                <w:sz w:val="21"/>
                <w:szCs w:val="21"/>
              </w:rPr>
              <w:t xml:space="preserve">ervice Provider </w:t>
            </w:r>
            <w:r w:rsidRPr="00C46BE1">
              <w:rPr>
                <w:rFonts w:ascii="Tw Cen MT" w:hAnsi="Tw Cen MT"/>
                <w:color w:val="000000"/>
                <w:sz w:val="21"/>
                <w:szCs w:val="21"/>
              </w:rPr>
              <w:t>Version</w:t>
            </w:r>
          </w:p>
        </w:tc>
        <w:tc>
          <w:tcPr>
            <w:tcW w:w="1170" w:type="dxa"/>
            <w:tcMar>
              <w:left w:w="72" w:type="dxa"/>
              <w:right w:w="72" w:type="dxa"/>
            </w:tcMar>
            <w:vAlign w:val="center"/>
          </w:tcPr>
          <w:p w14:paraId="1947AEB5" w14:textId="77777777" w:rsidR="00775322" w:rsidRPr="00C46BE1" w:rsidRDefault="00775322" w:rsidP="00775322">
            <w:pPr>
              <w:jc w:val="center"/>
              <w:rPr>
                <w:rFonts w:ascii="Tw Cen MT" w:hAnsi="Tw Cen MT"/>
                <w:color w:val="000000"/>
                <w:sz w:val="21"/>
                <w:szCs w:val="21"/>
              </w:rPr>
            </w:pPr>
            <w:r w:rsidRPr="00C46BE1">
              <w:rPr>
                <w:rFonts w:ascii="Tw Cen MT" w:hAnsi="Tw Cen MT"/>
                <w:color w:val="000000"/>
                <w:sz w:val="21"/>
                <w:szCs w:val="21"/>
              </w:rPr>
              <w:t>14</w:t>
            </w:r>
          </w:p>
        </w:tc>
        <w:tc>
          <w:tcPr>
            <w:tcW w:w="1080" w:type="dxa"/>
            <w:tcMar>
              <w:left w:w="72" w:type="dxa"/>
              <w:right w:w="72" w:type="dxa"/>
            </w:tcMar>
            <w:vAlign w:val="center"/>
          </w:tcPr>
          <w:p w14:paraId="6E0613A4" w14:textId="77777777" w:rsidR="00775322" w:rsidRPr="00C46BE1" w:rsidRDefault="00775322" w:rsidP="00775322">
            <w:pPr>
              <w:jc w:val="center"/>
              <w:rPr>
                <w:rFonts w:ascii="Tw Cen MT" w:hAnsi="Tw Cen MT"/>
                <w:sz w:val="21"/>
                <w:szCs w:val="21"/>
              </w:rPr>
            </w:pPr>
            <w:r w:rsidRPr="00C46BE1">
              <w:rPr>
                <w:rFonts w:ascii="Tw Cen MT" w:hAnsi="Tw Cen MT"/>
                <w:color w:val="000000"/>
                <w:sz w:val="21"/>
                <w:szCs w:val="21"/>
              </w:rPr>
              <w:t>1</w:t>
            </w:r>
          </w:p>
        </w:tc>
        <w:tc>
          <w:tcPr>
            <w:tcW w:w="990" w:type="dxa"/>
            <w:tcMar>
              <w:left w:w="72" w:type="dxa"/>
              <w:right w:w="72" w:type="dxa"/>
            </w:tcMar>
            <w:vAlign w:val="center"/>
          </w:tcPr>
          <w:p w14:paraId="7A2C7C20" w14:textId="77777777" w:rsidR="00775322" w:rsidRPr="00C46BE1" w:rsidRDefault="00775322" w:rsidP="00775322">
            <w:pPr>
              <w:jc w:val="center"/>
              <w:rPr>
                <w:rFonts w:ascii="Tw Cen MT" w:hAnsi="Tw Cen MT"/>
                <w:color w:val="000000"/>
                <w:sz w:val="21"/>
                <w:szCs w:val="21"/>
              </w:rPr>
            </w:pPr>
            <w:r w:rsidRPr="00C46BE1">
              <w:rPr>
                <w:rFonts w:ascii="Tw Cen MT" w:hAnsi="Tw Cen MT"/>
                <w:color w:val="000000"/>
                <w:sz w:val="21"/>
                <w:szCs w:val="21"/>
              </w:rPr>
              <w:t>14</w:t>
            </w:r>
          </w:p>
        </w:tc>
        <w:tc>
          <w:tcPr>
            <w:tcW w:w="900" w:type="dxa"/>
            <w:tcMar>
              <w:left w:w="72" w:type="dxa"/>
              <w:right w:w="72" w:type="dxa"/>
            </w:tcMar>
            <w:vAlign w:val="center"/>
          </w:tcPr>
          <w:p w14:paraId="17A2DA14" w14:textId="77777777" w:rsidR="00775322" w:rsidRPr="00C46BE1" w:rsidRDefault="00775322" w:rsidP="00775322">
            <w:pPr>
              <w:jc w:val="center"/>
              <w:rPr>
                <w:rFonts w:ascii="Tw Cen MT" w:hAnsi="Tw Cen MT"/>
                <w:color w:val="000000"/>
                <w:sz w:val="21"/>
                <w:szCs w:val="21"/>
              </w:rPr>
            </w:pPr>
            <w:r w:rsidRPr="00C46BE1">
              <w:rPr>
                <w:rFonts w:ascii="Tw Cen MT" w:hAnsi="Tw Cen MT"/>
                <w:color w:val="000000"/>
                <w:sz w:val="21"/>
                <w:szCs w:val="21"/>
              </w:rPr>
              <w:t>1</w:t>
            </w:r>
          </w:p>
        </w:tc>
        <w:tc>
          <w:tcPr>
            <w:tcW w:w="810" w:type="dxa"/>
            <w:tcMar>
              <w:left w:w="72" w:type="dxa"/>
              <w:right w:w="72" w:type="dxa"/>
            </w:tcMar>
            <w:vAlign w:val="center"/>
          </w:tcPr>
          <w:p w14:paraId="5D94EDE2" w14:textId="77777777" w:rsidR="00775322" w:rsidRPr="00C46BE1" w:rsidRDefault="00775322" w:rsidP="00775322">
            <w:pPr>
              <w:jc w:val="center"/>
              <w:rPr>
                <w:rFonts w:ascii="Tw Cen MT" w:hAnsi="Tw Cen MT"/>
                <w:color w:val="000000"/>
                <w:sz w:val="21"/>
                <w:szCs w:val="21"/>
              </w:rPr>
            </w:pPr>
            <w:r w:rsidRPr="00C46BE1">
              <w:rPr>
                <w:rFonts w:ascii="Tw Cen MT" w:hAnsi="Tw Cen MT"/>
                <w:color w:val="000000"/>
                <w:sz w:val="21"/>
                <w:szCs w:val="21"/>
              </w:rPr>
              <w:t>14</w:t>
            </w:r>
          </w:p>
        </w:tc>
        <w:tc>
          <w:tcPr>
            <w:tcW w:w="720" w:type="dxa"/>
            <w:tcMar>
              <w:left w:w="72" w:type="dxa"/>
              <w:right w:w="72" w:type="dxa"/>
            </w:tcMar>
            <w:vAlign w:val="center"/>
          </w:tcPr>
          <w:p w14:paraId="3576CEEB" w14:textId="77777777" w:rsidR="00775322" w:rsidRPr="00C46BE1" w:rsidRDefault="00775322" w:rsidP="00775322">
            <w:pPr>
              <w:jc w:val="center"/>
              <w:rPr>
                <w:rFonts w:ascii="Tw Cen MT" w:hAnsi="Tw Cen MT"/>
                <w:color w:val="000000"/>
                <w:sz w:val="21"/>
                <w:szCs w:val="21"/>
              </w:rPr>
            </w:pPr>
            <w:r w:rsidRPr="00C46BE1">
              <w:rPr>
                <w:rFonts w:ascii="Tw Cen MT" w:hAnsi="Tw Cen MT"/>
                <w:color w:val="000000"/>
                <w:sz w:val="21"/>
                <w:szCs w:val="21"/>
              </w:rPr>
              <w:t>22.03</w:t>
            </w:r>
          </w:p>
        </w:tc>
        <w:tc>
          <w:tcPr>
            <w:tcW w:w="810" w:type="dxa"/>
            <w:tcMar>
              <w:left w:w="72" w:type="dxa"/>
              <w:right w:w="72" w:type="dxa"/>
            </w:tcMar>
            <w:vAlign w:val="center"/>
          </w:tcPr>
          <w:p w14:paraId="29ECE2B7" w14:textId="77777777" w:rsidR="00775322" w:rsidRPr="00C46BE1" w:rsidRDefault="00775322" w:rsidP="00775322">
            <w:pPr>
              <w:jc w:val="center"/>
              <w:rPr>
                <w:rFonts w:ascii="Tw Cen MT" w:hAnsi="Tw Cen MT"/>
                <w:color w:val="000000"/>
                <w:sz w:val="21"/>
                <w:szCs w:val="21"/>
              </w:rPr>
            </w:pPr>
            <w:r w:rsidRPr="00C46BE1">
              <w:rPr>
                <w:rFonts w:ascii="Tw Cen MT" w:hAnsi="Tw Cen MT"/>
                <w:color w:val="000000"/>
                <w:sz w:val="21"/>
                <w:szCs w:val="21"/>
              </w:rPr>
              <w:t>308</w:t>
            </w:r>
          </w:p>
        </w:tc>
      </w:tr>
      <w:tr w:rsidR="00C43735" w:rsidRPr="00C46BE1" w14:paraId="7EAA65A7" w14:textId="77777777" w:rsidTr="003B635A">
        <w:trPr>
          <w:trHeight w:val="350"/>
        </w:trPr>
        <w:tc>
          <w:tcPr>
            <w:tcW w:w="1710" w:type="dxa"/>
            <w:shd w:val="clear" w:color="auto" w:fill="auto"/>
            <w:tcMar>
              <w:left w:w="72" w:type="dxa"/>
              <w:right w:w="72" w:type="dxa"/>
            </w:tcMar>
            <w:vAlign w:val="center"/>
          </w:tcPr>
          <w:p w14:paraId="5E5222D5" w14:textId="24A08C1F" w:rsidR="00775322" w:rsidRPr="00C46BE1" w:rsidRDefault="00775322" w:rsidP="00775322">
            <w:pPr>
              <w:jc w:val="left"/>
              <w:rPr>
                <w:rFonts w:ascii="Tw Cen MT" w:hAnsi="Tw Cen MT"/>
                <w:color w:val="000000"/>
                <w:sz w:val="21"/>
                <w:szCs w:val="21"/>
              </w:rPr>
            </w:pPr>
            <w:r w:rsidRPr="00C46BE1">
              <w:rPr>
                <w:rFonts w:ascii="Tw Cen MT" w:hAnsi="Tw Cen MT"/>
                <w:color w:val="000000"/>
                <w:sz w:val="21"/>
                <w:szCs w:val="21"/>
              </w:rPr>
              <w:t>Hiring Managers</w:t>
            </w:r>
          </w:p>
        </w:tc>
        <w:tc>
          <w:tcPr>
            <w:tcW w:w="1980" w:type="dxa"/>
            <w:tcMar>
              <w:left w:w="72" w:type="dxa"/>
              <w:right w:w="72" w:type="dxa"/>
            </w:tcMar>
            <w:vAlign w:val="center"/>
          </w:tcPr>
          <w:p w14:paraId="100F2391" w14:textId="4DB1B2C6" w:rsidR="00775322" w:rsidRPr="00C46BE1" w:rsidRDefault="0008439E" w:rsidP="00646C54">
            <w:pPr>
              <w:jc w:val="left"/>
              <w:rPr>
                <w:rFonts w:ascii="Tw Cen MT" w:hAnsi="Tw Cen MT"/>
                <w:color w:val="000000"/>
                <w:sz w:val="21"/>
                <w:szCs w:val="21"/>
              </w:rPr>
            </w:pPr>
            <w:r w:rsidRPr="00C46BE1">
              <w:rPr>
                <w:rFonts w:ascii="Tw Cen MT" w:hAnsi="Tw Cen MT"/>
                <w:color w:val="000000"/>
                <w:sz w:val="21"/>
                <w:szCs w:val="21"/>
              </w:rPr>
              <w:t>ENFG</w:t>
            </w:r>
            <w:r w:rsidR="00646C54" w:rsidRPr="00C46BE1">
              <w:rPr>
                <w:rFonts w:ascii="Tw Cen MT" w:hAnsi="Tw Cen MT"/>
                <w:color w:val="000000"/>
                <w:sz w:val="21"/>
                <w:szCs w:val="21"/>
              </w:rPr>
              <w:t xml:space="preserve"> </w:t>
            </w:r>
            <w:r w:rsidRPr="00C46BE1">
              <w:rPr>
                <w:rFonts w:ascii="Tw Cen MT" w:hAnsi="Tw Cen MT"/>
                <w:color w:val="000000"/>
                <w:sz w:val="21"/>
                <w:szCs w:val="21"/>
              </w:rPr>
              <w:t>E</w:t>
            </w:r>
            <w:r w:rsidR="007D71B4" w:rsidRPr="00C46BE1">
              <w:rPr>
                <w:rFonts w:ascii="Tw Cen MT" w:hAnsi="Tw Cen MT"/>
                <w:color w:val="000000"/>
                <w:sz w:val="21"/>
                <w:szCs w:val="21"/>
              </w:rPr>
              <w:t>mployer</w:t>
            </w:r>
            <w:r w:rsidR="004B1069" w:rsidRPr="00C46BE1">
              <w:rPr>
                <w:rFonts w:ascii="Tw Cen MT" w:hAnsi="Tw Cen MT"/>
                <w:color w:val="000000"/>
                <w:sz w:val="21"/>
                <w:szCs w:val="21"/>
              </w:rPr>
              <w:t xml:space="preserve"> </w:t>
            </w:r>
            <w:r w:rsidRPr="00C46BE1">
              <w:rPr>
                <w:rFonts w:ascii="Tw Cen MT" w:hAnsi="Tw Cen MT"/>
                <w:color w:val="000000"/>
                <w:sz w:val="21"/>
                <w:szCs w:val="21"/>
              </w:rPr>
              <w:t>Version</w:t>
            </w:r>
          </w:p>
        </w:tc>
        <w:tc>
          <w:tcPr>
            <w:tcW w:w="1170" w:type="dxa"/>
            <w:tcMar>
              <w:left w:w="72" w:type="dxa"/>
              <w:right w:w="72" w:type="dxa"/>
            </w:tcMar>
            <w:vAlign w:val="center"/>
          </w:tcPr>
          <w:p w14:paraId="2FD43184" w14:textId="77777777" w:rsidR="00775322" w:rsidRPr="00C46BE1" w:rsidRDefault="00775322" w:rsidP="00775322">
            <w:pPr>
              <w:tabs>
                <w:tab w:val="left" w:pos="335"/>
                <w:tab w:val="center" w:pos="558"/>
              </w:tabs>
              <w:jc w:val="center"/>
              <w:rPr>
                <w:rFonts w:ascii="Tw Cen MT" w:hAnsi="Tw Cen MT"/>
                <w:color w:val="000000"/>
                <w:sz w:val="21"/>
                <w:szCs w:val="21"/>
              </w:rPr>
            </w:pPr>
            <w:r w:rsidRPr="00C46BE1">
              <w:rPr>
                <w:rFonts w:ascii="Tw Cen MT" w:hAnsi="Tw Cen MT"/>
                <w:color w:val="000000"/>
                <w:sz w:val="21"/>
                <w:szCs w:val="21"/>
              </w:rPr>
              <w:t>28</w:t>
            </w:r>
          </w:p>
        </w:tc>
        <w:tc>
          <w:tcPr>
            <w:tcW w:w="1080" w:type="dxa"/>
            <w:tcMar>
              <w:left w:w="72" w:type="dxa"/>
              <w:right w:w="72" w:type="dxa"/>
            </w:tcMar>
            <w:vAlign w:val="center"/>
          </w:tcPr>
          <w:p w14:paraId="7A7C657F" w14:textId="77777777" w:rsidR="00775322" w:rsidRPr="00C46BE1" w:rsidRDefault="00775322" w:rsidP="00775322">
            <w:pPr>
              <w:jc w:val="center"/>
              <w:rPr>
                <w:rFonts w:ascii="Tw Cen MT" w:hAnsi="Tw Cen MT"/>
                <w:sz w:val="21"/>
                <w:szCs w:val="21"/>
              </w:rPr>
            </w:pPr>
            <w:r w:rsidRPr="00C46BE1">
              <w:rPr>
                <w:rFonts w:ascii="Tw Cen MT" w:hAnsi="Tw Cen MT"/>
                <w:color w:val="000000"/>
                <w:sz w:val="21"/>
                <w:szCs w:val="21"/>
              </w:rPr>
              <w:t>1</w:t>
            </w:r>
          </w:p>
        </w:tc>
        <w:tc>
          <w:tcPr>
            <w:tcW w:w="990" w:type="dxa"/>
            <w:tcMar>
              <w:left w:w="72" w:type="dxa"/>
              <w:right w:w="72" w:type="dxa"/>
            </w:tcMar>
            <w:vAlign w:val="center"/>
          </w:tcPr>
          <w:p w14:paraId="114EC375" w14:textId="77777777" w:rsidR="00775322" w:rsidRPr="00C46BE1" w:rsidRDefault="00775322" w:rsidP="00775322">
            <w:pPr>
              <w:jc w:val="center"/>
              <w:rPr>
                <w:rFonts w:ascii="Tw Cen MT" w:hAnsi="Tw Cen MT"/>
                <w:color w:val="000000"/>
                <w:sz w:val="21"/>
                <w:szCs w:val="21"/>
              </w:rPr>
            </w:pPr>
            <w:r w:rsidRPr="00C46BE1">
              <w:rPr>
                <w:rFonts w:ascii="Tw Cen MT" w:hAnsi="Tw Cen MT"/>
                <w:color w:val="000000"/>
                <w:sz w:val="21"/>
                <w:szCs w:val="21"/>
              </w:rPr>
              <w:t>28</w:t>
            </w:r>
          </w:p>
        </w:tc>
        <w:tc>
          <w:tcPr>
            <w:tcW w:w="900" w:type="dxa"/>
            <w:tcMar>
              <w:left w:w="72" w:type="dxa"/>
              <w:right w:w="72" w:type="dxa"/>
            </w:tcMar>
            <w:vAlign w:val="center"/>
          </w:tcPr>
          <w:p w14:paraId="15AD1EF9" w14:textId="77777777" w:rsidR="00775322" w:rsidRPr="00C46BE1" w:rsidRDefault="00775322" w:rsidP="00775322">
            <w:pPr>
              <w:jc w:val="center"/>
              <w:rPr>
                <w:rFonts w:ascii="Tw Cen MT" w:hAnsi="Tw Cen MT"/>
                <w:color w:val="000000"/>
                <w:sz w:val="21"/>
                <w:szCs w:val="21"/>
              </w:rPr>
            </w:pPr>
            <w:r w:rsidRPr="00C46BE1">
              <w:rPr>
                <w:rFonts w:ascii="Tw Cen MT" w:hAnsi="Tw Cen MT"/>
                <w:color w:val="000000"/>
                <w:sz w:val="21"/>
                <w:szCs w:val="21"/>
              </w:rPr>
              <w:t>1</w:t>
            </w:r>
          </w:p>
        </w:tc>
        <w:tc>
          <w:tcPr>
            <w:tcW w:w="810" w:type="dxa"/>
            <w:tcMar>
              <w:left w:w="72" w:type="dxa"/>
              <w:right w:w="72" w:type="dxa"/>
            </w:tcMar>
            <w:vAlign w:val="center"/>
          </w:tcPr>
          <w:p w14:paraId="2D89E42A" w14:textId="77777777" w:rsidR="00775322" w:rsidRPr="00C46BE1" w:rsidRDefault="00775322" w:rsidP="00775322">
            <w:pPr>
              <w:jc w:val="center"/>
              <w:rPr>
                <w:rFonts w:ascii="Tw Cen MT" w:hAnsi="Tw Cen MT"/>
                <w:color w:val="000000"/>
                <w:sz w:val="21"/>
                <w:szCs w:val="21"/>
              </w:rPr>
            </w:pPr>
            <w:r w:rsidRPr="00C46BE1">
              <w:rPr>
                <w:rFonts w:ascii="Tw Cen MT" w:hAnsi="Tw Cen MT"/>
                <w:color w:val="000000"/>
                <w:sz w:val="21"/>
                <w:szCs w:val="21"/>
              </w:rPr>
              <w:t>28</w:t>
            </w:r>
          </w:p>
        </w:tc>
        <w:tc>
          <w:tcPr>
            <w:tcW w:w="720" w:type="dxa"/>
            <w:tcMar>
              <w:left w:w="72" w:type="dxa"/>
              <w:right w:w="72" w:type="dxa"/>
            </w:tcMar>
            <w:vAlign w:val="center"/>
          </w:tcPr>
          <w:p w14:paraId="1E02F175" w14:textId="77777777" w:rsidR="00775322" w:rsidRPr="00C46BE1" w:rsidRDefault="00775322" w:rsidP="00775322">
            <w:pPr>
              <w:jc w:val="center"/>
              <w:rPr>
                <w:rFonts w:ascii="Tw Cen MT" w:hAnsi="Tw Cen MT"/>
                <w:color w:val="000000"/>
                <w:sz w:val="21"/>
                <w:szCs w:val="21"/>
              </w:rPr>
            </w:pPr>
            <w:r w:rsidRPr="00C46BE1">
              <w:rPr>
                <w:rFonts w:ascii="Tw Cen MT" w:hAnsi="Tw Cen MT"/>
                <w:color w:val="000000"/>
                <w:sz w:val="21"/>
                <w:szCs w:val="21"/>
              </w:rPr>
              <w:t>30.09</w:t>
            </w:r>
          </w:p>
        </w:tc>
        <w:tc>
          <w:tcPr>
            <w:tcW w:w="810" w:type="dxa"/>
            <w:tcMar>
              <w:left w:w="72" w:type="dxa"/>
              <w:right w:w="72" w:type="dxa"/>
            </w:tcMar>
            <w:vAlign w:val="center"/>
          </w:tcPr>
          <w:p w14:paraId="71F5D2F1" w14:textId="77777777" w:rsidR="00775322" w:rsidRPr="00C46BE1" w:rsidRDefault="00775322" w:rsidP="00775322">
            <w:pPr>
              <w:jc w:val="center"/>
              <w:rPr>
                <w:rFonts w:ascii="Tw Cen MT" w:hAnsi="Tw Cen MT"/>
                <w:color w:val="000000"/>
                <w:sz w:val="21"/>
                <w:szCs w:val="21"/>
              </w:rPr>
            </w:pPr>
            <w:r w:rsidRPr="00C46BE1">
              <w:rPr>
                <w:rFonts w:ascii="Tw Cen MT" w:hAnsi="Tw Cen MT"/>
                <w:color w:val="000000"/>
                <w:sz w:val="21"/>
                <w:szCs w:val="21"/>
              </w:rPr>
              <w:t>203</w:t>
            </w:r>
          </w:p>
        </w:tc>
      </w:tr>
      <w:tr w:rsidR="00C43735" w:rsidRPr="00C46BE1" w14:paraId="1537021A" w14:textId="77777777" w:rsidTr="003B635A">
        <w:trPr>
          <w:trHeight w:val="481"/>
        </w:trPr>
        <w:tc>
          <w:tcPr>
            <w:tcW w:w="1710" w:type="dxa"/>
            <w:shd w:val="clear" w:color="auto" w:fill="auto"/>
            <w:tcMar>
              <w:left w:w="72" w:type="dxa"/>
              <w:right w:w="72" w:type="dxa"/>
            </w:tcMar>
            <w:vAlign w:val="center"/>
          </w:tcPr>
          <w:p w14:paraId="6A0AAC7B" w14:textId="3E2C38A2" w:rsidR="00775322" w:rsidRPr="00C46BE1" w:rsidRDefault="00775322" w:rsidP="00775322">
            <w:pPr>
              <w:rPr>
                <w:rFonts w:ascii="Tw Cen MT" w:hAnsi="Tw Cen MT"/>
                <w:color w:val="000000"/>
                <w:sz w:val="21"/>
                <w:szCs w:val="21"/>
              </w:rPr>
            </w:pPr>
            <w:r w:rsidRPr="00C46BE1">
              <w:rPr>
                <w:rFonts w:ascii="Tw Cen MT" w:hAnsi="Tw Cen MT"/>
                <w:color w:val="000000"/>
                <w:sz w:val="21"/>
                <w:szCs w:val="21"/>
              </w:rPr>
              <w:t>Employment Specialists</w:t>
            </w:r>
          </w:p>
        </w:tc>
        <w:tc>
          <w:tcPr>
            <w:tcW w:w="1980" w:type="dxa"/>
            <w:tcMar>
              <w:left w:w="72" w:type="dxa"/>
              <w:right w:w="72" w:type="dxa"/>
            </w:tcMar>
            <w:vAlign w:val="center"/>
          </w:tcPr>
          <w:p w14:paraId="3687CB6B" w14:textId="0A52ABAE" w:rsidR="00775322" w:rsidRPr="00C46BE1" w:rsidRDefault="0008439E" w:rsidP="0008439E">
            <w:pPr>
              <w:jc w:val="left"/>
              <w:rPr>
                <w:rFonts w:ascii="Tw Cen MT" w:hAnsi="Tw Cen MT"/>
                <w:color w:val="000000"/>
                <w:sz w:val="21"/>
                <w:szCs w:val="21"/>
              </w:rPr>
            </w:pPr>
            <w:r w:rsidRPr="00C46BE1">
              <w:rPr>
                <w:rFonts w:ascii="Tw Cen MT" w:hAnsi="Tw Cen MT"/>
                <w:color w:val="000000"/>
                <w:sz w:val="21"/>
                <w:szCs w:val="21"/>
              </w:rPr>
              <w:t>ENFG—</w:t>
            </w:r>
            <w:r w:rsidR="004B1069" w:rsidRPr="00C46BE1">
              <w:rPr>
                <w:rFonts w:ascii="Tw Cen MT" w:hAnsi="Tw Cen MT"/>
                <w:color w:val="000000"/>
                <w:sz w:val="21"/>
                <w:szCs w:val="21"/>
              </w:rPr>
              <w:t>E</w:t>
            </w:r>
            <w:r w:rsidR="00252D80" w:rsidRPr="00C46BE1">
              <w:rPr>
                <w:rFonts w:ascii="Tw Cen MT" w:hAnsi="Tw Cen MT"/>
                <w:color w:val="000000"/>
                <w:sz w:val="21"/>
                <w:szCs w:val="21"/>
              </w:rPr>
              <w:t xml:space="preserve">mployment </w:t>
            </w:r>
            <w:r w:rsidR="00C43735" w:rsidRPr="00C46BE1">
              <w:rPr>
                <w:rFonts w:ascii="Tw Cen MT" w:hAnsi="Tw Cen MT"/>
                <w:color w:val="000000"/>
                <w:sz w:val="21"/>
                <w:szCs w:val="21"/>
              </w:rPr>
              <w:t>Specialist</w:t>
            </w:r>
            <w:r w:rsidR="00252D80" w:rsidRPr="00C46BE1">
              <w:rPr>
                <w:rFonts w:ascii="Tw Cen MT" w:hAnsi="Tw Cen MT"/>
                <w:color w:val="000000"/>
                <w:sz w:val="21"/>
                <w:szCs w:val="21"/>
              </w:rPr>
              <w:t xml:space="preserve"> </w:t>
            </w:r>
            <w:r w:rsidRPr="00C46BE1">
              <w:rPr>
                <w:rFonts w:ascii="Tw Cen MT" w:hAnsi="Tw Cen MT"/>
                <w:color w:val="000000"/>
                <w:sz w:val="21"/>
                <w:szCs w:val="21"/>
              </w:rPr>
              <w:t>Version</w:t>
            </w:r>
          </w:p>
        </w:tc>
        <w:tc>
          <w:tcPr>
            <w:tcW w:w="1170" w:type="dxa"/>
            <w:tcMar>
              <w:left w:w="72" w:type="dxa"/>
              <w:right w:w="72" w:type="dxa"/>
            </w:tcMar>
            <w:vAlign w:val="center"/>
          </w:tcPr>
          <w:p w14:paraId="12938E75" w14:textId="77777777" w:rsidR="00775322" w:rsidRPr="00C46BE1" w:rsidRDefault="00775322" w:rsidP="00775322">
            <w:pPr>
              <w:tabs>
                <w:tab w:val="left" w:pos="335"/>
                <w:tab w:val="center" w:pos="558"/>
              </w:tabs>
              <w:jc w:val="center"/>
              <w:rPr>
                <w:rFonts w:ascii="Tw Cen MT" w:hAnsi="Tw Cen MT"/>
                <w:color w:val="000000"/>
                <w:sz w:val="21"/>
                <w:szCs w:val="21"/>
              </w:rPr>
            </w:pPr>
            <w:r w:rsidRPr="00C46BE1">
              <w:rPr>
                <w:rFonts w:ascii="Tw Cen MT" w:hAnsi="Tw Cen MT"/>
                <w:color w:val="000000"/>
                <w:sz w:val="21"/>
                <w:szCs w:val="21"/>
              </w:rPr>
              <w:t>28</w:t>
            </w:r>
          </w:p>
        </w:tc>
        <w:tc>
          <w:tcPr>
            <w:tcW w:w="1080" w:type="dxa"/>
            <w:tcMar>
              <w:left w:w="72" w:type="dxa"/>
              <w:right w:w="72" w:type="dxa"/>
            </w:tcMar>
            <w:vAlign w:val="center"/>
          </w:tcPr>
          <w:p w14:paraId="41CCD607" w14:textId="77777777" w:rsidR="00775322" w:rsidRPr="00C46BE1" w:rsidRDefault="00775322" w:rsidP="00775322">
            <w:pPr>
              <w:jc w:val="center"/>
              <w:rPr>
                <w:rFonts w:ascii="Tw Cen MT" w:hAnsi="Tw Cen MT"/>
                <w:sz w:val="21"/>
                <w:szCs w:val="21"/>
              </w:rPr>
            </w:pPr>
            <w:r w:rsidRPr="00C46BE1">
              <w:rPr>
                <w:rFonts w:ascii="Tw Cen MT" w:hAnsi="Tw Cen MT"/>
                <w:color w:val="000000"/>
                <w:sz w:val="21"/>
                <w:szCs w:val="21"/>
              </w:rPr>
              <w:t>1</w:t>
            </w:r>
          </w:p>
        </w:tc>
        <w:tc>
          <w:tcPr>
            <w:tcW w:w="990" w:type="dxa"/>
            <w:tcMar>
              <w:left w:w="72" w:type="dxa"/>
              <w:right w:w="72" w:type="dxa"/>
            </w:tcMar>
            <w:vAlign w:val="center"/>
          </w:tcPr>
          <w:p w14:paraId="6A3B94DF" w14:textId="77777777" w:rsidR="00775322" w:rsidRPr="00C46BE1" w:rsidRDefault="00775322" w:rsidP="00775322">
            <w:pPr>
              <w:jc w:val="center"/>
              <w:rPr>
                <w:rFonts w:ascii="Tw Cen MT" w:hAnsi="Tw Cen MT"/>
                <w:color w:val="000000"/>
                <w:sz w:val="21"/>
                <w:szCs w:val="21"/>
              </w:rPr>
            </w:pPr>
            <w:r w:rsidRPr="00C46BE1">
              <w:rPr>
                <w:rFonts w:ascii="Tw Cen MT" w:hAnsi="Tw Cen MT"/>
                <w:color w:val="000000"/>
                <w:sz w:val="21"/>
                <w:szCs w:val="21"/>
              </w:rPr>
              <w:t>28</w:t>
            </w:r>
          </w:p>
        </w:tc>
        <w:tc>
          <w:tcPr>
            <w:tcW w:w="900" w:type="dxa"/>
            <w:tcMar>
              <w:left w:w="72" w:type="dxa"/>
              <w:right w:w="72" w:type="dxa"/>
            </w:tcMar>
            <w:vAlign w:val="center"/>
          </w:tcPr>
          <w:p w14:paraId="0ACB100C" w14:textId="77777777" w:rsidR="00775322" w:rsidRPr="00C46BE1" w:rsidRDefault="00775322" w:rsidP="00775322">
            <w:pPr>
              <w:jc w:val="center"/>
              <w:rPr>
                <w:rFonts w:ascii="Tw Cen MT" w:hAnsi="Tw Cen MT"/>
                <w:color w:val="000000"/>
                <w:sz w:val="21"/>
                <w:szCs w:val="21"/>
              </w:rPr>
            </w:pPr>
            <w:r w:rsidRPr="00C46BE1">
              <w:rPr>
                <w:rFonts w:ascii="Tw Cen MT" w:hAnsi="Tw Cen MT"/>
                <w:color w:val="000000"/>
                <w:sz w:val="21"/>
                <w:szCs w:val="21"/>
              </w:rPr>
              <w:t>1.5</w:t>
            </w:r>
          </w:p>
        </w:tc>
        <w:tc>
          <w:tcPr>
            <w:tcW w:w="810" w:type="dxa"/>
            <w:tcMar>
              <w:left w:w="72" w:type="dxa"/>
              <w:right w:w="72" w:type="dxa"/>
            </w:tcMar>
            <w:vAlign w:val="center"/>
          </w:tcPr>
          <w:p w14:paraId="2B335874" w14:textId="77777777" w:rsidR="00775322" w:rsidRPr="00C46BE1" w:rsidRDefault="00775322" w:rsidP="00775322">
            <w:pPr>
              <w:jc w:val="center"/>
              <w:rPr>
                <w:rFonts w:ascii="Tw Cen MT" w:hAnsi="Tw Cen MT"/>
                <w:color w:val="000000"/>
                <w:sz w:val="21"/>
                <w:szCs w:val="21"/>
              </w:rPr>
            </w:pPr>
            <w:r w:rsidRPr="00C46BE1">
              <w:rPr>
                <w:rFonts w:ascii="Tw Cen MT" w:hAnsi="Tw Cen MT"/>
                <w:color w:val="000000"/>
                <w:sz w:val="21"/>
                <w:szCs w:val="21"/>
              </w:rPr>
              <w:t>42</w:t>
            </w:r>
          </w:p>
        </w:tc>
        <w:tc>
          <w:tcPr>
            <w:tcW w:w="720" w:type="dxa"/>
            <w:tcMar>
              <w:left w:w="72" w:type="dxa"/>
              <w:right w:w="72" w:type="dxa"/>
            </w:tcMar>
            <w:vAlign w:val="center"/>
          </w:tcPr>
          <w:p w14:paraId="6BD5278A" w14:textId="77777777" w:rsidR="00775322" w:rsidRPr="00C46BE1" w:rsidRDefault="00775322" w:rsidP="00775322">
            <w:pPr>
              <w:jc w:val="center"/>
              <w:rPr>
                <w:rFonts w:ascii="Tw Cen MT" w:hAnsi="Tw Cen MT"/>
                <w:color w:val="000000"/>
                <w:sz w:val="21"/>
                <w:szCs w:val="21"/>
              </w:rPr>
            </w:pPr>
            <w:r w:rsidRPr="00C46BE1">
              <w:rPr>
                <w:rFonts w:ascii="Tw Cen MT" w:hAnsi="Tw Cen MT"/>
                <w:color w:val="000000"/>
                <w:sz w:val="21"/>
                <w:szCs w:val="21"/>
              </w:rPr>
              <w:t>29.58</w:t>
            </w:r>
          </w:p>
        </w:tc>
        <w:tc>
          <w:tcPr>
            <w:tcW w:w="810" w:type="dxa"/>
            <w:tcMar>
              <w:left w:w="72" w:type="dxa"/>
              <w:right w:w="72" w:type="dxa"/>
            </w:tcMar>
            <w:vAlign w:val="center"/>
          </w:tcPr>
          <w:p w14:paraId="6B5ACB52" w14:textId="77777777" w:rsidR="00775322" w:rsidRPr="00C46BE1" w:rsidRDefault="00775322" w:rsidP="00775322">
            <w:pPr>
              <w:jc w:val="center"/>
              <w:rPr>
                <w:rFonts w:ascii="Tw Cen MT" w:hAnsi="Tw Cen MT"/>
                <w:color w:val="000000"/>
                <w:sz w:val="21"/>
                <w:szCs w:val="21"/>
              </w:rPr>
            </w:pPr>
            <w:r w:rsidRPr="00C46BE1">
              <w:rPr>
                <w:rFonts w:ascii="Tw Cen MT" w:hAnsi="Tw Cen MT"/>
                <w:color w:val="000000"/>
                <w:sz w:val="21"/>
                <w:szCs w:val="21"/>
              </w:rPr>
              <w:t>1242</w:t>
            </w:r>
          </w:p>
        </w:tc>
      </w:tr>
      <w:tr w:rsidR="00B40FB1" w:rsidRPr="00C46BE1" w14:paraId="6B3264BC" w14:textId="77777777" w:rsidTr="00B40FB1">
        <w:trPr>
          <w:trHeight w:val="368"/>
        </w:trPr>
        <w:tc>
          <w:tcPr>
            <w:tcW w:w="3690" w:type="dxa"/>
            <w:gridSpan w:val="2"/>
            <w:shd w:val="clear" w:color="auto" w:fill="323E4F" w:themeFill="text2" w:themeFillShade="BF"/>
            <w:tcMar>
              <w:left w:w="72" w:type="dxa"/>
              <w:right w:w="72" w:type="dxa"/>
            </w:tcMar>
            <w:vAlign w:val="center"/>
          </w:tcPr>
          <w:p w14:paraId="3AC30A44" w14:textId="33041BEC" w:rsidR="00B40FB1" w:rsidRPr="00C46BE1" w:rsidRDefault="00B40FB1" w:rsidP="00B40FB1">
            <w:pPr>
              <w:jc w:val="center"/>
              <w:rPr>
                <w:rFonts w:ascii="Tw Cen MT" w:hAnsi="Tw Cen MT"/>
                <w:color w:val="000000"/>
                <w:sz w:val="21"/>
                <w:szCs w:val="21"/>
              </w:rPr>
            </w:pPr>
            <w:r w:rsidRPr="00B40FB1">
              <w:rPr>
                <w:rFonts w:ascii="Tw Cen MT" w:hAnsi="Tw Cen MT"/>
                <w:color w:val="FFFFFF" w:themeColor="background1"/>
                <w:sz w:val="21"/>
                <w:szCs w:val="21"/>
              </w:rPr>
              <w:t>Total</w:t>
            </w:r>
          </w:p>
        </w:tc>
        <w:tc>
          <w:tcPr>
            <w:tcW w:w="1170" w:type="dxa"/>
            <w:tcMar>
              <w:left w:w="72" w:type="dxa"/>
              <w:right w:w="72" w:type="dxa"/>
            </w:tcMar>
            <w:vAlign w:val="center"/>
          </w:tcPr>
          <w:p w14:paraId="676DA50C" w14:textId="293C788D" w:rsidR="00B40FB1" w:rsidRPr="00C46BE1" w:rsidRDefault="00B40FB1" w:rsidP="00B40FB1">
            <w:pPr>
              <w:tabs>
                <w:tab w:val="left" w:pos="335"/>
                <w:tab w:val="center" w:pos="558"/>
              </w:tabs>
              <w:jc w:val="center"/>
              <w:rPr>
                <w:rFonts w:ascii="Tw Cen MT" w:hAnsi="Tw Cen MT"/>
                <w:color w:val="000000"/>
                <w:sz w:val="21"/>
                <w:szCs w:val="21"/>
              </w:rPr>
            </w:pPr>
            <w:r>
              <w:rPr>
                <w:rFonts w:ascii="Tw Cen MT" w:hAnsi="Tw Cen MT"/>
                <w:bCs/>
                <w:color w:val="000000"/>
                <w:sz w:val="21"/>
                <w:szCs w:val="21"/>
              </w:rPr>
              <w:t>462</w:t>
            </w:r>
            <w:r w:rsidRPr="00B40FB1">
              <w:rPr>
                <w:rStyle w:val="FootnoteReference"/>
                <w:rFonts w:ascii="Tw Cen MT" w:hAnsi="Tw Cen MT"/>
                <w:bCs/>
                <w:color w:val="000000"/>
                <w:sz w:val="22"/>
                <w:szCs w:val="22"/>
              </w:rPr>
              <w:footnoteReference w:id="1"/>
            </w:r>
          </w:p>
        </w:tc>
        <w:tc>
          <w:tcPr>
            <w:tcW w:w="1080" w:type="dxa"/>
            <w:tcMar>
              <w:left w:w="72" w:type="dxa"/>
              <w:right w:w="72" w:type="dxa"/>
            </w:tcMar>
            <w:vAlign w:val="center"/>
          </w:tcPr>
          <w:p w14:paraId="7461AF19" w14:textId="77777777" w:rsidR="00B40FB1" w:rsidRPr="00C46BE1" w:rsidRDefault="00B40FB1" w:rsidP="00B40FB1">
            <w:pPr>
              <w:jc w:val="center"/>
              <w:rPr>
                <w:rFonts w:ascii="Tw Cen MT" w:hAnsi="Tw Cen MT"/>
                <w:color w:val="000000"/>
                <w:sz w:val="21"/>
                <w:szCs w:val="21"/>
              </w:rPr>
            </w:pPr>
          </w:p>
        </w:tc>
        <w:tc>
          <w:tcPr>
            <w:tcW w:w="990" w:type="dxa"/>
            <w:tcMar>
              <w:left w:w="72" w:type="dxa"/>
              <w:right w:w="72" w:type="dxa"/>
            </w:tcMar>
            <w:vAlign w:val="center"/>
          </w:tcPr>
          <w:p w14:paraId="628747F1" w14:textId="3E258C45" w:rsidR="00B40FB1" w:rsidRPr="00C46BE1" w:rsidRDefault="00B40FB1" w:rsidP="00B40FB1">
            <w:pPr>
              <w:jc w:val="center"/>
              <w:rPr>
                <w:rFonts w:ascii="Tw Cen MT" w:hAnsi="Tw Cen MT"/>
                <w:color w:val="000000"/>
                <w:sz w:val="21"/>
                <w:szCs w:val="21"/>
              </w:rPr>
            </w:pPr>
            <w:r w:rsidRPr="00C46BE1">
              <w:rPr>
                <w:rFonts w:ascii="Tw Cen MT" w:hAnsi="Tw Cen MT"/>
                <w:bCs/>
                <w:color w:val="000000"/>
                <w:sz w:val="21"/>
                <w:szCs w:val="21"/>
              </w:rPr>
              <w:t>687</w:t>
            </w:r>
          </w:p>
        </w:tc>
        <w:tc>
          <w:tcPr>
            <w:tcW w:w="900" w:type="dxa"/>
            <w:tcMar>
              <w:left w:w="72" w:type="dxa"/>
              <w:right w:w="72" w:type="dxa"/>
            </w:tcMar>
            <w:vAlign w:val="center"/>
          </w:tcPr>
          <w:p w14:paraId="7ADFDE1C" w14:textId="418305F0" w:rsidR="00B40FB1" w:rsidRPr="00C46BE1" w:rsidRDefault="00B40FB1" w:rsidP="00B40FB1">
            <w:pPr>
              <w:jc w:val="center"/>
              <w:rPr>
                <w:rFonts w:ascii="Tw Cen MT" w:hAnsi="Tw Cen MT"/>
                <w:color w:val="000000"/>
                <w:sz w:val="21"/>
                <w:szCs w:val="21"/>
              </w:rPr>
            </w:pPr>
            <w:r w:rsidRPr="00C46BE1">
              <w:rPr>
                <w:rFonts w:ascii="Tw Cen MT" w:hAnsi="Tw Cen MT"/>
                <w:bCs/>
                <w:color w:val="000000"/>
                <w:sz w:val="21"/>
                <w:szCs w:val="21"/>
              </w:rPr>
              <w:t> </w:t>
            </w:r>
          </w:p>
        </w:tc>
        <w:tc>
          <w:tcPr>
            <w:tcW w:w="810" w:type="dxa"/>
            <w:tcMar>
              <w:left w:w="72" w:type="dxa"/>
              <w:right w:w="72" w:type="dxa"/>
            </w:tcMar>
            <w:vAlign w:val="center"/>
          </w:tcPr>
          <w:p w14:paraId="7958D825" w14:textId="5A879DFB" w:rsidR="00B40FB1" w:rsidRPr="00C46BE1" w:rsidRDefault="00B40FB1" w:rsidP="00B40FB1">
            <w:pPr>
              <w:jc w:val="center"/>
              <w:rPr>
                <w:rFonts w:ascii="Tw Cen MT" w:hAnsi="Tw Cen MT"/>
                <w:color w:val="000000"/>
                <w:sz w:val="21"/>
                <w:szCs w:val="21"/>
              </w:rPr>
            </w:pPr>
            <w:r w:rsidRPr="00C46BE1">
              <w:rPr>
                <w:rFonts w:ascii="Tw Cen MT" w:hAnsi="Tw Cen MT"/>
                <w:bCs/>
                <w:color w:val="000000"/>
                <w:sz w:val="21"/>
                <w:szCs w:val="21"/>
              </w:rPr>
              <w:t> 561</w:t>
            </w:r>
          </w:p>
        </w:tc>
        <w:tc>
          <w:tcPr>
            <w:tcW w:w="720" w:type="dxa"/>
            <w:tcMar>
              <w:left w:w="72" w:type="dxa"/>
              <w:right w:w="72" w:type="dxa"/>
            </w:tcMar>
            <w:vAlign w:val="center"/>
          </w:tcPr>
          <w:p w14:paraId="60690CEF" w14:textId="1FC47F33" w:rsidR="00B40FB1" w:rsidRPr="00C46BE1" w:rsidRDefault="00B40FB1" w:rsidP="00B40FB1">
            <w:pPr>
              <w:jc w:val="center"/>
              <w:rPr>
                <w:rFonts w:ascii="Tw Cen MT" w:hAnsi="Tw Cen MT"/>
                <w:color w:val="000000"/>
                <w:sz w:val="21"/>
                <w:szCs w:val="21"/>
              </w:rPr>
            </w:pPr>
            <w:r w:rsidRPr="00C46BE1">
              <w:rPr>
                <w:rFonts w:ascii="Tw Cen MT" w:hAnsi="Tw Cen MT"/>
                <w:bCs/>
                <w:color w:val="000000"/>
                <w:sz w:val="21"/>
                <w:szCs w:val="21"/>
              </w:rPr>
              <w:t> </w:t>
            </w:r>
          </w:p>
        </w:tc>
        <w:tc>
          <w:tcPr>
            <w:tcW w:w="810" w:type="dxa"/>
            <w:tcMar>
              <w:left w:w="72" w:type="dxa"/>
              <w:right w:w="72" w:type="dxa"/>
            </w:tcMar>
            <w:vAlign w:val="center"/>
          </w:tcPr>
          <w:p w14:paraId="392212A7" w14:textId="50509946" w:rsidR="00B40FB1" w:rsidRPr="00C46BE1" w:rsidRDefault="00B40FB1" w:rsidP="00B40FB1">
            <w:pPr>
              <w:jc w:val="center"/>
              <w:rPr>
                <w:rFonts w:ascii="Tw Cen MT" w:hAnsi="Tw Cen MT"/>
                <w:color w:val="000000"/>
                <w:sz w:val="21"/>
                <w:szCs w:val="21"/>
              </w:rPr>
            </w:pPr>
            <w:r w:rsidRPr="00C46BE1">
              <w:rPr>
                <w:rFonts w:ascii="Tw Cen MT" w:hAnsi="Tw Cen MT"/>
                <w:bCs/>
                <w:color w:val="000000"/>
                <w:sz w:val="21"/>
                <w:szCs w:val="21"/>
              </w:rPr>
              <w:t>15,730</w:t>
            </w:r>
          </w:p>
        </w:tc>
      </w:tr>
    </w:tbl>
    <w:p w14:paraId="3D50012A" w14:textId="13CD0DB2" w:rsidR="008C1D4A" w:rsidRPr="00B40FB1" w:rsidRDefault="008C1D4A" w:rsidP="00B40FB1">
      <w:pPr>
        <w:tabs>
          <w:tab w:val="left" w:pos="4119"/>
        </w:tabs>
        <w:rPr>
          <w:rFonts w:ascii="Tw Cen MT" w:hAnsi="Tw Cen MT"/>
          <w:sz w:val="21"/>
          <w:szCs w:val="21"/>
        </w:rPr>
        <w:sectPr w:rsidR="008C1D4A" w:rsidRPr="00B40FB1" w:rsidSect="008C1D4A">
          <w:headerReference w:type="default" r:id="rId31"/>
          <w:footerReference w:type="default" r:id="rId32"/>
          <w:type w:val="continuous"/>
          <w:pgSz w:w="12240" w:h="15840"/>
          <w:pgMar w:top="1440" w:right="1440" w:bottom="1440" w:left="1440" w:header="720" w:footer="720" w:gutter="0"/>
          <w:cols w:space="720"/>
          <w:docGrid w:linePitch="360"/>
        </w:sectPr>
      </w:pPr>
    </w:p>
    <w:p w14:paraId="7F98D241" w14:textId="13AB7B49" w:rsidR="004B1069" w:rsidRPr="00C46BE1" w:rsidRDefault="004B1069" w:rsidP="008C1D4A">
      <w:pPr>
        <w:pStyle w:val="SuicideBodyText"/>
        <w:keepNext/>
        <w:spacing w:before="360" w:after="120"/>
        <w:jc w:val="center"/>
        <w:rPr>
          <w:rFonts w:ascii="Tw Cen MT" w:hAnsi="Tw Cen MT"/>
          <w:b/>
        </w:rPr>
      </w:pPr>
      <w:r w:rsidRPr="00C46BE1">
        <w:rPr>
          <w:rFonts w:ascii="Tw Cen MT" w:hAnsi="Tw Cen MT"/>
          <w:b/>
        </w:rPr>
        <w:t xml:space="preserve">Exhibit </w:t>
      </w:r>
      <w:r w:rsidR="00244BF0" w:rsidRPr="00C46BE1">
        <w:rPr>
          <w:rFonts w:ascii="Tw Cen MT" w:hAnsi="Tw Cen MT"/>
          <w:b/>
        </w:rPr>
        <w:t>11</w:t>
      </w:r>
      <w:r w:rsidRPr="00C46BE1">
        <w:rPr>
          <w:rFonts w:ascii="Tw Cen MT" w:hAnsi="Tw Cen MT"/>
          <w:b/>
        </w:rPr>
        <w:t>. Annualized Summary Burden by Respondent Type</w:t>
      </w:r>
    </w:p>
    <w:tbl>
      <w:tblPr>
        <w:tblStyle w:val="TableGrid"/>
        <w:tblW w:w="9355" w:type="dxa"/>
        <w:tblLayout w:type="fixed"/>
        <w:tblLook w:val="01E0" w:firstRow="1" w:lastRow="1" w:firstColumn="1" w:lastColumn="1" w:noHBand="0" w:noVBand="0"/>
      </w:tblPr>
      <w:tblGrid>
        <w:gridCol w:w="2785"/>
        <w:gridCol w:w="1417"/>
        <w:gridCol w:w="1733"/>
        <w:gridCol w:w="1620"/>
        <w:gridCol w:w="1800"/>
      </w:tblGrid>
      <w:tr w:rsidR="004B1069" w:rsidRPr="00C46BE1" w14:paraId="74BA8F66" w14:textId="77777777" w:rsidTr="004B1069">
        <w:trPr>
          <w:trHeight w:val="485"/>
          <w:tblHeader/>
        </w:trPr>
        <w:tc>
          <w:tcPr>
            <w:tcW w:w="2785" w:type="dxa"/>
            <w:shd w:val="clear" w:color="auto" w:fill="323E4F" w:themeFill="text2" w:themeFillShade="BF"/>
            <w:vAlign w:val="center"/>
          </w:tcPr>
          <w:p w14:paraId="24C6FA8E" w14:textId="77777777" w:rsidR="004B1069" w:rsidRPr="00C46BE1" w:rsidRDefault="004B1069" w:rsidP="004B1069">
            <w:pPr>
              <w:pStyle w:val="SuicideTableHeading2"/>
              <w:jc w:val="center"/>
              <w:rPr>
                <w:rFonts w:ascii="Tw Cen MT" w:hAnsi="Tw Cen MT"/>
                <w:b w:val="0"/>
                <w:color w:val="FFFFFF" w:themeColor="background1"/>
                <w:sz w:val="22"/>
                <w:szCs w:val="22"/>
              </w:rPr>
            </w:pPr>
            <w:r w:rsidRPr="00C46BE1">
              <w:rPr>
                <w:rFonts w:ascii="Tw Cen MT" w:hAnsi="Tw Cen MT"/>
                <w:b w:val="0"/>
                <w:color w:val="FFFFFF" w:themeColor="background1"/>
                <w:sz w:val="22"/>
                <w:szCs w:val="22"/>
              </w:rPr>
              <w:t>Respondents</w:t>
            </w:r>
          </w:p>
        </w:tc>
        <w:tc>
          <w:tcPr>
            <w:tcW w:w="1417" w:type="dxa"/>
            <w:shd w:val="clear" w:color="auto" w:fill="323E4F" w:themeFill="text2" w:themeFillShade="BF"/>
            <w:vAlign w:val="center"/>
          </w:tcPr>
          <w:p w14:paraId="0086E5A4" w14:textId="77777777" w:rsidR="004B1069" w:rsidRPr="00C46BE1" w:rsidRDefault="004B1069" w:rsidP="004B1069">
            <w:pPr>
              <w:pStyle w:val="SuicideTableHeading2"/>
              <w:jc w:val="center"/>
              <w:rPr>
                <w:rFonts w:ascii="Tw Cen MT" w:hAnsi="Tw Cen MT"/>
                <w:b w:val="0"/>
                <w:color w:val="FFFFFF" w:themeColor="background1"/>
                <w:sz w:val="22"/>
                <w:szCs w:val="22"/>
              </w:rPr>
            </w:pPr>
            <w:r w:rsidRPr="00C46BE1">
              <w:rPr>
                <w:rFonts w:ascii="Tw Cen MT" w:hAnsi="Tw Cen MT"/>
                <w:b w:val="0"/>
                <w:color w:val="FFFFFF" w:themeColor="background1"/>
                <w:sz w:val="22"/>
                <w:szCs w:val="22"/>
              </w:rPr>
              <w:t>Number of Respondents</w:t>
            </w:r>
          </w:p>
        </w:tc>
        <w:tc>
          <w:tcPr>
            <w:tcW w:w="1733" w:type="dxa"/>
            <w:shd w:val="clear" w:color="auto" w:fill="323E4F" w:themeFill="text2" w:themeFillShade="BF"/>
            <w:vAlign w:val="center"/>
          </w:tcPr>
          <w:p w14:paraId="52248611" w14:textId="77777777" w:rsidR="004B1069" w:rsidRPr="00C46BE1" w:rsidRDefault="004B1069" w:rsidP="004B1069">
            <w:pPr>
              <w:pStyle w:val="SuicideTableHeading2"/>
              <w:jc w:val="center"/>
              <w:rPr>
                <w:rFonts w:ascii="Tw Cen MT" w:hAnsi="Tw Cen MT"/>
                <w:b w:val="0"/>
                <w:color w:val="FFFFFF" w:themeColor="background1"/>
                <w:sz w:val="22"/>
                <w:szCs w:val="22"/>
              </w:rPr>
            </w:pPr>
            <w:r w:rsidRPr="00C46BE1">
              <w:rPr>
                <w:rFonts w:ascii="Tw Cen MT" w:hAnsi="Tw Cen MT"/>
                <w:b w:val="0"/>
                <w:color w:val="FFFFFF" w:themeColor="background1"/>
                <w:sz w:val="22"/>
                <w:szCs w:val="22"/>
              </w:rPr>
              <w:t>Responses/</w:t>
            </w:r>
          </w:p>
          <w:p w14:paraId="5E380A93" w14:textId="77777777" w:rsidR="004B1069" w:rsidRPr="00C46BE1" w:rsidRDefault="004B1069" w:rsidP="004B1069">
            <w:pPr>
              <w:pStyle w:val="SuicideTableHeading2"/>
              <w:spacing w:before="0"/>
              <w:jc w:val="center"/>
              <w:rPr>
                <w:rFonts w:ascii="Tw Cen MT" w:hAnsi="Tw Cen MT"/>
                <w:b w:val="0"/>
                <w:color w:val="FFFFFF" w:themeColor="background1"/>
                <w:sz w:val="22"/>
                <w:szCs w:val="22"/>
              </w:rPr>
            </w:pPr>
            <w:r w:rsidRPr="00C46BE1">
              <w:rPr>
                <w:rFonts w:ascii="Tw Cen MT" w:hAnsi="Tw Cen MT"/>
                <w:b w:val="0"/>
                <w:color w:val="FFFFFF" w:themeColor="background1"/>
                <w:sz w:val="22"/>
                <w:szCs w:val="22"/>
              </w:rPr>
              <w:t>Respondent</w:t>
            </w:r>
          </w:p>
        </w:tc>
        <w:tc>
          <w:tcPr>
            <w:tcW w:w="1620" w:type="dxa"/>
            <w:shd w:val="clear" w:color="auto" w:fill="323E4F" w:themeFill="text2" w:themeFillShade="BF"/>
            <w:vAlign w:val="center"/>
          </w:tcPr>
          <w:p w14:paraId="26FA8AE3" w14:textId="77777777" w:rsidR="004B1069" w:rsidRPr="00C46BE1" w:rsidRDefault="004B1069" w:rsidP="004B1069">
            <w:pPr>
              <w:pStyle w:val="SuicideTableHeading2"/>
              <w:jc w:val="center"/>
              <w:rPr>
                <w:rFonts w:ascii="Tw Cen MT" w:hAnsi="Tw Cen MT"/>
                <w:b w:val="0"/>
                <w:color w:val="FFFFFF" w:themeColor="background1"/>
                <w:sz w:val="22"/>
                <w:szCs w:val="22"/>
              </w:rPr>
            </w:pPr>
            <w:r w:rsidRPr="00C46BE1">
              <w:rPr>
                <w:rFonts w:ascii="Tw Cen MT" w:hAnsi="Tw Cen MT"/>
                <w:b w:val="0"/>
                <w:color w:val="FFFFFF" w:themeColor="background1"/>
                <w:sz w:val="22"/>
                <w:szCs w:val="22"/>
              </w:rPr>
              <w:t>Total Responses</w:t>
            </w:r>
          </w:p>
        </w:tc>
        <w:tc>
          <w:tcPr>
            <w:tcW w:w="1800" w:type="dxa"/>
            <w:shd w:val="clear" w:color="auto" w:fill="323E4F" w:themeFill="text2" w:themeFillShade="BF"/>
            <w:vAlign w:val="center"/>
          </w:tcPr>
          <w:p w14:paraId="74AEE600" w14:textId="77777777" w:rsidR="004B1069" w:rsidRPr="00C46BE1" w:rsidRDefault="004B1069" w:rsidP="004B1069">
            <w:pPr>
              <w:pStyle w:val="SuicideTableHeading2"/>
              <w:jc w:val="center"/>
              <w:rPr>
                <w:rFonts w:ascii="Tw Cen MT" w:hAnsi="Tw Cen MT"/>
                <w:b w:val="0"/>
                <w:color w:val="FFFFFF" w:themeColor="background1"/>
                <w:sz w:val="22"/>
                <w:szCs w:val="22"/>
              </w:rPr>
            </w:pPr>
            <w:r w:rsidRPr="00C46BE1">
              <w:rPr>
                <w:rFonts w:ascii="Tw Cen MT" w:hAnsi="Tw Cen MT"/>
                <w:b w:val="0"/>
                <w:color w:val="FFFFFF" w:themeColor="background1"/>
                <w:sz w:val="22"/>
                <w:szCs w:val="22"/>
              </w:rPr>
              <w:t>Total Annualized Hour Burden</w:t>
            </w:r>
          </w:p>
        </w:tc>
      </w:tr>
      <w:tr w:rsidR="004B1069" w:rsidRPr="00C46BE1" w14:paraId="388015E6" w14:textId="77777777" w:rsidTr="004B1069">
        <w:trPr>
          <w:trHeight w:val="278"/>
        </w:trPr>
        <w:tc>
          <w:tcPr>
            <w:tcW w:w="9355" w:type="dxa"/>
            <w:gridSpan w:val="5"/>
            <w:shd w:val="clear" w:color="auto" w:fill="D5DCE4" w:themeFill="text2" w:themeFillTint="33"/>
            <w:vAlign w:val="center"/>
          </w:tcPr>
          <w:p w14:paraId="341C3092" w14:textId="7A2B8094" w:rsidR="004B1069" w:rsidRPr="00C46BE1" w:rsidRDefault="00322B24" w:rsidP="004B1069">
            <w:pPr>
              <w:pStyle w:val="SuicideTableText"/>
              <w:spacing w:before="0" w:after="0"/>
              <w:jc w:val="center"/>
              <w:rPr>
                <w:rFonts w:ascii="Tw Cen MT" w:hAnsi="Tw Cen MT"/>
                <w:sz w:val="22"/>
                <w:szCs w:val="22"/>
              </w:rPr>
            </w:pPr>
            <w:r w:rsidRPr="00C46BE1">
              <w:rPr>
                <w:rFonts w:ascii="Tw Cen MT" w:hAnsi="Tw Cen MT"/>
                <w:bCs/>
                <w:sz w:val="22"/>
                <w:szCs w:val="22"/>
              </w:rPr>
              <w:t>BHTC Study</w:t>
            </w:r>
          </w:p>
        </w:tc>
      </w:tr>
      <w:tr w:rsidR="004B1069" w:rsidRPr="00C46BE1" w14:paraId="4760DD1F" w14:textId="77777777" w:rsidTr="00EF71A4">
        <w:trPr>
          <w:trHeight w:val="314"/>
        </w:trPr>
        <w:tc>
          <w:tcPr>
            <w:tcW w:w="2785" w:type="dxa"/>
            <w:shd w:val="clear" w:color="auto" w:fill="auto"/>
            <w:vAlign w:val="center"/>
          </w:tcPr>
          <w:p w14:paraId="24D4EFA0" w14:textId="77777777" w:rsidR="004B1069" w:rsidRPr="00C46BE1" w:rsidRDefault="004B1069" w:rsidP="004B1069">
            <w:pPr>
              <w:pStyle w:val="SuicideTableText"/>
              <w:spacing w:before="0" w:after="0"/>
              <w:rPr>
                <w:rFonts w:ascii="Tw Cen MT" w:hAnsi="Tw Cen MT"/>
                <w:sz w:val="22"/>
                <w:szCs w:val="22"/>
              </w:rPr>
            </w:pPr>
            <w:r w:rsidRPr="00C46BE1">
              <w:rPr>
                <w:rFonts w:ascii="Tw Cen MT" w:hAnsi="Tw Cen MT"/>
                <w:sz w:val="22"/>
                <w:szCs w:val="22"/>
              </w:rPr>
              <w:t>Project Evaluators</w:t>
            </w:r>
          </w:p>
        </w:tc>
        <w:tc>
          <w:tcPr>
            <w:tcW w:w="1417" w:type="dxa"/>
            <w:vAlign w:val="center"/>
          </w:tcPr>
          <w:p w14:paraId="17F98327" w14:textId="4F7FA656" w:rsidR="004B1069" w:rsidRPr="00C46BE1" w:rsidRDefault="00EF71A4" w:rsidP="004B1069">
            <w:pPr>
              <w:pStyle w:val="SuicideTableText"/>
              <w:spacing w:before="0" w:after="0"/>
              <w:jc w:val="center"/>
              <w:rPr>
                <w:rFonts w:ascii="Tw Cen MT" w:hAnsi="Tw Cen MT"/>
                <w:sz w:val="22"/>
                <w:szCs w:val="22"/>
              </w:rPr>
            </w:pPr>
            <w:r w:rsidRPr="00C46BE1">
              <w:rPr>
                <w:rFonts w:ascii="Tw Cen MT" w:hAnsi="Tw Cen MT"/>
                <w:sz w:val="22"/>
                <w:szCs w:val="22"/>
              </w:rPr>
              <w:t>17</w:t>
            </w:r>
          </w:p>
        </w:tc>
        <w:tc>
          <w:tcPr>
            <w:tcW w:w="1733" w:type="dxa"/>
            <w:vAlign w:val="center"/>
          </w:tcPr>
          <w:p w14:paraId="5A292138" w14:textId="6F1D0D07" w:rsidR="004B1069" w:rsidRPr="00C46BE1" w:rsidRDefault="00EF71A4" w:rsidP="004B1069">
            <w:pPr>
              <w:pStyle w:val="SuicideTableText"/>
              <w:spacing w:before="0" w:after="0"/>
              <w:jc w:val="center"/>
              <w:rPr>
                <w:rFonts w:ascii="Tw Cen MT" w:hAnsi="Tw Cen MT"/>
                <w:sz w:val="22"/>
                <w:szCs w:val="22"/>
              </w:rPr>
            </w:pPr>
            <w:r w:rsidRPr="00C46BE1">
              <w:rPr>
                <w:rFonts w:ascii="Tw Cen MT" w:hAnsi="Tw Cen MT"/>
                <w:sz w:val="22"/>
                <w:szCs w:val="22"/>
              </w:rPr>
              <w:t>3</w:t>
            </w:r>
          </w:p>
        </w:tc>
        <w:tc>
          <w:tcPr>
            <w:tcW w:w="1620" w:type="dxa"/>
            <w:vAlign w:val="center"/>
          </w:tcPr>
          <w:p w14:paraId="76EC4811" w14:textId="4889B2F0" w:rsidR="004B1069" w:rsidRPr="00C46BE1" w:rsidRDefault="00EF71A4" w:rsidP="004B1069">
            <w:pPr>
              <w:pStyle w:val="SuicideTableText"/>
              <w:spacing w:before="0" w:after="0"/>
              <w:jc w:val="center"/>
              <w:rPr>
                <w:rFonts w:ascii="Tw Cen MT" w:hAnsi="Tw Cen MT"/>
                <w:sz w:val="22"/>
                <w:szCs w:val="22"/>
              </w:rPr>
            </w:pPr>
            <w:r w:rsidRPr="00C46BE1">
              <w:rPr>
                <w:rFonts w:ascii="Tw Cen MT" w:hAnsi="Tw Cen MT"/>
                <w:sz w:val="22"/>
                <w:szCs w:val="22"/>
              </w:rPr>
              <w:t>51</w:t>
            </w:r>
          </w:p>
        </w:tc>
        <w:tc>
          <w:tcPr>
            <w:tcW w:w="1800" w:type="dxa"/>
            <w:vAlign w:val="center"/>
          </w:tcPr>
          <w:p w14:paraId="6195B580" w14:textId="6B0E77B3" w:rsidR="004B1069" w:rsidRPr="00C46BE1" w:rsidRDefault="00B00AAF" w:rsidP="004B1069">
            <w:pPr>
              <w:pStyle w:val="SuicideTableText"/>
              <w:spacing w:before="0" w:after="0"/>
              <w:jc w:val="center"/>
              <w:rPr>
                <w:rFonts w:ascii="Tw Cen MT" w:hAnsi="Tw Cen MT"/>
                <w:sz w:val="22"/>
                <w:szCs w:val="22"/>
              </w:rPr>
            </w:pPr>
            <w:r w:rsidRPr="00C46BE1">
              <w:rPr>
                <w:rFonts w:ascii="Tw Cen MT" w:hAnsi="Tw Cen MT"/>
                <w:sz w:val="22"/>
                <w:szCs w:val="22"/>
              </w:rPr>
              <w:t>118</w:t>
            </w:r>
          </w:p>
        </w:tc>
      </w:tr>
      <w:tr w:rsidR="004B1069" w:rsidRPr="00C46BE1" w14:paraId="23768A85" w14:textId="77777777" w:rsidTr="00EF71A4">
        <w:trPr>
          <w:trHeight w:val="260"/>
        </w:trPr>
        <w:tc>
          <w:tcPr>
            <w:tcW w:w="2785" w:type="dxa"/>
            <w:shd w:val="clear" w:color="auto" w:fill="auto"/>
            <w:vAlign w:val="center"/>
          </w:tcPr>
          <w:p w14:paraId="6A0FBE22" w14:textId="742B8E6F" w:rsidR="004B1069" w:rsidRPr="00C46BE1" w:rsidRDefault="004B1069" w:rsidP="004B1069">
            <w:pPr>
              <w:pStyle w:val="SuicideTableText"/>
              <w:spacing w:before="0" w:after="0"/>
              <w:rPr>
                <w:rFonts w:ascii="Tw Cen MT" w:hAnsi="Tw Cen MT"/>
                <w:sz w:val="22"/>
                <w:szCs w:val="22"/>
              </w:rPr>
            </w:pPr>
            <w:r w:rsidRPr="00C46BE1">
              <w:rPr>
                <w:rFonts w:ascii="Tw Cen MT" w:hAnsi="Tw Cen MT"/>
                <w:sz w:val="22"/>
                <w:szCs w:val="22"/>
              </w:rPr>
              <w:t>Court Personnel</w:t>
            </w:r>
          </w:p>
        </w:tc>
        <w:tc>
          <w:tcPr>
            <w:tcW w:w="1417" w:type="dxa"/>
            <w:vAlign w:val="center"/>
          </w:tcPr>
          <w:p w14:paraId="78FE1050" w14:textId="18B41467" w:rsidR="004B1069" w:rsidRPr="00C46BE1" w:rsidRDefault="00B00AAF" w:rsidP="004B1069">
            <w:pPr>
              <w:pStyle w:val="SuicideTableText"/>
              <w:spacing w:before="0" w:after="0"/>
              <w:jc w:val="center"/>
              <w:rPr>
                <w:rFonts w:ascii="Tw Cen MT" w:hAnsi="Tw Cen MT"/>
                <w:sz w:val="22"/>
                <w:szCs w:val="22"/>
              </w:rPr>
            </w:pPr>
            <w:r w:rsidRPr="00C46BE1">
              <w:rPr>
                <w:rFonts w:ascii="Tw Cen MT" w:hAnsi="Tw Cen MT"/>
                <w:sz w:val="22"/>
                <w:szCs w:val="22"/>
              </w:rPr>
              <w:t>23</w:t>
            </w:r>
          </w:p>
        </w:tc>
        <w:tc>
          <w:tcPr>
            <w:tcW w:w="1733" w:type="dxa"/>
            <w:vAlign w:val="center"/>
          </w:tcPr>
          <w:p w14:paraId="45C4D7D4" w14:textId="4F7F846A" w:rsidR="004B1069" w:rsidRPr="00C46BE1" w:rsidRDefault="00B00AAF" w:rsidP="004B1069">
            <w:pPr>
              <w:pStyle w:val="SuicideTableText"/>
              <w:spacing w:before="0" w:after="0"/>
              <w:jc w:val="center"/>
              <w:rPr>
                <w:rFonts w:ascii="Tw Cen MT" w:hAnsi="Tw Cen MT"/>
                <w:sz w:val="22"/>
                <w:szCs w:val="22"/>
              </w:rPr>
            </w:pPr>
            <w:r w:rsidRPr="00C46BE1">
              <w:rPr>
                <w:rFonts w:ascii="Tw Cen MT" w:hAnsi="Tw Cen MT"/>
                <w:sz w:val="22"/>
                <w:szCs w:val="22"/>
              </w:rPr>
              <w:t>1</w:t>
            </w:r>
          </w:p>
        </w:tc>
        <w:tc>
          <w:tcPr>
            <w:tcW w:w="1620" w:type="dxa"/>
            <w:vAlign w:val="center"/>
          </w:tcPr>
          <w:p w14:paraId="2B98C924" w14:textId="6A07BDE8" w:rsidR="004B1069" w:rsidRPr="00C46BE1" w:rsidRDefault="00B00AAF" w:rsidP="004B1069">
            <w:pPr>
              <w:pStyle w:val="SuicideTableText"/>
              <w:spacing w:before="0" w:after="0"/>
              <w:jc w:val="center"/>
              <w:rPr>
                <w:rFonts w:ascii="Tw Cen MT" w:hAnsi="Tw Cen MT"/>
                <w:sz w:val="22"/>
                <w:szCs w:val="22"/>
              </w:rPr>
            </w:pPr>
            <w:r w:rsidRPr="00C46BE1">
              <w:rPr>
                <w:rFonts w:ascii="Tw Cen MT" w:hAnsi="Tw Cen MT"/>
                <w:sz w:val="22"/>
                <w:szCs w:val="22"/>
              </w:rPr>
              <w:t>23</w:t>
            </w:r>
          </w:p>
        </w:tc>
        <w:tc>
          <w:tcPr>
            <w:tcW w:w="1800" w:type="dxa"/>
            <w:vAlign w:val="center"/>
          </w:tcPr>
          <w:p w14:paraId="1F693DDA" w14:textId="460D6099" w:rsidR="004B1069" w:rsidRPr="00C46BE1" w:rsidRDefault="00B00AAF" w:rsidP="004B1069">
            <w:pPr>
              <w:pStyle w:val="SuicideTableText"/>
              <w:spacing w:before="0" w:after="0"/>
              <w:jc w:val="center"/>
              <w:rPr>
                <w:rFonts w:ascii="Tw Cen MT" w:hAnsi="Tw Cen MT"/>
                <w:sz w:val="22"/>
                <w:szCs w:val="22"/>
              </w:rPr>
            </w:pPr>
            <w:r w:rsidRPr="00C46BE1">
              <w:rPr>
                <w:rFonts w:ascii="Tw Cen MT" w:hAnsi="Tw Cen MT"/>
                <w:sz w:val="22"/>
                <w:szCs w:val="22"/>
              </w:rPr>
              <w:t>23</w:t>
            </w:r>
          </w:p>
        </w:tc>
      </w:tr>
      <w:tr w:rsidR="00EF71A4" w:rsidRPr="00C46BE1" w14:paraId="4632CF96" w14:textId="77777777" w:rsidTr="00EF71A4">
        <w:trPr>
          <w:trHeight w:val="260"/>
        </w:trPr>
        <w:tc>
          <w:tcPr>
            <w:tcW w:w="2785" w:type="dxa"/>
            <w:shd w:val="clear" w:color="auto" w:fill="auto"/>
            <w:vAlign w:val="center"/>
          </w:tcPr>
          <w:p w14:paraId="7777B5CA" w14:textId="37FDC086" w:rsidR="00EF71A4" w:rsidRPr="00C46BE1" w:rsidRDefault="00E01595" w:rsidP="004B1069">
            <w:pPr>
              <w:pStyle w:val="SuicideTableText"/>
              <w:spacing w:before="0" w:after="0"/>
              <w:rPr>
                <w:rFonts w:ascii="Tw Cen MT" w:hAnsi="Tw Cen MT"/>
                <w:sz w:val="22"/>
                <w:szCs w:val="22"/>
              </w:rPr>
            </w:pPr>
            <w:r>
              <w:rPr>
                <w:rFonts w:ascii="Tw Cen MT" w:hAnsi="Tw Cen MT"/>
                <w:sz w:val="22"/>
                <w:szCs w:val="22"/>
              </w:rPr>
              <w:t xml:space="preserve">BHTCC </w:t>
            </w:r>
            <w:r w:rsidR="00EF71A4" w:rsidRPr="00C46BE1">
              <w:rPr>
                <w:rFonts w:ascii="Tw Cen MT" w:hAnsi="Tw Cen MT"/>
                <w:sz w:val="22"/>
                <w:szCs w:val="22"/>
              </w:rPr>
              <w:t>Service Providers</w:t>
            </w:r>
          </w:p>
        </w:tc>
        <w:tc>
          <w:tcPr>
            <w:tcW w:w="1417" w:type="dxa"/>
            <w:vAlign w:val="center"/>
          </w:tcPr>
          <w:p w14:paraId="4685F979" w14:textId="0A3F95F7" w:rsidR="00EF71A4" w:rsidRPr="00C46BE1" w:rsidRDefault="00B00AAF" w:rsidP="004B1069">
            <w:pPr>
              <w:pStyle w:val="SuicideTableText"/>
              <w:spacing w:before="0" w:after="0"/>
              <w:jc w:val="center"/>
              <w:rPr>
                <w:rFonts w:ascii="Tw Cen MT" w:hAnsi="Tw Cen MT"/>
                <w:sz w:val="22"/>
                <w:szCs w:val="22"/>
              </w:rPr>
            </w:pPr>
            <w:r w:rsidRPr="00C46BE1">
              <w:rPr>
                <w:rFonts w:ascii="Tw Cen MT" w:hAnsi="Tw Cen MT"/>
                <w:sz w:val="22"/>
                <w:szCs w:val="22"/>
              </w:rPr>
              <w:t>23</w:t>
            </w:r>
          </w:p>
        </w:tc>
        <w:tc>
          <w:tcPr>
            <w:tcW w:w="1733" w:type="dxa"/>
            <w:vAlign w:val="center"/>
          </w:tcPr>
          <w:p w14:paraId="1CC070CC" w14:textId="4468EA0A" w:rsidR="00EF71A4" w:rsidRPr="00C46BE1" w:rsidRDefault="00B00AAF" w:rsidP="004B1069">
            <w:pPr>
              <w:pStyle w:val="SuicideTableText"/>
              <w:spacing w:before="0" w:after="0"/>
              <w:jc w:val="center"/>
              <w:rPr>
                <w:rFonts w:ascii="Tw Cen MT" w:hAnsi="Tw Cen MT"/>
                <w:sz w:val="22"/>
                <w:szCs w:val="22"/>
              </w:rPr>
            </w:pPr>
            <w:r w:rsidRPr="00C46BE1">
              <w:rPr>
                <w:rFonts w:ascii="Tw Cen MT" w:hAnsi="Tw Cen MT"/>
                <w:sz w:val="22"/>
                <w:szCs w:val="22"/>
              </w:rPr>
              <w:t>1</w:t>
            </w:r>
          </w:p>
        </w:tc>
        <w:tc>
          <w:tcPr>
            <w:tcW w:w="1620" w:type="dxa"/>
            <w:vAlign w:val="center"/>
          </w:tcPr>
          <w:p w14:paraId="1DB413C9" w14:textId="07E75C26" w:rsidR="00EF71A4" w:rsidRPr="00C46BE1" w:rsidRDefault="00B00AAF" w:rsidP="004B1069">
            <w:pPr>
              <w:pStyle w:val="SuicideTableText"/>
              <w:spacing w:before="0" w:after="0"/>
              <w:jc w:val="center"/>
              <w:rPr>
                <w:rFonts w:ascii="Tw Cen MT" w:hAnsi="Tw Cen MT"/>
                <w:sz w:val="22"/>
                <w:szCs w:val="22"/>
              </w:rPr>
            </w:pPr>
            <w:r w:rsidRPr="00C46BE1">
              <w:rPr>
                <w:rFonts w:ascii="Tw Cen MT" w:hAnsi="Tw Cen MT"/>
                <w:sz w:val="22"/>
                <w:szCs w:val="22"/>
              </w:rPr>
              <w:t>23</w:t>
            </w:r>
          </w:p>
        </w:tc>
        <w:tc>
          <w:tcPr>
            <w:tcW w:w="1800" w:type="dxa"/>
            <w:vAlign w:val="center"/>
          </w:tcPr>
          <w:p w14:paraId="2067B90C" w14:textId="51C6E177" w:rsidR="00EF71A4" w:rsidRPr="00C46BE1" w:rsidRDefault="00B00AAF" w:rsidP="004B1069">
            <w:pPr>
              <w:pStyle w:val="SuicideTableText"/>
              <w:spacing w:before="0" w:after="0"/>
              <w:jc w:val="center"/>
              <w:rPr>
                <w:rFonts w:ascii="Tw Cen MT" w:hAnsi="Tw Cen MT"/>
                <w:sz w:val="22"/>
                <w:szCs w:val="22"/>
              </w:rPr>
            </w:pPr>
            <w:r w:rsidRPr="00C46BE1">
              <w:rPr>
                <w:rFonts w:ascii="Tw Cen MT" w:hAnsi="Tw Cen MT"/>
                <w:sz w:val="22"/>
                <w:szCs w:val="22"/>
              </w:rPr>
              <w:t>23</w:t>
            </w:r>
          </w:p>
        </w:tc>
      </w:tr>
      <w:tr w:rsidR="004B1069" w:rsidRPr="00C46BE1" w14:paraId="4212996A" w14:textId="77777777" w:rsidTr="00EF71A4">
        <w:trPr>
          <w:trHeight w:val="251"/>
        </w:trPr>
        <w:tc>
          <w:tcPr>
            <w:tcW w:w="2785" w:type="dxa"/>
            <w:shd w:val="clear" w:color="auto" w:fill="auto"/>
            <w:vAlign w:val="center"/>
          </w:tcPr>
          <w:p w14:paraId="15ACDE3F" w14:textId="4B005029" w:rsidR="004B1069" w:rsidRPr="00C46BE1" w:rsidRDefault="004B1069" w:rsidP="00322B24">
            <w:pPr>
              <w:pStyle w:val="SuicideTableText"/>
              <w:spacing w:before="0" w:after="0"/>
              <w:rPr>
                <w:rFonts w:ascii="Tw Cen MT" w:hAnsi="Tw Cen MT"/>
                <w:sz w:val="22"/>
                <w:szCs w:val="22"/>
              </w:rPr>
            </w:pPr>
            <w:r w:rsidRPr="00C46BE1">
              <w:rPr>
                <w:rFonts w:ascii="Tw Cen MT" w:hAnsi="Tw Cen MT"/>
                <w:sz w:val="22"/>
                <w:szCs w:val="22"/>
              </w:rPr>
              <w:t>Consumers</w:t>
            </w:r>
          </w:p>
        </w:tc>
        <w:tc>
          <w:tcPr>
            <w:tcW w:w="1417" w:type="dxa"/>
            <w:vAlign w:val="center"/>
          </w:tcPr>
          <w:p w14:paraId="23D6C6C5" w14:textId="6B925EC9" w:rsidR="004B1069" w:rsidRPr="00C46BE1" w:rsidRDefault="00B00AAF" w:rsidP="004B1069">
            <w:pPr>
              <w:pStyle w:val="SuicideTableText"/>
              <w:spacing w:before="0" w:after="0"/>
              <w:jc w:val="center"/>
              <w:rPr>
                <w:rFonts w:ascii="Tw Cen MT" w:hAnsi="Tw Cen MT"/>
                <w:sz w:val="22"/>
                <w:szCs w:val="22"/>
              </w:rPr>
            </w:pPr>
            <w:r w:rsidRPr="00C46BE1">
              <w:rPr>
                <w:rFonts w:ascii="Tw Cen MT" w:hAnsi="Tw Cen MT"/>
                <w:sz w:val="22"/>
                <w:szCs w:val="22"/>
              </w:rPr>
              <w:t>12</w:t>
            </w:r>
          </w:p>
        </w:tc>
        <w:tc>
          <w:tcPr>
            <w:tcW w:w="1733" w:type="dxa"/>
            <w:vAlign w:val="center"/>
          </w:tcPr>
          <w:p w14:paraId="019429AB" w14:textId="068EDA30" w:rsidR="004B1069" w:rsidRPr="00C46BE1" w:rsidRDefault="00B00AAF" w:rsidP="004B1069">
            <w:pPr>
              <w:pStyle w:val="SuicideTableText"/>
              <w:spacing w:before="0" w:after="0"/>
              <w:jc w:val="center"/>
              <w:rPr>
                <w:rFonts w:ascii="Tw Cen MT" w:hAnsi="Tw Cen MT"/>
                <w:sz w:val="22"/>
                <w:szCs w:val="22"/>
              </w:rPr>
            </w:pPr>
            <w:r w:rsidRPr="00C46BE1">
              <w:rPr>
                <w:rFonts w:ascii="Tw Cen MT" w:hAnsi="Tw Cen MT"/>
                <w:sz w:val="22"/>
                <w:szCs w:val="22"/>
              </w:rPr>
              <w:t>1</w:t>
            </w:r>
          </w:p>
        </w:tc>
        <w:tc>
          <w:tcPr>
            <w:tcW w:w="1620" w:type="dxa"/>
            <w:vAlign w:val="center"/>
          </w:tcPr>
          <w:p w14:paraId="2C0F3E25" w14:textId="31550874" w:rsidR="004B1069" w:rsidRPr="00C46BE1" w:rsidRDefault="00B00AAF" w:rsidP="004B1069">
            <w:pPr>
              <w:pStyle w:val="SuicideTableText"/>
              <w:spacing w:before="0" w:after="0"/>
              <w:jc w:val="center"/>
              <w:rPr>
                <w:rFonts w:ascii="Tw Cen MT" w:hAnsi="Tw Cen MT"/>
                <w:sz w:val="22"/>
                <w:szCs w:val="22"/>
              </w:rPr>
            </w:pPr>
            <w:r w:rsidRPr="00C46BE1">
              <w:rPr>
                <w:rFonts w:ascii="Tw Cen MT" w:hAnsi="Tw Cen MT"/>
                <w:sz w:val="22"/>
                <w:szCs w:val="22"/>
              </w:rPr>
              <w:t>12</w:t>
            </w:r>
          </w:p>
        </w:tc>
        <w:tc>
          <w:tcPr>
            <w:tcW w:w="1800" w:type="dxa"/>
            <w:vAlign w:val="center"/>
          </w:tcPr>
          <w:p w14:paraId="5FCFCDAF" w14:textId="263219A4" w:rsidR="004B1069" w:rsidRPr="00C46BE1" w:rsidRDefault="00B00AAF" w:rsidP="004B1069">
            <w:pPr>
              <w:pStyle w:val="SuicideTableText"/>
              <w:spacing w:before="0" w:after="0"/>
              <w:jc w:val="center"/>
              <w:rPr>
                <w:rFonts w:ascii="Tw Cen MT" w:hAnsi="Tw Cen MT"/>
                <w:sz w:val="22"/>
                <w:szCs w:val="22"/>
              </w:rPr>
            </w:pPr>
            <w:r w:rsidRPr="00C46BE1">
              <w:rPr>
                <w:rFonts w:ascii="Tw Cen MT" w:hAnsi="Tw Cen MT"/>
                <w:sz w:val="22"/>
                <w:szCs w:val="22"/>
              </w:rPr>
              <w:t>12</w:t>
            </w:r>
          </w:p>
        </w:tc>
      </w:tr>
      <w:tr w:rsidR="004B1069" w:rsidRPr="00C46BE1" w14:paraId="2AD7D2A3" w14:textId="77777777" w:rsidTr="0068195B">
        <w:trPr>
          <w:trHeight w:val="305"/>
        </w:trPr>
        <w:tc>
          <w:tcPr>
            <w:tcW w:w="2785" w:type="dxa"/>
            <w:shd w:val="clear" w:color="auto" w:fill="auto"/>
            <w:vAlign w:val="center"/>
          </w:tcPr>
          <w:p w14:paraId="034A58FE" w14:textId="34B88867" w:rsidR="004B1069" w:rsidRPr="00C46BE1" w:rsidRDefault="004B1069" w:rsidP="004B1069">
            <w:pPr>
              <w:pStyle w:val="SuicideTableText"/>
              <w:spacing w:before="0" w:after="0"/>
              <w:rPr>
                <w:rFonts w:ascii="Tw Cen MT" w:hAnsi="Tw Cen MT"/>
                <w:sz w:val="22"/>
                <w:szCs w:val="22"/>
              </w:rPr>
            </w:pPr>
            <w:r w:rsidRPr="00C46BE1">
              <w:rPr>
                <w:rFonts w:ascii="Tw Cen MT" w:hAnsi="Tw Cen MT"/>
                <w:sz w:val="22"/>
                <w:szCs w:val="22"/>
              </w:rPr>
              <w:t>Court Clerks</w:t>
            </w:r>
          </w:p>
        </w:tc>
        <w:tc>
          <w:tcPr>
            <w:tcW w:w="1417" w:type="dxa"/>
            <w:vAlign w:val="center"/>
          </w:tcPr>
          <w:p w14:paraId="5644B707" w14:textId="2513070A" w:rsidR="004B1069" w:rsidRPr="00C46BE1" w:rsidRDefault="00B00AAF" w:rsidP="004B1069">
            <w:pPr>
              <w:pStyle w:val="SuicideTableText"/>
              <w:spacing w:before="0" w:after="0"/>
              <w:jc w:val="center"/>
              <w:rPr>
                <w:rFonts w:ascii="Tw Cen MT" w:hAnsi="Tw Cen MT"/>
                <w:sz w:val="22"/>
                <w:szCs w:val="22"/>
              </w:rPr>
            </w:pPr>
            <w:r w:rsidRPr="00C46BE1">
              <w:rPr>
                <w:rFonts w:ascii="Tw Cen MT" w:hAnsi="Tw Cen MT"/>
                <w:sz w:val="22"/>
                <w:szCs w:val="22"/>
              </w:rPr>
              <w:t>2</w:t>
            </w:r>
          </w:p>
        </w:tc>
        <w:tc>
          <w:tcPr>
            <w:tcW w:w="1733" w:type="dxa"/>
            <w:vAlign w:val="center"/>
          </w:tcPr>
          <w:p w14:paraId="252E6E93" w14:textId="6601CB98" w:rsidR="004B1069" w:rsidRPr="00C46BE1" w:rsidRDefault="00B00AAF" w:rsidP="004B1069">
            <w:pPr>
              <w:pStyle w:val="SuicideTableText"/>
              <w:spacing w:before="0" w:after="0"/>
              <w:jc w:val="center"/>
              <w:rPr>
                <w:rFonts w:ascii="Tw Cen MT" w:hAnsi="Tw Cen MT"/>
                <w:sz w:val="22"/>
                <w:szCs w:val="22"/>
              </w:rPr>
            </w:pPr>
            <w:r w:rsidRPr="00C46BE1">
              <w:rPr>
                <w:rFonts w:ascii="Tw Cen MT" w:hAnsi="Tw Cen MT"/>
                <w:sz w:val="22"/>
                <w:szCs w:val="22"/>
              </w:rPr>
              <w:t>3</w:t>
            </w:r>
          </w:p>
        </w:tc>
        <w:tc>
          <w:tcPr>
            <w:tcW w:w="1620" w:type="dxa"/>
            <w:vAlign w:val="center"/>
          </w:tcPr>
          <w:p w14:paraId="0154BE85" w14:textId="6DEC7290" w:rsidR="004B1069" w:rsidRPr="00C46BE1" w:rsidRDefault="00B00AAF" w:rsidP="004B1069">
            <w:pPr>
              <w:pStyle w:val="SuicideTableText"/>
              <w:spacing w:before="0" w:after="0"/>
              <w:jc w:val="center"/>
              <w:rPr>
                <w:rFonts w:ascii="Tw Cen MT" w:hAnsi="Tw Cen MT"/>
                <w:sz w:val="22"/>
                <w:szCs w:val="22"/>
              </w:rPr>
            </w:pPr>
            <w:r w:rsidRPr="00C46BE1">
              <w:rPr>
                <w:rFonts w:ascii="Tw Cen MT" w:hAnsi="Tw Cen MT"/>
                <w:sz w:val="22"/>
                <w:szCs w:val="22"/>
              </w:rPr>
              <w:t>6</w:t>
            </w:r>
          </w:p>
        </w:tc>
        <w:tc>
          <w:tcPr>
            <w:tcW w:w="1800" w:type="dxa"/>
            <w:vAlign w:val="center"/>
          </w:tcPr>
          <w:p w14:paraId="2B1DA1E0" w14:textId="22F3F12E" w:rsidR="004B1069" w:rsidRPr="00C46BE1" w:rsidRDefault="00B00AAF" w:rsidP="004B1069">
            <w:pPr>
              <w:pStyle w:val="SuicideTableText"/>
              <w:spacing w:before="0" w:after="0"/>
              <w:jc w:val="center"/>
              <w:rPr>
                <w:rFonts w:ascii="Tw Cen MT" w:hAnsi="Tw Cen MT"/>
                <w:sz w:val="22"/>
                <w:szCs w:val="22"/>
              </w:rPr>
            </w:pPr>
            <w:r w:rsidRPr="00C46BE1">
              <w:rPr>
                <w:rFonts w:ascii="Tw Cen MT" w:hAnsi="Tw Cen MT"/>
                <w:sz w:val="22"/>
                <w:szCs w:val="22"/>
              </w:rPr>
              <w:t>39</w:t>
            </w:r>
          </w:p>
        </w:tc>
      </w:tr>
      <w:tr w:rsidR="00EF71A4" w:rsidRPr="00C46BE1" w14:paraId="14F1C7A6" w14:textId="77777777" w:rsidTr="0068195B">
        <w:trPr>
          <w:trHeight w:val="305"/>
        </w:trPr>
        <w:tc>
          <w:tcPr>
            <w:tcW w:w="2785" w:type="dxa"/>
            <w:shd w:val="clear" w:color="auto" w:fill="auto"/>
            <w:vAlign w:val="center"/>
          </w:tcPr>
          <w:p w14:paraId="21EB19AE" w14:textId="774965FB" w:rsidR="00EF71A4" w:rsidRPr="00C46BE1" w:rsidRDefault="00EF71A4" w:rsidP="004B1069">
            <w:pPr>
              <w:pStyle w:val="SuicideTableText"/>
              <w:spacing w:before="0" w:after="0"/>
              <w:rPr>
                <w:rFonts w:ascii="Tw Cen MT" w:hAnsi="Tw Cen MT"/>
                <w:sz w:val="22"/>
                <w:szCs w:val="22"/>
              </w:rPr>
            </w:pPr>
            <w:r w:rsidRPr="00C46BE1">
              <w:rPr>
                <w:rFonts w:ascii="Tw Cen MT" w:hAnsi="Tw Cen MT"/>
                <w:sz w:val="22"/>
                <w:szCs w:val="22"/>
              </w:rPr>
              <w:t>BHTCC Stakeholders</w:t>
            </w:r>
          </w:p>
        </w:tc>
        <w:tc>
          <w:tcPr>
            <w:tcW w:w="1417" w:type="dxa"/>
            <w:vAlign w:val="center"/>
          </w:tcPr>
          <w:p w14:paraId="5344EFD7" w14:textId="77CDA52D" w:rsidR="00EF71A4" w:rsidRPr="00C46BE1" w:rsidRDefault="006B18B1" w:rsidP="004B1069">
            <w:pPr>
              <w:pStyle w:val="SuicideTableText"/>
              <w:spacing w:before="0" w:after="0"/>
              <w:jc w:val="center"/>
              <w:rPr>
                <w:rFonts w:ascii="Tw Cen MT" w:hAnsi="Tw Cen MT"/>
                <w:sz w:val="22"/>
                <w:szCs w:val="22"/>
              </w:rPr>
            </w:pPr>
            <w:r>
              <w:rPr>
                <w:rFonts w:ascii="Tw Cen MT" w:hAnsi="Tw Cen MT"/>
                <w:sz w:val="22"/>
                <w:szCs w:val="22"/>
              </w:rPr>
              <w:t>294</w:t>
            </w:r>
          </w:p>
        </w:tc>
        <w:tc>
          <w:tcPr>
            <w:tcW w:w="1733" w:type="dxa"/>
            <w:vAlign w:val="center"/>
          </w:tcPr>
          <w:p w14:paraId="16B1FDD3" w14:textId="5DF4A41A" w:rsidR="00EF71A4" w:rsidRPr="00C46BE1" w:rsidRDefault="00D01DD2" w:rsidP="004B1069">
            <w:pPr>
              <w:pStyle w:val="SuicideTableText"/>
              <w:spacing w:before="0" w:after="0"/>
              <w:jc w:val="center"/>
              <w:rPr>
                <w:rFonts w:ascii="Tw Cen MT" w:hAnsi="Tw Cen MT"/>
                <w:sz w:val="22"/>
                <w:szCs w:val="22"/>
              </w:rPr>
            </w:pPr>
            <w:r w:rsidRPr="00C46BE1">
              <w:rPr>
                <w:rFonts w:ascii="Tw Cen MT" w:hAnsi="Tw Cen MT"/>
                <w:sz w:val="22"/>
                <w:szCs w:val="22"/>
              </w:rPr>
              <w:t>1</w:t>
            </w:r>
            <w:r w:rsidR="006B18B1">
              <w:rPr>
                <w:rFonts w:ascii="Tw Cen MT" w:hAnsi="Tw Cen MT"/>
                <w:sz w:val="22"/>
                <w:szCs w:val="22"/>
              </w:rPr>
              <w:t>.612</w:t>
            </w:r>
          </w:p>
        </w:tc>
        <w:tc>
          <w:tcPr>
            <w:tcW w:w="1620" w:type="dxa"/>
            <w:vAlign w:val="center"/>
          </w:tcPr>
          <w:p w14:paraId="45633EA6" w14:textId="69883BAD" w:rsidR="00EF71A4" w:rsidRPr="00C46BE1" w:rsidRDefault="006B6B1E" w:rsidP="004B1069">
            <w:pPr>
              <w:pStyle w:val="SuicideTableText"/>
              <w:spacing w:before="0" w:after="0"/>
              <w:jc w:val="center"/>
              <w:rPr>
                <w:rFonts w:ascii="Tw Cen MT" w:hAnsi="Tw Cen MT"/>
                <w:sz w:val="22"/>
                <w:szCs w:val="22"/>
              </w:rPr>
            </w:pPr>
            <w:r w:rsidRPr="00C46BE1">
              <w:rPr>
                <w:rFonts w:ascii="Tw Cen MT" w:hAnsi="Tw Cen MT"/>
                <w:sz w:val="22"/>
                <w:szCs w:val="22"/>
              </w:rPr>
              <w:t>474</w:t>
            </w:r>
          </w:p>
        </w:tc>
        <w:tc>
          <w:tcPr>
            <w:tcW w:w="1800" w:type="dxa"/>
            <w:vAlign w:val="center"/>
          </w:tcPr>
          <w:p w14:paraId="0B674C96" w14:textId="4E67A9CD" w:rsidR="00EF71A4" w:rsidRPr="00C46BE1" w:rsidRDefault="00B00AAF" w:rsidP="004B1069">
            <w:pPr>
              <w:pStyle w:val="SuicideTableText"/>
              <w:spacing w:before="0" w:after="0"/>
              <w:jc w:val="center"/>
              <w:rPr>
                <w:rFonts w:ascii="Tw Cen MT" w:hAnsi="Tw Cen MT"/>
                <w:sz w:val="22"/>
                <w:szCs w:val="22"/>
              </w:rPr>
            </w:pPr>
            <w:r w:rsidRPr="00C46BE1">
              <w:rPr>
                <w:rFonts w:ascii="Tw Cen MT" w:hAnsi="Tw Cen MT"/>
                <w:sz w:val="22"/>
                <w:szCs w:val="22"/>
              </w:rPr>
              <w:t>237</w:t>
            </w:r>
          </w:p>
        </w:tc>
      </w:tr>
      <w:tr w:rsidR="004B1069" w:rsidRPr="00C46BE1" w14:paraId="79DF4210" w14:textId="77777777" w:rsidTr="004B1069">
        <w:trPr>
          <w:trHeight w:val="287"/>
        </w:trPr>
        <w:tc>
          <w:tcPr>
            <w:tcW w:w="9355" w:type="dxa"/>
            <w:gridSpan w:val="5"/>
            <w:shd w:val="clear" w:color="auto" w:fill="D5DCE4" w:themeFill="text2" w:themeFillTint="33"/>
            <w:vAlign w:val="center"/>
          </w:tcPr>
          <w:p w14:paraId="5E9449C7" w14:textId="3934F615" w:rsidR="004B1069" w:rsidRPr="00C46BE1" w:rsidRDefault="00322B24" w:rsidP="004B1069">
            <w:pPr>
              <w:pStyle w:val="SuicideTableText"/>
              <w:spacing w:before="0" w:after="0"/>
              <w:jc w:val="center"/>
              <w:rPr>
                <w:rFonts w:ascii="Tw Cen MT" w:hAnsi="Tw Cen MT"/>
                <w:bCs/>
                <w:sz w:val="22"/>
                <w:szCs w:val="22"/>
              </w:rPr>
            </w:pPr>
            <w:r w:rsidRPr="00C46BE1">
              <w:rPr>
                <w:rFonts w:ascii="Tw Cen MT" w:hAnsi="Tw Cen MT"/>
                <w:bCs/>
                <w:sz w:val="22"/>
                <w:szCs w:val="22"/>
              </w:rPr>
              <w:t>SE Study</w:t>
            </w:r>
          </w:p>
        </w:tc>
      </w:tr>
      <w:tr w:rsidR="004B1069" w:rsidRPr="00C46BE1" w14:paraId="0E12EB42" w14:textId="77777777" w:rsidTr="004B1069">
        <w:trPr>
          <w:trHeight w:val="264"/>
        </w:trPr>
        <w:tc>
          <w:tcPr>
            <w:tcW w:w="2785" w:type="dxa"/>
            <w:shd w:val="clear" w:color="auto" w:fill="auto"/>
          </w:tcPr>
          <w:p w14:paraId="04F659CD" w14:textId="4D57B5D6" w:rsidR="004B1069" w:rsidRPr="00C46BE1" w:rsidRDefault="004B1069" w:rsidP="004B1069">
            <w:pPr>
              <w:pStyle w:val="SuicideTableText"/>
              <w:spacing w:before="0" w:after="0"/>
              <w:rPr>
                <w:rFonts w:ascii="Tw Cen MT" w:hAnsi="Tw Cen MT"/>
                <w:sz w:val="22"/>
                <w:szCs w:val="22"/>
              </w:rPr>
            </w:pPr>
            <w:r w:rsidRPr="00C46BE1">
              <w:rPr>
                <w:rFonts w:ascii="Tw Cen MT" w:hAnsi="Tw Cen MT"/>
                <w:sz w:val="22"/>
                <w:szCs w:val="22"/>
              </w:rPr>
              <w:t>Project Directors</w:t>
            </w:r>
          </w:p>
        </w:tc>
        <w:tc>
          <w:tcPr>
            <w:tcW w:w="1417" w:type="dxa"/>
            <w:vAlign w:val="center"/>
          </w:tcPr>
          <w:p w14:paraId="79DFB5DB" w14:textId="79E9F523" w:rsidR="004B1069" w:rsidRPr="00C46BE1" w:rsidRDefault="00B00AAF" w:rsidP="004B1069">
            <w:pPr>
              <w:pStyle w:val="SuicideTableText"/>
              <w:spacing w:before="0" w:after="0"/>
              <w:jc w:val="center"/>
              <w:rPr>
                <w:rFonts w:ascii="Tw Cen MT" w:hAnsi="Tw Cen MT"/>
                <w:sz w:val="22"/>
                <w:szCs w:val="22"/>
              </w:rPr>
            </w:pPr>
            <w:r w:rsidRPr="00C46BE1">
              <w:rPr>
                <w:rFonts w:ascii="Tw Cen MT" w:hAnsi="Tw Cen MT"/>
                <w:sz w:val="22"/>
                <w:szCs w:val="22"/>
              </w:rPr>
              <w:t>7</w:t>
            </w:r>
          </w:p>
        </w:tc>
        <w:tc>
          <w:tcPr>
            <w:tcW w:w="1733" w:type="dxa"/>
            <w:vAlign w:val="center"/>
          </w:tcPr>
          <w:p w14:paraId="16508F18" w14:textId="5F029F61" w:rsidR="004B1069" w:rsidRPr="00C46BE1" w:rsidRDefault="006317EE" w:rsidP="004B1069">
            <w:pPr>
              <w:pStyle w:val="SuicideTableText"/>
              <w:spacing w:before="0" w:after="0"/>
              <w:jc w:val="center"/>
              <w:rPr>
                <w:rFonts w:ascii="Tw Cen MT" w:hAnsi="Tw Cen MT"/>
                <w:sz w:val="22"/>
                <w:szCs w:val="22"/>
              </w:rPr>
            </w:pPr>
            <w:r w:rsidRPr="00C46BE1">
              <w:rPr>
                <w:rFonts w:ascii="Tw Cen MT" w:hAnsi="Tw Cen MT"/>
                <w:sz w:val="22"/>
                <w:szCs w:val="22"/>
              </w:rPr>
              <w:t>2</w:t>
            </w:r>
          </w:p>
        </w:tc>
        <w:tc>
          <w:tcPr>
            <w:tcW w:w="1620" w:type="dxa"/>
            <w:vAlign w:val="center"/>
          </w:tcPr>
          <w:p w14:paraId="2B8E3B00" w14:textId="0BC3BB8F" w:rsidR="004B1069" w:rsidRPr="00C46BE1" w:rsidRDefault="006317EE" w:rsidP="004B1069">
            <w:pPr>
              <w:pStyle w:val="SuicideTableText"/>
              <w:spacing w:before="0" w:after="0"/>
              <w:jc w:val="center"/>
              <w:rPr>
                <w:rFonts w:ascii="Tw Cen MT" w:hAnsi="Tw Cen MT"/>
                <w:sz w:val="22"/>
                <w:szCs w:val="22"/>
              </w:rPr>
            </w:pPr>
            <w:r w:rsidRPr="00C46BE1">
              <w:rPr>
                <w:rFonts w:ascii="Tw Cen MT" w:hAnsi="Tw Cen MT"/>
                <w:sz w:val="22"/>
                <w:szCs w:val="22"/>
              </w:rPr>
              <w:t>14</w:t>
            </w:r>
          </w:p>
        </w:tc>
        <w:tc>
          <w:tcPr>
            <w:tcW w:w="1800" w:type="dxa"/>
            <w:vAlign w:val="center"/>
          </w:tcPr>
          <w:p w14:paraId="0A7A3A15" w14:textId="0896DFE3" w:rsidR="004B1069" w:rsidRPr="00C46BE1" w:rsidRDefault="006317EE" w:rsidP="004B1069">
            <w:pPr>
              <w:pStyle w:val="SuicideTableText"/>
              <w:spacing w:before="0" w:after="0"/>
              <w:jc w:val="center"/>
              <w:rPr>
                <w:rFonts w:ascii="Tw Cen MT" w:hAnsi="Tw Cen MT"/>
                <w:sz w:val="22"/>
                <w:szCs w:val="22"/>
              </w:rPr>
            </w:pPr>
            <w:r w:rsidRPr="00C46BE1">
              <w:rPr>
                <w:rFonts w:ascii="Tw Cen MT" w:hAnsi="Tw Cen MT"/>
                <w:sz w:val="22"/>
                <w:szCs w:val="22"/>
              </w:rPr>
              <w:t>11</w:t>
            </w:r>
          </w:p>
        </w:tc>
      </w:tr>
      <w:tr w:rsidR="004B1069" w:rsidRPr="00C46BE1" w14:paraId="462E03DE" w14:textId="77777777" w:rsidTr="004B1069">
        <w:trPr>
          <w:trHeight w:val="264"/>
        </w:trPr>
        <w:tc>
          <w:tcPr>
            <w:tcW w:w="2785" w:type="dxa"/>
            <w:shd w:val="clear" w:color="auto" w:fill="auto"/>
          </w:tcPr>
          <w:p w14:paraId="0D40E5DE" w14:textId="38E7B0B4" w:rsidR="004B1069" w:rsidRPr="00C46BE1" w:rsidRDefault="004B1069" w:rsidP="004B1069">
            <w:pPr>
              <w:pStyle w:val="SuicideTableText"/>
              <w:spacing w:before="0" w:after="0"/>
              <w:rPr>
                <w:rFonts w:ascii="Tw Cen MT" w:hAnsi="Tw Cen MT"/>
                <w:sz w:val="22"/>
                <w:szCs w:val="22"/>
              </w:rPr>
            </w:pPr>
            <w:r w:rsidRPr="00C46BE1">
              <w:rPr>
                <w:rFonts w:ascii="Tw Cen MT" w:hAnsi="Tw Cen MT"/>
                <w:sz w:val="22"/>
                <w:szCs w:val="22"/>
              </w:rPr>
              <w:t>Administrators</w:t>
            </w:r>
          </w:p>
        </w:tc>
        <w:tc>
          <w:tcPr>
            <w:tcW w:w="1417" w:type="dxa"/>
            <w:vAlign w:val="center"/>
          </w:tcPr>
          <w:p w14:paraId="0DBF3CD5" w14:textId="1F6E2D7D" w:rsidR="004B1069" w:rsidRPr="00C46BE1" w:rsidRDefault="00B00AAF" w:rsidP="004B1069">
            <w:pPr>
              <w:pStyle w:val="SuicideTableText"/>
              <w:spacing w:before="0" w:after="0"/>
              <w:jc w:val="center"/>
              <w:rPr>
                <w:rFonts w:ascii="Tw Cen MT" w:hAnsi="Tw Cen MT"/>
                <w:sz w:val="22"/>
                <w:szCs w:val="22"/>
              </w:rPr>
            </w:pPr>
            <w:r w:rsidRPr="00C46BE1">
              <w:rPr>
                <w:rFonts w:ascii="Tw Cen MT" w:hAnsi="Tw Cen MT"/>
                <w:sz w:val="22"/>
                <w:szCs w:val="22"/>
              </w:rPr>
              <w:t>14</w:t>
            </w:r>
          </w:p>
        </w:tc>
        <w:tc>
          <w:tcPr>
            <w:tcW w:w="1733" w:type="dxa"/>
            <w:vAlign w:val="center"/>
          </w:tcPr>
          <w:p w14:paraId="7C8D8048" w14:textId="02A92FE6" w:rsidR="004B1069" w:rsidRPr="00C46BE1" w:rsidRDefault="006317EE" w:rsidP="004B1069">
            <w:pPr>
              <w:pStyle w:val="SuicideTableText"/>
              <w:spacing w:before="0" w:after="0"/>
              <w:jc w:val="center"/>
              <w:rPr>
                <w:rFonts w:ascii="Tw Cen MT" w:hAnsi="Tw Cen MT"/>
                <w:sz w:val="22"/>
                <w:szCs w:val="22"/>
              </w:rPr>
            </w:pPr>
            <w:r w:rsidRPr="00C46BE1">
              <w:rPr>
                <w:rFonts w:ascii="Tw Cen MT" w:hAnsi="Tw Cen MT"/>
                <w:sz w:val="22"/>
                <w:szCs w:val="22"/>
              </w:rPr>
              <w:t>1</w:t>
            </w:r>
          </w:p>
        </w:tc>
        <w:tc>
          <w:tcPr>
            <w:tcW w:w="1620" w:type="dxa"/>
            <w:vAlign w:val="center"/>
          </w:tcPr>
          <w:p w14:paraId="5B7F403E" w14:textId="6EFF1EA9" w:rsidR="004B1069" w:rsidRPr="00C46BE1" w:rsidRDefault="006317EE" w:rsidP="004B1069">
            <w:pPr>
              <w:pStyle w:val="SuicideTableText"/>
              <w:spacing w:before="0" w:after="0"/>
              <w:jc w:val="center"/>
              <w:rPr>
                <w:rFonts w:ascii="Tw Cen MT" w:hAnsi="Tw Cen MT"/>
                <w:sz w:val="22"/>
                <w:szCs w:val="22"/>
              </w:rPr>
            </w:pPr>
            <w:r w:rsidRPr="00C46BE1">
              <w:rPr>
                <w:rFonts w:ascii="Tw Cen MT" w:hAnsi="Tw Cen MT"/>
                <w:sz w:val="22"/>
                <w:szCs w:val="22"/>
              </w:rPr>
              <w:t>14</w:t>
            </w:r>
          </w:p>
        </w:tc>
        <w:tc>
          <w:tcPr>
            <w:tcW w:w="1800" w:type="dxa"/>
            <w:vAlign w:val="center"/>
          </w:tcPr>
          <w:p w14:paraId="3BD06E8E" w14:textId="47FC4A69" w:rsidR="004B1069" w:rsidRPr="00C46BE1" w:rsidRDefault="006317EE" w:rsidP="004B1069">
            <w:pPr>
              <w:pStyle w:val="SuicideTableText"/>
              <w:spacing w:before="0" w:after="0"/>
              <w:jc w:val="center"/>
              <w:rPr>
                <w:rFonts w:ascii="Tw Cen MT" w:hAnsi="Tw Cen MT"/>
                <w:sz w:val="22"/>
                <w:szCs w:val="22"/>
              </w:rPr>
            </w:pPr>
            <w:r w:rsidRPr="00C46BE1">
              <w:rPr>
                <w:rFonts w:ascii="Tw Cen MT" w:hAnsi="Tw Cen MT"/>
                <w:sz w:val="22"/>
                <w:szCs w:val="22"/>
              </w:rPr>
              <w:t>14</w:t>
            </w:r>
          </w:p>
        </w:tc>
      </w:tr>
      <w:tr w:rsidR="006317EE" w:rsidRPr="00C46BE1" w14:paraId="70F586FC" w14:textId="77777777" w:rsidTr="004B1069">
        <w:trPr>
          <w:trHeight w:val="264"/>
        </w:trPr>
        <w:tc>
          <w:tcPr>
            <w:tcW w:w="2785" w:type="dxa"/>
            <w:shd w:val="clear" w:color="auto" w:fill="auto"/>
          </w:tcPr>
          <w:p w14:paraId="1FC6465E" w14:textId="1CCFB6EA" w:rsidR="006317EE" w:rsidRPr="00C46BE1" w:rsidRDefault="00E01595" w:rsidP="004B1069">
            <w:pPr>
              <w:pStyle w:val="SuicideTableText"/>
              <w:spacing w:before="0" w:after="0"/>
              <w:rPr>
                <w:rFonts w:ascii="Tw Cen MT" w:hAnsi="Tw Cen MT"/>
                <w:sz w:val="22"/>
                <w:szCs w:val="22"/>
              </w:rPr>
            </w:pPr>
            <w:r>
              <w:rPr>
                <w:rFonts w:ascii="Tw Cen MT" w:hAnsi="Tw Cen MT"/>
                <w:sz w:val="22"/>
                <w:szCs w:val="22"/>
              </w:rPr>
              <w:t xml:space="preserve">SE </w:t>
            </w:r>
            <w:r w:rsidR="006317EE" w:rsidRPr="00C46BE1">
              <w:rPr>
                <w:rFonts w:ascii="Tw Cen MT" w:hAnsi="Tw Cen MT"/>
                <w:sz w:val="22"/>
                <w:szCs w:val="22"/>
              </w:rPr>
              <w:t>Service Providers</w:t>
            </w:r>
          </w:p>
        </w:tc>
        <w:tc>
          <w:tcPr>
            <w:tcW w:w="1417" w:type="dxa"/>
            <w:vAlign w:val="center"/>
          </w:tcPr>
          <w:p w14:paraId="148649D6" w14:textId="74F2DC7A" w:rsidR="006317EE" w:rsidRPr="00C46BE1" w:rsidRDefault="006317EE" w:rsidP="004B1069">
            <w:pPr>
              <w:pStyle w:val="SuicideTableText"/>
              <w:spacing w:before="0" w:after="0"/>
              <w:jc w:val="center"/>
              <w:rPr>
                <w:rFonts w:ascii="Tw Cen MT" w:hAnsi="Tw Cen MT"/>
                <w:sz w:val="22"/>
                <w:szCs w:val="22"/>
              </w:rPr>
            </w:pPr>
            <w:r w:rsidRPr="00C46BE1">
              <w:rPr>
                <w:rFonts w:ascii="Tw Cen MT" w:hAnsi="Tw Cen MT"/>
                <w:sz w:val="22"/>
                <w:szCs w:val="22"/>
              </w:rPr>
              <w:t>14</w:t>
            </w:r>
          </w:p>
        </w:tc>
        <w:tc>
          <w:tcPr>
            <w:tcW w:w="1733" w:type="dxa"/>
            <w:vAlign w:val="center"/>
          </w:tcPr>
          <w:p w14:paraId="7ECB475E" w14:textId="240121B8" w:rsidR="006317EE" w:rsidRPr="00C46BE1" w:rsidRDefault="006317EE" w:rsidP="004B1069">
            <w:pPr>
              <w:pStyle w:val="SuicideTableText"/>
              <w:spacing w:before="0" w:after="0"/>
              <w:jc w:val="center"/>
              <w:rPr>
                <w:rFonts w:ascii="Tw Cen MT" w:hAnsi="Tw Cen MT"/>
                <w:sz w:val="22"/>
                <w:szCs w:val="22"/>
              </w:rPr>
            </w:pPr>
            <w:r w:rsidRPr="00C46BE1">
              <w:rPr>
                <w:rFonts w:ascii="Tw Cen MT" w:hAnsi="Tw Cen MT"/>
                <w:sz w:val="22"/>
                <w:szCs w:val="22"/>
              </w:rPr>
              <w:t>1</w:t>
            </w:r>
          </w:p>
        </w:tc>
        <w:tc>
          <w:tcPr>
            <w:tcW w:w="1620" w:type="dxa"/>
            <w:vAlign w:val="center"/>
          </w:tcPr>
          <w:p w14:paraId="577DDCEE" w14:textId="5A774AD0" w:rsidR="006317EE" w:rsidRPr="00C46BE1" w:rsidRDefault="006317EE" w:rsidP="004B1069">
            <w:pPr>
              <w:pStyle w:val="SuicideTableText"/>
              <w:spacing w:before="0" w:after="0"/>
              <w:jc w:val="center"/>
              <w:rPr>
                <w:rFonts w:ascii="Tw Cen MT" w:hAnsi="Tw Cen MT"/>
                <w:sz w:val="22"/>
                <w:szCs w:val="22"/>
              </w:rPr>
            </w:pPr>
            <w:r w:rsidRPr="00C46BE1">
              <w:rPr>
                <w:rFonts w:ascii="Tw Cen MT" w:hAnsi="Tw Cen MT"/>
                <w:sz w:val="22"/>
                <w:szCs w:val="22"/>
              </w:rPr>
              <w:t>14</w:t>
            </w:r>
          </w:p>
        </w:tc>
        <w:tc>
          <w:tcPr>
            <w:tcW w:w="1800" w:type="dxa"/>
            <w:vAlign w:val="center"/>
          </w:tcPr>
          <w:p w14:paraId="12917300" w14:textId="5DE64921" w:rsidR="006317EE" w:rsidRPr="00C46BE1" w:rsidRDefault="006317EE" w:rsidP="004B1069">
            <w:pPr>
              <w:pStyle w:val="SuicideTableText"/>
              <w:spacing w:before="0" w:after="0"/>
              <w:jc w:val="center"/>
              <w:rPr>
                <w:rFonts w:ascii="Tw Cen MT" w:hAnsi="Tw Cen MT"/>
                <w:sz w:val="22"/>
                <w:szCs w:val="22"/>
              </w:rPr>
            </w:pPr>
            <w:r w:rsidRPr="00C46BE1">
              <w:rPr>
                <w:rFonts w:ascii="Tw Cen MT" w:hAnsi="Tw Cen MT"/>
                <w:sz w:val="22"/>
                <w:szCs w:val="22"/>
              </w:rPr>
              <w:t>14</w:t>
            </w:r>
          </w:p>
        </w:tc>
      </w:tr>
      <w:tr w:rsidR="004B1069" w:rsidRPr="00C46BE1" w14:paraId="14DF08F4" w14:textId="77777777" w:rsidTr="006317EE">
        <w:trPr>
          <w:trHeight w:val="242"/>
        </w:trPr>
        <w:tc>
          <w:tcPr>
            <w:tcW w:w="2785" w:type="dxa"/>
            <w:shd w:val="clear" w:color="auto" w:fill="auto"/>
          </w:tcPr>
          <w:p w14:paraId="04D4F995" w14:textId="2B72BAB0" w:rsidR="004B1069" w:rsidRPr="00C46BE1" w:rsidRDefault="004B1069" w:rsidP="004B1069">
            <w:pPr>
              <w:pStyle w:val="SuicideTableText"/>
              <w:spacing w:before="0" w:after="0"/>
              <w:rPr>
                <w:rFonts w:ascii="Tw Cen MT" w:hAnsi="Tw Cen MT"/>
                <w:sz w:val="22"/>
                <w:szCs w:val="22"/>
              </w:rPr>
            </w:pPr>
            <w:r w:rsidRPr="00C46BE1">
              <w:rPr>
                <w:rFonts w:ascii="Tw Cen MT" w:hAnsi="Tw Cen MT"/>
                <w:sz w:val="22"/>
                <w:szCs w:val="22"/>
              </w:rPr>
              <w:t>Hiring Managers</w:t>
            </w:r>
          </w:p>
        </w:tc>
        <w:tc>
          <w:tcPr>
            <w:tcW w:w="1417" w:type="dxa"/>
            <w:vAlign w:val="center"/>
          </w:tcPr>
          <w:p w14:paraId="79776F6A" w14:textId="60D3CBEE" w:rsidR="004B1069" w:rsidRPr="00C46BE1" w:rsidRDefault="00B00AAF" w:rsidP="004B1069">
            <w:pPr>
              <w:pStyle w:val="SuicideTableText"/>
              <w:spacing w:before="0" w:after="0"/>
              <w:jc w:val="center"/>
              <w:rPr>
                <w:rFonts w:ascii="Tw Cen MT" w:hAnsi="Tw Cen MT"/>
                <w:sz w:val="22"/>
                <w:szCs w:val="22"/>
              </w:rPr>
            </w:pPr>
            <w:r w:rsidRPr="00C46BE1">
              <w:rPr>
                <w:rFonts w:ascii="Tw Cen MT" w:hAnsi="Tw Cen MT"/>
                <w:sz w:val="22"/>
                <w:szCs w:val="22"/>
              </w:rPr>
              <w:t>28</w:t>
            </w:r>
          </w:p>
        </w:tc>
        <w:tc>
          <w:tcPr>
            <w:tcW w:w="1733" w:type="dxa"/>
            <w:vAlign w:val="center"/>
          </w:tcPr>
          <w:p w14:paraId="75FA2EBD" w14:textId="2F9F2DFF" w:rsidR="004B1069" w:rsidRPr="00C46BE1" w:rsidRDefault="006317EE" w:rsidP="004B1069">
            <w:pPr>
              <w:pStyle w:val="SuicideTableText"/>
              <w:spacing w:before="0" w:after="0"/>
              <w:jc w:val="center"/>
              <w:rPr>
                <w:rFonts w:ascii="Tw Cen MT" w:hAnsi="Tw Cen MT"/>
                <w:sz w:val="22"/>
                <w:szCs w:val="22"/>
              </w:rPr>
            </w:pPr>
            <w:r w:rsidRPr="00C46BE1">
              <w:rPr>
                <w:rFonts w:ascii="Tw Cen MT" w:hAnsi="Tw Cen MT"/>
                <w:sz w:val="22"/>
                <w:szCs w:val="22"/>
              </w:rPr>
              <w:t>1</w:t>
            </w:r>
          </w:p>
        </w:tc>
        <w:tc>
          <w:tcPr>
            <w:tcW w:w="1620" w:type="dxa"/>
            <w:vAlign w:val="center"/>
          </w:tcPr>
          <w:p w14:paraId="19E004F8" w14:textId="4C481EB2" w:rsidR="004B1069" w:rsidRPr="00C46BE1" w:rsidRDefault="006317EE" w:rsidP="004B1069">
            <w:pPr>
              <w:pStyle w:val="SuicideTableText"/>
              <w:spacing w:before="0" w:after="0"/>
              <w:jc w:val="center"/>
              <w:rPr>
                <w:rFonts w:ascii="Tw Cen MT" w:hAnsi="Tw Cen MT"/>
                <w:sz w:val="22"/>
                <w:szCs w:val="22"/>
              </w:rPr>
            </w:pPr>
            <w:r w:rsidRPr="00C46BE1">
              <w:rPr>
                <w:rFonts w:ascii="Tw Cen MT" w:hAnsi="Tw Cen MT"/>
                <w:sz w:val="22"/>
                <w:szCs w:val="22"/>
              </w:rPr>
              <w:t>28</w:t>
            </w:r>
          </w:p>
        </w:tc>
        <w:tc>
          <w:tcPr>
            <w:tcW w:w="1800" w:type="dxa"/>
            <w:vAlign w:val="center"/>
          </w:tcPr>
          <w:p w14:paraId="422B5EC2" w14:textId="52872B53" w:rsidR="004B1069" w:rsidRPr="00C46BE1" w:rsidRDefault="006317EE" w:rsidP="004B1069">
            <w:pPr>
              <w:pStyle w:val="SuicideTableText"/>
              <w:spacing w:before="0" w:after="0"/>
              <w:jc w:val="center"/>
              <w:rPr>
                <w:rFonts w:ascii="Tw Cen MT" w:hAnsi="Tw Cen MT"/>
                <w:sz w:val="22"/>
                <w:szCs w:val="22"/>
              </w:rPr>
            </w:pPr>
            <w:r w:rsidRPr="00C46BE1">
              <w:rPr>
                <w:rFonts w:ascii="Tw Cen MT" w:hAnsi="Tw Cen MT"/>
                <w:sz w:val="22"/>
                <w:szCs w:val="22"/>
              </w:rPr>
              <w:t>28</w:t>
            </w:r>
          </w:p>
        </w:tc>
      </w:tr>
      <w:tr w:rsidR="004B1069" w:rsidRPr="00C46BE1" w14:paraId="09E54E11" w14:textId="77777777" w:rsidTr="006317EE">
        <w:trPr>
          <w:trHeight w:val="224"/>
        </w:trPr>
        <w:tc>
          <w:tcPr>
            <w:tcW w:w="2785" w:type="dxa"/>
            <w:shd w:val="clear" w:color="auto" w:fill="auto"/>
          </w:tcPr>
          <w:p w14:paraId="06D7FC3A" w14:textId="0D966CB7" w:rsidR="004B1069" w:rsidRPr="00C46BE1" w:rsidRDefault="004B1069" w:rsidP="004B1069">
            <w:pPr>
              <w:pStyle w:val="SuicideTableText"/>
              <w:spacing w:before="0" w:after="0"/>
              <w:rPr>
                <w:rFonts w:ascii="Tw Cen MT" w:hAnsi="Tw Cen MT"/>
                <w:sz w:val="22"/>
                <w:szCs w:val="22"/>
              </w:rPr>
            </w:pPr>
            <w:r w:rsidRPr="00C46BE1">
              <w:rPr>
                <w:rFonts w:ascii="Tw Cen MT" w:hAnsi="Tw Cen MT"/>
                <w:sz w:val="22"/>
                <w:szCs w:val="22"/>
              </w:rPr>
              <w:t>Employment Specialists</w:t>
            </w:r>
          </w:p>
        </w:tc>
        <w:tc>
          <w:tcPr>
            <w:tcW w:w="1417" w:type="dxa"/>
            <w:vAlign w:val="center"/>
          </w:tcPr>
          <w:p w14:paraId="26F3E7DB" w14:textId="38435A27" w:rsidR="004B1069" w:rsidRPr="00C46BE1" w:rsidRDefault="00B00AAF" w:rsidP="004B1069">
            <w:pPr>
              <w:pStyle w:val="SuicideTableText"/>
              <w:spacing w:before="0" w:after="0"/>
              <w:jc w:val="center"/>
              <w:rPr>
                <w:rFonts w:ascii="Tw Cen MT" w:hAnsi="Tw Cen MT"/>
                <w:bCs/>
                <w:sz w:val="22"/>
                <w:szCs w:val="22"/>
              </w:rPr>
            </w:pPr>
            <w:r w:rsidRPr="00C46BE1">
              <w:rPr>
                <w:rFonts w:ascii="Tw Cen MT" w:hAnsi="Tw Cen MT"/>
                <w:bCs/>
                <w:sz w:val="22"/>
                <w:szCs w:val="22"/>
              </w:rPr>
              <w:t>28</w:t>
            </w:r>
          </w:p>
        </w:tc>
        <w:tc>
          <w:tcPr>
            <w:tcW w:w="1733" w:type="dxa"/>
            <w:vAlign w:val="center"/>
          </w:tcPr>
          <w:p w14:paraId="76128B88" w14:textId="08B46643" w:rsidR="004B1069" w:rsidRPr="00C46BE1" w:rsidRDefault="006317EE" w:rsidP="004B1069">
            <w:pPr>
              <w:pStyle w:val="SuicideTableText"/>
              <w:spacing w:before="0" w:after="0"/>
              <w:jc w:val="center"/>
              <w:rPr>
                <w:rFonts w:ascii="Tw Cen MT" w:hAnsi="Tw Cen MT"/>
                <w:bCs/>
                <w:sz w:val="22"/>
                <w:szCs w:val="22"/>
              </w:rPr>
            </w:pPr>
            <w:r w:rsidRPr="00C46BE1">
              <w:rPr>
                <w:rFonts w:ascii="Tw Cen MT" w:hAnsi="Tw Cen MT"/>
                <w:bCs/>
                <w:sz w:val="22"/>
                <w:szCs w:val="22"/>
              </w:rPr>
              <w:t>1</w:t>
            </w:r>
          </w:p>
        </w:tc>
        <w:tc>
          <w:tcPr>
            <w:tcW w:w="1620" w:type="dxa"/>
            <w:vAlign w:val="center"/>
          </w:tcPr>
          <w:p w14:paraId="407FCB7B" w14:textId="05CE82B0" w:rsidR="004B1069" w:rsidRPr="00C46BE1" w:rsidRDefault="006317EE" w:rsidP="004B1069">
            <w:pPr>
              <w:pStyle w:val="SuicideTableText"/>
              <w:spacing w:before="0" w:after="0"/>
              <w:jc w:val="center"/>
              <w:rPr>
                <w:rFonts w:ascii="Tw Cen MT" w:hAnsi="Tw Cen MT"/>
                <w:bCs/>
                <w:sz w:val="22"/>
                <w:szCs w:val="22"/>
              </w:rPr>
            </w:pPr>
            <w:r w:rsidRPr="00C46BE1">
              <w:rPr>
                <w:rFonts w:ascii="Tw Cen MT" w:hAnsi="Tw Cen MT"/>
                <w:bCs/>
                <w:sz w:val="22"/>
                <w:szCs w:val="22"/>
              </w:rPr>
              <w:t>28</w:t>
            </w:r>
          </w:p>
        </w:tc>
        <w:tc>
          <w:tcPr>
            <w:tcW w:w="1800" w:type="dxa"/>
            <w:vAlign w:val="center"/>
          </w:tcPr>
          <w:p w14:paraId="01ADF6E5" w14:textId="04A5C12D" w:rsidR="004B1069" w:rsidRPr="00C46BE1" w:rsidRDefault="006317EE" w:rsidP="004B1069">
            <w:pPr>
              <w:pStyle w:val="SuicideTableText"/>
              <w:spacing w:before="0" w:after="0"/>
              <w:jc w:val="center"/>
              <w:rPr>
                <w:rFonts w:ascii="Tw Cen MT" w:hAnsi="Tw Cen MT"/>
                <w:bCs/>
                <w:sz w:val="22"/>
                <w:szCs w:val="22"/>
              </w:rPr>
            </w:pPr>
            <w:r w:rsidRPr="00C46BE1">
              <w:rPr>
                <w:rFonts w:ascii="Tw Cen MT" w:hAnsi="Tw Cen MT"/>
                <w:bCs/>
                <w:sz w:val="22"/>
                <w:szCs w:val="22"/>
              </w:rPr>
              <w:t>42</w:t>
            </w:r>
          </w:p>
        </w:tc>
      </w:tr>
      <w:tr w:rsidR="004B1069" w:rsidRPr="00C46BE1" w14:paraId="73C2BDC0" w14:textId="77777777" w:rsidTr="006317EE">
        <w:trPr>
          <w:trHeight w:val="260"/>
        </w:trPr>
        <w:tc>
          <w:tcPr>
            <w:tcW w:w="2785" w:type="dxa"/>
            <w:shd w:val="clear" w:color="auto" w:fill="323E4F" w:themeFill="text2" w:themeFillShade="BF"/>
            <w:vAlign w:val="center"/>
          </w:tcPr>
          <w:p w14:paraId="3CF08F5C" w14:textId="77777777" w:rsidR="004B1069" w:rsidRPr="00C46BE1" w:rsidRDefault="004B1069" w:rsidP="004B1069">
            <w:pPr>
              <w:pStyle w:val="SuicideTableText"/>
              <w:jc w:val="center"/>
              <w:rPr>
                <w:rFonts w:ascii="Tw Cen MT" w:hAnsi="Tw Cen MT"/>
                <w:color w:val="FFFFFF" w:themeColor="background1"/>
                <w:sz w:val="22"/>
                <w:szCs w:val="22"/>
              </w:rPr>
            </w:pPr>
            <w:r w:rsidRPr="00C46BE1">
              <w:rPr>
                <w:rFonts w:ascii="Tw Cen MT" w:hAnsi="Tw Cen MT"/>
                <w:color w:val="FFFFFF" w:themeColor="background1"/>
                <w:sz w:val="22"/>
                <w:szCs w:val="22"/>
              </w:rPr>
              <w:t>Total</w:t>
            </w:r>
          </w:p>
        </w:tc>
        <w:tc>
          <w:tcPr>
            <w:tcW w:w="1417" w:type="dxa"/>
            <w:shd w:val="clear" w:color="auto" w:fill="auto"/>
            <w:vAlign w:val="center"/>
          </w:tcPr>
          <w:p w14:paraId="73B89B32" w14:textId="7BD09AC0" w:rsidR="004B1069" w:rsidRPr="00C46BE1" w:rsidRDefault="006B18B1" w:rsidP="004B1069">
            <w:pPr>
              <w:jc w:val="center"/>
              <w:rPr>
                <w:rFonts w:ascii="Tw Cen MT" w:hAnsi="Tw Cen MT" w:cs="Calibri"/>
                <w:color w:val="000000"/>
                <w:sz w:val="22"/>
                <w:szCs w:val="22"/>
              </w:rPr>
            </w:pPr>
            <w:r>
              <w:rPr>
                <w:rFonts w:ascii="Tw Cen MT" w:hAnsi="Tw Cen MT" w:cs="Calibri"/>
                <w:color w:val="000000"/>
                <w:sz w:val="22"/>
                <w:szCs w:val="22"/>
              </w:rPr>
              <w:t>462</w:t>
            </w:r>
          </w:p>
        </w:tc>
        <w:tc>
          <w:tcPr>
            <w:tcW w:w="1733" w:type="dxa"/>
            <w:shd w:val="clear" w:color="auto" w:fill="auto"/>
            <w:vAlign w:val="center"/>
          </w:tcPr>
          <w:p w14:paraId="0C26B578" w14:textId="239884BA" w:rsidR="004B1069" w:rsidRPr="00C46BE1" w:rsidRDefault="004B1069" w:rsidP="004B1069">
            <w:pPr>
              <w:jc w:val="center"/>
              <w:rPr>
                <w:rFonts w:ascii="Tw Cen MT" w:hAnsi="Tw Cen MT" w:cs="Calibri"/>
                <w:color w:val="000000"/>
                <w:sz w:val="22"/>
                <w:szCs w:val="22"/>
              </w:rPr>
            </w:pPr>
          </w:p>
        </w:tc>
        <w:tc>
          <w:tcPr>
            <w:tcW w:w="1620" w:type="dxa"/>
            <w:shd w:val="clear" w:color="auto" w:fill="auto"/>
            <w:vAlign w:val="center"/>
          </w:tcPr>
          <w:p w14:paraId="440C6A13" w14:textId="7FDC87A9" w:rsidR="004B1069" w:rsidRPr="00C46BE1" w:rsidRDefault="006317EE" w:rsidP="004B1069">
            <w:pPr>
              <w:jc w:val="center"/>
              <w:rPr>
                <w:rFonts w:ascii="Tw Cen MT" w:hAnsi="Tw Cen MT" w:cs="Calibri"/>
                <w:color w:val="000000"/>
                <w:sz w:val="22"/>
                <w:szCs w:val="22"/>
              </w:rPr>
            </w:pPr>
            <w:r w:rsidRPr="00C46BE1">
              <w:rPr>
                <w:rFonts w:ascii="Tw Cen MT" w:hAnsi="Tw Cen MT" w:cs="Calibri"/>
                <w:color w:val="000000"/>
                <w:sz w:val="22"/>
                <w:szCs w:val="22"/>
              </w:rPr>
              <w:t>687</w:t>
            </w:r>
          </w:p>
        </w:tc>
        <w:tc>
          <w:tcPr>
            <w:tcW w:w="1800" w:type="dxa"/>
            <w:shd w:val="clear" w:color="auto" w:fill="auto"/>
            <w:vAlign w:val="center"/>
          </w:tcPr>
          <w:p w14:paraId="2B4E3E8F" w14:textId="4A4D480B" w:rsidR="004B1069" w:rsidRPr="00C46BE1" w:rsidRDefault="006317EE" w:rsidP="004B1069">
            <w:pPr>
              <w:jc w:val="center"/>
              <w:rPr>
                <w:rFonts w:ascii="Tw Cen MT" w:hAnsi="Tw Cen MT" w:cs="Calibri"/>
                <w:color w:val="000000"/>
                <w:sz w:val="22"/>
                <w:szCs w:val="22"/>
              </w:rPr>
            </w:pPr>
            <w:r w:rsidRPr="00C46BE1">
              <w:rPr>
                <w:rFonts w:ascii="Tw Cen MT" w:hAnsi="Tw Cen MT" w:cs="Calibri"/>
                <w:color w:val="000000"/>
                <w:sz w:val="22"/>
                <w:szCs w:val="22"/>
              </w:rPr>
              <w:t>561</w:t>
            </w:r>
          </w:p>
        </w:tc>
      </w:tr>
    </w:tbl>
    <w:p w14:paraId="1463AE43" w14:textId="77777777" w:rsidR="004B1069" w:rsidRPr="00C46BE1" w:rsidRDefault="004B1069" w:rsidP="004B1069">
      <w:pPr>
        <w:pStyle w:val="SuicideBodyText"/>
        <w:ind w:left="504"/>
        <w:rPr>
          <w:rFonts w:ascii="Tw Cen MT" w:hAnsi="Tw Cen MT" w:cs="Arial"/>
          <w:b/>
          <w:sz w:val="28"/>
          <w:szCs w:val="28"/>
        </w:rPr>
      </w:pPr>
    </w:p>
    <w:p w14:paraId="34E2A624" w14:textId="77777777" w:rsidR="00D649AF" w:rsidRPr="00C46BE1" w:rsidRDefault="00D649AF" w:rsidP="00090868">
      <w:pPr>
        <w:pStyle w:val="SuicideBodyText"/>
        <w:numPr>
          <w:ilvl w:val="0"/>
          <w:numId w:val="8"/>
        </w:numPr>
        <w:rPr>
          <w:rFonts w:ascii="Tw Cen MT" w:hAnsi="Tw Cen MT" w:cs="Arial"/>
          <w:b/>
          <w:sz w:val="28"/>
          <w:szCs w:val="28"/>
        </w:rPr>
      </w:pPr>
      <w:r w:rsidRPr="00C46BE1">
        <w:rPr>
          <w:rFonts w:ascii="Tw Cen MT" w:hAnsi="Tw Cen MT" w:cs="Arial"/>
          <w:b/>
          <w:sz w:val="28"/>
          <w:szCs w:val="28"/>
        </w:rPr>
        <w:t>Estimates of Annualized Cost Burden to Respondents or Record Keepers</w:t>
      </w:r>
    </w:p>
    <w:p w14:paraId="4450D50A" w14:textId="72F7FAB7" w:rsidR="00E83649" w:rsidRPr="00C46BE1" w:rsidRDefault="00E83649" w:rsidP="00BB15FB">
      <w:pPr>
        <w:pStyle w:val="SuicideBodyText"/>
      </w:pPr>
      <w:r w:rsidRPr="00C46BE1">
        <w:t xml:space="preserve">There are no startup, maintenance, or operational costs associated with the CSE. </w:t>
      </w:r>
    </w:p>
    <w:p w14:paraId="76C2A561" w14:textId="77777777" w:rsidR="00BB15FB" w:rsidRPr="00C46BE1" w:rsidRDefault="00BB15FB" w:rsidP="00BB15FB">
      <w:pPr>
        <w:pStyle w:val="SuicideBodyText"/>
        <w:ind w:left="504"/>
        <w:rPr>
          <w:rFonts w:ascii="Tw Cen MT" w:hAnsi="Tw Cen MT" w:cs="Arial"/>
          <w:b/>
          <w:sz w:val="28"/>
          <w:szCs w:val="28"/>
        </w:rPr>
      </w:pPr>
    </w:p>
    <w:p w14:paraId="259E0B16" w14:textId="402C35FC" w:rsidR="007D1703" w:rsidRPr="00C46BE1" w:rsidRDefault="007D1703" w:rsidP="00090868">
      <w:pPr>
        <w:pStyle w:val="SuicideBodyText"/>
        <w:numPr>
          <w:ilvl w:val="0"/>
          <w:numId w:val="8"/>
        </w:numPr>
        <w:rPr>
          <w:rFonts w:ascii="Tw Cen MT" w:hAnsi="Tw Cen MT" w:cs="Arial"/>
          <w:b/>
          <w:sz w:val="28"/>
          <w:szCs w:val="28"/>
        </w:rPr>
      </w:pPr>
      <w:r w:rsidRPr="00C46BE1">
        <w:rPr>
          <w:rFonts w:ascii="Tw Cen MT" w:hAnsi="Tw Cen MT" w:cs="Arial"/>
          <w:b/>
          <w:sz w:val="28"/>
          <w:szCs w:val="28"/>
        </w:rPr>
        <w:t>Estimates of Annualized Cost to the Government</w:t>
      </w:r>
    </w:p>
    <w:p w14:paraId="26F3B569" w14:textId="6FE5D60E" w:rsidR="00FA20C9" w:rsidRPr="00C46BE1" w:rsidRDefault="00FA20C9" w:rsidP="00FA20C9">
      <w:pPr>
        <w:pStyle w:val="SuicideBodyText"/>
        <w:spacing w:after="200"/>
      </w:pPr>
      <w:r w:rsidRPr="00C46BE1">
        <w:t xml:space="preserve">CMHS has planned and allocated resources for the management, processing and use of the collected information in a manner that shall enhance its utility to agencies and the public. Including the Federal contribution to local grantee evaluation efforts, the contract with </w:t>
      </w:r>
      <w:r w:rsidR="000E049A" w:rsidRPr="00C46BE1">
        <w:t>the c</w:t>
      </w:r>
      <w:r w:rsidR="00186A6F" w:rsidRPr="00C46BE1">
        <w:t>ontractor</w:t>
      </w:r>
      <w:r w:rsidRPr="00C46BE1">
        <w:t>, and Government staff to oversee the evaluation, the annualized cost to the Government is estimated at $1,674,392. These costs are described below.</w:t>
      </w:r>
    </w:p>
    <w:p w14:paraId="6E83327E" w14:textId="1A18A827" w:rsidR="00FA20C9" w:rsidRPr="00C46BE1" w:rsidRDefault="00FA20C9" w:rsidP="00FA20C9">
      <w:pPr>
        <w:pStyle w:val="SuicideBodyText"/>
        <w:spacing w:after="200"/>
      </w:pPr>
      <w:r w:rsidRPr="00C46BE1">
        <w:t xml:space="preserve">Assuming an annual cost of no more than 20% of grant awards for performance measurement and assessment, the annual cost for the BHTCC grant level is estimated at $69,628. These monies are included in the grant awards. Each SE State grant allocates up to 20% of the total award and 15% of each </w:t>
      </w:r>
      <w:proofErr w:type="spellStart"/>
      <w:r w:rsidRPr="00C46BE1">
        <w:t>subgrant</w:t>
      </w:r>
      <w:proofErr w:type="spellEnd"/>
      <w:r w:rsidRPr="00C46BE1">
        <w:t xml:space="preserve"> award (to 2 local behavioral health agencies) for data collection, performance measurement, and performance assessment for an annual total of $256,000 per SE grantee. It is estimated that participation in the </w:t>
      </w:r>
      <w:r w:rsidR="006D1555" w:rsidRPr="00C46BE1">
        <w:t>CSE</w:t>
      </w:r>
      <w:r w:rsidRPr="00C46BE1">
        <w:t xml:space="preserve"> will require 20% of grant funds set aside for </w:t>
      </w:r>
      <w:r w:rsidR="006D1555" w:rsidRPr="00C46BE1">
        <w:t>these purposes</w:t>
      </w:r>
      <w:r w:rsidRPr="00C46BE1">
        <w:t xml:space="preserve">.   </w:t>
      </w:r>
    </w:p>
    <w:p w14:paraId="4516B445" w14:textId="2AD3F5E6" w:rsidR="007D1703" w:rsidRPr="00C46BE1" w:rsidRDefault="00FA20C9" w:rsidP="00FA20C9">
      <w:pPr>
        <w:pStyle w:val="SuicideBodyText"/>
        <w:spacing w:after="200"/>
        <w:rPr>
          <w:rFonts w:ascii="Arial" w:hAnsi="Arial" w:cs="Arial"/>
          <w:b/>
        </w:rPr>
      </w:pPr>
      <w:r w:rsidRPr="00C46BE1">
        <w:t xml:space="preserve">SAMHSA funded the CSE contract to conduct the evaluation for 17 BHTCC and 7 SE grantees for 5 years (i.e., base year and 4 option years) at a value of $ $4,935,908. Assuming that all option years are funded, the estimated average annual cost of the contract will be $987,182. This covers expenses related to developing and monitoring the CSE including, but not limited to, developing the evaluation design and instrumentation; developing training and TA resources (i.e., manuals, training materials, etc.); conducting in-person or telephone training and TA; monitoring of grantees; traveling to grantee sites and relevant meetings; and analyzing and disseminating data activities. In addition, these funds will support the development of the </w:t>
      </w:r>
      <w:r w:rsidR="00F1232C" w:rsidRPr="00C46BE1">
        <w:t>w</w:t>
      </w:r>
      <w:r w:rsidRPr="00C46BE1">
        <w:t>eb-based data collection and management system and fund staff support for data collection. It is estimated that CMHS will allocate 0.25 of a full-time equivalent each year for Government oversight of the evaluation. Assuming an annual salary of $80,000, these Government costs will be $20,000 per year</w:t>
      </w:r>
      <w:r w:rsidR="007D1703" w:rsidRPr="00C46BE1">
        <w:t>.</w:t>
      </w:r>
      <w:r w:rsidR="004322F0" w:rsidRPr="00C46BE1">
        <w:t xml:space="preserve"> </w:t>
      </w:r>
      <w:r w:rsidR="00F749FB" w:rsidRPr="00C46BE1">
        <w:rPr>
          <w:color w:val="FF0000"/>
        </w:rPr>
        <w:t xml:space="preserve"> </w:t>
      </w:r>
    </w:p>
    <w:p w14:paraId="3E009C1E" w14:textId="56788F3B" w:rsidR="007D1703" w:rsidRPr="00C46BE1" w:rsidRDefault="007D1703" w:rsidP="00090868">
      <w:pPr>
        <w:pStyle w:val="SuicideBodyText"/>
        <w:numPr>
          <w:ilvl w:val="0"/>
          <w:numId w:val="8"/>
        </w:numPr>
        <w:spacing w:before="360" w:after="120"/>
        <w:rPr>
          <w:rFonts w:ascii="Tw Cen MT" w:hAnsi="Tw Cen MT" w:cs="Arial"/>
          <w:b/>
          <w:sz w:val="28"/>
          <w:szCs w:val="28"/>
        </w:rPr>
      </w:pPr>
      <w:r w:rsidRPr="00C46BE1">
        <w:rPr>
          <w:rFonts w:ascii="Tw Cen MT" w:hAnsi="Tw Cen MT" w:cs="Arial"/>
          <w:b/>
          <w:sz w:val="28"/>
          <w:szCs w:val="28"/>
        </w:rPr>
        <w:t>Change</w:t>
      </w:r>
      <w:r w:rsidR="00920109" w:rsidRPr="00C46BE1">
        <w:rPr>
          <w:rFonts w:ascii="Tw Cen MT" w:hAnsi="Tw Cen MT" w:cs="Arial"/>
          <w:b/>
          <w:sz w:val="28"/>
          <w:szCs w:val="28"/>
        </w:rPr>
        <w:t>s</w:t>
      </w:r>
      <w:r w:rsidRPr="00C46BE1">
        <w:rPr>
          <w:rFonts w:ascii="Tw Cen MT" w:hAnsi="Tw Cen MT" w:cs="Arial"/>
          <w:b/>
          <w:sz w:val="28"/>
          <w:szCs w:val="28"/>
        </w:rPr>
        <w:t xml:space="preserve"> in Burden</w:t>
      </w:r>
    </w:p>
    <w:p w14:paraId="37F3A9E5" w14:textId="24C76C4E" w:rsidR="00DD6BF5" w:rsidRPr="00C46BE1" w:rsidRDefault="00F96D24" w:rsidP="00F96D24">
      <w:pPr>
        <w:pStyle w:val="SuicideBodyText"/>
        <w:spacing w:after="120"/>
        <w:jc w:val="left"/>
      </w:pPr>
      <w:r w:rsidRPr="00C46BE1">
        <w:t>This is a new data collection.</w:t>
      </w:r>
    </w:p>
    <w:p w14:paraId="07CB083E" w14:textId="560ABB2C" w:rsidR="007D1703" w:rsidRPr="00C46BE1" w:rsidRDefault="007D1703" w:rsidP="00090868">
      <w:pPr>
        <w:pStyle w:val="SuicideBodyText"/>
        <w:keepNext/>
        <w:numPr>
          <w:ilvl w:val="0"/>
          <w:numId w:val="8"/>
        </w:numPr>
        <w:spacing w:before="360" w:after="120"/>
        <w:rPr>
          <w:rFonts w:ascii="Tw Cen MT" w:hAnsi="Tw Cen MT" w:cs="Arial"/>
          <w:b/>
          <w:sz w:val="28"/>
          <w:szCs w:val="28"/>
        </w:rPr>
      </w:pPr>
      <w:r w:rsidRPr="00C46BE1">
        <w:rPr>
          <w:rFonts w:ascii="Tw Cen MT" w:hAnsi="Tw Cen MT" w:cs="Arial"/>
          <w:b/>
          <w:sz w:val="28"/>
          <w:szCs w:val="28"/>
        </w:rPr>
        <w:t>Time Schedule, Publication, and Analysis Plans</w:t>
      </w:r>
    </w:p>
    <w:p w14:paraId="1307EDB8" w14:textId="1D5AF06C" w:rsidR="007D1703" w:rsidRPr="00C46BE1" w:rsidRDefault="007D1703" w:rsidP="00090868">
      <w:pPr>
        <w:pStyle w:val="SuicideBodyText"/>
        <w:numPr>
          <w:ilvl w:val="0"/>
          <w:numId w:val="12"/>
        </w:numPr>
        <w:spacing w:after="120"/>
        <w:rPr>
          <w:rFonts w:ascii="Tw Cen MT" w:hAnsi="Tw Cen MT" w:cs="Arial"/>
          <w:b/>
          <w:sz w:val="28"/>
          <w:szCs w:val="28"/>
        </w:rPr>
      </w:pPr>
      <w:r w:rsidRPr="00C46BE1">
        <w:rPr>
          <w:rFonts w:ascii="Tw Cen MT" w:hAnsi="Tw Cen MT" w:cs="Arial"/>
          <w:b/>
          <w:sz w:val="28"/>
          <w:szCs w:val="28"/>
        </w:rPr>
        <w:t>Time Schedule</w:t>
      </w:r>
    </w:p>
    <w:p w14:paraId="30A7C8BE" w14:textId="010DA0F7" w:rsidR="007D1703" w:rsidRPr="00C46BE1" w:rsidRDefault="007D1703" w:rsidP="00045A50">
      <w:pPr>
        <w:pStyle w:val="SuicideBodyText"/>
        <w:spacing w:after="200"/>
      </w:pPr>
      <w:r w:rsidRPr="00C46BE1">
        <w:t xml:space="preserve">The time schedule for implementing the </w:t>
      </w:r>
      <w:r w:rsidR="00725013" w:rsidRPr="00C46BE1">
        <w:t>CSE</w:t>
      </w:r>
      <w:r w:rsidRPr="00C46BE1">
        <w:t xml:space="preserve"> is summarized in </w:t>
      </w:r>
      <w:r w:rsidR="006F36B9" w:rsidRPr="00C46BE1">
        <w:t xml:space="preserve">Exhibit </w:t>
      </w:r>
      <w:r w:rsidR="00DD1247" w:rsidRPr="00C46BE1">
        <w:t>1</w:t>
      </w:r>
      <w:r w:rsidR="001B3AAF" w:rsidRPr="00C46BE1">
        <w:t>2</w:t>
      </w:r>
      <w:r w:rsidRPr="00C46BE1">
        <w:t>. A 3-year clearance is requested for this project.</w:t>
      </w:r>
    </w:p>
    <w:p w14:paraId="78133482" w14:textId="638121B5" w:rsidR="007D1703" w:rsidRPr="00C46BE1" w:rsidRDefault="00C221FD" w:rsidP="003F17C1">
      <w:pPr>
        <w:pStyle w:val="SuicideTableTitle"/>
        <w:rPr>
          <w:rFonts w:ascii="Tw Cen MT" w:hAnsi="Tw Cen MT"/>
          <w:sz w:val="24"/>
          <w:szCs w:val="24"/>
        </w:rPr>
      </w:pPr>
      <w:r w:rsidRPr="00C46BE1">
        <w:rPr>
          <w:rFonts w:ascii="Tw Cen MT" w:hAnsi="Tw Cen MT"/>
          <w:sz w:val="24"/>
          <w:szCs w:val="24"/>
        </w:rPr>
        <w:t xml:space="preserve">Exhibit </w:t>
      </w:r>
      <w:r w:rsidR="00DD1247" w:rsidRPr="00C46BE1">
        <w:rPr>
          <w:rFonts w:ascii="Tw Cen MT" w:hAnsi="Tw Cen MT"/>
          <w:sz w:val="24"/>
          <w:szCs w:val="24"/>
        </w:rPr>
        <w:t>1</w:t>
      </w:r>
      <w:r w:rsidR="001B3AAF" w:rsidRPr="00C46BE1">
        <w:rPr>
          <w:rFonts w:ascii="Tw Cen MT" w:hAnsi="Tw Cen MT"/>
          <w:sz w:val="24"/>
          <w:szCs w:val="24"/>
        </w:rPr>
        <w:t>2</w:t>
      </w:r>
      <w:r w:rsidR="007D1703" w:rsidRPr="00C46BE1">
        <w:rPr>
          <w:rFonts w:ascii="Tw Cen MT" w:hAnsi="Tw Cen MT"/>
          <w:sz w:val="24"/>
          <w:szCs w:val="24"/>
        </w:rPr>
        <w:t>. Time Schedule</w:t>
      </w:r>
    </w:p>
    <w:tbl>
      <w:tblPr>
        <w:tblStyle w:val="TableGrid"/>
        <w:tblW w:w="9350" w:type="dxa"/>
        <w:tblLayout w:type="fixed"/>
        <w:tblLook w:val="04A0" w:firstRow="1" w:lastRow="0" w:firstColumn="1" w:lastColumn="0" w:noHBand="0" w:noVBand="1"/>
      </w:tblPr>
      <w:tblGrid>
        <w:gridCol w:w="6475"/>
        <w:gridCol w:w="2875"/>
      </w:tblGrid>
      <w:tr w:rsidR="00C221FD" w:rsidRPr="00C46BE1" w14:paraId="40622EB4" w14:textId="77777777" w:rsidTr="008F5B9C">
        <w:trPr>
          <w:trHeight w:val="107"/>
          <w:tblHeader/>
        </w:trPr>
        <w:tc>
          <w:tcPr>
            <w:tcW w:w="6475" w:type="dxa"/>
            <w:tcBorders>
              <w:top w:val="single" w:sz="4" w:space="0" w:color="auto"/>
              <w:left w:val="single" w:sz="4" w:space="0" w:color="auto"/>
              <w:bottom w:val="single" w:sz="4" w:space="0" w:color="auto"/>
              <w:right w:val="single" w:sz="4" w:space="0" w:color="auto"/>
            </w:tcBorders>
            <w:shd w:val="clear" w:color="auto" w:fill="323E4F" w:themeFill="text2" w:themeFillShade="BF"/>
            <w:tcMar>
              <w:left w:w="115" w:type="dxa"/>
              <w:bottom w:w="43" w:type="dxa"/>
              <w:right w:w="115" w:type="dxa"/>
            </w:tcMar>
          </w:tcPr>
          <w:p w14:paraId="29291D1B" w14:textId="120AF2E7" w:rsidR="00C221FD" w:rsidRPr="00C46BE1" w:rsidRDefault="00C221FD" w:rsidP="008F5B9C">
            <w:pPr>
              <w:pStyle w:val="SuicideBodyText"/>
              <w:jc w:val="center"/>
              <w:rPr>
                <w:rFonts w:ascii="Tw Cen MT" w:hAnsi="Tw Cen MT"/>
                <w:color w:val="FFFFFF" w:themeColor="background1"/>
                <w:sz w:val="22"/>
                <w:szCs w:val="22"/>
              </w:rPr>
            </w:pPr>
            <w:r w:rsidRPr="00C46BE1">
              <w:rPr>
                <w:rFonts w:ascii="Tw Cen MT" w:hAnsi="Tw Cen MT"/>
                <w:color w:val="FFFFFF" w:themeColor="background1"/>
                <w:sz w:val="22"/>
                <w:szCs w:val="22"/>
              </w:rPr>
              <w:t>Activity</w:t>
            </w:r>
          </w:p>
        </w:tc>
        <w:tc>
          <w:tcPr>
            <w:tcW w:w="2875" w:type="dxa"/>
            <w:tcBorders>
              <w:top w:val="single" w:sz="4" w:space="0" w:color="auto"/>
              <w:left w:val="single" w:sz="4" w:space="0" w:color="auto"/>
              <w:bottom w:val="single" w:sz="4" w:space="0" w:color="auto"/>
              <w:right w:val="single" w:sz="4" w:space="0" w:color="auto"/>
            </w:tcBorders>
            <w:shd w:val="clear" w:color="auto" w:fill="323E4F" w:themeFill="text2" w:themeFillShade="BF"/>
            <w:tcMar>
              <w:left w:w="115" w:type="dxa"/>
              <w:bottom w:w="43" w:type="dxa"/>
              <w:right w:w="115" w:type="dxa"/>
            </w:tcMar>
          </w:tcPr>
          <w:p w14:paraId="294E6AC1" w14:textId="200BBBB2" w:rsidR="00C221FD" w:rsidRPr="00C46BE1" w:rsidRDefault="004D511D" w:rsidP="008F5B9C">
            <w:pPr>
              <w:pStyle w:val="SuicideBodyText"/>
              <w:tabs>
                <w:tab w:val="center" w:pos="1460"/>
                <w:tab w:val="right" w:pos="2920"/>
              </w:tabs>
              <w:jc w:val="center"/>
              <w:rPr>
                <w:rFonts w:ascii="Tw Cen MT" w:hAnsi="Tw Cen MT"/>
                <w:color w:val="FFFFFF" w:themeColor="background1"/>
                <w:sz w:val="22"/>
                <w:szCs w:val="22"/>
              </w:rPr>
            </w:pPr>
            <w:r w:rsidRPr="00C46BE1">
              <w:rPr>
                <w:rFonts w:ascii="Tw Cen MT" w:hAnsi="Tw Cen MT"/>
                <w:color w:val="FFFFFF" w:themeColor="background1"/>
                <w:sz w:val="22"/>
                <w:szCs w:val="22"/>
              </w:rPr>
              <w:t>Timeframe</w:t>
            </w:r>
          </w:p>
        </w:tc>
      </w:tr>
      <w:tr w:rsidR="004D511D" w:rsidRPr="00C46BE1" w14:paraId="1B555B06" w14:textId="77777777" w:rsidTr="00786C3B">
        <w:trPr>
          <w:trHeight w:val="444"/>
        </w:trPr>
        <w:tc>
          <w:tcPr>
            <w:tcW w:w="6475"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11A678E6" w14:textId="16BC2ED6" w:rsidR="00725013" w:rsidRPr="00C46BE1" w:rsidRDefault="004D511D" w:rsidP="001D7D4D">
            <w:pPr>
              <w:pStyle w:val="SuicideBodyText"/>
              <w:jc w:val="left"/>
              <w:rPr>
                <w:rFonts w:ascii="Tw Cen MT" w:hAnsi="Tw Cen MT" w:cs="Arial"/>
                <w:sz w:val="22"/>
                <w:szCs w:val="22"/>
              </w:rPr>
            </w:pPr>
            <w:r w:rsidRPr="00C46BE1">
              <w:rPr>
                <w:rFonts w:ascii="Tw Cen MT" w:hAnsi="Tw Cen MT" w:cs="Arial"/>
                <w:sz w:val="22"/>
                <w:szCs w:val="22"/>
              </w:rPr>
              <w:t xml:space="preserve">Begin data collection for </w:t>
            </w:r>
            <w:r w:rsidR="00725013" w:rsidRPr="00C46BE1">
              <w:rPr>
                <w:rFonts w:ascii="Tw Cen MT" w:hAnsi="Tw Cen MT" w:cs="Arial"/>
                <w:sz w:val="22"/>
                <w:szCs w:val="22"/>
              </w:rPr>
              <w:t>17</w:t>
            </w:r>
            <w:r w:rsidR="00602E58" w:rsidRPr="00C46BE1">
              <w:rPr>
                <w:rFonts w:ascii="Tw Cen MT" w:hAnsi="Tw Cen MT" w:cs="Arial"/>
                <w:sz w:val="22"/>
                <w:szCs w:val="22"/>
              </w:rPr>
              <w:t xml:space="preserve"> </w:t>
            </w:r>
            <w:r w:rsidR="00725013" w:rsidRPr="00C46BE1">
              <w:rPr>
                <w:rFonts w:ascii="Tw Cen MT" w:hAnsi="Tw Cen MT" w:cs="Arial"/>
                <w:sz w:val="22"/>
                <w:szCs w:val="22"/>
              </w:rPr>
              <w:t xml:space="preserve">BHTCC and 7 SE </w:t>
            </w:r>
            <w:r w:rsidR="00F658A4" w:rsidRPr="00C46BE1">
              <w:rPr>
                <w:rFonts w:ascii="Tw Cen MT" w:hAnsi="Tw Cen MT" w:cs="Arial"/>
                <w:sz w:val="22"/>
                <w:szCs w:val="22"/>
              </w:rPr>
              <w:t>grantees</w:t>
            </w:r>
            <w:r w:rsidR="003F17C1" w:rsidRPr="00C46BE1">
              <w:rPr>
                <w:rFonts w:ascii="Tw Cen MT" w:hAnsi="Tw Cen MT" w:cs="Arial"/>
                <w:sz w:val="22"/>
                <w:szCs w:val="22"/>
              </w:rPr>
              <w:t xml:space="preserve"> </w:t>
            </w:r>
          </w:p>
        </w:tc>
        <w:tc>
          <w:tcPr>
            <w:tcW w:w="2875"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3269AE6D" w14:textId="7FCF13E2" w:rsidR="004D511D" w:rsidRPr="00C46BE1" w:rsidRDefault="00F658A4" w:rsidP="001D7D4D">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w Cen MT" w:hAnsi="Tw Cen MT"/>
                <w:sz w:val="22"/>
                <w:szCs w:val="22"/>
              </w:rPr>
            </w:pPr>
            <w:r w:rsidRPr="00C46BE1">
              <w:rPr>
                <w:rFonts w:ascii="Tw Cen MT" w:hAnsi="Tw Cen MT" w:cs="Arial"/>
                <w:sz w:val="22"/>
                <w:szCs w:val="22"/>
              </w:rPr>
              <w:t>1 month after</w:t>
            </w:r>
            <w:r w:rsidR="004D511D" w:rsidRPr="00C46BE1">
              <w:rPr>
                <w:rFonts w:ascii="Tw Cen MT" w:hAnsi="Tw Cen MT" w:cs="Arial"/>
                <w:sz w:val="22"/>
                <w:szCs w:val="22"/>
              </w:rPr>
              <w:t xml:space="preserve"> OMB </w:t>
            </w:r>
            <w:r w:rsidR="003F17C1" w:rsidRPr="00C46BE1">
              <w:rPr>
                <w:rFonts w:ascii="Tw Cen MT" w:hAnsi="Tw Cen MT" w:cs="Arial"/>
                <w:sz w:val="22"/>
                <w:szCs w:val="22"/>
              </w:rPr>
              <w:t xml:space="preserve">clearance </w:t>
            </w:r>
            <w:r w:rsidR="001D7D4D" w:rsidRPr="00C46BE1">
              <w:rPr>
                <w:rFonts w:ascii="Tw Cen MT" w:hAnsi="Tw Cen MT" w:cs="Arial"/>
                <w:sz w:val="22"/>
                <w:szCs w:val="22"/>
              </w:rPr>
              <w:t>(</w:t>
            </w:r>
            <w:r w:rsidR="00786C3B" w:rsidRPr="00C46BE1">
              <w:rPr>
                <w:rFonts w:ascii="Tw Cen MT" w:hAnsi="Tw Cen MT" w:cs="Arial"/>
                <w:sz w:val="22"/>
                <w:szCs w:val="22"/>
              </w:rPr>
              <w:t>e</w:t>
            </w:r>
            <w:r w:rsidR="001D7D4D" w:rsidRPr="00C46BE1">
              <w:rPr>
                <w:rFonts w:ascii="Tw Cen MT" w:hAnsi="Tw Cen MT" w:cs="Arial"/>
                <w:sz w:val="22"/>
                <w:szCs w:val="22"/>
              </w:rPr>
              <w:t>xpected</w:t>
            </w:r>
            <w:r w:rsidR="00E94239" w:rsidRPr="00C46BE1">
              <w:rPr>
                <w:rFonts w:ascii="Tw Cen MT" w:hAnsi="Tw Cen MT" w:cs="Arial"/>
                <w:sz w:val="22"/>
                <w:szCs w:val="22"/>
              </w:rPr>
              <w:t xml:space="preserve"> </w:t>
            </w:r>
            <w:r w:rsidR="00BB1825" w:rsidRPr="00C46BE1">
              <w:rPr>
                <w:rFonts w:ascii="Tw Cen MT" w:hAnsi="Tw Cen MT" w:cs="Arial"/>
                <w:sz w:val="22"/>
                <w:szCs w:val="22"/>
              </w:rPr>
              <w:t xml:space="preserve">April </w:t>
            </w:r>
            <w:r w:rsidR="003F5BF2" w:rsidRPr="00C46BE1">
              <w:rPr>
                <w:rFonts w:ascii="Tw Cen MT" w:hAnsi="Tw Cen MT" w:cs="Arial"/>
                <w:sz w:val="22"/>
                <w:szCs w:val="22"/>
              </w:rPr>
              <w:t>2016</w:t>
            </w:r>
            <w:r w:rsidR="001D7D4D" w:rsidRPr="00C46BE1">
              <w:rPr>
                <w:rFonts w:ascii="Tw Cen MT" w:hAnsi="Tw Cen MT" w:cs="Arial"/>
                <w:sz w:val="22"/>
                <w:szCs w:val="22"/>
              </w:rPr>
              <w:t>)</w:t>
            </w:r>
          </w:p>
        </w:tc>
      </w:tr>
      <w:tr w:rsidR="003F17C1" w:rsidRPr="00C46BE1" w14:paraId="622EE4C5" w14:textId="77777777" w:rsidTr="00786C3B">
        <w:trPr>
          <w:trHeight w:val="416"/>
        </w:trPr>
        <w:tc>
          <w:tcPr>
            <w:tcW w:w="6475"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0C0CD72F" w14:textId="0BB0F659" w:rsidR="001D7D4D" w:rsidRPr="00C46BE1" w:rsidRDefault="001D7D4D" w:rsidP="001D7D4D">
            <w:pPr>
              <w:pStyle w:val="SuicideBodyText"/>
              <w:jc w:val="left"/>
              <w:rPr>
                <w:rFonts w:ascii="Tw Cen MT" w:hAnsi="Tw Cen MT" w:cs="Arial"/>
                <w:sz w:val="22"/>
                <w:szCs w:val="22"/>
              </w:rPr>
            </w:pPr>
            <w:r w:rsidRPr="00C46BE1">
              <w:rPr>
                <w:rFonts w:ascii="Tw Cen MT" w:hAnsi="Tw Cen MT"/>
                <w:sz w:val="22"/>
                <w:szCs w:val="22"/>
              </w:rPr>
              <w:t>Biannual Program Inventory</w:t>
            </w:r>
            <w:r w:rsidR="00D01ED3" w:rsidRPr="00C46BE1">
              <w:rPr>
                <w:rFonts w:ascii="Tw Cen MT" w:hAnsi="Tw Cen MT"/>
                <w:sz w:val="22"/>
                <w:szCs w:val="22"/>
              </w:rPr>
              <w:t xml:space="preserve"> – </w:t>
            </w:r>
            <w:r w:rsidR="00712131" w:rsidRPr="00C46BE1">
              <w:rPr>
                <w:rFonts w:ascii="Tw Cen MT" w:hAnsi="Tw Cen MT"/>
                <w:sz w:val="22"/>
                <w:szCs w:val="22"/>
              </w:rPr>
              <w:t>Baseline</w:t>
            </w:r>
          </w:p>
          <w:p w14:paraId="4507223D" w14:textId="751BCC8A" w:rsidR="001D7D4D" w:rsidRPr="00C46BE1" w:rsidRDefault="00786C3B" w:rsidP="00090868">
            <w:pPr>
              <w:pStyle w:val="SuicideBodyText"/>
              <w:numPr>
                <w:ilvl w:val="0"/>
                <w:numId w:val="46"/>
              </w:numPr>
              <w:jc w:val="left"/>
              <w:rPr>
                <w:rFonts w:ascii="Tw Cen MT" w:hAnsi="Tw Cen MT" w:cs="Arial"/>
                <w:sz w:val="22"/>
                <w:szCs w:val="22"/>
              </w:rPr>
            </w:pPr>
            <w:r w:rsidRPr="00C46BE1">
              <w:rPr>
                <w:rFonts w:ascii="Tw Cen MT" w:hAnsi="Tw Cen MT" w:cs="Arial"/>
                <w:sz w:val="22"/>
                <w:szCs w:val="22"/>
              </w:rPr>
              <w:t>BHTCC g</w:t>
            </w:r>
            <w:r w:rsidR="001D7D4D" w:rsidRPr="00C46BE1">
              <w:rPr>
                <w:rFonts w:ascii="Tw Cen MT" w:hAnsi="Tw Cen MT" w:cs="Arial"/>
                <w:sz w:val="22"/>
                <w:szCs w:val="22"/>
              </w:rPr>
              <w:t xml:space="preserve">rantees complete the BPI–BHTCC </w:t>
            </w:r>
          </w:p>
          <w:p w14:paraId="60B4FC9B" w14:textId="7BEE63D2" w:rsidR="00D01ED3" w:rsidRPr="00C46BE1" w:rsidRDefault="00786C3B" w:rsidP="00090868">
            <w:pPr>
              <w:pStyle w:val="SuicideBodyText"/>
              <w:numPr>
                <w:ilvl w:val="0"/>
                <w:numId w:val="46"/>
              </w:numPr>
              <w:jc w:val="left"/>
              <w:rPr>
                <w:rFonts w:ascii="Tw Cen MT" w:hAnsi="Tw Cen MT"/>
                <w:sz w:val="22"/>
                <w:szCs w:val="22"/>
              </w:rPr>
            </w:pPr>
            <w:r w:rsidRPr="00C46BE1">
              <w:rPr>
                <w:rFonts w:ascii="Tw Cen MT" w:hAnsi="Tw Cen MT" w:cs="Arial"/>
                <w:sz w:val="22"/>
                <w:szCs w:val="22"/>
              </w:rPr>
              <w:t>SE g</w:t>
            </w:r>
            <w:r w:rsidR="001D7D4D" w:rsidRPr="00C46BE1">
              <w:rPr>
                <w:rFonts w:ascii="Tw Cen MT" w:hAnsi="Tw Cen MT" w:cs="Arial"/>
                <w:sz w:val="22"/>
                <w:szCs w:val="22"/>
              </w:rPr>
              <w:t xml:space="preserve">rantees complete the BPI–SE  </w:t>
            </w:r>
          </w:p>
        </w:tc>
        <w:tc>
          <w:tcPr>
            <w:tcW w:w="2875"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1A4B9F67" w14:textId="6B8F4360" w:rsidR="003F17C1" w:rsidRPr="00C46BE1" w:rsidRDefault="001D7D4D" w:rsidP="003F17C1">
            <w:pPr>
              <w:pStyle w:val="SuicideBodyText"/>
              <w:jc w:val="left"/>
              <w:rPr>
                <w:rFonts w:ascii="Tw Cen MT" w:hAnsi="Tw Cen MT" w:cs="Arial"/>
                <w:sz w:val="22"/>
                <w:szCs w:val="22"/>
              </w:rPr>
            </w:pPr>
            <w:r w:rsidRPr="00C46BE1">
              <w:rPr>
                <w:rFonts w:ascii="Tw Cen MT" w:hAnsi="Tw Cen MT" w:cs="Arial"/>
                <w:sz w:val="22"/>
                <w:szCs w:val="22"/>
              </w:rPr>
              <w:t>May 2016</w:t>
            </w:r>
          </w:p>
        </w:tc>
      </w:tr>
      <w:tr w:rsidR="00C5286F" w:rsidRPr="00C46BE1" w14:paraId="73CCCE5D" w14:textId="77777777" w:rsidTr="00786C3B">
        <w:trPr>
          <w:trHeight w:val="416"/>
        </w:trPr>
        <w:tc>
          <w:tcPr>
            <w:tcW w:w="6475"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4500F869" w14:textId="77777777" w:rsidR="00C5286F" w:rsidRPr="00C46BE1" w:rsidRDefault="00C5286F" w:rsidP="00C5286F">
            <w:pPr>
              <w:pStyle w:val="SuicideBodyText"/>
              <w:jc w:val="left"/>
              <w:rPr>
                <w:rFonts w:ascii="Tw Cen MT" w:hAnsi="Tw Cen MT"/>
                <w:sz w:val="22"/>
                <w:szCs w:val="22"/>
              </w:rPr>
            </w:pPr>
            <w:r w:rsidRPr="00C46BE1">
              <w:rPr>
                <w:rFonts w:ascii="Tw Cen MT" w:hAnsi="Tw Cen MT"/>
                <w:sz w:val="22"/>
                <w:szCs w:val="22"/>
              </w:rPr>
              <w:t xml:space="preserve">Begin data abstraction for the 18-Month Tool </w:t>
            </w:r>
          </w:p>
          <w:p w14:paraId="00432BD4" w14:textId="7D08E103" w:rsidR="00C5286F" w:rsidRPr="00C46BE1" w:rsidRDefault="00C5286F" w:rsidP="00090868">
            <w:pPr>
              <w:pStyle w:val="SuicideBodyText"/>
              <w:numPr>
                <w:ilvl w:val="0"/>
                <w:numId w:val="39"/>
              </w:numPr>
              <w:jc w:val="left"/>
              <w:rPr>
                <w:rFonts w:ascii="Tw Cen MT" w:hAnsi="Tw Cen MT"/>
                <w:sz w:val="22"/>
                <w:szCs w:val="22"/>
              </w:rPr>
            </w:pPr>
            <w:r w:rsidRPr="00C46BE1">
              <w:rPr>
                <w:rFonts w:ascii="Tw Cen MT" w:hAnsi="Tw Cen MT"/>
                <w:sz w:val="22"/>
                <w:szCs w:val="22"/>
              </w:rPr>
              <w:t>17 BHTCC grantees begin completing the 18-Month Tool for program participants (ongoing)</w:t>
            </w:r>
          </w:p>
        </w:tc>
        <w:tc>
          <w:tcPr>
            <w:tcW w:w="2875"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2BF51253" w14:textId="733938FF" w:rsidR="00C5286F" w:rsidRPr="00C46BE1" w:rsidRDefault="00C5286F" w:rsidP="003F17C1">
            <w:pPr>
              <w:pStyle w:val="SuicideBodyText"/>
              <w:jc w:val="left"/>
              <w:rPr>
                <w:rFonts w:ascii="Tw Cen MT" w:hAnsi="Tw Cen MT" w:cs="Arial"/>
                <w:sz w:val="22"/>
                <w:szCs w:val="22"/>
              </w:rPr>
            </w:pPr>
            <w:r w:rsidRPr="00C46BE1">
              <w:rPr>
                <w:rFonts w:ascii="Tw Cen MT" w:hAnsi="Tw Cen MT" w:cs="Arial"/>
                <w:sz w:val="22"/>
                <w:szCs w:val="22"/>
              </w:rPr>
              <w:t>May 2016</w:t>
            </w:r>
          </w:p>
        </w:tc>
      </w:tr>
      <w:tr w:rsidR="00D01ED3" w:rsidRPr="00C46BE1" w14:paraId="568408E4" w14:textId="77777777" w:rsidTr="00786C3B">
        <w:trPr>
          <w:trHeight w:val="416"/>
        </w:trPr>
        <w:tc>
          <w:tcPr>
            <w:tcW w:w="6475"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3FCA56A2" w14:textId="69B5EA5A" w:rsidR="00C5286F" w:rsidRPr="00C46BE1" w:rsidRDefault="00895B10" w:rsidP="00C5286F">
            <w:pPr>
              <w:pStyle w:val="SuicideBodyText"/>
              <w:jc w:val="left"/>
              <w:rPr>
                <w:rFonts w:ascii="Tw Cen MT" w:hAnsi="Tw Cen MT"/>
                <w:sz w:val="22"/>
                <w:szCs w:val="22"/>
              </w:rPr>
            </w:pPr>
            <w:r w:rsidRPr="00C46BE1">
              <w:rPr>
                <w:rFonts w:ascii="Tw Cen MT" w:hAnsi="Tw Cen MT"/>
                <w:sz w:val="22"/>
                <w:szCs w:val="22"/>
              </w:rPr>
              <w:t xml:space="preserve">Begin </w:t>
            </w:r>
            <w:r w:rsidR="00C5286F" w:rsidRPr="00C46BE1">
              <w:rPr>
                <w:rFonts w:ascii="Tw Cen MT" w:hAnsi="Tw Cen MT"/>
                <w:sz w:val="22"/>
                <w:szCs w:val="22"/>
              </w:rPr>
              <w:t xml:space="preserve">data abstraction for BHTCC Comparison Substudy </w:t>
            </w:r>
          </w:p>
          <w:p w14:paraId="1A2C0C42" w14:textId="49016988" w:rsidR="00C5286F" w:rsidRPr="00C46BE1" w:rsidRDefault="00C5286F" w:rsidP="00090868">
            <w:pPr>
              <w:pStyle w:val="SuicideBodyText"/>
              <w:numPr>
                <w:ilvl w:val="0"/>
                <w:numId w:val="45"/>
              </w:numPr>
              <w:jc w:val="left"/>
              <w:rPr>
                <w:rFonts w:ascii="Tw Cen MT" w:hAnsi="Tw Cen MT"/>
                <w:sz w:val="22"/>
                <w:szCs w:val="22"/>
              </w:rPr>
            </w:pPr>
            <w:r w:rsidRPr="00C46BE1">
              <w:rPr>
                <w:rFonts w:ascii="Tw Cen MT" w:hAnsi="Tw Cen MT"/>
                <w:sz w:val="22"/>
                <w:szCs w:val="22"/>
              </w:rPr>
              <w:t>2 BHTCC grantees begin completing the Comparison S</w:t>
            </w:r>
            <w:r w:rsidR="003F2553" w:rsidRPr="00C46BE1">
              <w:rPr>
                <w:rFonts w:ascii="Tw Cen MT" w:hAnsi="Tw Cen MT"/>
                <w:sz w:val="22"/>
                <w:szCs w:val="22"/>
              </w:rPr>
              <w:t>ubs</w:t>
            </w:r>
            <w:r w:rsidRPr="00C46BE1">
              <w:rPr>
                <w:rFonts w:ascii="Tw Cen MT" w:hAnsi="Tw Cen MT"/>
                <w:sz w:val="22"/>
                <w:szCs w:val="22"/>
              </w:rPr>
              <w:t>tudy Tool and 18-Month Tool (ongoing)</w:t>
            </w:r>
          </w:p>
        </w:tc>
        <w:tc>
          <w:tcPr>
            <w:tcW w:w="2875"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26DF1060" w14:textId="63AF138D" w:rsidR="00D01ED3" w:rsidRPr="00C46BE1" w:rsidRDefault="003B3C70" w:rsidP="003F17C1">
            <w:pPr>
              <w:pStyle w:val="SuicideBodyText"/>
              <w:jc w:val="left"/>
              <w:rPr>
                <w:rFonts w:ascii="Tw Cen MT" w:hAnsi="Tw Cen MT" w:cs="Arial"/>
                <w:sz w:val="22"/>
                <w:szCs w:val="22"/>
              </w:rPr>
            </w:pPr>
            <w:r w:rsidRPr="00C46BE1">
              <w:rPr>
                <w:rFonts w:ascii="Tw Cen MT" w:hAnsi="Tw Cen MT" w:cs="Arial"/>
                <w:sz w:val="22"/>
                <w:szCs w:val="22"/>
              </w:rPr>
              <w:t>July 2016</w:t>
            </w:r>
            <w:r w:rsidR="00C5286F" w:rsidRPr="00C46BE1">
              <w:rPr>
                <w:rFonts w:ascii="Tw Cen MT" w:hAnsi="Tw Cen MT" w:cs="Arial"/>
                <w:sz w:val="22"/>
                <w:szCs w:val="22"/>
              </w:rPr>
              <w:t xml:space="preserve"> (ongoing)</w:t>
            </w:r>
          </w:p>
        </w:tc>
      </w:tr>
      <w:tr w:rsidR="00EC1892" w:rsidRPr="00C46BE1" w14:paraId="2E25E2C7" w14:textId="77777777" w:rsidTr="00786C3B">
        <w:trPr>
          <w:trHeight w:val="416"/>
        </w:trPr>
        <w:tc>
          <w:tcPr>
            <w:tcW w:w="6475"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05EF0D42" w14:textId="61C3ECEB" w:rsidR="003F17C1" w:rsidRPr="00C46BE1" w:rsidRDefault="001D7D4D" w:rsidP="003F17C1">
            <w:pPr>
              <w:pStyle w:val="SuicideBodyText"/>
              <w:jc w:val="left"/>
              <w:rPr>
                <w:rFonts w:ascii="Tw Cen MT" w:hAnsi="Tw Cen MT"/>
                <w:sz w:val="22"/>
                <w:szCs w:val="22"/>
              </w:rPr>
            </w:pPr>
            <w:r w:rsidRPr="00C46BE1">
              <w:rPr>
                <w:rFonts w:ascii="Tw Cen MT" w:hAnsi="Tw Cen MT"/>
                <w:sz w:val="22"/>
                <w:szCs w:val="22"/>
              </w:rPr>
              <w:t>KIIs</w:t>
            </w:r>
            <w:r w:rsidR="003F17C1" w:rsidRPr="00C46BE1">
              <w:rPr>
                <w:rFonts w:ascii="Tw Cen MT" w:hAnsi="Tw Cen MT"/>
                <w:sz w:val="22"/>
                <w:szCs w:val="22"/>
              </w:rPr>
              <w:t xml:space="preserve"> and </w:t>
            </w:r>
            <w:r w:rsidRPr="00C46BE1">
              <w:rPr>
                <w:rFonts w:ascii="Tw Cen MT" w:hAnsi="Tw Cen MT"/>
                <w:sz w:val="22"/>
                <w:szCs w:val="22"/>
              </w:rPr>
              <w:t>Employment Needs FGs</w:t>
            </w:r>
            <w:r w:rsidR="00D01ED3" w:rsidRPr="00C46BE1">
              <w:rPr>
                <w:rFonts w:ascii="Tw Cen MT" w:hAnsi="Tw Cen MT"/>
                <w:sz w:val="22"/>
                <w:szCs w:val="22"/>
              </w:rPr>
              <w:t xml:space="preserve"> – </w:t>
            </w:r>
            <w:r w:rsidR="00895B10" w:rsidRPr="00C46BE1">
              <w:rPr>
                <w:rFonts w:ascii="Tw Cen MT" w:hAnsi="Tw Cen MT"/>
                <w:sz w:val="22"/>
                <w:szCs w:val="22"/>
              </w:rPr>
              <w:t xml:space="preserve">Administration </w:t>
            </w:r>
            <w:r w:rsidR="000B5C72" w:rsidRPr="00C46BE1">
              <w:rPr>
                <w:rFonts w:ascii="Tw Cen MT" w:hAnsi="Tw Cen MT"/>
                <w:sz w:val="22"/>
                <w:szCs w:val="22"/>
              </w:rPr>
              <w:t>1</w:t>
            </w:r>
          </w:p>
          <w:p w14:paraId="34CC4D13" w14:textId="6BBBCDB0" w:rsidR="002D1531" w:rsidRPr="00C46BE1" w:rsidRDefault="000B5C72" w:rsidP="00090868">
            <w:pPr>
              <w:pStyle w:val="SuicideBodyText"/>
              <w:numPr>
                <w:ilvl w:val="0"/>
                <w:numId w:val="31"/>
              </w:numPr>
              <w:jc w:val="left"/>
              <w:rPr>
                <w:rFonts w:ascii="Tw Cen MT" w:hAnsi="Tw Cen MT"/>
                <w:sz w:val="22"/>
                <w:szCs w:val="22"/>
              </w:rPr>
            </w:pPr>
            <w:r w:rsidRPr="00C46BE1">
              <w:rPr>
                <w:rFonts w:ascii="Tw Cen MT" w:hAnsi="Tw Cen MT"/>
                <w:sz w:val="22"/>
                <w:szCs w:val="22"/>
              </w:rPr>
              <w:t>Conduct</w:t>
            </w:r>
            <w:r w:rsidR="00786C3B" w:rsidRPr="00C46BE1">
              <w:rPr>
                <w:rFonts w:ascii="Tw Cen MT" w:hAnsi="Tw Cen MT"/>
                <w:sz w:val="22"/>
                <w:szCs w:val="22"/>
              </w:rPr>
              <w:t xml:space="preserve"> </w:t>
            </w:r>
            <w:r w:rsidR="003F17C1" w:rsidRPr="00C46BE1">
              <w:rPr>
                <w:rFonts w:ascii="Tw Cen MT" w:hAnsi="Tw Cen MT"/>
                <w:sz w:val="22"/>
                <w:szCs w:val="22"/>
              </w:rPr>
              <w:t>SLA KIIs</w:t>
            </w:r>
            <w:r w:rsidR="001D7D4D" w:rsidRPr="00C46BE1">
              <w:rPr>
                <w:rFonts w:ascii="Tw Cen MT" w:hAnsi="Tw Cen MT"/>
                <w:sz w:val="22"/>
                <w:szCs w:val="22"/>
              </w:rPr>
              <w:t xml:space="preserve"> with </w:t>
            </w:r>
            <w:r w:rsidR="00895B10" w:rsidRPr="00C46BE1">
              <w:rPr>
                <w:rFonts w:ascii="Tw Cen MT" w:hAnsi="Tw Cen MT"/>
                <w:sz w:val="22"/>
                <w:szCs w:val="22"/>
              </w:rPr>
              <w:t xml:space="preserve">BHTCC </w:t>
            </w:r>
            <w:r w:rsidR="001D7D4D" w:rsidRPr="00C46BE1">
              <w:rPr>
                <w:rFonts w:ascii="Tw Cen MT" w:hAnsi="Tw Cen MT"/>
                <w:sz w:val="22"/>
                <w:szCs w:val="22"/>
              </w:rPr>
              <w:t xml:space="preserve">stakeholders </w:t>
            </w:r>
            <w:r w:rsidR="00895B10" w:rsidRPr="00C46BE1">
              <w:rPr>
                <w:rFonts w:ascii="Tw Cen MT" w:hAnsi="Tw Cen MT"/>
                <w:sz w:val="22"/>
                <w:szCs w:val="22"/>
              </w:rPr>
              <w:t xml:space="preserve"> </w:t>
            </w:r>
          </w:p>
          <w:p w14:paraId="17ED4F40" w14:textId="5D2539DB" w:rsidR="003F17C1" w:rsidRPr="00C46BE1" w:rsidRDefault="000B5C72" w:rsidP="00090868">
            <w:pPr>
              <w:pStyle w:val="SuicideBodyText"/>
              <w:numPr>
                <w:ilvl w:val="0"/>
                <w:numId w:val="31"/>
              </w:numPr>
              <w:jc w:val="left"/>
              <w:rPr>
                <w:rFonts w:ascii="Tw Cen MT" w:hAnsi="Tw Cen MT"/>
                <w:sz w:val="22"/>
                <w:szCs w:val="22"/>
              </w:rPr>
            </w:pPr>
            <w:r w:rsidRPr="00C46BE1">
              <w:rPr>
                <w:rFonts w:ascii="Tw Cen MT" w:hAnsi="Tw Cen MT"/>
                <w:sz w:val="22"/>
                <w:szCs w:val="22"/>
              </w:rPr>
              <w:t>C</w:t>
            </w:r>
            <w:r w:rsidR="00786C3B" w:rsidRPr="00C46BE1">
              <w:rPr>
                <w:rFonts w:ascii="Tw Cen MT" w:hAnsi="Tw Cen MT"/>
                <w:sz w:val="22"/>
                <w:szCs w:val="22"/>
              </w:rPr>
              <w:t>o</w:t>
            </w:r>
            <w:r w:rsidRPr="00C46BE1">
              <w:rPr>
                <w:rFonts w:ascii="Tw Cen MT" w:hAnsi="Tw Cen MT"/>
                <w:sz w:val="22"/>
                <w:szCs w:val="22"/>
              </w:rPr>
              <w:t>nduct</w:t>
            </w:r>
            <w:r w:rsidR="00786C3B" w:rsidRPr="00C46BE1">
              <w:rPr>
                <w:rFonts w:ascii="Tw Cen MT" w:hAnsi="Tw Cen MT"/>
                <w:sz w:val="22"/>
                <w:szCs w:val="22"/>
              </w:rPr>
              <w:t xml:space="preserve"> </w:t>
            </w:r>
            <w:r w:rsidR="003F17C1" w:rsidRPr="00C46BE1">
              <w:rPr>
                <w:rFonts w:ascii="Tw Cen MT" w:hAnsi="Tw Cen MT"/>
                <w:sz w:val="22"/>
                <w:szCs w:val="22"/>
              </w:rPr>
              <w:t>SSA KIIs</w:t>
            </w:r>
            <w:r w:rsidR="001D7D4D" w:rsidRPr="00C46BE1">
              <w:rPr>
                <w:rFonts w:ascii="Tw Cen MT" w:hAnsi="Tw Cen MT"/>
                <w:sz w:val="22"/>
                <w:szCs w:val="22"/>
              </w:rPr>
              <w:t xml:space="preserve"> </w:t>
            </w:r>
            <w:r w:rsidR="00D01ED3" w:rsidRPr="00C46BE1">
              <w:rPr>
                <w:rFonts w:ascii="Tw Cen MT" w:hAnsi="Tw Cen MT"/>
                <w:sz w:val="22"/>
                <w:szCs w:val="22"/>
              </w:rPr>
              <w:t xml:space="preserve">and ENFGs </w:t>
            </w:r>
            <w:r w:rsidRPr="00C46BE1">
              <w:rPr>
                <w:rFonts w:ascii="Tw Cen MT" w:hAnsi="Tw Cen MT"/>
                <w:sz w:val="22"/>
                <w:szCs w:val="22"/>
              </w:rPr>
              <w:t xml:space="preserve">with </w:t>
            </w:r>
            <w:r w:rsidR="00895B10" w:rsidRPr="00C46BE1">
              <w:rPr>
                <w:rFonts w:ascii="Tw Cen MT" w:hAnsi="Tw Cen MT"/>
                <w:sz w:val="22"/>
                <w:szCs w:val="22"/>
              </w:rPr>
              <w:t xml:space="preserve">SE </w:t>
            </w:r>
            <w:r w:rsidR="001D7D4D" w:rsidRPr="00C46BE1">
              <w:rPr>
                <w:rFonts w:ascii="Tw Cen MT" w:hAnsi="Tw Cen MT"/>
                <w:sz w:val="22"/>
                <w:szCs w:val="22"/>
              </w:rPr>
              <w:t xml:space="preserve">stakeholders </w:t>
            </w:r>
            <w:r w:rsidR="00895B10" w:rsidRPr="00C46BE1">
              <w:rPr>
                <w:rFonts w:ascii="Tw Cen MT" w:hAnsi="Tw Cen MT"/>
                <w:sz w:val="22"/>
                <w:szCs w:val="22"/>
              </w:rPr>
              <w:t xml:space="preserve"> </w:t>
            </w:r>
          </w:p>
        </w:tc>
        <w:tc>
          <w:tcPr>
            <w:tcW w:w="2875"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0605F8C9" w14:textId="52983622" w:rsidR="00EC1892" w:rsidRPr="00C46BE1" w:rsidRDefault="003B3C70" w:rsidP="001D7D4D">
            <w:pPr>
              <w:pStyle w:val="SuicideBodyText"/>
              <w:jc w:val="left"/>
              <w:rPr>
                <w:rFonts w:ascii="Tw Cen MT" w:hAnsi="Tw Cen MT" w:cs="Arial"/>
                <w:sz w:val="22"/>
                <w:szCs w:val="22"/>
              </w:rPr>
            </w:pPr>
            <w:r w:rsidRPr="00C46BE1">
              <w:rPr>
                <w:rFonts w:ascii="Tw Cen MT" w:hAnsi="Tw Cen MT" w:cs="Arial"/>
                <w:sz w:val="22"/>
                <w:szCs w:val="22"/>
              </w:rPr>
              <w:t>May-August</w:t>
            </w:r>
            <w:r w:rsidR="001D7D4D" w:rsidRPr="00C46BE1">
              <w:rPr>
                <w:rFonts w:ascii="Tw Cen MT" w:hAnsi="Tw Cen MT" w:cs="Arial"/>
                <w:sz w:val="22"/>
                <w:szCs w:val="22"/>
              </w:rPr>
              <w:t xml:space="preserve"> </w:t>
            </w:r>
            <w:r w:rsidR="003F17C1" w:rsidRPr="00C46BE1">
              <w:rPr>
                <w:rFonts w:ascii="Tw Cen MT" w:hAnsi="Tw Cen MT" w:cs="Arial"/>
                <w:sz w:val="22"/>
                <w:szCs w:val="22"/>
              </w:rPr>
              <w:t>2016</w:t>
            </w:r>
          </w:p>
        </w:tc>
      </w:tr>
      <w:tr w:rsidR="00895B10" w:rsidRPr="00C46BE1" w14:paraId="4D279FEA" w14:textId="77777777" w:rsidTr="00786C3B">
        <w:trPr>
          <w:trHeight w:val="416"/>
        </w:trPr>
        <w:tc>
          <w:tcPr>
            <w:tcW w:w="6475"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3E4686B3" w14:textId="77C89B78" w:rsidR="00895B10" w:rsidRPr="00C46BE1" w:rsidRDefault="00895B10" w:rsidP="00895B10">
            <w:pPr>
              <w:pStyle w:val="SuicideBodyText"/>
              <w:jc w:val="left"/>
              <w:rPr>
                <w:rFonts w:ascii="Tw Cen MT" w:hAnsi="Tw Cen MT"/>
                <w:sz w:val="22"/>
                <w:szCs w:val="22"/>
              </w:rPr>
            </w:pPr>
            <w:r w:rsidRPr="00C46BE1">
              <w:rPr>
                <w:rFonts w:ascii="Tw Cen MT" w:hAnsi="Tw Cen MT"/>
                <w:sz w:val="22"/>
                <w:szCs w:val="22"/>
              </w:rPr>
              <w:t>Concept Mapping Exercise #1 – Local Concept Maps</w:t>
            </w:r>
          </w:p>
        </w:tc>
        <w:tc>
          <w:tcPr>
            <w:tcW w:w="2875"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32AA5FBD" w14:textId="4EFF1C85" w:rsidR="00895B10" w:rsidRPr="00C46BE1" w:rsidRDefault="003B3C70" w:rsidP="003B3C70">
            <w:pPr>
              <w:pStyle w:val="SuicideBodyText"/>
              <w:jc w:val="left"/>
              <w:rPr>
                <w:rFonts w:ascii="Tw Cen MT" w:hAnsi="Tw Cen MT" w:cs="Arial"/>
                <w:sz w:val="22"/>
                <w:szCs w:val="22"/>
              </w:rPr>
            </w:pPr>
            <w:r w:rsidRPr="00C46BE1">
              <w:rPr>
                <w:rFonts w:ascii="Tw Cen MT" w:hAnsi="Tw Cen MT" w:cs="Arial"/>
                <w:sz w:val="22"/>
                <w:szCs w:val="22"/>
              </w:rPr>
              <w:t>May</w:t>
            </w:r>
            <w:r w:rsidR="00895B10" w:rsidRPr="00C46BE1">
              <w:rPr>
                <w:rFonts w:ascii="Tw Cen MT" w:hAnsi="Tw Cen MT" w:cs="Arial"/>
                <w:sz w:val="22"/>
                <w:szCs w:val="22"/>
              </w:rPr>
              <w:t xml:space="preserve"> 2016 – </w:t>
            </w:r>
            <w:r w:rsidRPr="00C46BE1">
              <w:rPr>
                <w:rFonts w:ascii="Tw Cen MT" w:hAnsi="Tw Cen MT" w:cs="Arial"/>
                <w:sz w:val="22"/>
                <w:szCs w:val="22"/>
              </w:rPr>
              <w:t xml:space="preserve">April </w:t>
            </w:r>
            <w:r w:rsidR="00895B10" w:rsidRPr="00C46BE1">
              <w:rPr>
                <w:rFonts w:ascii="Tw Cen MT" w:hAnsi="Tw Cen MT" w:cs="Arial"/>
                <w:sz w:val="22"/>
                <w:szCs w:val="22"/>
              </w:rPr>
              <w:t>2017</w:t>
            </w:r>
          </w:p>
        </w:tc>
      </w:tr>
      <w:tr w:rsidR="004D511D" w:rsidRPr="00C46BE1" w14:paraId="777E4AA1" w14:textId="77777777" w:rsidTr="00786C3B">
        <w:trPr>
          <w:trHeight w:val="416"/>
        </w:trPr>
        <w:tc>
          <w:tcPr>
            <w:tcW w:w="6475"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0A61AB7F" w14:textId="7F8BB08D" w:rsidR="004D511D" w:rsidRPr="00C46BE1" w:rsidRDefault="001D7D4D" w:rsidP="003F17C1">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w Cen MT" w:hAnsi="Tw Cen MT" w:cs="Arial"/>
                <w:sz w:val="22"/>
                <w:szCs w:val="22"/>
              </w:rPr>
            </w:pPr>
            <w:r w:rsidRPr="00C46BE1">
              <w:rPr>
                <w:rFonts w:ascii="Tw Cen MT" w:hAnsi="Tw Cen MT" w:cs="Arial"/>
                <w:sz w:val="22"/>
                <w:szCs w:val="22"/>
              </w:rPr>
              <w:t>Biannual Program Inventory</w:t>
            </w:r>
            <w:r w:rsidR="00D01ED3" w:rsidRPr="00C46BE1">
              <w:rPr>
                <w:rFonts w:ascii="Tw Cen MT" w:hAnsi="Tw Cen MT" w:cs="Arial"/>
                <w:sz w:val="22"/>
                <w:szCs w:val="22"/>
              </w:rPr>
              <w:t xml:space="preserve"> </w:t>
            </w:r>
            <w:r w:rsidR="00712131" w:rsidRPr="00C46BE1">
              <w:rPr>
                <w:rFonts w:ascii="Tw Cen MT" w:hAnsi="Tw Cen MT"/>
                <w:sz w:val="22"/>
                <w:szCs w:val="22"/>
              </w:rPr>
              <w:t>#2</w:t>
            </w:r>
          </w:p>
          <w:p w14:paraId="5FFCD105" w14:textId="02624ABA" w:rsidR="001D7D4D" w:rsidRPr="00C46BE1" w:rsidRDefault="00786C3B" w:rsidP="00090868">
            <w:pPr>
              <w:pStyle w:val="SuicideBodyText"/>
              <w:numPr>
                <w:ilvl w:val="0"/>
                <w:numId w:val="30"/>
              </w:numPr>
              <w:jc w:val="left"/>
              <w:rPr>
                <w:rFonts w:ascii="Tw Cen MT" w:hAnsi="Tw Cen MT" w:cs="Arial"/>
                <w:sz w:val="22"/>
                <w:szCs w:val="22"/>
              </w:rPr>
            </w:pPr>
            <w:r w:rsidRPr="00C46BE1">
              <w:rPr>
                <w:rFonts w:ascii="Tw Cen MT" w:hAnsi="Tw Cen MT" w:cs="Arial"/>
                <w:sz w:val="22"/>
                <w:szCs w:val="22"/>
              </w:rPr>
              <w:t>BHTCC g</w:t>
            </w:r>
            <w:r w:rsidR="001D7D4D" w:rsidRPr="00C46BE1">
              <w:rPr>
                <w:rFonts w:ascii="Tw Cen MT" w:hAnsi="Tw Cen MT" w:cs="Arial"/>
                <w:sz w:val="22"/>
                <w:szCs w:val="22"/>
              </w:rPr>
              <w:t xml:space="preserve">rantees complete the BPI–BHTCC </w:t>
            </w:r>
          </w:p>
          <w:p w14:paraId="2CA00DB0" w14:textId="0FD96D2F" w:rsidR="001D7D4D" w:rsidRPr="00C46BE1" w:rsidRDefault="00786C3B" w:rsidP="00090868">
            <w:pPr>
              <w:numPr>
                <w:ilvl w:val="0"/>
                <w:numId w:val="30"/>
              </w:num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w Cen MT" w:hAnsi="Tw Cen MT" w:cs="Arial"/>
                <w:sz w:val="22"/>
                <w:szCs w:val="22"/>
              </w:rPr>
            </w:pPr>
            <w:r w:rsidRPr="00C46BE1">
              <w:rPr>
                <w:rFonts w:ascii="Tw Cen MT" w:hAnsi="Tw Cen MT" w:cs="Arial"/>
                <w:sz w:val="22"/>
                <w:szCs w:val="22"/>
              </w:rPr>
              <w:t>SE g</w:t>
            </w:r>
            <w:r w:rsidR="001D7D4D" w:rsidRPr="00C46BE1">
              <w:rPr>
                <w:rFonts w:ascii="Tw Cen MT" w:hAnsi="Tw Cen MT" w:cs="Arial"/>
                <w:sz w:val="22"/>
                <w:szCs w:val="22"/>
              </w:rPr>
              <w:t xml:space="preserve">rantees complete the BPI–SE  </w:t>
            </w:r>
          </w:p>
        </w:tc>
        <w:tc>
          <w:tcPr>
            <w:tcW w:w="2875"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237C6D6A" w14:textId="78A7F8E3" w:rsidR="004D511D" w:rsidRPr="00C46BE1" w:rsidRDefault="001D7D4D" w:rsidP="001D7D4D">
            <w:pPr>
              <w:pStyle w:val="SuicideBodyText"/>
              <w:jc w:val="left"/>
              <w:rPr>
                <w:rFonts w:ascii="Tw Cen MT" w:hAnsi="Tw Cen MT"/>
                <w:spacing w:val="-2"/>
                <w:sz w:val="22"/>
                <w:szCs w:val="22"/>
              </w:rPr>
            </w:pPr>
            <w:r w:rsidRPr="00C46BE1">
              <w:rPr>
                <w:rFonts w:ascii="Tw Cen MT" w:hAnsi="Tw Cen MT"/>
                <w:spacing w:val="-2"/>
                <w:sz w:val="22"/>
                <w:szCs w:val="22"/>
              </w:rPr>
              <w:t>October 2016</w:t>
            </w:r>
          </w:p>
        </w:tc>
      </w:tr>
      <w:tr w:rsidR="001D7D4D" w:rsidRPr="00C46BE1" w14:paraId="5FCCFED7" w14:textId="77777777" w:rsidTr="00786C3B">
        <w:trPr>
          <w:trHeight w:val="416"/>
        </w:trPr>
        <w:tc>
          <w:tcPr>
            <w:tcW w:w="6475"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23F10E2B" w14:textId="2ECC2AED" w:rsidR="001D7D4D" w:rsidRPr="00C46BE1" w:rsidRDefault="001D7D4D" w:rsidP="001D7D4D">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w Cen MT" w:hAnsi="Tw Cen MT" w:cs="Arial"/>
                <w:sz w:val="22"/>
                <w:szCs w:val="22"/>
              </w:rPr>
            </w:pPr>
            <w:r w:rsidRPr="00C46BE1">
              <w:rPr>
                <w:rFonts w:ascii="Tw Cen MT" w:hAnsi="Tw Cen MT" w:cs="Arial"/>
                <w:sz w:val="22"/>
                <w:szCs w:val="22"/>
              </w:rPr>
              <w:t>Biannual Program Inventory</w:t>
            </w:r>
            <w:r w:rsidR="00D01ED3" w:rsidRPr="00C46BE1">
              <w:rPr>
                <w:rFonts w:ascii="Tw Cen MT" w:hAnsi="Tw Cen MT" w:cs="Arial"/>
                <w:sz w:val="22"/>
                <w:szCs w:val="22"/>
              </w:rPr>
              <w:t xml:space="preserve"> </w:t>
            </w:r>
            <w:r w:rsidR="00712131" w:rsidRPr="00C46BE1">
              <w:rPr>
                <w:rFonts w:ascii="Tw Cen MT" w:hAnsi="Tw Cen MT"/>
                <w:sz w:val="22"/>
                <w:szCs w:val="22"/>
              </w:rPr>
              <w:t>#3</w:t>
            </w:r>
          </w:p>
          <w:p w14:paraId="71B9492E" w14:textId="6EEC869E" w:rsidR="001D7D4D" w:rsidRPr="00C46BE1" w:rsidRDefault="00786C3B" w:rsidP="00090868">
            <w:pPr>
              <w:pStyle w:val="SuicideBodyText"/>
              <w:numPr>
                <w:ilvl w:val="0"/>
                <w:numId w:val="32"/>
              </w:numPr>
              <w:jc w:val="left"/>
              <w:rPr>
                <w:rFonts w:ascii="Tw Cen MT" w:hAnsi="Tw Cen MT" w:cs="Arial"/>
                <w:sz w:val="22"/>
                <w:szCs w:val="22"/>
              </w:rPr>
            </w:pPr>
            <w:r w:rsidRPr="00C46BE1">
              <w:rPr>
                <w:rFonts w:ascii="Tw Cen MT" w:hAnsi="Tw Cen MT" w:cs="Arial"/>
                <w:sz w:val="22"/>
                <w:szCs w:val="22"/>
              </w:rPr>
              <w:t>BHTCC g</w:t>
            </w:r>
            <w:r w:rsidR="001D7D4D" w:rsidRPr="00C46BE1">
              <w:rPr>
                <w:rFonts w:ascii="Tw Cen MT" w:hAnsi="Tw Cen MT" w:cs="Arial"/>
                <w:sz w:val="22"/>
                <w:szCs w:val="22"/>
              </w:rPr>
              <w:t xml:space="preserve">rantees complete the BPI–BHTCC </w:t>
            </w:r>
          </w:p>
          <w:p w14:paraId="0604B7AA" w14:textId="4FA610C8" w:rsidR="001D7D4D" w:rsidRPr="00C46BE1" w:rsidRDefault="00786C3B" w:rsidP="00090868">
            <w:pPr>
              <w:numPr>
                <w:ilvl w:val="0"/>
                <w:numId w:val="32"/>
              </w:num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w Cen MT" w:hAnsi="Tw Cen MT" w:cs="Arial"/>
                <w:sz w:val="22"/>
                <w:szCs w:val="22"/>
              </w:rPr>
            </w:pPr>
            <w:r w:rsidRPr="00C46BE1">
              <w:rPr>
                <w:rFonts w:ascii="Tw Cen MT" w:hAnsi="Tw Cen MT" w:cs="Arial"/>
                <w:sz w:val="22"/>
                <w:szCs w:val="22"/>
              </w:rPr>
              <w:t>SE g</w:t>
            </w:r>
            <w:r w:rsidR="001D7D4D" w:rsidRPr="00C46BE1">
              <w:rPr>
                <w:rFonts w:ascii="Tw Cen MT" w:hAnsi="Tw Cen MT" w:cs="Arial"/>
                <w:sz w:val="22"/>
                <w:szCs w:val="22"/>
              </w:rPr>
              <w:t xml:space="preserve">rantees complete the BPI–SE  </w:t>
            </w:r>
          </w:p>
        </w:tc>
        <w:tc>
          <w:tcPr>
            <w:tcW w:w="2875"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7E06A3F6" w14:textId="18C6C924" w:rsidR="001D7D4D" w:rsidRPr="00C46BE1" w:rsidRDefault="001D7D4D" w:rsidP="001D7D4D">
            <w:pPr>
              <w:pStyle w:val="SuicideBodyText"/>
              <w:jc w:val="left"/>
              <w:rPr>
                <w:rFonts w:ascii="Tw Cen MT" w:hAnsi="Tw Cen MT" w:cs="Arial"/>
                <w:sz w:val="22"/>
                <w:szCs w:val="22"/>
              </w:rPr>
            </w:pPr>
            <w:r w:rsidRPr="00C46BE1">
              <w:rPr>
                <w:rFonts w:ascii="Tw Cen MT" w:hAnsi="Tw Cen MT"/>
                <w:spacing w:val="-2"/>
                <w:sz w:val="22"/>
                <w:szCs w:val="22"/>
              </w:rPr>
              <w:t>April 2017</w:t>
            </w:r>
          </w:p>
        </w:tc>
      </w:tr>
      <w:tr w:rsidR="001D7D4D" w:rsidRPr="00C46BE1" w14:paraId="4F7585B5" w14:textId="77777777" w:rsidTr="00786C3B">
        <w:trPr>
          <w:trHeight w:val="416"/>
        </w:trPr>
        <w:tc>
          <w:tcPr>
            <w:tcW w:w="6475"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12A29107" w14:textId="1D5ED4F8" w:rsidR="001D7D4D" w:rsidRPr="00C46BE1" w:rsidRDefault="001D7D4D" w:rsidP="001D7D4D">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w Cen MT" w:hAnsi="Tw Cen MT" w:cs="Arial"/>
                <w:sz w:val="22"/>
                <w:szCs w:val="22"/>
              </w:rPr>
            </w:pPr>
            <w:r w:rsidRPr="00C46BE1">
              <w:rPr>
                <w:rFonts w:ascii="Tw Cen MT" w:hAnsi="Tw Cen MT" w:cs="Arial"/>
                <w:sz w:val="22"/>
                <w:szCs w:val="22"/>
              </w:rPr>
              <w:t>Biannual Program Inventory</w:t>
            </w:r>
            <w:r w:rsidR="00D01ED3" w:rsidRPr="00C46BE1">
              <w:rPr>
                <w:rFonts w:ascii="Tw Cen MT" w:hAnsi="Tw Cen MT" w:cs="Arial"/>
                <w:sz w:val="22"/>
                <w:szCs w:val="22"/>
              </w:rPr>
              <w:t xml:space="preserve"> </w:t>
            </w:r>
            <w:r w:rsidR="00712131" w:rsidRPr="00C46BE1">
              <w:rPr>
                <w:rFonts w:ascii="Tw Cen MT" w:hAnsi="Tw Cen MT"/>
                <w:sz w:val="22"/>
                <w:szCs w:val="22"/>
              </w:rPr>
              <w:t>#4</w:t>
            </w:r>
          </w:p>
          <w:p w14:paraId="01A27A36" w14:textId="013051C5" w:rsidR="001D7D4D" w:rsidRPr="00C46BE1" w:rsidRDefault="00786C3B" w:rsidP="00090868">
            <w:pPr>
              <w:pStyle w:val="SuicideBodyText"/>
              <w:numPr>
                <w:ilvl w:val="0"/>
                <w:numId w:val="33"/>
              </w:numPr>
              <w:jc w:val="left"/>
              <w:rPr>
                <w:rFonts w:ascii="Tw Cen MT" w:hAnsi="Tw Cen MT" w:cs="Arial"/>
                <w:sz w:val="22"/>
                <w:szCs w:val="22"/>
              </w:rPr>
            </w:pPr>
            <w:r w:rsidRPr="00C46BE1">
              <w:rPr>
                <w:rFonts w:ascii="Tw Cen MT" w:hAnsi="Tw Cen MT" w:cs="Arial"/>
                <w:sz w:val="22"/>
                <w:szCs w:val="22"/>
              </w:rPr>
              <w:t>BHTCC g</w:t>
            </w:r>
            <w:r w:rsidR="001D7D4D" w:rsidRPr="00C46BE1">
              <w:rPr>
                <w:rFonts w:ascii="Tw Cen MT" w:hAnsi="Tw Cen MT" w:cs="Arial"/>
                <w:sz w:val="22"/>
                <w:szCs w:val="22"/>
              </w:rPr>
              <w:t xml:space="preserve">rantees complete the BPI–BHTCC </w:t>
            </w:r>
          </w:p>
          <w:p w14:paraId="250CE101" w14:textId="653C4DCA" w:rsidR="001D7D4D" w:rsidRPr="00C46BE1" w:rsidRDefault="00786C3B" w:rsidP="00090868">
            <w:pPr>
              <w:pStyle w:val="SuicideBodyText"/>
              <w:numPr>
                <w:ilvl w:val="0"/>
                <w:numId w:val="33"/>
              </w:numPr>
              <w:jc w:val="left"/>
              <w:rPr>
                <w:rFonts w:ascii="Tw Cen MT" w:hAnsi="Tw Cen MT" w:cs="Arial"/>
                <w:sz w:val="22"/>
                <w:szCs w:val="22"/>
              </w:rPr>
            </w:pPr>
            <w:r w:rsidRPr="00C46BE1">
              <w:rPr>
                <w:rFonts w:ascii="Tw Cen MT" w:hAnsi="Tw Cen MT" w:cs="Arial"/>
                <w:sz w:val="22"/>
                <w:szCs w:val="22"/>
              </w:rPr>
              <w:t>SE g</w:t>
            </w:r>
            <w:r w:rsidR="001D7D4D" w:rsidRPr="00C46BE1">
              <w:rPr>
                <w:rFonts w:ascii="Tw Cen MT" w:hAnsi="Tw Cen MT" w:cs="Arial"/>
                <w:sz w:val="22"/>
                <w:szCs w:val="22"/>
              </w:rPr>
              <w:t xml:space="preserve">rantees complete the BPI–SE  </w:t>
            </w:r>
          </w:p>
        </w:tc>
        <w:tc>
          <w:tcPr>
            <w:tcW w:w="2875"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7A209809" w14:textId="5107DC5D" w:rsidR="001D7D4D" w:rsidRPr="00C46BE1" w:rsidRDefault="001D7D4D" w:rsidP="001D7D4D">
            <w:pPr>
              <w:pStyle w:val="SuicideBodyText"/>
              <w:tabs>
                <w:tab w:val="left" w:pos="4410"/>
              </w:tabs>
              <w:jc w:val="left"/>
              <w:rPr>
                <w:rFonts w:ascii="Tw Cen MT" w:hAnsi="Tw Cen MT" w:cs="Arial"/>
                <w:sz w:val="22"/>
                <w:szCs w:val="22"/>
              </w:rPr>
            </w:pPr>
            <w:r w:rsidRPr="00C46BE1">
              <w:rPr>
                <w:rFonts w:ascii="Tw Cen MT" w:hAnsi="Tw Cen MT"/>
                <w:spacing w:val="-2"/>
                <w:sz w:val="22"/>
                <w:szCs w:val="22"/>
              </w:rPr>
              <w:t>October 2017</w:t>
            </w:r>
          </w:p>
        </w:tc>
      </w:tr>
      <w:tr w:rsidR="00895B10" w:rsidRPr="00C46BE1" w14:paraId="30DFEE82" w14:textId="77777777" w:rsidTr="00786C3B">
        <w:trPr>
          <w:trHeight w:val="416"/>
        </w:trPr>
        <w:tc>
          <w:tcPr>
            <w:tcW w:w="6475"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2756BB29" w14:textId="731654EB" w:rsidR="00895B10" w:rsidRPr="00C46BE1" w:rsidRDefault="00895B10" w:rsidP="00895B10">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w Cen MT" w:hAnsi="Tw Cen MT" w:cs="Arial"/>
                <w:sz w:val="22"/>
                <w:szCs w:val="22"/>
              </w:rPr>
            </w:pPr>
            <w:r w:rsidRPr="00C46BE1">
              <w:rPr>
                <w:rFonts w:ascii="Tw Cen MT" w:hAnsi="Tw Cen MT" w:cs="Arial"/>
                <w:sz w:val="22"/>
                <w:szCs w:val="22"/>
              </w:rPr>
              <w:t>Concept Mapping Exercises #2–4: Keys to Recovery Maps</w:t>
            </w:r>
          </w:p>
        </w:tc>
        <w:tc>
          <w:tcPr>
            <w:tcW w:w="2875"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4556E019" w14:textId="240D6A2A" w:rsidR="00895B10" w:rsidRPr="00C46BE1" w:rsidRDefault="003B3C70" w:rsidP="003B3C70">
            <w:pPr>
              <w:pStyle w:val="SuicideBodyText"/>
              <w:tabs>
                <w:tab w:val="left" w:pos="4410"/>
              </w:tabs>
              <w:jc w:val="left"/>
              <w:rPr>
                <w:rFonts w:ascii="Tw Cen MT" w:hAnsi="Tw Cen MT"/>
                <w:spacing w:val="-2"/>
                <w:sz w:val="22"/>
                <w:szCs w:val="22"/>
              </w:rPr>
            </w:pPr>
            <w:r w:rsidRPr="00C46BE1">
              <w:rPr>
                <w:rFonts w:ascii="Tw Cen MT" w:hAnsi="Tw Cen MT"/>
                <w:spacing w:val="-2"/>
                <w:sz w:val="22"/>
                <w:szCs w:val="22"/>
              </w:rPr>
              <w:t>March 2018 – July 2018</w:t>
            </w:r>
          </w:p>
        </w:tc>
      </w:tr>
      <w:tr w:rsidR="001D7D4D" w:rsidRPr="00C46BE1" w14:paraId="7C52239B" w14:textId="77777777" w:rsidTr="00786C3B">
        <w:trPr>
          <w:trHeight w:val="416"/>
        </w:trPr>
        <w:tc>
          <w:tcPr>
            <w:tcW w:w="6475"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651E5EB6" w14:textId="59301EA5" w:rsidR="001D7D4D" w:rsidRPr="00C46BE1" w:rsidRDefault="001D7D4D" w:rsidP="001D7D4D">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w Cen MT" w:hAnsi="Tw Cen MT" w:cs="Arial"/>
                <w:sz w:val="22"/>
                <w:szCs w:val="22"/>
              </w:rPr>
            </w:pPr>
            <w:r w:rsidRPr="00C46BE1">
              <w:rPr>
                <w:rFonts w:ascii="Tw Cen MT" w:hAnsi="Tw Cen MT" w:cs="Arial"/>
                <w:sz w:val="22"/>
                <w:szCs w:val="22"/>
              </w:rPr>
              <w:t>Biannual Program Inventory</w:t>
            </w:r>
            <w:r w:rsidR="00D01ED3" w:rsidRPr="00C46BE1">
              <w:rPr>
                <w:rFonts w:ascii="Tw Cen MT" w:hAnsi="Tw Cen MT" w:cs="Arial"/>
                <w:sz w:val="22"/>
                <w:szCs w:val="22"/>
              </w:rPr>
              <w:t xml:space="preserve"> </w:t>
            </w:r>
            <w:r w:rsidR="00712131" w:rsidRPr="00C46BE1">
              <w:rPr>
                <w:rFonts w:ascii="Tw Cen MT" w:hAnsi="Tw Cen MT"/>
                <w:sz w:val="22"/>
                <w:szCs w:val="22"/>
              </w:rPr>
              <w:t>#5</w:t>
            </w:r>
            <w:r w:rsidR="00D01ED3" w:rsidRPr="00C46BE1">
              <w:rPr>
                <w:rFonts w:ascii="Tw Cen MT" w:hAnsi="Tw Cen MT" w:cs="Arial"/>
                <w:sz w:val="22"/>
                <w:szCs w:val="22"/>
              </w:rPr>
              <w:t xml:space="preserve"> </w:t>
            </w:r>
          </w:p>
          <w:p w14:paraId="592448CD" w14:textId="5E135E5D" w:rsidR="001D7D4D" w:rsidRPr="00C46BE1" w:rsidRDefault="00786C3B" w:rsidP="00090868">
            <w:pPr>
              <w:pStyle w:val="SuicideBodyText"/>
              <w:numPr>
                <w:ilvl w:val="0"/>
                <w:numId w:val="34"/>
              </w:numPr>
              <w:jc w:val="left"/>
              <w:rPr>
                <w:rFonts w:ascii="Tw Cen MT" w:hAnsi="Tw Cen MT" w:cs="Arial"/>
                <w:sz w:val="22"/>
                <w:szCs w:val="22"/>
              </w:rPr>
            </w:pPr>
            <w:r w:rsidRPr="00C46BE1">
              <w:rPr>
                <w:rFonts w:ascii="Tw Cen MT" w:hAnsi="Tw Cen MT" w:cs="Arial"/>
                <w:sz w:val="22"/>
                <w:szCs w:val="22"/>
              </w:rPr>
              <w:t>BHTCC g</w:t>
            </w:r>
            <w:r w:rsidR="001D7D4D" w:rsidRPr="00C46BE1">
              <w:rPr>
                <w:rFonts w:ascii="Tw Cen MT" w:hAnsi="Tw Cen MT" w:cs="Arial"/>
                <w:sz w:val="22"/>
                <w:szCs w:val="22"/>
              </w:rPr>
              <w:t xml:space="preserve">rantees complete the BPI–BHTCC </w:t>
            </w:r>
          </w:p>
          <w:p w14:paraId="3593D771" w14:textId="72582B0D" w:rsidR="001D7D4D" w:rsidRPr="00C46BE1" w:rsidRDefault="00786C3B" w:rsidP="00090868">
            <w:pPr>
              <w:numPr>
                <w:ilvl w:val="0"/>
                <w:numId w:val="34"/>
              </w:num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w Cen MT" w:hAnsi="Tw Cen MT" w:cs="Arial"/>
                <w:sz w:val="22"/>
                <w:szCs w:val="22"/>
              </w:rPr>
            </w:pPr>
            <w:r w:rsidRPr="00C46BE1">
              <w:rPr>
                <w:rFonts w:ascii="Tw Cen MT" w:hAnsi="Tw Cen MT" w:cs="Arial"/>
                <w:sz w:val="22"/>
                <w:szCs w:val="22"/>
              </w:rPr>
              <w:t>SE g</w:t>
            </w:r>
            <w:r w:rsidR="001D7D4D" w:rsidRPr="00C46BE1">
              <w:rPr>
                <w:rFonts w:ascii="Tw Cen MT" w:hAnsi="Tw Cen MT" w:cs="Arial"/>
                <w:sz w:val="22"/>
                <w:szCs w:val="22"/>
              </w:rPr>
              <w:t xml:space="preserve">rantees complete the BPI–SE  </w:t>
            </w:r>
          </w:p>
        </w:tc>
        <w:tc>
          <w:tcPr>
            <w:tcW w:w="2875"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03BCC805" w14:textId="411A4690" w:rsidR="001D7D4D" w:rsidRPr="00C46BE1" w:rsidRDefault="001D7D4D" w:rsidP="001D7D4D">
            <w:pPr>
              <w:pStyle w:val="SuicideBodyText"/>
              <w:tabs>
                <w:tab w:val="left" w:pos="4410"/>
              </w:tabs>
              <w:jc w:val="left"/>
              <w:rPr>
                <w:rFonts w:ascii="Tw Cen MT" w:hAnsi="Tw Cen MT"/>
                <w:spacing w:val="-2"/>
                <w:sz w:val="22"/>
                <w:szCs w:val="22"/>
              </w:rPr>
            </w:pPr>
            <w:r w:rsidRPr="00C46BE1">
              <w:rPr>
                <w:rFonts w:ascii="Tw Cen MT" w:hAnsi="Tw Cen MT"/>
                <w:spacing w:val="-2"/>
                <w:sz w:val="22"/>
                <w:szCs w:val="22"/>
              </w:rPr>
              <w:t>April 2018</w:t>
            </w:r>
          </w:p>
        </w:tc>
      </w:tr>
      <w:tr w:rsidR="00D01ED3" w:rsidRPr="00C46BE1" w14:paraId="4C474142" w14:textId="77777777" w:rsidTr="00786C3B">
        <w:trPr>
          <w:trHeight w:val="416"/>
        </w:trPr>
        <w:tc>
          <w:tcPr>
            <w:tcW w:w="6475"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786190D1" w14:textId="19DB4A06" w:rsidR="00D01ED3" w:rsidRPr="00C46BE1" w:rsidRDefault="00D01ED3" w:rsidP="00D01ED3">
            <w:pPr>
              <w:pStyle w:val="SuicideBodyText"/>
              <w:jc w:val="left"/>
              <w:rPr>
                <w:rFonts w:ascii="Tw Cen MT" w:hAnsi="Tw Cen MT"/>
                <w:sz w:val="22"/>
                <w:szCs w:val="22"/>
              </w:rPr>
            </w:pPr>
            <w:r w:rsidRPr="00C46BE1">
              <w:rPr>
                <w:rFonts w:ascii="Tw Cen MT" w:hAnsi="Tw Cen MT"/>
                <w:sz w:val="22"/>
                <w:szCs w:val="22"/>
              </w:rPr>
              <w:t>KIIs and Employment Needs FGs – Administration 2</w:t>
            </w:r>
          </w:p>
          <w:p w14:paraId="7C9356A4" w14:textId="77777777" w:rsidR="00895B10" w:rsidRPr="00C46BE1" w:rsidRDefault="00895B10" w:rsidP="00090868">
            <w:pPr>
              <w:pStyle w:val="SuicideBodyText"/>
              <w:numPr>
                <w:ilvl w:val="0"/>
                <w:numId w:val="35"/>
              </w:numPr>
              <w:jc w:val="left"/>
              <w:rPr>
                <w:rFonts w:ascii="Tw Cen MT" w:hAnsi="Tw Cen MT"/>
                <w:sz w:val="22"/>
                <w:szCs w:val="22"/>
              </w:rPr>
            </w:pPr>
            <w:r w:rsidRPr="00C46BE1">
              <w:rPr>
                <w:rFonts w:ascii="Tw Cen MT" w:hAnsi="Tw Cen MT"/>
                <w:sz w:val="22"/>
                <w:szCs w:val="22"/>
              </w:rPr>
              <w:t xml:space="preserve">Conduct SLA KIIs with BHTCC stakeholders  </w:t>
            </w:r>
          </w:p>
          <w:p w14:paraId="61F481BF" w14:textId="3B6FC6C4" w:rsidR="00D01ED3" w:rsidRPr="00C46BE1" w:rsidRDefault="00895B10" w:rsidP="00090868">
            <w:pPr>
              <w:pStyle w:val="SuicideBodyText"/>
              <w:numPr>
                <w:ilvl w:val="0"/>
                <w:numId w:val="35"/>
              </w:numPr>
              <w:jc w:val="left"/>
              <w:rPr>
                <w:rFonts w:ascii="Tw Cen MT" w:hAnsi="Tw Cen MT"/>
                <w:sz w:val="22"/>
                <w:szCs w:val="22"/>
              </w:rPr>
            </w:pPr>
            <w:r w:rsidRPr="00C46BE1">
              <w:rPr>
                <w:rFonts w:ascii="Tw Cen MT" w:hAnsi="Tw Cen MT"/>
                <w:sz w:val="22"/>
                <w:szCs w:val="22"/>
              </w:rPr>
              <w:t xml:space="preserve">Conduct SSA KIIs and ENFGs with SE stakeholders  </w:t>
            </w:r>
          </w:p>
        </w:tc>
        <w:tc>
          <w:tcPr>
            <w:tcW w:w="2875"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7C2255EC" w14:textId="1CF6197D" w:rsidR="00D01ED3" w:rsidRPr="00C46BE1" w:rsidRDefault="003B3C70" w:rsidP="00D01ED3">
            <w:pPr>
              <w:pStyle w:val="SuicideBodyText"/>
              <w:tabs>
                <w:tab w:val="left" w:pos="4410"/>
              </w:tabs>
              <w:jc w:val="left"/>
              <w:rPr>
                <w:rFonts w:ascii="Tw Cen MT" w:hAnsi="Tw Cen MT"/>
                <w:spacing w:val="-2"/>
                <w:sz w:val="22"/>
                <w:szCs w:val="22"/>
              </w:rPr>
            </w:pPr>
            <w:r w:rsidRPr="00C46BE1">
              <w:rPr>
                <w:rFonts w:ascii="Tw Cen MT" w:hAnsi="Tw Cen MT" w:cs="Arial"/>
                <w:sz w:val="22"/>
                <w:szCs w:val="22"/>
              </w:rPr>
              <w:t>March 2018 – July 2018</w:t>
            </w:r>
          </w:p>
        </w:tc>
      </w:tr>
      <w:tr w:rsidR="00D01ED3" w:rsidRPr="00C46BE1" w14:paraId="2F4E0A26" w14:textId="77777777" w:rsidTr="00D01ED3">
        <w:trPr>
          <w:trHeight w:val="188"/>
        </w:trPr>
        <w:tc>
          <w:tcPr>
            <w:tcW w:w="6475"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5A76A157" w14:textId="77777777" w:rsidR="00895B10" w:rsidRPr="00C46BE1" w:rsidRDefault="00D01ED3" w:rsidP="00895B10">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w Cen MT" w:hAnsi="Tw Cen MT"/>
                <w:sz w:val="22"/>
                <w:szCs w:val="22"/>
              </w:rPr>
            </w:pPr>
            <w:r w:rsidRPr="00C46BE1">
              <w:rPr>
                <w:rFonts w:ascii="Tw Cen MT" w:hAnsi="Tw Cen MT" w:cs="Arial"/>
                <w:sz w:val="22"/>
                <w:szCs w:val="22"/>
              </w:rPr>
              <w:t xml:space="preserve">Biannual Program Inventory </w:t>
            </w:r>
            <w:r w:rsidR="00712131" w:rsidRPr="00C46BE1">
              <w:rPr>
                <w:rFonts w:ascii="Tw Cen MT" w:hAnsi="Tw Cen MT"/>
                <w:sz w:val="22"/>
                <w:szCs w:val="22"/>
              </w:rPr>
              <w:t>#6</w:t>
            </w:r>
          </w:p>
          <w:p w14:paraId="2C16F6E4" w14:textId="14185D60" w:rsidR="00D01ED3" w:rsidRPr="00C46BE1" w:rsidRDefault="00D01ED3" w:rsidP="00090868">
            <w:pPr>
              <w:numPr>
                <w:ilvl w:val="0"/>
                <w:numId w:val="37"/>
              </w:num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w Cen MT" w:hAnsi="Tw Cen MT" w:cs="Arial"/>
                <w:sz w:val="22"/>
                <w:szCs w:val="22"/>
              </w:rPr>
            </w:pPr>
            <w:r w:rsidRPr="00C46BE1">
              <w:rPr>
                <w:rFonts w:ascii="Tw Cen MT" w:hAnsi="Tw Cen MT" w:cs="Arial"/>
                <w:sz w:val="22"/>
                <w:szCs w:val="22"/>
              </w:rPr>
              <w:t xml:space="preserve">BHTCC grantees complete the BPI–BHTCC </w:t>
            </w:r>
          </w:p>
          <w:p w14:paraId="5A050284" w14:textId="4E98D66E" w:rsidR="00D01ED3" w:rsidRPr="00C46BE1" w:rsidRDefault="00D01ED3" w:rsidP="00090868">
            <w:pPr>
              <w:numPr>
                <w:ilvl w:val="0"/>
                <w:numId w:val="37"/>
              </w:num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w Cen MT" w:hAnsi="Tw Cen MT" w:cs="Arial"/>
                <w:sz w:val="22"/>
                <w:szCs w:val="22"/>
              </w:rPr>
            </w:pPr>
            <w:r w:rsidRPr="00C46BE1">
              <w:rPr>
                <w:rFonts w:ascii="Tw Cen MT" w:hAnsi="Tw Cen MT" w:cs="Arial"/>
                <w:sz w:val="22"/>
                <w:szCs w:val="22"/>
              </w:rPr>
              <w:t xml:space="preserve">SE grantees complete the BPI–SE  </w:t>
            </w:r>
          </w:p>
        </w:tc>
        <w:tc>
          <w:tcPr>
            <w:tcW w:w="2875"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0D3E6FA7" w14:textId="4F2C41DE" w:rsidR="00D01ED3" w:rsidRPr="00C46BE1" w:rsidRDefault="00D01ED3" w:rsidP="00D01ED3">
            <w:pPr>
              <w:pStyle w:val="SuicideBodyText"/>
              <w:tabs>
                <w:tab w:val="left" w:pos="4410"/>
              </w:tabs>
              <w:jc w:val="left"/>
              <w:rPr>
                <w:rFonts w:ascii="Tw Cen MT" w:hAnsi="Tw Cen MT"/>
                <w:spacing w:val="-2"/>
                <w:sz w:val="22"/>
                <w:szCs w:val="22"/>
              </w:rPr>
            </w:pPr>
            <w:r w:rsidRPr="00C46BE1">
              <w:rPr>
                <w:rFonts w:ascii="Tw Cen MT" w:hAnsi="Tw Cen MT"/>
                <w:spacing w:val="-2"/>
                <w:sz w:val="22"/>
                <w:szCs w:val="22"/>
              </w:rPr>
              <w:t>October 2018</w:t>
            </w:r>
          </w:p>
        </w:tc>
      </w:tr>
      <w:tr w:rsidR="00D01ED3" w:rsidRPr="00C46BE1" w14:paraId="7E70D7FF" w14:textId="77777777" w:rsidTr="00786C3B">
        <w:trPr>
          <w:trHeight w:val="416"/>
        </w:trPr>
        <w:tc>
          <w:tcPr>
            <w:tcW w:w="6475"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465C327F" w14:textId="25DD12B7" w:rsidR="00D01ED3" w:rsidRPr="00C46BE1" w:rsidRDefault="00D01ED3" w:rsidP="00D01ED3">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w Cen MT" w:hAnsi="Tw Cen MT" w:cs="Arial"/>
                <w:sz w:val="22"/>
                <w:szCs w:val="22"/>
              </w:rPr>
            </w:pPr>
            <w:r w:rsidRPr="00C46BE1">
              <w:rPr>
                <w:rFonts w:ascii="Tw Cen MT" w:hAnsi="Tw Cen MT" w:cs="Arial"/>
                <w:sz w:val="22"/>
                <w:szCs w:val="22"/>
              </w:rPr>
              <w:t xml:space="preserve">Biannual Program Inventory </w:t>
            </w:r>
            <w:r w:rsidR="00712131" w:rsidRPr="00C46BE1">
              <w:rPr>
                <w:rFonts w:ascii="Tw Cen MT" w:hAnsi="Tw Cen MT"/>
                <w:sz w:val="22"/>
                <w:szCs w:val="22"/>
              </w:rPr>
              <w:t>#7</w:t>
            </w:r>
          </w:p>
          <w:p w14:paraId="5A0A1DA8" w14:textId="77777777" w:rsidR="00D01ED3" w:rsidRPr="00C46BE1" w:rsidRDefault="00D01ED3" w:rsidP="00090868">
            <w:pPr>
              <w:pStyle w:val="SuicideBodyText"/>
              <w:numPr>
                <w:ilvl w:val="0"/>
                <w:numId w:val="36"/>
              </w:numPr>
              <w:jc w:val="left"/>
              <w:rPr>
                <w:rFonts w:ascii="Tw Cen MT" w:hAnsi="Tw Cen MT" w:cs="Arial"/>
                <w:sz w:val="22"/>
                <w:szCs w:val="22"/>
              </w:rPr>
            </w:pPr>
            <w:r w:rsidRPr="00C46BE1">
              <w:rPr>
                <w:rFonts w:ascii="Tw Cen MT" w:hAnsi="Tw Cen MT" w:cs="Arial"/>
                <w:sz w:val="22"/>
                <w:szCs w:val="22"/>
              </w:rPr>
              <w:t xml:space="preserve">BHTCC grantees complete the BPI–BHTCC </w:t>
            </w:r>
          </w:p>
          <w:p w14:paraId="4A8ADD36" w14:textId="5120A8F8" w:rsidR="00D01ED3" w:rsidRPr="00C46BE1" w:rsidRDefault="00D01ED3" w:rsidP="00090868">
            <w:pPr>
              <w:numPr>
                <w:ilvl w:val="0"/>
                <w:numId w:val="36"/>
              </w:num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w Cen MT" w:hAnsi="Tw Cen MT" w:cs="Arial"/>
                <w:sz w:val="22"/>
                <w:szCs w:val="22"/>
              </w:rPr>
            </w:pPr>
            <w:r w:rsidRPr="00C46BE1">
              <w:rPr>
                <w:rFonts w:ascii="Tw Cen MT" w:hAnsi="Tw Cen MT" w:cs="Arial"/>
                <w:sz w:val="22"/>
                <w:szCs w:val="22"/>
              </w:rPr>
              <w:t xml:space="preserve">SE grantees complete the BPI–SE  </w:t>
            </w:r>
          </w:p>
        </w:tc>
        <w:tc>
          <w:tcPr>
            <w:tcW w:w="2875"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4C554625" w14:textId="1B9C3FF5" w:rsidR="00D01ED3" w:rsidRPr="00C46BE1" w:rsidRDefault="00D01ED3" w:rsidP="00D01ED3">
            <w:pPr>
              <w:pStyle w:val="SuicideBodyText"/>
              <w:tabs>
                <w:tab w:val="left" w:pos="4410"/>
              </w:tabs>
              <w:jc w:val="left"/>
              <w:rPr>
                <w:rFonts w:ascii="Tw Cen MT" w:hAnsi="Tw Cen MT"/>
                <w:spacing w:val="-2"/>
                <w:sz w:val="22"/>
                <w:szCs w:val="22"/>
              </w:rPr>
            </w:pPr>
            <w:r w:rsidRPr="00C46BE1">
              <w:rPr>
                <w:rFonts w:ascii="Tw Cen MT" w:hAnsi="Tw Cen MT"/>
                <w:spacing w:val="-2"/>
                <w:sz w:val="22"/>
                <w:szCs w:val="22"/>
              </w:rPr>
              <w:t>April 2019</w:t>
            </w:r>
          </w:p>
        </w:tc>
      </w:tr>
    </w:tbl>
    <w:p w14:paraId="3DB8CE5E" w14:textId="657075FB" w:rsidR="007D1703" w:rsidRPr="00C46BE1" w:rsidRDefault="007D1703" w:rsidP="006B18B1">
      <w:pPr>
        <w:pStyle w:val="SuicideBodyText"/>
        <w:keepNext/>
        <w:numPr>
          <w:ilvl w:val="0"/>
          <w:numId w:val="12"/>
        </w:numPr>
        <w:spacing w:before="240" w:after="120"/>
        <w:rPr>
          <w:rFonts w:ascii="Tw Cen MT" w:hAnsi="Tw Cen MT" w:cs="Arial"/>
          <w:b/>
          <w:sz w:val="28"/>
          <w:szCs w:val="28"/>
        </w:rPr>
      </w:pPr>
      <w:r w:rsidRPr="00C46BE1">
        <w:rPr>
          <w:rFonts w:ascii="Tw Cen MT" w:hAnsi="Tw Cen MT" w:cs="Arial"/>
          <w:b/>
          <w:sz w:val="28"/>
          <w:szCs w:val="28"/>
        </w:rPr>
        <w:t>Publication Plans</w:t>
      </w:r>
    </w:p>
    <w:p w14:paraId="1330ADFD" w14:textId="1C28C340" w:rsidR="00C7334E" w:rsidRPr="00C46BE1" w:rsidRDefault="00C7334E" w:rsidP="00C7334E">
      <w:pPr>
        <w:pStyle w:val="BHTCCBody"/>
        <w:rPr>
          <w:rFonts w:ascii="Times New Roman" w:hAnsi="Times New Roman" w:cs="Times New Roman"/>
          <w:sz w:val="24"/>
          <w:szCs w:val="24"/>
        </w:rPr>
      </w:pPr>
      <w:r w:rsidRPr="00C46BE1">
        <w:rPr>
          <w:rFonts w:ascii="Times New Roman" w:hAnsi="Times New Roman" w:cs="Times New Roman"/>
          <w:sz w:val="24"/>
          <w:szCs w:val="24"/>
        </w:rPr>
        <w:t xml:space="preserve">Dissemination of evaluation findings across the life of the </w:t>
      </w:r>
      <w:r w:rsidR="00FF246C" w:rsidRPr="00C46BE1">
        <w:rPr>
          <w:rFonts w:ascii="Times New Roman" w:hAnsi="Times New Roman" w:cs="Times New Roman"/>
          <w:sz w:val="24"/>
          <w:szCs w:val="24"/>
        </w:rPr>
        <w:t>CSE</w:t>
      </w:r>
      <w:r w:rsidRPr="00C46BE1">
        <w:rPr>
          <w:rFonts w:ascii="Times New Roman" w:hAnsi="Times New Roman" w:cs="Times New Roman"/>
          <w:sz w:val="24"/>
          <w:szCs w:val="24"/>
        </w:rPr>
        <w:t xml:space="preserve"> to </w:t>
      </w:r>
      <w:r w:rsidR="00C5286F" w:rsidRPr="00C46BE1">
        <w:rPr>
          <w:rFonts w:ascii="Times New Roman" w:hAnsi="Times New Roman" w:cs="Times New Roman"/>
          <w:sz w:val="24"/>
          <w:szCs w:val="24"/>
        </w:rPr>
        <w:t>SAMHSA</w:t>
      </w:r>
      <w:r w:rsidRPr="00C46BE1">
        <w:rPr>
          <w:rFonts w:ascii="Times New Roman" w:hAnsi="Times New Roman" w:cs="Times New Roman"/>
          <w:sz w:val="24"/>
          <w:szCs w:val="24"/>
        </w:rPr>
        <w:t xml:space="preserve">, </w:t>
      </w:r>
      <w:r w:rsidR="00FF246C" w:rsidRPr="00C46BE1">
        <w:rPr>
          <w:rFonts w:ascii="Times New Roman" w:hAnsi="Times New Roman" w:cs="Times New Roman"/>
          <w:sz w:val="24"/>
          <w:szCs w:val="24"/>
        </w:rPr>
        <w:t>HHS</w:t>
      </w:r>
      <w:r w:rsidRPr="00C46BE1">
        <w:rPr>
          <w:rFonts w:ascii="Times New Roman" w:hAnsi="Times New Roman" w:cs="Times New Roman"/>
          <w:sz w:val="24"/>
          <w:szCs w:val="24"/>
        </w:rPr>
        <w:t>, and key stakeholders will be a priority. Reporting and dissemination will include quarterly progress reports</w:t>
      </w:r>
      <w:r w:rsidR="00FF246C" w:rsidRPr="00C46BE1">
        <w:rPr>
          <w:rFonts w:ascii="Times New Roman" w:hAnsi="Times New Roman" w:cs="Times New Roman"/>
          <w:sz w:val="24"/>
          <w:szCs w:val="24"/>
        </w:rPr>
        <w:t xml:space="preserve">, </w:t>
      </w:r>
      <w:r w:rsidRPr="00C46BE1">
        <w:rPr>
          <w:rFonts w:ascii="Times New Roman" w:hAnsi="Times New Roman" w:cs="Times New Roman"/>
          <w:sz w:val="24"/>
          <w:szCs w:val="24"/>
        </w:rPr>
        <w:t>annual evaluation reports</w:t>
      </w:r>
      <w:r w:rsidR="00FF246C" w:rsidRPr="00C46BE1">
        <w:rPr>
          <w:rFonts w:ascii="Times New Roman" w:hAnsi="Times New Roman" w:cs="Times New Roman"/>
          <w:sz w:val="24"/>
          <w:szCs w:val="24"/>
        </w:rPr>
        <w:t>,</w:t>
      </w:r>
      <w:r w:rsidRPr="00C46BE1">
        <w:rPr>
          <w:rFonts w:ascii="Times New Roman" w:hAnsi="Times New Roman" w:cs="Times New Roman"/>
          <w:sz w:val="24"/>
          <w:szCs w:val="24"/>
        </w:rPr>
        <w:t xml:space="preserve"> annual briefings on evaluation findings</w:t>
      </w:r>
      <w:r w:rsidR="00FF246C" w:rsidRPr="00C46BE1">
        <w:rPr>
          <w:rFonts w:ascii="Times New Roman" w:hAnsi="Times New Roman" w:cs="Times New Roman"/>
          <w:sz w:val="24"/>
          <w:szCs w:val="24"/>
        </w:rPr>
        <w:t>,</w:t>
      </w:r>
      <w:r w:rsidRPr="00C46BE1">
        <w:rPr>
          <w:rFonts w:ascii="Times New Roman" w:hAnsi="Times New Roman" w:cs="Times New Roman"/>
          <w:sz w:val="24"/>
          <w:szCs w:val="24"/>
        </w:rPr>
        <w:t xml:space="preserve"> and ad hoc reports and presentation products (via special requests). </w:t>
      </w:r>
      <w:r w:rsidR="000E049A" w:rsidRPr="00C46BE1">
        <w:rPr>
          <w:rFonts w:ascii="Times New Roman" w:hAnsi="Times New Roman" w:cs="Times New Roman"/>
          <w:sz w:val="24"/>
          <w:szCs w:val="24"/>
        </w:rPr>
        <w:t>The c</w:t>
      </w:r>
      <w:r w:rsidR="00186A6F" w:rsidRPr="00C46BE1">
        <w:rPr>
          <w:rFonts w:ascii="Times New Roman" w:hAnsi="Times New Roman" w:cs="Times New Roman"/>
          <w:sz w:val="24"/>
          <w:szCs w:val="24"/>
        </w:rPr>
        <w:t xml:space="preserve">ontractor </w:t>
      </w:r>
      <w:r w:rsidR="00C5286F" w:rsidRPr="00C46BE1">
        <w:rPr>
          <w:rFonts w:ascii="Times New Roman" w:hAnsi="Times New Roman" w:cs="Times New Roman"/>
          <w:sz w:val="24"/>
          <w:szCs w:val="24"/>
        </w:rPr>
        <w:t xml:space="preserve">also </w:t>
      </w:r>
      <w:r w:rsidRPr="00C46BE1">
        <w:rPr>
          <w:rFonts w:ascii="Times New Roman" w:hAnsi="Times New Roman" w:cs="Times New Roman"/>
          <w:sz w:val="24"/>
          <w:szCs w:val="24"/>
        </w:rPr>
        <w:t xml:space="preserve">will submit a </w:t>
      </w:r>
      <w:r w:rsidR="00FF246C" w:rsidRPr="00C46BE1">
        <w:rPr>
          <w:rFonts w:ascii="Times New Roman" w:hAnsi="Times New Roman" w:cs="Times New Roman"/>
          <w:sz w:val="24"/>
          <w:szCs w:val="24"/>
        </w:rPr>
        <w:t>S</w:t>
      </w:r>
      <w:r w:rsidRPr="00C46BE1">
        <w:rPr>
          <w:rFonts w:ascii="Times New Roman" w:hAnsi="Times New Roman" w:cs="Times New Roman"/>
          <w:sz w:val="24"/>
          <w:szCs w:val="24"/>
        </w:rPr>
        <w:t>tate-level grantee report on Y</w:t>
      </w:r>
      <w:r w:rsidR="004670B8" w:rsidRPr="00C46BE1">
        <w:rPr>
          <w:rFonts w:ascii="Times New Roman" w:hAnsi="Times New Roman" w:cs="Times New Roman"/>
          <w:sz w:val="24"/>
          <w:szCs w:val="24"/>
        </w:rPr>
        <w:t xml:space="preserve">ear 1 activities for the BHTCC. Although </w:t>
      </w:r>
      <w:r w:rsidR="000E049A" w:rsidRPr="00C46BE1">
        <w:rPr>
          <w:rFonts w:ascii="Times New Roman" w:hAnsi="Times New Roman" w:cs="Times New Roman"/>
          <w:sz w:val="24"/>
          <w:szCs w:val="24"/>
        </w:rPr>
        <w:t>the c</w:t>
      </w:r>
      <w:r w:rsidR="00186A6F" w:rsidRPr="00C46BE1">
        <w:rPr>
          <w:rFonts w:ascii="Times New Roman" w:hAnsi="Times New Roman" w:cs="Times New Roman"/>
          <w:sz w:val="24"/>
          <w:szCs w:val="24"/>
        </w:rPr>
        <w:t xml:space="preserve">ontractor </w:t>
      </w:r>
      <w:r w:rsidR="004670B8" w:rsidRPr="00C46BE1">
        <w:rPr>
          <w:rFonts w:ascii="Times New Roman" w:hAnsi="Times New Roman" w:cs="Times New Roman"/>
          <w:sz w:val="24"/>
          <w:szCs w:val="24"/>
        </w:rPr>
        <w:t xml:space="preserve">is not contractually required to publish findings from the CSE in peer-reviewed articles, examples of journals that would be appropriate vehicles for publication include the following:  </w:t>
      </w:r>
    </w:p>
    <w:p w14:paraId="17FB2FD7" w14:textId="2218F51A" w:rsidR="004670B8" w:rsidRPr="00C46BE1" w:rsidRDefault="004670B8" w:rsidP="00090868">
      <w:pPr>
        <w:pStyle w:val="BHTCCBody"/>
        <w:numPr>
          <w:ilvl w:val="0"/>
          <w:numId w:val="38"/>
        </w:numPr>
        <w:spacing w:after="60"/>
        <w:rPr>
          <w:rFonts w:ascii="Times New Roman" w:hAnsi="Times New Roman" w:cs="Times New Roman"/>
          <w:sz w:val="24"/>
          <w:szCs w:val="24"/>
        </w:rPr>
      </w:pPr>
      <w:r w:rsidRPr="00C46BE1">
        <w:rPr>
          <w:rFonts w:ascii="Times New Roman" w:hAnsi="Times New Roman" w:cs="Times New Roman"/>
          <w:sz w:val="24"/>
          <w:szCs w:val="24"/>
        </w:rPr>
        <w:t>Community-</w:t>
      </w:r>
      <w:r w:rsidR="00351927" w:rsidRPr="00C46BE1">
        <w:rPr>
          <w:rFonts w:ascii="Times New Roman" w:hAnsi="Times New Roman" w:cs="Times New Roman"/>
          <w:sz w:val="24"/>
          <w:szCs w:val="24"/>
        </w:rPr>
        <w:t>B</w:t>
      </w:r>
      <w:r w:rsidRPr="00C46BE1">
        <w:rPr>
          <w:rFonts w:ascii="Times New Roman" w:hAnsi="Times New Roman" w:cs="Times New Roman"/>
          <w:sz w:val="24"/>
          <w:szCs w:val="24"/>
        </w:rPr>
        <w:t xml:space="preserve">ased Public Health: Policy and Practice </w:t>
      </w:r>
    </w:p>
    <w:p w14:paraId="327FB592" w14:textId="77777777" w:rsidR="00351927" w:rsidRPr="00C46BE1" w:rsidRDefault="00351927" w:rsidP="00090868">
      <w:pPr>
        <w:pStyle w:val="BHTCCBody"/>
        <w:numPr>
          <w:ilvl w:val="0"/>
          <w:numId w:val="38"/>
        </w:numPr>
        <w:spacing w:after="60"/>
        <w:rPr>
          <w:rFonts w:ascii="Times New Roman" w:hAnsi="Times New Roman" w:cs="Times New Roman"/>
          <w:color w:val="C00000"/>
          <w:sz w:val="24"/>
          <w:szCs w:val="24"/>
        </w:rPr>
      </w:pPr>
      <w:r w:rsidRPr="00C46BE1">
        <w:rPr>
          <w:rFonts w:ascii="Times New Roman" w:hAnsi="Times New Roman" w:cs="Times New Roman"/>
          <w:sz w:val="24"/>
          <w:szCs w:val="24"/>
        </w:rPr>
        <w:t xml:space="preserve">Community Mental Health Journal </w:t>
      </w:r>
    </w:p>
    <w:p w14:paraId="4DCCC907" w14:textId="0F1CED40" w:rsidR="0004771C" w:rsidRPr="00C46BE1" w:rsidRDefault="004670B8" w:rsidP="00090868">
      <w:pPr>
        <w:pStyle w:val="BHTCCBody"/>
        <w:numPr>
          <w:ilvl w:val="0"/>
          <w:numId w:val="38"/>
        </w:numPr>
        <w:spacing w:after="60"/>
        <w:rPr>
          <w:rFonts w:ascii="Times New Roman" w:hAnsi="Times New Roman" w:cs="Times New Roman"/>
          <w:color w:val="C00000"/>
          <w:sz w:val="24"/>
          <w:szCs w:val="24"/>
        </w:rPr>
      </w:pPr>
      <w:r w:rsidRPr="00C46BE1">
        <w:rPr>
          <w:rFonts w:ascii="Times New Roman" w:hAnsi="Times New Roman" w:cs="Times New Roman"/>
          <w:sz w:val="24"/>
          <w:szCs w:val="24"/>
        </w:rPr>
        <w:t>C</w:t>
      </w:r>
      <w:r w:rsidR="0004771C" w:rsidRPr="00C46BE1">
        <w:rPr>
          <w:rFonts w:ascii="Times New Roman" w:hAnsi="Times New Roman" w:cs="Times New Roman"/>
          <w:sz w:val="24"/>
          <w:szCs w:val="24"/>
        </w:rPr>
        <w:t>riminology</w:t>
      </w:r>
    </w:p>
    <w:p w14:paraId="07D7A5C5" w14:textId="77777777" w:rsidR="00351927" w:rsidRPr="00C46BE1" w:rsidRDefault="00351927" w:rsidP="00090868">
      <w:pPr>
        <w:pStyle w:val="BHTCCBody"/>
        <w:numPr>
          <w:ilvl w:val="0"/>
          <w:numId w:val="38"/>
        </w:numPr>
        <w:spacing w:after="60"/>
        <w:rPr>
          <w:rFonts w:ascii="Times New Roman" w:hAnsi="Times New Roman" w:cs="Times New Roman"/>
          <w:color w:val="C00000"/>
          <w:sz w:val="24"/>
          <w:szCs w:val="24"/>
        </w:rPr>
      </w:pPr>
      <w:r w:rsidRPr="00C46BE1">
        <w:rPr>
          <w:rFonts w:ascii="Times New Roman" w:hAnsi="Times New Roman" w:cs="Times New Roman"/>
          <w:sz w:val="24"/>
          <w:szCs w:val="24"/>
        </w:rPr>
        <w:t>Evaluation and Program Planning</w:t>
      </w:r>
    </w:p>
    <w:p w14:paraId="173A44D4" w14:textId="77777777" w:rsidR="00351927" w:rsidRPr="00C46BE1" w:rsidRDefault="00351927" w:rsidP="00090868">
      <w:pPr>
        <w:pStyle w:val="BHTCCBody"/>
        <w:numPr>
          <w:ilvl w:val="0"/>
          <w:numId w:val="38"/>
        </w:numPr>
        <w:spacing w:after="60"/>
        <w:rPr>
          <w:rFonts w:ascii="Times New Roman" w:hAnsi="Times New Roman" w:cs="Times New Roman"/>
          <w:color w:val="C00000"/>
          <w:sz w:val="24"/>
          <w:szCs w:val="24"/>
        </w:rPr>
      </w:pPr>
      <w:r w:rsidRPr="00C46BE1">
        <w:rPr>
          <w:rFonts w:ascii="Times New Roman" w:hAnsi="Times New Roman" w:cs="Times New Roman"/>
          <w:sz w:val="24"/>
          <w:szCs w:val="24"/>
        </w:rPr>
        <w:t>Journal of Disability Policy Studies</w:t>
      </w:r>
    </w:p>
    <w:p w14:paraId="7F18FB73" w14:textId="316F3808" w:rsidR="004670B8" w:rsidRPr="00C46BE1" w:rsidRDefault="004670B8" w:rsidP="00090868">
      <w:pPr>
        <w:pStyle w:val="BHTCCBody"/>
        <w:numPr>
          <w:ilvl w:val="0"/>
          <w:numId w:val="38"/>
        </w:numPr>
        <w:spacing w:after="60"/>
        <w:rPr>
          <w:rFonts w:ascii="Times New Roman" w:hAnsi="Times New Roman" w:cs="Times New Roman"/>
          <w:color w:val="C00000"/>
          <w:sz w:val="24"/>
          <w:szCs w:val="24"/>
        </w:rPr>
      </w:pPr>
      <w:r w:rsidRPr="00C46BE1">
        <w:rPr>
          <w:rFonts w:ascii="Times New Roman" w:hAnsi="Times New Roman" w:cs="Times New Roman"/>
          <w:sz w:val="24"/>
          <w:szCs w:val="24"/>
        </w:rPr>
        <w:t>Journal of Rehabilitation</w:t>
      </w:r>
    </w:p>
    <w:p w14:paraId="63C65856" w14:textId="77777777" w:rsidR="00351927" w:rsidRPr="00C46BE1" w:rsidRDefault="00351927" w:rsidP="00090868">
      <w:pPr>
        <w:pStyle w:val="BHTCCBody"/>
        <w:numPr>
          <w:ilvl w:val="0"/>
          <w:numId w:val="38"/>
        </w:numPr>
        <w:spacing w:after="60"/>
        <w:rPr>
          <w:rFonts w:ascii="Times New Roman" w:hAnsi="Times New Roman" w:cs="Times New Roman"/>
          <w:color w:val="C00000"/>
          <w:sz w:val="24"/>
          <w:szCs w:val="24"/>
        </w:rPr>
      </w:pPr>
      <w:r w:rsidRPr="00C46BE1">
        <w:rPr>
          <w:rFonts w:ascii="Times New Roman" w:hAnsi="Times New Roman" w:cs="Times New Roman"/>
          <w:sz w:val="24"/>
          <w:szCs w:val="24"/>
        </w:rPr>
        <w:t>Journal of Substance Abuse Treatment</w:t>
      </w:r>
    </w:p>
    <w:p w14:paraId="6EAEF11A" w14:textId="4B37BBE6" w:rsidR="004670B8" w:rsidRPr="00C46BE1" w:rsidRDefault="004670B8" w:rsidP="00090868">
      <w:pPr>
        <w:pStyle w:val="BHTCCBody"/>
        <w:numPr>
          <w:ilvl w:val="0"/>
          <w:numId w:val="38"/>
        </w:numPr>
        <w:spacing w:after="60"/>
        <w:rPr>
          <w:rFonts w:ascii="Times New Roman" w:hAnsi="Times New Roman" w:cs="Times New Roman"/>
          <w:color w:val="C00000"/>
          <w:sz w:val="24"/>
          <w:szCs w:val="24"/>
        </w:rPr>
      </w:pPr>
      <w:r w:rsidRPr="00C46BE1">
        <w:rPr>
          <w:rFonts w:ascii="Times New Roman" w:hAnsi="Times New Roman" w:cs="Times New Roman"/>
          <w:sz w:val="24"/>
          <w:szCs w:val="24"/>
        </w:rPr>
        <w:t>Journal of Vocational Rehabilitation</w:t>
      </w:r>
    </w:p>
    <w:p w14:paraId="1C54DFC3" w14:textId="385534F7" w:rsidR="004670B8" w:rsidRPr="00C46BE1" w:rsidRDefault="004670B8" w:rsidP="00090868">
      <w:pPr>
        <w:pStyle w:val="BHTCCBody"/>
        <w:numPr>
          <w:ilvl w:val="0"/>
          <w:numId w:val="38"/>
        </w:numPr>
        <w:spacing w:after="60"/>
        <w:rPr>
          <w:rFonts w:ascii="Times New Roman" w:hAnsi="Times New Roman" w:cs="Times New Roman"/>
          <w:color w:val="C00000"/>
          <w:sz w:val="24"/>
          <w:szCs w:val="24"/>
        </w:rPr>
      </w:pPr>
      <w:r w:rsidRPr="00C46BE1">
        <w:rPr>
          <w:rFonts w:ascii="Times New Roman" w:hAnsi="Times New Roman" w:cs="Times New Roman"/>
          <w:sz w:val="24"/>
          <w:szCs w:val="24"/>
        </w:rPr>
        <w:t xml:space="preserve">Justice </w:t>
      </w:r>
      <w:r w:rsidR="00351927" w:rsidRPr="00C46BE1">
        <w:rPr>
          <w:rFonts w:ascii="Times New Roman" w:hAnsi="Times New Roman" w:cs="Times New Roman"/>
          <w:sz w:val="24"/>
          <w:szCs w:val="24"/>
        </w:rPr>
        <w:t>Q</w:t>
      </w:r>
      <w:r w:rsidRPr="00C46BE1">
        <w:rPr>
          <w:rFonts w:ascii="Times New Roman" w:hAnsi="Times New Roman" w:cs="Times New Roman"/>
          <w:sz w:val="24"/>
          <w:szCs w:val="24"/>
        </w:rPr>
        <w:t>uarterly</w:t>
      </w:r>
    </w:p>
    <w:p w14:paraId="7BEBDCC8" w14:textId="2281E828" w:rsidR="004670B8" w:rsidRPr="00C46BE1" w:rsidRDefault="004670B8" w:rsidP="00090868">
      <w:pPr>
        <w:pStyle w:val="BHTCCBody"/>
        <w:numPr>
          <w:ilvl w:val="0"/>
          <w:numId w:val="38"/>
        </w:numPr>
        <w:spacing w:after="60"/>
        <w:rPr>
          <w:rFonts w:ascii="Times New Roman" w:hAnsi="Times New Roman" w:cs="Times New Roman"/>
          <w:color w:val="C00000"/>
          <w:sz w:val="24"/>
          <w:szCs w:val="24"/>
        </w:rPr>
      </w:pPr>
      <w:r w:rsidRPr="00C46BE1">
        <w:rPr>
          <w:rFonts w:ascii="Times New Roman" w:hAnsi="Times New Roman" w:cs="Times New Roman"/>
          <w:sz w:val="24"/>
          <w:szCs w:val="24"/>
        </w:rPr>
        <w:t>The Justice System Journal</w:t>
      </w:r>
    </w:p>
    <w:p w14:paraId="0CDE9E7D" w14:textId="70F06D64" w:rsidR="007D1703" w:rsidRPr="00C46BE1" w:rsidRDefault="007D1703" w:rsidP="00090868">
      <w:pPr>
        <w:pStyle w:val="SuicideBodyText"/>
        <w:keepNext/>
        <w:numPr>
          <w:ilvl w:val="0"/>
          <w:numId w:val="12"/>
        </w:numPr>
        <w:spacing w:before="240" w:after="120"/>
        <w:rPr>
          <w:rFonts w:ascii="Tw Cen MT" w:hAnsi="Tw Cen MT" w:cs="Arial"/>
          <w:b/>
          <w:sz w:val="28"/>
          <w:szCs w:val="28"/>
        </w:rPr>
      </w:pPr>
      <w:r w:rsidRPr="00C46BE1">
        <w:rPr>
          <w:rFonts w:ascii="Tw Cen MT" w:hAnsi="Tw Cen MT" w:cs="Arial"/>
          <w:b/>
          <w:sz w:val="28"/>
          <w:szCs w:val="28"/>
        </w:rPr>
        <w:t>Data Analysis Plan</w:t>
      </w:r>
    </w:p>
    <w:p w14:paraId="77430766" w14:textId="1F00AE4E" w:rsidR="006F36B9" w:rsidRPr="00C46BE1" w:rsidRDefault="00D5605E" w:rsidP="00045A50">
      <w:pPr>
        <w:pStyle w:val="GLSH4"/>
        <w:spacing w:after="200"/>
        <w:jc w:val="both"/>
        <w:rPr>
          <w:rFonts w:ascii="Times New Roman" w:hAnsi="Times New Roman" w:cs="Times New Roman"/>
          <w:b w:val="0"/>
          <w:color w:val="auto"/>
          <w:sz w:val="24"/>
          <w:u w:val="none"/>
        </w:rPr>
      </w:pPr>
      <w:r w:rsidRPr="00C46BE1">
        <w:rPr>
          <w:rFonts w:ascii="Times New Roman" w:hAnsi="Times New Roman" w:cs="Times New Roman"/>
          <w:b w:val="0"/>
          <w:color w:val="auto"/>
          <w:sz w:val="24"/>
          <w:u w:val="none"/>
        </w:rPr>
        <w:t xml:space="preserve">Data collected through the </w:t>
      </w:r>
      <w:r w:rsidR="00547235" w:rsidRPr="00C46BE1">
        <w:rPr>
          <w:rFonts w:ascii="Times New Roman" w:hAnsi="Times New Roman" w:cs="Times New Roman"/>
          <w:b w:val="0"/>
          <w:color w:val="auto"/>
          <w:sz w:val="24"/>
          <w:u w:val="none"/>
        </w:rPr>
        <w:t xml:space="preserve">CSE components </w:t>
      </w:r>
      <w:r w:rsidRPr="00C46BE1">
        <w:rPr>
          <w:rFonts w:ascii="Times New Roman" w:hAnsi="Times New Roman" w:cs="Times New Roman"/>
          <w:b w:val="0"/>
          <w:color w:val="auto"/>
          <w:sz w:val="24"/>
          <w:u w:val="none"/>
        </w:rPr>
        <w:t xml:space="preserve">will be analyzed to address key evaluation </w:t>
      </w:r>
      <w:r w:rsidR="00757925" w:rsidRPr="00C46BE1">
        <w:rPr>
          <w:rFonts w:ascii="Times New Roman" w:hAnsi="Times New Roman" w:cs="Times New Roman"/>
          <w:b w:val="0"/>
          <w:color w:val="auto"/>
          <w:sz w:val="24"/>
          <w:u w:val="none"/>
        </w:rPr>
        <w:t>q</w:t>
      </w:r>
      <w:r w:rsidRPr="00C46BE1">
        <w:rPr>
          <w:rFonts w:ascii="Times New Roman" w:hAnsi="Times New Roman" w:cs="Times New Roman"/>
          <w:b w:val="0"/>
          <w:color w:val="auto"/>
          <w:sz w:val="24"/>
          <w:u w:val="none"/>
        </w:rPr>
        <w:t xml:space="preserve">uestions (see Section </w:t>
      </w:r>
      <w:r w:rsidR="00846916" w:rsidRPr="00C46BE1">
        <w:rPr>
          <w:rFonts w:ascii="Times New Roman" w:hAnsi="Times New Roman" w:cs="Times New Roman"/>
          <w:b w:val="0"/>
          <w:color w:val="auto"/>
          <w:sz w:val="24"/>
          <w:u w:val="none"/>
        </w:rPr>
        <w:t>A</w:t>
      </w:r>
      <w:r w:rsidRPr="00C46BE1">
        <w:rPr>
          <w:rFonts w:ascii="Times New Roman" w:hAnsi="Times New Roman" w:cs="Times New Roman"/>
          <w:b w:val="0"/>
          <w:color w:val="auto"/>
          <w:sz w:val="24"/>
          <w:u w:val="none"/>
        </w:rPr>
        <w:t xml:space="preserve">.2.a). </w:t>
      </w:r>
      <w:r w:rsidR="002A380B" w:rsidRPr="00C46BE1">
        <w:rPr>
          <w:rFonts w:ascii="Times New Roman" w:hAnsi="Times New Roman" w:cs="Times New Roman"/>
          <w:b w:val="0"/>
          <w:color w:val="auto"/>
          <w:sz w:val="24"/>
          <w:u w:val="none"/>
        </w:rPr>
        <w:t xml:space="preserve">Analysis plans for each study are described below. </w:t>
      </w:r>
      <w:r w:rsidR="00547235" w:rsidRPr="00C46BE1">
        <w:rPr>
          <w:rFonts w:ascii="Times New Roman" w:hAnsi="Times New Roman" w:cs="Times New Roman"/>
          <w:b w:val="0"/>
          <w:color w:val="auto"/>
          <w:sz w:val="24"/>
          <w:u w:val="none"/>
        </w:rPr>
        <w:t xml:space="preserve"> </w:t>
      </w:r>
    </w:p>
    <w:p w14:paraId="782BA32D" w14:textId="1FFA3B19" w:rsidR="00547235" w:rsidRPr="00C46BE1" w:rsidRDefault="00547235" w:rsidP="00090868">
      <w:pPr>
        <w:pStyle w:val="GLSH4"/>
        <w:numPr>
          <w:ilvl w:val="0"/>
          <w:numId w:val="27"/>
        </w:numPr>
        <w:spacing w:before="240" w:after="200"/>
        <w:jc w:val="both"/>
        <w:rPr>
          <w:rFonts w:cs="Times New Roman"/>
          <w:color w:val="auto"/>
          <w:szCs w:val="28"/>
          <w:u w:val="none"/>
        </w:rPr>
      </w:pPr>
      <w:r w:rsidRPr="00C46BE1">
        <w:rPr>
          <w:rFonts w:cs="Times New Roman"/>
          <w:color w:val="auto"/>
          <w:szCs w:val="28"/>
          <w:u w:val="none"/>
        </w:rPr>
        <w:t xml:space="preserve">BHTCC </w:t>
      </w:r>
      <w:r w:rsidR="00E96436" w:rsidRPr="00C46BE1">
        <w:rPr>
          <w:rFonts w:cs="Times New Roman"/>
          <w:color w:val="auto"/>
          <w:szCs w:val="28"/>
          <w:u w:val="none"/>
        </w:rPr>
        <w:t>Study</w:t>
      </w:r>
    </w:p>
    <w:p w14:paraId="00DBC760" w14:textId="6F3A32D4" w:rsidR="00547235" w:rsidRPr="00C46BE1" w:rsidRDefault="006916E8" w:rsidP="00FF246C">
      <w:pPr>
        <w:pStyle w:val="GLSH4"/>
        <w:spacing w:after="60"/>
        <w:jc w:val="both"/>
        <w:rPr>
          <w:rFonts w:cs="Times New Roman"/>
          <w:color w:val="auto"/>
          <w:sz w:val="26"/>
          <w:szCs w:val="26"/>
        </w:rPr>
      </w:pPr>
      <w:r w:rsidRPr="00C46BE1">
        <w:rPr>
          <w:rFonts w:cs="Times New Roman"/>
          <w:color w:val="auto"/>
          <w:sz w:val="26"/>
          <w:szCs w:val="26"/>
        </w:rPr>
        <w:t xml:space="preserve">BHTCC </w:t>
      </w:r>
      <w:r w:rsidR="00B33E24" w:rsidRPr="00C46BE1">
        <w:rPr>
          <w:rFonts w:cs="Times New Roman"/>
          <w:color w:val="auto"/>
          <w:sz w:val="26"/>
          <w:szCs w:val="26"/>
        </w:rPr>
        <w:t>System</w:t>
      </w:r>
      <w:r w:rsidR="00D73CE5" w:rsidRPr="00C46BE1">
        <w:rPr>
          <w:rFonts w:cs="Times New Roman"/>
          <w:color w:val="auto"/>
          <w:sz w:val="26"/>
          <w:szCs w:val="26"/>
        </w:rPr>
        <w:t xml:space="preserve"> Change Substudy</w:t>
      </w:r>
    </w:p>
    <w:p w14:paraId="1AE9B4A2" w14:textId="13EF24B0" w:rsidR="00361B6D" w:rsidRPr="00C46BE1" w:rsidRDefault="00B33E24" w:rsidP="00547235">
      <w:pPr>
        <w:pStyle w:val="BHTCCBody"/>
        <w:rPr>
          <w:rFonts w:ascii="Times New Roman" w:hAnsi="Times New Roman" w:cs="Times New Roman"/>
          <w:sz w:val="24"/>
          <w:szCs w:val="24"/>
        </w:rPr>
      </w:pPr>
      <w:r w:rsidRPr="00C46BE1">
        <w:rPr>
          <w:rFonts w:ascii="Times New Roman" w:hAnsi="Times New Roman" w:cs="Times New Roman"/>
          <w:sz w:val="24"/>
          <w:szCs w:val="24"/>
        </w:rPr>
        <w:t>SLA</w:t>
      </w:r>
      <w:r w:rsidR="00547235" w:rsidRPr="00C46BE1">
        <w:rPr>
          <w:rFonts w:ascii="Times New Roman" w:hAnsi="Times New Roman" w:cs="Times New Roman"/>
          <w:sz w:val="24"/>
          <w:szCs w:val="24"/>
        </w:rPr>
        <w:t xml:space="preserve"> </w:t>
      </w:r>
      <w:r w:rsidR="00B337D6" w:rsidRPr="00C46BE1">
        <w:rPr>
          <w:rFonts w:ascii="Times New Roman" w:hAnsi="Times New Roman" w:cs="Times New Roman"/>
          <w:sz w:val="24"/>
          <w:szCs w:val="24"/>
        </w:rPr>
        <w:t xml:space="preserve">analyses </w:t>
      </w:r>
      <w:r w:rsidR="00547235" w:rsidRPr="00C46BE1">
        <w:rPr>
          <w:rFonts w:ascii="Times New Roman" w:hAnsi="Times New Roman" w:cs="Times New Roman"/>
          <w:sz w:val="24"/>
          <w:szCs w:val="24"/>
        </w:rPr>
        <w:t xml:space="preserve">will focus on characterizing service expansion and enhancement over the grant cycle, as well as the level and characteristics of the collaboration, particularly, between the local courts and the local community treatment and recovery providers. Consistent with the focus of the study and taking into account the limited number of grantees, the </w:t>
      </w:r>
      <w:r w:rsidRPr="00C46BE1">
        <w:rPr>
          <w:rFonts w:ascii="Times New Roman" w:hAnsi="Times New Roman" w:cs="Times New Roman"/>
          <w:sz w:val="24"/>
          <w:szCs w:val="24"/>
        </w:rPr>
        <w:t>SLA</w:t>
      </w:r>
      <w:r w:rsidR="00547235" w:rsidRPr="00C46BE1">
        <w:rPr>
          <w:rFonts w:ascii="Times New Roman" w:hAnsi="Times New Roman" w:cs="Times New Roman"/>
          <w:sz w:val="24"/>
          <w:szCs w:val="24"/>
        </w:rPr>
        <w:t xml:space="preserve"> quantitative analysis will focus on providing an accurate and rich description of system processes resulting from the implementation of the programs, rather than emphasizing the identification of statistically significant differences or the use of elaborate statistical models. </w:t>
      </w:r>
      <w:r w:rsidR="00361B6D" w:rsidRPr="00C46BE1">
        <w:rPr>
          <w:rFonts w:ascii="Times New Roman" w:hAnsi="Times New Roman" w:cs="Times New Roman"/>
          <w:sz w:val="24"/>
          <w:szCs w:val="24"/>
        </w:rPr>
        <w:t>A</w:t>
      </w:r>
      <w:r w:rsidR="00547235" w:rsidRPr="00C46BE1">
        <w:rPr>
          <w:rFonts w:ascii="Times New Roman" w:hAnsi="Times New Roman" w:cs="Times New Roman"/>
          <w:sz w:val="24"/>
          <w:szCs w:val="24"/>
        </w:rPr>
        <w:t xml:space="preserve"> full understanding of these system-level processes will be reached through the systematic analysis of qualitative</w:t>
      </w:r>
      <w:r w:rsidR="00547235" w:rsidRPr="00C46BE1">
        <w:rPr>
          <w:rFonts w:ascii="Times New Roman" w:hAnsi="Times New Roman" w:cs="Times New Roman"/>
          <w:b/>
          <w:sz w:val="24"/>
          <w:szCs w:val="24"/>
        </w:rPr>
        <w:t xml:space="preserve"> </w:t>
      </w:r>
      <w:r w:rsidR="00547235" w:rsidRPr="00C46BE1">
        <w:rPr>
          <w:rFonts w:ascii="Times New Roman" w:hAnsi="Times New Roman" w:cs="Times New Roman"/>
          <w:sz w:val="24"/>
          <w:szCs w:val="24"/>
        </w:rPr>
        <w:t>information particularly on the program stakeholder’s perception of results, as well as barriers and facilitators of success.</w:t>
      </w:r>
      <w:r w:rsidRPr="00C46BE1">
        <w:rPr>
          <w:rFonts w:ascii="Times New Roman" w:hAnsi="Times New Roman" w:cs="Times New Roman"/>
          <w:sz w:val="24"/>
          <w:szCs w:val="24"/>
        </w:rPr>
        <w:t xml:space="preserve"> </w:t>
      </w:r>
    </w:p>
    <w:p w14:paraId="7951C25C" w14:textId="509A4DE3" w:rsidR="00361B6D" w:rsidRPr="00C46BE1" w:rsidRDefault="00361B6D" w:rsidP="00361B6D">
      <w:pPr>
        <w:pStyle w:val="BHTCCBody"/>
        <w:rPr>
          <w:rFonts w:ascii="Times New Roman" w:hAnsi="Times New Roman" w:cs="Times New Roman"/>
          <w:sz w:val="24"/>
          <w:szCs w:val="24"/>
        </w:rPr>
      </w:pPr>
      <w:r w:rsidRPr="00C46BE1">
        <w:rPr>
          <w:rFonts w:ascii="Times New Roman" w:hAnsi="Times New Roman" w:cs="Times New Roman"/>
          <w:sz w:val="24"/>
          <w:szCs w:val="24"/>
        </w:rPr>
        <w:t>Information gathered through SLA w</w:t>
      </w:r>
      <w:r w:rsidR="00547235" w:rsidRPr="00C46BE1">
        <w:rPr>
          <w:rFonts w:ascii="Times New Roman" w:hAnsi="Times New Roman" w:cs="Times New Roman"/>
          <w:sz w:val="24"/>
          <w:szCs w:val="24"/>
        </w:rPr>
        <w:t>ill be used to describe the developmental status of systems</w:t>
      </w:r>
      <w:r w:rsidRPr="00C46BE1">
        <w:rPr>
          <w:rFonts w:ascii="Times New Roman" w:hAnsi="Times New Roman" w:cs="Times New Roman"/>
          <w:sz w:val="24"/>
          <w:szCs w:val="24"/>
        </w:rPr>
        <w:t xml:space="preserve"> and </w:t>
      </w:r>
      <w:r w:rsidR="00547235" w:rsidRPr="00C46BE1">
        <w:rPr>
          <w:rFonts w:ascii="Times New Roman" w:hAnsi="Times New Roman" w:cs="Times New Roman"/>
          <w:sz w:val="24"/>
          <w:szCs w:val="24"/>
        </w:rPr>
        <w:t xml:space="preserve">to examine differences among communities in their system development. </w:t>
      </w:r>
      <w:r w:rsidRPr="00C46BE1">
        <w:rPr>
          <w:rFonts w:ascii="Times New Roman" w:hAnsi="Times New Roman" w:cs="Times New Roman"/>
          <w:sz w:val="24"/>
          <w:szCs w:val="24"/>
        </w:rPr>
        <w:t xml:space="preserve">Quantitative data are determined from items linked to framework indicators. System-generated variables from CSEDS will allow the tracking of when infrastructure development, activities, coordination of services, and the provision of direct services are first entered into the BPI.  These data along with mean ratings will be used to examine how systems develop, are developing, and are sustaining their program on the basis of key system principles. Together, these data will allow for the understanding of how the BHTCC programs develop over time (i.e., </w:t>
      </w:r>
      <w:proofErr w:type="gramStart"/>
      <w:r w:rsidRPr="00C46BE1">
        <w:rPr>
          <w:rFonts w:ascii="Times New Roman" w:hAnsi="Times New Roman" w:cs="Times New Roman"/>
          <w:sz w:val="24"/>
          <w:szCs w:val="24"/>
        </w:rPr>
        <w:t>What</w:t>
      </w:r>
      <w:proofErr w:type="gramEnd"/>
      <w:r w:rsidRPr="00C46BE1">
        <w:rPr>
          <w:rFonts w:ascii="Times New Roman" w:hAnsi="Times New Roman" w:cs="Times New Roman"/>
          <w:sz w:val="24"/>
          <w:szCs w:val="24"/>
        </w:rPr>
        <w:t xml:space="preserve"> are the first things most BHTCC grantees do? What are the common activities implemented in the second year of the grant? What are the developments that occur later in the funding period? What are staff attitudes about collaboration, the value of TIC, and evidence-based practices?).</w:t>
      </w:r>
    </w:p>
    <w:p w14:paraId="495BF83B" w14:textId="75F1B28A" w:rsidR="00200D29" w:rsidRPr="00C46BE1" w:rsidRDefault="00547235" w:rsidP="00B33E24">
      <w:pPr>
        <w:pStyle w:val="BHTCCBody"/>
        <w:rPr>
          <w:rFonts w:ascii="Times New Roman" w:hAnsi="Times New Roman" w:cs="Times New Roman"/>
          <w:sz w:val="24"/>
          <w:szCs w:val="24"/>
        </w:rPr>
      </w:pPr>
      <w:r w:rsidRPr="00C46BE1">
        <w:rPr>
          <w:rFonts w:ascii="Times New Roman" w:hAnsi="Times New Roman" w:cs="Times New Roman"/>
          <w:sz w:val="24"/>
          <w:szCs w:val="24"/>
        </w:rPr>
        <w:t xml:space="preserve">Qualitative data will provide in-depth information </w:t>
      </w:r>
      <w:r w:rsidR="00B33E24" w:rsidRPr="00C46BE1">
        <w:rPr>
          <w:rFonts w:ascii="Times New Roman" w:hAnsi="Times New Roman" w:cs="Times New Roman"/>
          <w:sz w:val="24"/>
          <w:szCs w:val="24"/>
        </w:rPr>
        <w:t>useful</w:t>
      </w:r>
      <w:r w:rsidRPr="00C46BE1">
        <w:rPr>
          <w:rFonts w:ascii="Times New Roman" w:hAnsi="Times New Roman" w:cs="Times New Roman"/>
          <w:sz w:val="24"/>
          <w:szCs w:val="24"/>
        </w:rPr>
        <w:t xml:space="preserve"> for interpreting quantitative findings, describing which features of the system enhance its development, and identifying key indicators that facilitate successful program implementation. After the </w:t>
      </w:r>
      <w:r w:rsidR="00B33E24" w:rsidRPr="00C46BE1">
        <w:rPr>
          <w:rFonts w:ascii="Times New Roman" w:hAnsi="Times New Roman" w:cs="Times New Roman"/>
          <w:sz w:val="24"/>
          <w:szCs w:val="24"/>
        </w:rPr>
        <w:t>KIIs</w:t>
      </w:r>
      <w:r w:rsidRPr="00C46BE1">
        <w:rPr>
          <w:rFonts w:ascii="Times New Roman" w:hAnsi="Times New Roman" w:cs="Times New Roman"/>
          <w:sz w:val="24"/>
          <w:szCs w:val="24"/>
        </w:rPr>
        <w:t xml:space="preserve"> and data abstraction, data collectors on the evaluation team will collaborate to write a descriptive, comprehensive, and synthesized report of the findings from the data collected. Thematic analyses of </w:t>
      </w:r>
      <w:r w:rsidR="00200D29" w:rsidRPr="00C46BE1">
        <w:rPr>
          <w:rFonts w:ascii="Times New Roman" w:hAnsi="Times New Roman" w:cs="Times New Roman"/>
          <w:sz w:val="24"/>
          <w:szCs w:val="24"/>
        </w:rPr>
        <w:t>qualitative data in the</w:t>
      </w:r>
      <w:r w:rsidRPr="00C46BE1">
        <w:rPr>
          <w:rFonts w:ascii="Times New Roman" w:hAnsi="Times New Roman" w:cs="Times New Roman"/>
          <w:sz w:val="24"/>
          <w:szCs w:val="24"/>
        </w:rPr>
        <w:t xml:space="preserve"> narrative reports</w:t>
      </w:r>
      <w:r w:rsidR="00200D29" w:rsidRPr="00C46BE1">
        <w:rPr>
          <w:rFonts w:ascii="Times New Roman" w:hAnsi="Times New Roman" w:cs="Times New Roman"/>
          <w:sz w:val="24"/>
          <w:szCs w:val="24"/>
        </w:rPr>
        <w:t xml:space="preserve"> will be conducted</w:t>
      </w:r>
      <w:r w:rsidRPr="00C46BE1">
        <w:rPr>
          <w:rFonts w:ascii="Times New Roman" w:hAnsi="Times New Roman" w:cs="Times New Roman"/>
          <w:sz w:val="24"/>
          <w:szCs w:val="24"/>
        </w:rPr>
        <w:t xml:space="preserve"> using </w:t>
      </w:r>
      <w:proofErr w:type="spellStart"/>
      <w:r w:rsidRPr="00C46BE1">
        <w:rPr>
          <w:rFonts w:ascii="Times New Roman" w:hAnsi="Times New Roman" w:cs="Times New Roman"/>
          <w:sz w:val="24"/>
          <w:szCs w:val="24"/>
        </w:rPr>
        <w:t>ATLAS.ti</w:t>
      </w:r>
      <w:proofErr w:type="spellEnd"/>
      <w:r w:rsidRPr="00C46BE1">
        <w:rPr>
          <w:rFonts w:ascii="Times New Roman" w:hAnsi="Times New Roman" w:cs="Times New Roman"/>
          <w:sz w:val="24"/>
          <w:szCs w:val="24"/>
        </w:rPr>
        <w:t xml:space="preserve"> software according to a set of defined codes that are assigned to segments of the text. </w:t>
      </w:r>
      <w:r w:rsidR="00200D29" w:rsidRPr="00C46BE1">
        <w:rPr>
          <w:rFonts w:ascii="Times New Roman" w:hAnsi="Times New Roman" w:cs="Times New Roman"/>
          <w:sz w:val="24"/>
          <w:szCs w:val="24"/>
        </w:rPr>
        <w:t xml:space="preserve">Data collected through the BPI, concept mapping, and KIIs will be triangulated to support a more thorough understanding of system change mechanisms. Results will be compared and contrasted with results of the SLA measure related to the level of grantee program development in relation to key system principles and elements of the core evaluation data, including consumers served, services and supports provided, ability to engage multiple partners, and collaborative activities. </w:t>
      </w:r>
      <w:r w:rsidR="00B33E24" w:rsidRPr="00C46BE1">
        <w:rPr>
          <w:rFonts w:ascii="Times New Roman" w:hAnsi="Times New Roman" w:cs="Times New Roman"/>
          <w:sz w:val="24"/>
          <w:szCs w:val="24"/>
        </w:rPr>
        <w:t>The</w:t>
      </w:r>
      <w:r w:rsidR="00200D29" w:rsidRPr="00C46BE1">
        <w:rPr>
          <w:rFonts w:ascii="Times New Roman" w:hAnsi="Times New Roman" w:cs="Times New Roman"/>
          <w:sz w:val="24"/>
          <w:szCs w:val="24"/>
        </w:rPr>
        <w:t xml:space="preserve"> SLA</w:t>
      </w:r>
      <w:r w:rsidR="00B33E24" w:rsidRPr="00C46BE1">
        <w:rPr>
          <w:rFonts w:ascii="Times New Roman" w:hAnsi="Times New Roman" w:cs="Times New Roman"/>
          <w:sz w:val="24"/>
          <w:szCs w:val="24"/>
        </w:rPr>
        <w:t xml:space="preserve"> KII guides involve questions specifically designed to elicit information about fidelity to the CSP model across BHTCC grantees</w:t>
      </w:r>
      <w:r w:rsidR="00200D29" w:rsidRPr="00C46BE1">
        <w:rPr>
          <w:rFonts w:ascii="Times New Roman" w:hAnsi="Times New Roman" w:cs="Times New Roman"/>
          <w:sz w:val="24"/>
          <w:szCs w:val="24"/>
        </w:rPr>
        <w:t xml:space="preserve">. </w:t>
      </w:r>
      <w:r w:rsidR="00732D59" w:rsidRPr="00C46BE1">
        <w:rPr>
          <w:rFonts w:ascii="Times New Roman" w:hAnsi="Times New Roman" w:cs="Times New Roman"/>
          <w:sz w:val="24"/>
          <w:szCs w:val="24"/>
        </w:rPr>
        <w:t xml:space="preserve">Qualitative </w:t>
      </w:r>
      <w:r w:rsidR="00200D29" w:rsidRPr="00C46BE1">
        <w:rPr>
          <w:rFonts w:ascii="Times New Roman" w:hAnsi="Times New Roman" w:cs="Times New Roman"/>
          <w:sz w:val="24"/>
          <w:szCs w:val="24"/>
        </w:rPr>
        <w:t>analysis</w:t>
      </w:r>
      <w:r w:rsidR="00B33E24" w:rsidRPr="00C46BE1">
        <w:rPr>
          <w:rFonts w:ascii="Times New Roman" w:hAnsi="Times New Roman" w:cs="Times New Roman"/>
          <w:sz w:val="24"/>
          <w:szCs w:val="24"/>
        </w:rPr>
        <w:t xml:space="preserve"> will </w:t>
      </w:r>
      <w:r w:rsidR="00732D59" w:rsidRPr="00C46BE1">
        <w:rPr>
          <w:rFonts w:ascii="Times New Roman" w:hAnsi="Times New Roman" w:cs="Times New Roman"/>
          <w:sz w:val="24"/>
          <w:szCs w:val="24"/>
        </w:rPr>
        <w:t xml:space="preserve">examine </w:t>
      </w:r>
      <w:r w:rsidR="00B33E24" w:rsidRPr="00C46BE1">
        <w:rPr>
          <w:rFonts w:ascii="Times New Roman" w:hAnsi="Times New Roman" w:cs="Times New Roman"/>
          <w:sz w:val="24"/>
          <w:szCs w:val="24"/>
        </w:rPr>
        <w:t xml:space="preserve">the level of fidelity to these principles within each grantee’s service implementation through content analysis, code application and consensus-building across the coding team. </w:t>
      </w:r>
    </w:p>
    <w:p w14:paraId="4D2A3820" w14:textId="187CD4CC" w:rsidR="006916E8" w:rsidRPr="00C46BE1" w:rsidRDefault="006916E8" w:rsidP="006916E8">
      <w:pPr>
        <w:pStyle w:val="BHTCCBody"/>
        <w:spacing w:after="60"/>
        <w:rPr>
          <w:rFonts w:ascii="Tw Cen MT" w:hAnsi="Tw Cen MT" w:cs="Times New Roman"/>
          <w:i/>
          <w:sz w:val="24"/>
          <w:szCs w:val="24"/>
        </w:rPr>
      </w:pPr>
      <w:r w:rsidRPr="00C46BE1">
        <w:rPr>
          <w:rFonts w:ascii="Tw Cen MT" w:hAnsi="Tw Cen MT" w:cs="Times New Roman"/>
          <w:b/>
          <w:i/>
          <w:sz w:val="24"/>
          <w:szCs w:val="24"/>
        </w:rPr>
        <w:t>Fidelity</w:t>
      </w:r>
    </w:p>
    <w:p w14:paraId="58FA9DC4" w14:textId="289F1087" w:rsidR="00547235" w:rsidRPr="00C46BE1" w:rsidRDefault="00B33E24" w:rsidP="00547235">
      <w:pPr>
        <w:pStyle w:val="BHTCCBody"/>
        <w:rPr>
          <w:rFonts w:ascii="Times New Roman" w:hAnsi="Times New Roman" w:cs="Times New Roman"/>
          <w:sz w:val="24"/>
          <w:szCs w:val="24"/>
        </w:rPr>
      </w:pPr>
      <w:r w:rsidRPr="00C46BE1">
        <w:rPr>
          <w:rFonts w:ascii="Times New Roman" w:hAnsi="Times New Roman" w:cs="Times New Roman"/>
          <w:sz w:val="24"/>
          <w:szCs w:val="24"/>
        </w:rPr>
        <w:t>Once the interviews have been thematically coded, members of the qualitative analysis team will review data from all respondents within each grantee to assess agreement across respondents (e.g., if consumers and court personnel agree on the extent to which BHTCC services are culturally relevant), and the overall perceived fidelity to each principle. Then, the qualitative team will compare across grantees to determine the most appropriate scoring system in order to maximize variation. The form that the scoring system takes will depend upon the content of the qualitative data. For example, if some CSPs are met by all grantees, while other CSPs are met by some grantees but not others, scoring would involve classifying grantees into two groups: those who incorporate the principle and those who do not. Alternatively, if all grantees are working towards the CSPs but they differ substantially in the progress they have made towards achieving the principles, scoring would consist of a Likert scale where grantees are scored according to the amount of success they have achieved in incorporating each principle. Fidelity to the CSPs will be examined in KII data from Year 2 and Year 4 to explore the possibility of examining change over time, in the event that grantees show progress in the CSPs throughout the course of the grant. The qualitative analysis team will work in collaboration with the quantitative analysis team during the scoring process to ensure the data are integrated across components.</w:t>
      </w:r>
      <w:r w:rsidR="00200D29" w:rsidRPr="00C46BE1">
        <w:rPr>
          <w:rFonts w:ascii="Times New Roman" w:hAnsi="Times New Roman" w:cs="Times New Roman"/>
          <w:sz w:val="24"/>
          <w:szCs w:val="24"/>
        </w:rPr>
        <w:t xml:space="preserve"> </w:t>
      </w:r>
      <w:r w:rsidR="00547235" w:rsidRPr="00C46BE1">
        <w:rPr>
          <w:rFonts w:ascii="Times New Roman" w:hAnsi="Times New Roman" w:cs="Times New Roman"/>
          <w:sz w:val="24"/>
          <w:szCs w:val="24"/>
        </w:rPr>
        <w:t xml:space="preserve">For more information on how these scores will be used quantitatively, see </w:t>
      </w:r>
      <w:r w:rsidR="00547235" w:rsidRPr="00C46BE1">
        <w:rPr>
          <w:rFonts w:ascii="Times New Roman" w:hAnsi="Times New Roman" w:cs="Times New Roman"/>
          <w:i/>
          <w:sz w:val="24"/>
          <w:szCs w:val="24"/>
        </w:rPr>
        <w:t xml:space="preserve">Linking Data from Two Levels of the </w:t>
      </w:r>
      <w:r w:rsidR="00B337D6" w:rsidRPr="00C46BE1">
        <w:rPr>
          <w:rFonts w:ascii="Times New Roman" w:hAnsi="Times New Roman" w:cs="Times New Roman"/>
          <w:i/>
          <w:sz w:val="24"/>
          <w:szCs w:val="24"/>
        </w:rPr>
        <w:t>BHTCC Study.</w:t>
      </w:r>
      <w:r w:rsidR="00200D29" w:rsidRPr="00C46BE1">
        <w:rPr>
          <w:rFonts w:ascii="Times New Roman" w:hAnsi="Times New Roman" w:cs="Times New Roman"/>
          <w:i/>
          <w:sz w:val="24"/>
          <w:szCs w:val="24"/>
        </w:rPr>
        <w:t xml:space="preserve"> </w:t>
      </w:r>
    </w:p>
    <w:p w14:paraId="218342A5" w14:textId="77777777" w:rsidR="00547235" w:rsidRPr="00C46BE1" w:rsidRDefault="00547235" w:rsidP="00FF246C">
      <w:pPr>
        <w:pStyle w:val="BHTCCHead4"/>
        <w:keepNext/>
        <w:spacing w:before="0" w:after="60"/>
        <w:rPr>
          <w:b/>
          <w:sz w:val="24"/>
          <w:szCs w:val="24"/>
        </w:rPr>
      </w:pPr>
      <w:r w:rsidRPr="00C46BE1">
        <w:rPr>
          <w:b/>
          <w:sz w:val="24"/>
          <w:szCs w:val="24"/>
        </w:rPr>
        <w:t>Concept Map Generation</w:t>
      </w:r>
    </w:p>
    <w:p w14:paraId="43A070A2" w14:textId="545B52CA" w:rsidR="00547235" w:rsidRPr="00C46BE1" w:rsidRDefault="00547235" w:rsidP="00547235">
      <w:pPr>
        <w:pStyle w:val="BHTCCBody"/>
        <w:rPr>
          <w:rFonts w:ascii="Times New Roman" w:hAnsi="Times New Roman" w:cs="Times New Roman"/>
          <w:sz w:val="24"/>
          <w:szCs w:val="24"/>
        </w:rPr>
      </w:pPr>
      <w:r w:rsidRPr="00C46BE1">
        <w:rPr>
          <w:rFonts w:ascii="Times New Roman" w:hAnsi="Times New Roman" w:cs="Times New Roman"/>
          <w:sz w:val="24"/>
          <w:szCs w:val="24"/>
        </w:rPr>
        <w:t>Information generated through the facilitated brainstorming and subsequent sorting and rating procedures for concept mapping will be entered into Concept Systems software. Multidimensional scaling and cluster analysis will be applied to generate a series of concept maps that identify the most important BHTCC components that support recovery from the perspectives of BHTCC stakeholders. Through the analysis, themes of recovery support will be generated. The final number of general themes or “clusters” in the concept map will be determined by the evaluation team in conjunction with SAMHSA and with input and interpretation from our BHTCC grantees, taking into account the conceptual ideas and the average ratings of each cluster (i.e., grouping of concepts related to BHTCC components that support recovery). Concept maps will reduce the brainstormed ideas (i.e., those generated through the facilitated training session) to three to six groups or conceptual themes.</w:t>
      </w:r>
    </w:p>
    <w:p w14:paraId="7D0DD5A2" w14:textId="77777777" w:rsidR="00547235" w:rsidRPr="00C46BE1" w:rsidRDefault="00547235" w:rsidP="00547235">
      <w:pPr>
        <w:pStyle w:val="BHTCCBody"/>
        <w:rPr>
          <w:rFonts w:ascii="Times New Roman" w:hAnsi="Times New Roman" w:cs="Times New Roman"/>
          <w:sz w:val="24"/>
          <w:szCs w:val="24"/>
        </w:rPr>
      </w:pPr>
      <w:r w:rsidRPr="00C46BE1">
        <w:rPr>
          <w:rFonts w:ascii="Times New Roman" w:hAnsi="Times New Roman" w:cs="Times New Roman"/>
          <w:sz w:val="24"/>
          <w:szCs w:val="24"/>
        </w:rPr>
        <w:t>Concept maps on priority supports for recovery will be produced in Years 2 and 3 of the evaluation and will be site specific. These maps will identify the most important aspects of the BHTCC that support recovery (from varied BHTCC perspectives). Program sites can use these maps to refine and improve program delivery to ensure these key recovery supports are in place and receive continued support, as well as that additional focus and attention are provided to those supports that peers and consumers find most important. In Year 4 of the evaluation, the final concept maps will be developed through cross-site analysis of mapping activities to yield Keys to Recovery maps that identify core components of BHTCC to support recovery within BHTCC roles across BHTCC grantees. Thus, concept maps will be generated for court personnel (judges, attorneys, administrators), treatment providers (case managers, service/treatment providers), and consumers (participants, peer supports, families). These latter maps can be used to identify key recovery supports from various BHTCC program stakeholders that can inform SAMHSA of continued and needed resources to ensure delivery models that contain these key supports.</w:t>
      </w:r>
    </w:p>
    <w:p w14:paraId="02F05E4A" w14:textId="5649EED6" w:rsidR="00547235" w:rsidRPr="00C46BE1" w:rsidRDefault="006916E8" w:rsidP="00FF246C">
      <w:pPr>
        <w:pStyle w:val="GLSH4"/>
        <w:spacing w:after="60"/>
        <w:jc w:val="both"/>
        <w:rPr>
          <w:rFonts w:cs="Times New Roman"/>
          <w:color w:val="auto"/>
          <w:sz w:val="26"/>
          <w:szCs w:val="26"/>
        </w:rPr>
      </w:pPr>
      <w:r w:rsidRPr="00C46BE1">
        <w:rPr>
          <w:rFonts w:cs="Times New Roman"/>
          <w:color w:val="auto"/>
          <w:sz w:val="26"/>
          <w:szCs w:val="26"/>
        </w:rPr>
        <w:t xml:space="preserve">BHTCC </w:t>
      </w:r>
      <w:r w:rsidR="00547235" w:rsidRPr="00C46BE1">
        <w:rPr>
          <w:rFonts w:cs="Times New Roman"/>
          <w:color w:val="auto"/>
          <w:sz w:val="26"/>
          <w:szCs w:val="26"/>
        </w:rPr>
        <w:t xml:space="preserve">Consumer Outcome </w:t>
      </w:r>
      <w:r w:rsidR="00D73CE5" w:rsidRPr="00C46BE1">
        <w:rPr>
          <w:rFonts w:cs="Times New Roman"/>
          <w:color w:val="auto"/>
          <w:sz w:val="26"/>
          <w:szCs w:val="26"/>
        </w:rPr>
        <w:t>Substudy</w:t>
      </w:r>
    </w:p>
    <w:p w14:paraId="4143CF96" w14:textId="128913BC" w:rsidR="00547235" w:rsidRPr="00C46BE1" w:rsidRDefault="00547235" w:rsidP="00547235">
      <w:pPr>
        <w:pStyle w:val="BHTCCBody"/>
        <w:rPr>
          <w:rFonts w:ascii="Times New Roman" w:hAnsi="Times New Roman" w:cs="Times New Roman"/>
          <w:sz w:val="24"/>
          <w:szCs w:val="24"/>
        </w:rPr>
      </w:pPr>
      <w:r w:rsidRPr="00C46BE1">
        <w:rPr>
          <w:rFonts w:ascii="Times New Roman" w:hAnsi="Times New Roman" w:cs="Times New Roman"/>
          <w:sz w:val="24"/>
          <w:szCs w:val="24"/>
        </w:rPr>
        <w:t xml:space="preserve">To determine the outcome of program participation among individuals with behavioral health conditions served by the BHTCC, ICF will rely </w:t>
      </w:r>
      <w:r w:rsidR="006916E8" w:rsidRPr="00C46BE1">
        <w:rPr>
          <w:rFonts w:ascii="Times New Roman" w:hAnsi="Times New Roman" w:cs="Times New Roman"/>
          <w:sz w:val="24"/>
          <w:szCs w:val="24"/>
        </w:rPr>
        <w:t>o</w:t>
      </w:r>
      <w:r w:rsidRPr="00C46BE1">
        <w:rPr>
          <w:rFonts w:ascii="Times New Roman" w:hAnsi="Times New Roman" w:cs="Times New Roman"/>
          <w:sz w:val="24"/>
          <w:szCs w:val="24"/>
        </w:rPr>
        <w:t xml:space="preserve">n </w:t>
      </w:r>
      <w:r w:rsidR="00E667C3" w:rsidRPr="00C46BE1">
        <w:rPr>
          <w:rFonts w:ascii="Times New Roman" w:hAnsi="Times New Roman" w:cs="Times New Roman"/>
          <w:sz w:val="24"/>
          <w:szCs w:val="24"/>
        </w:rPr>
        <w:t>client-level data from existing performance monitoring requirements</w:t>
      </w:r>
      <w:r w:rsidR="006916E8" w:rsidRPr="00C46BE1">
        <w:rPr>
          <w:rFonts w:ascii="Times New Roman" w:hAnsi="Times New Roman" w:cs="Times New Roman"/>
          <w:sz w:val="24"/>
          <w:szCs w:val="24"/>
        </w:rPr>
        <w:t>.</w:t>
      </w:r>
      <w:r w:rsidRPr="00C46BE1">
        <w:rPr>
          <w:rFonts w:ascii="Times New Roman" w:hAnsi="Times New Roman" w:cs="Times New Roman"/>
          <w:sz w:val="24"/>
          <w:szCs w:val="24"/>
        </w:rPr>
        <w:t xml:space="preserve"> In addition, information collected through 18-Month Client-Level Abstraction</w:t>
      </w:r>
      <w:r w:rsidRPr="00C46BE1" w:rsidDel="002771C4">
        <w:rPr>
          <w:rFonts w:ascii="Times New Roman" w:hAnsi="Times New Roman" w:cs="Times New Roman"/>
          <w:sz w:val="24"/>
          <w:szCs w:val="24"/>
        </w:rPr>
        <w:t xml:space="preserve"> </w:t>
      </w:r>
      <w:r w:rsidRPr="00C46BE1">
        <w:rPr>
          <w:rFonts w:ascii="Times New Roman" w:hAnsi="Times New Roman" w:cs="Times New Roman"/>
          <w:sz w:val="24"/>
          <w:szCs w:val="24"/>
        </w:rPr>
        <w:t xml:space="preserve">Tool will afford the assessment of long-term outcomes related to recidivism (rearrests, recommitment, and revocations). To take advantage of the information, specialized analytical techniques will be needed. These techniques take into account both the longitudinal and hierarchical organization of the data. Furthermore, </w:t>
      </w:r>
      <w:r w:rsidR="00640C27" w:rsidRPr="00C46BE1">
        <w:rPr>
          <w:rFonts w:ascii="Times New Roman" w:hAnsi="Times New Roman" w:cs="Times New Roman"/>
          <w:sz w:val="24"/>
          <w:szCs w:val="24"/>
        </w:rPr>
        <w:t>it is anticipated</w:t>
      </w:r>
      <w:r w:rsidRPr="00C46BE1">
        <w:rPr>
          <w:rFonts w:ascii="Times New Roman" w:hAnsi="Times New Roman" w:cs="Times New Roman"/>
          <w:sz w:val="24"/>
          <w:szCs w:val="24"/>
        </w:rPr>
        <w:t xml:space="preserve"> that missing data, particularly arising from attrition, will require specialized treatment. </w:t>
      </w:r>
    </w:p>
    <w:p w14:paraId="617F8023" w14:textId="151602AF" w:rsidR="00547235" w:rsidRPr="00C46BE1" w:rsidRDefault="00547235" w:rsidP="00547235">
      <w:pPr>
        <w:pStyle w:val="BHTCCBody"/>
        <w:rPr>
          <w:rFonts w:ascii="Times New Roman" w:hAnsi="Times New Roman" w:cs="Times New Roman"/>
          <w:sz w:val="24"/>
          <w:szCs w:val="24"/>
        </w:rPr>
      </w:pPr>
      <w:r w:rsidRPr="00C46BE1">
        <w:rPr>
          <w:rFonts w:ascii="Times New Roman" w:hAnsi="Times New Roman" w:cs="Times New Roman"/>
          <w:sz w:val="24"/>
          <w:szCs w:val="24"/>
        </w:rPr>
        <w:t xml:space="preserve">For the </w:t>
      </w:r>
      <w:r w:rsidR="003F2553" w:rsidRPr="00C46BE1">
        <w:rPr>
          <w:rFonts w:ascii="Times New Roman" w:hAnsi="Times New Roman" w:cs="Times New Roman"/>
          <w:sz w:val="24"/>
          <w:szCs w:val="24"/>
        </w:rPr>
        <w:t xml:space="preserve">COS, </w:t>
      </w:r>
      <w:r w:rsidRPr="00C46BE1">
        <w:rPr>
          <w:rFonts w:ascii="Times New Roman" w:hAnsi="Times New Roman" w:cs="Times New Roman"/>
          <w:sz w:val="24"/>
          <w:szCs w:val="24"/>
        </w:rPr>
        <w:t xml:space="preserve">two approaches </w:t>
      </w:r>
      <w:r w:rsidR="00640C27" w:rsidRPr="00C46BE1">
        <w:rPr>
          <w:rFonts w:ascii="Times New Roman" w:hAnsi="Times New Roman" w:cs="Times New Roman"/>
          <w:sz w:val="24"/>
          <w:szCs w:val="24"/>
        </w:rPr>
        <w:t xml:space="preserve">are proposed </w:t>
      </w:r>
      <w:r w:rsidRPr="00C46BE1">
        <w:rPr>
          <w:rFonts w:ascii="Times New Roman" w:hAnsi="Times New Roman" w:cs="Times New Roman"/>
          <w:sz w:val="24"/>
          <w:szCs w:val="24"/>
        </w:rPr>
        <w:t>that are appropriate to the analysis of longitudinal data: (1) “marginal” models using Generalized Estimating Equations</w:t>
      </w:r>
      <w:r w:rsidR="00031029" w:rsidRPr="00C46BE1">
        <w:rPr>
          <w:rFonts w:ascii="Times New Roman" w:hAnsi="Times New Roman" w:cs="Times New Roman"/>
          <w:sz w:val="24"/>
          <w:szCs w:val="24"/>
        </w:rPr>
        <w:t xml:space="preserve"> (GEE)</w:t>
      </w:r>
      <w:r w:rsidRPr="00C46BE1">
        <w:rPr>
          <w:rFonts w:ascii="Times New Roman" w:hAnsi="Times New Roman" w:cs="Times New Roman"/>
          <w:sz w:val="24"/>
          <w:szCs w:val="24"/>
        </w:rPr>
        <w:t xml:space="preserve">, and (2) mixed-effect models (also called hierarchical, or multilevel models). Both approaches are adequate in the presence of repeated observations from the same individuals that are not necessarily independent. Both approaches can be used to test the existence of change over time in the variables of interest (mental health issues, employment status, time in prison) while accounting for the possible correlation over time within individuals. In addition, and unlike paired </w:t>
      </w:r>
      <w:r w:rsidRPr="00C46BE1">
        <w:rPr>
          <w:rFonts w:ascii="Times New Roman" w:hAnsi="Times New Roman" w:cs="Times New Roman"/>
          <w:i/>
          <w:sz w:val="24"/>
          <w:szCs w:val="24"/>
        </w:rPr>
        <w:t>t</w:t>
      </w:r>
      <w:r w:rsidRPr="00C46BE1">
        <w:rPr>
          <w:rFonts w:ascii="Times New Roman" w:hAnsi="Times New Roman" w:cs="Times New Roman"/>
          <w:sz w:val="24"/>
          <w:szCs w:val="24"/>
        </w:rPr>
        <w:t xml:space="preserve"> test and other techniques for the analysis of “balanced” experiments, the proposed approaches can use all the available information (not only cases with complete follow-up) and account for observed differences between cases with complete and incomplete follow-up information (such as differences in demographic characteristics).</w:t>
      </w:r>
    </w:p>
    <w:p w14:paraId="7363A5F7" w14:textId="77777777" w:rsidR="00547235" w:rsidRPr="00C46BE1" w:rsidRDefault="00547235" w:rsidP="00FF246C">
      <w:pPr>
        <w:pStyle w:val="BHTCCHead4"/>
        <w:spacing w:before="0" w:after="60"/>
        <w:rPr>
          <w:b/>
          <w:sz w:val="24"/>
          <w:szCs w:val="24"/>
        </w:rPr>
      </w:pPr>
      <w:r w:rsidRPr="00C46BE1">
        <w:rPr>
          <w:b/>
          <w:sz w:val="24"/>
          <w:szCs w:val="24"/>
        </w:rPr>
        <w:t>Longitudinal and Multilevel Data</w:t>
      </w:r>
    </w:p>
    <w:p w14:paraId="50E2DA1C" w14:textId="2A12602B" w:rsidR="00547235" w:rsidRPr="00C46BE1" w:rsidRDefault="00732D59" w:rsidP="00547235">
      <w:pPr>
        <w:pStyle w:val="BHTCCBody"/>
        <w:rPr>
          <w:rFonts w:ascii="Times New Roman" w:hAnsi="Times New Roman" w:cs="Times New Roman"/>
          <w:sz w:val="24"/>
          <w:szCs w:val="24"/>
        </w:rPr>
      </w:pPr>
      <w:r w:rsidRPr="00C46BE1">
        <w:rPr>
          <w:rFonts w:ascii="Times New Roman" w:hAnsi="Times New Roman" w:cs="Times New Roman"/>
          <w:sz w:val="24"/>
          <w:szCs w:val="24"/>
        </w:rPr>
        <w:t>S</w:t>
      </w:r>
      <w:r w:rsidR="00547235" w:rsidRPr="00C46BE1">
        <w:rPr>
          <w:rFonts w:ascii="Times New Roman" w:hAnsi="Times New Roman" w:cs="Times New Roman"/>
          <w:sz w:val="24"/>
          <w:szCs w:val="24"/>
        </w:rPr>
        <w:t xml:space="preserve">ome basic characteristics that must be taken into account in the analysis. Essentially, a set of measures is repeatedly obtained over time from each client. In turn, clients receiving service from certain organizational entities (e.g., a mental health agency) presumably shared characteristics. These features introduce correlation between observations that turns inadequate the most classical analytical approaches, such as ordinary regression or analysis of variance. </w:t>
      </w:r>
    </w:p>
    <w:p w14:paraId="29D634DF" w14:textId="77777777" w:rsidR="00547235" w:rsidRPr="00C46BE1" w:rsidRDefault="00547235" w:rsidP="00547235">
      <w:pPr>
        <w:pStyle w:val="BHTCCBody"/>
        <w:rPr>
          <w:rFonts w:ascii="Times New Roman" w:hAnsi="Times New Roman" w:cs="Times New Roman"/>
          <w:sz w:val="24"/>
          <w:szCs w:val="24"/>
        </w:rPr>
      </w:pPr>
      <w:r w:rsidRPr="00C46BE1">
        <w:rPr>
          <w:rFonts w:ascii="Times New Roman" w:hAnsi="Times New Roman" w:cs="Times New Roman"/>
          <w:sz w:val="24"/>
          <w:szCs w:val="24"/>
        </w:rPr>
        <w:t xml:space="preserve">Several alternatives exist to deal with the longitudinal correlation, including, in particular, the use of GEE or the use of mixed-effect models (also called multilevel or hierarchical models). Mixed-effect models involve more realistic assumptions about patterns of missing data (see below), but are also more demanding in terms of parametric assumptions. GEE, on the other hand, can be considered a semiparametric approach, in the sense that a full specification of the correlation structure is only needed on a “provisional” basis, while inference remains robust to these specifications. </w:t>
      </w:r>
    </w:p>
    <w:p w14:paraId="19B71A8B" w14:textId="77777777" w:rsidR="00547235" w:rsidRPr="00C46BE1" w:rsidRDefault="00547235" w:rsidP="00547235">
      <w:pPr>
        <w:pStyle w:val="BHTCCBody"/>
        <w:rPr>
          <w:rFonts w:ascii="Times New Roman" w:hAnsi="Times New Roman" w:cs="Times New Roman"/>
          <w:sz w:val="24"/>
          <w:szCs w:val="24"/>
        </w:rPr>
      </w:pPr>
      <w:r w:rsidRPr="00C46BE1">
        <w:rPr>
          <w:rFonts w:ascii="Times New Roman" w:hAnsi="Times New Roman" w:cs="Times New Roman"/>
          <w:sz w:val="24"/>
          <w:szCs w:val="24"/>
        </w:rPr>
        <w:t>The correlation of observations among clients within the same provider organizations presents additional challenges. The limited number of grantees favors inferential approaches that consider each grantee as a stratum, rather than a cluster (i.e., a unit from sample of a larger set of potential grantees).</w:t>
      </w:r>
      <w:r w:rsidRPr="00C46BE1">
        <w:rPr>
          <w:rStyle w:val="FootnoteReference"/>
          <w:rFonts w:ascii="Times New Roman" w:hAnsi="Times New Roman" w:cs="Times New Roman"/>
          <w:sz w:val="24"/>
          <w:szCs w:val="24"/>
        </w:rPr>
        <w:footnoteReference w:id="2"/>
      </w:r>
      <w:r w:rsidRPr="00C46BE1">
        <w:rPr>
          <w:rFonts w:ascii="Times New Roman" w:hAnsi="Times New Roman" w:cs="Times New Roman"/>
          <w:sz w:val="24"/>
          <w:szCs w:val="24"/>
        </w:rPr>
        <w:t xml:space="preserve"> The influence of client’s heterogeneity across grantees on their performance can still be explored, particularly, through the inclusion of grantee level fixed-effects.</w:t>
      </w:r>
    </w:p>
    <w:p w14:paraId="2081FD92" w14:textId="77777777" w:rsidR="00547235" w:rsidRPr="00C46BE1" w:rsidRDefault="00547235" w:rsidP="001C2C0C">
      <w:pPr>
        <w:pStyle w:val="BHTCCHead4"/>
        <w:keepNext/>
        <w:spacing w:before="0" w:after="60"/>
        <w:rPr>
          <w:b/>
          <w:sz w:val="24"/>
          <w:szCs w:val="24"/>
        </w:rPr>
      </w:pPr>
      <w:r w:rsidRPr="00C46BE1">
        <w:rPr>
          <w:b/>
          <w:sz w:val="24"/>
          <w:szCs w:val="24"/>
        </w:rPr>
        <w:t>Missing Data</w:t>
      </w:r>
    </w:p>
    <w:p w14:paraId="35E990EC" w14:textId="0555A546" w:rsidR="00547235" w:rsidRPr="00C46BE1" w:rsidRDefault="00547235" w:rsidP="00547235">
      <w:pPr>
        <w:pStyle w:val="BHTCCBody"/>
        <w:rPr>
          <w:rFonts w:ascii="Times New Roman" w:hAnsi="Times New Roman" w:cs="Times New Roman"/>
          <w:sz w:val="24"/>
          <w:szCs w:val="24"/>
        </w:rPr>
      </w:pPr>
      <w:r w:rsidRPr="00C46BE1">
        <w:rPr>
          <w:rFonts w:ascii="Times New Roman" w:hAnsi="Times New Roman" w:cs="Times New Roman"/>
          <w:sz w:val="24"/>
          <w:szCs w:val="24"/>
        </w:rPr>
        <w:t xml:space="preserve">Missing data are a pervasive issue in evaluation research, particularly in longitudinal studies. </w:t>
      </w:r>
      <w:r w:rsidR="00640C27" w:rsidRPr="00C46BE1">
        <w:rPr>
          <w:rFonts w:ascii="Times New Roman" w:hAnsi="Times New Roman" w:cs="Times New Roman"/>
          <w:sz w:val="24"/>
          <w:szCs w:val="24"/>
        </w:rPr>
        <w:t xml:space="preserve">It is </w:t>
      </w:r>
      <w:r w:rsidRPr="00C46BE1">
        <w:rPr>
          <w:rFonts w:ascii="Times New Roman" w:hAnsi="Times New Roman" w:cs="Times New Roman"/>
          <w:sz w:val="24"/>
          <w:szCs w:val="24"/>
        </w:rPr>
        <w:t>anticipate</w:t>
      </w:r>
      <w:r w:rsidR="00640C27" w:rsidRPr="00C46BE1">
        <w:rPr>
          <w:rFonts w:ascii="Times New Roman" w:hAnsi="Times New Roman" w:cs="Times New Roman"/>
          <w:sz w:val="24"/>
          <w:szCs w:val="24"/>
        </w:rPr>
        <w:t>d</w:t>
      </w:r>
      <w:r w:rsidRPr="00C46BE1">
        <w:rPr>
          <w:rFonts w:ascii="Times New Roman" w:hAnsi="Times New Roman" w:cs="Times New Roman"/>
          <w:sz w:val="24"/>
          <w:szCs w:val="24"/>
        </w:rPr>
        <w:t xml:space="preserve"> this will be an important issue in the context of longitudinal client-level information. For example, the ATCC evaluation reports that 24% of participants with baseline information did not have 6 months of follow-up information (Stainbrook &amp; Hanna, 2014).</w:t>
      </w:r>
    </w:p>
    <w:p w14:paraId="5C698121" w14:textId="77777777" w:rsidR="00547235" w:rsidRPr="00C46BE1" w:rsidRDefault="00547235" w:rsidP="00547235">
      <w:pPr>
        <w:pStyle w:val="BHTCCBody"/>
        <w:rPr>
          <w:rFonts w:ascii="Times New Roman" w:hAnsi="Times New Roman" w:cs="Times New Roman"/>
          <w:sz w:val="24"/>
          <w:szCs w:val="24"/>
        </w:rPr>
      </w:pPr>
      <w:r w:rsidRPr="00C46BE1">
        <w:rPr>
          <w:rFonts w:ascii="Times New Roman" w:hAnsi="Times New Roman" w:cs="Times New Roman"/>
          <w:sz w:val="24"/>
          <w:szCs w:val="24"/>
        </w:rPr>
        <w:t xml:space="preserve">Traditional analytical techniques such as paired </w:t>
      </w:r>
      <w:r w:rsidRPr="00C46BE1">
        <w:rPr>
          <w:rFonts w:ascii="Times New Roman" w:hAnsi="Times New Roman" w:cs="Times New Roman"/>
          <w:i/>
          <w:sz w:val="24"/>
          <w:szCs w:val="24"/>
        </w:rPr>
        <w:t>t</w:t>
      </w:r>
      <w:r w:rsidRPr="00C46BE1">
        <w:rPr>
          <w:rFonts w:ascii="Times New Roman" w:hAnsi="Times New Roman" w:cs="Times New Roman"/>
          <w:sz w:val="24"/>
          <w:szCs w:val="24"/>
        </w:rPr>
        <w:t xml:space="preserve"> test and others developed for the analysis of balanced experiments cannot handle cases with missing information. The analysis proceeds by simply discarding these incomplete observations (restricting the analysis to the subsample with complete follow-up information). Although not always acknowledged, this strategy is inefficient (in the sense that it does not use all the information available) and relies on very strong assumptions about the missing data mechanism. In particular, it would be a valid strategy only if participants with missing follow-up information do not differ systematically from those with complete information. </w:t>
      </w:r>
    </w:p>
    <w:p w14:paraId="568BAF32" w14:textId="347F36F0" w:rsidR="00547235" w:rsidRPr="00C46BE1" w:rsidRDefault="00547235" w:rsidP="00547235">
      <w:pPr>
        <w:pStyle w:val="BHTCCBody"/>
        <w:rPr>
          <w:rFonts w:ascii="Times New Roman" w:hAnsi="Times New Roman" w:cs="Times New Roman"/>
          <w:sz w:val="24"/>
          <w:szCs w:val="24"/>
        </w:rPr>
      </w:pPr>
      <w:r w:rsidRPr="00C46BE1">
        <w:rPr>
          <w:rFonts w:ascii="Times New Roman" w:hAnsi="Times New Roman" w:cs="Times New Roman"/>
          <w:sz w:val="24"/>
          <w:szCs w:val="24"/>
        </w:rPr>
        <w:t xml:space="preserve">In contrast, current longitudinal data analysis techniques, as those proposed for this evaluation, can handle missing data more efficiently, without discarding cases with missing follow-ups. They also can incorporate more realistic assumptions about the reasons for the missing data. Specifically, the two techniques proposed, “marginal” models fitted with </w:t>
      </w:r>
      <w:r w:rsidR="00031029" w:rsidRPr="00C46BE1">
        <w:rPr>
          <w:rFonts w:ascii="Times New Roman" w:hAnsi="Times New Roman" w:cs="Times New Roman"/>
          <w:sz w:val="24"/>
          <w:szCs w:val="24"/>
        </w:rPr>
        <w:t>GEE</w:t>
      </w:r>
      <w:r w:rsidRPr="00C46BE1">
        <w:rPr>
          <w:rFonts w:ascii="Times New Roman" w:hAnsi="Times New Roman" w:cs="Times New Roman"/>
          <w:sz w:val="24"/>
          <w:szCs w:val="24"/>
        </w:rPr>
        <w:t xml:space="preserve"> and mixed-effect models, can use the available information from all participants, regardless of the number of follow-ups completed.</w:t>
      </w:r>
      <w:r w:rsidRPr="00C46BE1">
        <w:rPr>
          <w:rStyle w:val="FootnoteReference"/>
          <w:rFonts w:ascii="Times New Roman" w:hAnsi="Times New Roman" w:cs="Times New Roman"/>
          <w:sz w:val="24"/>
          <w:szCs w:val="24"/>
        </w:rPr>
        <w:footnoteReference w:id="3"/>
      </w:r>
      <w:r w:rsidRPr="00C46BE1">
        <w:rPr>
          <w:rFonts w:ascii="Times New Roman" w:hAnsi="Times New Roman" w:cs="Times New Roman"/>
          <w:sz w:val="24"/>
          <w:szCs w:val="24"/>
        </w:rPr>
        <w:t xml:space="preserve"> In the case of mixed-effect models, systematic differences between participants with complete and incomplete follow-up information are readily taken into account, including differences in baseline values of the response variable (such as differences in mental health or substance use problem or employment at baseline). In the case of GEE, additional adjustments are required before the main analysis is performed to address these potential differences. </w:t>
      </w:r>
      <w:r w:rsidR="00640C27" w:rsidRPr="00C46BE1">
        <w:rPr>
          <w:rFonts w:ascii="Times New Roman" w:hAnsi="Times New Roman" w:cs="Times New Roman"/>
          <w:sz w:val="24"/>
          <w:szCs w:val="24"/>
        </w:rPr>
        <w:t>It is</w:t>
      </w:r>
      <w:r w:rsidRPr="00C46BE1">
        <w:rPr>
          <w:rFonts w:ascii="Times New Roman" w:hAnsi="Times New Roman" w:cs="Times New Roman"/>
          <w:sz w:val="24"/>
          <w:szCs w:val="24"/>
        </w:rPr>
        <w:t xml:space="preserve"> propose</w:t>
      </w:r>
      <w:r w:rsidR="00640C27" w:rsidRPr="00C46BE1">
        <w:rPr>
          <w:rFonts w:ascii="Times New Roman" w:hAnsi="Times New Roman" w:cs="Times New Roman"/>
          <w:sz w:val="24"/>
          <w:szCs w:val="24"/>
        </w:rPr>
        <w:t>d</w:t>
      </w:r>
      <w:r w:rsidRPr="00C46BE1">
        <w:rPr>
          <w:rFonts w:ascii="Times New Roman" w:hAnsi="Times New Roman" w:cs="Times New Roman"/>
          <w:sz w:val="24"/>
          <w:szCs w:val="24"/>
        </w:rPr>
        <w:t>, in particular, to rely on inverse probability weights developed by separately modeling the propensity of each observation to be missing as a function of the observed covariates.  All the approaches described can be said to rely on ‘imputation’, in the sense that observed data is used to infer something about the data that is not available. Unlike traditional single imputation, however, these methods take into account the uncertainty associated with this inferential step.</w:t>
      </w:r>
    </w:p>
    <w:p w14:paraId="1CADC809" w14:textId="77777777" w:rsidR="00547235" w:rsidRPr="00C46BE1" w:rsidRDefault="00547235" w:rsidP="00FF246C">
      <w:pPr>
        <w:pStyle w:val="BHTCCHead4"/>
        <w:spacing w:before="0" w:after="60"/>
        <w:rPr>
          <w:b/>
          <w:sz w:val="24"/>
          <w:szCs w:val="24"/>
        </w:rPr>
      </w:pPr>
      <w:r w:rsidRPr="00C46BE1">
        <w:rPr>
          <w:b/>
          <w:sz w:val="24"/>
          <w:szCs w:val="24"/>
        </w:rPr>
        <w:t xml:space="preserve">Long-Term Outcomes </w:t>
      </w:r>
    </w:p>
    <w:p w14:paraId="51DFC8FA" w14:textId="730DF318" w:rsidR="00547235" w:rsidRPr="00C46BE1" w:rsidRDefault="00547235" w:rsidP="00547235">
      <w:pPr>
        <w:pStyle w:val="BHTCCBody"/>
        <w:rPr>
          <w:rFonts w:ascii="Times New Roman" w:hAnsi="Times New Roman" w:cs="Times New Roman"/>
          <w:sz w:val="24"/>
          <w:szCs w:val="24"/>
        </w:rPr>
      </w:pPr>
      <w:r w:rsidRPr="00C46BE1">
        <w:rPr>
          <w:rFonts w:ascii="Times New Roman" w:hAnsi="Times New Roman" w:cs="Times New Roman"/>
          <w:sz w:val="24"/>
          <w:szCs w:val="24"/>
        </w:rPr>
        <w:t xml:space="preserve">The </w:t>
      </w:r>
      <w:r w:rsidR="00D73CE5" w:rsidRPr="00C46BE1">
        <w:rPr>
          <w:rFonts w:ascii="Times New Roman" w:hAnsi="Times New Roman" w:cs="Times New Roman"/>
          <w:sz w:val="24"/>
          <w:szCs w:val="24"/>
        </w:rPr>
        <w:t>COS</w:t>
      </w:r>
      <w:r w:rsidRPr="00C46BE1">
        <w:rPr>
          <w:rFonts w:ascii="Times New Roman" w:hAnsi="Times New Roman" w:cs="Times New Roman"/>
          <w:sz w:val="24"/>
          <w:szCs w:val="24"/>
        </w:rPr>
        <w:t xml:space="preserve"> also will incorporate secondary information on a limited set of outcomes collected using the 18-Months Client-Level Abstraction. This dataset will contain information on every </w:t>
      </w:r>
      <w:proofErr w:type="spellStart"/>
      <w:r w:rsidRPr="00C46BE1">
        <w:rPr>
          <w:rFonts w:ascii="Times New Roman" w:hAnsi="Times New Roman" w:cs="Times New Roman"/>
          <w:sz w:val="24"/>
          <w:szCs w:val="24"/>
        </w:rPr>
        <w:t>rearrest</w:t>
      </w:r>
      <w:proofErr w:type="spellEnd"/>
      <w:r w:rsidRPr="00C46BE1">
        <w:rPr>
          <w:rFonts w:ascii="Times New Roman" w:hAnsi="Times New Roman" w:cs="Times New Roman"/>
          <w:sz w:val="24"/>
          <w:szCs w:val="24"/>
        </w:rPr>
        <w:t xml:space="preserve">, recommitment, and revocation occurring during the 18-month period since program intake, including the date of occurrence. While it is possible to divide this follow up period into discrete intervals (such as six months periods); a more natural approach would involve focusing on the time to the first event and between subsequent events directly. This type of analysis is known as survival analysis. Semi-parametric models for survival analysis, such as Cox regression, have a long tradition, particularly on biostatistics. For the case of recurrent events, extension that account for possible longitudinal correlation within individual are available via robust inference (GEE) or using mixed-effect models (known also as frailty models in survival analysis). Comparing outcome across subgroups defined by client characteristics (e.g. gender, race-ethnicity) will be possible. In addition, and thanks to the source of the data and data collection procedure, comparison of outcomes between subjects graduating from the program with those who did not complete the program will be particularly informative. </w:t>
      </w:r>
      <w:r w:rsidR="00E667C3" w:rsidRPr="00C46BE1">
        <w:rPr>
          <w:rFonts w:ascii="Times New Roman" w:hAnsi="Times New Roman" w:cs="Times New Roman"/>
          <w:sz w:val="24"/>
          <w:szCs w:val="24"/>
        </w:rPr>
        <w:t>It is not</w:t>
      </w:r>
      <w:r w:rsidRPr="00C46BE1">
        <w:rPr>
          <w:rFonts w:ascii="Times New Roman" w:hAnsi="Times New Roman" w:cs="Times New Roman"/>
          <w:sz w:val="24"/>
          <w:szCs w:val="24"/>
        </w:rPr>
        <w:t xml:space="preserve"> anticipate</w:t>
      </w:r>
      <w:r w:rsidR="00E667C3" w:rsidRPr="00C46BE1">
        <w:rPr>
          <w:rFonts w:ascii="Times New Roman" w:hAnsi="Times New Roman" w:cs="Times New Roman"/>
          <w:sz w:val="24"/>
          <w:szCs w:val="24"/>
        </w:rPr>
        <w:t>d</w:t>
      </w:r>
      <w:r w:rsidRPr="00C46BE1">
        <w:rPr>
          <w:rFonts w:ascii="Times New Roman" w:hAnsi="Times New Roman" w:cs="Times New Roman"/>
          <w:sz w:val="24"/>
          <w:szCs w:val="24"/>
        </w:rPr>
        <w:t xml:space="preserve"> that incomplete follow up information will be related with program engagement or program completion, as could be the case for data collection procedures relying on an interview with the participant.</w:t>
      </w:r>
    </w:p>
    <w:p w14:paraId="5A5DF767" w14:textId="22F8190B" w:rsidR="00547235" w:rsidRPr="00C46BE1" w:rsidRDefault="00B337D6" w:rsidP="00FF246C">
      <w:pPr>
        <w:pStyle w:val="GLSH4"/>
        <w:spacing w:after="60"/>
        <w:jc w:val="both"/>
        <w:rPr>
          <w:rFonts w:cs="Times New Roman"/>
          <w:color w:val="auto"/>
          <w:sz w:val="26"/>
          <w:szCs w:val="26"/>
        </w:rPr>
      </w:pPr>
      <w:r w:rsidRPr="00C46BE1">
        <w:rPr>
          <w:rFonts w:cs="Times New Roman"/>
          <w:color w:val="auto"/>
          <w:sz w:val="26"/>
          <w:szCs w:val="26"/>
        </w:rPr>
        <w:t xml:space="preserve">BHTCC </w:t>
      </w:r>
      <w:r w:rsidR="00547235" w:rsidRPr="00C46BE1">
        <w:rPr>
          <w:rFonts w:cs="Times New Roman"/>
          <w:color w:val="auto"/>
          <w:sz w:val="26"/>
          <w:szCs w:val="26"/>
        </w:rPr>
        <w:t>Comparison S</w:t>
      </w:r>
      <w:r w:rsidR="00D73CE5" w:rsidRPr="00C46BE1">
        <w:rPr>
          <w:rFonts w:cs="Times New Roman"/>
          <w:color w:val="auto"/>
          <w:sz w:val="26"/>
          <w:szCs w:val="26"/>
        </w:rPr>
        <w:t>ubs</w:t>
      </w:r>
      <w:r w:rsidR="00547235" w:rsidRPr="00C46BE1">
        <w:rPr>
          <w:rFonts w:cs="Times New Roman"/>
          <w:color w:val="auto"/>
          <w:sz w:val="26"/>
          <w:szCs w:val="26"/>
        </w:rPr>
        <w:t>tudy</w:t>
      </w:r>
    </w:p>
    <w:p w14:paraId="25E40A8C" w14:textId="0961E774" w:rsidR="00547235" w:rsidRPr="00C46BE1" w:rsidRDefault="00547235" w:rsidP="00547235">
      <w:pPr>
        <w:pStyle w:val="BHTCCBody"/>
        <w:rPr>
          <w:rFonts w:ascii="Times New Roman" w:hAnsi="Times New Roman" w:cs="Times New Roman"/>
          <w:sz w:val="24"/>
          <w:szCs w:val="24"/>
        </w:rPr>
      </w:pPr>
      <w:r w:rsidRPr="00C46BE1">
        <w:rPr>
          <w:rFonts w:ascii="Times New Roman" w:hAnsi="Times New Roman" w:cs="Times New Roman"/>
          <w:sz w:val="24"/>
          <w:szCs w:val="24"/>
        </w:rPr>
        <w:t xml:space="preserve">The BHTCC </w:t>
      </w:r>
      <w:r w:rsidR="00D73CE5" w:rsidRPr="00C46BE1">
        <w:rPr>
          <w:rFonts w:ascii="Times New Roman" w:hAnsi="Times New Roman" w:cs="Times New Roman"/>
          <w:sz w:val="24"/>
          <w:szCs w:val="24"/>
        </w:rPr>
        <w:t>CS</w:t>
      </w:r>
      <w:r w:rsidRPr="00C46BE1">
        <w:rPr>
          <w:rFonts w:ascii="Times New Roman" w:hAnsi="Times New Roman" w:cs="Times New Roman"/>
          <w:sz w:val="24"/>
          <w:szCs w:val="24"/>
        </w:rPr>
        <w:t xml:space="preserve"> will incorporate information from non-BHTCC participants from two sites—screened eligible but were not included and did not participate in the BHTCC—who otherwise would have participated, given limits on space. While </w:t>
      </w:r>
      <w:r w:rsidR="00640C27" w:rsidRPr="00C46BE1">
        <w:rPr>
          <w:rFonts w:ascii="Times New Roman" w:hAnsi="Times New Roman" w:cs="Times New Roman"/>
          <w:sz w:val="24"/>
          <w:szCs w:val="24"/>
        </w:rPr>
        <w:t>it is</w:t>
      </w:r>
      <w:r w:rsidRPr="00C46BE1">
        <w:rPr>
          <w:rFonts w:ascii="Times New Roman" w:hAnsi="Times New Roman" w:cs="Times New Roman"/>
          <w:sz w:val="24"/>
          <w:szCs w:val="24"/>
        </w:rPr>
        <w:t xml:space="preserve"> proposed that control cases should be recruited among subjects who are eligible to receive program services, </w:t>
      </w:r>
      <w:r w:rsidR="00640C27" w:rsidRPr="00C46BE1">
        <w:rPr>
          <w:rFonts w:ascii="Times New Roman" w:hAnsi="Times New Roman" w:cs="Times New Roman"/>
          <w:sz w:val="24"/>
          <w:szCs w:val="24"/>
        </w:rPr>
        <w:t>it is not</w:t>
      </w:r>
      <w:r w:rsidRPr="00C46BE1">
        <w:rPr>
          <w:rFonts w:ascii="Times New Roman" w:hAnsi="Times New Roman" w:cs="Times New Roman"/>
          <w:sz w:val="24"/>
          <w:szCs w:val="24"/>
        </w:rPr>
        <w:t xml:space="preserve"> anticipate</w:t>
      </w:r>
      <w:r w:rsidR="00640C27" w:rsidRPr="00C46BE1">
        <w:rPr>
          <w:rFonts w:ascii="Times New Roman" w:hAnsi="Times New Roman" w:cs="Times New Roman"/>
          <w:sz w:val="24"/>
          <w:szCs w:val="24"/>
        </w:rPr>
        <w:t>d</w:t>
      </w:r>
      <w:r w:rsidRPr="00C46BE1">
        <w:rPr>
          <w:rFonts w:ascii="Times New Roman" w:hAnsi="Times New Roman" w:cs="Times New Roman"/>
          <w:sz w:val="24"/>
          <w:szCs w:val="24"/>
        </w:rPr>
        <w:t xml:space="preserve"> that random assignment will be used to determine participation. As a consequence, participant and control cases may differ in many relevant characteristics save for eligibility criteria.</w:t>
      </w:r>
    </w:p>
    <w:p w14:paraId="38756744" w14:textId="77777777" w:rsidR="00547235" w:rsidRPr="00C46BE1" w:rsidRDefault="00547235" w:rsidP="00547235">
      <w:pPr>
        <w:pStyle w:val="BHTCCBody"/>
        <w:rPr>
          <w:rFonts w:ascii="Times New Roman" w:hAnsi="Times New Roman" w:cs="Times New Roman"/>
          <w:sz w:val="24"/>
          <w:szCs w:val="24"/>
        </w:rPr>
      </w:pPr>
      <w:r w:rsidRPr="00C46BE1">
        <w:rPr>
          <w:rFonts w:ascii="Times New Roman" w:hAnsi="Times New Roman" w:cs="Times New Roman"/>
          <w:sz w:val="24"/>
          <w:szCs w:val="24"/>
        </w:rPr>
        <w:t xml:space="preserve">The most widespread approach in observational studies to control for measured confounding variables is to include as many as possible in a linear regression. This strategy has some important limitations. A practical limitation is given by the number of parameters, which is possible to estimate with a given sample. A more important limitation relates to the need to specify the shape of the relationship between the confounding variables and the outcome. Since previous knowledge is not always available or specific enough, these specifications tend to be based on assumptions, and the conclusions of the analysis are dependent on the tenability of such assumptions. Propensity score matching, tackles the difference between intervention and control samples before the main analysis, modifying the sample so as to increase the comparability right from the onset. The approach generally relies on an auxiliary regression (typically a logistic regression): an indicator of group membership is regressed on a set of measured confounding variables. The results from this auxiliary regression are then used to adjust the sample. The adjustment can be implemented in different ways, such as dropping certain observations or weighting observations. The aim, however, remains the same: after the adjustment, intervention and control samples should become similar regarding the set of confounding variables (i.e., the groups should be balanced on those covariates). </w:t>
      </w:r>
    </w:p>
    <w:p w14:paraId="0B075D58" w14:textId="6E53B5E6" w:rsidR="00547235" w:rsidRPr="00C46BE1" w:rsidRDefault="00547235" w:rsidP="00785435">
      <w:pPr>
        <w:pStyle w:val="BHTCCBody"/>
        <w:tabs>
          <w:tab w:val="left" w:pos="1170"/>
        </w:tabs>
        <w:rPr>
          <w:rFonts w:ascii="Times New Roman" w:hAnsi="Times New Roman" w:cs="Times New Roman"/>
          <w:sz w:val="24"/>
          <w:szCs w:val="24"/>
        </w:rPr>
      </w:pPr>
      <w:r w:rsidRPr="00C46BE1">
        <w:rPr>
          <w:rFonts w:ascii="Times New Roman" w:hAnsi="Times New Roman" w:cs="Times New Roman"/>
          <w:sz w:val="24"/>
          <w:szCs w:val="24"/>
        </w:rPr>
        <w:t xml:space="preserve">In some cases, the application of propensity score techniques relies on the availability of covariate information on a large pool of potential control cases, for example, 2- to 4 times the size of the participants’ sample. In this situation, propensity score matching techniques can be used to select a subsample of the most similar cases on the basis of the observed covariates. While such a scenario offers many advantages, propensity score techniques can also be used in situations in which the control sample is relatively small, for example, of the same size than the participant sample. Specifically, </w:t>
      </w:r>
      <w:r w:rsidR="00640C27" w:rsidRPr="00C46BE1">
        <w:rPr>
          <w:rFonts w:ascii="Times New Roman" w:hAnsi="Times New Roman" w:cs="Times New Roman"/>
          <w:sz w:val="24"/>
          <w:szCs w:val="24"/>
        </w:rPr>
        <w:t>it is</w:t>
      </w:r>
      <w:r w:rsidRPr="00C46BE1">
        <w:rPr>
          <w:rFonts w:ascii="Times New Roman" w:hAnsi="Times New Roman" w:cs="Times New Roman"/>
          <w:sz w:val="24"/>
          <w:szCs w:val="24"/>
        </w:rPr>
        <w:t xml:space="preserve"> proposed to rely on </w:t>
      </w:r>
      <w:proofErr w:type="spellStart"/>
      <w:r w:rsidRPr="00C46BE1">
        <w:rPr>
          <w:rFonts w:ascii="Times New Roman" w:hAnsi="Times New Roman" w:cs="Times New Roman"/>
          <w:sz w:val="24"/>
          <w:szCs w:val="24"/>
        </w:rPr>
        <w:t>subclassification</w:t>
      </w:r>
      <w:proofErr w:type="spellEnd"/>
      <w:r w:rsidRPr="00C46BE1">
        <w:rPr>
          <w:rFonts w:ascii="Times New Roman" w:hAnsi="Times New Roman" w:cs="Times New Roman"/>
          <w:sz w:val="24"/>
          <w:szCs w:val="24"/>
        </w:rPr>
        <w:t xml:space="preserve"> or stratification of the propensity score (Rosenbaum, &amp; Rubin, 1984). With this technique, a limited number of subclasses are identified (usually using the quintiles of the estimated propensity score) with relatively similar propensities. The number of participants and control cases in each subclass are not necessarily similar; for example, quite typically, there are fewer control cases than participants in the subclass with the highest propensity. Estimation of the difference in change is performed separately for each subclass. Overall, results are obtained by averaging subclass results using the proportion of participants in each subclass as weights. The technique is akin to </w:t>
      </w:r>
      <w:r w:rsidRPr="00C46BE1">
        <w:rPr>
          <w:rFonts w:ascii="Times New Roman" w:hAnsi="Times New Roman" w:cs="Times New Roman"/>
          <w:i/>
          <w:sz w:val="24"/>
          <w:szCs w:val="24"/>
        </w:rPr>
        <w:t>matching with replacement</w:t>
      </w:r>
      <w:r w:rsidRPr="00C46BE1">
        <w:rPr>
          <w:rFonts w:ascii="Times New Roman" w:hAnsi="Times New Roman" w:cs="Times New Roman"/>
          <w:sz w:val="24"/>
          <w:szCs w:val="24"/>
        </w:rPr>
        <w:t xml:space="preserve"> which is the recommended approach when there are very few relevant comparison units (</w:t>
      </w:r>
      <w:proofErr w:type="spellStart"/>
      <w:r w:rsidRPr="00C46BE1">
        <w:rPr>
          <w:rFonts w:ascii="Times New Roman" w:hAnsi="Times New Roman" w:cs="Times New Roman"/>
          <w:sz w:val="24"/>
          <w:szCs w:val="24"/>
        </w:rPr>
        <w:t>Dehejia</w:t>
      </w:r>
      <w:proofErr w:type="spellEnd"/>
      <w:r w:rsidRPr="00C46BE1">
        <w:rPr>
          <w:rFonts w:ascii="Times New Roman" w:hAnsi="Times New Roman" w:cs="Times New Roman"/>
          <w:sz w:val="24"/>
          <w:szCs w:val="24"/>
        </w:rPr>
        <w:t xml:space="preserve"> &amp; </w:t>
      </w:r>
      <w:proofErr w:type="spellStart"/>
      <w:r w:rsidRPr="00C46BE1">
        <w:rPr>
          <w:rFonts w:ascii="Times New Roman" w:hAnsi="Times New Roman" w:cs="Times New Roman"/>
          <w:sz w:val="24"/>
          <w:szCs w:val="24"/>
        </w:rPr>
        <w:t>Wahba</w:t>
      </w:r>
      <w:proofErr w:type="spellEnd"/>
      <w:r w:rsidRPr="00C46BE1">
        <w:rPr>
          <w:rFonts w:ascii="Times New Roman" w:hAnsi="Times New Roman" w:cs="Times New Roman"/>
          <w:sz w:val="24"/>
          <w:szCs w:val="24"/>
        </w:rPr>
        <w:t>, 2002). While this scenario is less ideal than the initial one, propensity score techniques still offer advantages over traditional covariate adjustment using multiple regression techniques.</w:t>
      </w:r>
    </w:p>
    <w:p w14:paraId="1E060825" w14:textId="247640A0" w:rsidR="00547235" w:rsidRPr="00C46BE1" w:rsidRDefault="00547235" w:rsidP="00FF246C">
      <w:pPr>
        <w:pStyle w:val="BHTCCHead3"/>
        <w:spacing w:before="0" w:after="60"/>
        <w:rPr>
          <w:color w:val="000000"/>
          <w:u w:val="single"/>
          <w14:textFill>
            <w14:solidFill>
              <w14:srgbClr w14:val="000000">
                <w14:lumMod w14:val="50000"/>
                <w14:lumMod w14:val="50000"/>
              </w14:srgbClr>
            </w14:solidFill>
          </w14:textFill>
        </w:rPr>
      </w:pPr>
      <w:r w:rsidRPr="00C46BE1">
        <w:rPr>
          <w:color w:val="000000"/>
          <w:u w:val="single"/>
          <w14:textFill>
            <w14:solidFill>
              <w14:srgbClr w14:val="000000">
                <w14:lumMod w14:val="50000"/>
                <w14:lumMod w14:val="50000"/>
              </w14:srgbClr>
            </w14:solidFill>
          </w14:textFill>
        </w:rPr>
        <w:t xml:space="preserve">Linking Data from Two Levels of the </w:t>
      </w:r>
      <w:r w:rsidR="00B337D6" w:rsidRPr="00C46BE1">
        <w:rPr>
          <w:color w:val="000000"/>
          <w:u w:val="single"/>
          <w14:textFill>
            <w14:solidFill>
              <w14:srgbClr w14:val="000000">
                <w14:lumMod w14:val="50000"/>
                <w14:lumMod w14:val="50000"/>
              </w14:srgbClr>
            </w14:solidFill>
          </w14:textFill>
        </w:rPr>
        <w:t>BHTCC Study</w:t>
      </w:r>
    </w:p>
    <w:p w14:paraId="3E7877EA" w14:textId="7FE0E1F8" w:rsidR="0009184D" w:rsidRPr="00C46BE1" w:rsidRDefault="0009184D" w:rsidP="00547235">
      <w:pPr>
        <w:pStyle w:val="BHTCCBody"/>
        <w:rPr>
          <w:rFonts w:ascii="Times New Roman" w:hAnsi="Times New Roman" w:cs="Times New Roman"/>
          <w:sz w:val="24"/>
          <w:szCs w:val="24"/>
        </w:rPr>
      </w:pPr>
      <w:r w:rsidRPr="00C46BE1">
        <w:rPr>
          <w:rFonts w:ascii="Times New Roman" w:hAnsi="Times New Roman" w:cs="Times New Roman"/>
          <w:sz w:val="24"/>
          <w:szCs w:val="24"/>
        </w:rPr>
        <w:t>A two-pronged strategy will be used t</w:t>
      </w:r>
      <w:r w:rsidR="00547235" w:rsidRPr="00C46BE1">
        <w:rPr>
          <w:rFonts w:ascii="Times New Roman" w:hAnsi="Times New Roman" w:cs="Times New Roman"/>
          <w:sz w:val="24"/>
          <w:szCs w:val="24"/>
        </w:rPr>
        <w:t xml:space="preserve">o explore the linkage between system-level variables (derived from sources such as the </w:t>
      </w:r>
      <w:r w:rsidR="00683D42" w:rsidRPr="00C46BE1">
        <w:rPr>
          <w:rFonts w:ascii="Times New Roman" w:hAnsi="Times New Roman" w:cs="Times New Roman"/>
          <w:sz w:val="24"/>
          <w:szCs w:val="24"/>
        </w:rPr>
        <w:t>SLA</w:t>
      </w:r>
      <w:r w:rsidR="00547235" w:rsidRPr="00C46BE1">
        <w:rPr>
          <w:rFonts w:ascii="Times New Roman" w:hAnsi="Times New Roman" w:cs="Times New Roman"/>
          <w:sz w:val="24"/>
          <w:szCs w:val="24"/>
        </w:rPr>
        <w:t xml:space="preserve"> KIIs or the </w:t>
      </w:r>
      <w:r w:rsidR="00683D42" w:rsidRPr="00C46BE1">
        <w:rPr>
          <w:rFonts w:ascii="Times New Roman" w:hAnsi="Times New Roman" w:cs="Times New Roman"/>
          <w:sz w:val="24"/>
          <w:szCs w:val="24"/>
        </w:rPr>
        <w:t>BPI</w:t>
      </w:r>
      <w:r w:rsidR="00547235" w:rsidRPr="00C46BE1">
        <w:rPr>
          <w:rFonts w:ascii="Times New Roman" w:hAnsi="Times New Roman" w:cs="Times New Roman"/>
          <w:sz w:val="24"/>
          <w:szCs w:val="24"/>
        </w:rPr>
        <w:t xml:space="preserve">) and the individual-level outcomes (derived from </w:t>
      </w:r>
      <w:r w:rsidR="00E667C3" w:rsidRPr="00C46BE1">
        <w:rPr>
          <w:rFonts w:ascii="Times New Roman" w:hAnsi="Times New Roman" w:cs="Times New Roman"/>
          <w:sz w:val="24"/>
          <w:szCs w:val="24"/>
        </w:rPr>
        <w:t xml:space="preserve">extant client-level performance monitoring data </w:t>
      </w:r>
      <w:r w:rsidR="00547235" w:rsidRPr="00C46BE1">
        <w:rPr>
          <w:rFonts w:ascii="Times New Roman" w:hAnsi="Times New Roman" w:cs="Times New Roman"/>
          <w:sz w:val="24"/>
          <w:szCs w:val="24"/>
        </w:rPr>
        <w:t>or 18-Month Data Abstraction Tool)</w:t>
      </w:r>
      <w:r w:rsidRPr="00C46BE1">
        <w:rPr>
          <w:rFonts w:ascii="Times New Roman" w:hAnsi="Times New Roman" w:cs="Times New Roman"/>
          <w:sz w:val="24"/>
          <w:szCs w:val="24"/>
        </w:rPr>
        <w:t>.</w:t>
      </w:r>
      <w:r w:rsidR="008F5B9C" w:rsidRPr="00C46BE1">
        <w:rPr>
          <w:rFonts w:ascii="Times New Roman" w:hAnsi="Times New Roman" w:cs="Times New Roman"/>
          <w:sz w:val="24"/>
          <w:szCs w:val="24"/>
        </w:rPr>
        <w:t xml:space="preserve"> </w:t>
      </w:r>
    </w:p>
    <w:p w14:paraId="44778D1B" w14:textId="77777777" w:rsidR="0009184D" w:rsidRPr="00C46BE1" w:rsidRDefault="0009184D" w:rsidP="00090868">
      <w:pPr>
        <w:pStyle w:val="BHTCCBody"/>
        <w:numPr>
          <w:ilvl w:val="0"/>
          <w:numId w:val="23"/>
        </w:numPr>
        <w:spacing w:after="120"/>
        <w:rPr>
          <w:rFonts w:ascii="Times New Roman" w:hAnsi="Times New Roman" w:cs="Times New Roman"/>
          <w:sz w:val="24"/>
          <w:szCs w:val="24"/>
        </w:rPr>
      </w:pPr>
      <w:r w:rsidRPr="00C46BE1">
        <w:rPr>
          <w:rFonts w:ascii="Times New Roman" w:hAnsi="Times New Roman" w:cs="Times New Roman"/>
          <w:sz w:val="24"/>
          <w:szCs w:val="24"/>
        </w:rPr>
        <w:t>S</w:t>
      </w:r>
      <w:r w:rsidR="00547235" w:rsidRPr="00C46BE1">
        <w:rPr>
          <w:rFonts w:ascii="Times New Roman" w:hAnsi="Times New Roman" w:cs="Times New Roman"/>
          <w:sz w:val="24"/>
          <w:szCs w:val="24"/>
        </w:rPr>
        <w:t xml:space="preserve">ite-level measures of performance (e.g. proportion of clients with a rearrests, recommitment or revocation) adjusted by differences in the composition of the client in each site (particularly baseline criminogenic risk) can be estimated with reasonable precision taking advantage of the moderate sample size of clients by site. </w:t>
      </w:r>
    </w:p>
    <w:p w14:paraId="687343FD" w14:textId="13613EA2" w:rsidR="00547235" w:rsidRPr="00C46BE1" w:rsidRDefault="0009184D" w:rsidP="00090868">
      <w:pPr>
        <w:pStyle w:val="BHTCCBody"/>
        <w:numPr>
          <w:ilvl w:val="0"/>
          <w:numId w:val="23"/>
        </w:numPr>
        <w:rPr>
          <w:rFonts w:ascii="Times New Roman" w:hAnsi="Times New Roman" w:cs="Times New Roman"/>
          <w:sz w:val="24"/>
          <w:szCs w:val="24"/>
        </w:rPr>
      </w:pPr>
      <w:r w:rsidRPr="00C46BE1">
        <w:rPr>
          <w:rFonts w:ascii="Times New Roman" w:hAnsi="Times New Roman" w:cs="Times New Roman"/>
          <w:sz w:val="24"/>
          <w:szCs w:val="24"/>
        </w:rPr>
        <w:t>W</w:t>
      </w:r>
      <w:r w:rsidR="00547235" w:rsidRPr="00C46BE1">
        <w:rPr>
          <w:rFonts w:ascii="Times New Roman" w:hAnsi="Times New Roman" w:cs="Times New Roman"/>
          <w:sz w:val="24"/>
          <w:szCs w:val="24"/>
        </w:rPr>
        <w:t xml:space="preserve">henever feasible, quantitative ordinal scores representing the level of fidelity to community support principles on various domains will be derived from the quantitative and qualitative analysis in </w:t>
      </w:r>
      <w:r w:rsidRPr="00C46BE1">
        <w:rPr>
          <w:rFonts w:ascii="Times New Roman" w:hAnsi="Times New Roman" w:cs="Times New Roman"/>
          <w:sz w:val="24"/>
          <w:szCs w:val="24"/>
        </w:rPr>
        <w:t>SLA</w:t>
      </w:r>
      <w:r w:rsidR="00547235" w:rsidRPr="00C46BE1">
        <w:rPr>
          <w:rFonts w:ascii="Times New Roman" w:hAnsi="Times New Roman" w:cs="Times New Roman"/>
          <w:sz w:val="24"/>
          <w:szCs w:val="24"/>
        </w:rPr>
        <w:t>.</w:t>
      </w:r>
    </w:p>
    <w:p w14:paraId="290424DE" w14:textId="4158BCCA" w:rsidR="00547235" w:rsidRPr="00C46BE1" w:rsidRDefault="00247F4D" w:rsidP="00547235">
      <w:pPr>
        <w:pStyle w:val="BHTCCBody"/>
        <w:rPr>
          <w:rFonts w:ascii="Times New Roman" w:hAnsi="Times New Roman" w:cs="Times New Roman"/>
          <w:sz w:val="24"/>
          <w:szCs w:val="24"/>
        </w:rPr>
      </w:pPr>
      <w:r w:rsidRPr="00C46BE1">
        <w:rPr>
          <w:rFonts w:ascii="Times New Roman" w:hAnsi="Times New Roman" w:cs="Times New Roman"/>
          <w:sz w:val="24"/>
          <w:szCs w:val="24"/>
        </w:rPr>
        <w:t xml:space="preserve">SAMHSA </w:t>
      </w:r>
      <w:r w:rsidR="00547235" w:rsidRPr="00C46BE1">
        <w:rPr>
          <w:rFonts w:ascii="Times New Roman" w:hAnsi="Times New Roman" w:cs="Times New Roman"/>
          <w:sz w:val="24"/>
          <w:szCs w:val="24"/>
        </w:rPr>
        <w:t>acknowledge</w:t>
      </w:r>
      <w:r w:rsidR="0009184D" w:rsidRPr="00C46BE1">
        <w:rPr>
          <w:rFonts w:ascii="Times New Roman" w:hAnsi="Times New Roman" w:cs="Times New Roman"/>
          <w:sz w:val="24"/>
          <w:szCs w:val="24"/>
        </w:rPr>
        <w:t>s</w:t>
      </w:r>
      <w:r w:rsidR="00547235" w:rsidRPr="00C46BE1">
        <w:rPr>
          <w:rFonts w:ascii="Times New Roman" w:hAnsi="Times New Roman" w:cs="Times New Roman"/>
          <w:sz w:val="24"/>
          <w:szCs w:val="24"/>
        </w:rPr>
        <w:t xml:space="preserve"> the analytical challenges involved in the proposed design, because of the numerous, varied, and often unmeasurable factors linking system-level changes to client-level outcomes. </w:t>
      </w:r>
      <w:r w:rsidRPr="00C46BE1">
        <w:rPr>
          <w:rFonts w:ascii="Times New Roman" w:hAnsi="Times New Roman" w:cs="Times New Roman"/>
          <w:sz w:val="24"/>
          <w:szCs w:val="24"/>
        </w:rPr>
        <w:t>T</w:t>
      </w:r>
      <w:r w:rsidR="00547235" w:rsidRPr="00C46BE1">
        <w:rPr>
          <w:rFonts w:ascii="Times New Roman" w:hAnsi="Times New Roman" w:cs="Times New Roman"/>
          <w:sz w:val="24"/>
          <w:szCs w:val="24"/>
        </w:rPr>
        <w:t>o overcome these challenges</w:t>
      </w:r>
      <w:r w:rsidRPr="00C46BE1">
        <w:rPr>
          <w:rFonts w:ascii="Times New Roman" w:hAnsi="Times New Roman" w:cs="Times New Roman"/>
          <w:sz w:val="24"/>
          <w:szCs w:val="24"/>
        </w:rPr>
        <w:t>,</w:t>
      </w:r>
      <w:r w:rsidR="00547235" w:rsidRPr="00C46BE1">
        <w:rPr>
          <w:rFonts w:ascii="Times New Roman" w:hAnsi="Times New Roman" w:cs="Times New Roman"/>
          <w:sz w:val="24"/>
          <w:szCs w:val="24"/>
        </w:rPr>
        <w:t xml:space="preserve"> an accurate and thorough description of the processes required to build and sustain the programs and how the decisions made at the systems level about service delivery, service array, and involvement of key stakeholder organizations</w:t>
      </w:r>
      <w:r w:rsidRPr="00C46BE1">
        <w:rPr>
          <w:rFonts w:ascii="Times New Roman" w:hAnsi="Times New Roman" w:cs="Times New Roman"/>
          <w:sz w:val="24"/>
          <w:szCs w:val="24"/>
        </w:rPr>
        <w:t xml:space="preserve"> will be provided</w:t>
      </w:r>
      <w:r w:rsidR="00547235" w:rsidRPr="00C46BE1">
        <w:rPr>
          <w:rFonts w:ascii="Times New Roman" w:hAnsi="Times New Roman" w:cs="Times New Roman"/>
          <w:sz w:val="24"/>
          <w:szCs w:val="24"/>
        </w:rPr>
        <w:t xml:space="preserve">. </w:t>
      </w:r>
      <w:r w:rsidRPr="00C46BE1">
        <w:rPr>
          <w:rFonts w:ascii="Times New Roman" w:hAnsi="Times New Roman" w:cs="Times New Roman"/>
          <w:sz w:val="24"/>
          <w:szCs w:val="24"/>
        </w:rPr>
        <w:t>To</w:t>
      </w:r>
      <w:r w:rsidR="00547235" w:rsidRPr="00C46BE1">
        <w:rPr>
          <w:rFonts w:ascii="Times New Roman" w:hAnsi="Times New Roman" w:cs="Times New Roman"/>
          <w:sz w:val="24"/>
          <w:szCs w:val="24"/>
        </w:rPr>
        <w:t xml:space="preserve"> further address this challenge</w:t>
      </w:r>
      <w:r w:rsidRPr="00C46BE1">
        <w:rPr>
          <w:rFonts w:ascii="Times New Roman" w:hAnsi="Times New Roman" w:cs="Times New Roman"/>
          <w:sz w:val="24"/>
          <w:szCs w:val="24"/>
        </w:rPr>
        <w:t>,</w:t>
      </w:r>
      <w:r w:rsidR="00547235" w:rsidRPr="00C46BE1">
        <w:rPr>
          <w:rFonts w:ascii="Times New Roman" w:hAnsi="Times New Roman" w:cs="Times New Roman"/>
          <w:sz w:val="24"/>
          <w:szCs w:val="24"/>
        </w:rPr>
        <w:t xml:space="preserve"> information collected directly from program participants</w:t>
      </w:r>
      <w:r w:rsidR="00186A6F" w:rsidRPr="00C46BE1">
        <w:rPr>
          <w:rFonts w:ascii="Times New Roman" w:hAnsi="Times New Roman" w:cs="Times New Roman"/>
          <w:sz w:val="24"/>
          <w:szCs w:val="24"/>
        </w:rPr>
        <w:t xml:space="preserve"> will be used</w:t>
      </w:r>
      <w:r w:rsidR="00547235" w:rsidRPr="00C46BE1">
        <w:rPr>
          <w:rFonts w:ascii="Times New Roman" w:hAnsi="Times New Roman" w:cs="Times New Roman"/>
          <w:sz w:val="24"/>
          <w:szCs w:val="24"/>
        </w:rPr>
        <w:t xml:space="preserve">, including the types of service they are receiving, clinical and behavioral functioning, involvement in criminal behavior, and overall satisfaction with program participation. </w:t>
      </w:r>
    </w:p>
    <w:p w14:paraId="1F0717F7" w14:textId="735E8F68" w:rsidR="00547235" w:rsidRPr="00C46BE1" w:rsidRDefault="00186A6F" w:rsidP="00547235">
      <w:pPr>
        <w:pStyle w:val="BHTCCBody"/>
        <w:rPr>
          <w:rFonts w:ascii="Times New Roman" w:hAnsi="Times New Roman" w:cs="Times New Roman"/>
          <w:sz w:val="24"/>
          <w:szCs w:val="24"/>
        </w:rPr>
      </w:pPr>
      <w:r w:rsidRPr="00C46BE1">
        <w:rPr>
          <w:rFonts w:ascii="Times New Roman" w:hAnsi="Times New Roman" w:cs="Times New Roman"/>
          <w:sz w:val="24"/>
          <w:szCs w:val="24"/>
        </w:rPr>
        <w:t>Analysis of e</w:t>
      </w:r>
      <w:r w:rsidR="00547235" w:rsidRPr="00C46BE1">
        <w:rPr>
          <w:rFonts w:ascii="Times New Roman" w:hAnsi="Times New Roman" w:cs="Times New Roman"/>
          <w:sz w:val="24"/>
          <w:szCs w:val="24"/>
        </w:rPr>
        <w:t xml:space="preserve">xisting and newly collected data   </w:t>
      </w:r>
      <w:r w:rsidRPr="00C46BE1">
        <w:rPr>
          <w:rFonts w:ascii="Times New Roman" w:hAnsi="Times New Roman" w:cs="Times New Roman"/>
          <w:sz w:val="24"/>
          <w:szCs w:val="24"/>
        </w:rPr>
        <w:t xml:space="preserve">will determine </w:t>
      </w:r>
      <w:r w:rsidR="00547235" w:rsidRPr="00C46BE1">
        <w:rPr>
          <w:rFonts w:ascii="Times New Roman" w:hAnsi="Times New Roman" w:cs="Times New Roman"/>
          <w:sz w:val="24"/>
          <w:szCs w:val="24"/>
        </w:rPr>
        <w:t xml:space="preserve">system-level changes, as well as client-level outcomes, to examine differences across subgroups of grantees on the basis of adherence to program principles and/or implementation strategies (e.g., financing, workforce development, collaboration, partnership). </w:t>
      </w:r>
      <w:r w:rsidR="00031029" w:rsidRPr="00C46BE1">
        <w:rPr>
          <w:rFonts w:ascii="Times New Roman" w:hAnsi="Times New Roman" w:cs="Times New Roman"/>
          <w:sz w:val="24"/>
          <w:szCs w:val="24"/>
        </w:rPr>
        <w:t xml:space="preserve">For example, </w:t>
      </w:r>
      <w:r w:rsidR="00247F4D" w:rsidRPr="00C46BE1">
        <w:rPr>
          <w:rFonts w:ascii="Times New Roman" w:hAnsi="Times New Roman" w:cs="Times New Roman"/>
          <w:sz w:val="24"/>
          <w:szCs w:val="24"/>
        </w:rPr>
        <w:t xml:space="preserve">examining </w:t>
      </w:r>
      <w:r w:rsidR="00547235" w:rsidRPr="00C46BE1">
        <w:rPr>
          <w:rFonts w:ascii="Times New Roman" w:hAnsi="Times New Roman" w:cs="Times New Roman"/>
          <w:sz w:val="24"/>
          <w:szCs w:val="24"/>
        </w:rPr>
        <w:t xml:space="preserve">the comparative influences of the various approaches sites have to implementation (e.g., service expansion/enhancement, screening and assessment practices, use of trauma-informed care and system development [quantified through the SLA] on client-level outcomes). </w:t>
      </w:r>
    </w:p>
    <w:p w14:paraId="6E2F24DC" w14:textId="45060570" w:rsidR="00547235" w:rsidRPr="00C46BE1" w:rsidRDefault="00247F4D" w:rsidP="00547235">
      <w:pPr>
        <w:pStyle w:val="BHTCCBody"/>
        <w:rPr>
          <w:rFonts w:ascii="Times New Roman" w:hAnsi="Times New Roman" w:cs="Times New Roman"/>
          <w:sz w:val="24"/>
          <w:szCs w:val="24"/>
        </w:rPr>
      </w:pPr>
      <w:r w:rsidRPr="00C46BE1">
        <w:rPr>
          <w:rFonts w:ascii="Times New Roman" w:hAnsi="Times New Roman" w:cs="Times New Roman"/>
          <w:sz w:val="24"/>
          <w:szCs w:val="24"/>
        </w:rPr>
        <w:t>I</w:t>
      </w:r>
      <w:r w:rsidR="00547235" w:rsidRPr="00C46BE1">
        <w:rPr>
          <w:rFonts w:ascii="Times New Roman" w:hAnsi="Times New Roman" w:cs="Times New Roman"/>
          <w:sz w:val="24"/>
          <w:szCs w:val="24"/>
        </w:rPr>
        <w:t>mplementation approaches used by communities or groups of communities have differential impact on program participants or subgroups of program participants</w:t>
      </w:r>
      <w:r w:rsidRPr="00C46BE1">
        <w:rPr>
          <w:rFonts w:ascii="Times New Roman" w:hAnsi="Times New Roman" w:cs="Times New Roman"/>
          <w:sz w:val="24"/>
          <w:szCs w:val="24"/>
        </w:rPr>
        <w:t xml:space="preserve"> also will be explored</w:t>
      </w:r>
      <w:r w:rsidR="00547235" w:rsidRPr="00C46BE1">
        <w:rPr>
          <w:rFonts w:ascii="Times New Roman" w:hAnsi="Times New Roman" w:cs="Times New Roman"/>
          <w:sz w:val="24"/>
          <w:szCs w:val="24"/>
        </w:rPr>
        <w:t xml:space="preserve">. By disaggregating the samples on various community (geographic location, strategy) and client-level characteristics (gender, age, race/ethnicity, veteran status), </w:t>
      </w:r>
      <w:r w:rsidRPr="00C46BE1">
        <w:rPr>
          <w:rFonts w:ascii="Times New Roman" w:hAnsi="Times New Roman" w:cs="Times New Roman"/>
          <w:sz w:val="24"/>
          <w:szCs w:val="24"/>
        </w:rPr>
        <w:t>it is possible to</w:t>
      </w:r>
      <w:r w:rsidR="00547235" w:rsidRPr="00C46BE1">
        <w:rPr>
          <w:rFonts w:ascii="Times New Roman" w:hAnsi="Times New Roman" w:cs="Times New Roman"/>
          <w:sz w:val="24"/>
          <w:szCs w:val="24"/>
        </w:rPr>
        <w:t xml:space="preserve"> investigate the relationship among implementation strategies, service utilization patterns, and other client outcomes over time (e.g., clinical and functional outcomes, satisfaction with service experience).</w:t>
      </w:r>
    </w:p>
    <w:p w14:paraId="21A60CBA" w14:textId="04ABE4AE" w:rsidR="00547235" w:rsidRPr="00C46BE1" w:rsidRDefault="00547235" w:rsidP="00547235">
      <w:pPr>
        <w:pStyle w:val="BHTCCBody"/>
        <w:rPr>
          <w:rFonts w:ascii="Times New Roman" w:hAnsi="Times New Roman" w:cs="Times New Roman"/>
          <w:sz w:val="24"/>
          <w:szCs w:val="24"/>
        </w:rPr>
      </w:pPr>
      <w:r w:rsidRPr="00C46BE1">
        <w:rPr>
          <w:rFonts w:ascii="Times New Roman" w:hAnsi="Times New Roman" w:cs="Times New Roman"/>
          <w:sz w:val="24"/>
          <w:szCs w:val="24"/>
        </w:rPr>
        <w:t xml:space="preserve">A challenge to analyzing system-level variables in conjunction with individual-level outcomes is the relatively small number of sites implementing each program, which limits the statistical methods that can effectively estimate significant differences. While the two approaches proposed for analyzing individual- level data in the </w:t>
      </w:r>
      <w:r w:rsidR="003F2553" w:rsidRPr="00C46BE1">
        <w:rPr>
          <w:rFonts w:ascii="Times New Roman" w:hAnsi="Times New Roman" w:cs="Times New Roman"/>
          <w:sz w:val="24"/>
          <w:szCs w:val="24"/>
        </w:rPr>
        <w:t>COS</w:t>
      </w:r>
      <w:r w:rsidRPr="00C46BE1">
        <w:rPr>
          <w:rFonts w:ascii="Times New Roman" w:hAnsi="Times New Roman" w:cs="Times New Roman"/>
          <w:sz w:val="24"/>
          <w:szCs w:val="24"/>
        </w:rPr>
        <w:t xml:space="preserve"> can incorporate site-level covariates, they rely on large numbers of grantees to provide valid inference at that level. Instead, </w:t>
      </w:r>
      <w:r w:rsidR="00247F4D" w:rsidRPr="00C46BE1">
        <w:rPr>
          <w:rFonts w:ascii="Times New Roman" w:hAnsi="Times New Roman" w:cs="Times New Roman"/>
          <w:sz w:val="24"/>
          <w:szCs w:val="24"/>
        </w:rPr>
        <w:t xml:space="preserve">SAMHSA </w:t>
      </w:r>
      <w:r w:rsidRPr="00C46BE1">
        <w:rPr>
          <w:rFonts w:ascii="Times New Roman" w:hAnsi="Times New Roman" w:cs="Times New Roman"/>
          <w:sz w:val="24"/>
          <w:szCs w:val="24"/>
        </w:rPr>
        <w:t>propose</w:t>
      </w:r>
      <w:r w:rsidR="00247F4D" w:rsidRPr="00C46BE1">
        <w:rPr>
          <w:rFonts w:ascii="Times New Roman" w:hAnsi="Times New Roman" w:cs="Times New Roman"/>
          <w:sz w:val="24"/>
          <w:szCs w:val="24"/>
        </w:rPr>
        <w:t>s</w:t>
      </w:r>
      <w:r w:rsidRPr="00C46BE1">
        <w:rPr>
          <w:rFonts w:ascii="Times New Roman" w:hAnsi="Times New Roman" w:cs="Times New Roman"/>
          <w:sz w:val="24"/>
          <w:szCs w:val="24"/>
        </w:rPr>
        <w:t xml:space="preserve"> to aggregate individual-level outcomes at the grantee level, after accounting for differences in the mix of clients. This alternative result in valid inference; however, </w:t>
      </w:r>
      <w:r w:rsidR="00186A6F" w:rsidRPr="00C46BE1">
        <w:rPr>
          <w:rFonts w:ascii="Times New Roman" w:hAnsi="Times New Roman" w:cs="Times New Roman"/>
          <w:sz w:val="24"/>
          <w:szCs w:val="24"/>
        </w:rPr>
        <w:t>this approach is</w:t>
      </w:r>
      <w:r w:rsidRPr="00C46BE1">
        <w:rPr>
          <w:rFonts w:ascii="Times New Roman" w:hAnsi="Times New Roman" w:cs="Times New Roman"/>
          <w:sz w:val="24"/>
          <w:szCs w:val="24"/>
        </w:rPr>
        <w:t xml:space="preserve"> not anticipate</w:t>
      </w:r>
      <w:r w:rsidR="00186A6F" w:rsidRPr="00C46BE1">
        <w:rPr>
          <w:rFonts w:ascii="Times New Roman" w:hAnsi="Times New Roman" w:cs="Times New Roman"/>
          <w:sz w:val="24"/>
          <w:szCs w:val="24"/>
        </w:rPr>
        <w:t xml:space="preserve">d </w:t>
      </w:r>
      <w:r w:rsidRPr="00C46BE1">
        <w:rPr>
          <w:rFonts w:ascii="Times New Roman" w:hAnsi="Times New Roman" w:cs="Times New Roman"/>
          <w:sz w:val="24"/>
          <w:szCs w:val="24"/>
        </w:rPr>
        <w:t>to be particularly powerful given the small number of sites. Nevertheless, the differences in average outcome by site can be related with system-level variables through qualitative analysis supported by straightforward techniques, such as cross-tabulations, to suggest rather than test hypothesis.</w:t>
      </w:r>
    </w:p>
    <w:p w14:paraId="049F773F" w14:textId="46D63690" w:rsidR="00547235" w:rsidRPr="00C46BE1" w:rsidRDefault="00547235" w:rsidP="00090868">
      <w:pPr>
        <w:pStyle w:val="GLSH4"/>
        <w:numPr>
          <w:ilvl w:val="0"/>
          <w:numId w:val="27"/>
        </w:numPr>
        <w:spacing w:before="240" w:after="200"/>
        <w:jc w:val="both"/>
        <w:rPr>
          <w:rFonts w:cs="Times New Roman"/>
          <w:color w:val="auto"/>
          <w:szCs w:val="28"/>
          <w:u w:val="none"/>
        </w:rPr>
      </w:pPr>
      <w:r w:rsidRPr="00C46BE1">
        <w:rPr>
          <w:rFonts w:cs="Times New Roman"/>
          <w:color w:val="auto"/>
          <w:szCs w:val="28"/>
          <w:u w:val="none"/>
        </w:rPr>
        <w:t xml:space="preserve">SE </w:t>
      </w:r>
      <w:r w:rsidR="00846946" w:rsidRPr="00C46BE1">
        <w:rPr>
          <w:rFonts w:cs="Times New Roman"/>
          <w:color w:val="auto"/>
          <w:szCs w:val="28"/>
          <w:u w:val="none"/>
        </w:rPr>
        <w:t>Study</w:t>
      </w:r>
    </w:p>
    <w:p w14:paraId="523264E7" w14:textId="491AD9EB" w:rsidR="00547235" w:rsidRPr="00C46BE1" w:rsidRDefault="00846946" w:rsidP="00FF246C">
      <w:pPr>
        <w:pStyle w:val="GLSH4"/>
        <w:spacing w:after="60"/>
        <w:jc w:val="both"/>
        <w:rPr>
          <w:rFonts w:cs="Times New Roman"/>
          <w:color w:val="auto"/>
          <w:sz w:val="26"/>
          <w:szCs w:val="26"/>
        </w:rPr>
      </w:pPr>
      <w:r w:rsidRPr="00C46BE1">
        <w:rPr>
          <w:rFonts w:cs="Times New Roman"/>
          <w:color w:val="auto"/>
          <w:sz w:val="26"/>
          <w:szCs w:val="26"/>
        </w:rPr>
        <w:t xml:space="preserve">SE </w:t>
      </w:r>
      <w:r w:rsidR="00D73CE5" w:rsidRPr="00C46BE1">
        <w:rPr>
          <w:rFonts w:cs="Times New Roman"/>
          <w:color w:val="auto"/>
          <w:sz w:val="26"/>
          <w:szCs w:val="26"/>
        </w:rPr>
        <w:t>System Change S</w:t>
      </w:r>
      <w:r w:rsidR="003F2553" w:rsidRPr="00C46BE1">
        <w:rPr>
          <w:rFonts w:cs="Times New Roman"/>
          <w:color w:val="auto"/>
          <w:sz w:val="26"/>
          <w:szCs w:val="26"/>
        </w:rPr>
        <w:t>ubs</w:t>
      </w:r>
      <w:r w:rsidR="00D73CE5" w:rsidRPr="00C46BE1">
        <w:rPr>
          <w:rFonts w:cs="Times New Roman"/>
          <w:color w:val="auto"/>
          <w:sz w:val="26"/>
          <w:szCs w:val="26"/>
        </w:rPr>
        <w:t>tudy</w:t>
      </w:r>
      <w:r w:rsidR="0009184D" w:rsidRPr="00C46BE1">
        <w:rPr>
          <w:rFonts w:cs="Times New Roman"/>
          <w:color w:val="auto"/>
          <w:sz w:val="26"/>
          <w:szCs w:val="26"/>
        </w:rPr>
        <w:t xml:space="preserve"> </w:t>
      </w:r>
    </w:p>
    <w:p w14:paraId="0C8B916C" w14:textId="4C9A7672" w:rsidR="00A74356" w:rsidRPr="00C46BE1" w:rsidRDefault="00A74356" w:rsidP="00A74356">
      <w:pPr>
        <w:pStyle w:val="BHTCCBody"/>
        <w:rPr>
          <w:rFonts w:ascii="Times New Roman" w:hAnsi="Times New Roman" w:cs="Times New Roman"/>
          <w:sz w:val="24"/>
          <w:szCs w:val="24"/>
        </w:rPr>
      </w:pPr>
      <w:r w:rsidRPr="00C46BE1">
        <w:rPr>
          <w:rFonts w:ascii="Times New Roman" w:hAnsi="Times New Roman" w:cs="Times New Roman"/>
          <w:sz w:val="24"/>
          <w:szCs w:val="24"/>
        </w:rPr>
        <w:t xml:space="preserve">The analysis of the SE </w:t>
      </w:r>
      <w:r w:rsidR="00D73CE5" w:rsidRPr="00C46BE1">
        <w:rPr>
          <w:rFonts w:ascii="Times New Roman" w:hAnsi="Times New Roman" w:cs="Times New Roman"/>
          <w:sz w:val="24"/>
          <w:szCs w:val="24"/>
        </w:rPr>
        <w:t>SCS</w:t>
      </w:r>
      <w:r w:rsidRPr="00C46BE1">
        <w:rPr>
          <w:rFonts w:ascii="Times New Roman" w:hAnsi="Times New Roman" w:cs="Times New Roman"/>
          <w:sz w:val="24"/>
          <w:szCs w:val="24"/>
        </w:rPr>
        <w:t xml:space="preserve"> will focus on characterizing infrastructure development, specifically, policy change and capacity development through the implementation of training activities, as well as sustainability planning. Consistent with the focus of these studies and taking into account the limited number of grantees in both programs, the system-level quantitative analysis will focus on providing an accurate and rich description of multi-level changes resulting from the implementation of the project, rather than emphasizing the identification of statistically significant differences or the use of elaborate statistical models. Further, a full understanding of these multi-level changes will be reached through the systematic analysis of qualitative information, particularly on the program stakeholder’s perception of results, as well as barriers to and facilitators of success.</w:t>
      </w:r>
    </w:p>
    <w:p w14:paraId="5429C461" w14:textId="51708E66" w:rsidR="00A74356" w:rsidRPr="00C46BE1" w:rsidRDefault="00846946" w:rsidP="00A74356">
      <w:pPr>
        <w:pStyle w:val="BHTCCBody"/>
        <w:rPr>
          <w:rFonts w:ascii="Times New Roman" w:hAnsi="Times New Roman" w:cs="Times New Roman"/>
          <w:color w:val="C00000"/>
          <w:sz w:val="24"/>
          <w:szCs w:val="24"/>
        </w:rPr>
      </w:pPr>
      <w:r w:rsidRPr="00C46BE1">
        <w:rPr>
          <w:rFonts w:ascii="Times New Roman" w:hAnsi="Times New Roman" w:cs="Times New Roman"/>
          <w:sz w:val="24"/>
          <w:szCs w:val="24"/>
        </w:rPr>
        <w:t>Q</w:t>
      </w:r>
      <w:r w:rsidR="00A74356" w:rsidRPr="00C46BE1">
        <w:rPr>
          <w:rFonts w:ascii="Times New Roman" w:hAnsi="Times New Roman" w:cs="Times New Roman"/>
          <w:sz w:val="24"/>
          <w:szCs w:val="24"/>
        </w:rPr>
        <w:t xml:space="preserve">uantitative and qualitative data will be used to describe the developmental status of systems; furthermore, data will be used to examine differences among communities in their system development. Quantitative data are derived from Biannual Program Inventories using items linked to framework indicators. System-generated variables from CSEDS will allow for the tracking of when infrastructure development and planning and various activity implementation is first entered into the BPI.  Time-based analysis, along with mean ratings and additional quantitative analysis, will examine how systems develop, are developing, and are sustaining their program based on key system principles. This analysis allows us to understand how a SE project develops over the grant period (i.e., </w:t>
      </w:r>
      <w:proofErr w:type="gramStart"/>
      <w:r w:rsidR="00A74356" w:rsidRPr="00C46BE1">
        <w:rPr>
          <w:rFonts w:ascii="Times New Roman" w:hAnsi="Times New Roman" w:cs="Times New Roman"/>
          <w:sz w:val="24"/>
          <w:szCs w:val="24"/>
        </w:rPr>
        <w:t>What</w:t>
      </w:r>
      <w:proofErr w:type="gramEnd"/>
      <w:r w:rsidR="00A74356" w:rsidRPr="00C46BE1">
        <w:rPr>
          <w:rFonts w:ascii="Times New Roman" w:hAnsi="Times New Roman" w:cs="Times New Roman"/>
          <w:sz w:val="24"/>
          <w:szCs w:val="24"/>
        </w:rPr>
        <w:t xml:space="preserve"> are the most commonly developed/implemented activities during start-up? What are common activities in the second grant year?).</w:t>
      </w:r>
    </w:p>
    <w:p w14:paraId="615F9A4C" w14:textId="424DC216" w:rsidR="00A74356" w:rsidRPr="00C46BE1" w:rsidRDefault="00846946" w:rsidP="00A74356">
      <w:pPr>
        <w:pStyle w:val="BHTCCBody"/>
        <w:rPr>
          <w:rFonts w:ascii="Times New Roman" w:hAnsi="Times New Roman" w:cs="Times New Roman"/>
          <w:sz w:val="24"/>
          <w:szCs w:val="24"/>
        </w:rPr>
      </w:pPr>
      <w:r w:rsidRPr="00C46BE1">
        <w:rPr>
          <w:rFonts w:ascii="Times New Roman" w:hAnsi="Times New Roman" w:cs="Times New Roman"/>
          <w:sz w:val="24"/>
          <w:szCs w:val="24"/>
        </w:rPr>
        <w:t xml:space="preserve">Qualitative data </w:t>
      </w:r>
      <w:r w:rsidR="00A74356" w:rsidRPr="00C46BE1">
        <w:rPr>
          <w:rFonts w:ascii="Times New Roman" w:hAnsi="Times New Roman" w:cs="Times New Roman"/>
          <w:sz w:val="24"/>
          <w:szCs w:val="24"/>
        </w:rPr>
        <w:t xml:space="preserve">will provide in-depth information that can be used for interpreting quantitative findings at the state level, describing which features of the system enhance its infrastructure, and identifying facilitators and barriers of successful program scale-up and sustainability. Once interview data are collected and transcribed, members of the evaluation team will collaborate to write a descriptive, comprehensive, and synthesized report of the findings from the data collected for each state. These thematic analyses of qualitative data are conducted from the narrative reports using </w:t>
      </w:r>
      <w:proofErr w:type="spellStart"/>
      <w:r w:rsidR="00A74356" w:rsidRPr="00C46BE1">
        <w:rPr>
          <w:rFonts w:ascii="Times New Roman" w:hAnsi="Times New Roman" w:cs="Times New Roman"/>
          <w:sz w:val="24"/>
          <w:szCs w:val="24"/>
        </w:rPr>
        <w:t>ATLAS.ti</w:t>
      </w:r>
      <w:proofErr w:type="spellEnd"/>
      <w:r w:rsidR="00A74356" w:rsidRPr="00C46BE1">
        <w:rPr>
          <w:rFonts w:ascii="Times New Roman" w:hAnsi="Times New Roman" w:cs="Times New Roman"/>
          <w:sz w:val="24"/>
          <w:szCs w:val="24"/>
        </w:rPr>
        <w:t>, a qualitative analysis software, according to a set of defined codes that are assigned to segments of the text. Data collected through the document review, program inventory, ENFG</w:t>
      </w:r>
      <w:r w:rsidRPr="00C46BE1">
        <w:rPr>
          <w:rFonts w:ascii="Times New Roman" w:hAnsi="Times New Roman" w:cs="Times New Roman"/>
          <w:sz w:val="24"/>
          <w:szCs w:val="24"/>
        </w:rPr>
        <w:t>s</w:t>
      </w:r>
      <w:r w:rsidR="00A74356" w:rsidRPr="00C46BE1">
        <w:rPr>
          <w:rFonts w:ascii="Times New Roman" w:hAnsi="Times New Roman" w:cs="Times New Roman"/>
          <w:sz w:val="24"/>
          <w:szCs w:val="24"/>
        </w:rPr>
        <w:t xml:space="preserve">, and </w:t>
      </w:r>
      <w:r w:rsidRPr="00C46BE1">
        <w:rPr>
          <w:rFonts w:ascii="Times New Roman" w:hAnsi="Times New Roman" w:cs="Times New Roman"/>
          <w:sz w:val="24"/>
          <w:szCs w:val="24"/>
        </w:rPr>
        <w:t xml:space="preserve">SSA KIIs </w:t>
      </w:r>
      <w:r w:rsidR="00A74356" w:rsidRPr="00C46BE1">
        <w:rPr>
          <w:rFonts w:ascii="Times New Roman" w:hAnsi="Times New Roman" w:cs="Times New Roman"/>
          <w:sz w:val="24"/>
          <w:szCs w:val="24"/>
        </w:rPr>
        <w:t>will be triangulated to support a more thorough understanding of scalability and sustainability mechanisms. After developing a comprehensive understanding of the themes within each state, the evaluation team will engage in cross-state comparisons with the goal of identifying patterns in the motivations, facilitators, and barriers for scale-up and sustainability among SE grantees.</w:t>
      </w:r>
    </w:p>
    <w:p w14:paraId="7E2BB8DF" w14:textId="4554EB7C" w:rsidR="00A74356" w:rsidRPr="00C46BE1" w:rsidRDefault="00846946" w:rsidP="00A74356">
      <w:pPr>
        <w:pStyle w:val="BHTCCBody"/>
        <w:rPr>
          <w:rFonts w:ascii="Times New Roman" w:hAnsi="Times New Roman" w:cs="Times New Roman"/>
          <w:sz w:val="24"/>
          <w:szCs w:val="24"/>
        </w:rPr>
      </w:pPr>
      <w:r w:rsidRPr="00C46BE1">
        <w:rPr>
          <w:rFonts w:ascii="Times New Roman" w:hAnsi="Times New Roman" w:cs="Times New Roman"/>
          <w:sz w:val="24"/>
          <w:szCs w:val="24"/>
        </w:rPr>
        <w:t xml:space="preserve">Further, </w:t>
      </w:r>
      <w:r w:rsidR="00A74356" w:rsidRPr="00C46BE1">
        <w:rPr>
          <w:rFonts w:ascii="Times New Roman" w:hAnsi="Times New Roman" w:cs="Times New Roman"/>
          <w:sz w:val="24"/>
          <w:szCs w:val="24"/>
        </w:rPr>
        <w:t xml:space="preserve">the perspectives of employment specialists and employers </w:t>
      </w:r>
      <w:r w:rsidRPr="00C46BE1">
        <w:rPr>
          <w:rFonts w:ascii="Times New Roman" w:hAnsi="Times New Roman" w:cs="Times New Roman"/>
          <w:sz w:val="24"/>
          <w:szCs w:val="24"/>
        </w:rPr>
        <w:t xml:space="preserve">will be incorporated </w:t>
      </w:r>
      <w:r w:rsidR="00A74356" w:rsidRPr="00C46BE1">
        <w:rPr>
          <w:rFonts w:ascii="Times New Roman" w:hAnsi="Times New Roman" w:cs="Times New Roman"/>
          <w:sz w:val="24"/>
          <w:szCs w:val="24"/>
        </w:rPr>
        <w:t xml:space="preserve">through the analysis of ENFG data. Qualitative analysis will be used to gain a comprehensive understanding of and identify key themes and trends within  the perspectives of employment specialists and employers related to training, employer engagement, facilitators and barriers to program participation, the factors most critical to sustaining consumer and employer participation in the SE program, and overall program recommendations. </w:t>
      </w:r>
      <w:r w:rsidR="00D01DD2" w:rsidRPr="00C46BE1">
        <w:rPr>
          <w:rFonts w:ascii="Times New Roman" w:hAnsi="Times New Roman" w:cs="Times New Roman"/>
          <w:sz w:val="24"/>
          <w:szCs w:val="24"/>
        </w:rPr>
        <w:t>Also summarized will be e</w:t>
      </w:r>
      <w:r w:rsidR="00A74356" w:rsidRPr="00C46BE1">
        <w:rPr>
          <w:rFonts w:ascii="Times New Roman" w:hAnsi="Times New Roman" w:cs="Times New Roman"/>
          <w:sz w:val="24"/>
          <w:szCs w:val="24"/>
        </w:rPr>
        <w:t>mployer perceptions about their experience being recruited by SE program staff, the process of hiring SE participants, the continued involvement of job coaches once a SE program participant is hired, as well as barriers and facilitators to the employer’s participation.</w:t>
      </w:r>
    </w:p>
    <w:p w14:paraId="7255C9A8" w14:textId="2626ECCE" w:rsidR="00547235" w:rsidRPr="00C46BE1" w:rsidRDefault="00846946" w:rsidP="00FF246C">
      <w:pPr>
        <w:pStyle w:val="GLSH4"/>
        <w:spacing w:after="60"/>
        <w:jc w:val="both"/>
        <w:rPr>
          <w:rFonts w:cs="Times New Roman"/>
          <w:color w:val="auto"/>
          <w:sz w:val="26"/>
          <w:szCs w:val="26"/>
        </w:rPr>
      </w:pPr>
      <w:r w:rsidRPr="00C46BE1">
        <w:rPr>
          <w:rFonts w:cs="Times New Roman"/>
          <w:color w:val="auto"/>
          <w:sz w:val="26"/>
          <w:szCs w:val="26"/>
        </w:rPr>
        <w:t xml:space="preserve">SE </w:t>
      </w:r>
      <w:r w:rsidR="00547235" w:rsidRPr="00C46BE1">
        <w:rPr>
          <w:rFonts w:cs="Times New Roman"/>
          <w:color w:val="auto"/>
          <w:sz w:val="26"/>
          <w:szCs w:val="26"/>
        </w:rPr>
        <w:t xml:space="preserve">Consumer </w:t>
      </w:r>
      <w:r w:rsidR="00B337D6" w:rsidRPr="00C46BE1">
        <w:rPr>
          <w:rFonts w:cs="Times New Roman"/>
          <w:color w:val="auto"/>
          <w:sz w:val="26"/>
          <w:szCs w:val="26"/>
        </w:rPr>
        <w:t xml:space="preserve">Outcome </w:t>
      </w:r>
      <w:r w:rsidR="00D73CE5" w:rsidRPr="00C46BE1">
        <w:rPr>
          <w:rFonts w:cs="Times New Roman"/>
          <w:color w:val="auto"/>
          <w:sz w:val="26"/>
          <w:szCs w:val="26"/>
        </w:rPr>
        <w:t>S</w:t>
      </w:r>
      <w:r w:rsidR="003F2553" w:rsidRPr="00C46BE1">
        <w:rPr>
          <w:rFonts w:cs="Times New Roman"/>
          <w:color w:val="auto"/>
          <w:sz w:val="26"/>
          <w:szCs w:val="26"/>
        </w:rPr>
        <w:t>ubs</w:t>
      </w:r>
      <w:r w:rsidR="00D73CE5" w:rsidRPr="00C46BE1">
        <w:rPr>
          <w:rFonts w:cs="Times New Roman"/>
          <w:color w:val="auto"/>
          <w:sz w:val="26"/>
          <w:szCs w:val="26"/>
        </w:rPr>
        <w:t>tudy</w:t>
      </w:r>
    </w:p>
    <w:p w14:paraId="3DFFAC94" w14:textId="08665FCA" w:rsidR="00547235" w:rsidRPr="00C46BE1" w:rsidRDefault="00547235" w:rsidP="00547235">
      <w:pPr>
        <w:pStyle w:val="BHTCCBody"/>
        <w:rPr>
          <w:rFonts w:ascii="Times New Roman" w:hAnsi="Times New Roman" w:cs="Times New Roman"/>
          <w:sz w:val="24"/>
          <w:szCs w:val="24"/>
        </w:rPr>
      </w:pPr>
      <w:r w:rsidRPr="00C46BE1">
        <w:rPr>
          <w:rFonts w:ascii="Times New Roman" w:hAnsi="Times New Roman" w:cs="Times New Roman"/>
          <w:sz w:val="24"/>
          <w:szCs w:val="24"/>
        </w:rPr>
        <w:t xml:space="preserve">To determine the outcome of program participation among individuals with behavioral health conditions served by the SE programs, </w:t>
      </w:r>
      <w:r w:rsidR="00186A6F" w:rsidRPr="00C46BE1">
        <w:rPr>
          <w:rFonts w:ascii="Times New Roman" w:hAnsi="Times New Roman" w:cs="Times New Roman"/>
          <w:sz w:val="24"/>
          <w:szCs w:val="24"/>
        </w:rPr>
        <w:t xml:space="preserve">SAMHSA </w:t>
      </w:r>
      <w:r w:rsidRPr="00C46BE1">
        <w:rPr>
          <w:rFonts w:ascii="Times New Roman" w:hAnsi="Times New Roman" w:cs="Times New Roman"/>
          <w:sz w:val="24"/>
          <w:szCs w:val="24"/>
        </w:rPr>
        <w:t xml:space="preserve">will rely on the extant client-level performance monitoring </w:t>
      </w:r>
      <w:r w:rsidR="00031029" w:rsidRPr="00C46BE1">
        <w:rPr>
          <w:rFonts w:ascii="Times New Roman" w:hAnsi="Times New Roman" w:cs="Times New Roman"/>
          <w:sz w:val="24"/>
          <w:szCs w:val="24"/>
        </w:rPr>
        <w:t>data</w:t>
      </w:r>
      <w:r w:rsidRPr="00C46BE1">
        <w:rPr>
          <w:rFonts w:ascii="Times New Roman" w:hAnsi="Times New Roman" w:cs="Times New Roman"/>
          <w:sz w:val="24"/>
          <w:szCs w:val="24"/>
        </w:rPr>
        <w:t xml:space="preserve">. The existing performance monitoring system for SE includes a limited number of program- specific, client-level outcome measures at follow-up, such as employment status and receipt of competitive wages, beyond more general functional and clinical outcomes. Additional measures for job trajectory, job retention, and wages trajectory are not currently collected, but could be incorporated in the analysis if additional program-specific measures beyond those required for all programs are incorporated into </w:t>
      </w:r>
      <w:r w:rsidR="00031029" w:rsidRPr="00C46BE1">
        <w:rPr>
          <w:rFonts w:ascii="Times New Roman" w:hAnsi="Times New Roman" w:cs="Times New Roman"/>
          <w:sz w:val="24"/>
          <w:szCs w:val="24"/>
        </w:rPr>
        <w:t>performance monitoring data</w:t>
      </w:r>
      <w:r w:rsidRPr="00C46BE1">
        <w:rPr>
          <w:rFonts w:ascii="Times New Roman" w:hAnsi="Times New Roman" w:cs="Times New Roman"/>
          <w:sz w:val="24"/>
          <w:szCs w:val="24"/>
        </w:rPr>
        <w:t>.</w:t>
      </w:r>
    </w:p>
    <w:p w14:paraId="148C6D21" w14:textId="78F5D1FB" w:rsidR="00547235" w:rsidRPr="00C46BE1" w:rsidRDefault="00547235" w:rsidP="00547235">
      <w:pPr>
        <w:pStyle w:val="BHTCCBody"/>
        <w:rPr>
          <w:rFonts w:ascii="Times New Roman" w:hAnsi="Times New Roman" w:cs="Times New Roman"/>
          <w:sz w:val="24"/>
          <w:szCs w:val="24"/>
        </w:rPr>
      </w:pPr>
      <w:r w:rsidRPr="00C46BE1">
        <w:rPr>
          <w:rFonts w:ascii="Times New Roman" w:hAnsi="Times New Roman" w:cs="Times New Roman"/>
          <w:sz w:val="24"/>
          <w:szCs w:val="24"/>
        </w:rPr>
        <w:t xml:space="preserve">To take advantage of the information, specialized analytical techniques will be needed. These techniques take into account both the longitudinal and hierarchical organization of the data. Further, </w:t>
      </w:r>
      <w:r w:rsidR="00D01DD2" w:rsidRPr="00C46BE1">
        <w:rPr>
          <w:rFonts w:ascii="Times New Roman" w:hAnsi="Times New Roman" w:cs="Times New Roman"/>
          <w:sz w:val="24"/>
          <w:szCs w:val="24"/>
        </w:rPr>
        <w:t>it is</w:t>
      </w:r>
      <w:r w:rsidRPr="00C46BE1">
        <w:rPr>
          <w:rFonts w:ascii="Times New Roman" w:hAnsi="Times New Roman" w:cs="Times New Roman"/>
          <w:sz w:val="24"/>
          <w:szCs w:val="24"/>
        </w:rPr>
        <w:t xml:space="preserve"> anticipate</w:t>
      </w:r>
      <w:r w:rsidR="00D01DD2" w:rsidRPr="00C46BE1">
        <w:rPr>
          <w:rFonts w:ascii="Times New Roman" w:hAnsi="Times New Roman" w:cs="Times New Roman"/>
          <w:sz w:val="24"/>
          <w:szCs w:val="24"/>
        </w:rPr>
        <w:t>d</w:t>
      </w:r>
      <w:r w:rsidRPr="00C46BE1">
        <w:rPr>
          <w:rFonts w:ascii="Times New Roman" w:hAnsi="Times New Roman" w:cs="Times New Roman"/>
          <w:sz w:val="24"/>
          <w:szCs w:val="24"/>
        </w:rPr>
        <w:t xml:space="preserve"> that missing data, particularly arising from attrition, will require specialized treatment. </w:t>
      </w:r>
      <w:r w:rsidR="00D01DD2" w:rsidRPr="00C46BE1">
        <w:rPr>
          <w:rFonts w:ascii="Times New Roman" w:hAnsi="Times New Roman" w:cs="Times New Roman"/>
          <w:sz w:val="24"/>
          <w:szCs w:val="24"/>
        </w:rPr>
        <w:t>Two approaches were proposed</w:t>
      </w:r>
      <w:r w:rsidRPr="00C46BE1">
        <w:rPr>
          <w:rFonts w:ascii="Times New Roman" w:hAnsi="Times New Roman" w:cs="Times New Roman"/>
          <w:sz w:val="24"/>
          <w:szCs w:val="24"/>
        </w:rPr>
        <w:t xml:space="preserve"> that are appropriate to the analysis of longitudinal data: (1)”marginal” models using </w:t>
      </w:r>
      <w:r w:rsidR="00031029" w:rsidRPr="00C46BE1">
        <w:rPr>
          <w:rFonts w:ascii="Times New Roman" w:hAnsi="Times New Roman" w:cs="Times New Roman"/>
          <w:sz w:val="24"/>
          <w:szCs w:val="24"/>
        </w:rPr>
        <w:t>GEE</w:t>
      </w:r>
      <w:r w:rsidRPr="00C46BE1">
        <w:rPr>
          <w:rFonts w:ascii="Times New Roman" w:hAnsi="Times New Roman" w:cs="Times New Roman"/>
          <w:sz w:val="24"/>
          <w:szCs w:val="24"/>
        </w:rPr>
        <w:t xml:space="preserve">, and (2) mixed-effect models (also called hierarchical, or multilevel models). Both approaches are adequate in the presence of repeated observations from the same individuals that are not necessarily independent. Both approaches can be used to test the existence of change over time in the variables of interest (e.g., mental health issues, employment status, receipt of competitive wages) while accounting for the possible correlation over time within individuals. In addition, and unlike paired </w:t>
      </w:r>
      <w:r w:rsidRPr="00C46BE1">
        <w:rPr>
          <w:rFonts w:ascii="Times New Roman" w:hAnsi="Times New Roman" w:cs="Times New Roman"/>
          <w:i/>
          <w:sz w:val="24"/>
          <w:szCs w:val="24"/>
        </w:rPr>
        <w:t>t</w:t>
      </w:r>
      <w:r w:rsidRPr="00C46BE1">
        <w:rPr>
          <w:rFonts w:ascii="Times New Roman" w:hAnsi="Times New Roman" w:cs="Times New Roman"/>
          <w:sz w:val="24"/>
          <w:szCs w:val="24"/>
        </w:rPr>
        <w:t xml:space="preserve"> test and other techniques for the analysis of ”balanced” experiments, the proposed approaches can use all the available information (not only cases with complete follow-up) and account for observed differences between cases with complete and incomplete follow-up information (i.e., differences in demographic characteristics).</w:t>
      </w:r>
    </w:p>
    <w:p w14:paraId="6A4349C7" w14:textId="77777777" w:rsidR="00547235" w:rsidRPr="00C46BE1" w:rsidRDefault="00547235" w:rsidP="00683D42">
      <w:pPr>
        <w:pStyle w:val="BHTCCHead4"/>
        <w:spacing w:before="0" w:after="60"/>
        <w:rPr>
          <w:b/>
          <w:sz w:val="24"/>
          <w:szCs w:val="24"/>
        </w:rPr>
      </w:pPr>
      <w:r w:rsidRPr="00C46BE1">
        <w:rPr>
          <w:b/>
          <w:sz w:val="24"/>
          <w:szCs w:val="24"/>
        </w:rPr>
        <w:t>Longitudinal and Multilevel Data</w:t>
      </w:r>
    </w:p>
    <w:p w14:paraId="32723960" w14:textId="66518D49" w:rsidR="00547235" w:rsidRPr="00C46BE1" w:rsidRDefault="00547235" w:rsidP="00547235">
      <w:pPr>
        <w:pStyle w:val="BHTCCBody"/>
        <w:rPr>
          <w:rFonts w:ascii="Times New Roman" w:hAnsi="Times New Roman" w:cs="Times New Roman"/>
          <w:sz w:val="24"/>
          <w:szCs w:val="24"/>
        </w:rPr>
      </w:pPr>
      <w:r w:rsidRPr="00C46BE1">
        <w:rPr>
          <w:rFonts w:ascii="Times New Roman" w:hAnsi="Times New Roman" w:cs="Times New Roman"/>
          <w:sz w:val="24"/>
          <w:szCs w:val="24"/>
        </w:rPr>
        <w:t xml:space="preserve">The existing client-level performance monitoring systems have some basic characteristics that must be taken into account in the analysis. Essentially, a set of measures is repeatedly obtained over time from each client. In turn, clients receiving service from certain organizational entities (e.g., a mental health agency) presumably share characteristics. These features introduce correlation between observations which renders inadequate the most classical analytical approaches, such as ordinary regression or ANOVA. </w:t>
      </w:r>
    </w:p>
    <w:p w14:paraId="630FE8CC" w14:textId="39DE6675" w:rsidR="00547235" w:rsidRPr="00C46BE1" w:rsidRDefault="00547235" w:rsidP="00547235">
      <w:pPr>
        <w:pStyle w:val="BHTCCBody"/>
        <w:rPr>
          <w:rFonts w:ascii="Times New Roman" w:hAnsi="Times New Roman" w:cs="Times New Roman"/>
          <w:sz w:val="24"/>
          <w:szCs w:val="24"/>
        </w:rPr>
      </w:pPr>
      <w:r w:rsidRPr="00C46BE1">
        <w:rPr>
          <w:rFonts w:ascii="Times New Roman" w:hAnsi="Times New Roman" w:cs="Times New Roman"/>
          <w:sz w:val="24"/>
          <w:szCs w:val="24"/>
        </w:rPr>
        <w:t xml:space="preserve">Several alternatives exist to deal with the longitudinal correlation including, in particular, the use of GEE or the use of mixed-effect models (also called multilevel or hierarchical models). Mixed-effect models involve more realistic assumptions regarding patterns of missing data (see below), but are also more demanding in terms of parametric assumptions. GEE, on the other hand, can be considered a semiparametric approach, in the sense that a full specification of the correlation structure is only needed on “provisional” basis, while inference remains robust to these specifications. </w:t>
      </w:r>
    </w:p>
    <w:p w14:paraId="7462BA8A" w14:textId="77777777" w:rsidR="00547235" w:rsidRPr="00C46BE1" w:rsidRDefault="00547235" w:rsidP="00547235">
      <w:pPr>
        <w:pStyle w:val="BHTCCBody"/>
        <w:rPr>
          <w:rFonts w:ascii="Times New Roman" w:hAnsi="Times New Roman" w:cs="Times New Roman"/>
          <w:sz w:val="24"/>
          <w:szCs w:val="24"/>
        </w:rPr>
      </w:pPr>
      <w:r w:rsidRPr="00C46BE1">
        <w:rPr>
          <w:rFonts w:ascii="Times New Roman" w:hAnsi="Times New Roman" w:cs="Times New Roman"/>
          <w:sz w:val="24"/>
          <w:szCs w:val="24"/>
        </w:rPr>
        <w:t>The correlation of observations among clients within the same provider organizations presents additional challenges. The limited number of grantees favors inferential approaches that consider each grantee as a stratum rather than a cluster (i.e., a unit from sample of a larger set of potential grantees).</w:t>
      </w:r>
      <w:r w:rsidRPr="00C46BE1">
        <w:rPr>
          <w:rStyle w:val="FootnoteReference"/>
          <w:rFonts w:ascii="Times New Roman" w:hAnsi="Times New Roman" w:cs="Times New Roman"/>
          <w:sz w:val="24"/>
          <w:szCs w:val="24"/>
        </w:rPr>
        <w:footnoteReference w:id="4"/>
      </w:r>
      <w:r w:rsidRPr="00C46BE1">
        <w:rPr>
          <w:rFonts w:ascii="Times New Roman" w:hAnsi="Times New Roman" w:cs="Times New Roman"/>
          <w:sz w:val="24"/>
          <w:szCs w:val="24"/>
        </w:rPr>
        <w:t xml:space="preserve"> The influence of clients’ heterogeneity across grantees on their performance can still be explored, particularly, through the inclusion of site-level fixed-effects.</w:t>
      </w:r>
    </w:p>
    <w:p w14:paraId="0A9B3792" w14:textId="77777777" w:rsidR="00547235" w:rsidRPr="00C46BE1" w:rsidRDefault="00547235" w:rsidP="002748B2">
      <w:pPr>
        <w:pStyle w:val="BHTCCHead4"/>
        <w:keepNext/>
        <w:spacing w:before="0" w:after="60"/>
        <w:rPr>
          <w:rFonts w:cs="Times New Roman"/>
          <w:b/>
          <w:sz w:val="24"/>
          <w:szCs w:val="24"/>
        </w:rPr>
      </w:pPr>
      <w:r w:rsidRPr="00C46BE1">
        <w:rPr>
          <w:rFonts w:cs="Times New Roman"/>
          <w:b/>
          <w:sz w:val="24"/>
          <w:szCs w:val="24"/>
        </w:rPr>
        <w:t>Missing Data</w:t>
      </w:r>
    </w:p>
    <w:p w14:paraId="7FAFA431" w14:textId="0D39EBAD" w:rsidR="00547235" w:rsidRPr="00C46BE1" w:rsidRDefault="00547235" w:rsidP="00547235">
      <w:pPr>
        <w:pStyle w:val="BHTCCBody"/>
        <w:rPr>
          <w:rFonts w:ascii="Times New Roman" w:hAnsi="Times New Roman" w:cs="Times New Roman"/>
          <w:sz w:val="24"/>
          <w:szCs w:val="24"/>
        </w:rPr>
      </w:pPr>
      <w:r w:rsidRPr="00C46BE1">
        <w:rPr>
          <w:rFonts w:ascii="Times New Roman" w:hAnsi="Times New Roman" w:cs="Times New Roman"/>
          <w:sz w:val="24"/>
          <w:szCs w:val="24"/>
        </w:rPr>
        <w:t xml:space="preserve">Missing data are a pervasive issue in evaluation research, particularly in longitudinal studies. </w:t>
      </w:r>
      <w:r w:rsidR="00D01DD2" w:rsidRPr="00C46BE1">
        <w:rPr>
          <w:rFonts w:ascii="Times New Roman" w:hAnsi="Times New Roman" w:cs="Times New Roman"/>
          <w:sz w:val="24"/>
          <w:szCs w:val="24"/>
        </w:rPr>
        <w:t xml:space="preserve">It is </w:t>
      </w:r>
      <w:r w:rsidRPr="00C46BE1">
        <w:rPr>
          <w:rFonts w:ascii="Times New Roman" w:hAnsi="Times New Roman" w:cs="Times New Roman"/>
          <w:sz w:val="24"/>
          <w:szCs w:val="24"/>
        </w:rPr>
        <w:t>anticipate</w:t>
      </w:r>
      <w:r w:rsidR="00D01DD2" w:rsidRPr="00C46BE1">
        <w:rPr>
          <w:rFonts w:ascii="Times New Roman" w:hAnsi="Times New Roman" w:cs="Times New Roman"/>
          <w:sz w:val="24"/>
          <w:szCs w:val="24"/>
        </w:rPr>
        <w:t>d that</w:t>
      </w:r>
      <w:r w:rsidRPr="00C46BE1">
        <w:rPr>
          <w:rFonts w:ascii="Times New Roman" w:hAnsi="Times New Roman" w:cs="Times New Roman"/>
          <w:sz w:val="24"/>
          <w:szCs w:val="24"/>
        </w:rPr>
        <w:t xml:space="preserve"> this will be an important issue in the context of longitudinal, client-level information collected through performance monitoring systems. For example, the ATCC evaluation reports that 24% of participants with baseline information did not have 6 month follow-up information (Stainbrook, &amp; Hanna, 2014).</w:t>
      </w:r>
    </w:p>
    <w:p w14:paraId="103AE8EF" w14:textId="77777777" w:rsidR="00547235" w:rsidRPr="00C46BE1" w:rsidRDefault="00547235" w:rsidP="00547235">
      <w:pPr>
        <w:pStyle w:val="BHTCCBody"/>
        <w:rPr>
          <w:rFonts w:ascii="Times New Roman" w:hAnsi="Times New Roman" w:cs="Times New Roman"/>
          <w:sz w:val="24"/>
          <w:szCs w:val="24"/>
        </w:rPr>
      </w:pPr>
      <w:r w:rsidRPr="00C46BE1">
        <w:rPr>
          <w:rFonts w:ascii="Times New Roman" w:hAnsi="Times New Roman" w:cs="Times New Roman"/>
          <w:sz w:val="24"/>
          <w:szCs w:val="24"/>
        </w:rPr>
        <w:t xml:space="preserve">Traditional analytical techniques such as paired </w:t>
      </w:r>
      <w:r w:rsidRPr="00C46BE1">
        <w:rPr>
          <w:rFonts w:ascii="Times New Roman" w:hAnsi="Times New Roman" w:cs="Times New Roman"/>
          <w:i/>
          <w:sz w:val="24"/>
          <w:szCs w:val="24"/>
        </w:rPr>
        <w:t>t</w:t>
      </w:r>
      <w:r w:rsidRPr="00C46BE1">
        <w:rPr>
          <w:rFonts w:ascii="Times New Roman" w:hAnsi="Times New Roman" w:cs="Times New Roman"/>
          <w:sz w:val="24"/>
          <w:szCs w:val="24"/>
        </w:rPr>
        <w:t xml:space="preserve"> test and other techniques developed for the analysis of balanced experiments cannot handle cases with missing information. The analysis proceeds by simply discarding these incomplete observations (i.e., restricting the analysis to the subsample with complete follow-up information). Although not always acknowledged, this strategy is inefficient (i.e., it does not use all the information available) and relies on very strong assumptions about the missing data mechanism. In particular, it would only be a valid strategy if participants with missing follow-up information do not differ systematically from those with complete information. </w:t>
      </w:r>
    </w:p>
    <w:p w14:paraId="3F06D97D" w14:textId="021D8E24" w:rsidR="00547235" w:rsidRPr="00C46BE1" w:rsidRDefault="00547235" w:rsidP="00547235">
      <w:pPr>
        <w:pStyle w:val="BHTCCBody"/>
        <w:rPr>
          <w:rFonts w:ascii="Times New Roman" w:hAnsi="Times New Roman" w:cs="Times New Roman"/>
          <w:sz w:val="24"/>
          <w:szCs w:val="24"/>
        </w:rPr>
      </w:pPr>
      <w:r w:rsidRPr="00C46BE1">
        <w:rPr>
          <w:rFonts w:ascii="Times New Roman" w:hAnsi="Times New Roman" w:cs="Times New Roman"/>
          <w:sz w:val="24"/>
          <w:szCs w:val="24"/>
        </w:rPr>
        <w:t xml:space="preserve">In contrast, current longitudinal data analysis techniques, as those proposed for this evaluation, can handle missing data more efficiently, without discarding cases with missing follow-ups. They also can incorporate more realistic assumptions about the reasons for the missing data. Specifically, the two techniques proposed, ”marginal” models fitted with GEE and mixed-effect models, can use the available information from all participants, regardless of the number of follow-ups completed. In the case of mixed-effect models, systematic differences between participants with complete and incomplete follow-up information are readily taken into account, including differences in baseline values of the response variable (such as differences in mental health or substance use problem or employment at baseline). In the case of GEE, additional adjustments are required before the main analysis is performed to address these potential differences. </w:t>
      </w:r>
      <w:r w:rsidR="00D01DD2" w:rsidRPr="00C46BE1">
        <w:rPr>
          <w:rFonts w:ascii="Times New Roman" w:hAnsi="Times New Roman" w:cs="Times New Roman"/>
          <w:sz w:val="24"/>
          <w:szCs w:val="24"/>
        </w:rPr>
        <w:t>It is</w:t>
      </w:r>
      <w:r w:rsidRPr="00C46BE1">
        <w:rPr>
          <w:rFonts w:ascii="Times New Roman" w:hAnsi="Times New Roman" w:cs="Times New Roman"/>
          <w:sz w:val="24"/>
          <w:szCs w:val="24"/>
        </w:rPr>
        <w:t xml:space="preserve"> propose</w:t>
      </w:r>
      <w:r w:rsidR="00D01DD2" w:rsidRPr="00C46BE1">
        <w:rPr>
          <w:rFonts w:ascii="Times New Roman" w:hAnsi="Times New Roman" w:cs="Times New Roman"/>
          <w:sz w:val="24"/>
          <w:szCs w:val="24"/>
        </w:rPr>
        <w:t>d</w:t>
      </w:r>
      <w:r w:rsidRPr="00C46BE1">
        <w:rPr>
          <w:rFonts w:ascii="Times New Roman" w:hAnsi="Times New Roman" w:cs="Times New Roman"/>
          <w:sz w:val="24"/>
          <w:szCs w:val="24"/>
        </w:rPr>
        <w:t xml:space="preserve">, in particular, to rely on inverse probability weights developed by separately modeling the propensity of each observation to be missing as a function of the observed covariates.  </w:t>
      </w:r>
    </w:p>
    <w:p w14:paraId="04D260E3" w14:textId="09B5E86B" w:rsidR="00547235" w:rsidRPr="00C46BE1" w:rsidRDefault="00547235" w:rsidP="00A21636">
      <w:pPr>
        <w:pStyle w:val="BHTCCHead3"/>
        <w:keepNext/>
        <w:spacing w:before="0" w:after="60"/>
        <w:rPr>
          <w:color w:val="000000"/>
          <w:u w:val="single"/>
          <w14:textFill>
            <w14:solidFill>
              <w14:srgbClr w14:val="000000">
                <w14:lumMod w14:val="50000"/>
                <w14:lumMod w14:val="50000"/>
              </w14:srgbClr>
            </w14:solidFill>
          </w14:textFill>
        </w:rPr>
      </w:pPr>
      <w:r w:rsidRPr="00C46BE1">
        <w:rPr>
          <w:color w:val="000000"/>
          <w:u w:val="single"/>
          <w14:textFill>
            <w14:solidFill>
              <w14:srgbClr w14:val="000000">
                <w14:lumMod w14:val="50000"/>
                <w14:lumMod w14:val="50000"/>
              </w14:srgbClr>
            </w14:solidFill>
          </w14:textFill>
        </w:rPr>
        <w:t xml:space="preserve">Linking Data from Two Levels of the </w:t>
      </w:r>
      <w:r w:rsidR="00846946" w:rsidRPr="00C46BE1">
        <w:rPr>
          <w:color w:val="000000"/>
          <w:u w:val="single"/>
          <w14:textFill>
            <w14:solidFill>
              <w14:srgbClr w14:val="000000">
                <w14:lumMod w14:val="50000"/>
                <w14:lumMod w14:val="50000"/>
              </w14:srgbClr>
            </w14:solidFill>
          </w14:textFill>
        </w:rPr>
        <w:t xml:space="preserve">SE Study </w:t>
      </w:r>
    </w:p>
    <w:p w14:paraId="15DB9B17" w14:textId="2A8073CB" w:rsidR="00547235" w:rsidRPr="00C46BE1" w:rsidRDefault="00D01DD2" w:rsidP="00547235">
      <w:pPr>
        <w:pStyle w:val="BHTCCBody"/>
        <w:rPr>
          <w:rFonts w:ascii="Times New Roman" w:hAnsi="Times New Roman" w:cs="Times New Roman"/>
          <w:sz w:val="24"/>
          <w:szCs w:val="24"/>
        </w:rPr>
      </w:pPr>
      <w:r w:rsidRPr="00C46BE1">
        <w:rPr>
          <w:rFonts w:ascii="Times New Roman" w:hAnsi="Times New Roman" w:cs="Times New Roman"/>
          <w:sz w:val="24"/>
          <w:szCs w:val="24"/>
        </w:rPr>
        <w:t>It is proposed</w:t>
      </w:r>
      <w:r w:rsidR="00547235" w:rsidRPr="00C46BE1">
        <w:rPr>
          <w:rFonts w:ascii="Times New Roman" w:hAnsi="Times New Roman" w:cs="Times New Roman"/>
          <w:sz w:val="24"/>
          <w:szCs w:val="24"/>
        </w:rPr>
        <w:t xml:space="preserve"> to explore the linkage between system-level variables (derived from either the </w:t>
      </w:r>
      <w:r w:rsidR="0074043F" w:rsidRPr="00C46BE1">
        <w:rPr>
          <w:rFonts w:ascii="Times New Roman" w:hAnsi="Times New Roman" w:cs="Times New Roman"/>
          <w:sz w:val="24"/>
          <w:szCs w:val="24"/>
        </w:rPr>
        <w:t>SSA KIIs, BPI,</w:t>
      </w:r>
      <w:r w:rsidR="00547235" w:rsidRPr="00C46BE1">
        <w:rPr>
          <w:rFonts w:ascii="Times New Roman" w:hAnsi="Times New Roman" w:cs="Times New Roman"/>
          <w:sz w:val="24"/>
          <w:szCs w:val="24"/>
        </w:rPr>
        <w:t xml:space="preserve"> or the Employment Needs </w:t>
      </w:r>
      <w:r w:rsidR="0074043F" w:rsidRPr="00C46BE1">
        <w:rPr>
          <w:rFonts w:ascii="Times New Roman" w:hAnsi="Times New Roman" w:cs="Times New Roman"/>
          <w:sz w:val="24"/>
          <w:szCs w:val="24"/>
        </w:rPr>
        <w:t>FGs</w:t>
      </w:r>
      <w:r w:rsidR="00547235" w:rsidRPr="00C46BE1">
        <w:rPr>
          <w:rFonts w:ascii="Times New Roman" w:hAnsi="Times New Roman" w:cs="Times New Roman"/>
          <w:sz w:val="24"/>
          <w:szCs w:val="24"/>
        </w:rPr>
        <w:t xml:space="preserve">) and the individual-level outcomes (derived from the </w:t>
      </w:r>
      <w:r w:rsidR="00031029" w:rsidRPr="00C46BE1">
        <w:rPr>
          <w:rFonts w:ascii="Times New Roman" w:hAnsi="Times New Roman" w:cs="Times New Roman"/>
          <w:sz w:val="24"/>
          <w:szCs w:val="24"/>
        </w:rPr>
        <w:t>existing performance monitoring systems</w:t>
      </w:r>
      <w:r w:rsidR="00547235" w:rsidRPr="00C46BE1">
        <w:rPr>
          <w:rFonts w:ascii="Times New Roman" w:hAnsi="Times New Roman" w:cs="Times New Roman"/>
          <w:sz w:val="24"/>
          <w:szCs w:val="24"/>
        </w:rPr>
        <w:t>) using a two-prone strategy. On the one hand, site-level measures of performance (e.g.</w:t>
      </w:r>
      <w:r w:rsidR="0074043F" w:rsidRPr="00C46BE1">
        <w:rPr>
          <w:rFonts w:ascii="Times New Roman" w:hAnsi="Times New Roman" w:cs="Times New Roman"/>
          <w:sz w:val="24"/>
          <w:szCs w:val="24"/>
        </w:rPr>
        <w:t>,</w:t>
      </w:r>
      <w:r w:rsidR="00547235" w:rsidRPr="00C46BE1">
        <w:rPr>
          <w:rFonts w:ascii="Times New Roman" w:hAnsi="Times New Roman" w:cs="Times New Roman"/>
          <w:sz w:val="24"/>
          <w:szCs w:val="24"/>
        </w:rPr>
        <w:t xml:space="preserve"> percentage of clients employed six months after enrollment) adjusted by differences in the composition of the caseload in each site can be estimated with reasonable precision taking advantage of the moderate sample size of clients by site. On the other hand, whenever feasible, quantitative ordinal scores representing the level of fidelity to community support principles on various domains will be derived from the quantitative and qualitative analysis in </w:t>
      </w:r>
      <w:r w:rsidR="003F2553" w:rsidRPr="00C46BE1">
        <w:rPr>
          <w:rFonts w:ascii="Times New Roman" w:hAnsi="Times New Roman" w:cs="Times New Roman"/>
          <w:sz w:val="24"/>
          <w:szCs w:val="24"/>
        </w:rPr>
        <w:t>SCS</w:t>
      </w:r>
      <w:r w:rsidR="00547235" w:rsidRPr="00C46BE1">
        <w:rPr>
          <w:rFonts w:ascii="Times New Roman" w:hAnsi="Times New Roman" w:cs="Times New Roman"/>
          <w:sz w:val="24"/>
          <w:szCs w:val="24"/>
        </w:rPr>
        <w:t xml:space="preserve"> based on the </w:t>
      </w:r>
      <w:r w:rsidR="002748B2" w:rsidRPr="00C46BE1">
        <w:rPr>
          <w:rFonts w:ascii="Times New Roman" w:hAnsi="Times New Roman" w:cs="Times New Roman"/>
          <w:sz w:val="24"/>
          <w:szCs w:val="24"/>
        </w:rPr>
        <w:t>SSA KIIs</w:t>
      </w:r>
      <w:r w:rsidR="00547235" w:rsidRPr="00C46BE1">
        <w:rPr>
          <w:rFonts w:ascii="Times New Roman" w:hAnsi="Times New Roman" w:cs="Times New Roman"/>
          <w:sz w:val="24"/>
          <w:szCs w:val="24"/>
        </w:rPr>
        <w:t xml:space="preserve">, </w:t>
      </w:r>
      <w:r w:rsidR="002748B2" w:rsidRPr="00C46BE1">
        <w:rPr>
          <w:rFonts w:ascii="Times New Roman" w:hAnsi="Times New Roman" w:cs="Times New Roman"/>
          <w:sz w:val="24"/>
          <w:szCs w:val="24"/>
        </w:rPr>
        <w:t xml:space="preserve">BPI, and </w:t>
      </w:r>
      <w:r w:rsidR="00547235" w:rsidRPr="00C46BE1">
        <w:rPr>
          <w:rFonts w:ascii="Times New Roman" w:hAnsi="Times New Roman" w:cs="Times New Roman"/>
          <w:sz w:val="24"/>
          <w:szCs w:val="24"/>
        </w:rPr>
        <w:t xml:space="preserve">Employment Needs </w:t>
      </w:r>
      <w:r w:rsidR="002748B2" w:rsidRPr="00C46BE1">
        <w:rPr>
          <w:rFonts w:ascii="Times New Roman" w:hAnsi="Times New Roman" w:cs="Times New Roman"/>
          <w:sz w:val="24"/>
          <w:szCs w:val="24"/>
        </w:rPr>
        <w:t>FGs</w:t>
      </w:r>
      <w:r w:rsidR="00547235" w:rsidRPr="00C46BE1">
        <w:rPr>
          <w:rFonts w:ascii="Times New Roman" w:hAnsi="Times New Roman" w:cs="Times New Roman"/>
          <w:sz w:val="24"/>
          <w:szCs w:val="24"/>
        </w:rPr>
        <w:t xml:space="preserve">. </w:t>
      </w:r>
    </w:p>
    <w:p w14:paraId="24D984CB" w14:textId="0C6029E9" w:rsidR="00547235" w:rsidRPr="00C46BE1" w:rsidRDefault="00BB15FB" w:rsidP="00547235">
      <w:pPr>
        <w:pStyle w:val="BHTCCBody"/>
        <w:rPr>
          <w:rFonts w:ascii="Times New Roman" w:hAnsi="Times New Roman" w:cs="Times New Roman"/>
          <w:sz w:val="24"/>
          <w:szCs w:val="24"/>
        </w:rPr>
      </w:pPr>
      <w:r w:rsidRPr="00C46BE1">
        <w:rPr>
          <w:rFonts w:ascii="Times New Roman" w:hAnsi="Times New Roman" w:cs="Times New Roman"/>
          <w:sz w:val="24"/>
          <w:szCs w:val="24"/>
        </w:rPr>
        <w:t>The contractor</w:t>
      </w:r>
      <w:r w:rsidR="00547235" w:rsidRPr="00C46BE1">
        <w:rPr>
          <w:rFonts w:ascii="Times New Roman" w:hAnsi="Times New Roman" w:cs="Times New Roman"/>
          <w:sz w:val="24"/>
          <w:szCs w:val="24"/>
        </w:rPr>
        <w:t xml:space="preserve"> acknowledge the analytical challenges involved in the proposed design, because of the numerous, varied, and often unmeasurable factors linking system-level changes to client-level outcomes.</w:t>
      </w:r>
      <w:r w:rsidR="00D01DD2" w:rsidRPr="00C46BE1">
        <w:rPr>
          <w:rFonts w:ascii="Times New Roman" w:hAnsi="Times New Roman" w:cs="Times New Roman"/>
          <w:sz w:val="24"/>
          <w:szCs w:val="24"/>
        </w:rPr>
        <w:t xml:space="preserve"> It is proposed</w:t>
      </w:r>
      <w:r w:rsidR="00547235" w:rsidRPr="00C46BE1">
        <w:rPr>
          <w:rFonts w:ascii="Times New Roman" w:hAnsi="Times New Roman" w:cs="Times New Roman"/>
          <w:sz w:val="24"/>
          <w:szCs w:val="24"/>
        </w:rPr>
        <w:t xml:space="preserve"> that providing an accurate and thorough description of the processes required to build and sustain the programs and how the decisions made at the state level about service delivery and service array (from the </w:t>
      </w:r>
      <w:r w:rsidR="00683D42" w:rsidRPr="00C46BE1">
        <w:rPr>
          <w:rFonts w:ascii="Times New Roman" w:hAnsi="Times New Roman" w:cs="Times New Roman"/>
          <w:sz w:val="24"/>
          <w:szCs w:val="24"/>
        </w:rPr>
        <w:t>SSA KIIs</w:t>
      </w:r>
      <w:r w:rsidR="00547235" w:rsidRPr="00C46BE1">
        <w:rPr>
          <w:rFonts w:ascii="Times New Roman" w:hAnsi="Times New Roman" w:cs="Times New Roman"/>
          <w:sz w:val="24"/>
          <w:szCs w:val="24"/>
        </w:rPr>
        <w:t xml:space="preserve"> and the </w:t>
      </w:r>
      <w:r w:rsidR="00683D42" w:rsidRPr="00C46BE1">
        <w:rPr>
          <w:rFonts w:ascii="Times New Roman" w:hAnsi="Times New Roman" w:cs="Times New Roman"/>
          <w:sz w:val="24"/>
          <w:szCs w:val="24"/>
        </w:rPr>
        <w:t>BPI</w:t>
      </w:r>
      <w:r w:rsidR="00547235" w:rsidRPr="00C46BE1">
        <w:rPr>
          <w:rFonts w:ascii="Times New Roman" w:hAnsi="Times New Roman" w:cs="Times New Roman"/>
          <w:sz w:val="24"/>
          <w:szCs w:val="24"/>
        </w:rPr>
        <w:t xml:space="preserve">) and involvement of key stakeholder organizations (in particular employment specialists and employers through the Employment Needs </w:t>
      </w:r>
      <w:r w:rsidR="00683D42" w:rsidRPr="00C46BE1">
        <w:rPr>
          <w:rFonts w:ascii="Times New Roman" w:hAnsi="Times New Roman" w:cs="Times New Roman"/>
          <w:sz w:val="24"/>
          <w:szCs w:val="24"/>
        </w:rPr>
        <w:t>FGs</w:t>
      </w:r>
      <w:r w:rsidR="00547235" w:rsidRPr="00C46BE1">
        <w:rPr>
          <w:rFonts w:ascii="Times New Roman" w:hAnsi="Times New Roman" w:cs="Times New Roman"/>
          <w:sz w:val="24"/>
          <w:szCs w:val="24"/>
        </w:rPr>
        <w:t xml:space="preserve">) is the first step to overcoming this challenge. </w:t>
      </w:r>
      <w:r w:rsidR="00640C27" w:rsidRPr="00C46BE1">
        <w:rPr>
          <w:rFonts w:ascii="Times New Roman" w:hAnsi="Times New Roman" w:cs="Times New Roman"/>
          <w:sz w:val="24"/>
          <w:szCs w:val="24"/>
        </w:rPr>
        <w:t>E</w:t>
      </w:r>
      <w:r w:rsidR="00547235" w:rsidRPr="00C46BE1">
        <w:rPr>
          <w:rFonts w:ascii="Times New Roman" w:hAnsi="Times New Roman" w:cs="Times New Roman"/>
          <w:sz w:val="24"/>
          <w:szCs w:val="24"/>
        </w:rPr>
        <w:t>xisting and newly</w:t>
      </w:r>
      <w:r w:rsidR="00640C27" w:rsidRPr="00C46BE1">
        <w:rPr>
          <w:rFonts w:ascii="Times New Roman" w:hAnsi="Times New Roman" w:cs="Times New Roman"/>
          <w:sz w:val="24"/>
          <w:szCs w:val="24"/>
        </w:rPr>
        <w:t>-</w:t>
      </w:r>
      <w:r w:rsidR="00547235" w:rsidRPr="00C46BE1">
        <w:rPr>
          <w:rFonts w:ascii="Times New Roman" w:hAnsi="Times New Roman" w:cs="Times New Roman"/>
          <w:sz w:val="24"/>
          <w:szCs w:val="24"/>
        </w:rPr>
        <w:t xml:space="preserve">collected data </w:t>
      </w:r>
      <w:r w:rsidR="00640C27" w:rsidRPr="00C46BE1">
        <w:rPr>
          <w:rFonts w:ascii="Times New Roman" w:hAnsi="Times New Roman" w:cs="Times New Roman"/>
          <w:sz w:val="24"/>
          <w:szCs w:val="24"/>
        </w:rPr>
        <w:t xml:space="preserve">will be used </w:t>
      </w:r>
      <w:r w:rsidR="00547235" w:rsidRPr="00C46BE1">
        <w:rPr>
          <w:rFonts w:ascii="Times New Roman" w:hAnsi="Times New Roman" w:cs="Times New Roman"/>
          <w:sz w:val="24"/>
          <w:szCs w:val="24"/>
        </w:rPr>
        <w:t xml:space="preserve">to conduct analyses of system-level changes to examine differences across subgroups of grantees on the basis of adherence to program principles and/or implementation strategies (e.g., financing, workforce development, collaboration, partnership). As an example, the comparative influences of the various approaches that grantees have to implementation (e.g., cross-agency integration, funding strategies, and sustainability planning) and system development (quantified through the </w:t>
      </w:r>
      <w:r w:rsidR="00683D42" w:rsidRPr="00C46BE1">
        <w:rPr>
          <w:rFonts w:ascii="Times New Roman" w:hAnsi="Times New Roman" w:cs="Times New Roman"/>
          <w:sz w:val="24"/>
          <w:szCs w:val="24"/>
        </w:rPr>
        <w:t>SSA KIIs</w:t>
      </w:r>
      <w:r w:rsidR="00547235" w:rsidRPr="00C46BE1">
        <w:rPr>
          <w:rFonts w:ascii="Times New Roman" w:hAnsi="Times New Roman" w:cs="Times New Roman"/>
          <w:sz w:val="24"/>
          <w:szCs w:val="24"/>
        </w:rPr>
        <w:t>) on client-level outcomes</w:t>
      </w:r>
      <w:r w:rsidR="00640C27" w:rsidRPr="00C46BE1">
        <w:rPr>
          <w:rFonts w:ascii="Times New Roman" w:hAnsi="Times New Roman" w:cs="Times New Roman"/>
          <w:sz w:val="24"/>
          <w:szCs w:val="24"/>
        </w:rPr>
        <w:t xml:space="preserve"> will be examined</w:t>
      </w:r>
      <w:r w:rsidR="00547235" w:rsidRPr="00C46BE1">
        <w:rPr>
          <w:rFonts w:ascii="Times New Roman" w:hAnsi="Times New Roman" w:cs="Times New Roman"/>
          <w:sz w:val="24"/>
          <w:szCs w:val="24"/>
        </w:rPr>
        <w:t xml:space="preserve">. </w:t>
      </w:r>
    </w:p>
    <w:p w14:paraId="47C82581" w14:textId="052B2B37" w:rsidR="00547235" w:rsidRPr="00C46BE1" w:rsidRDefault="00BB15FB" w:rsidP="00547235">
      <w:pPr>
        <w:pStyle w:val="BHTCCBody"/>
        <w:rPr>
          <w:rFonts w:ascii="Times New Roman" w:hAnsi="Times New Roman" w:cs="Times New Roman"/>
          <w:sz w:val="24"/>
          <w:szCs w:val="24"/>
        </w:rPr>
      </w:pPr>
      <w:r w:rsidRPr="00C46BE1">
        <w:rPr>
          <w:rFonts w:ascii="Times New Roman" w:hAnsi="Times New Roman" w:cs="Times New Roman"/>
          <w:sz w:val="24"/>
          <w:szCs w:val="24"/>
        </w:rPr>
        <w:t>The contractor</w:t>
      </w:r>
      <w:r w:rsidR="00547235" w:rsidRPr="00C46BE1">
        <w:rPr>
          <w:rFonts w:ascii="Times New Roman" w:hAnsi="Times New Roman" w:cs="Times New Roman"/>
          <w:sz w:val="24"/>
          <w:szCs w:val="24"/>
        </w:rPr>
        <w:t xml:space="preserve"> will explore whether implementation approaches used by communities or groups of communities have differential impact on program participants or subgroups of program participants. The moderate sample size of clients per grantee, should afford relatively precise estimates of site ‘performance’ disaggregated by client-level characteristics (e.g., gender, age, race/ethnicity). The limited number of sites, on the other hand, should limit the possible disaggregation community-level characteristics. The comparison across sites, nevertheless, can suggest patterns in the relationship among implementation strategies, service utilization, and other client outcomes over time (e.g., clinical and functional outcomes, satisfaction with service experience).</w:t>
      </w:r>
    </w:p>
    <w:p w14:paraId="78FBC783" w14:textId="34B9F0E1" w:rsidR="007D1703" w:rsidRPr="00C46BE1" w:rsidRDefault="007D1703" w:rsidP="00090868">
      <w:pPr>
        <w:pStyle w:val="SuicideBodyText"/>
        <w:numPr>
          <w:ilvl w:val="0"/>
          <w:numId w:val="8"/>
        </w:numPr>
        <w:spacing w:before="360" w:after="120"/>
        <w:rPr>
          <w:rFonts w:ascii="Tw Cen MT" w:hAnsi="Tw Cen MT" w:cs="Arial"/>
          <w:b/>
          <w:sz w:val="28"/>
          <w:szCs w:val="28"/>
        </w:rPr>
      </w:pPr>
      <w:r w:rsidRPr="00C46BE1">
        <w:rPr>
          <w:rFonts w:ascii="Tw Cen MT" w:hAnsi="Tw Cen MT" w:cs="Arial"/>
          <w:b/>
          <w:sz w:val="28"/>
          <w:szCs w:val="28"/>
        </w:rPr>
        <w:t>Display of Expiration Date</w:t>
      </w:r>
    </w:p>
    <w:p w14:paraId="3FF82159" w14:textId="77777777" w:rsidR="00433272" w:rsidRPr="00C46BE1" w:rsidRDefault="007D1703" w:rsidP="00433272">
      <w:pPr>
        <w:pStyle w:val="SuicideBodyText"/>
        <w:spacing w:after="240"/>
        <w:rPr>
          <w:rFonts w:ascii="Arial" w:hAnsi="Arial" w:cs="Arial"/>
          <w:b/>
        </w:rPr>
      </w:pPr>
      <w:r w:rsidRPr="00C46BE1">
        <w:t>All data collection instruments will display the expiration date of OMB approval.</w:t>
      </w:r>
    </w:p>
    <w:p w14:paraId="6E21DA5B" w14:textId="364C0779" w:rsidR="007D1703" w:rsidRPr="00C46BE1" w:rsidRDefault="007D1703" w:rsidP="00090868">
      <w:pPr>
        <w:pStyle w:val="SuicideBodyText"/>
        <w:numPr>
          <w:ilvl w:val="0"/>
          <w:numId w:val="8"/>
        </w:numPr>
        <w:spacing w:before="360" w:after="120"/>
        <w:rPr>
          <w:rFonts w:ascii="Tw Cen MT" w:hAnsi="Tw Cen MT" w:cs="Arial"/>
          <w:b/>
          <w:sz w:val="28"/>
          <w:szCs w:val="28"/>
        </w:rPr>
      </w:pPr>
      <w:r w:rsidRPr="00C46BE1">
        <w:rPr>
          <w:rFonts w:ascii="Tw Cen MT" w:hAnsi="Tw Cen MT" w:cs="Arial"/>
          <w:b/>
          <w:sz w:val="28"/>
          <w:szCs w:val="28"/>
        </w:rPr>
        <w:t>Exceptions to the Certification Statement</w:t>
      </w:r>
    </w:p>
    <w:p w14:paraId="53211EA5" w14:textId="50E369EC" w:rsidR="008B2815" w:rsidRPr="00E947A4" w:rsidRDefault="007D1703" w:rsidP="00622EC5">
      <w:pPr>
        <w:pStyle w:val="SuicideBodyText"/>
        <w:rPr>
          <w:b/>
        </w:rPr>
      </w:pPr>
      <w:r w:rsidRPr="00C46BE1">
        <w:t>This collection of information involves no exceptions to the Certification for Paperwork Reduction Act Submissions.</w:t>
      </w:r>
    </w:p>
    <w:sectPr w:rsidR="008B2815" w:rsidRPr="00E947A4" w:rsidSect="008C1D4A">
      <w:footnotePr>
        <w:numFmt w:val="lowerLetter"/>
      </w:foot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939868" w14:textId="77777777" w:rsidR="00F54C7B" w:rsidRDefault="00F54C7B" w:rsidP="00AC2EE2">
      <w:r>
        <w:separator/>
      </w:r>
    </w:p>
    <w:p w14:paraId="234AC4B2" w14:textId="77777777" w:rsidR="00F54C7B" w:rsidRDefault="00F54C7B"/>
  </w:endnote>
  <w:endnote w:type="continuationSeparator" w:id="0">
    <w:p w14:paraId="768EE929" w14:textId="77777777" w:rsidR="00F54C7B" w:rsidRDefault="00F54C7B" w:rsidP="00AC2EE2">
      <w:r>
        <w:continuationSeparator/>
      </w:r>
    </w:p>
    <w:p w14:paraId="6393B245" w14:textId="77777777" w:rsidR="00F54C7B" w:rsidRDefault="00F54C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Ebrima">
    <w:panose1 w:val="02000000000000000000"/>
    <w:charset w:val="00"/>
    <w:family w:val="auto"/>
    <w:pitch w:val="variable"/>
    <w:sig w:usb0="A000005F" w:usb1="0200004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1259280"/>
      <w:docPartObj>
        <w:docPartGallery w:val="Page Numbers (Bottom of Page)"/>
        <w:docPartUnique/>
      </w:docPartObj>
    </w:sdtPr>
    <w:sdtEndPr>
      <w:rPr>
        <w:noProof/>
      </w:rPr>
    </w:sdtEndPr>
    <w:sdtContent>
      <w:p w14:paraId="7F1D87B7" w14:textId="4E2B1590" w:rsidR="00DE7FEF" w:rsidRDefault="00DE7FEF">
        <w:pPr>
          <w:pStyle w:val="Footer"/>
          <w:jc w:val="center"/>
        </w:pPr>
        <w:r>
          <w:fldChar w:fldCharType="begin"/>
        </w:r>
        <w:r>
          <w:instrText xml:space="preserve"> PAGE   \* MERGEFORMAT </w:instrText>
        </w:r>
        <w:r>
          <w:fldChar w:fldCharType="separate"/>
        </w:r>
        <w:r w:rsidR="0021163D">
          <w:rPr>
            <w:noProof/>
          </w:rPr>
          <w:t>17</w:t>
        </w:r>
        <w:r>
          <w:rPr>
            <w:noProof/>
          </w:rPr>
          <w:fldChar w:fldCharType="end"/>
        </w:r>
      </w:p>
    </w:sdtContent>
  </w:sdt>
  <w:p w14:paraId="099596F8" w14:textId="2DB6076E" w:rsidR="00DE7FEF" w:rsidRPr="00B84513" w:rsidRDefault="00DE7FEF" w:rsidP="008736BA">
    <w:pPr>
      <w:pStyle w:val="Footer"/>
      <w:tabs>
        <w:tab w:val="left" w:pos="6420"/>
      </w:tabs>
      <w:rPr>
        <w:rFonts w:ascii="Tw Cen MT" w:hAnsi="Tw Cen MT"/>
        <w:sz w:val="20"/>
        <w:szCs w:val="20"/>
      </w:rPr>
    </w:pPr>
    <w:r>
      <w:rPr>
        <w:rFonts w:ascii="Tw Cen MT" w:hAnsi="Tw Cen MT"/>
        <w:sz w:val="20"/>
        <w:szCs w:val="20"/>
      </w:rPr>
      <w:tab/>
    </w:r>
    <w:r>
      <w:rPr>
        <w:rFonts w:ascii="Tw Cen MT" w:hAnsi="Tw Cen MT"/>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762637" w14:textId="77777777" w:rsidR="00F54C7B" w:rsidRDefault="00F54C7B" w:rsidP="00AC2EE2">
      <w:r>
        <w:separator/>
      </w:r>
    </w:p>
    <w:p w14:paraId="76A4FAA6" w14:textId="77777777" w:rsidR="00F54C7B" w:rsidRDefault="00F54C7B"/>
  </w:footnote>
  <w:footnote w:type="continuationSeparator" w:id="0">
    <w:p w14:paraId="0D1E065D" w14:textId="77777777" w:rsidR="00F54C7B" w:rsidRDefault="00F54C7B" w:rsidP="00AC2EE2">
      <w:r>
        <w:continuationSeparator/>
      </w:r>
    </w:p>
    <w:p w14:paraId="53E6E112" w14:textId="77777777" w:rsidR="00F54C7B" w:rsidRDefault="00F54C7B"/>
  </w:footnote>
  <w:footnote w:id="1">
    <w:p w14:paraId="0FE97DC9" w14:textId="0AD58C59" w:rsidR="00DE7FEF" w:rsidRDefault="00DE7FEF" w:rsidP="00B40FB1">
      <w:pPr>
        <w:pStyle w:val="FootnoteText"/>
      </w:pPr>
      <w:r>
        <w:rPr>
          <w:rStyle w:val="FootnoteReference"/>
        </w:rPr>
        <w:footnoteRef/>
      </w:r>
      <w:r>
        <w:t xml:space="preserve"> Total respondents represents unduplicated count of: project evaluators, BHTCC stakeholders, and court clerks.</w:t>
      </w:r>
    </w:p>
  </w:footnote>
  <w:footnote w:id="2">
    <w:p w14:paraId="112DF225" w14:textId="77777777" w:rsidR="00DE7FEF" w:rsidRPr="00286C42" w:rsidRDefault="00DE7FEF" w:rsidP="00547235">
      <w:pPr>
        <w:pStyle w:val="BHTCCFootnote"/>
        <w:rPr>
          <w:rFonts w:ascii="Times New Roman" w:hAnsi="Times New Roman" w:cs="Times New Roman"/>
          <w:sz w:val="20"/>
          <w:szCs w:val="20"/>
        </w:rPr>
      </w:pPr>
      <w:r w:rsidRPr="00286C42">
        <w:rPr>
          <w:rStyle w:val="FootnoteReference"/>
          <w:rFonts w:ascii="Times New Roman" w:hAnsi="Times New Roman" w:cs="Times New Roman"/>
          <w:sz w:val="20"/>
          <w:szCs w:val="20"/>
        </w:rPr>
        <w:footnoteRef/>
      </w:r>
      <w:r w:rsidRPr="00286C42">
        <w:rPr>
          <w:rFonts w:ascii="Times New Roman" w:hAnsi="Times New Roman" w:cs="Times New Roman"/>
          <w:sz w:val="20"/>
          <w:szCs w:val="20"/>
        </w:rPr>
        <w:t xml:space="preserve"> While both GEE and mixed-effect models can deal with cross-sectional correlation, they require a large number of clusters (e.g., above 50) to provide valid inference, more clusters than are anticipated in the present application.</w:t>
      </w:r>
    </w:p>
  </w:footnote>
  <w:footnote w:id="3">
    <w:p w14:paraId="2AAF2852" w14:textId="77777777" w:rsidR="00DE7FEF" w:rsidRDefault="00DE7FEF" w:rsidP="00547235">
      <w:pPr>
        <w:pStyle w:val="FootnoteText"/>
      </w:pPr>
      <w:r>
        <w:rPr>
          <w:rStyle w:val="FootnoteReference"/>
        </w:rPr>
        <w:footnoteRef/>
      </w:r>
      <w:r>
        <w:t xml:space="preserve"> This is a data imputation method that uses existing data to fill in missing observations with values predicted by imputation model. </w:t>
      </w:r>
    </w:p>
  </w:footnote>
  <w:footnote w:id="4">
    <w:p w14:paraId="6453A3D2" w14:textId="77777777" w:rsidR="00DE7FEF" w:rsidRPr="006B18B1" w:rsidRDefault="00DE7FEF" w:rsidP="00547235">
      <w:pPr>
        <w:pStyle w:val="BHTCCFootnote"/>
        <w:rPr>
          <w:rFonts w:ascii="Times New Roman" w:hAnsi="Times New Roman" w:cs="Times New Roman"/>
          <w:sz w:val="20"/>
          <w:szCs w:val="20"/>
        </w:rPr>
      </w:pPr>
      <w:r w:rsidRPr="006B18B1">
        <w:rPr>
          <w:rStyle w:val="FootnoteReference"/>
          <w:rFonts w:ascii="Times New Roman" w:hAnsi="Times New Roman" w:cs="Times New Roman"/>
          <w:sz w:val="20"/>
          <w:szCs w:val="20"/>
        </w:rPr>
        <w:footnoteRef/>
      </w:r>
      <w:r w:rsidRPr="006B18B1">
        <w:rPr>
          <w:rFonts w:ascii="Times New Roman" w:hAnsi="Times New Roman" w:cs="Times New Roman"/>
          <w:sz w:val="20"/>
          <w:szCs w:val="20"/>
        </w:rPr>
        <w:t xml:space="preserve"> While both GEE and mixed-effect models can deal with cross-sectional correlation, they require a large number of clusters (e.g., above 50) to provide valid inference, more clusters than are anticipated in the present application.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B98DE" w14:textId="617B5A93" w:rsidR="00DE7FEF" w:rsidRDefault="00DE7FEF">
    <w:pPr>
      <w:pStyle w:val="Header"/>
      <w:jc w:val="right"/>
    </w:pPr>
  </w:p>
  <w:p w14:paraId="4EE2B992" w14:textId="77777777" w:rsidR="00DE7FEF" w:rsidRDefault="00DE7FEF">
    <w:pPr>
      <w:pStyle w:val="Header"/>
    </w:pPr>
  </w:p>
  <w:p w14:paraId="7EF44CC9" w14:textId="77777777" w:rsidR="00DE7FEF" w:rsidRDefault="00DE7FE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0D49C40"/>
    <w:lvl w:ilvl="0">
      <w:start w:val="1"/>
      <w:numFmt w:val="bullet"/>
      <w:pStyle w:val="ListBullet"/>
      <w:lvlText w:val=""/>
      <w:lvlJc w:val="left"/>
      <w:pPr>
        <w:ind w:left="360" w:hanging="360"/>
      </w:pPr>
      <w:rPr>
        <w:rFonts w:ascii="Wingdings" w:hAnsi="Wingdings" w:hint="default"/>
        <w:b w:val="0"/>
        <w:i w:val="0"/>
        <w:color w:val="0067AC"/>
        <w:sz w:val="20"/>
        <w:szCs w:val="22"/>
      </w:rPr>
    </w:lvl>
  </w:abstractNum>
  <w:abstractNum w:abstractNumId="1">
    <w:nsid w:val="01C872A4"/>
    <w:multiLevelType w:val="hybridMultilevel"/>
    <w:tmpl w:val="949CB1DA"/>
    <w:lvl w:ilvl="0" w:tplc="78A4A18C">
      <w:start w:val="1"/>
      <w:numFmt w:val="bullet"/>
      <w:pStyle w:val="TextBoxBullet"/>
      <w:lvlText w:val=""/>
      <w:lvlJc w:val="left"/>
      <w:pPr>
        <w:ind w:left="1080" w:hanging="360"/>
      </w:pPr>
      <w:rPr>
        <w:rFonts w:ascii="Wingdings" w:hAnsi="Wingdings" w:hint="default"/>
        <w:color w:val="FFFFFF" w:themeColor="background1"/>
        <w:sz w:val="16"/>
        <w:szCs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2F51355"/>
    <w:multiLevelType w:val="hybridMultilevel"/>
    <w:tmpl w:val="91B65A16"/>
    <w:lvl w:ilvl="0" w:tplc="6C78DA7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6250B6"/>
    <w:multiLevelType w:val="hybridMultilevel"/>
    <w:tmpl w:val="7DD28312"/>
    <w:lvl w:ilvl="0" w:tplc="5CE083BC">
      <w:start w:val="1"/>
      <w:numFmt w:val="lowerLetter"/>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nsid w:val="05C221F3"/>
    <w:multiLevelType w:val="hybridMultilevel"/>
    <w:tmpl w:val="297A7D0A"/>
    <w:lvl w:ilvl="0" w:tplc="6C1AAAEA">
      <w:start w:val="1"/>
      <w:numFmt w:val="bullet"/>
      <w:lvlText w:val=""/>
      <w:lvlJc w:val="left"/>
      <w:pPr>
        <w:ind w:left="432" w:hanging="288"/>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C8303F"/>
    <w:multiLevelType w:val="hybridMultilevel"/>
    <w:tmpl w:val="CEDA2912"/>
    <w:lvl w:ilvl="0" w:tplc="CA42DCAA">
      <w:start w:val="1"/>
      <w:numFmt w:val="bullet"/>
      <w:lvlText w:val=""/>
      <w:lvlJc w:val="left"/>
      <w:pPr>
        <w:ind w:left="432" w:hanging="288"/>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F939B1"/>
    <w:multiLevelType w:val="hybridMultilevel"/>
    <w:tmpl w:val="493CED78"/>
    <w:lvl w:ilvl="0" w:tplc="04090001">
      <w:start w:val="1"/>
      <w:numFmt w:val="bullet"/>
      <w:pStyle w:val="Level1"/>
      <w:lvlText w:val=""/>
      <w:lvlJc w:val="left"/>
      <w:pPr>
        <w:tabs>
          <w:tab w:val="num" w:pos="1440"/>
        </w:tabs>
        <w:ind w:left="1440" w:hanging="360"/>
      </w:pPr>
      <w:rPr>
        <w:rFonts w:ascii="Symbol" w:hAnsi="Symbol" w:hint="default"/>
      </w:rPr>
    </w:lvl>
    <w:lvl w:ilvl="1" w:tplc="31D8A8D6">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10664318"/>
    <w:multiLevelType w:val="hybridMultilevel"/>
    <w:tmpl w:val="CEBA701A"/>
    <w:lvl w:ilvl="0" w:tplc="B23ADCA0">
      <w:start w:val="1"/>
      <w:numFmt w:val="decimal"/>
      <w:lvlText w:val="%1."/>
      <w:lvlJc w:val="left"/>
      <w:pPr>
        <w:ind w:left="360" w:hanging="360"/>
      </w:pPr>
      <w:rPr>
        <w:b/>
      </w:rPr>
    </w:lvl>
    <w:lvl w:ilvl="1" w:tplc="B9267F32">
      <w:start w:val="1"/>
      <w:numFmt w:val="lowerLetter"/>
      <w:lvlText w:val="%2."/>
      <w:lvlJc w:val="left"/>
      <w:pPr>
        <w:ind w:left="720" w:hanging="360"/>
      </w:pPr>
      <w:rPr>
        <w:rFonts w:hint="default"/>
      </w:rPr>
    </w:lvl>
    <w:lvl w:ilvl="2" w:tplc="645C8230">
      <w:start w:val="1"/>
      <w:numFmt w:val="decimal"/>
      <w:lvlText w:val="%3)"/>
      <w:lvlJc w:val="left"/>
      <w:pPr>
        <w:ind w:left="10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33219BE"/>
    <w:multiLevelType w:val="hybridMultilevel"/>
    <w:tmpl w:val="91A4D8F2"/>
    <w:lvl w:ilvl="0" w:tplc="68D29C74">
      <w:start w:val="1"/>
      <w:numFmt w:val="bullet"/>
      <w:pStyle w:val="SuicideBullet1"/>
      <w:lvlText w:val=""/>
      <w:lvlJc w:val="left"/>
      <w:pPr>
        <w:tabs>
          <w:tab w:val="num" w:pos="2880"/>
        </w:tabs>
        <w:ind w:left="2880" w:hanging="360"/>
      </w:pPr>
      <w:rPr>
        <w:rFonts w:ascii="Symbol" w:hAnsi="Symbol" w:hint="default"/>
        <w:color w:val="auto"/>
      </w:rPr>
    </w:lvl>
    <w:lvl w:ilvl="1" w:tplc="04090003">
      <w:start w:val="1"/>
      <w:numFmt w:val="bullet"/>
      <w:lvlText w:val="o"/>
      <w:lvlJc w:val="left"/>
      <w:pPr>
        <w:tabs>
          <w:tab w:val="num" w:pos="3600"/>
        </w:tabs>
        <w:ind w:left="3600" w:hanging="360"/>
      </w:pPr>
      <w:rPr>
        <w:rFonts w:ascii="Courier New" w:hAnsi="Courier New" w:hint="default"/>
      </w:rPr>
    </w:lvl>
    <w:lvl w:ilvl="2" w:tplc="E3BADCD4">
      <w:numFmt w:val="bullet"/>
      <w:lvlText w:val="-"/>
      <w:lvlJc w:val="left"/>
      <w:pPr>
        <w:tabs>
          <w:tab w:val="num" w:pos="4320"/>
        </w:tabs>
        <w:ind w:left="4320" w:hanging="360"/>
      </w:pPr>
      <w:rPr>
        <w:rFonts w:ascii="Times New Roman" w:eastAsia="Times New Roman" w:hAnsi="Times New Roman" w:cs="Times New Roman"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9">
    <w:nsid w:val="154359BC"/>
    <w:multiLevelType w:val="hybridMultilevel"/>
    <w:tmpl w:val="8662DF5E"/>
    <w:lvl w:ilvl="0" w:tplc="6C1AAAEA">
      <w:start w:val="1"/>
      <w:numFmt w:val="bullet"/>
      <w:lvlText w:val=""/>
      <w:lvlJc w:val="left"/>
      <w:pPr>
        <w:ind w:left="432" w:hanging="288"/>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210791"/>
    <w:multiLevelType w:val="hybridMultilevel"/>
    <w:tmpl w:val="BD1A1B34"/>
    <w:lvl w:ilvl="0" w:tplc="1390BB0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A5331A"/>
    <w:multiLevelType w:val="hybridMultilevel"/>
    <w:tmpl w:val="566869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F1056B"/>
    <w:multiLevelType w:val="hybridMultilevel"/>
    <w:tmpl w:val="25AA71D4"/>
    <w:lvl w:ilvl="0" w:tplc="70A61A9C">
      <w:start w:val="1"/>
      <w:numFmt w:val="bullet"/>
      <w:lvlText w:val=""/>
      <w:lvlJc w:val="left"/>
      <w:pPr>
        <w:ind w:left="432" w:hanging="288"/>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59059B"/>
    <w:multiLevelType w:val="hybridMultilevel"/>
    <w:tmpl w:val="8200A9FE"/>
    <w:lvl w:ilvl="0" w:tplc="3FAC3C5E">
      <w:start w:val="1"/>
      <w:numFmt w:val="bullet"/>
      <w:lvlText w:val=""/>
      <w:lvlJc w:val="left"/>
      <w:pPr>
        <w:ind w:left="432" w:hanging="288"/>
      </w:pPr>
      <w:rPr>
        <w:rFonts w:ascii="Wingdings" w:hAnsi="Wingdings" w:hint="default"/>
        <w:color w:val="auto"/>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14">
    <w:nsid w:val="1D964DC0"/>
    <w:multiLevelType w:val="hybridMultilevel"/>
    <w:tmpl w:val="AD0E6610"/>
    <w:lvl w:ilvl="0" w:tplc="EF24D7E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BD0B2B"/>
    <w:multiLevelType w:val="hybridMultilevel"/>
    <w:tmpl w:val="22346ACC"/>
    <w:lvl w:ilvl="0" w:tplc="04090005">
      <w:start w:val="1"/>
      <w:numFmt w:val="bullet"/>
      <w:lvlText w:val=""/>
      <w:lvlJc w:val="left"/>
      <w:pPr>
        <w:ind w:left="514" w:hanging="360"/>
      </w:pPr>
      <w:rPr>
        <w:rFonts w:ascii="Wingdings" w:hAnsi="Wingdings" w:hint="default"/>
      </w:rPr>
    </w:lvl>
    <w:lvl w:ilvl="1" w:tplc="04090003">
      <w:start w:val="1"/>
      <w:numFmt w:val="bullet"/>
      <w:lvlText w:val="o"/>
      <w:lvlJc w:val="left"/>
      <w:pPr>
        <w:ind w:left="1234" w:hanging="360"/>
      </w:pPr>
      <w:rPr>
        <w:rFonts w:ascii="Courier New" w:hAnsi="Courier New" w:cs="Courier New" w:hint="default"/>
      </w:rPr>
    </w:lvl>
    <w:lvl w:ilvl="2" w:tplc="04090005" w:tentative="1">
      <w:start w:val="1"/>
      <w:numFmt w:val="bullet"/>
      <w:lvlText w:val=""/>
      <w:lvlJc w:val="left"/>
      <w:pPr>
        <w:ind w:left="1954" w:hanging="360"/>
      </w:pPr>
      <w:rPr>
        <w:rFonts w:ascii="Wingdings" w:hAnsi="Wingdings" w:hint="default"/>
      </w:rPr>
    </w:lvl>
    <w:lvl w:ilvl="3" w:tplc="04090001" w:tentative="1">
      <w:start w:val="1"/>
      <w:numFmt w:val="bullet"/>
      <w:lvlText w:val=""/>
      <w:lvlJc w:val="left"/>
      <w:pPr>
        <w:ind w:left="2674" w:hanging="360"/>
      </w:pPr>
      <w:rPr>
        <w:rFonts w:ascii="Symbol" w:hAnsi="Symbol" w:hint="default"/>
      </w:rPr>
    </w:lvl>
    <w:lvl w:ilvl="4" w:tplc="04090003" w:tentative="1">
      <w:start w:val="1"/>
      <w:numFmt w:val="bullet"/>
      <w:lvlText w:val="o"/>
      <w:lvlJc w:val="left"/>
      <w:pPr>
        <w:ind w:left="3394" w:hanging="360"/>
      </w:pPr>
      <w:rPr>
        <w:rFonts w:ascii="Courier New" w:hAnsi="Courier New" w:cs="Courier New" w:hint="default"/>
      </w:rPr>
    </w:lvl>
    <w:lvl w:ilvl="5" w:tplc="04090005" w:tentative="1">
      <w:start w:val="1"/>
      <w:numFmt w:val="bullet"/>
      <w:lvlText w:val=""/>
      <w:lvlJc w:val="left"/>
      <w:pPr>
        <w:ind w:left="4114" w:hanging="360"/>
      </w:pPr>
      <w:rPr>
        <w:rFonts w:ascii="Wingdings" w:hAnsi="Wingdings" w:hint="default"/>
      </w:rPr>
    </w:lvl>
    <w:lvl w:ilvl="6" w:tplc="04090001" w:tentative="1">
      <w:start w:val="1"/>
      <w:numFmt w:val="bullet"/>
      <w:lvlText w:val=""/>
      <w:lvlJc w:val="left"/>
      <w:pPr>
        <w:ind w:left="4834" w:hanging="360"/>
      </w:pPr>
      <w:rPr>
        <w:rFonts w:ascii="Symbol" w:hAnsi="Symbol" w:hint="default"/>
      </w:rPr>
    </w:lvl>
    <w:lvl w:ilvl="7" w:tplc="04090003" w:tentative="1">
      <w:start w:val="1"/>
      <w:numFmt w:val="bullet"/>
      <w:lvlText w:val="o"/>
      <w:lvlJc w:val="left"/>
      <w:pPr>
        <w:ind w:left="5554" w:hanging="360"/>
      </w:pPr>
      <w:rPr>
        <w:rFonts w:ascii="Courier New" w:hAnsi="Courier New" w:cs="Courier New" w:hint="default"/>
      </w:rPr>
    </w:lvl>
    <w:lvl w:ilvl="8" w:tplc="04090005" w:tentative="1">
      <w:start w:val="1"/>
      <w:numFmt w:val="bullet"/>
      <w:lvlText w:val=""/>
      <w:lvlJc w:val="left"/>
      <w:pPr>
        <w:ind w:left="6274" w:hanging="360"/>
      </w:pPr>
      <w:rPr>
        <w:rFonts w:ascii="Wingdings" w:hAnsi="Wingdings" w:hint="default"/>
      </w:rPr>
    </w:lvl>
  </w:abstractNum>
  <w:abstractNum w:abstractNumId="16">
    <w:nsid w:val="1DD077B7"/>
    <w:multiLevelType w:val="hybridMultilevel"/>
    <w:tmpl w:val="4F4C8B06"/>
    <w:lvl w:ilvl="0" w:tplc="CCFA1BDE">
      <w:start w:val="1"/>
      <w:numFmt w:val="bullet"/>
      <w:lvlText w:val=""/>
      <w:lvlJc w:val="left"/>
      <w:pPr>
        <w:ind w:left="696" w:hanging="360"/>
      </w:pPr>
      <w:rPr>
        <w:rFonts w:ascii="Wingdings" w:hAnsi="Wingdings" w:hint="default"/>
        <w:color w:val="auto"/>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17">
    <w:nsid w:val="1E10754C"/>
    <w:multiLevelType w:val="hybridMultilevel"/>
    <w:tmpl w:val="5A4EF3E6"/>
    <w:lvl w:ilvl="0" w:tplc="CA42DCAA">
      <w:start w:val="1"/>
      <w:numFmt w:val="bullet"/>
      <w:lvlText w:val=""/>
      <w:lvlJc w:val="left"/>
      <w:pPr>
        <w:ind w:left="288" w:hanging="288"/>
      </w:pPr>
      <w:rPr>
        <w:rFonts w:ascii="Wingdings" w:hAnsi="Wingdings"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8">
    <w:nsid w:val="1FEE309D"/>
    <w:multiLevelType w:val="hybridMultilevel"/>
    <w:tmpl w:val="DD42B6D2"/>
    <w:lvl w:ilvl="0" w:tplc="CA42DCAA">
      <w:start w:val="1"/>
      <w:numFmt w:val="bullet"/>
      <w:lvlText w:val=""/>
      <w:lvlJc w:val="left"/>
      <w:pPr>
        <w:ind w:left="442" w:hanging="288"/>
      </w:pPr>
      <w:rPr>
        <w:rFonts w:ascii="Wingdings" w:hAnsi="Wingdings"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9">
    <w:nsid w:val="25567BF6"/>
    <w:multiLevelType w:val="hybridMultilevel"/>
    <w:tmpl w:val="B6E033F4"/>
    <w:lvl w:ilvl="0" w:tplc="6A7C8DD6">
      <w:start w:val="1"/>
      <w:numFmt w:val="bullet"/>
      <w:pStyle w:val="ReportBullet1"/>
      <w:lvlText w:val=""/>
      <w:lvlJc w:val="left"/>
      <w:pPr>
        <w:tabs>
          <w:tab w:val="num" w:pos="432"/>
        </w:tabs>
        <w:ind w:left="432" w:hanging="432"/>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88415E5"/>
    <w:multiLevelType w:val="hybridMultilevel"/>
    <w:tmpl w:val="A8101AB2"/>
    <w:lvl w:ilvl="0" w:tplc="6122C8F6">
      <w:start w:val="1"/>
      <w:numFmt w:val="bullet"/>
      <w:pStyle w:val="BHTCCBullet1"/>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94E4128"/>
    <w:multiLevelType w:val="hybridMultilevel"/>
    <w:tmpl w:val="65828CF2"/>
    <w:lvl w:ilvl="0" w:tplc="04090001">
      <w:start w:val="1"/>
      <w:numFmt w:val="bullet"/>
      <w:lvlText w:val=""/>
      <w:lvlJc w:val="left"/>
      <w:pPr>
        <w:ind w:left="1440" w:hanging="360"/>
      </w:pPr>
      <w:rPr>
        <w:rFonts w:ascii="Symbol" w:hAnsi="Symbol" w:hint="default"/>
      </w:rPr>
    </w:lvl>
    <w:lvl w:ilvl="1" w:tplc="805CADFE">
      <w:start w:val="1"/>
      <w:numFmt w:val="bullet"/>
      <w:pStyle w:val="SuicideBullet2"/>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2C946825"/>
    <w:multiLevelType w:val="hybridMultilevel"/>
    <w:tmpl w:val="CF42CE4E"/>
    <w:lvl w:ilvl="0" w:tplc="B3E4B150">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1F4260F"/>
    <w:multiLevelType w:val="hybridMultilevel"/>
    <w:tmpl w:val="91EC7F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238485F"/>
    <w:multiLevelType w:val="hybridMultilevel"/>
    <w:tmpl w:val="9A2E6A42"/>
    <w:lvl w:ilvl="0" w:tplc="E6D4D02C">
      <w:start w:val="1"/>
      <w:numFmt w:val="lowerLetter"/>
      <w:pStyle w:val="SuicideHead3"/>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5901AC0"/>
    <w:multiLevelType w:val="hybridMultilevel"/>
    <w:tmpl w:val="B420AEC0"/>
    <w:lvl w:ilvl="0" w:tplc="D202283C">
      <w:start w:val="2"/>
      <w:numFmt w:val="decimal"/>
      <w:lvlText w:val="%1."/>
      <w:lvlJc w:val="left"/>
      <w:pPr>
        <w:ind w:left="504" w:hanging="504"/>
      </w:pPr>
      <w:rPr>
        <w:rFonts w:hint="default"/>
      </w:rPr>
    </w:lvl>
    <w:lvl w:ilvl="1" w:tplc="9A1EEB3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35C506BD"/>
    <w:multiLevelType w:val="hybridMultilevel"/>
    <w:tmpl w:val="5EEE470C"/>
    <w:lvl w:ilvl="0" w:tplc="FC58508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9217355"/>
    <w:multiLevelType w:val="hybridMultilevel"/>
    <w:tmpl w:val="A6242718"/>
    <w:lvl w:ilvl="0" w:tplc="6C1AAAEA">
      <w:start w:val="1"/>
      <w:numFmt w:val="bullet"/>
      <w:lvlText w:val=""/>
      <w:lvlJc w:val="left"/>
      <w:pPr>
        <w:ind w:left="432" w:hanging="288"/>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D0A7BB4"/>
    <w:multiLevelType w:val="hybridMultilevel"/>
    <w:tmpl w:val="72E67A6A"/>
    <w:lvl w:ilvl="0" w:tplc="FC58508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136" w:hanging="360"/>
      </w:pPr>
      <w:rPr>
        <w:rFonts w:ascii="Courier New" w:hAnsi="Courier New" w:cs="Courier New" w:hint="default"/>
      </w:rPr>
    </w:lvl>
    <w:lvl w:ilvl="2" w:tplc="04090005" w:tentative="1">
      <w:start w:val="1"/>
      <w:numFmt w:val="bullet"/>
      <w:lvlText w:val=""/>
      <w:lvlJc w:val="left"/>
      <w:pPr>
        <w:ind w:left="1856" w:hanging="360"/>
      </w:pPr>
      <w:rPr>
        <w:rFonts w:ascii="Wingdings" w:hAnsi="Wingdings" w:hint="default"/>
      </w:rPr>
    </w:lvl>
    <w:lvl w:ilvl="3" w:tplc="04090001" w:tentative="1">
      <w:start w:val="1"/>
      <w:numFmt w:val="bullet"/>
      <w:lvlText w:val=""/>
      <w:lvlJc w:val="left"/>
      <w:pPr>
        <w:ind w:left="2576" w:hanging="360"/>
      </w:pPr>
      <w:rPr>
        <w:rFonts w:ascii="Symbol" w:hAnsi="Symbol" w:hint="default"/>
      </w:rPr>
    </w:lvl>
    <w:lvl w:ilvl="4" w:tplc="04090003" w:tentative="1">
      <w:start w:val="1"/>
      <w:numFmt w:val="bullet"/>
      <w:lvlText w:val="o"/>
      <w:lvlJc w:val="left"/>
      <w:pPr>
        <w:ind w:left="3296" w:hanging="360"/>
      </w:pPr>
      <w:rPr>
        <w:rFonts w:ascii="Courier New" w:hAnsi="Courier New" w:cs="Courier New" w:hint="default"/>
      </w:rPr>
    </w:lvl>
    <w:lvl w:ilvl="5" w:tplc="04090005" w:tentative="1">
      <w:start w:val="1"/>
      <w:numFmt w:val="bullet"/>
      <w:lvlText w:val=""/>
      <w:lvlJc w:val="left"/>
      <w:pPr>
        <w:ind w:left="4016" w:hanging="360"/>
      </w:pPr>
      <w:rPr>
        <w:rFonts w:ascii="Wingdings" w:hAnsi="Wingdings" w:hint="default"/>
      </w:rPr>
    </w:lvl>
    <w:lvl w:ilvl="6" w:tplc="04090001" w:tentative="1">
      <w:start w:val="1"/>
      <w:numFmt w:val="bullet"/>
      <w:lvlText w:val=""/>
      <w:lvlJc w:val="left"/>
      <w:pPr>
        <w:ind w:left="4736" w:hanging="360"/>
      </w:pPr>
      <w:rPr>
        <w:rFonts w:ascii="Symbol" w:hAnsi="Symbol" w:hint="default"/>
      </w:rPr>
    </w:lvl>
    <w:lvl w:ilvl="7" w:tplc="04090003" w:tentative="1">
      <w:start w:val="1"/>
      <w:numFmt w:val="bullet"/>
      <w:lvlText w:val="o"/>
      <w:lvlJc w:val="left"/>
      <w:pPr>
        <w:ind w:left="5456" w:hanging="360"/>
      </w:pPr>
      <w:rPr>
        <w:rFonts w:ascii="Courier New" w:hAnsi="Courier New" w:cs="Courier New" w:hint="default"/>
      </w:rPr>
    </w:lvl>
    <w:lvl w:ilvl="8" w:tplc="04090005" w:tentative="1">
      <w:start w:val="1"/>
      <w:numFmt w:val="bullet"/>
      <w:lvlText w:val=""/>
      <w:lvlJc w:val="left"/>
      <w:pPr>
        <w:ind w:left="6176" w:hanging="360"/>
      </w:pPr>
      <w:rPr>
        <w:rFonts w:ascii="Wingdings" w:hAnsi="Wingdings" w:hint="default"/>
      </w:rPr>
    </w:lvl>
  </w:abstractNum>
  <w:abstractNum w:abstractNumId="29">
    <w:nsid w:val="3FF25B8A"/>
    <w:multiLevelType w:val="hybridMultilevel"/>
    <w:tmpl w:val="5B92855A"/>
    <w:lvl w:ilvl="0" w:tplc="600658F8">
      <w:start w:val="1"/>
      <w:numFmt w:val="lowerLetter"/>
      <w:lvlText w:val="%1."/>
      <w:lvlJc w:val="left"/>
      <w:pPr>
        <w:ind w:left="720" w:hanging="360"/>
      </w:pPr>
      <w:rPr>
        <w:rFonts w:ascii="Tw Cen MT" w:hAnsi="Tw Cen MT" w:hint="default"/>
        <w:b/>
        <w:color w:val="auto"/>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41F26C7"/>
    <w:multiLevelType w:val="hybridMultilevel"/>
    <w:tmpl w:val="D86AFA92"/>
    <w:lvl w:ilvl="0" w:tplc="CA42DCAA">
      <w:start w:val="1"/>
      <w:numFmt w:val="bullet"/>
      <w:lvlText w:val=""/>
      <w:lvlJc w:val="left"/>
      <w:pPr>
        <w:ind w:left="288" w:hanging="288"/>
      </w:pPr>
      <w:rPr>
        <w:rFonts w:ascii="Wingdings" w:hAnsi="Wingdings"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1">
    <w:nsid w:val="44C5028B"/>
    <w:multiLevelType w:val="hybridMultilevel"/>
    <w:tmpl w:val="5B5C7306"/>
    <w:lvl w:ilvl="0" w:tplc="CF466E50">
      <w:start w:val="1"/>
      <w:numFmt w:val="lowerLetter"/>
      <w:lvlText w:val="%1."/>
      <w:lvlJc w:val="left"/>
      <w:pPr>
        <w:ind w:left="432" w:hanging="288"/>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5BC751D"/>
    <w:multiLevelType w:val="hybridMultilevel"/>
    <w:tmpl w:val="DD34D534"/>
    <w:lvl w:ilvl="0" w:tplc="EA02D4D2">
      <w:start w:val="1"/>
      <w:numFmt w:val="bullet"/>
      <w:pStyle w:val="GLSBullet2"/>
      <w:lvlText w:val=""/>
      <w:lvlJc w:val="left"/>
      <w:pPr>
        <w:ind w:left="1080" w:hanging="360"/>
      </w:pPr>
      <w:rPr>
        <w:rFonts w:ascii="Symbol" w:hAnsi="Symbol" w:cs="Times New Roman" w:hint="default"/>
        <w:b w:val="0"/>
        <w:bCs w:val="0"/>
        <w:i w:val="0"/>
        <w:caps w:val="0"/>
        <w:smallCaps w:val="0"/>
        <w:strike w:val="0"/>
        <w:dstrike w:val="0"/>
        <w:vanish w:val="0"/>
        <w:color w:val="auto"/>
        <w:spacing w:val="0"/>
        <w:kern w:val="0"/>
        <w:position w:val="0"/>
        <w:sz w:val="20"/>
        <w:u w:val="none"/>
        <w:vertAlign w:val="baseline"/>
        <w:em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45DB2D77"/>
    <w:multiLevelType w:val="hybridMultilevel"/>
    <w:tmpl w:val="F65E2300"/>
    <w:lvl w:ilvl="0" w:tplc="6C1AAAEA">
      <w:start w:val="1"/>
      <w:numFmt w:val="bullet"/>
      <w:lvlText w:val=""/>
      <w:lvlJc w:val="left"/>
      <w:pPr>
        <w:ind w:left="432" w:hanging="288"/>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5EB11E4"/>
    <w:multiLevelType w:val="hybridMultilevel"/>
    <w:tmpl w:val="0A68782C"/>
    <w:lvl w:ilvl="0" w:tplc="B290E7FC">
      <w:start w:val="1"/>
      <w:numFmt w:val="bullet"/>
      <w:pStyle w:val="BHTCCTextBoxBullet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1451D57"/>
    <w:multiLevelType w:val="hybridMultilevel"/>
    <w:tmpl w:val="6AA22DE8"/>
    <w:lvl w:ilvl="0" w:tplc="0CFED582">
      <w:start w:val="1"/>
      <w:numFmt w:val="bullet"/>
      <w:lvlText w:val=""/>
      <w:lvlJc w:val="left"/>
      <w:pPr>
        <w:ind w:left="432" w:hanging="288"/>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45454A7"/>
    <w:multiLevelType w:val="hybridMultilevel"/>
    <w:tmpl w:val="B76887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6A24C6D"/>
    <w:multiLevelType w:val="hybridMultilevel"/>
    <w:tmpl w:val="6D0E14FE"/>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5B5A4BA4"/>
    <w:multiLevelType w:val="hybridMultilevel"/>
    <w:tmpl w:val="2174D916"/>
    <w:lvl w:ilvl="0" w:tplc="0B82F19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D293BFC"/>
    <w:multiLevelType w:val="hybridMultilevel"/>
    <w:tmpl w:val="D3F28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DB93F3C"/>
    <w:multiLevelType w:val="hybridMultilevel"/>
    <w:tmpl w:val="748491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0B65F14"/>
    <w:multiLevelType w:val="hybridMultilevel"/>
    <w:tmpl w:val="96780424"/>
    <w:lvl w:ilvl="0" w:tplc="6C1AAAEA">
      <w:start w:val="1"/>
      <w:numFmt w:val="bullet"/>
      <w:lvlText w:val=""/>
      <w:lvlJc w:val="left"/>
      <w:pPr>
        <w:ind w:left="432" w:hanging="288"/>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49A3D1F"/>
    <w:multiLevelType w:val="hybridMultilevel"/>
    <w:tmpl w:val="623E5EA6"/>
    <w:lvl w:ilvl="0" w:tplc="6C1AAAEA">
      <w:start w:val="1"/>
      <w:numFmt w:val="bullet"/>
      <w:lvlText w:val=""/>
      <w:lvlJc w:val="left"/>
      <w:pPr>
        <w:ind w:left="432" w:hanging="288"/>
      </w:pPr>
      <w:rPr>
        <w:rFonts w:ascii="Wingdings" w:hAnsi="Wingdings"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43">
    <w:nsid w:val="71EB1B8D"/>
    <w:multiLevelType w:val="hybridMultilevel"/>
    <w:tmpl w:val="976EE8D4"/>
    <w:lvl w:ilvl="0" w:tplc="EC0649E8">
      <w:start w:val="1"/>
      <w:numFmt w:val="bullet"/>
      <w:pStyle w:val="CalloutBulletBlue"/>
      <w:lvlText w:val=""/>
      <w:lvlJc w:val="left"/>
      <w:pPr>
        <w:ind w:left="720" w:hanging="360"/>
      </w:pPr>
      <w:rPr>
        <w:rFonts w:ascii="Wingdings" w:hAnsi="Wingdings" w:hint="default"/>
        <w:b w:val="0"/>
        <w:bCs w:val="0"/>
        <w:i w:val="0"/>
        <w:iCs w:val="0"/>
        <w:caps w:val="0"/>
        <w:smallCaps w:val="0"/>
        <w:strike w:val="0"/>
        <w:dstrike w:val="0"/>
        <w:noProof w:val="0"/>
        <w:snapToGrid w:val="0"/>
        <w:vanish w:val="0"/>
        <w:color w:val="0067AC"/>
        <w:spacing w:val="0"/>
        <w:w w:val="0"/>
        <w:kern w:val="0"/>
        <w:position w:val="0"/>
        <w:sz w:val="20"/>
        <w:szCs w:val="20"/>
        <w:u w:val="none"/>
        <w:vertAlign w:val="baseline"/>
        <w:em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5476C80"/>
    <w:multiLevelType w:val="hybridMultilevel"/>
    <w:tmpl w:val="5A724A36"/>
    <w:lvl w:ilvl="0" w:tplc="D202283C">
      <w:start w:val="2"/>
      <w:numFmt w:val="decimal"/>
      <w:lvlText w:val="%1."/>
      <w:lvlJc w:val="left"/>
      <w:pPr>
        <w:ind w:left="518" w:hanging="504"/>
      </w:pPr>
      <w:rPr>
        <w:rFonts w:hint="default"/>
      </w:rPr>
    </w:lvl>
    <w:lvl w:ilvl="1" w:tplc="FC58508C">
      <w:start w:val="1"/>
      <w:numFmt w:val="bullet"/>
      <w:lvlText w:val=""/>
      <w:lvlJc w:val="left"/>
      <w:pPr>
        <w:ind w:left="1094" w:hanging="360"/>
      </w:pPr>
      <w:rPr>
        <w:rFonts w:ascii="Wingdings" w:hAnsi="Wingdings" w:hint="default"/>
      </w:r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45">
    <w:nsid w:val="759C359E"/>
    <w:multiLevelType w:val="hybridMultilevel"/>
    <w:tmpl w:val="EB6C1C76"/>
    <w:lvl w:ilvl="0" w:tplc="21F0475C">
      <w:start w:val="1"/>
      <w:numFmt w:val="bullet"/>
      <w:pStyle w:val="GLSTableBullet2"/>
      <w:lvlText w:val=""/>
      <w:lvlJc w:val="left"/>
      <w:pPr>
        <w:ind w:left="-630" w:hanging="360"/>
      </w:pPr>
      <w:rPr>
        <w:rFonts w:ascii="Symbol" w:hAnsi="Symbol" w:cs="Times New Roman" w:hint="default"/>
        <w:b w:val="0"/>
        <w:bCs w:val="0"/>
        <w:i w:val="0"/>
        <w:caps w:val="0"/>
        <w:smallCaps w:val="0"/>
        <w:strike w:val="0"/>
        <w:dstrike w:val="0"/>
        <w:vanish w:val="0"/>
        <w:color w:val="auto"/>
        <w:spacing w:val="0"/>
        <w:kern w:val="0"/>
        <w:position w:val="0"/>
        <w:u w:val="none"/>
        <w:vertAlign w:val="baseline"/>
        <w:em w:val="none"/>
      </w:rPr>
    </w:lvl>
    <w:lvl w:ilvl="1" w:tplc="04090003" w:tentative="1">
      <w:start w:val="1"/>
      <w:numFmt w:val="bullet"/>
      <w:lvlText w:val="o"/>
      <w:lvlJc w:val="left"/>
      <w:pPr>
        <w:ind w:left="90" w:hanging="360"/>
      </w:pPr>
      <w:rPr>
        <w:rFonts w:ascii="Courier New" w:hAnsi="Courier New" w:cs="Courier New" w:hint="default"/>
      </w:rPr>
    </w:lvl>
    <w:lvl w:ilvl="2" w:tplc="04090005" w:tentative="1">
      <w:start w:val="1"/>
      <w:numFmt w:val="bullet"/>
      <w:lvlText w:val=""/>
      <w:lvlJc w:val="left"/>
      <w:pPr>
        <w:ind w:left="810" w:hanging="360"/>
      </w:pPr>
      <w:rPr>
        <w:rFonts w:ascii="Wingdings" w:hAnsi="Wingdings" w:hint="default"/>
      </w:rPr>
    </w:lvl>
    <w:lvl w:ilvl="3" w:tplc="04090001" w:tentative="1">
      <w:start w:val="1"/>
      <w:numFmt w:val="bullet"/>
      <w:lvlText w:val=""/>
      <w:lvlJc w:val="left"/>
      <w:pPr>
        <w:ind w:left="1530" w:hanging="360"/>
      </w:pPr>
      <w:rPr>
        <w:rFonts w:ascii="Symbol" w:hAnsi="Symbol" w:hint="default"/>
      </w:rPr>
    </w:lvl>
    <w:lvl w:ilvl="4" w:tplc="04090003" w:tentative="1">
      <w:start w:val="1"/>
      <w:numFmt w:val="bullet"/>
      <w:lvlText w:val="o"/>
      <w:lvlJc w:val="left"/>
      <w:pPr>
        <w:ind w:left="2250" w:hanging="360"/>
      </w:pPr>
      <w:rPr>
        <w:rFonts w:ascii="Courier New" w:hAnsi="Courier New" w:cs="Courier New" w:hint="default"/>
      </w:rPr>
    </w:lvl>
    <w:lvl w:ilvl="5" w:tplc="04090005" w:tentative="1">
      <w:start w:val="1"/>
      <w:numFmt w:val="bullet"/>
      <w:lvlText w:val=""/>
      <w:lvlJc w:val="left"/>
      <w:pPr>
        <w:ind w:left="2970" w:hanging="360"/>
      </w:pPr>
      <w:rPr>
        <w:rFonts w:ascii="Wingdings" w:hAnsi="Wingdings" w:hint="default"/>
      </w:rPr>
    </w:lvl>
    <w:lvl w:ilvl="6" w:tplc="04090001" w:tentative="1">
      <w:start w:val="1"/>
      <w:numFmt w:val="bullet"/>
      <w:lvlText w:val=""/>
      <w:lvlJc w:val="left"/>
      <w:pPr>
        <w:ind w:left="3690" w:hanging="360"/>
      </w:pPr>
      <w:rPr>
        <w:rFonts w:ascii="Symbol" w:hAnsi="Symbol" w:hint="default"/>
      </w:rPr>
    </w:lvl>
    <w:lvl w:ilvl="7" w:tplc="04090003" w:tentative="1">
      <w:start w:val="1"/>
      <w:numFmt w:val="bullet"/>
      <w:lvlText w:val="o"/>
      <w:lvlJc w:val="left"/>
      <w:pPr>
        <w:ind w:left="4410" w:hanging="360"/>
      </w:pPr>
      <w:rPr>
        <w:rFonts w:ascii="Courier New" w:hAnsi="Courier New" w:cs="Courier New" w:hint="default"/>
      </w:rPr>
    </w:lvl>
    <w:lvl w:ilvl="8" w:tplc="04090005" w:tentative="1">
      <w:start w:val="1"/>
      <w:numFmt w:val="bullet"/>
      <w:lvlText w:val=""/>
      <w:lvlJc w:val="left"/>
      <w:pPr>
        <w:ind w:left="5130" w:hanging="360"/>
      </w:pPr>
      <w:rPr>
        <w:rFonts w:ascii="Wingdings" w:hAnsi="Wingdings" w:hint="default"/>
      </w:rPr>
    </w:lvl>
  </w:abstractNum>
  <w:abstractNum w:abstractNumId="46">
    <w:nsid w:val="75A92122"/>
    <w:multiLevelType w:val="hybridMultilevel"/>
    <w:tmpl w:val="F382567E"/>
    <w:lvl w:ilvl="0" w:tplc="DBF62612">
      <w:start w:val="1"/>
      <w:numFmt w:val="upperLetter"/>
      <w:lvlText w:val="%1."/>
      <w:lvlJc w:val="left"/>
      <w:pPr>
        <w:ind w:left="360" w:hanging="360"/>
      </w:pPr>
      <w:rPr>
        <w:rFonts w:hint="default"/>
        <w:color w:val="1818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77F71CB5"/>
    <w:multiLevelType w:val="hybridMultilevel"/>
    <w:tmpl w:val="6A92C66A"/>
    <w:lvl w:ilvl="0" w:tplc="83B2C6E2">
      <w:start w:val="1"/>
      <w:numFmt w:val="bullet"/>
      <w:lvlText w:val=""/>
      <w:lvlJc w:val="left"/>
      <w:pPr>
        <w:ind w:left="432" w:hanging="288"/>
      </w:pPr>
      <w:rPr>
        <w:rFonts w:ascii="Wingdings" w:hAnsi="Wingdings" w:hint="default"/>
      </w:rPr>
    </w:lvl>
    <w:lvl w:ilvl="1" w:tplc="FC58508C">
      <w:start w:val="1"/>
      <w:numFmt w:val="bullet"/>
      <w:lvlText w:val=""/>
      <w:lvlJc w:val="left"/>
      <w:pPr>
        <w:ind w:left="1122" w:hanging="360"/>
      </w:pPr>
      <w:rPr>
        <w:rFonts w:ascii="Wingdings" w:hAnsi="Wingdings" w:hint="default"/>
      </w:r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num w:numId="1">
    <w:abstractNumId w:val="7"/>
  </w:num>
  <w:num w:numId="2">
    <w:abstractNumId w:val="8"/>
  </w:num>
  <w:num w:numId="3">
    <w:abstractNumId w:val="0"/>
  </w:num>
  <w:num w:numId="4">
    <w:abstractNumId w:val="45"/>
  </w:num>
  <w:num w:numId="5">
    <w:abstractNumId w:val="24"/>
  </w:num>
  <w:num w:numId="6">
    <w:abstractNumId w:val="32"/>
  </w:num>
  <w:num w:numId="7">
    <w:abstractNumId w:val="46"/>
  </w:num>
  <w:num w:numId="8">
    <w:abstractNumId w:val="25"/>
  </w:num>
  <w:num w:numId="9">
    <w:abstractNumId w:val="21"/>
  </w:num>
  <w:num w:numId="10">
    <w:abstractNumId w:val="3"/>
  </w:num>
  <w:num w:numId="11">
    <w:abstractNumId w:val="38"/>
  </w:num>
  <w:num w:numId="12">
    <w:abstractNumId w:val="31"/>
  </w:num>
  <w:num w:numId="13">
    <w:abstractNumId w:val="29"/>
  </w:num>
  <w:num w:numId="14">
    <w:abstractNumId w:val="1"/>
  </w:num>
  <w:num w:numId="15">
    <w:abstractNumId w:val="20"/>
  </w:num>
  <w:num w:numId="16">
    <w:abstractNumId w:val="19"/>
  </w:num>
  <w:num w:numId="17">
    <w:abstractNumId w:val="6"/>
  </w:num>
  <w:num w:numId="18">
    <w:abstractNumId w:val="37"/>
  </w:num>
  <w:num w:numId="19">
    <w:abstractNumId w:val="23"/>
  </w:num>
  <w:num w:numId="20">
    <w:abstractNumId w:val="34"/>
  </w:num>
  <w:num w:numId="21">
    <w:abstractNumId w:val="43"/>
  </w:num>
  <w:num w:numId="22">
    <w:abstractNumId w:val="11"/>
  </w:num>
  <w:num w:numId="23">
    <w:abstractNumId w:val="36"/>
  </w:num>
  <w:num w:numId="24">
    <w:abstractNumId w:val="22"/>
  </w:num>
  <w:num w:numId="25">
    <w:abstractNumId w:val="10"/>
  </w:num>
  <w:num w:numId="26">
    <w:abstractNumId w:val="14"/>
  </w:num>
  <w:num w:numId="27">
    <w:abstractNumId w:val="40"/>
  </w:num>
  <w:num w:numId="28">
    <w:abstractNumId w:val="17"/>
  </w:num>
  <w:num w:numId="29">
    <w:abstractNumId w:val="30"/>
  </w:num>
  <w:num w:numId="30">
    <w:abstractNumId w:val="18"/>
  </w:num>
  <w:num w:numId="31">
    <w:abstractNumId w:val="5"/>
  </w:num>
  <w:num w:numId="32">
    <w:abstractNumId w:val="42"/>
  </w:num>
  <w:num w:numId="33">
    <w:abstractNumId w:val="27"/>
  </w:num>
  <w:num w:numId="34">
    <w:abstractNumId w:val="9"/>
  </w:num>
  <w:num w:numId="35">
    <w:abstractNumId w:val="41"/>
  </w:num>
  <w:num w:numId="36">
    <w:abstractNumId w:val="4"/>
  </w:num>
  <w:num w:numId="37">
    <w:abstractNumId w:val="33"/>
  </w:num>
  <w:num w:numId="38">
    <w:abstractNumId w:val="16"/>
  </w:num>
  <w:num w:numId="39">
    <w:abstractNumId w:val="35"/>
  </w:num>
  <w:num w:numId="40">
    <w:abstractNumId w:val="39"/>
  </w:num>
  <w:num w:numId="41">
    <w:abstractNumId w:val="15"/>
  </w:num>
  <w:num w:numId="42">
    <w:abstractNumId w:val="2"/>
  </w:num>
  <w:num w:numId="43">
    <w:abstractNumId w:val="28"/>
  </w:num>
  <w:num w:numId="44">
    <w:abstractNumId w:val="26"/>
  </w:num>
  <w:num w:numId="45">
    <w:abstractNumId w:val="13"/>
  </w:num>
  <w:num w:numId="46">
    <w:abstractNumId w:val="12"/>
  </w:num>
  <w:num w:numId="47">
    <w:abstractNumId w:val="44"/>
  </w:num>
  <w:num w:numId="48">
    <w:abstractNumId w:val="4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4"/>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EE2"/>
    <w:rsid w:val="000012F2"/>
    <w:rsid w:val="00001CC3"/>
    <w:rsid w:val="00001EEA"/>
    <w:rsid w:val="000038CF"/>
    <w:rsid w:val="00003B96"/>
    <w:rsid w:val="00004CAD"/>
    <w:rsid w:val="00010052"/>
    <w:rsid w:val="000162ED"/>
    <w:rsid w:val="00020DFA"/>
    <w:rsid w:val="0002164F"/>
    <w:rsid w:val="00022802"/>
    <w:rsid w:val="00023D4B"/>
    <w:rsid w:val="00025725"/>
    <w:rsid w:val="00025F9F"/>
    <w:rsid w:val="00026322"/>
    <w:rsid w:val="00031029"/>
    <w:rsid w:val="000326AB"/>
    <w:rsid w:val="00032C54"/>
    <w:rsid w:val="0003466C"/>
    <w:rsid w:val="00034EE7"/>
    <w:rsid w:val="000352E6"/>
    <w:rsid w:val="00035361"/>
    <w:rsid w:val="00035AD6"/>
    <w:rsid w:val="0004130C"/>
    <w:rsid w:val="00042265"/>
    <w:rsid w:val="00042EBD"/>
    <w:rsid w:val="00044716"/>
    <w:rsid w:val="00045A50"/>
    <w:rsid w:val="0004682C"/>
    <w:rsid w:val="0004771C"/>
    <w:rsid w:val="00050270"/>
    <w:rsid w:val="000502BE"/>
    <w:rsid w:val="00053BBE"/>
    <w:rsid w:val="00054A1C"/>
    <w:rsid w:val="000559C8"/>
    <w:rsid w:val="00061026"/>
    <w:rsid w:val="000613E3"/>
    <w:rsid w:val="00067104"/>
    <w:rsid w:val="000745E4"/>
    <w:rsid w:val="00075AE0"/>
    <w:rsid w:val="00075FA6"/>
    <w:rsid w:val="000802F7"/>
    <w:rsid w:val="00082627"/>
    <w:rsid w:val="00083D29"/>
    <w:rsid w:val="0008439E"/>
    <w:rsid w:val="000843CD"/>
    <w:rsid w:val="00084454"/>
    <w:rsid w:val="00084715"/>
    <w:rsid w:val="000870A6"/>
    <w:rsid w:val="00087609"/>
    <w:rsid w:val="00090868"/>
    <w:rsid w:val="000913F4"/>
    <w:rsid w:val="0009184D"/>
    <w:rsid w:val="000918A2"/>
    <w:rsid w:val="00093F92"/>
    <w:rsid w:val="000A10AF"/>
    <w:rsid w:val="000A228B"/>
    <w:rsid w:val="000A3E19"/>
    <w:rsid w:val="000A51F9"/>
    <w:rsid w:val="000A5DF1"/>
    <w:rsid w:val="000A7109"/>
    <w:rsid w:val="000B1239"/>
    <w:rsid w:val="000B207B"/>
    <w:rsid w:val="000B2A3B"/>
    <w:rsid w:val="000B5C72"/>
    <w:rsid w:val="000B7201"/>
    <w:rsid w:val="000B7B11"/>
    <w:rsid w:val="000C2E1D"/>
    <w:rsid w:val="000C3AE6"/>
    <w:rsid w:val="000C406A"/>
    <w:rsid w:val="000C59BD"/>
    <w:rsid w:val="000C72FF"/>
    <w:rsid w:val="000D0720"/>
    <w:rsid w:val="000D1260"/>
    <w:rsid w:val="000D17D8"/>
    <w:rsid w:val="000D21CC"/>
    <w:rsid w:val="000D556B"/>
    <w:rsid w:val="000D780A"/>
    <w:rsid w:val="000E049A"/>
    <w:rsid w:val="000E0B60"/>
    <w:rsid w:val="000E3F24"/>
    <w:rsid w:val="000E4698"/>
    <w:rsid w:val="000E5E0C"/>
    <w:rsid w:val="000E7A3E"/>
    <w:rsid w:val="000E7B12"/>
    <w:rsid w:val="000E7EEB"/>
    <w:rsid w:val="000F042E"/>
    <w:rsid w:val="000F1D73"/>
    <w:rsid w:val="000F45FC"/>
    <w:rsid w:val="000F5AF0"/>
    <w:rsid w:val="000F7808"/>
    <w:rsid w:val="000F7C72"/>
    <w:rsid w:val="00100EA6"/>
    <w:rsid w:val="00103F7F"/>
    <w:rsid w:val="0010579B"/>
    <w:rsid w:val="00106AF8"/>
    <w:rsid w:val="00111D9A"/>
    <w:rsid w:val="00112035"/>
    <w:rsid w:val="0011207D"/>
    <w:rsid w:val="0011269D"/>
    <w:rsid w:val="00113CD0"/>
    <w:rsid w:val="00114F29"/>
    <w:rsid w:val="0011575E"/>
    <w:rsid w:val="00116F41"/>
    <w:rsid w:val="00117880"/>
    <w:rsid w:val="001205E3"/>
    <w:rsid w:val="00124B16"/>
    <w:rsid w:val="00125B74"/>
    <w:rsid w:val="00125B8E"/>
    <w:rsid w:val="00126B5C"/>
    <w:rsid w:val="0012772C"/>
    <w:rsid w:val="00127A4E"/>
    <w:rsid w:val="001300F2"/>
    <w:rsid w:val="001305CC"/>
    <w:rsid w:val="00130AA6"/>
    <w:rsid w:val="00131561"/>
    <w:rsid w:val="00131DA9"/>
    <w:rsid w:val="00132DB7"/>
    <w:rsid w:val="0013379D"/>
    <w:rsid w:val="00133F47"/>
    <w:rsid w:val="0013746B"/>
    <w:rsid w:val="00137FF4"/>
    <w:rsid w:val="00141B5B"/>
    <w:rsid w:val="00142FD5"/>
    <w:rsid w:val="00144699"/>
    <w:rsid w:val="0014689B"/>
    <w:rsid w:val="00152B61"/>
    <w:rsid w:val="001539BC"/>
    <w:rsid w:val="00154691"/>
    <w:rsid w:val="00154EA3"/>
    <w:rsid w:val="00154F7E"/>
    <w:rsid w:val="001555B4"/>
    <w:rsid w:val="00155AC7"/>
    <w:rsid w:val="00160269"/>
    <w:rsid w:val="001665FA"/>
    <w:rsid w:val="00166A22"/>
    <w:rsid w:val="001672B0"/>
    <w:rsid w:val="00167DCE"/>
    <w:rsid w:val="0017087D"/>
    <w:rsid w:val="00170C7F"/>
    <w:rsid w:val="00171FDC"/>
    <w:rsid w:val="00173E25"/>
    <w:rsid w:val="0017453B"/>
    <w:rsid w:val="00174F3A"/>
    <w:rsid w:val="001810DE"/>
    <w:rsid w:val="00181131"/>
    <w:rsid w:val="00182E12"/>
    <w:rsid w:val="001838E3"/>
    <w:rsid w:val="00184B41"/>
    <w:rsid w:val="00186A6F"/>
    <w:rsid w:val="001874F2"/>
    <w:rsid w:val="001876A8"/>
    <w:rsid w:val="00190C81"/>
    <w:rsid w:val="00192F5B"/>
    <w:rsid w:val="00193C19"/>
    <w:rsid w:val="0019443B"/>
    <w:rsid w:val="0019696E"/>
    <w:rsid w:val="00197234"/>
    <w:rsid w:val="001A1CA1"/>
    <w:rsid w:val="001A23B5"/>
    <w:rsid w:val="001A3CB0"/>
    <w:rsid w:val="001A4BB1"/>
    <w:rsid w:val="001A7CE2"/>
    <w:rsid w:val="001B1713"/>
    <w:rsid w:val="001B3069"/>
    <w:rsid w:val="001B3AAF"/>
    <w:rsid w:val="001B5C06"/>
    <w:rsid w:val="001B71FC"/>
    <w:rsid w:val="001B795B"/>
    <w:rsid w:val="001B7C9B"/>
    <w:rsid w:val="001B7EC5"/>
    <w:rsid w:val="001C038B"/>
    <w:rsid w:val="001C2A2F"/>
    <w:rsid w:val="001C2C0C"/>
    <w:rsid w:val="001C34E4"/>
    <w:rsid w:val="001C41FE"/>
    <w:rsid w:val="001C45CB"/>
    <w:rsid w:val="001D1301"/>
    <w:rsid w:val="001D4641"/>
    <w:rsid w:val="001D4E0A"/>
    <w:rsid w:val="001D5D3A"/>
    <w:rsid w:val="001D750F"/>
    <w:rsid w:val="001D7D4D"/>
    <w:rsid w:val="001E128E"/>
    <w:rsid w:val="001E2DFA"/>
    <w:rsid w:val="001E50ED"/>
    <w:rsid w:val="001E5489"/>
    <w:rsid w:val="001E7FAC"/>
    <w:rsid w:val="001F0210"/>
    <w:rsid w:val="001F0BE7"/>
    <w:rsid w:val="001F1EEA"/>
    <w:rsid w:val="001F2F14"/>
    <w:rsid w:val="001F5051"/>
    <w:rsid w:val="001F71D6"/>
    <w:rsid w:val="00200D29"/>
    <w:rsid w:val="00202E1C"/>
    <w:rsid w:val="00203EEB"/>
    <w:rsid w:val="002049A6"/>
    <w:rsid w:val="00207DE9"/>
    <w:rsid w:val="0021163D"/>
    <w:rsid w:val="00215EC3"/>
    <w:rsid w:val="002212AA"/>
    <w:rsid w:val="00221644"/>
    <w:rsid w:val="00222CF5"/>
    <w:rsid w:val="00223A05"/>
    <w:rsid w:val="00223E1E"/>
    <w:rsid w:val="00225DF2"/>
    <w:rsid w:val="00232E1D"/>
    <w:rsid w:val="00233494"/>
    <w:rsid w:val="00236354"/>
    <w:rsid w:val="00236AB7"/>
    <w:rsid w:val="00237CCC"/>
    <w:rsid w:val="00240336"/>
    <w:rsid w:val="00242357"/>
    <w:rsid w:val="00242792"/>
    <w:rsid w:val="00244BF0"/>
    <w:rsid w:val="002452EF"/>
    <w:rsid w:val="00247147"/>
    <w:rsid w:val="00247F4D"/>
    <w:rsid w:val="00252D80"/>
    <w:rsid w:val="0025482D"/>
    <w:rsid w:val="00261E6D"/>
    <w:rsid w:val="00262837"/>
    <w:rsid w:val="002628D8"/>
    <w:rsid w:val="00263A16"/>
    <w:rsid w:val="00265507"/>
    <w:rsid w:val="00265BC6"/>
    <w:rsid w:val="0027230F"/>
    <w:rsid w:val="002748B2"/>
    <w:rsid w:val="00276D49"/>
    <w:rsid w:val="00284C16"/>
    <w:rsid w:val="002857CC"/>
    <w:rsid w:val="00286C42"/>
    <w:rsid w:val="00290326"/>
    <w:rsid w:val="00290C2D"/>
    <w:rsid w:val="00294127"/>
    <w:rsid w:val="00294D07"/>
    <w:rsid w:val="002A00E3"/>
    <w:rsid w:val="002A027D"/>
    <w:rsid w:val="002A15F6"/>
    <w:rsid w:val="002A218E"/>
    <w:rsid w:val="002A380B"/>
    <w:rsid w:val="002A3907"/>
    <w:rsid w:val="002A6789"/>
    <w:rsid w:val="002B0634"/>
    <w:rsid w:val="002B3CB6"/>
    <w:rsid w:val="002B4733"/>
    <w:rsid w:val="002B4832"/>
    <w:rsid w:val="002B6DC3"/>
    <w:rsid w:val="002C002E"/>
    <w:rsid w:val="002C0908"/>
    <w:rsid w:val="002C1D5E"/>
    <w:rsid w:val="002C29E3"/>
    <w:rsid w:val="002C439C"/>
    <w:rsid w:val="002C6DF3"/>
    <w:rsid w:val="002C786F"/>
    <w:rsid w:val="002D1531"/>
    <w:rsid w:val="002D2546"/>
    <w:rsid w:val="002D2560"/>
    <w:rsid w:val="002D3EC5"/>
    <w:rsid w:val="002D58AB"/>
    <w:rsid w:val="002D6EA2"/>
    <w:rsid w:val="002E209C"/>
    <w:rsid w:val="002E448F"/>
    <w:rsid w:val="002E47B3"/>
    <w:rsid w:val="002E5664"/>
    <w:rsid w:val="002E6167"/>
    <w:rsid w:val="002F0436"/>
    <w:rsid w:val="002F051B"/>
    <w:rsid w:val="002F06C0"/>
    <w:rsid w:val="002F33F4"/>
    <w:rsid w:val="002F3638"/>
    <w:rsid w:val="002F5469"/>
    <w:rsid w:val="002F6B00"/>
    <w:rsid w:val="002F7644"/>
    <w:rsid w:val="002F77DB"/>
    <w:rsid w:val="00303381"/>
    <w:rsid w:val="0030363E"/>
    <w:rsid w:val="0030397E"/>
    <w:rsid w:val="0030427C"/>
    <w:rsid w:val="0030578F"/>
    <w:rsid w:val="003066D3"/>
    <w:rsid w:val="003076F3"/>
    <w:rsid w:val="003103F5"/>
    <w:rsid w:val="0031054C"/>
    <w:rsid w:val="00310AE3"/>
    <w:rsid w:val="00315FFA"/>
    <w:rsid w:val="00316684"/>
    <w:rsid w:val="00316D31"/>
    <w:rsid w:val="00320476"/>
    <w:rsid w:val="00321842"/>
    <w:rsid w:val="00321CD6"/>
    <w:rsid w:val="00322B24"/>
    <w:rsid w:val="003233FB"/>
    <w:rsid w:val="00324931"/>
    <w:rsid w:val="003251BD"/>
    <w:rsid w:val="00331B39"/>
    <w:rsid w:val="00332004"/>
    <w:rsid w:val="00333608"/>
    <w:rsid w:val="00333E4A"/>
    <w:rsid w:val="0033403D"/>
    <w:rsid w:val="0033493C"/>
    <w:rsid w:val="00335099"/>
    <w:rsid w:val="00335F68"/>
    <w:rsid w:val="00343789"/>
    <w:rsid w:val="00343E64"/>
    <w:rsid w:val="00344C88"/>
    <w:rsid w:val="003453DC"/>
    <w:rsid w:val="00345BDE"/>
    <w:rsid w:val="00351927"/>
    <w:rsid w:val="003536EA"/>
    <w:rsid w:val="003564DE"/>
    <w:rsid w:val="00357ECB"/>
    <w:rsid w:val="00361B6D"/>
    <w:rsid w:val="0036250B"/>
    <w:rsid w:val="00362608"/>
    <w:rsid w:val="00364A08"/>
    <w:rsid w:val="00366C6E"/>
    <w:rsid w:val="003700D1"/>
    <w:rsid w:val="00370F0A"/>
    <w:rsid w:val="00371A2B"/>
    <w:rsid w:val="0037263D"/>
    <w:rsid w:val="00374A99"/>
    <w:rsid w:val="00375E9A"/>
    <w:rsid w:val="00376ABC"/>
    <w:rsid w:val="00377228"/>
    <w:rsid w:val="0037786E"/>
    <w:rsid w:val="003805DB"/>
    <w:rsid w:val="003828F1"/>
    <w:rsid w:val="00383393"/>
    <w:rsid w:val="003842D7"/>
    <w:rsid w:val="003863C3"/>
    <w:rsid w:val="0038769A"/>
    <w:rsid w:val="00390116"/>
    <w:rsid w:val="00392200"/>
    <w:rsid w:val="00393BCC"/>
    <w:rsid w:val="0039474F"/>
    <w:rsid w:val="0039575A"/>
    <w:rsid w:val="00396F91"/>
    <w:rsid w:val="00397A58"/>
    <w:rsid w:val="003A0435"/>
    <w:rsid w:val="003A170E"/>
    <w:rsid w:val="003A230F"/>
    <w:rsid w:val="003A3053"/>
    <w:rsid w:val="003A79A0"/>
    <w:rsid w:val="003B0DD6"/>
    <w:rsid w:val="003B3C70"/>
    <w:rsid w:val="003B4F0F"/>
    <w:rsid w:val="003B635A"/>
    <w:rsid w:val="003B63F7"/>
    <w:rsid w:val="003C28E7"/>
    <w:rsid w:val="003C4EB9"/>
    <w:rsid w:val="003C6C40"/>
    <w:rsid w:val="003D0639"/>
    <w:rsid w:val="003D1A02"/>
    <w:rsid w:val="003E0577"/>
    <w:rsid w:val="003E0A32"/>
    <w:rsid w:val="003E0A6E"/>
    <w:rsid w:val="003E1CF4"/>
    <w:rsid w:val="003E3C2E"/>
    <w:rsid w:val="003E42D2"/>
    <w:rsid w:val="003E46E7"/>
    <w:rsid w:val="003E6191"/>
    <w:rsid w:val="003E7B58"/>
    <w:rsid w:val="003F0E6F"/>
    <w:rsid w:val="003F17C1"/>
    <w:rsid w:val="003F2364"/>
    <w:rsid w:val="003F2553"/>
    <w:rsid w:val="003F2C25"/>
    <w:rsid w:val="003F354C"/>
    <w:rsid w:val="003F36C3"/>
    <w:rsid w:val="003F3BA6"/>
    <w:rsid w:val="003F5BF2"/>
    <w:rsid w:val="003F69B8"/>
    <w:rsid w:val="003F6A55"/>
    <w:rsid w:val="003F732C"/>
    <w:rsid w:val="00401A3E"/>
    <w:rsid w:val="00402B62"/>
    <w:rsid w:val="0040434D"/>
    <w:rsid w:val="00410377"/>
    <w:rsid w:val="004115F4"/>
    <w:rsid w:val="00412DB2"/>
    <w:rsid w:val="00416697"/>
    <w:rsid w:val="00427966"/>
    <w:rsid w:val="00430ADF"/>
    <w:rsid w:val="0043146E"/>
    <w:rsid w:val="00431D38"/>
    <w:rsid w:val="004322F0"/>
    <w:rsid w:val="00433272"/>
    <w:rsid w:val="00435CEC"/>
    <w:rsid w:val="0044366E"/>
    <w:rsid w:val="00443E33"/>
    <w:rsid w:val="00445BC4"/>
    <w:rsid w:val="00451307"/>
    <w:rsid w:val="004518C8"/>
    <w:rsid w:val="0045340E"/>
    <w:rsid w:val="004542DC"/>
    <w:rsid w:val="00457714"/>
    <w:rsid w:val="00457B6C"/>
    <w:rsid w:val="00463BBD"/>
    <w:rsid w:val="00465DF7"/>
    <w:rsid w:val="004670B8"/>
    <w:rsid w:val="004707E7"/>
    <w:rsid w:val="00470E98"/>
    <w:rsid w:val="00473A65"/>
    <w:rsid w:val="00475911"/>
    <w:rsid w:val="0047779E"/>
    <w:rsid w:val="00480D82"/>
    <w:rsid w:val="00481F84"/>
    <w:rsid w:val="00482EA5"/>
    <w:rsid w:val="0048328C"/>
    <w:rsid w:val="00484589"/>
    <w:rsid w:val="00484EF6"/>
    <w:rsid w:val="00487E0A"/>
    <w:rsid w:val="00490BE9"/>
    <w:rsid w:val="00491DAC"/>
    <w:rsid w:val="004922CF"/>
    <w:rsid w:val="00493E0F"/>
    <w:rsid w:val="00494289"/>
    <w:rsid w:val="004A12D8"/>
    <w:rsid w:val="004A1E99"/>
    <w:rsid w:val="004A5C33"/>
    <w:rsid w:val="004A6BF3"/>
    <w:rsid w:val="004A7201"/>
    <w:rsid w:val="004A74D8"/>
    <w:rsid w:val="004B1069"/>
    <w:rsid w:val="004B1C29"/>
    <w:rsid w:val="004B6517"/>
    <w:rsid w:val="004B7530"/>
    <w:rsid w:val="004C1061"/>
    <w:rsid w:val="004C197A"/>
    <w:rsid w:val="004C35DA"/>
    <w:rsid w:val="004C730F"/>
    <w:rsid w:val="004D03F3"/>
    <w:rsid w:val="004D37EE"/>
    <w:rsid w:val="004D511D"/>
    <w:rsid w:val="004D68DF"/>
    <w:rsid w:val="004D786B"/>
    <w:rsid w:val="004E6F6D"/>
    <w:rsid w:val="004F010F"/>
    <w:rsid w:val="004F06B9"/>
    <w:rsid w:val="004F27B7"/>
    <w:rsid w:val="004F3AE1"/>
    <w:rsid w:val="004F443B"/>
    <w:rsid w:val="004F49A9"/>
    <w:rsid w:val="004F6D50"/>
    <w:rsid w:val="004F738F"/>
    <w:rsid w:val="004F7409"/>
    <w:rsid w:val="00501032"/>
    <w:rsid w:val="005024CB"/>
    <w:rsid w:val="0050315C"/>
    <w:rsid w:val="00503204"/>
    <w:rsid w:val="00503276"/>
    <w:rsid w:val="005033E5"/>
    <w:rsid w:val="00505686"/>
    <w:rsid w:val="0050582E"/>
    <w:rsid w:val="005059BD"/>
    <w:rsid w:val="00506F8D"/>
    <w:rsid w:val="00507BFB"/>
    <w:rsid w:val="0051293D"/>
    <w:rsid w:val="00513434"/>
    <w:rsid w:val="00515665"/>
    <w:rsid w:val="00515C63"/>
    <w:rsid w:val="005213E6"/>
    <w:rsid w:val="00522332"/>
    <w:rsid w:val="0052472A"/>
    <w:rsid w:val="00525310"/>
    <w:rsid w:val="00525BE3"/>
    <w:rsid w:val="00525CAA"/>
    <w:rsid w:val="00525D28"/>
    <w:rsid w:val="00526505"/>
    <w:rsid w:val="00530961"/>
    <w:rsid w:val="00530A00"/>
    <w:rsid w:val="00533C30"/>
    <w:rsid w:val="00534AC3"/>
    <w:rsid w:val="00535BC7"/>
    <w:rsid w:val="00537179"/>
    <w:rsid w:val="005409B7"/>
    <w:rsid w:val="005417C8"/>
    <w:rsid w:val="00542283"/>
    <w:rsid w:val="00542A04"/>
    <w:rsid w:val="00544615"/>
    <w:rsid w:val="00546FC9"/>
    <w:rsid w:val="00547235"/>
    <w:rsid w:val="005511F4"/>
    <w:rsid w:val="0055319F"/>
    <w:rsid w:val="0055530C"/>
    <w:rsid w:val="00556863"/>
    <w:rsid w:val="0056209E"/>
    <w:rsid w:val="0056289E"/>
    <w:rsid w:val="005658CA"/>
    <w:rsid w:val="005674A4"/>
    <w:rsid w:val="005675BD"/>
    <w:rsid w:val="005701B4"/>
    <w:rsid w:val="005703BB"/>
    <w:rsid w:val="00572EFF"/>
    <w:rsid w:val="005732C6"/>
    <w:rsid w:val="00574536"/>
    <w:rsid w:val="00575117"/>
    <w:rsid w:val="00576D0F"/>
    <w:rsid w:val="00577E54"/>
    <w:rsid w:val="00581830"/>
    <w:rsid w:val="005836E8"/>
    <w:rsid w:val="00584B4D"/>
    <w:rsid w:val="005901B7"/>
    <w:rsid w:val="0059151F"/>
    <w:rsid w:val="0059410A"/>
    <w:rsid w:val="00595B7C"/>
    <w:rsid w:val="00596A4B"/>
    <w:rsid w:val="00597423"/>
    <w:rsid w:val="00597C0C"/>
    <w:rsid w:val="005A2529"/>
    <w:rsid w:val="005A27FB"/>
    <w:rsid w:val="005A4B74"/>
    <w:rsid w:val="005A578A"/>
    <w:rsid w:val="005B55E4"/>
    <w:rsid w:val="005C2668"/>
    <w:rsid w:val="005C298E"/>
    <w:rsid w:val="005C2D1C"/>
    <w:rsid w:val="005C3E3C"/>
    <w:rsid w:val="005C5CFA"/>
    <w:rsid w:val="005C7E37"/>
    <w:rsid w:val="005D1EDE"/>
    <w:rsid w:val="005D2C54"/>
    <w:rsid w:val="005D2F7A"/>
    <w:rsid w:val="005D68BF"/>
    <w:rsid w:val="005E0B75"/>
    <w:rsid w:val="005E2D89"/>
    <w:rsid w:val="005E3130"/>
    <w:rsid w:val="005E3613"/>
    <w:rsid w:val="005E4A8E"/>
    <w:rsid w:val="005E4C5C"/>
    <w:rsid w:val="005E4EBA"/>
    <w:rsid w:val="005E56DB"/>
    <w:rsid w:val="005E6C37"/>
    <w:rsid w:val="005E7477"/>
    <w:rsid w:val="005F1CA9"/>
    <w:rsid w:val="005F28EF"/>
    <w:rsid w:val="005F2F76"/>
    <w:rsid w:val="005F32F6"/>
    <w:rsid w:val="005F4A3B"/>
    <w:rsid w:val="005F5486"/>
    <w:rsid w:val="005F67C6"/>
    <w:rsid w:val="005F6AED"/>
    <w:rsid w:val="005F6E50"/>
    <w:rsid w:val="005F7C2C"/>
    <w:rsid w:val="00602E58"/>
    <w:rsid w:val="00602F4A"/>
    <w:rsid w:val="00604660"/>
    <w:rsid w:val="006053E9"/>
    <w:rsid w:val="006068AA"/>
    <w:rsid w:val="006141F4"/>
    <w:rsid w:val="00616564"/>
    <w:rsid w:val="00617589"/>
    <w:rsid w:val="00617A9A"/>
    <w:rsid w:val="00622EC5"/>
    <w:rsid w:val="006257B2"/>
    <w:rsid w:val="006317EE"/>
    <w:rsid w:val="00631A5B"/>
    <w:rsid w:val="00633543"/>
    <w:rsid w:val="00637784"/>
    <w:rsid w:val="00640475"/>
    <w:rsid w:val="00640C27"/>
    <w:rsid w:val="00641B6B"/>
    <w:rsid w:val="00642831"/>
    <w:rsid w:val="00646C54"/>
    <w:rsid w:val="00647325"/>
    <w:rsid w:val="00651FD7"/>
    <w:rsid w:val="00653212"/>
    <w:rsid w:val="00653B72"/>
    <w:rsid w:val="00653D68"/>
    <w:rsid w:val="00656B9F"/>
    <w:rsid w:val="0065789D"/>
    <w:rsid w:val="00660E14"/>
    <w:rsid w:val="00661780"/>
    <w:rsid w:val="00665C18"/>
    <w:rsid w:val="006669C0"/>
    <w:rsid w:val="00670136"/>
    <w:rsid w:val="00671394"/>
    <w:rsid w:val="00671CFC"/>
    <w:rsid w:val="0067262B"/>
    <w:rsid w:val="006739CA"/>
    <w:rsid w:val="0067519E"/>
    <w:rsid w:val="00675D5A"/>
    <w:rsid w:val="0068195B"/>
    <w:rsid w:val="00681E5F"/>
    <w:rsid w:val="00683939"/>
    <w:rsid w:val="00683D42"/>
    <w:rsid w:val="00684E41"/>
    <w:rsid w:val="006859EE"/>
    <w:rsid w:val="00690A8B"/>
    <w:rsid w:val="00690DCF"/>
    <w:rsid w:val="006910EB"/>
    <w:rsid w:val="006916E8"/>
    <w:rsid w:val="00694DE2"/>
    <w:rsid w:val="0069696B"/>
    <w:rsid w:val="006A210B"/>
    <w:rsid w:val="006A496E"/>
    <w:rsid w:val="006B0DE9"/>
    <w:rsid w:val="006B18B1"/>
    <w:rsid w:val="006B4596"/>
    <w:rsid w:val="006B69FC"/>
    <w:rsid w:val="006B6B1E"/>
    <w:rsid w:val="006C0F16"/>
    <w:rsid w:val="006C211E"/>
    <w:rsid w:val="006C2FD3"/>
    <w:rsid w:val="006C419C"/>
    <w:rsid w:val="006C4639"/>
    <w:rsid w:val="006C5ACD"/>
    <w:rsid w:val="006C602C"/>
    <w:rsid w:val="006C6930"/>
    <w:rsid w:val="006D1555"/>
    <w:rsid w:val="006D250D"/>
    <w:rsid w:val="006D2B48"/>
    <w:rsid w:val="006D34F2"/>
    <w:rsid w:val="006D3E16"/>
    <w:rsid w:val="006D4984"/>
    <w:rsid w:val="006E0AD6"/>
    <w:rsid w:val="006E0D9A"/>
    <w:rsid w:val="006E402F"/>
    <w:rsid w:val="006E6FC0"/>
    <w:rsid w:val="006E74E3"/>
    <w:rsid w:val="006F0713"/>
    <w:rsid w:val="006F36B9"/>
    <w:rsid w:val="006F608A"/>
    <w:rsid w:val="006F73F4"/>
    <w:rsid w:val="0070112F"/>
    <w:rsid w:val="00701A61"/>
    <w:rsid w:val="00701F62"/>
    <w:rsid w:val="00702939"/>
    <w:rsid w:val="00711C67"/>
    <w:rsid w:val="00712131"/>
    <w:rsid w:val="00714929"/>
    <w:rsid w:val="007163EC"/>
    <w:rsid w:val="00720351"/>
    <w:rsid w:val="00720852"/>
    <w:rsid w:val="00722034"/>
    <w:rsid w:val="00724120"/>
    <w:rsid w:val="00725013"/>
    <w:rsid w:val="00727065"/>
    <w:rsid w:val="00731C97"/>
    <w:rsid w:val="00732B11"/>
    <w:rsid w:val="00732D59"/>
    <w:rsid w:val="007339E9"/>
    <w:rsid w:val="00734091"/>
    <w:rsid w:val="00734E2C"/>
    <w:rsid w:val="00735929"/>
    <w:rsid w:val="0073737B"/>
    <w:rsid w:val="00737720"/>
    <w:rsid w:val="0074043F"/>
    <w:rsid w:val="00743B75"/>
    <w:rsid w:val="00744086"/>
    <w:rsid w:val="00745F37"/>
    <w:rsid w:val="00746290"/>
    <w:rsid w:val="00750420"/>
    <w:rsid w:val="00752215"/>
    <w:rsid w:val="0075260E"/>
    <w:rsid w:val="007527E3"/>
    <w:rsid w:val="00752EE3"/>
    <w:rsid w:val="0075451C"/>
    <w:rsid w:val="0075546A"/>
    <w:rsid w:val="00756D2B"/>
    <w:rsid w:val="00757925"/>
    <w:rsid w:val="00757B1A"/>
    <w:rsid w:val="00761B4E"/>
    <w:rsid w:val="00761FE2"/>
    <w:rsid w:val="00762867"/>
    <w:rsid w:val="007633CE"/>
    <w:rsid w:val="00763993"/>
    <w:rsid w:val="00763ED9"/>
    <w:rsid w:val="007665B1"/>
    <w:rsid w:val="00770E8F"/>
    <w:rsid w:val="007724F2"/>
    <w:rsid w:val="00775322"/>
    <w:rsid w:val="0078254C"/>
    <w:rsid w:val="00783AEB"/>
    <w:rsid w:val="00784AB8"/>
    <w:rsid w:val="00785435"/>
    <w:rsid w:val="00786C3B"/>
    <w:rsid w:val="00787C81"/>
    <w:rsid w:val="0079237C"/>
    <w:rsid w:val="00794553"/>
    <w:rsid w:val="007966BC"/>
    <w:rsid w:val="00796744"/>
    <w:rsid w:val="00796A44"/>
    <w:rsid w:val="00796AD2"/>
    <w:rsid w:val="007A0AAD"/>
    <w:rsid w:val="007A3408"/>
    <w:rsid w:val="007A7819"/>
    <w:rsid w:val="007A78BA"/>
    <w:rsid w:val="007B1B93"/>
    <w:rsid w:val="007B4AF5"/>
    <w:rsid w:val="007B6506"/>
    <w:rsid w:val="007C6CE1"/>
    <w:rsid w:val="007D0F20"/>
    <w:rsid w:val="007D1703"/>
    <w:rsid w:val="007D2E3C"/>
    <w:rsid w:val="007D3F04"/>
    <w:rsid w:val="007D3FDB"/>
    <w:rsid w:val="007D478E"/>
    <w:rsid w:val="007D71B4"/>
    <w:rsid w:val="007E0E1C"/>
    <w:rsid w:val="007E14E4"/>
    <w:rsid w:val="007E6387"/>
    <w:rsid w:val="007E7F92"/>
    <w:rsid w:val="007F115C"/>
    <w:rsid w:val="007F12CD"/>
    <w:rsid w:val="007F32DB"/>
    <w:rsid w:val="007F43A4"/>
    <w:rsid w:val="007F5389"/>
    <w:rsid w:val="007F6D79"/>
    <w:rsid w:val="007F7BF7"/>
    <w:rsid w:val="007F7F81"/>
    <w:rsid w:val="007F7FEF"/>
    <w:rsid w:val="0080212A"/>
    <w:rsid w:val="00802744"/>
    <w:rsid w:val="00803F52"/>
    <w:rsid w:val="00804AD3"/>
    <w:rsid w:val="00804DA0"/>
    <w:rsid w:val="00805510"/>
    <w:rsid w:val="00806C90"/>
    <w:rsid w:val="00806DCD"/>
    <w:rsid w:val="008117B7"/>
    <w:rsid w:val="00811C8C"/>
    <w:rsid w:val="00811DD0"/>
    <w:rsid w:val="0081238C"/>
    <w:rsid w:val="00813ACD"/>
    <w:rsid w:val="00815CA3"/>
    <w:rsid w:val="008203F3"/>
    <w:rsid w:val="00823F1E"/>
    <w:rsid w:val="008246AD"/>
    <w:rsid w:val="00825285"/>
    <w:rsid w:val="00826650"/>
    <w:rsid w:val="00831C7A"/>
    <w:rsid w:val="00836460"/>
    <w:rsid w:val="00836647"/>
    <w:rsid w:val="008368B7"/>
    <w:rsid w:val="00837BCE"/>
    <w:rsid w:val="00837D8D"/>
    <w:rsid w:val="008406E1"/>
    <w:rsid w:val="00842FC6"/>
    <w:rsid w:val="00843687"/>
    <w:rsid w:val="008437FD"/>
    <w:rsid w:val="008445B3"/>
    <w:rsid w:val="008460AD"/>
    <w:rsid w:val="00846916"/>
    <w:rsid w:val="00846946"/>
    <w:rsid w:val="008504ED"/>
    <w:rsid w:val="00851FCA"/>
    <w:rsid w:val="00852194"/>
    <w:rsid w:val="0085233B"/>
    <w:rsid w:val="008546ED"/>
    <w:rsid w:val="00855B3E"/>
    <w:rsid w:val="0085726E"/>
    <w:rsid w:val="0086257A"/>
    <w:rsid w:val="00866B7E"/>
    <w:rsid w:val="00867354"/>
    <w:rsid w:val="00870276"/>
    <w:rsid w:val="00870832"/>
    <w:rsid w:val="00871DC3"/>
    <w:rsid w:val="008728C0"/>
    <w:rsid w:val="008736BA"/>
    <w:rsid w:val="008738C4"/>
    <w:rsid w:val="008743E2"/>
    <w:rsid w:val="00876AC0"/>
    <w:rsid w:val="00877EE4"/>
    <w:rsid w:val="00880648"/>
    <w:rsid w:val="00880FB9"/>
    <w:rsid w:val="00884015"/>
    <w:rsid w:val="00885821"/>
    <w:rsid w:val="00886F32"/>
    <w:rsid w:val="008904C7"/>
    <w:rsid w:val="00891F55"/>
    <w:rsid w:val="00892947"/>
    <w:rsid w:val="008950ED"/>
    <w:rsid w:val="00895B10"/>
    <w:rsid w:val="00897FEE"/>
    <w:rsid w:val="008A20F4"/>
    <w:rsid w:val="008A3414"/>
    <w:rsid w:val="008A3B52"/>
    <w:rsid w:val="008A3ECE"/>
    <w:rsid w:val="008A5132"/>
    <w:rsid w:val="008A579B"/>
    <w:rsid w:val="008A5FE5"/>
    <w:rsid w:val="008A6270"/>
    <w:rsid w:val="008B0D22"/>
    <w:rsid w:val="008B2815"/>
    <w:rsid w:val="008B28E4"/>
    <w:rsid w:val="008B2E0F"/>
    <w:rsid w:val="008B7C15"/>
    <w:rsid w:val="008C0CB4"/>
    <w:rsid w:val="008C1A2F"/>
    <w:rsid w:val="008C1D4A"/>
    <w:rsid w:val="008C3C3E"/>
    <w:rsid w:val="008C426B"/>
    <w:rsid w:val="008C445B"/>
    <w:rsid w:val="008C481A"/>
    <w:rsid w:val="008C5A3C"/>
    <w:rsid w:val="008C75E5"/>
    <w:rsid w:val="008C75F9"/>
    <w:rsid w:val="008D1185"/>
    <w:rsid w:val="008D1F04"/>
    <w:rsid w:val="008D63D8"/>
    <w:rsid w:val="008D6B21"/>
    <w:rsid w:val="008D75E4"/>
    <w:rsid w:val="008E2231"/>
    <w:rsid w:val="008F057A"/>
    <w:rsid w:val="008F0E6D"/>
    <w:rsid w:val="008F1B7E"/>
    <w:rsid w:val="008F5B9C"/>
    <w:rsid w:val="008F68A4"/>
    <w:rsid w:val="008F7BC1"/>
    <w:rsid w:val="00900A30"/>
    <w:rsid w:val="0090386F"/>
    <w:rsid w:val="0090429D"/>
    <w:rsid w:val="0090777E"/>
    <w:rsid w:val="00910466"/>
    <w:rsid w:val="00912BE2"/>
    <w:rsid w:val="0091427C"/>
    <w:rsid w:val="00915970"/>
    <w:rsid w:val="00920109"/>
    <w:rsid w:val="009214A0"/>
    <w:rsid w:val="0092186B"/>
    <w:rsid w:val="00922163"/>
    <w:rsid w:val="009254DE"/>
    <w:rsid w:val="009255BD"/>
    <w:rsid w:val="009269DB"/>
    <w:rsid w:val="00926A3A"/>
    <w:rsid w:val="0092755E"/>
    <w:rsid w:val="00931ACF"/>
    <w:rsid w:val="00934248"/>
    <w:rsid w:val="00935794"/>
    <w:rsid w:val="00935CD5"/>
    <w:rsid w:val="009400A9"/>
    <w:rsid w:val="00943288"/>
    <w:rsid w:val="009433C4"/>
    <w:rsid w:val="009435B6"/>
    <w:rsid w:val="00943D93"/>
    <w:rsid w:val="009457CF"/>
    <w:rsid w:val="00947F33"/>
    <w:rsid w:val="00950268"/>
    <w:rsid w:val="009510AA"/>
    <w:rsid w:val="00952766"/>
    <w:rsid w:val="00952DFE"/>
    <w:rsid w:val="00952F38"/>
    <w:rsid w:val="00956726"/>
    <w:rsid w:val="009606CD"/>
    <w:rsid w:val="00960A58"/>
    <w:rsid w:val="00966570"/>
    <w:rsid w:val="00966D74"/>
    <w:rsid w:val="0096721A"/>
    <w:rsid w:val="00967EE8"/>
    <w:rsid w:val="009756A4"/>
    <w:rsid w:val="00975DEF"/>
    <w:rsid w:val="00975F03"/>
    <w:rsid w:val="0098595D"/>
    <w:rsid w:val="00986E2C"/>
    <w:rsid w:val="0098756A"/>
    <w:rsid w:val="00990B17"/>
    <w:rsid w:val="00991800"/>
    <w:rsid w:val="00994A81"/>
    <w:rsid w:val="00994B15"/>
    <w:rsid w:val="009957E8"/>
    <w:rsid w:val="009A04D9"/>
    <w:rsid w:val="009A06D9"/>
    <w:rsid w:val="009A2928"/>
    <w:rsid w:val="009A2BF3"/>
    <w:rsid w:val="009A3E74"/>
    <w:rsid w:val="009A440B"/>
    <w:rsid w:val="009A6590"/>
    <w:rsid w:val="009A6F39"/>
    <w:rsid w:val="009B5105"/>
    <w:rsid w:val="009B790E"/>
    <w:rsid w:val="009C637E"/>
    <w:rsid w:val="009C724F"/>
    <w:rsid w:val="009C7956"/>
    <w:rsid w:val="009D34A9"/>
    <w:rsid w:val="009D3C35"/>
    <w:rsid w:val="009D489D"/>
    <w:rsid w:val="009D4F0B"/>
    <w:rsid w:val="009E11DF"/>
    <w:rsid w:val="009E3066"/>
    <w:rsid w:val="009E336B"/>
    <w:rsid w:val="009E4CF8"/>
    <w:rsid w:val="009E65A2"/>
    <w:rsid w:val="009E6640"/>
    <w:rsid w:val="009F002F"/>
    <w:rsid w:val="009F0054"/>
    <w:rsid w:val="009F0BBA"/>
    <w:rsid w:val="009F3A49"/>
    <w:rsid w:val="009F4FB7"/>
    <w:rsid w:val="009F7678"/>
    <w:rsid w:val="00A00ED6"/>
    <w:rsid w:val="00A00F0F"/>
    <w:rsid w:val="00A01D1C"/>
    <w:rsid w:val="00A0310D"/>
    <w:rsid w:val="00A05824"/>
    <w:rsid w:val="00A10DA1"/>
    <w:rsid w:val="00A11E36"/>
    <w:rsid w:val="00A1370E"/>
    <w:rsid w:val="00A14BB0"/>
    <w:rsid w:val="00A14D39"/>
    <w:rsid w:val="00A15B9E"/>
    <w:rsid w:val="00A208E3"/>
    <w:rsid w:val="00A21636"/>
    <w:rsid w:val="00A225A1"/>
    <w:rsid w:val="00A23472"/>
    <w:rsid w:val="00A240FC"/>
    <w:rsid w:val="00A27A4D"/>
    <w:rsid w:val="00A3073B"/>
    <w:rsid w:val="00A30A5C"/>
    <w:rsid w:val="00A3339A"/>
    <w:rsid w:val="00A33755"/>
    <w:rsid w:val="00A372C7"/>
    <w:rsid w:val="00A37785"/>
    <w:rsid w:val="00A40606"/>
    <w:rsid w:val="00A4254B"/>
    <w:rsid w:val="00A42EC2"/>
    <w:rsid w:val="00A46BFB"/>
    <w:rsid w:val="00A46E9D"/>
    <w:rsid w:val="00A47806"/>
    <w:rsid w:val="00A5086B"/>
    <w:rsid w:val="00A53DEE"/>
    <w:rsid w:val="00A566F7"/>
    <w:rsid w:val="00A578D3"/>
    <w:rsid w:val="00A61CB6"/>
    <w:rsid w:val="00A6476E"/>
    <w:rsid w:val="00A657C8"/>
    <w:rsid w:val="00A661F0"/>
    <w:rsid w:val="00A663E5"/>
    <w:rsid w:val="00A66BF0"/>
    <w:rsid w:val="00A706F0"/>
    <w:rsid w:val="00A70C1D"/>
    <w:rsid w:val="00A72636"/>
    <w:rsid w:val="00A74356"/>
    <w:rsid w:val="00A749E4"/>
    <w:rsid w:val="00A74CF3"/>
    <w:rsid w:val="00A74D6E"/>
    <w:rsid w:val="00A74D77"/>
    <w:rsid w:val="00A76C93"/>
    <w:rsid w:val="00A80555"/>
    <w:rsid w:val="00A80E0F"/>
    <w:rsid w:val="00A81A2B"/>
    <w:rsid w:val="00A82A05"/>
    <w:rsid w:val="00A860DF"/>
    <w:rsid w:val="00A90588"/>
    <w:rsid w:val="00A91CD6"/>
    <w:rsid w:val="00A92461"/>
    <w:rsid w:val="00A94AFB"/>
    <w:rsid w:val="00A95D86"/>
    <w:rsid w:val="00AA1C26"/>
    <w:rsid w:val="00AA26A7"/>
    <w:rsid w:val="00AA4E0F"/>
    <w:rsid w:val="00AA5721"/>
    <w:rsid w:val="00AA7058"/>
    <w:rsid w:val="00AB0E5A"/>
    <w:rsid w:val="00AB246D"/>
    <w:rsid w:val="00AB4F59"/>
    <w:rsid w:val="00AB5AF4"/>
    <w:rsid w:val="00AC0AF2"/>
    <w:rsid w:val="00AC0CC6"/>
    <w:rsid w:val="00AC1092"/>
    <w:rsid w:val="00AC2EE2"/>
    <w:rsid w:val="00AC5CCF"/>
    <w:rsid w:val="00AC7F84"/>
    <w:rsid w:val="00AD0EAC"/>
    <w:rsid w:val="00AD113E"/>
    <w:rsid w:val="00AD325F"/>
    <w:rsid w:val="00AD336F"/>
    <w:rsid w:val="00AD5E38"/>
    <w:rsid w:val="00AD7417"/>
    <w:rsid w:val="00AE1732"/>
    <w:rsid w:val="00AE3716"/>
    <w:rsid w:val="00AE3B1F"/>
    <w:rsid w:val="00AE594E"/>
    <w:rsid w:val="00AF0D03"/>
    <w:rsid w:val="00AF2D59"/>
    <w:rsid w:val="00AF4617"/>
    <w:rsid w:val="00AF485A"/>
    <w:rsid w:val="00AF5209"/>
    <w:rsid w:val="00AF797C"/>
    <w:rsid w:val="00B00AAF"/>
    <w:rsid w:val="00B0122E"/>
    <w:rsid w:val="00B0516F"/>
    <w:rsid w:val="00B05AFE"/>
    <w:rsid w:val="00B06453"/>
    <w:rsid w:val="00B069C3"/>
    <w:rsid w:val="00B076AC"/>
    <w:rsid w:val="00B144E5"/>
    <w:rsid w:val="00B21622"/>
    <w:rsid w:val="00B2251C"/>
    <w:rsid w:val="00B22F8E"/>
    <w:rsid w:val="00B24FB8"/>
    <w:rsid w:val="00B26022"/>
    <w:rsid w:val="00B26A10"/>
    <w:rsid w:val="00B31CC2"/>
    <w:rsid w:val="00B32D03"/>
    <w:rsid w:val="00B337D6"/>
    <w:rsid w:val="00B33E24"/>
    <w:rsid w:val="00B35751"/>
    <w:rsid w:val="00B3603E"/>
    <w:rsid w:val="00B36A03"/>
    <w:rsid w:val="00B37224"/>
    <w:rsid w:val="00B37483"/>
    <w:rsid w:val="00B4008C"/>
    <w:rsid w:val="00B405F6"/>
    <w:rsid w:val="00B40FB1"/>
    <w:rsid w:val="00B425CD"/>
    <w:rsid w:val="00B43DEE"/>
    <w:rsid w:val="00B43FCC"/>
    <w:rsid w:val="00B50305"/>
    <w:rsid w:val="00B505CC"/>
    <w:rsid w:val="00B522CD"/>
    <w:rsid w:val="00B52DFA"/>
    <w:rsid w:val="00B54034"/>
    <w:rsid w:val="00B5673F"/>
    <w:rsid w:val="00B56C4E"/>
    <w:rsid w:val="00B603E8"/>
    <w:rsid w:val="00B613A8"/>
    <w:rsid w:val="00B62C8B"/>
    <w:rsid w:val="00B641EE"/>
    <w:rsid w:val="00B6430E"/>
    <w:rsid w:val="00B65D4F"/>
    <w:rsid w:val="00B6634B"/>
    <w:rsid w:val="00B66974"/>
    <w:rsid w:val="00B70A3B"/>
    <w:rsid w:val="00B70D76"/>
    <w:rsid w:val="00B72B27"/>
    <w:rsid w:val="00B73C66"/>
    <w:rsid w:val="00B742A6"/>
    <w:rsid w:val="00B748F9"/>
    <w:rsid w:val="00B74FF6"/>
    <w:rsid w:val="00B84513"/>
    <w:rsid w:val="00B84906"/>
    <w:rsid w:val="00B869D2"/>
    <w:rsid w:val="00B87366"/>
    <w:rsid w:val="00B93B99"/>
    <w:rsid w:val="00BA2AD5"/>
    <w:rsid w:val="00BB0626"/>
    <w:rsid w:val="00BB0E56"/>
    <w:rsid w:val="00BB15FB"/>
    <w:rsid w:val="00BB1825"/>
    <w:rsid w:val="00BB1E25"/>
    <w:rsid w:val="00BB21B9"/>
    <w:rsid w:val="00BB38BA"/>
    <w:rsid w:val="00BB3FA5"/>
    <w:rsid w:val="00BB46F1"/>
    <w:rsid w:val="00BB4AE8"/>
    <w:rsid w:val="00BB7B8D"/>
    <w:rsid w:val="00BC0C08"/>
    <w:rsid w:val="00BC177A"/>
    <w:rsid w:val="00BC1AEC"/>
    <w:rsid w:val="00BC4F10"/>
    <w:rsid w:val="00BC5CA3"/>
    <w:rsid w:val="00BD062E"/>
    <w:rsid w:val="00BD0A53"/>
    <w:rsid w:val="00BD0C0D"/>
    <w:rsid w:val="00BD0F75"/>
    <w:rsid w:val="00BD21E7"/>
    <w:rsid w:val="00BD2E7F"/>
    <w:rsid w:val="00BD3D70"/>
    <w:rsid w:val="00BD4300"/>
    <w:rsid w:val="00BE4C3A"/>
    <w:rsid w:val="00BE674A"/>
    <w:rsid w:val="00BF0C30"/>
    <w:rsid w:val="00BF10E0"/>
    <w:rsid w:val="00BF1869"/>
    <w:rsid w:val="00BF5CAE"/>
    <w:rsid w:val="00BF67E5"/>
    <w:rsid w:val="00BF7B9E"/>
    <w:rsid w:val="00C01202"/>
    <w:rsid w:val="00C01DF0"/>
    <w:rsid w:val="00C03F3B"/>
    <w:rsid w:val="00C04CFA"/>
    <w:rsid w:val="00C052AD"/>
    <w:rsid w:val="00C07984"/>
    <w:rsid w:val="00C07B62"/>
    <w:rsid w:val="00C10AE1"/>
    <w:rsid w:val="00C127D4"/>
    <w:rsid w:val="00C1617C"/>
    <w:rsid w:val="00C161C6"/>
    <w:rsid w:val="00C163EF"/>
    <w:rsid w:val="00C1723A"/>
    <w:rsid w:val="00C1766D"/>
    <w:rsid w:val="00C20A2F"/>
    <w:rsid w:val="00C221FD"/>
    <w:rsid w:val="00C23EE1"/>
    <w:rsid w:val="00C23F7F"/>
    <w:rsid w:val="00C24CA3"/>
    <w:rsid w:val="00C25649"/>
    <w:rsid w:val="00C25A43"/>
    <w:rsid w:val="00C25EFB"/>
    <w:rsid w:val="00C261E7"/>
    <w:rsid w:val="00C27238"/>
    <w:rsid w:val="00C3036D"/>
    <w:rsid w:val="00C31C34"/>
    <w:rsid w:val="00C33E1E"/>
    <w:rsid w:val="00C33FAF"/>
    <w:rsid w:val="00C35B6F"/>
    <w:rsid w:val="00C36547"/>
    <w:rsid w:val="00C376D7"/>
    <w:rsid w:val="00C4083A"/>
    <w:rsid w:val="00C4141C"/>
    <w:rsid w:val="00C42B48"/>
    <w:rsid w:val="00C42BC2"/>
    <w:rsid w:val="00C43690"/>
    <w:rsid w:val="00C43735"/>
    <w:rsid w:val="00C444CD"/>
    <w:rsid w:val="00C44F42"/>
    <w:rsid w:val="00C4578B"/>
    <w:rsid w:val="00C45CEC"/>
    <w:rsid w:val="00C4690B"/>
    <w:rsid w:val="00C46BE1"/>
    <w:rsid w:val="00C51837"/>
    <w:rsid w:val="00C51ECD"/>
    <w:rsid w:val="00C5286F"/>
    <w:rsid w:val="00C542E8"/>
    <w:rsid w:val="00C60957"/>
    <w:rsid w:val="00C6590E"/>
    <w:rsid w:val="00C65AC4"/>
    <w:rsid w:val="00C66028"/>
    <w:rsid w:val="00C7007D"/>
    <w:rsid w:val="00C70B68"/>
    <w:rsid w:val="00C7334E"/>
    <w:rsid w:val="00C73FF5"/>
    <w:rsid w:val="00C75520"/>
    <w:rsid w:val="00C7682D"/>
    <w:rsid w:val="00C76EA9"/>
    <w:rsid w:val="00C80804"/>
    <w:rsid w:val="00C80864"/>
    <w:rsid w:val="00C81557"/>
    <w:rsid w:val="00C8417B"/>
    <w:rsid w:val="00C843FB"/>
    <w:rsid w:val="00C873E8"/>
    <w:rsid w:val="00C902A8"/>
    <w:rsid w:val="00C91481"/>
    <w:rsid w:val="00C92D28"/>
    <w:rsid w:val="00C96EFA"/>
    <w:rsid w:val="00C9764B"/>
    <w:rsid w:val="00CA0267"/>
    <w:rsid w:val="00CA0ECB"/>
    <w:rsid w:val="00CA272D"/>
    <w:rsid w:val="00CA7586"/>
    <w:rsid w:val="00CA75B9"/>
    <w:rsid w:val="00CB0D47"/>
    <w:rsid w:val="00CB1DA7"/>
    <w:rsid w:val="00CB1EDA"/>
    <w:rsid w:val="00CB2486"/>
    <w:rsid w:val="00CB249C"/>
    <w:rsid w:val="00CB2540"/>
    <w:rsid w:val="00CB2ABA"/>
    <w:rsid w:val="00CC386E"/>
    <w:rsid w:val="00CC4566"/>
    <w:rsid w:val="00CC50A6"/>
    <w:rsid w:val="00CC5AF3"/>
    <w:rsid w:val="00CC6FA0"/>
    <w:rsid w:val="00CD070B"/>
    <w:rsid w:val="00CD1D19"/>
    <w:rsid w:val="00CD1EEF"/>
    <w:rsid w:val="00CD7039"/>
    <w:rsid w:val="00CE02A0"/>
    <w:rsid w:val="00CE0DD0"/>
    <w:rsid w:val="00CE1A9B"/>
    <w:rsid w:val="00CE2586"/>
    <w:rsid w:val="00CE327F"/>
    <w:rsid w:val="00CE793A"/>
    <w:rsid w:val="00CF0063"/>
    <w:rsid w:val="00CF0312"/>
    <w:rsid w:val="00CF28C5"/>
    <w:rsid w:val="00CF4712"/>
    <w:rsid w:val="00CF4E3F"/>
    <w:rsid w:val="00CF5DFC"/>
    <w:rsid w:val="00CF6DB0"/>
    <w:rsid w:val="00CF77CB"/>
    <w:rsid w:val="00D008FC"/>
    <w:rsid w:val="00D01DD2"/>
    <w:rsid w:val="00D01ED3"/>
    <w:rsid w:val="00D02100"/>
    <w:rsid w:val="00D052D1"/>
    <w:rsid w:val="00D059AD"/>
    <w:rsid w:val="00D12F08"/>
    <w:rsid w:val="00D141E4"/>
    <w:rsid w:val="00D14395"/>
    <w:rsid w:val="00D157E6"/>
    <w:rsid w:val="00D178C8"/>
    <w:rsid w:val="00D22564"/>
    <w:rsid w:val="00D23D1F"/>
    <w:rsid w:val="00D255F6"/>
    <w:rsid w:val="00D26238"/>
    <w:rsid w:val="00D26B5A"/>
    <w:rsid w:val="00D27557"/>
    <w:rsid w:val="00D27682"/>
    <w:rsid w:val="00D341F9"/>
    <w:rsid w:val="00D41079"/>
    <w:rsid w:val="00D445DC"/>
    <w:rsid w:val="00D44869"/>
    <w:rsid w:val="00D45A14"/>
    <w:rsid w:val="00D45F19"/>
    <w:rsid w:val="00D47556"/>
    <w:rsid w:val="00D5028A"/>
    <w:rsid w:val="00D5127B"/>
    <w:rsid w:val="00D53513"/>
    <w:rsid w:val="00D53B35"/>
    <w:rsid w:val="00D54773"/>
    <w:rsid w:val="00D5605E"/>
    <w:rsid w:val="00D62BE7"/>
    <w:rsid w:val="00D6431B"/>
    <w:rsid w:val="00D648EC"/>
    <w:rsid w:val="00D649AF"/>
    <w:rsid w:val="00D65865"/>
    <w:rsid w:val="00D65DE1"/>
    <w:rsid w:val="00D670A0"/>
    <w:rsid w:val="00D671C1"/>
    <w:rsid w:val="00D6777D"/>
    <w:rsid w:val="00D67E76"/>
    <w:rsid w:val="00D70229"/>
    <w:rsid w:val="00D70A3E"/>
    <w:rsid w:val="00D715E0"/>
    <w:rsid w:val="00D71BEC"/>
    <w:rsid w:val="00D72555"/>
    <w:rsid w:val="00D72AC1"/>
    <w:rsid w:val="00D73CE5"/>
    <w:rsid w:val="00D752F3"/>
    <w:rsid w:val="00D765F6"/>
    <w:rsid w:val="00D76CE6"/>
    <w:rsid w:val="00D776FD"/>
    <w:rsid w:val="00D82902"/>
    <w:rsid w:val="00D83862"/>
    <w:rsid w:val="00D84F6B"/>
    <w:rsid w:val="00D86DC0"/>
    <w:rsid w:val="00D9028B"/>
    <w:rsid w:val="00D91AFF"/>
    <w:rsid w:val="00D9334F"/>
    <w:rsid w:val="00D94765"/>
    <w:rsid w:val="00D953BF"/>
    <w:rsid w:val="00D95D6B"/>
    <w:rsid w:val="00D96A3E"/>
    <w:rsid w:val="00DA0769"/>
    <w:rsid w:val="00DA0D9A"/>
    <w:rsid w:val="00DA1008"/>
    <w:rsid w:val="00DA401A"/>
    <w:rsid w:val="00DB0134"/>
    <w:rsid w:val="00DB4831"/>
    <w:rsid w:val="00DB53B6"/>
    <w:rsid w:val="00DB6865"/>
    <w:rsid w:val="00DC09DA"/>
    <w:rsid w:val="00DC3760"/>
    <w:rsid w:val="00DC4A79"/>
    <w:rsid w:val="00DC5DE5"/>
    <w:rsid w:val="00DC65E8"/>
    <w:rsid w:val="00DD0EDE"/>
    <w:rsid w:val="00DD1247"/>
    <w:rsid w:val="00DD1E5F"/>
    <w:rsid w:val="00DD63CC"/>
    <w:rsid w:val="00DD6610"/>
    <w:rsid w:val="00DD6BF5"/>
    <w:rsid w:val="00DE0699"/>
    <w:rsid w:val="00DE0704"/>
    <w:rsid w:val="00DE255F"/>
    <w:rsid w:val="00DE30AB"/>
    <w:rsid w:val="00DE7254"/>
    <w:rsid w:val="00DE7FEF"/>
    <w:rsid w:val="00DF0389"/>
    <w:rsid w:val="00DF3DE8"/>
    <w:rsid w:val="00DF3F3F"/>
    <w:rsid w:val="00DF44AD"/>
    <w:rsid w:val="00DF573F"/>
    <w:rsid w:val="00DF5BDC"/>
    <w:rsid w:val="00DF5F92"/>
    <w:rsid w:val="00E0041C"/>
    <w:rsid w:val="00E01023"/>
    <w:rsid w:val="00E01595"/>
    <w:rsid w:val="00E03919"/>
    <w:rsid w:val="00E03B21"/>
    <w:rsid w:val="00E05951"/>
    <w:rsid w:val="00E05CA1"/>
    <w:rsid w:val="00E10B44"/>
    <w:rsid w:val="00E12218"/>
    <w:rsid w:val="00E1226F"/>
    <w:rsid w:val="00E13AF3"/>
    <w:rsid w:val="00E156D1"/>
    <w:rsid w:val="00E1755B"/>
    <w:rsid w:val="00E2266B"/>
    <w:rsid w:val="00E2346F"/>
    <w:rsid w:val="00E246A3"/>
    <w:rsid w:val="00E26B69"/>
    <w:rsid w:val="00E3096F"/>
    <w:rsid w:val="00E30D9B"/>
    <w:rsid w:val="00E34E9D"/>
    <w:rsid w:val="00E34F5F"/>
    <w:rsid w:val="00E35145"/>
    <w:rsid w:val="00E3579B"/>
    <w:rsid w:val="00E36FA4"/>
    <w:rsid w:val="00E416FF"/>
    <w:rsid w:val="00E41931"/>
    <w:rsid w:val="00E4468E"/>
    <w:rsid w:val="00E4690C"/>
    <w:rsid w:val="00E50118"/>
    <w:rsid w:val="00E557C7"/>
    <w:rsid w:val="00E55A3B"/>
    <w:rsid w:val="00E60B30"/>
    <w:rsid w:val="00E62B1B"/>
    <w:rsid w:val="00E632EE"/>
    <w:rsid w:val="00E655E6"/>
    <w:rsid w:val="00E66183"/>
    <w:rsid w:val="00E667C3"/>
    <w:rsid w:val="00E67CCF"/>
    <w:rsid w:val="00E76157"/>
    <w:rsid w:val="00E76677"/>
    <w:rsid w:val="00E76B3E"/>
    <w:rsid w:val="00E8097A"/>
    <w:rsid w:val="00E8270C"/>
    <w:rsid w:val="00E83649"/>
    <w:rsid w:val="00E83784"/>
    <w:rsid w:val="00E842CC"/>
    <w:rsid w:val="00E84A7F"/>
    <w:rsid w:val="00E84D0B"/>
    <w:rsid w:val="00E92813"/>
    <w:rsid w:val="00E94239"/>
    <w:rsid w:val="00E942E7"/>
    <w:rsid w:val="00E96436"/>
    <w:rsid w:val="00E96A35"/>
    <w:rsid w:val="00E973FD"/>
    <w:rsid w:val="00E97609"/>
    <w:rsid w:val="00EA4A21"/>
    <w:rsid w:val="00EA53D7"/>
    <w:rsid w:val="00EA598F"/>
    <w:rsid w:val="00EB0543"/>
    <w:rsid w:val="00EB26CB"/>
    <w:rsid w:val="00EB32E0"/>
    <w:rsid w:val="00EB3EDF"/>
    <w:rsid w:val="00EB48CD"/>
    <w:rsid w:val="00EB6935"/>
    <w:rsid w:val="00EB75FA"/>
    <w:rsid w:val="00EB7FE1"/>
    <w:rsid w:val="00EC023E"/>
    <w:rsid w:val="00EC1154"/>
    <w:rsid w:val="00EC13BE"/>
    <w:rsid w:val="00EC1892"/>
    <w:rsid w:val="00EC24E8"/>
    <w:rsid w:val="00EC67E4"/>
    <w:rsid w:val="00EC6B20"/>
    <w:rsid w:val="00ED0FCC"/>
    <w:rsid w:val="00ED3869"/>
    <w:rsid w:val="00ED3E9C"/>
    <w:rsid w:val="00ED4FF4"/>
    <w:rsid w:val="00EE0398"/>
    <w:rsid w:val="00EE12F0"/>
    <w:rsid w:val="00EE474C"/>
    <w:rsid w:val="00EE48BF"/>
    <w:rsid w:val="00EE5042"/>
    <w:rsid w:val="00EF0275"/>
    <w:rsid w:val="00EF0749"/>
    <w:rsid w:val="00EF104A"/>
    <w:rsid w:val="00EF13C4"/>
    <w:rsid w:val="00EF41F0"/>
    <w:rsid w:val="00EF4EBD"/>
    <w:rsid w:val="00EF530E"/>
    <w:rsid w:val="00EF71A4"/>
    <w:rsid w:val="00F011B2"/>
    <w:rsid w:val="00F0228B"/>
    <w:rsid w:val="00F03891"/>
    <w:rsid w:val="00F05882"/>
    <w:rsid w:val="00F06419"/>
    <w:rsid w:val="00F069FA"/>
    <w:rsid w:val="00F074AF"/>
    <w:rsid w:val="00F0752A"/>
    <w:rsid w:val="00F1232C"/>
    <w:rsid w:val="00F13177"/>
    <w:rsid w:val="00F14ADA"/>
    <w:rsid w:val="00F168FB"/>
    <w:rsid w:val="00F21C5B"/>
    <w:rsid w:val="00F23551"/>
    <w:rsid w:val="00F2359B"/>
    <w:rsid w:val="00F25591"/>
    <w:rsid w:val="00F25949"/>
    <w:rsid w:val="00F26827"/>
    <w:rsid w:val="00F27887"/>
    <w:rsid w:val="00F279E8"/>
    <w:rsid w:val="00F27D44"/>
    <w:rsid w:val="00F301FF"/>
    <w:rsid w:val="00F3319B"/>
    <w:rsid w:val="00F36735"/>
    <w:rsid w:val="00F43686"/>
    <w:rsid w:val="00F437C5"/>
    <w:rsid w:val="00F47A5E"/>
    <w:rsid w:val="00F47B17"/>
    <w:rsid w:val="00F53685"/>
    <w:rsid w:val="00F54C7B"/>
    <w:rsid w:val="00F5514A"/>
    <w:rsid w:val="00F56522"/>
    <w:rsid w:val="00F56874"/>
    <w:rsid w:val="00F57AD5"/>
    <w:rsid w:val="00F60C40"/>
    <w:rsid w:val="00F633CB"/>
    <w:rsid w:val="00F6400C"/>
    <w:rsid w:val="00F6549D"/>
    <w:rsid w:val="00F65558"/>
    <w:rsid w:val="00F658A4"/>
    <w:rsid w:val="00F667A8"/>
    <w:rsid w:val="00F6743A"/>
    <w:rsid w:val="00F67AB8"/>
    <w:rsid w:val="00F704B2"/>
    <w:rsid w:val="00F70755"/>
    <w:rsid w:val="00F7157E"/>
    <w:rsid w:val="00F722BA"/>
    <w:rsid w:val="00F733B6"/>
    <w:rsid w:val="00F74867"/>
    <w:rsid w:val="00F749FB"/>
    <w:rsid w:val="00F75472"/>
    <w:rsid w:val="00F7616E"/>
    <w:rsid w:val="00F77639"/>
    <w:rsid w:val="00F805DF"/>
    <w:rsid w:val="00F80F9E"/>
    <w:rsid w:val="00F82708"/>
    <w:rsid w:val="00F851EE"/>
    <w:rsid w:val="00F875FD"/>
    <w:rsid w:val="00F93B3F"/>
    <w:rsid w:val="00F963E5"/>
    <w:rsid w:val="00F966F4"/>
    <w:rsid w:val="00F967C2"/>
    <w:rsid w:val="00F96D24"/>
    <w:rsid w:val="00F96F41"/>
    <w:rsid w:val="00FA20C9"/>
    <w:rsid w:val="00FA3759"/>
    <w:rsid w:val="00FA39BE"/>
    <w:rsid w:val="00FA3C1E"/>
    <w:rsid w:val="00FA56E1"/>
    <w:rsid w:val="00FA6228"/>
    <w:rsid w:val="00FA748A"/>
    <w:rsid w:val="00FB010E"/>
    <w:rsid w:val="00FB222C"/>
    <w:rsid w:val="00FC02A4"/>
    <w:rsid w:val="00FC1100"/>
    <w:rsid w:val="00FC2E5C"/>
    <w:rsid w:val="00FC7056"/>
    <w:rsid w:val="00FC7A01"/>
    <w:rsid w:val="00FD1687"/>
    <w:rsid w:val="00FD664E"/>
    <w:rsid w:val="00FD6922"/>
    <w:rsid w:val="00FD7A8C"/>
    <w:rsid w:val="00FE1092"/>
    <w:rsid w:val="00FE4BD7"/>
    <w:rsid w:val="00FE59F5"/>
    <w:rsid w:val="00FF246C"/>
    <w:rsid w:val="00FF2A91"/>
    <w:rsid w:val="00FF4887"/>
    <w:rsid w:val="00FF7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322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813"/>
    <w:rPr>
      <w:rFonts w:ascii="Times New Roman" w:eastAsia="Times New Roman" w:hAnsi="Times New Roman" w:cs="Times New Roman"/>
      <w:sz w:val="24"/>
      <w:szCs w:val="24"/>
    </w:rPr>
  </w:style>
  <w:style w:type="paragraph" w:styleId="Heading1">
    <w:name w:val="heading 1"/>
    <w:basedOn w:val="Normal"/>
    <w:next w:val="Normal"/>
    <w:link w:val="Heading1Char"/>
    <w:qFormat/>
    <w:rsid w:val="00AC2EE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next w:val="Normal"/>
    <w:link w:val="Heading5Char"/>
    <w:uiPriority w:val="9"/>
    <w:unhideWhenUsed/>
    <w:qFormat/>
    <w:rsid w:val="0059410A"/>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EE2"/>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link w:val="ListParagraphChar"/>
    <w:uiPriority w:val="34"/>
    <w:qFormat/>
    <w:rsid w:val="00AC2EE2"/>
    <w:pPr>
      <w:ind w:left="720"/>
      <w:contextualSpacing/>
    </w:pPr>
  </w:style>
  <w:style w:type="character" w:styleId="CommentReference">
    <w:name w:val="annotation reference"/>
    <w:basedOn w:val="DefaultParagraphFont"/>
    <w:uiPriority w:val="99"/>
    <w:unhideWhenUsed/>
    <w:rsid w:val="00AC2EE2"/>
    <w:rPr>
      <w:sz w:val="16"/>
      <w:szCs w:val="16"/>
    </w:rPr>
  </w:style>
  <w:style w:type="paragraph" w:styleId="CommentText">
    <w:name w:val="annotation text"/>
    <w:basedOn w:val="Normal"/>
    <w:link w:val="CommentTextChar"/>
    <w:uiPriority w:val="99"/>
    <w:unhideWhenUsed/>
    <w:rsid w:val="00AC2EE2"/>
    <w:rPr>
      <w:sz w:val="20"/>
      <w:szCs w:val="20"/>
    </w:rPr>
  </w:style>
  <w:style w:type="character" w:customStyle="1" w:styleId="CommentTextChar">
    <w:name w:val="Comment Text Char"/>
    <w:basedOn w:val="DefaultParagraphFont"/>
    <w:link w:val="CommentText"/>
    <w:uiPriority w:val="99"/>
    <w:rsid w:val="00AC2EE2"/>
    <w:rPr>
      <w:rFonts w:ascii="Times New Roman" w:eastAsia="Times New Roman" w:hAnsi="Times New Roman" w:cs="Times New Roman"/>
      <w:sz w:val="20"/>
      <w:szCs w:val="20"/>
    </w:rPr>
  </w:style>
  <w:style w:type="table" w:styleId="TableGrid">
    <w:name w:val="Table Grid"/>
    <w:basedOn w:val="TableNormal"/>
    <w:uiPriority w:val="39"/>
    <w:rsid w:val="00AC2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C2EE2"/>
    <w:pPr>
      <w:widowControl w:val="0"/>
    </w:pPr>
    <w:rPr>
      <w:rFonts w:ascii="Arial" w:eastAsia="Arial" w:hAnsi="Arial" w:cstheme="minorBidi"/>
      <w:sz w:val="23"/>
      <w:szCs w:val="23"/>
    </w:rPr>
  </w:style>
  <w:style w:type="character" w:customStyle="1" w:styleId="BodyTextChar">
    <w:name w:val="Body Text Char"/>
    <w:basedOn w:val="DefaultParagraphFont"/>
    <w:link w:val="BodyText"/>
    <w:uiPriority w:val="1"/>
    <w:rsid w:val="00AC2EE2"/>
    <w:rPr>
      <w:rFonts w:ascii="Arial" w:eastAsia="Arial" w:hAnsi="Arial"/>
      <w:sz w:val="23"/>
      <w:szCs w:val="23"/>
    </w:rPr>
  </w:style>
  <w:style w:type="paragraph" w:customStyle="1" w:styleId="SuicideBodyText">
    <w:name w:val="Suicide Body Text"/>
    <w:basedOn w:val="Normal"/>
    <w:link w:val="SuicideBodyTextChar"/>
    <w:rsid w:val="00AC2EE2"/>
    <w:pPr>
      <w:autoSpaceDE w:val="0"/>
      <w:autoSpaceDN w:val="0"/>
      <w:adjustRightInd w:val="0"/>
    </w:pPr>
  </w:style>
  <w:style w:type="character" w:customStyle="1" w:styleId="SuicideBodyTextChar">
    <w:name w:val="Suicide Body Text Char"/>
    <w:link w:val="SuicideBodyText"/>
    <w:rsid w:val="00AC2EE2"/>
    <w:rPr>
      <w:rFonts w:ascii="Times New Roman" w:eastAsia="Times New Roman" w:hAnsi="Times New Roman" w:cs="Times New Roman"/>
      <w:sz w:val="24"/>
      <w:szCs w:val="24"/>
    </w:rPr>
  </w:style>
  <w:style w:type="paragraph" w:customStyle="1" w:styleId="GLSBody">
    <w:name w:val="GLS Body"/>
    <w:basedOn w:val="Normal"/>
    <w:link w:val="GLSBodyChar"/>
    <w:rsid w:val="00AC2EE2"/>
    <w:pPr>
      <w:autoSpaceDE w:val="0"/>
      <w:autoSpaceDN w:val="0"/>
      <w:adjustRightInd w:val="0"/>
      <w:spacing w:after="240"/>
    </w:pPr>
  </w:style>
  <w:style w:type="character" w:customStyle="1" w:styleId="GLSBodyChar">
    <w:name w:val="GLS Body Char"/>
    <w:link w:val="GLSBody"/>
    <w:rsid w:val="00AC2EE2"/>
    <w:rPr>
      <w:rFonts w:ascii="Times New Roman" w:eastAsia="Times New Roman" w:hAnsi="Times New Roman" w:cs="Times New Roman"/>
      <w:sz w:val="24"/>
      <w:szCs w:val="24"/>
    </w:rPr>
  </w:style>
  <w:style w:type="paragraph" w:customStyle="1" w:styleId="SuicideBullet1">
    <w:name w:val="Suicide Bullet 1"/>
    <w:basedOn w:val="Normal"/>
    <w:qFormat/>
    <w:rsid w:val="00AC2EE2"/>
    <w:pPr>
      <w:numPr>
        <w:numId w:val="2"/>
      </w:numPr>
      <w:tabs>
        <w:tab w:val="left" w:pos="-1440"/>
        <w:tab w:val="left" w:pos="360"/>
      </w:tabs>
      <w:autoSpaceDE w:val="0"/>
      <w:autoSpaceDN w:val="0"/>
      <w:adjustRightInd w:val="0"/>
      <w:ind w:left="360"/>
    </w:pPr>
  </w:style>
  <w:style w:type="paragraph" w:styleId="FootnoteText">
    <w:name w:val="footnote text"/>
    <w:basedOn w:val="Normal"/>
    <w:link w:val="FootnoteTextChar"/>
    <w:uiPriority w:val="99"/>
    <w:unhideWhenUsed/>
    <w:rsid w:val="00AC2EE2"/>
    <w:pPr>
      <w:autoSpaceDE w:val="0"/>
      <w:autoSpaceDN w:val="0"/>
      <w:adjustRightInd w:val="0"/>
    </w:pPr>
    <w:rPr>
      <w:sz w:val="20"/>
      <w:szCs w:val="20"/>
    </w:rPr>
  </w:style>
  <w:style w:type="character" w:customStyle="1" w:styleId="FootnoteTextChar">
    <w:name w:val="Footnote Text Char"/>
    <w:basedOn w:val="DefaultParagraphFont"/>
    <w:link w:val="FootnoteText"/>
    <w:uiPriority w:val="99"/>
    <w:rsid w:val="00AC2EE2"/>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AC2EE2"/>
    <w:rPr>
      <w:vertAlign w:val="superscript"/>
    </w:rPr>
  </w:style>
  <w:style w:type="paragraph" w:customStyle="1" w:styleId="ProposalBodyText">
    <w:name w:val="Proposal Body Text"/>
    <w:basedOn w:val="Normal"/>
    <w:link w:val="ProposalBodyTextChar"/>
    <w:qFormat/>
    <w:rsid w:val="00AC2EE2"/>
    <w:pPr>
      <w:tabs>
        <w:tab w:val="left" w:pos="0"/>
      </w:tabs>
      <w:autoSpaceDE w:val="0"/>
      <w:autoSpaceDN w:val="0"/>
      <w:adjustRightInd w:val="0"/>
      <w:contextualSpacing/>
    </w:pPr>
    <w:rPr>
      <w:szCs w:val="20"/>
    </w:rPr>
  </w:style>
  <w:style w:type="character" w:customStyle="1" w:styleId="ProposalBodyTextChar">
    <w:name w:val="Proposal Body Text Char"/>
    <w:link w:val="ProposalBodyText"/>
    <w:rsid w:val="00AC2EE2"/>
    <w:rPr>
      <w:rFonts w:ascii="Times New Roman" w:eastAsia="Times New Roman" w:hAnsi="Times New Roman" w:cs="Times New Roman"/>
      <w:sz w:val="24"/>
      <w:szCs w:val="20"/>
    </w:rPr>
  </w:style>
  <w:style w:type="character" w:customStyle="1" w:styleId="minorhead">
    <w:name w:val="minorhead"/>
    <w:rsid w:val="00AC2EE2"/>
    <w:rPr>
      <w:rFonts w:ascii="Arial" w:hAnsi="Arial" w:cs="Arial"/>
      <w:b/>
      <w:bCs/>
      <w:sz w:val="24"/>
      <w:szCs w:val="24"/>
    </w:rPr>
  </w:style>
  <w:style w:type="paragraph" w:styleId="CommentSubject">
    <w:name w:val="annotation subject"/>
    <w:basedOn w:val="CommentText"/>
    <w:next w:val="CommentText"/>
    <w:link w:val="CommentSubjectChar"/>
    <w:uiPriority w:val="99"/>
    <w:semiHidden/>
    <w:unhideWhenUsed/>
    <w:rsid w:val="005732C6"/>
    <w:rPr>
      <w:b/>
      <w:bCs/>
    </w:rPr>
  </w:style>
  <w:style w:type="character" w:customStyle="1" w:styleId="CommentSubjectChar">
    <w:name w:val="Comment Subject Char"/>
    <w:basedOn w:val="CommentTextChar"/>
    <w:link w:val="CommentSubject"/>
    <w:uiPriority w:val="99"/>
    <w:semiHidden/>
    <w:rsid w:val="005732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732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2C6"/>
    <w:rPr>
      <w:rFonts w:ascii="Segoe UI" w:eastAsia="Times New Roman" w:hAnsi="Segoe UI" w:cs="Segoe UI"/>
      <w:sz w:val="18"/>
      <w:szCs w:val="18"/>
    </w:rPr>
  </w:style>
  <w:style w:type="paragraph" w:styleId="Header">
    <w:name w:val="header"/>
    <w:basedOn w:val="Normal"/>
    <w:link w:val="HeaderChar"/>
    <w:uiPriority w:val="99"/>
    <w:unhideWhenUsed/>
    <w:rsid w:val="005732C6"/>
    <w:pPr>
      <w:tabs>
        <w:tab w:val="center" w:pos="4680"/>
        <w:tab w:val="right" w:pos="9360"/>
      </w:tabs>
    </w:pPr>
  </w:style>
  <w:style w:type="character" w:customStyle="1" w:styleId="HeaderChar">
    <w:name w:val="Header Char"/>
    <w:basedOn w:val="DefaultParagraphFont"/>
    <w:link w:val="Header"/>
    <w:uiPriority w:val="99"/>
    <w:rsid w:val="005732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732C6"/>
    <w:pPr>
      <w:tabs>
        <w:tab w:val="center" w:pos="4680"/>
        <w:tab w:val="right" w:pos="9360"/>
      </w:tabs>
    </w:pPr>
  </w:style>
  <w:style w:type="character" w:customStyle="1" w:styleId="FooterChar">
    <w:name w:val="Footer Char"/>
    <w:basedOn w:val="DefaultParagraphFont"/>
    <w:link w:val="Footer"/>
    <w:uiPriority w:val="99"/>
    <w:rsid w:val="005732C6"/>
    <w:rPr>
      <w:rFonts w:ascii="Times New Roman" w:eastAsia="Times New Roman" w:hAnsi="Times New Roman" w:cs="Times New Roman"/>
      <w:sz w:val="24"/>
      <w:szCs w:val="24"/>
    </w:rPr>
  </w:style>
  <w:style w:type="paragraph" w:customStyle="1" w:styleId="GLSReference">
    <w:name w:val="GLS Reference"/>
    <w:rsid w:val="000802F7"/>
    <w:pPr>
      <w:spacing w:before="120"/>
      <w:ind w:left="360" w:hanging="360"/>
    </w:pPr>
    <w:rPr>
      <w:rFonts w:ascii="Times New Roman" w:eastAsia="Times New Roman" w:hAnsi="Times New Roman" w:cs="Times New Roman"/>
      <w:sz w:val="24"/>
      <w:szCs w:val="20"/>
    </w:rPr>
  </w:style>
  <w:style w:type="paragraph" w:styleId="ListBullet">
    <w:name w:val="List Bullet"/>
    <w:basedOn w:val="Normal"/>
    <w:rsid w:val="003E0A6E"/>
    <w:pPr>
      <w:numPr>
        <w:numId w:val="3"/>
      </w:numPr>
      <w:spacing w:after="120"/>
      <w:jc w:val="left"/>
    </w:pPr>
    <w:rPr>
      <w:szCs w:val="22"/>
    </w:rPr>
  </w:style>
  <w:style w:type="character" w:styleId="Emphasis">
    <w:name w:val="Emphasis"/>
    <w:basedOn w:val="DefaultParagraphFont"/>
    <w:uiPriority w:val="20"/>
    <w:qFormat/>
    <w:rsid w:val="003E0A6E"/>
    <w:rPr>
      <w:i/>
      <w:iCs/>
    </w:rPr>
  </w:style>
  <w:style w:type="character" w:customStyle="1" w:styleId="apple-converted-space">
    <w:name w:val="apple-converted-space"/>
    <w:basedOn w:val="DefaultParagraphFont"/>
    <w:rsid w:val="003E0A6E"/>
  </w:style>
  <w:style w:type="paragraph" w:customStyle="1" w:styleId="GLSTable1">
    <w:name w:val="GLS Table 1"/>
    <w:basedOn w:val="Normal"/>
    <w:link w:val="GLSTable1Char"/>
    <w:qFormat/>
    <w:rsid w:val="003E0A6E"/>
    <w:pPr>
      <w:autoSpaceDE w:val="0"/>
      <w:autoSpaceDN w:val="0"/>
      <w:adjustRightInd w:val="0"/>
      <w:spacing w:before="40" w:after="40"/>
      <w:jc w:val="center"/>
    </w:pPr>
    <w:rPr>
      <w:rFonts w:ascii="Tw Cen MT" w:hAnsi="Tw Cen MT" w:cs="Arial"/>
      <w:b/>
      <w:szCs w:val="20"/>
    </w:rPr>
  </w:style>
  <w:style w:type="paragraph" w:customStyle="1" w:styleId="GLSTableBullet1">
    <w:name w:val="GLS Table Bullet 1"/>
    <w:basedOn w:val="Normal"/>
    <w:qFormat/>
    <w:rsid w:val="003E0A6E"/>
    <w:pPr>
      <w:spacing w:before="40" w:after="20"/>
      <w:contextualSpacing/>
    </w:pPr>
    <w:rPr>
      <w:rFonts w:ascii="Tw Cen MT" w:hAnsi="Tw Cen MT" w:cs="Arial"/>
      <w:szCs w:val="20"/>
    </w:rPr>
  </w:style>
  <w:style w:type="paragraph" w:customStyle="1" w:styleId="GLSBullet1">
    <w:name w:val="GLS Bullet 1"/>
    <w:basedOn w:val="Normal"/>
    <w:rsid w:val="00F0752A"/>
    <w:pPr>
      <w:autoSpaceDE w:val="0"/>
      <w:autoSpaceDN w:val="0"/>
      <w:adjustRightInd w:val="0"/>
      <w:spacing w:after="60"/>
      <w:jc w:val="left"/>
    </w:pPr>
  </w:style>
  <w:style w:type="paragraph" w:customStyle="1" w:styleId="GLSH4">
    <w:name w:val="GLS H4"/>
    <w:rsid w:val="00BB3FA5"/>
    <w:pPr>
      <w:keepNext/>
      <w:spacing w:after="120"/>
      <w:jc w:val="left"/>
    </w:pPr>
    <w:rPr>
      <w:rFonts w:ascii="Tw Cen MT" w:eastAsia="Times New Roman" w:hAnsi="Tw Cen MT" w:cs="Arial"/>
      <w:b/>
      <w:iCs/>
      <w:color w:val="296D7F"/>
      <w:sz w:val="28"/>
      <w:szCs w:val="24"/>
      <w:u w:val="single"/>
    </w:rPr>
  </w:style>
  <w:style w:type="character" w:styleId="Hyperlink">
    <w:name w:val="Hyperlink"/>
    <w:basedOn w:val="DefaultParagraphFont"/>
    <w:uiPriority w:val="99"/>
    <w:unhideWhenUsed/>
    <w:rsid w:val="00BB3FA5"/>
    <w:rPr>
      <w:color w:val="0563C1" w:themeColor="hyperlink"/>
      <w:u w:val="single"/>
    </w:rPr>
  </w:style>
  <w:style w:type="paragraph" w:customStyle="1" w:styleId="GLSTableBullet2">
    <w:name w:val="GLS Table Bullet 2"/>
    <w:basedOn w:val="Normal"/>
    <w:qFormat/>
    <w:rsid w:val="00757B1A"/>
    <w:pPr>
      <w:numPr>
        <w:numId w:val="4"/>
      </w:numPr>
      <w:autoSpaceDE w:val="0"/>
      <w:autoSpaceDN w:val="0"/>
      <w:adjustRightInd w:val="0"/>
      <w:spacing w:before="40" w:after="40"/>
      <w:ind w:left="510" w:hanging="240"/>
      <w:jc w:val="left"/>
    </w:pPr>
    <w:rPr>
      <w:rFonts w:ascii="Tw Cen MT" w:eastAsiaTheme="minorEastAsia" w:hAnsi="Tw Cen MT" w:cs="Arial"/>
      <w:szCs w:val="20"/>
    </w:rPr>
  </w:style>
  <w:style w:type="paragraph" w:customStyle="1" w:styleId="GLSTable3">
    <w:name w:val="GLS Table 3"/>
    <w:basedOn w:val="Normal"/>
    <w:qFormat/>
    <w:rsid w:val="00FB010E"/>
    <w:pPr>
      <w:autoSpaceDE w:val="0"/>
      <w:autoSpaceDN w:val="0"/>
      <w:adjustRightInd w:val="0"/>
      <w:spacing w:before="40" w:after="40"/>
      <w:jc w:val="left"/>
    </w:pPr>
    <w:rPr>
      <w:rFonts w:ascii="Tw Cen MT" w:hAnsi="Tw Cen MT" w:cs="Arial"/>
      <w:szCs w:val="20"/>
    </w:rPr>
  </w:style>
  <w:style w:type="paragraph" w:customStyle="1" w:styleId="proposalbodytext0">
    <w:name w:val="proposalbodytext"/>
    <w:basedOn w:val="Normal"/>
    <w:semiHidden/>
    <w:rsid w:val="00F0228B"/>
    <w:pPr>
      <w:spacing w:before="100" w:beforeAutospacing="1" w:after="100" w:afterAutospacing="1"/>
      <w:jc w:val="left"/>
    </w:pPr>
    <w:rPr>
      <w:rFonts w:ascii="Arial Unicode MS" w:eastAsia="Arial Unicode MS" w:hAnsi="Arial Unicode MS" w:cs="Arial Unicode MS"/>
    </w:rPr>
  </w:style>
  <w:style w:type="paragraph" w:styleId="DocumentMap">
    <w:name w:val="Document Map"/>
    <w:basedOn w:val="Normal"/>
    <w:link w:val="DocumentMapChar"/>
    <w:semiHidden/>
    <w:rsid w:val="00683939"/>
    <w:pPr>
      <w:shd w:val="clear" w:color="auto" w:fill="000080"/>
      <w:jc w:val="left"/>
    </w:pPr>
    <w:rPr>
      <w:rFonts w:ascii="Tahoma" w:hAnsi="Tahoma" w:cs="Tahoma"/>
      <w:sz w:val="20"/>
      <w:szCs w:val="20"/>
    </w:rPr>
  </w:style>
  <w:style w:type="character" w:customStyle="1" w:styleId="DocumentMapChar">
    <w:name w:val="Document Map Char"/>
    <w:basedOn w:val="DefaultParagraphFont"/>
    <w:link w:val="DocumentMap"/>
    <w:semiHidden/>
    <w:rsid w:val="00683939"/>
    <w:rPr>
      <w:rFonts w:ascii="Tahoma" w:eastAsia="Times New Roman" w:hAnsi="Tahoma" w:cs="Tahoma"/>
      <w:sz w:val="20"/>
      <w:szCs w:val="20"/>
      <w:shd w:val="clear" w:color="auto" w:fill="000080"/>
    </w:rPr>
  </w:style>
  <w:style w:type="paragraph" w:customStyle="1" w:styleId="SuicideHead3">
    <w:name w:val="Suicide Head 3"/>
    <w:basedOn w:val="Normal"/>
    <w:qFormat/>
    <w:rsid w:val="00683939"/>
    <w:pPr>
      <w:widowControl w:val="0"/>
      <w:numPr>
        <w:numId w:val="5"/>
      </w:numPr>
      <w:autoSpaceDE w:val="0"/>
      <w:autoSpaceDN w:val="0"/>
      <w:adjustRightInd w:val="0"/>
      <w:spacing w:after="120"/>
      <w:jc w:val="left"/>
    </w:pPr>
    <w:rPr>
      <w:rFonts w:ascii="Arial" w:hAnsi="Arial" w:cs="Arial"/>
      <w:b/>
      <w:i/>
      <w:sz w:val="26"/>
      <w:szCs w:val="26"/>
    </w:rPr>
  </w:style>
  <w:style w:type="paragraph" w:customStyle="1" w:styleId="SuicideTableTitle">
    <w:name w:val="Suicide Table Title"/>
    <w:basedOn w:val="Normal"/>
    <w:qFormat/>
    <w:rsid w:val="007D1703"/>
    <w:pPr>
      <w:tabs>
        <w:tab w:val="left" w:pos="-1440"/>
      </w:tabs>
      <w:autoSpaceDE w:val="0"/>
      <w:autoSpaceDN w:val="0"/>
      <w:adjustRightInd w:val="0"/>
      <w:spacing w:after="120"/>
      <w:jc w:val="center"/>
    </w:pPr>
    <w:rPr>
      <w:rFonts w:ascii="Arial" w:hAnsi="Arial" w:cs="Arial"/>
      <w:b/>
      <w:sz w:val="20"/>
      <w:szCs w:val="20"/>
    </w:rPr>
  </w:style>
  <w:style w:type="character" w:customStyle="1" w:styleId="Heading5Char">
    <w:name w:val="Heading 5 Char"/>
    <w:basedOn w:val="DefaultParagraphFont"/>
    <w:link w:val="Heading5"/>
    <w:uiPriority w:val="9"/>
    <w:rsid w:val="0059410A"/>
    <w:rPr>
      <w:rFonts w:asciiTheme="majorHAnsi" w:eastAsiaTheme="majorEastAsia" w:hAnsiTheme="majorHAnsi" w:cstheme="majorBidi"/>
      <w:color w:val="2E74B5" w:themeColor="accent1" w:themeShade="BF"/>
      <w:sz w:val="24"/>
      <w:szCs w:val="24"/>
    </w:rPr>
  </w:style>
  <w:style w:type="paragraph" w:customStyle="1" w:styleId="GLSBullet2">
    <w:name w:val="GLS Bullet 2"/>
    <w:basedOn w:val="Normal"/>
    <w:rsid w:val="00C70B68"/>
    <w:pPr>
      <w:numPr>
        <w:numId w:val="6"/>
      </w:numPr>
      <w:autoSpaceDE w:val="0"/>
      <w:autoSpaceDN w:val="0"/>
      <w:adjustRightInd w:val="0"/>
      <w:spacing w:after="60"/>
      <w:jc w:val="left"/>
    </w:pPr>
  </w:style>
  <w:style w:type="paragraph" w:customStyle="1" w:styleId="SuicideBullet2">
    <w:name w:val="Suicide Bullet 2"/>
    <w:basedOn w:val="Normal"/>
    <w:qFormat/>
    <w:rsid w:val="00E842CC"/>
    <w:pPr>
      <w:widowControl w:val="0"/>
      <w:numPr>
        <w:ilvl w:val="1"/>
        <w:numId w:val="9"/>
      </w:numPr>
      <w:autoSpaceDE w:val="0"/>
      <w:autoSpaceDN w:val="0"/>
      <w:adjustRightInd w:val="0"/>
      <w:ind w:left="720"/>
      <w:jc w:val="left"/>
    </w:pPr>
  </w:style>
  <w:style w:type="paragraph" w:styleId="NoSpacing">
    <w:name w:val="No Spacing"/>
    <w:aliases w:val="GLS No Spacing"/>
    <w:uiPriority w:val="1"/>
    <w:qFormat/>
    <w:rsid w:val="005701B4"/>
    <w:pPr>
      <w:jc w:val="left"/>
    </w:pPr>
  </w:style>
  <w:style w:type="paragraph" w:customStyle="1" w:styleId="GLSH3">
    <w:name w:val="GLS H3"/>
    <w:basedOn w:val="Normal"/>
    <w:rsid w:val="00D5605E"/>
    <w:pPr>
      <w:keepNext/>
      <w:autoSpaceDE w:val="0"/>
      <w:autoSpaceDN w:val="0"/>
      <w:adjustRightInd w:val="0"/>
      <w:spacing w:after="120"/>
      <w:jc w:val="left"/>
    </w:pPr>
    <w:rPr>
      <w:rFonts w:ascii="Tw Cen MT" w:hAnsi="Tw Cen MT" w:cs="Arial"/>
      <w:b/>
      <w:color w:val="000000"/>
      <w:sz w:val="28"/>
    </w:rPr>
  </w:style>
  <w:style w:type="paragraph" w:customStyle="1" w:styleId="GLSTable2">
    <w:name w:val="GLS Table 2"/>
    <w:basedOn w:val="Normal"/>
    <w:qFormat/>
    <w:rsid w:val="00D5605E"/>
    <w:pPr>
      <w:autoSpaceDE w:val="0"/>
      <w:autoSpaceDN w:val="0"/>
      <w:adjustRightInd w:val="0"/>
      <w:spacing w:before="40" w:after="40"/>
      <w:jc w:val="left"/>
    </w:pPr>
    <w:rPr>
      <w:rFonts w:ascii="Tw Cen MT" w:hAnsi="Tw Cen MT" w:cs="Arial"/>
      <w:b/>
      <w:color w:val="000000"/>
      <w:sz w:val="22"/>
      <w:szCs w:val="20"/>
    </w:rPr>
  </w:style>
  <w:style w:type="paragraph" w:customStyle="1" w:styleId="GLSTableExhibit">
    <w:name w:val="GLS Table/Exhibit"/>
    <w:basedOn w:val="Normal"/>
    <w:rsid w:val="00D5605E"/>
    <w:pPr>
      <w:keepNext/>
      <w:autoSpaceDE w:val="0"/>
      <w:autoSpaceDN w:val="0"/>
      <w:adjustRightInd w:val="0"/>
      <w:spacing w:after="120"/>
      <w:jc w:val="center"/>
    </w:pPr>
    <w:rPr>
      <w:rFonts w:ascii="Tw Cen MT" w:hAnsi="Tw Cen MT"/>
      <w:b/>
      <w:color w:val="C86665"/>
      <w:szCs w:val="20"/>
    </w:rPr>
  </w:style>
  <w:style w:type="table" w:customStyle="1" w:styleId="TableGrid2">
    <w:name w:val="Table Grid2"/>
    <w:basedOn w:val="TableNormal"/>
    <w:next w:val="TableGrid"/>
    <w:uiPriority w:val="39"/>
    <w:rsid w:val="00D5605E"/>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D5605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GLSTable1"/>
    <w:link w:val="Style2Char"/>
    <w:qFormat/>
    <w:rsid w:val="00084715"/>
    <w:pPr>
      <w:jc w:val="left"/>
    </w:pPr>
    <w:rPr>
      <w:sz w:val="28"/>
    </w:rPr>
  </w:style>
  <w:style w:type="paragraph" w:customStyle="1" w:styleId="Default">
    <w:name w:val="Default"/>
    <w:rsid w:val="00AF797C"/>
    <w:pPr>
      <w:autoSpaceDE w:val="0"/>
      <w:autoSpaceDN w:val="0"/>
      <w:adjustRightInd w:val="0"/>
      <w:jc w:val="left"/>
    </w:pPr>
    <w:rPr>
      <w:rFonts w:ascii="Georgia" w:hAnsi="Georgia" w:cs="Georgia"/>
      <w:color w:val="000000"/>
      <w:sz w:val="24"/>
      <w:szCs w:val="24"/>
    </w:rPr>
  </w:style>
  <w:style w:type="character" w:customStyle="1" w:styleId="GLSTable1Char">
    <w:name w:val="GLS Table 1 Char"/>
    <w:basedOn w:val="DefaultParagraphFont"/>
    <w:link w:val="GLSTable1"/>
    <w:rsid w:val="00084715"/>
    <w:rPr>
      <w:rFonts w:ascii="Tw Cen MT" w:eastAsia="Times New Roman" w:hAnsi="Tw Cen MT" w:cs="Arial"/>
      <w:b/>
      <w:sz w:val="24"/>
      <w:szCs w:val="20"/>
    </w:rPr>
  </w:style>
  <w:style w:type="character" w:customStyle="1" w:styleId="Style2Char">
    <w:name w:val="Style2 Char"/>
    <w:basedOn w:val="GLSTable1Char"/>
    <w:link w:val="Style2"/>
    <w:rsid w:val="00084715"/>
    <w:rPr>
      <w:rFonts w:ascii="Tw Cen MT" w:eastAsia="Times New Roman" w:hAnsi="Tw Cen MT" w:cs="Arial"/>
      <w:b/>
      <w:sz w:val="28"/>
      <w:szCs w:val="20"/>
    </w:rPr>
  </w:style>
  <w:style w:type="paragraph" w:customStyle="1" w:styleId="Pa2">
    <w:name w:val="Pa2"/>
    <w:basedOn w:val="Default"/>
    <w:next w:val="Default"/>
    <w:uiPriority w:val="99"/>
    <w:rsid w:val="008B7C15"/>
    <w:pPr>
      <w:spacing w:line="241" w:lineRule="atLeast"/>
    </w:pPr>
    <w:rPr>
      <w:rFonts w:ascii="Garamond" w:hAnsi="Garamond" w:cstheme="minorBidi"/>
      <w:color w:val="auto"/>
    </w:rPr>
  </w:style>
  <w:style w:type="paragraph" w:customStyle="1" w:styleId="SuicideTableHeading1">
    <w:name w:val="Suicide Table Heading 1"/>
    <w:basedOn w:val="Normal"/>
    <w:qFormat/>
    <w:rsid w:val="000E7EEB"/>
    <w:pPr>
      <w:tabs>
        <w:tab w:val="left" w:pos="-1440"/>
      </w:tabs>
      <w:autoSpaceDE w:val="0"/>
      <w:autoSpaceDN w:val="0"/>
      <w:adjustRightInd w:val="0"/>
      <w:jc w:val="center"/>
    </w:pPr>
    <w:rPr>
      <w:rFonts w:ascii="Arial" w:hAnsi="Arial" w:cs="Arial"/>
      <w:b/>
      <w:color w:val="FFFFFF"/>
      <w:sz w:val="20"/>
      <w:szCs w:val="20"/>
    </w:rPr>
  </w:style>
  <w:style w:type="table" w:customStyle="1" w:styleId="TableGrid1">
    <w:name w:val="Table Grid1"/>
    <w:basedOn w:val="TableNormal"/>
    <w:next w:val="TableGrid"/>
    <w:uiPriority w:val="39"/>
    <w:rsid w:val="0076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icideTableHeading2">
    <w:name w:val="Suicide Table Heading 2"/>
    <w:basedOn w:val="Normal"/>
    <w:qFormat/>
    <w:rsid w:val="00665C18"/>
    <w:pPr>
      <w:tabs>
        <w:tab w:val="left" w:pos="-1440"/>
      </w:tabs>
      <w:autoSpaceDE w:val="0"/>
      <w:autoSpaceDN w:val="0"/>
      <w:adjustRightInd w:val="0"/>
      <w:spacing w:before="120"/>
      <w:jc w:val="left"/>
    </w:pPr>
    <w:rPr>
      <w:rFonts w:ascii="Arial" w:hAnsi="Arial" w:cs="Arial"/>
      <w:b/>
      <w:sz w:val="20"/>
      <w:szCs w:val="20"/>
    </w:rPr>
  </w:style>
  <w:style w:type="paragraph" w:customStyle="1" w:styleId="SuicideTableText">
    <w:name w:val="Suicide Table Text"/>
    <w:basedOn w:val="Normal"/>
    <w:qFormat/>
    <w:rsid w:val="00665C18"/>
    <w:pPr>
      <w:autoSpaceDE w:val="0"/>
      <w:autoSpaceDN w:val="0"/>
      <w:adjustRightInd w:val="0"/>
      <w:spacing w:before="60" w:after="60"/>
      <w:jc w:val="left"/>
    </w:pPr>
    <w:rPr>
      <w:rFonts w:ascii="Arial" w:hAnsi="Arial" w:cs="Arial"/>
      <w:sz w:val="20"/>
      <w:szCs w:val="18"/>
    </w:rPr>
  </w:style>
  <w:style w:type="paragraph" w:customStyle="1" w:styleId="ICFProposalText">
    <w:name w:val="ICF Proposal Text"/>
    <w:basedOn w:val="Normal"/>
    <w:link w:val="ICFProposalTextChar"/>
    <w:qFormat/>
    <w:rsid w:val="00BD0C0D"/>
    <w:pPr>
      <w:spacing w:after="120"/>
    </w:pPr>
    <w:rPr>
      <w:szCs w:val="22"/>
    </w:rPr>
  </w:style>
  <w:style w:type="character" w:customStyle="1" w:styleId="ICFProposalTextChar">
    <w:name w:val="ICF Proposal Text Char"/>
    <w:link w:val="ICFProposalText"/>
    <w:locked/>
    <w:rsid w:val="00BD0C0D"/>
    <w:rPr>
      <w:rFonts w:ascii="Times New Roman" w:eastAsia="Times New Roman" w:hAnsi="Times New Roman" w:cs="Times New Roman"/>
      <w:sz w:val="24"/>
    </w:rPr>
  </w:style>
  <w:style w:type="paragraph" w:customStyle="1" w:styleId="Pa4">
    <w:name w:val="Pa4"/>
    <w:basedOn w:val="Default"/>
    <w:next w:val="Default"/>
    <w:uiPriority w:val="99"/>
    <w:rsid w:val="00763993"/>
    <w:pPr>
      <w:spacing w:line="241" w:lineRule="atLeast"/>
    </w:pPr>
    <w:rPr>
      <w:rFonts w:ascii="Garamond" w:hAnsi="Garamond" w:cstheme="minorBidi"/>
      <w:color w:val="auto"/>
    </w:rPr>
  </w:style>
  <w:style w:type="paragraph" w:customStyle="1" w:styleId="BHTCCBody">
    <w:name w:val="BHTCC Body"/>
    <w:basedOn w:val="Normal"/>
    <w:qFormat/>
    <w:rsid w:val="00D648EC"/>
    <w:pPr>
      <w:spacing w:after="200"/>
    </w:pPr>
    <w:rPr>
      <w:rFonts w:ascii="Ebrima" w:eastAsiaTheme="minorHAnsi" w:hAnsi="Ebrima" w:cstheme="minorBidi"/>
      <w:sz w:val="20"/>
      <w:szCs w:val="22"/>
    </w:rPr>
  </w:style>
  <w:style w:type="paragraph" w:customStyle="1" w:styleId="TextBoxBullet">
    <w:name w:val="Text Box Bullet"/>
    <w:basedOn w:val="Normal"/>
    <w:link w:val="TextBoxBulletChar"/>
    <w:qFormat/>
    <w:rsid w:val="00D648EC"/>
    <w:pPr>
      <w:numPr>
        <w:numId w:val="14"/>
      </w:numPr>
      <w:spacing w:after="160" w:line="259" w:lineRule="auto"/>
      <w:ind w:left="792"/>
      <w:jc w:val="left"/>
    </w:pPr>
    <w:rPr>
      <w:rFonts w:ascii="Arial Narrow" w:eastAsiaTheme="minorHAnsi" w:hAnsi="Arial Narrow" w:cstheme="minorBidi"/>
      <w:color w:val="FFFFFF" w:themeColor="background1"/>
      <w:sz w:val="22"/>
      <w:szCs w:val="22"/>
    </w:rPr>
  </w:style>
  <w:style w:type="character" w:customStyle="1" w:styleId="TextBoxBulletChar">
    <w:name w:val="Text Box Bullet Char"/>
    <w:basedOn w:val="DefaultParagraphFont"/>
    <w:link w:val="TextBoxBullet"/>
    <w:rsid w:val="00D648EC"/>
    <w:rPr>
      <w:rFonts w:ascii="Arial Narrow" w:hAnsi="Arial Narrow"/>
      <w:color w:val="FFFFFF" w:themeColor="background1"/>
    </w:rPr>
  </w:style>
  <w:style w:type="paragraph" w:customStyle="1" w:styleId="BHTCCBullet1">
    <w:name w:val="BHTCC Bullet 1"/>
    <w:basedOn w:val="ListParagraph"/>
    <w:qFormat/>
    <w:rsid w:val="007B6506"/>
    <w:pPr>
      <w:numPr>
        <w:numId w:val="15"/>
      </w:numPr>
      <w:spacing w:after="120"/>
      <w:jc w:val="left"/>
    </w:pPr>
    <w:rPr>
      <w:rFonts w:ascii="Ebrima" w:eastAsiaTheme="minorHAnsi" w:hAnsi="Ebrima" w:cstheme="minorBidi"/>
      <w:sz w:val="20"/>
      <w:szCs w:val="22"/>
    </w:rPr>
  </w:style>
  <w:style w:type="paragraph" w:customStyle="1" w:styleId="BHTCCExhibitFigureHead">
    <w:name w:val="BHTCC Exhibit/Figure Head"/>
    <w:basedOn w:val="Normal"/>
    <w:qFormat/>
    <w:rsid w:val="007B6506"/>
    <w:pPr>
      <w:spacing w:after="120"/>
      <w:jc w:val="center"/>
    </w:pPr>
    <w:rPr>
      <w:rFonts w:ascii="Ebrima" w:eastAsiaTheme="minorHAnsi" w:hAnsi="Ebrima"/>
      <w:b/>
      <w:bCs/>
      <w:color w:val="1F4E79" w:themeColor="accent1" w:themeShade="80"/>
      <w:sz w:val="22"/>
      <w:szCs w:val="22"/>
    </w:rPr>
  </w:style>
  <w:style w:type="paragraph" w:customStyle="1" w:styleId="BHTCCHeader2">
    <w:name w:val="BHTCC Header 2"/>
    <w:basedOn w:val="Normal"/>
    <w:qFormat/>
    <w:rsid w:val="007B6506"/>
    <w:pPr>
      <w:pBdr>
        <w:bottom w:val="single" w:sz="12" w:space="1" w:color="auto"/>
      </w:pBdr>
      <w:spacing w:after="120"/>
      <w:jc w:val="left"/>
    </w:pPr>
    <w:rPr>
      <w:rFonts w:ascii="Arial Narrow" w:eastAsiaTheme="minorHAnsi" w:hAnsi="Arial Narrow" w:cstheme="minorBidi"/>
      <w:sz w:val="32"/>
      <w:szCs w:val="32"/>
    </w:rPr>
  </w:style>
  <w:style w:type="paragraph" w:customStyle="1" w:styleId="BHTCCFootnote">
    <w:name w:val="BHTCC Footnote"/>
    <w:basedOn w:val="FootnoteText"/>
    <w:qFormat/>
    <w:rsid w:val="007B6506"/>
    <w:pPr>
      <w:autoSpaceDE/>
      <w:autoSpaceDN/>
      <w:adjustRightInd/>
      <w:jc w:val="left"/>
    </w:pPr>
    <w:rPr>
      <w:rFonts w:ascii="Arial" w:hAnsi="Arial" w:cs="Arial"/>
      <w:sz w:val="16"/>
      <w:szCs w:val="16"/>
    </w:rPr>
  </w:style>
  <w:style w:type="paragraph" w:customStyle="1" w:styleId="CSETable1">
    <w:name w:val="CSE Table 1"/>
    <w:basedOn w:val="Normal"/>
    <w:rsid w:val="00E655E6"/>
    <w:pPr>
      <w:spacing w:before="20" w:after="20"/>
      <w:jc w:val="center"/>
    </w:pPr>
    <w:rPr>
      <w:rFonts w:ascii="Arial Narrow" w:eastAsiaTheme="minorHAnsi" w:hAnsi="Arial Narrow"/>
      <w:b/>
      <w:bCs/>
      <w:color w:val="FFFFFF"/>
      <w:sz w:val="22"/>
      <w:szCs w:val="22"/>
    </w:rPr>
  </w:style>
  <w:style w:type="paragraph" w:customStyle="1" w:styleId="CSETable2">
    <w:name w:val="CSE Table 2"/>
    <w:basedOn w:val="Normal"/>
    <w:rsid w:val="00E655E6"/>
    <w:pPr>
      <w:spacing w:after="160" w:line="252" w:lineRule="auto"/>
      <w:jc w:val="left"/>
    </w:pPr>
    <w:rPr>
      <w:rFonts w:ascii="Arial Narrow" w:eastAsiaTheme="minorHAnsi" w:hAnsi="Arial Narrow"/>
      <w:b/>
      <w:bCs/>
      <w:sz w:val="22"/>
      <w:szCs w:val="22"/>
    </w:rPr>
  </w:style>
  <w:style w:type="paragraph" w:customStyle="1" w:styleId="CSETableText">
    <w:name w:val="CSE Table Text"/>
    <w:basedOn w:val="Normal"/>
    <w:rsid w:val="00E655E6"/>
    <w:pPr>
      <w:spacing w:before="20" w:after="20"/>
      <w:jc w:val="left"/>
    </w:pPr>
    <w:rPr>
      <w:rFonts w:ascii="Arial Narrow" w:eastAsiaTheme="minorHAnsi" w:hAnsi="Arial Narrow"/>
      <w:sz w:val="22"/>
      <w:szCs w:val="22"/>
    </w:rPr>
  </w:style>
  <w:style w:type="paragraph" w:styleId="BodyText2">
    <w:name w:val="Body Text 2"/>
    <w:basedOn w:val="Normal"/>
    <w:link w:val="BodyText2Char"/>
    <w:uiPriority w:val="99"/>
    <w:semiHidden/>
    <w:unhideWhenUsed/>
    <w:rsid w:val="00321842"/>
    <w:pPr>
      <w:spacing w:after="120" w:line="480" w:lineRule="auto"/>
    </w:pPr>
  </w:style>
  <w:style w:type="character" w:customStyle="1" w:styleId="BodyText2Char">
    <w:name w:val="Body Text 2 Char"/>
    <w:basedOn w:val="DefaultParagraphFont"/>
    <w:link w:val="BodyText2"/>
    <w:uiPriority w:val="99"/>
    <w:semiHidden/>
    <w:rsid w:val="00321842"/>
    <w:rPr>
      <w:rFonts w:ascii="Times New Roman" w:eastAsia="Times New Roman" w:hAnsi="Times New Roman" w:cs="Times New Roman"/>
      <w:sz w:val="24"/>
      <w:szCs w:val="24"/>
    </w:rPr>
  </w:style>
  <w:style w:type="paragraph" w:customStyle="1" w:styleId="ReportBullet1">
    <w:name w:val="Report Bullet 1"/>
    <w:basedOn w:val="Normal"/>
    <w:rsid w:val="00321842"/>
    <w:pPr>
      <w:numPr>
        <w:numId w:val="16"/>
      </w:numPr>
      <w:suppressAutoHyphens/>
      <w:spacing w:before="240" w:after="120"/>
    </w:pPr>
  </w:style>
  <w:style w:type="paragraph" w:customStyle="1" w:styleId="Level1">
    <w:name w:val="Level 1"/>
    <w:basedOn w:val="Normal"/>
    <w:uiPriority w:val="99"/>
    <w:rsid w:val="007D0F20"/>
    <w:pPr>
      <w:widowControl w:val="0"/>
      <w:numPr>
        <w:numId w:val="17"/>
      </w:numPr>
      <w:autoSpaceDE w:val="0"/>
      <w:autoSpaceDN w:val="0"/>
      <w:adjustRightInd w:val="0"/>
      <w:ind w:hanging="720"/>
      <w:jc w:val="left"/>
      <w:outlineLvl w:val="0"/>
    </w:pPr>
    <w:rPr>
      <w:rFonts w:ascii="Courier" w:hAnsi="Courier"/>
      <w:sz w:val="20"/>
    </w:rPr>
  </w:style>
  <w:style w:type="paragraph" w:customStyle="1" w:styleId="BHTCCHead2">
    <w:name w:val="BHTCC Head 2"/>
    <w:basedOn w:val="Normal"/>
    <w:rsid w:val="00167DCE"/>
    <w:pPr>
      <w:spacing w:before="120" w:after="120"/>
      <w:jc w:val="left"/>
    </w:pPr>
    <w:rPr>
      <w:rFonts w:ascii="Ebrima" w:eastAsiaTheme="minorHAnsi" w:hAnsi="Ebrima" w:cstheme="minorBidi"/>
      <w:b/>
      <w:caps/>
      <w:color w:val="626262"/>
      <w:szCs w:val="44"/>
      <w14:textFill>
        <w14:solidFill>
          <w14:srgbClr w14:val="626262">
            <w14:lumMod w14:val="50000"/>
          </w14:srgbClr>
        </w14:solidFill>
      </w14:textFill>
    </w:rPr>
  </w:style>
  <w:style w:type="paragraph" w:customStyle="1" w:styleId="BHTCCTable1">
    <w:name w:val="BHTCC Table 1"/>
    <w:basedOn w:val="Normal"/>
    <w:qFormat/>
    <w:rsid w:val="00167DCE"/>
    <w:pPr>
      <w:spacing w:before="20" w:after="20"/>
      <w:jc w:val="center"/>
    </w:pPr>
    <w:rPr>
      <w:rFonts w:ascii="Arial Narrow" w:eastAsiaTheme="minorHAnsi" w:hAnsi="Arial Narrow" w:cstheme="minorBidi"/>
      <w:b/>
      <w:color w:val="FFFFFF" w:themeColor="background1"/>
      <w:sz w:val="22"/>
      <w:szCs w:val="22"/>
    </w:rPr>
  </w:style>
  <w:style w:type="paragraph" w:customStyle="1" w:styleId="BHTCCTable2">
    <w:name w:val="BHTCC Table 2"/>
    <w:qFormat/>
    <w:rsid w:val="00167DCE"/>
    <w:pPr>
      <w:spacing w:after="160" w:line="259" w:lineRule="auto"/>
      <w:jc w:val="left"/>
    </w:pPr>
    <w:rPr>
      <w:rFonts w:ascii="Arial Narrow" w:hAnsi="Arial Narrow"/>
      <w:b/>
      <w:color w:val="FFFFFF" w:themeColor="background1"/>
    </w:rPr>
  </w:style>
  <w:style w:type="paragraph" w:customStyle="1" w:styleId="BHTCCTableText">
    <w:name w:val="BHTCC Table Text"/>
    <w:link w:val="BHTCCTableTextChar"/>
    <w:qFormat/>
    <w:rsid w:val="00167DCE"/>
    <w:pPr>
      <w:spacing w:before="20" w:after="20"/>
      <w:jc w:val="left"/>
    </w:pPr>
    <w:rPr>
      <w:rFonts w:ascii="Arial Narrow" w:hAnsi="Arial Narrow"/>
    </w:rPr>
  </w:style>
  <w:style w:type="character" w:customStyle="1" w:styleId="BHTCCTableTextChar">
    <w:name w:val="BHTCC Table Text Char"/>
    <w:basedOn w:val="DefaultParagraphFont"/>
    <w:link w:val="BHTCCTableText"/>
    <w:rsid w:val="00167DCE"/>
    <w:rPr>
      <w:rFonts w:ascii="Arial Narrow" w:hAnsi="Arial Narrow"/>
    </w:rPr>
  </w:style>
  <w:style w:type="paragraph" w:customStyle="1" w:styleId="BHTCCFooter1">
    <w:name w:val="BHTCC Footer 1"/>
    <w:basedOn w:val="Normal"/>
    <w:qFormat/>
    <w:rsid w:val="00C7334E"/>
    <w:pPr>
      <w:pBdr>
        <w:bottom w:val="single" w:sz="8" w:space="3" w:color="323E4F"/>
      </w:pBdr>
      <w:tabs>
        <w:tab w:val="center" w:pos="4680"/>
        <w:tab w:val="right" w:pos="9360"/>
      </w:tabs>
      <w:jc w:val="left"/>
    </w:pPr>
    <w:rPr>
      <w:rFonts w:ascii="Arial Narrow" w:eastAsia="Calibri" w:hAnsi="Arial Narrow"/>
      <w:sz w:val="18"/>
      <w:szCs w:val="18"/>
    </w:rPr>
  </w:style>
  <w:style w:type="paragraph" w:customStyle="1" w:styleId="BHTCCFooter2">
    <w:name w:val="BHTCC Footer 2"/>
    <w:basedOn w:val="Normal"/>
    <w:qFormat/>
    <w:rsid w:val="00C7334E"/>
    <w:pPr>
      <w:spacing w:before="60"/>
      <w:jc w:val="center"/>
    </w:pPr>
    <w:rPr>
      <w:rFonts w:ascii="Arial Narrow" w:eastAsia="Calibri" w:hAnsi="Arial Narrow"/>
      <w:sz w:val="18"/>
      <w:szCs w:val="18"/>
    </w:rPr>
  </w:style>
  <w:style w:type="paragraph" w:customStyle="1" w:styleId="BHTCCHeader1">
    <w:name w:val="BHTCC Header 1"/>
    <w:basedOn w:val="Normal"/>
    <w:qFormat/>
    <w:rsid w:val="00C7334E"/>
    <w:pPr>
      <w:spacing w:after="120"/>
      <w:jc w:val="left"/>
    </w:pPr>
    <w:rPr>
      <w:rFonts w:ascii="Arial Narrow" w:eastAsiaTheme="minorHAnsi" w:hAnsi="Arial Narrow" w:cstheme="minorBidi"/>
      <w:sz w:val="20"/>
      <w:szCs w:val="20"/>
    </w:rPr>
  </w:style>
  <w:style w:type="paragraph" w:customStyle="1" w:styleId="Style4">
    <w:name w:val="Style4"/>
    <w:basedOn w:val="Normal"/>
    <w:qFormat/>
    <w:rsid w:val="00C7334E"/>
    <w:pPr>
      <w:pBdr>
        <w:bottom w:val="single" w:sz="12" w:space="1" w:color="auto"/>
      </w:pBdr>
      <w:spacing w:after="120"/>
      <w:jc w:val="left"/>
    </w:pPr>
    <w:rPr>
      <w:rFonts w:ascii="Arial Narrow" w:eastAsiaTheme="minorHAnsi" w:hAnsi="Arial Narrow" w:cstheme="minorBidi"/>
      <w:sz w:val="32"/>
      <w:szCs w:val="32"/>
    </w:rPr>
  </w:style>
  <w:style w:type="paragraph" w:customStyle="1" w:styleId="BHTCCHead4">
    <w:name w:val="BHTCC Head 4"/>
    <w:basedOn w:val="Normal"/>
    <w:qFormat/>
    <w:rsid w:val="00C27238"/>
    <w:pPr>
      <w:spacing w:before="120" w:after="120"/>
      <w:jc w:val="left"/>
    </w:pPr>
    <w:rPr>
      <w:rFonts w:ascii="Tw Cen MT" w:eastAsiaTheme="minorHAnsi" w:hAnsi="Tw Cen MT" w:cstheme="minorBidi"/>
      <w:i/>
      <w:color w:val="000000"/>
      <w:sz w:val="26"/>
      <w:szCs w:val="44"/>
      <w14:textFill>
        <w14:solidFill>
          <w14:srgbClr w14:val="000000">
            <w14:lumMod w14:val="50000"/>
          </w14:srgbClr>
        </w14:solidFill>
      </w14:textFill>
    </w:rPr>
  </w:style>
  <w:style w:type="paragraph" w:customStyle="1" w:styleId="BHTCCTextBoxBullets">
    <w:name w:val="BHTCC Text Box Bullets"/>
    <w:basedOn w:val="ListParagraph"/>
    <w:qFormat/>
    <w:rsid w:val="00C27238"/>
    <w:pPr>
      <w:numPr>
        <w:numId w:val="20"/>
      </w:numPr>
      <w:spacing w:after="160" w:line="259" w:lineRule="auto"/>
      <w:jc w:val="left"/>
    </w:pPr>
    <w:rPr>
      <w:rFonts w:asciiTheme="minorHAnsi" w:eastAsiaTheme="minorHAnsi" w:hAnsiTheme="minorHAnsi" w:cstheme="minorBidi"/>
      <w:sz w:val="22"/>
      <w:szCs w:val="22"/>
    </w:rPr>
  </w:style>
  <w:style w:type="paragraph" w:customStyle="1" w:styleId="BHTCCHead3">
    <w:name w:val="BHTCC Head 3"/>
    <w:basedOn w:val="BHTCCHead2"/>
    <w:qFormat/>
    <w:rsid w:val="00547235"/>
    <w:rPr>
      <w:rFonts w:ascii="Tw Cen MT" w:hAnsi="Tw Cen MT"/>
      <w:caps w:val="0"/>
      <w:color w:val="1F4E79" w:themeColor="accent1" w:themeShade="80"/>
      <w:sz w:val="26"/>
      <w14:textFill>
        <w14:solidFill>
          <w14:schemeClr w14:val="accent1">
            <w14:lumMod w14:val="50000"/>
            <w14:lumMod w14:val="50000"/>
          </w14:schemeClr>
        </w14:solidFill>
      </w14:textFill>
    </w:rPr>
  </w:style>
  <w:style w:type="paragraph" w:customStyle="1" w:styleId="CalloutBulletBlue">
    <w:name w:val="Callout Bullet Blue"/>
    <w:basedOn w:val="Normal"/>
    <w:uiPriority w:val="3"/>
    <w:qFormat/>
    <w:rsid w:val="00324931"/>
    <w:pPr>
      <w:numPr>
        <w:numId w:val="21"/>
      </w:numPr>
      <w:spacing w:after="60"/>
      <w:textAlignment w:val="center"/>
    </w:pPr>
    <w:rPr>
      <w:rFonts w:ascii="Calibri" w:hAnsi="Calibri" w:cs="Arial"/>
      <w:spacing w:val="4"/>
      <w:szCs w:val="22"/>
    </w:rPr>
  </w:style>
  <w:style w:type="character" w:customStyle="1" w:styleId="ListParagraphChar">
    <w:name w:val="List Paragraph Char"/>
    <w:link w:val="ListParagraph"/>
    <w:uiPriority w:val="34"/>
    <w:locked/>
    <w:rsid w:val="00324931"/>
    <w:rPr>
      <w:rFonts w:ascii="Times New Roman" w:eastAsia="Times New Roman" w:hAnsi="Times New Roman" w:cs="Times New Roman"/>
      <w:sz w:val="24"/>
      <w:szCs w:val="24"/>
    </w:rPr>
  </w:style>
  <w:style w:type="character" w:customStyle="1" w:styleId="StyleBold">
    <w:name w:val="Style Bold"/>
    <w:basedOn w:val="DefaultParagraphFont"/>
    <w:uiPriority w:val="99"/>
    <w:rsid w:val="00324931"/>
    <w:rPr>
      <w:rFonts w:ascii="Arial" w:hAnsi="Arial" w:cs="Times New Roman"/>
      <w:b/>
      <w:bCs/>
      <w:sz w:val="24"/>
    </w:rPr>
  </w:style>
  <w:style w:type="paragraph" w:styleId="NormalWeb">
    <w:name w:val="Normal (Web)"/>
    <w:basedOn w:val="Normal"/>
    <w:uiPriority w:val="99"/>
    <w:semiHidden/>
    <w:unhideWhenUsed/>
    <w:rsid w:val="009A04D9"/>
    <w:pPr>
      <w:jc w:val="left"/>
    </w:pPr>
    <w:rPr>
      <w:rFonts w:eastAsiaTheme="minorHAnsi"/>
    </w:rPr>
  </w:style>
  <w:style w:type="character" w:styleId="Strong">
    <w:name w:val="Strong"/>
    <w:basedOn w:val="DefaultParagraphFont"/>
    <w:uiPriority w:val="22"/>
    <w:qFormat/>
    <w:rsid w:val="009A04D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813"/>
    <w:rPr>
      <w:rFonts w:ascii="Times New Roman" w:eastAsia="Times New Roman" w:hAnsi="Times New Roman" w:cs="Times New Roman"/>
      <w:sz w:val="24"/>
      <w:szCs w:val="24"/>
    </w:rPr>
  </w:style>
  <w:style w:type="paragraph" w:styleId="Heading1">
    <w:name w:val="heading 1"/>
    <w:basedOn w:val="Normal"/>
    <w:next w:val="Normal"/>
    <w:link w:val="Heading1Char"/>
    <w:qFormat/>
    <w:rsid w:val="00AC2EE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next w:val="Normal"/>
    <w:link w:val="Heading5Char"/>
    <w:uiPriority w:val="9"/>
    <w:unhideWhenUsed/>
    <w:qFormat/>
    <w:rsid w:val="0059410A"/>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EE2"/>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link w:val="ListParagraphChar"/>
    <w:uiPriority w:val="34"/>
    <w:qFormat/>
    <w:rsid w:val="00AC2EE2"/>
    <w:pPr>
      <w:ind w:left="720"/>
      <w:contextualSpacing/>
    </w:pPr>
  </w:style>
  <w:style w:type="character" w:styleId="CommentReference">
    <w:name w:val="annotation reference"/>
    <w:basedOn w:val="DefaultParagraphFont"/>
    <w:uiPriority w:val="99"/>
    <w:unhideWhenUsed/>
    <w:rsid w:val="00AC2EE2"/>
    <w:rPr>
      <w:sz w:val="16"/>
      <w:szCs w:val="16"/>
    </w:rPr>
  </w:style>
  <w:style w:type="paragraph" w:styleId="CommentText">
    <w:name w:val="annotation text"/>
    <w:basedOn w:val="Normal"/>
    <w:link w:val="CommentTextChar"/>
    <w:uiPriority w:val="99"/>
    <w:unhideWhenUsed/>
    <w:rsid w:val="00AC2EE2"/>
    <w:rPr>
      <w:sz w:val="20"/>
      <w:szCs w:val="20"/>
    </w:rPr>
  </w:style>
  <w:style w:type="character" w:customStyle="1" w:styleId="CommentTextChar">
    <w:name w:val="Comment Text Char"/>
    <w:basedOn w:val="DefaultParagraphFont"/>
    <w:link w:val="CommentText"/>
    <w:uiPriority w:val="99"/>
    <w:rsid w:val="00AC2EE2"/>
    <w:rPr>
      <w:rFonts w:ascii="Times New Roman" w:eastAsia="Times New Roman" w:hAnsi="Times New Roman" w:cs="Times New Roman"/>
      <w:sz w:val="20"/>
      <w:szCs w:val="20"/>
    </w:rPr>
  </w:style>
  <w:style w:type="table" w:styleId="TableGrid">
    <w:name w:val="Table Grid"/>
    <w:basedOn w:val="TableNormal"/>
    <w:uiPriority w:val="39"/>
    <w:rsid w:val="00AC2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C2EE2"/>
    <w:pPr>
      <w:widowControl w:val="0"/>
    </w:pPr>
    <w:rPr>
      <w:rFonts w:ascii="Arial" w:eastAsia="Arial" w:hAnsi="Arial" w:cstheme="minorBidi"/>
      <w:sz w:val="23"/>
      <w:szCs w:val="23"/>
    </w:rPr>
  </w:style>
  <w:style w:type="character" w:customStyle="1" w:styleId="BodyTextChar">
    <w:name w:val="Body Text Char"/>
    <w:basedOn w:val="DefaultParagraphFont"/>
    <w:link w:val="BodyText"/>
    <w:uiPriority w:val="1"/>
    <w:rsid w:val="00AC2EE2"/>
    <w:rPr>
      <w:rFonts w:ascii="Arial" w:eastAsia="Arial" w:hAnsi="Arial"/>
      <w:sz w:val="23"/>
      <w:szCs w:val="23"/>
    </w:rPr>
  </w:style>
  <w:style w:type="paragraph" w:customStyle="1" w:styleId="SuicideBodyText">
    <w:name w:val="Suicide Body Text"/>
    <w:basedOn w:val="Normal"/>
    <w:link w:val="SuicideBodyTextChar"/>
    <w:rsid w:val="00AC2EE2"/>
    <w:pPr>
      <w:autoSpaceDE w:val="0"/>
      <w:autoSpaceDN w:val="0"/>
      <w:adjustRightInd w:val="0"/>
    </w:pPr>
  </w:style>
  <w:style w:type="character" w:customStyle="1" w:styleId="SuicideBodyTextChar">
    <w:name w:val="Suicide Body Text Char"/>
    <w:link w:val="SuicideBodyText"/>
    <w:rsid w:val="00AC2EE2"/>
    <w:rPr>
      <w:rFonts w:ascii="Times New Roman" w:eastAsia="Times New Roman" w:hAnsi="Times New Roman" w:cs="Times New Roman"/>
      <w:sz w:val="24"/>
      <w:szCs w:val="24"/>
    </w:rPr>
  </w:style>
  <w:style w:type="paragraph" w:customStyle="1" w:styleId="GLSBody">
    <w:name w:val="GLS Body"/>
    <w:basedOn w:val="Normal"/>
    <w:link w:val="GLSBodyChar"/>
    <w:rsid w:val="00AC2EE2"/>
    <w:pPr>
      <w:autoSpaceDE w:val="0"/>
      <w:autoSpaceDN w:val="0"/>
      <w:adjustRightInd w:val="0"/>
      <w:spacing w:after="240"/>
    </w:pPr>
  </w:style>
  <w:style w:type="character" w:customStyle="1" w:styleId="GLSBodyChar">
    <w:name w:val="GLS Body Char"/>
    <w:link w:val="GLSBody"/>
    <w:rsid w:val="00AC2EE2"/>
    <w:rPr>
      <w:rFonts w:ascii="Times New Roman" w:eastAsia="Times New Roman" w:hAnsi="Times New Roman" w:cs="Times New Roman"/>
      <w:sz w:val="24"/>
      <w:szCs w:val="24"/>
    </w:rPr>
  </w:style>
  <w:style w:type="paragraph" w:customStyle="1" w:styleId="SuicideBullet1">
    <w:name w:val="Suicide Bullet 1"/>
    <w:basedOn w:val="Normal"/>
    <w:qFormat/>
    <w:rsid w:val="00AC2EE2"/>
    <w:pPr>
      <w:numPr>
        <w:numId w:val="2"/>
      </w:numPr>
      <w:tabs>
        <w:tab w:val="left" w:pos="-1440"/>
        <w:tab w:val="left" w:pos="360"/>
      </w:tabs>
      <w:autoSpaceDE w:val="0"/>
      <w:autoSpaceDN w:val="0"/>
      <w:adjustRightInd w:val="0"/>
      <w:ind w:left="360"/>
    </w:pPr>
  </w:style>
  <w:style w:type="paragraph" w:styleId="FootnoteText">
    <w:name w:val="footnote text"/>
    <w:basedOn w:val="Normal"/>
    <w:link w:val="FootnoteTextChar"/>
    <w:uiPriority w:val="99"/>
    <w:unhideWhenUsed/>
    <w:rsid w:val="00AC2EE2"/>
    <w:pPr>
      <w:autoSpaceDE w:val="0"/>
      <w:autoSpaceDN w:val="0"/>
      <w:adjustRightInd w:val="0"/>
    </w:pPr>
    <w:rPr>
      <w:sz w:val="20"/>
      <w:szCs w:val="20"/>
    </w:rPr>
  </w:style>
  <w:style w:type="character" w:customStyle="1" w:styleId="FootnoteTextChar">
    <w:name w:val="Footnote Text Char"/>
    <w:basedOn w:val="DefaultParagraphFont"/>
    <w:link w:val="FootnoteText"/>
    <w:uiPriority w:val="99"/>
    <w:rsid w:val="00AC2EE2"/>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AC2EE2"/>
    <w:rPr>
      <w:vertAlign w:val="superscript"/>
    </w:rPr>
  </w:style>
  <w:style w:type="paragraph" w:customStyle="1" w:styleId="ProposalBodyText">
    <w:name w:val="Proposal Body Text"/>
    <w:basedOn w:val="Normal"/>
    <w:link w:val="ProposalBodyTextChar"/>
    <w:qFormat/>
    <w:rsid w:val="00AC2EE2"/>
    <w:pPr>
      <w:tabs>
        <w:tab w:val="left" w:pos="0"/>
      </w:tabs>
      <w:autoSpaceDE w:val="0"/>
      <w:autoSpaceDN w:val="0"/>
      <w:adjustRightInd w:val="0"/>
      <w:contextualSpacing/>
    </w:pPr>
    <w:rPr>
      <w:szCs w:val="20"/>
    </w:rPr>
  </w:style>
  <w:style w:type="character" w:customStyle="1" w:styleId="ProposalBodyTextChar">
    <w:name w:val="Proposal Body Text Char"/>
    <w:link w:val="ProposalBodyText"/>
    <w:rsid w:val="00AC2EE2"/>
    <w:rPr>
      <w:rFonts w:ascii="Times New Roman" w:eastAsia="Times New Roman" w:hAnsi="Times New Roman" w:cs="Times New Roman"/>
      <w:sz w:val="24"/>
      <w:szCs w:val="20"/>
    </w:rPr>
  </w:style>
  <w:style w:type="character" w:customStyle="1" w:styleId="minorhead">
    <w:name w:val="minorhead"/>
    <w:rsid w:val="00AC2EE2"/>
    <w:rPr>
      <w:rFonts w:ascii="Arial" w:hAnsi="Arial" w:cs="Arial"/>
      <w:b/>
      <w:bCs/>
      <w:sz w:val="24"/>
      <w:szCs w:val="24"/>
    </w:rPr>
  </w:style>
  <w:style w:type="paragraph" w:styleId="CommentSubject">
    <w:name w:val="annotation subject"/>
    <w:basedOn w:val="CommentText"/>
    <w:next w:val="CommentText"/>
    <w:link w:val="CommentSubjectChar"/>
    <w:uiPriority w:val="99"/>
    <w:semiHidden/>
    <w:unhideWhenUsed/>
    <w:rsid w:val="005732C6"/>
    <w:rPr>
      <w:b/>
      <w:bCs/>
    </w:rPr>
  </w:style>
  <w:style w:type="character" w:customStyle="1" w:styleId="CommentSubjectChar">
    <w:name w:val="Comment Subject Char"/>
    <w:basedOn w:val="CommentTextChar"/>
    <w:link w:val="CommentSubject"/>
    <w:uiPriority w:val="99"/>
    <w:semiHidden/>
    <w:rsid w:val="005732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732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2C6"/>
    <w:rPr>
      <w:rFonts w:ascii="Segoe UI" w:eastAsia="Times New Roman" w:hAnsi="Segoe UI" w:cs="Segoe UI"/>
      <w:sz w:val="18"/>
      <w:szCs w:val="18"/>
    </w:rPr>
  </w:style>
  <w:style w:type="paragraph" w:styleId="Header">
    <w:name w:val="header"/>
    <w:basedOn w:val="Normal"/>
    <w:link w:val="HeaderChar"/>
    <w:uiPriority w:val="99"/>
    <w:unhideWhenUsed/>
    <w:rsid w:val="005732C6"/>
    <w:pPr>
      <w:tabs>
        <w:tab w:val="center" w:pos="4680"/>
        <w:tab w:val="right" w:pos="9360"/>
      </w:tabs>
    </w:pPr>
  </w:style>
  <w:style w:type="character" w:customStyle="1" w:styleId="HeaderChar">
    <w:name w:val="Header Char"/>
    <w:basedOn w:val="DefaultParagraphFont"/>
    <w:link w:val="Header"/>
    <w:uiPriority w:val="99"/>
    <w:rsid w:val="005732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732C6"/>
    <w:pPr>
      <w:tabs>
        <w:tab w:val="center" w:pos="4680"/>
        <w:tab w:val="right" w:pos="9360"/>
      </w:tabs>
    </w:pPr>
  </w:style>
  <w:style w:type="character" w:customStyle="1" w:styleId="FooterChar">
    <w:name w:val="Footer Char"/>
    <w:basedOn w:val="DefaultParagraphFont"/>
    <w:link w:val="Footer"/>
    <w:uiPriority w:val="99"/>
    <w:rsid w:val="005732C6"/>
    <w:rPr>
      <w:rFonts w:ascii="Times New Roman" w:eastAsia="Times New Roman" w:hAnsi="Times New Roman" w:cs="Times New Roman"/>
      <w:sz w:val="24"/>
      <w:szCs w:val="24"/>
    </w:rPr>
  </w:style>
  <w:style w:type="paragraph" w:customStyle="1" w:styleId="GLSReference">
    <w:name w:val="GLS Reference"/>
    <w:rsid w:val="000802F7"/>
    <w:pPr>
      <w:spacing w:before="120"/>
      <w:ind w:left="360" w:hanging="360"/>
    </w:pPr>
    <w:rPr>
      <w:rFonts w:ascii="Times New Roman" w:eastAsia="Times New Roman" w:hAnsi="Times New Roman" w:cs="Times New Roman"/>
      <w:sz w:val="24"/>
      <w:szCs w:val="20"/>
    </w:rPr>
  </w:style>
  <w:style w:type="paragraph" w:styleId="ListBullet">
    <w:name w:val="List Bullet"/>
    <w:basedOn w:val="Normal"/>
    <w:rsid w:val="003E0A6E"/>
    <w:pPr>
      <w:numPr>
        <w:numId w:val="3"/>
      </w:numPr>
      <w:spacing w:after="120"/>
      <w:jc w:val="left"/>
    </w:pPr>
    <w:rPr>
      <w:szCs w:val="22"/>
    </w:rPr>
  </w:style>
  <w:style w:type="character" w:styleId="Emphasis">
    <w:name w:val="Emphasis"/>
    <w:basedOn w:val="DefaultParagraphFont"/>
    <w:uiPriority w:val="20"/>
    <w:qFormat/>
    <w:rsid w:val="003E0A6E"/>
    <w:rPr>
      <w:i/>
      <w:iCs/>
    </w:rPr>
  </w:style>
  <w:style w:type="character" w:customStyle="1" w:styleId="apple-converted-space">
    <w:name w:val="apple-converted-space"/>
    <w:basedOn w:val="DefaultParagraphFont"/>
    <w:rsid w:val="003E0A6E"/>
  </w:style>
  <w:style w:type="paragraph" w:customStyle="1" w:styleId="GLSTable1">
    <w:name w:val="GLS Table 1"/>
    <w:basedOn w:val="Normal"/>
    <w:link w:val="GLSTable1Char"/>
    <w:qFormat/>
    <w:rsid w:val="003E0A6E"/>
    <w:pPr>
      <w:autoSpaceDE w:val="0"/>
      <w:autoSpaceDN w:val="0"/>
      <w:adjustRightInd w:val="0"/>
      <w:spacing w:before="40" w:after="40"/>
      <w:jc w:val="center"/>
    </w:pPr>
    <w:rPr>
      <w:rFonts w:ascii="Tw Cen MT" w:hAnsi="Tw Cen MT" w:cs="Arial"/>
      <w:b/>
      <w:szCs w:val="20"/>
    </w:rPr>
  </w:style>
  <w:style w:type="paragraph" w:customStyle="1" w:styleId="GLSTableBullet1">
    <w:name w:val="GLS Table Bullet 1"/>
    <w:basedOn w:val="Normal"/>
    <w:qFormat/>
    <w:rsid w:val="003E0A6E"/>
    <w:pPr>
      <w:spacing w:before="40" w:after="20"/>
      <w:contextualSpacing/>
    </w:pPr>
    <w:rPr>
      <w:rFonts w:ascii="Tw Cen MT" w:hAnsi="Tw Cen MT" w:cs="Arial"/>
      <w:szCs w:val="20"/>
    </w:rPr>
  </w:style>
  <w:style w:type="paragraph" w:customStyle="1" w:styleId="GLSBullet1">
    <w:name w:val="GLS Bullet 1"/>
    <w:basedOn w:val="Normal"/>
    <w:rsid w:val="00F0752A"/>
    <w:pPr>
      <w:autoSpaceDE w:val="0"/>
      <w:autoSpaceDN w:val="0"/>
      <w:adjustRightInd w:val="0"/>
      <w:spacing w:after="60"/>
      <w:jc w:val="left"/>
    </w:pPr>
  </w:style>
  <w:style w:type="paragraph" w:customStyle="1" w:styleId="GLSH4">
    <w:name w:val="GLS H4"/>
    <w:rsid w:val="00BB3FA5"/>
    <w:pPr>
      <w:keepNext/>
      <w:spacing w:after="120"/>
      <w:jc w:val="left"/>
    </w:pPr>
    <w:rPr>
      <w:rFonts w:ascii="Tw Cen MT" w:eastAsia="Times New Roman" w:hAnsi="Tw Cen MT" w:cs="Arial"/>
      <w:b/>
      <w:iCs/>
      <w:color w:val="296D7F"/>
      <w:sz w:val="28"/>
      <w:szCs w:val="24"/>
      <w:u w:val="single"/>
    </w:rPr>
  </w:style>
  <w:style w:type="character" w:styleId="Hyperlink">
    <w:name w:val="Hyperlink"/>
    <w:basedOn w:val="DefaultParagraphFont"/>
    <w:uiPriority w:val="99"/>
    <w:unhideWhenUsed/>
    <w:rsid w:val="00BB3FA5"/>
    <w:rPr>
      <w:color w:val="0563C1" w:themeColor="hyperlink"/>
      <w:u w:val="single"/>
    </w:rPr>
  </w:style>
  <w:style w:type="paragraph" w:customStyle="1" w:styleId="GLSTableBullet2">
    <w:name w:val="GLS Table Bullet 2"/>
    <w:basedOn w:val="Normal"/>
    <w:qFormat/>
    <w:rsid w:val="00757B1A"/>
    <w:pPr>
      <w:numPr>
        <w:numId w:val="4"/>
      </w:numPr>
      <w:autoSpaceDE w:val="0"/>
      <w:autoSpaceDN w:val="0"/>
      <w:adjustRightInd w:val="0"/>
      <w:spacing w:before="40" w:after="40"/>
      <w:ind w:left="510" w:hanging="240"/>
      <w:jc w:val="left"/>
    </w:pPr>
    <w:rPr>
      <w:rFonts w:ascii="Tw Cen MT" w:eastAsiaTheme="minorEastAsia" w:hAnsi="Tw Cen MT" w:cs="Arial"/>
      <w:szCs w:val="20"/>
    </w:rPr>
  </w:style>
  <w:style w:type="paragraph" w:customStyle="1" w:styleId="GLSTable3">
    <w:name w:val="GLS Table 3"/>
    <w:basedOn w:val="Normal"/>
    <w:qFormat/>
    <w:rsid w:val="00FB010E"/>
    <w:pPr>
      <w:autoSpaceDE w:val="0"/>
      <w:autoSpaceDN w:val="0"/>
      <w:adjustRightInd w:val="0"/>
      <w:spacing w:before="40" w:after="40"/>
      <w:jc w:val="left"/>
    </w:pPr>
    <w:rPr>
      <w:rFonts w:ascii="Tw Cen MT" w:hAnsi="Tw Cen MT" w:cs="Arial"/>
      <w:szCs w:val="20"/>
    </w:rPr>
  </w:style>
  <w:style w:type="paragraph" w:customStyle="1" w:styleId="proposalbodytext0">
    <w:name w:val="proposalbodytext"/>
    <w:basedOn w:val="Normal"/>
    <w:semiHidden/>
    <w:rsid w:val="00F0228B"/>
    <w:pPr>
      <w:spacing w:before="100" w:beforeAutospacing="1" w:after="100" w:afterAutospacing="1"/>
      <w:jc w:val="left"/>
    </w:pPr>
    <w:rPr>
      <w:rFonts w:ascii="Arial Unicode MS" w:eastAsia="Arial Unicode MS" w:hAnsi="Arial Unicode MS" w:cs="Arial Unicode MS"/>
    </w:rPr>
  </w:style>
  <w:style w:type="paragraph" w:styleId="DocumentMap">
    <w:name w:val="Document Map"/>
    <w:basedOn w:val="Normal"/>
    <w:link w:val="DocumentMapChar"/>
    <w:semiHidden/>
    <w:rsid w:val="00683939"/>
    <w:pPr>
      <w:shd w:val="clear" w:color="auto" w:fill="000080"/>
      <w:jc w:val="left"/>
    </w:pPr>
    <w:rPr>
      <w:rFonts w:ascii="Tahoma" w:hAnsi="Tahoma" w:cs="Tahoma"/>
      <w:sz w:val="20"/>
      <w:szCs w:val="20"/>
    </w:rPr>
  </w:style>
  <w:style w:type="character" w:customStyle="1" w:styleId="DocumentMapChar">
    <w:name w:val="Document Map Char"/>
    <w:basedOn w:val="DefaultParagraphFont"/>
    <w:link w:val="DocumentMap"/>
    <w:semiHidden/>
    <w:rsid w:val="00683939"/>
    <w:rPr>
      <w:rFonts w:ascii="Tahoma" w:eastAsia="Times New Roman" w:hAnsi="Tahoma" w:cs="Tahoma"/>
      <w:sz w:val="20"/>
      <w:szCs w:val="20"/>
      <w:shd w:val="clear" w:color="auto" w:fill="000080"/>
    </w:rPr>
  </w:style>
  <w:style w:type="paragraph" w:customStyle="1" w:styleId="SuicideHead3">
    <w:name w:val="Suicide Head 3"/>
    <w:basedOn w:val="Normal"/>
    <w:qFormat/>
    <w:rsid w:val="00683939"/>
    <w:pPr>
      <w:widowControl w:val="0"/>
      <w:numPr>
        <w:numId w:val="5"/>
      </w:numPr>
      <w:autoSpaceDE w:val="0"/>
      <w:autoSpaceDN w:val="0"/>
      <w:adjustRightInd w:val="0"/>
      <w:spacing w:after="120"/>
      <w:jc w:val="left"/>
    </w:pPr>
    <w:rPr>
      <w:rFonts w:ascii="Arial" w:hAnsi="Arial" w:cs="Arial"/>
      <w:b/>
      <w:i/>
      <w:sz w:val="26"/>
      <w:szCs w:val="26"/>
    </w:rPr>
  </w:style>
  <w:style w:type="paragraph" w:customStyle="1" w:styleId="SuicideTableTitle">
    <w:name w:val="Suicide Table Title"/>
    <w:basedOn w:val="Normal"/>
    <w:qFormat/>
    <w:rsid w:val="007D1703"/>
    <w:pPr>
      <w:tabs>
        <w:tab w:val="left" w:pos="-1440"/>
      </w:tabs>
      <w:autoSpaceDE w:val="0"/>
      <w:autoSpaceDN w:val="0"/>
      <w:adjustRightInd w:val="0"/>
      <w:spacing w:after="120"/>
      <w:jc w:val="center"/>
    </w:pPr>
    <w:rPr>
      <w:rFonts w:ascii="Arial" w:hAnsi="Arial" w:cs="Arial"/>
      <w:b/>
      <w:sz w:val="20"/>
      <w:szCs w:val="20"/>
    </w:rPr>
  </w:style>
  <w:style w:type="character" w:customStyle="1" w:styleId="Heading5Char">
    <w:name w:val="Heading 5 Char"/>
    <w:basedOn w:val="DefaultParagraphFont"/>
    <w:link w:val="Heading5"/>
    <w:uiPriority w:val="9"/>
    <w:rsid w:val="0059410A"/>
    <w:rPr>
      <w:rFonts w:asciiTheme="majorHAnsi" w:eastAsiaTheme="majorEastAsia" w:hAnsiTheme="majorHAnsi" w:cstheme="majorBidi"/>
      <w:color w:val="2E74B5" w:themeColor="accent1" w:themeShade="BF"/>
      <w:sz w:val="24"/>
      <w:szCs w:val="24"/>
    </w:rPr>
  </w:style>
  <w:style w:type="paragraph" w:customStyle="1" w:styleId="GLSBullet2">
    <w:name w:val="GLS Bullet 2"/>
    <w:basedOn w:val="Normal"/>
    <w:rsid w:val="00C70B68"/>
    <w:pPr>
      <w:numPr>
        <w:numId w:val="6"/>
      </w:numPr>
      <w:autoSpaceDE w:val="0"/>
      <w:autoSpaceDN w:val="0"/>
      <w:adjustRightInd w:val="0"/>
      <w:spacing w:after="60"/>
      <w:jc w:val="left"/>
    </w:pPr>
  </w:style>
  <w:style w:type="paragraph" w:customStyle="1" w:styleId="SuicideBullet2">
    <w:name w:val="Suicide Bullet 2"/>
    <w:basedOn w:val="Normal"/>
    <w:qFormat/>
    <w:rsid w:val="00E842CC"/>
    <w:pPr>
      <w:widowControl w:val="0"/>
      <w:numPr>
        <w:ilvl w:val="1"/>
        <w:numId w:val="9"/>
      </w:numPr>
      <w:autoSpaceDE w:val="0"/>
      <w:autoSpaceDN w:val="0"/>
      <w:adjustRightInd w:val="0"/>
      <w:ind w:left="720"/>
      <w:jc w:val="left"/>
    </w:pPr>
  </w:style>
  <w:style w:type="paragraph" w:styleId="NoSpacing">
    <w:name w:val="No Spacing"/>
    <w:aliases w:val="GLS No Spacing"/>
    <w:uiPriority w:val="1"/>
    <w:qFormat/>
    <w:rsid w:val="005701B4"/>
    <w:pPr>
      <w:jc w:val="left"/>
    </w:pPr>
  </w:style>
  <w:style w:type="paragraph" w:customStyle="1" w:styleId="GLSH3">
    <w:name w:val="GLS H3"/>
    <w:basedOn w:val="Normal"/>
    <w:rsid w:val="00D5605E"/>
    <w:pPr>
      <w:keepNext/>
      <w:autoSpaceDE w:val="0"/>
      <w:autoSpaceDN w:val="0"/>
      <w:adjustRightInd w:val="0"/>
      <w:spacing w:after="120"/>
      <w:jc w:val="left"/>
    </w:pPr>
    <w:rPr>
      <w:rFonts w:ascii="Tw Cen MT" w:hAnsi="Tw Cen MT" w:cs="Arial"/>
      <w:b/>
      <w:color w:val="000000"/>
      <w:sz w:val="28"/>
    </w:rPr>
  </w:style>
  <w:style w:type="paragraph" w:customStyle="1" w:styleId="GLSTable2">
    <w:name w:val="GLS Table 2"/>
    <w:basedOn w:val="Normal"/>
    <w:qFormat/>
    <w:rsid w:val="00D5605E"/>
    <w:pPr>
      <w:autoSpaceDE w:val="0"/>
      <w:autoSpaceDN w:val="0"/>
      <w:adjustRightInd w:val="0"/>
      <w:spacing w:before="40" w:after="40"/>
      <w:jc w:val="left"/>
    </w:pPr>
    <w:rPr>
      <w:rFonts w:ascii="Tw Cen MT" w:hAnsi="Tw Cen MT" w:cs="Arial"/>
      <w:b/>
      <w:color w:val="000000"/>
      <w:sz w:val="22"/>
      <w:szCs w:val="20"/>
    </w:rPr>
  </w:style>
  <w:style w:type="paragraph" w:customStyle="1" w:styleId="GLSTableExhibit">
    <w:name w:val="GLS Table/Exhibit"/>
    <w:basedOn w:val="Normal"/>
    <w:rsid w:val="00D5605E"/>
    <w:pPr>
      <w:keepNext/>
      <w:autoSpaceDE w:val="0"/>
      <w:autoSpaceDN w:val="0"/>
      <w:adjustRightInd w:val="0"/>
      <w:spacing w:after="120"/>
      <w:jc w:val="center"/>
    </w:pPr>
    <w:rPr>
      <w:rFonts w:ascii="Tw Cen MT" w:hAnsi="Tw Cen MT"/>
      <w:b/>
      <w:color w:val="C86665"/>
      <w:szCs w:val="20"/>
    </w:rPr>
  </w:style>
  <w:style w:type="table" w:customStyle="1" w:styleId="TableGrid2">
    <w:name w:val="Table Grid2"/>
    <w:basedOn w:val="TableNormal"/>
    <w:next w:val="TableGrid"/>
    <w:uiPriority w:val="39"/>
    <w:rsid w:val="00D5605E"/>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D5605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GLSTable1"/>
    <w:link w:val="Style2Char"/>
    <w:qFormat/>
    <w:rsid w:val="00084715"/>
    <w:pPr>
      <w:jc w:val="left"/>
    </w:pPr>
    <w:rPr>
      <w:sz w:val="28"/>
    </w:rPr>
  </w:style>
  <w:style w:type="paragraph" w:customStyle="1" w:styleId="Default">
    <w:name w:val="Default"/>
    <w:rsid w:val="00AF797C"/>
    <w:pPr>
      <w:autoSpaceDE w:val="0"/>
      <w:autoSpaceDN w:val="0"/>
      <w:adjustRightInd w:val="0"/>
      <w:jc w:val="left"/>
    </w:pPr>
    <w:rPr>
      <w:rFonts w:ascii="Georgia" w:hAnsi="Georgia" w:cs="Georgia"/>
      <w:color w:val="000000"/>
      <w:sz w:val="24"/>
      <w:szCs w:val="24"/>
    </w:rPr>
  </w:style>
  <w:style w:type="character" w:customStyle="1" w:styleId="GLSTable1Char">
    <w:name w:val="GLS Table 1 Char"/>
    <w:basedOn w:val="DefaultParagraphFont"/>
    <w:link w:val="GLSTable1"/>
    <w:rsid w:val="00084715"/>
    <w:rPr>
      <w:rFonts w:ascii="Tw Cen MT" w:eastAsia="Times New Roman" w:hAnsi="Tw Cen MT" w:cs="Arial"/>
      <w:b/>
      <w:sz w:val="24"/>
      <w:szCs w:val="20"/>
    </w:rPr>
  </w:style>
  <w:style w:type="character" w:customStyle="1" w:styleId="Style2Char">
    <w:name w:val="Style2 Char"/>
    <w:basedOn w:val="GLSTable1Char"/>
    <w:link w:val="Style2"/>
    <w:rsid w:val="00084715"/>
    <w:rPr>
      <w:rFonts w:ascii="Tw Cen MT" w:eastAsia="Times New Roman" w:hAnsi="Tw Cen MT" w:cs="Arial"/>
      <w:b/>
      <w:sz w:val="28"/>
      <w:szCs w:val="20"/>
    </w:rPr>
  </w:style>
  <w:style w:type="paragraph" w:customStyle="1" w:styleId="Pa2">
    <w:name w:val="Pa2"/>
    <w:basedOn w:val="Default"/>
    <w:next w:val="Default"/>
    <w:uiPriority w:val="99"/>
    <w:rsid w:val="008B7C15"/>
    <w:pPr>
      <w:spacing w:line="241" w:lineRule="atLeast"/>
    </w:pPr>
    <w:rPr>
      <w:rFonts w:ascii="Garamond" w:hAnsi="Garamond" w:cstheme="minorBidi"/>
      <w:color w:val="auto"/>
    </w:rPr>
  </w:style>
  <w:style w:type="paragraph" w:customStyle="1" w:styleId="SuicideTableHeading1">
    <w:name w:val="Suicide Table Heading 1"/>
    <w:basedOn w:val="Normal"/>
    <w:qFormat/>
    <w:rsid w:val="000E7EEB"/>
    <w:pPr>
      <w:tabs>
        <w:tab w:val="left" w:pos="-1440"/>
      </w:tabs>
      <w:autoSpaceDE w:val="0"/>
      <w:autoSpaceDN w:val="0"/>
      <w:adjustRightInd w:val="0"/>
      <w:jc w:val="center"/>
    </w:pPr>
    <w:rPr>
      <w:rFonts w:ascii="Arial" w:hAnsi="Arial" w:cs="Arial"/>
      <w:b/>
      <w:color w:val="FFFFFF"/>
      <w:sz w:val="20"/>
      <w:szCs w:val="20"/>
    </w:rPr>
  </w:style>
  <w:style w:type="table" w:customStyle="1" w:styleId="TableGrid1">
    <w:name w:val="Table Grid1"/>
    <w:basedOn w:val="TableNormal"/>
    <w:next w:val="TableGrid"/>
    <w:uiPriority w:val="39"/>
    <w:rsid w:val="0076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icideTableHeading2">
    <w:name w:val="Suicide Table Heading 2"/>
    <w:basedOn w:val="Normal"/>
    <w:qFormat/>
    <w:rsid w:val="00665C18"/>
    <w:pPr>
      <w:tabs>
        <w:tab w:val="left" w:pos="-1440"/>
      </w:tabs>
      <w:autoSpaceDE w:val="0"/>
      <w:autoSpaceDN w:val="0"/>
      <w:adjustRightInd w:val="0"/>
      <w:spacing w:before="120"/>
      <w:jc w:val="left"/>
    </w:pPr>
    <w:rPr>
      <w:rFonts w:ascii="Arial" w:hAnsi="Arial" w:cs="Arial"/>
      <w:b/>
      <w:sz w:val="20"/>
      <w:szCs w:val="20"/>
    </w:rPr>
  </w:style>
  <w:style w:type="paragraph" w:customStyle="1" w:styleId="SuicideTableText">
    <w:name w:val="Suicide Table Text"/>
    <w:basedOn w:val="Normal"/>
    <w:qFormat/>
    <w:rsid w:val="00665C18"/>
    <w:pPr>
      <w:autoSpaceDE w:val="0"/>
      <w:autoSpaceDN w:val="0"/>
      <w:adjustRightInd w:val="0"/>
      <w:spacing w:before="60" w:after="60"/>
      <w:jc w:val="left"/>
    </w:pPr>
    <w:rPr>
      <w:rFonts w:ascii="Arial" w:hAnsi="Arial" w:cs="Arial"/>
      <w:sz w:val="20"/>
      <w:szCs w:val="18"/>
    </w:rPr>
  </w:style>
  <w:style w:type="paragraph" w:customStyle="1" w:styleId="ICFProposalText">
    <w:name w:val="ICF Proposal Text"/>
    <w:basedOn w:val="Normal"/>
    <w:link w:val="ICFProposalTextChar"/>
    <w:qFormat/>
    <w:rsid w:val="00BD0C0D"/>
    <w:pPr>
      <w:spacing w:after="120"/>
    </w:pPr>
    <w:rPr>
      <w:szCs w:val="22"/>
    </w:rPr>
  </w:style>
  <w:style w:type="character" w:customStyle="1" w:styleId="ICFProposalTextChar">
    <w:name w:val="ICF Proposal Text Char"/>
    <w:link w:val="ICFProposalText"/>
    <w:locked/>
    <w:rsid w:val="00BD0C0D"/>
    <w:rPr>
      <w:rFonts w:ascii="Times New Roman" w:eastAsia="Times New Roman" w:hAnsi="Times New Roman" w:cs="Times New Roman"/>
      <w:sz w:val="24"/>
    </w:rPr>
  </w:style>
  <w:style w:type="paragraph" w:customStyle="1" w:styleId="Pa4">
    <w:name w:val="Pa4"/>
    <w:basedOn w:val="Default"/>
    <w:next w:val="Default"/>
    <w:uiPriority w:val="99"/>
    <w:rsid w:val="00763993"/>
    <w:pPr>
      <w:spacing w:line="241" w:lineRule="atLeast"/>
    </w:pPr>
    <w:rPr>
      <w:rFonts w:ascii="Garamond" w:hAnsi="Garamond" w:cstheme="minorBidi"/>
      <w:color w:val="auto"/>
    </w:rPr>
  </w:style>
  <w:style w:type="paragraph" w:customStyle="1" w:styleId="BHTCCBody">
    <w:name w:val="BHTCC Body"/>
    <w:basedOn w:val="Normal"/>
    <w:qFormat/>
    <w:rsid w:val="00D648EC"/>
    <w:pPr>
      <w:spacing w:after="200"/>
    </w:pPr>
    <w:rPr>
      <w:rFonts w:ascii="Ebrima" w:eastAsiaTheme="minorHAnsi" w:hAnsi="Ebrima" w:cstheme="minorBidi"/>
      <w:sz w:val="20"/>
      <w:szCs w:val="22"/>
    </w:rPr>
  </w:style>
  <w:style w:type="paragraph" w:customStyle="1" w:styleId="TextBoxBullet">
    <w:name w:val="Text Box Bullet"/>
    <w:basedOn w:val="Normal"/>
    <w:link w:val="TextBoxBulletChar"/>
    <w:qFormat/>
    <w:rsid w:val="00D648EC"/>
    <w:pPr>
      <w:numPr>
        <w:numId w:val="14"/>
      </w:numPr>
      <w:spacing w:after="160" w:line="259" w:lineRule="auto"/>
      <w:ind w:left="792"/>
      <w:jc w:val="left"/>
    </w:pPr>
    <w:rPr>
      <w:rFonts w:ascii="Arial Narrow" w:eastAsiaTheme="minorHAnsi" w:hAnsi="Arial Narrow" w:cstheme="minorBidi"/>
      <w:color w:val="FFFFFF" w:themeColor="background1"/>
      <w:sz w:val="22"/>
      <w:szCs w:val="22"/>
    </w:rPr>
  </w:style>
  <w:style w:type="character" w:customStyle="1" w:styleId="TextBoxBulletChar">
    <w:name w:val="Text Box Bullet Char"/>
    <w:basedOn w:val="DefaultParagraphFont"/>
    <w:link w:val="TextBoxBullet"/>
    <w:rsid w:val="00D648EC"/>
    <w:rPr>
      <w:rFonts w:ascii="Arial Narrow" w:hAnsi="Arial Narrow"/>
      <w:color w:val="FFFFFF" w:themeColor="background1"/>
    </w:rPr>
  </w:style>
  <w:style w:type="paragraph" w:customStyle="1" w:styleId="BHTCCBullet1">
    <w:name w:val="BHTCC Bullet 1"/>
    <w:basedOn w:val="ListParagraph"/>
    <w:qFormat/>
    <w:rsid w:val="007B6506"/>
    <w:pPr>
      <w:numPr>
        <w:numId w:val="15"/>
      </w:numPr>
      <w:spacing w:after="120"/>
      <w:jc w:val="left"/>
    </w:pPr>
    <w:rPr>
      <w:rFonts w:ascii="Ebrima" w:eastAsiaTheme="minorHAnsi" w:hAnsi="Ebrima" w:cstheme="minorBidi"/>
      <w:sz w:val="20"/>
      <w:szCs w:val="22"/>
    </w:rPr>
  </w:style>
  <w:style w:type="paragraph" w:customStyle="1" w:styleId="BHTCCExhibitFigureHead">
    <w:name w:val="BHTCC Exhibit/Figure Head"/>
    <w:basedOn w:val="Normal"/>
    <w:qFormat/>
    <w:rsid w:val="007B6506"/>
    <w:pPr>
      <w:spacing w:after="120"/>
      <w:jc w:val="center"/>
    </w:pPr>
    <w:rPr>
      <w:rFonts w:ascii="Ebrima" w:eastAsiaTheme="minorHAnsi" w:hAnsi="Ebrima"/>
      <w:b/>
      <w:bCs/>
      <w:color w:val="1F4E79" w:themeColor="accent1" w:themeShade="80"/>
      <w:sz w:val="22"/>
      <w:szCs w:val="22"/>
    </w:rPr>
  </w:style>
  <w:style w:type="paragraph" w:customStyle="1" w:styleId="BHTCCHeader2">
    <w:name w:val="BHTCC Header 2"/>
    <w:basedOn w:val="Normal"/>
    <w:qFormat/>
    <w:rsid w:val="007B6506"/>
    <w:pPr>
      <w:pBdr>
        <w:bottom w:val="single" w:sz="12" w:space="1" w:color="auto"/>
      </w:pBdr>
      <w:spacing w:after="120"/>
      <w:jc w:val="left"/>
    </w:pPr>
    <w:rPr>
      <w:rFonts w:ascii="Arial Narrow" w:eastAsiaTheme="minorHAnsi" w:hAnsi="Arial Narrow" w:cstheme="minorBidi"/>
      <w:sz w:val="32"/>
      <w:szCs w:val="32"/>
    </w:rPr>
  </w:style>
  <w:style w:type="paragraph" w:customStyle="1" w:styleId="BHTCCFootnote">
    <w:name w:val="BHTCC Footnote"/>
    <w:basedOn w:val="FootnoteText"/>
    <w:qFormat/>
    <w:rsid w:val="007B6506"/>
    <w:pPr>
      <w:autoSpaceDE/>
      <w:autoSpaceDN/>
      <w:adjustRightInd/>
      <w:jc w:val="left"/>
    </w:pPr>
    <w:rPr>
      <w:rFonts w:ascii="Arial" w:hAnsi="Arial" w:cs="Arial"/>
      <w:sz w:val="16"/>
      <w:szCs w:val="16"/>
    </w:rPr>
  </w:style>
  <w:style w:type="paragraph" w:customStyle="1" w:styleId="CSETable1">
    <w:name w:val="CSE Table 1"/>
    <w:basedOn w:val="Normal"/>
    <w:rsid w:val="00E655E6"/>
    <w:pPr>
      <w:spacing w:before="20" w:after="20"/>
      <w:jc w:val="center"/>
    </w:pPr>
    <w:rPr>
      <w:rFonts w:ascii="Arial Narrow" w:eastAsiaTheme="minorHAnsi" w:hAnsi="Arial Narrow"/>
      <w:b/>
      <w:bCs/>
      <w:color w:val="FFFFFF"/>
      <w:sz w:val="22"/>
      <w:szCs w:val="22"/>
    </w:rPr>
  </w:style>
  <w:style w:type="paragraph" w:customStyle="1" w:styleId="CSETable2">
    <w:name w:val="CSE Table 2"/>
    <w:basedOn w:val="Normal"/>
    <w:rsid w:val="00E655E6"/>
    <w:pPr>
      <w:spacing w:after="160" w:line="252" w:lineRule="auto"/>
      <w:jc w:val="left"/>
    </w:pPr>
    <w:rPr>
      <w:rFonts w:ascii="Arial Narrow" w:eastAsiaTheme="minorHAnsi" w:hAnsi="Arial Narrow"/>
      <w:b/>
      <w:bCs/>
      <w:sz w:val="22"/>
      <w:szCs w:val="22"/>
    </w:rPr>
  </w:style>
  <w:style w:type="paragraph" w:customStyle="1" w:styleId="CSETableText">
    <w:name w:val="CSE Table Text"/>
    <w:basedOn w:val="Normal"/>
    <w:rsid w:val="00E655E6"/>
    <w:pPr>
      <w:spacing w:before="20" w:after="20"/>
      <w:jc w:val="left"/>
    </w:pPr>
    <w:rPr>
      <w:rFonts w:ascii="Arial Narrow" w:eastAsiaTheme="minorHAnsi" w:hAnsi="Arial Narrow"/>
      <w:sz w:val="22"/>
      <w:szCs w:val="22"/>
    </w:rPr>
  </w:style>
  <w:style w:type="paragraph" w:styleId="BodyText2">
    <w:name w:val="Body Text 2"/>
    <w:basedOn w:val="Normal"/>
    <w:link w:val="BodyText2Char"/>
    <w:uiPriority w:val="99"/>
    <w:semiHidden/>
    <w:unhideWhenUsed/>
    <w:rsid w:val="00321842"/>
    <w:pPr>
      <w:spacing w:after="120" w:line="480" w:lineRule="auto"/>
    </w:pPr>
  </w:style>
  <w:style w:type="character" w:customStyle="1" w:styleId="BodyText2Char">
    <w:name w:val="Body Text 2 Char"/>
    <w:basedOn w:val="DefaultParagraphFont"/>
    <w:link w:val="BodyText2"/>
    <w:uiPriority w:val="99"/>
    <w:semiHidden/>
    <w:rsid w:val="00321842"/>
    <w:rPr>
      <w:rFonts w:ascii="Times New Roman" w:eastAsia="Times New Roman" w:hAnsi="Times New Roman" w:cs="Times New Roman"/>
      <w:sz w:val="24"/>
      <w:szCs w:val="24"/>
    </w:rPr>
  </w:style>
  <w:style w:type="paragraph" w:customStyle="1" w:styleId="ReportBullet1">
    <w:name w:val="Report Bullet 1"/>
    <w:basedOn w:val="Normal"/>
    <w:rsid w:val="00321842"/>
    <w:pPr>
      <w:numPr>
        <w:numId w:val="16"/>
      </w:numPr>
      <w:suppressAutoHyphens/>
      <w:spacing w:before="240" w:after="120"/>
    </w:pPr>
  </w:style>
  <w:style w:type="paragraph" w:customStyle="1" w:styleId="Level1">
    <w:name w:val="Level 1"/>
    <w:basedOn w:val="Normal"/>
    <w:uiPriority w:val="99"/>
    <w:rsid w:val="007D0F20"/>
    <w:pPr>
      <w:widowControl w:val="0"/>
      <w:numPr>
        <w:numId w:val="17"/>
      </w:numPr>
      <w:autoSpaceDE w:val="0"/>
      <w:autoSpaceDN w:val="0"/>
      <w:adjustRightInd w:val="0"/>
      <w:ind w:hanging="720"/>
      <w:jc w:val="left"/>
      <w:outlineLvl w:val="0"/>
    </w:pPr>
    <w:rPr>
      <w:rFonts w:ascii="Courier" w:hAnsi="Courier"/>
      <w:sz w:val="20"/>
    </w:rPr>
  </w:style>
  <w:style w:type="paragraph" w:customStyle="1" w:styleId="BHTCCHead2">
    <w:name w:val="BHTCC Head 2"/>
    <w:basedOn w:val="Normal"/>
    <w:rsid w:val="00167DCE"/>
    <w:pPr>
      <w:spacing w:before="120" w:after="120"/>
      <w:jc w:val="left"/>
    </w:pPr>
    <w:rPr>
      <w:rFonts w:ascii="Ebrima" w:eastAsiaTheme="minorHAnsi" w:hAnsi="Ebrima" w:cstheme="minorBidi"/>
      <w:b/>
      <w:caps/>
      <w:color w:val="626262"/>
      <w:szCs w:val="44"/>
      <w14:textFill>
        <w14:solidFill>
          <w14:srgbClr w14:val="626262">
            <w14:lumMod w14:val="50000"/>
          </w14:srgbClr>
        </w14:solidFill>
      </w14:textFill>
    </w:rPr>
  </w:style>
  <w:style w:type="paragraph" w:customStyle="1" w:styleId="BHTCCTable1">
    <w:name w:val="BHTCC Table 1"/>
    <w:basedOn w:val="Normal"/>
    <w:qFormat/>
    <w:rsid w:val="00167DCE"/>
    <w:pPr>
      <w:spacing w:before="20" w:after="20"/>
      <w:jc w:val="center"/>
    </w:pPr>
    <w:rPr>
      <w:rFonts w:ascii="Arial Narrow" w:eastAsiaTheme="minorHAnsi" w:hAnsi="Arial Narrow" w:cstheme="minorBidi"/>
      <w:b/>
      <w:color w:val="FFFFFF" w:themeColor="background1"/>
      <w:sz w:val="22"/>
      <w:szCs w:val="22"/>
    </w:rPr>
  </w:style>
  <w:style w:type="paragraph" w:customStyle="1" w:styleId="BHTCCTable2">
    <w:name w:val="BHTCC Table 2"/>
    <w:qFormat/>
    <w:rsid w:val="00167DCE"/>
    <w:pPr>
      <w:spacing w:after="160" w:line="259" w:lineRule="auto"/>
      <w:jc w:val="left"/>
    </w:pPr>
    <w:rPr>
      <w:rFonts w:ascii="Arial Narrow" w:hAnsi="Arial Narrow"/>
      <w:b/>
      <w:color w:val="FFFFFF" w:themeColor="background1"/>
    </w:rPr>
  </w:style>
  <w:style w:type="paragraph" w:customStyle="1" w:styleId="BHTCCTableText">
    <w:name w:val="BHTCC Table Text"/>
    <w:link w:val="BHTCCTableTextChar"/>
    <w:qFormat/>
    <w:rsid w:val="00167DCE"/>
    <w:pPr>
      <w:spacing w:before="20" w:after="20"/>
      <w:jc w:val="left"/>
    </w:pPr>
    <w:rPr>
      <w:rFonts w:ascii="Arial Narrow" w:hAnsi="Arial Narrow"/>
    </w:rPr>
  </w:style>
  <w:style w:type="character" w:customStyle="1" w:styleId="BHTCCTableTextChar">
    <w:name w:val="BHTCC Table Text Char"/>
    <w:basedOn w:val="DefaultParagraphFont"/>
    <w:link w:val="BHTCCTableText"/>
    <w:rsid w:val="00167DCE"/>
    <w:rPr>
      <w:rFonts w:ascii="Arial Narrow" w:hAnsi="Arial Narrow"/>
    </w:rPr>
  </w:style>
  <w:style w:type="paragraph" w:customStyle="1" w:styleId="BHTCCFooter1">
    <w:name w:val="BHTCC Footer 1"/>
    <w:basedOn w:val="Normal"/>
    <w:qFormat/>
    <w:rsid w:val="00C7334E"/>
    <w:pPr>
      <w:pBdr>
        <w:bottom w:val="single" w:sz="8" w:space="3" w:color="323E4F"/>
      </w:pBdr>
      <w:tabs>
        <w:tab w:val="center" w:pos="4680"/>
        <w:tab w:val="right" w:pos="9360"/>
      </w:tabs>
      <w:jc w:val="left"/>
    </w:pPr>
    <w:rPr>
      <w:rFonts w:ascii="Arial Narrow" w:eastAsia="Calibri" w:hAnsi="Arial Narrow"/>
      <w:sz w:val="18"/>
      <w:szCs w:val="18"/>
    </w:rPr>
  </w:style>
  <w:style w:type="paragraph" w:customStyle="1" w:styleId="BHTCCFooter2">
    <w:name w:val="BHTCC Footer 2"/>
    <w:basedOn w:val="Normal"/>
    <w:qFormat/>
    <w:rsid w:val="00C7334E"/>
    <w:pPr>
      <w:spacing w:before="60"/>
      <w:jc w:val="center"/>
    </w:pPr>
    <w:rPr>
      <w:rFonts w:ascii="Arial Narrow" w:eastAsia="Calibri" w:hAnsi="Arial Narrow"/>
      <w:sz w:val="18"/>
      <w:szCs w:val="18"/>
    </w:rPr>
  </w:style>
  <w:style w:type="paragraph" w:customStyle="1" w:styleId="BHTCCHeader1">
    <w:name w:val="BHTCC Header 1"/>
    <w:basedOn w:val="Normal"/>
    <w:qFormat/>
    <w:rsid w:val="00C7334E"/>
    <w:pPr>
      <w:spacing w:after="120"/>
      <w:jc w:val="left"/>
    </w:pPr>
    <w:rPr>
      <w:rFonts w:ascii="Arial Narrow" w:eastAsiaTheme="minorHAnsi" w:hAnsi="Arial Narrow" w:cstheme="minorBidi"/>
      <w:sz w:val="20"/>
      <w:szCs w:val="20"/>
    </w:rPr>
  </w:style>
  <w:style w:type="paragraph" w:customStyle="1" w:styleId="Style4">
    <w:name w:val="Style4"/>
    <w:basedOn w:val="Normal"/>
    <w:qFormat/>
    <w:rsid w:val="00C7334E"/>
    <w:pPr>
      <w:pBdr>
        <w:bottom w:val="single" w:sz="12" w:space="1" w:color="auto"/>
      </w:pBdr>
      <w:spacing w:after="120"/>
      <w:jc w:val="left"/>
    </w:pPr>
    <w:rPr>
      <w:rFonts w:ascii="Arial Narrow" w:eastAsiaTheme="minorHAnsi" w:hAnsi="Arial Narrow" w:cstheme="minorBidi"/>
      <w:sz w:val="32"/>
      <w:szCs w:val="32"/>
    </w:rPr>
  </w:style>
  <w:style w:type="paragraph" w:customStyle="1" w:styleId="BHTCCHead4">
    <w:name w:val="BHTCC Head 4"/>
    <w:basedOn w:val="Normal"/>
    <w:qFormat/>
    <w:rsid w:val="00C27238"/>
    <w:pPr>
      <w:spacing w:before="120" w:after="120"/>
      <w:jc w:val="left"/>
    </w:pPr>
    <w:rPr>
      <w:rFonts w:ascii="Tw Cen MT" w:eastAsiaTheme="minorHAnsi" w:hAnsi="Tw Cen MT" w:cstheme="minorBidi"/>
      <w:i/>
      <w:color w:val="000000"/>
      <w:sz w:val="26"/>
      <w:szCs w:val="44"/>
      <w14:textFill>
        <w14:solidFill>
          <w14:srgbClr w14:val="000000">
            <w14:lumMod w14:val="50000"/>
          </w14:srgbClr>
        </w14:solidFill>
      </w14:textFill>
    </w:rPr>
  </w:style>
  <w:style w:type="paragraph" w:customStyle="1" w:styleId="BHTCCTextBoxBullets">
    <w:name w:val="BHTCC Text Box Bullets"/>
    <w:basedOn w:val="ListParagraph"/>
    <w:qFormat/>
    <w:rsid w:val="00C27238"/>
    <w:pPr>
      <w:numPr>
        <w:numId w:val="20"/>
      </w:numPr>
      <w:spacing w:after="160" w:line="259" w:lineRule="auto"/>
      <w:jc w:val="left"/>
    </w:pPr>
    <w:rPr>
      <w:rFonts w:asciiTheme="minorHAnsi" w:eastAsiaTheme="minorHAnsi" w:hAnsiTheme="minorHAnsi" w:cstheme="minorBidi"/>
      <w:sz w:val="22"/>
      <w:szCs w:val="22"/>
    </w:rPr>
  </w:style>
  <w:style w:type="paragraph" w:customStyle="1" w:styleId="BHTCCHead3">
    <w:name w:val="BHTCC Head 3"/>
    <w:basedOn w:val="BHTCCHead2"/>
    <w:qFormat/>
    <w:rsid w:val="00547235"/>
    <w:rPr>
      <w:rFonts w:ascii="Tw Cen MT" w:hAnsi="Tw Cen MT"/>
      <w:caps w:val="0"/>
      <w:color w:val="1F4E79" w:themeColor="accent1" w:themeShade="80"/>
      <w:sz w:val="26"/>
      <w14:textFill>
        <w14:solidFill>
          <w14:schemeClr w14:val="accent1">
            <w14:lumMod w14:val="50000"/>
            <w14:lumMod w14:val="50000"/>
          </w14:schemeClr>
        </w14:solidFill>
      </w14:textFill>
    </w:rPr>
  </w:style>
  <w:style w:type="paragraph" w:customStyle="1" w:styleId="CalloutBulletBlue">
    <w:name w:val="Callout Bullet Blue"/>
    <w:basedOn w:val="Normal"/>
    <w:uiPriority w:val="3"/>
    <w:qFormat/>
    <w:rsid w:val="00324931"/>
    <w:pPr>
      <w:numPr>
        <w:numId w:val="21"/>
      </w:numPr>
      <w:spacing w:after="60"/>
      <w:textAlignment w:val="center"/>
    </w:pPr>
    <w:rPr>
      <w:rFonts w:ascii="Calibri" w:hAnsi="Calibri" w:cs="Arial"/>
      <w:spacing w:val="4"/>
      <w:szCs w:val="22"/>
    </w:rPr>
  </w:style>
  <w:style w:type="character" w:customStyle="1" w:styleId="ListParagraphChar">
    <w:name w:val="List Paragraph Char"/>
    <w:link w:val="ListParagraph"/>
    <w:uiPriority w:val="34"/>
    <w:locked/>
    <w:rsid w:val="00324931"/>
    <w:rPr>
      <w:rFonts w:ascii="Times New Roman" w:eastAsia="Times New Roman" w:hAnsi="Times New Roman" w:cs="Times New Roman"/>
      <w:sz w:val="24"/>
      <w:szCs w:val="24"/>
    </w:rPr>
  </w:style>
  <w:style w:type="character" w:customStyle="1" w:styleId="StyleBold">
    <w:name w:val="Style Bold"/>
    <w:basedOn w:val="DefaultParagraphFont"/>
    <w:uiPriority w:val="99"/>
    <w:rsid w:val="00324931"/>
    <w:rPr>
      <w:rFonts w:ascii="Arial" w:hAnsi="Arial" w:cs="Times New Roman"/>
      <w:b/>
      <w:bCs/>
      <w:sz w:val="24"/>
    </w:rPr>
  </w:style>
  <w:style w:type="paragraph" w:styleId="NormalWeb">
    <w:name w:val="Normal (Web)"/>
    <w:basedOn w:val="Normal"/>
    <w:uiPriority w:val="99"/>
    <w:semiHidden/>
    <w:unhideWhenUsed/>
    <w:rsid w:val="009A04D9"/>
    <w:pPr>
      <w:jc w:val="left"/>
    </w:pPr>
    <w:rPr>
      <w:rFonts w:eastAsiaTheme="minorHAnsi"/>
    </w:rPr>
  </w:style>
  <w:style w:type="character" w:styleId="Strong">
    <w:name w:val="Strong"/>
    <w:basedOn w:val="DefaultParagraphFont"/>
    <w:uiPriority w:val="22"/>
    <w:qFormat/>
    <w:rsid w:val="009A04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31804">
      <w:bodyDiv w:val="1"/>
      <w:marLeft w:val="0"/>
      <w:marRight w:val="0"/>
      <w:marTop w:val="0"/>
      <w:marBottom w:val="0"/>
      <w:divBdr>
        <w:top w:val="none" w:sz="0" w:space="0" w:color="auto"/>
        <w:left w:val="none" w:sz="0" w:space="0" w:color="auto"/>
        <w:bottom w:val="none" w:sz="0" w:space="0" w:color="auto"/>
        <w:right w:val="none" w:sz="0" w:space="0" w:color="auto"/>
      </w:divBdr>
    </w:div>
    <w:div w:id="218634324">
      <w:bodyDiv w:val="1"/>
      <w:marLeft w:val="0"/>
      <w:marRight w:val="0"/>
      <w:marTop w:val="0"/>
      <w:marBottom w:val="0"/>
      <w:divBdr>
        <w:top w:val="none" w:sz="0" w:space="0" w:color="auto"/>
        <w:left w:val="none" w:sz="0" w:space="0" w:color="auto"/>
        <w:bottom w:val="none" w:sz="0" w:space="0" w:color="auto"/>
        <w:right w:val="none" w:sz="0" w:space="0" w:color="auto"/>
      </w:divBdr>
    </w:div>
    <w:div w:id="376200898">
      <w:bodyDiv w:val="1"/>
      <w:marLeft w:val="0"/>
      <w:marRight w:val="0"/>
      <w:marTop w:val="0"/>
      <w:marBottom w:val="0"/>
      <w:divBdr>
        <w:top w:val="none" w:sz="0" w:space="0" w:color="auto"/>
        <w:left w:val="none" w:sz="0" w:space="0" w:color="auto"/>
        <w:bottom w:val="none" w:sz="0" w:space="0" w:color="auto"/>
        <w:right w:val="none" w:sz="0" w:space="0" w:color="auto"/>
      </w:divBdr>
    </w:div>
    <w:div w:id="448862261">
      <w:bodyDiv w:val="1"/>
      <w:marLeft w:val="0"/>
      <w:marRight w:val="0"/>
      <w:marTop w:val="0"/>
      <w:marBottom w:val="0"/>
      <w:divBdr>
        <w:top w:val="none" w:sz="0" w:space="0" w:color="auto"/>
        <w:left w:val="none" w:sz="0" w:space="0" w:color="auto"/>
        <w:bottom w:val="none" w:sz="0" w:space="0" w:color="auto"/>
        <w:right w:val="none" w:sz="0" w:space="0" w:color="auto"/>
      </w:divBdr>
    </w:div>
    <w:div w:id="477845493">
      <w:bodyDiv w:val="1"/>
      <w:marLeft w:val="0"/>
      <w:marRight w:val="0"/>
      <w:marTop w:val="0"/>
      <w:marBottom w:val="0"/>
      <w:divBdr>
        <w:top w:val="none" w:sz="0" w:space="0" w:color="auto"/>
        <w:left w:val="none" w:sz="0" w:space="0" w:color="auto"/>
        <w:bottom w:val="none" w:sz="0" w:space="0" w:color="auto"/>
        <w:right w:val="none" w:sz="0" w:space="0" w:color="auto"/>
      </w:divBdr>
    </w:div>
    <w:div w:id="666977432">
      <w:bodyDiv w:val="1"/>
      <w:marLeft w:val="0"/>
      <w:marRight w:val="0"/>
      <w:marTop w:val="0"/>
      <w:marBottom w:val="0"/>
      <w:divBdr>
        <w:top w:val="none" w:sz="0" w:space="0" w:color="auto"/>
        <w:left w:val="none" w:sz="0" w:space="0" w:color="auto"/>
        <w:bottom w:val="none" w:sz="0" w:space="0" w:color="auto"/>
        <w:right w:val="none" w:sz="0" w:space="0" w:color="auto"/>
      </w:divBdr>
    </w:div>
    <w:div w:id="979771949">
      <w:bodyDiv w:val="1"/>
      <w:marLeft w:val="0"/>
      <w:marRight w:val="0"/>
      <w:marTop w:val="0"/>
      <w:marBottom w:val="0"/>
      <w:divBdr>
        <w:top w:val="none" w:sz="0" w:space="0" w:color="auto"/>
        <w:left w:val="none" w:sz="0" w:space="0" w:color="auto"/>
        <w:bottom w:val="none" w:sz="0" w:space="0" w:color="auto"/>
        <w:right w:val="none" w:sz="0" w:space="0" w:color="auto"/>
      </w:divBdr>
    </w:div>
    <w:div w:id="1337028314">
      <w:bodyDiv w:val="1"/>
      <w:marLeft w:val="0"/>
      <w:marRight w:val="0"/>
      <w:marTop w:val="0"/>
      <w:marBottom w:val="0"/>
      <w:divBdr>
        <w:top w:val="none" w:sz="0" w:space="0" w:color="auto"/>
        <w:left w:val="none" w:sz="0" w:space="0" w:color="auto"/>
        <w:bottom w:val="none" w:sz="0" w:space="0" w:color="auto"/>
        <w:right w:val="none" w:sz="0" w:space="0" w:color="auto"/>
      </w:divBdr>
    </w:div>
    <w:div w:id="1591691503">
      <w:bodyDiv w:val="1"/>
      <w:marLeft w:val="0"/>
      <w:marRight w:val="0"/>
      <w:marTop w:val="0"/>
      <w:marBottom w:val="0"/>
      <w:divBdr>
        <w:top w:val="none" w:sz="0" w:space="0" w:color="auto"/>
        <w:left w:val="none" w:sz="0" w:space="0" w:color="auto"/>
        <w:bottom w:val="none" w:sz="0" w:space="0" w:color="auto"/>
        <w:right w:val="none" w:sz="0" w:space="0" w:color="auto"/>
      </w:divBdr>
    </w:div>
    <w:div w:id="1667514591">
      <w:bodyDiv w:val="1"/>
      <w:marLeft w:val="0"/>
      <w:marRight w:val="0"/>
      <w:marTop w:val="0"/>
      <w:marBottom w:val="0"/>
      <w:divBdr>
        <w:top w:val="none" w:sz="0" w:space="0" w:color="auto"/>
        <w:left w:val="none" w:sz="0" w:space="0" w:color="auto"/>
        <w:bottom w:val="none" w:sz="0" w:space="0" w:color="auto"/>
        <w:right w:val="none" w:sz="0" w:space="0" w:color="auto"/>
      </w:divBdr>
    </w:div>
    <w:div w:id="203437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amantha.Lowry@icfi.com" TargetMode="External"/><Relationship Id="rId18" Type="http://schemas.openxmlformats.org/officeDocument/2006/relationships/hyperlink" Target="mailto:jzweig@urban.org" TargetMode="External"/><Relationship Id="rId26" Type="http://schemas.openxmlformats.org/officeDocument/2006/relationships/hyperlink" Target="mailto:Jana.Spalding@asu.edu" TargetMode="External"/><Relationship Id="rId3" Type="http://schemas.openxmlformats.org/officeDocument/2006/relationships/styles" Target="styles.xml"/><Relationship Id="rId21" Type="http://schemas.openxmlformats.org/officeDocument/2006/relationships/hyperlink" Target="mailto:michael.endres@doh.hawaii.gov"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Christine.Walrath@icfi.com" TargetMode="External"/><Relationship Id="rId17" Type="http://schemas.openxmlformats.org/officeDocument/2006/relationships/hyperlink" Target="mailto:jbuck@urban.org" TargetMode="External"/><Relationship Id="rId25" Type="http://schemas.openxmlformats.org/officeDocument/2006/relationships/hyperlink" Target="mailto:margaret.baughman@case.ed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egan.Brooks@icfi.com" TargetMode="External"/><Relationship Id="rId20" Type="http://schemas.openxmlformats.org/officeDocument/2006/relationships/hyperlink" Target="mailto:carrie.petrucci@gmail.com" TargetMode="External"/><Relationship Id="rId29" Type="http://schemas.openxmlformats.org/officeDocument/2006/relationships/hyperlink" Target="mailto:cblyler@mathematica-mpr.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obin.davis@icfi.com" TargetMode="External"/><Relationship Id="rId24" Type="http://schemas.openxmlformats.org/officeDocument/2006/relationships/hyperlink" Target="mailto:tkunkel@ncsc.org"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Lucas.GodoyGarraza@icfi.com" TargetMode="External"/><Relationship Id="rId23" Type="http://schemas.openxmlformats.org/officeDocument/2006/relationships/hyperlink" Target="mailto:judgestevegoss@bellsouth.net" TargetMode="External"/><Relationship Id="rId28" Type="http://schemas.openxmlformats.org/officeDocument/2006/relationships/hyperlink" Target="mailto:sharris@recoverymi.org" TargetMode="External"/><Relationship Id="rId10" Type="http://schemas.openxmlformats.org/officeDocument/2006/relationships/image" Target="media/image2.png"/><Relationship Id="rId19" Type="http://schemas.openxmlformats.org/officeDocument/2006/relationships/hyperlink" Target="mailto:sbelenko@temple.edu"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Emily.Appel-Newby@icfi.com" TargetMode="External"/><Relationship Id="rId22" Type="http://schemas.openxmlformats.org/officeDocument/2006/relationships/hyperlink" Target="mailto:Joan.Gillece@nasmhpd.org" TargetMode="External"/><Relationship Id="rId27" Type="http://schemas.openxmlformats.org/officeDocument/2006/relationships/hyperlink" Target="mailto:dmarlowe@nadcp.org" TargetMode="External"/><Relationship Id="rId30" Type="http://schemas.openxmlformats.org/officeDocument/2006/relationships/hyperlink" Target="mailto:jdelman@tacin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D9E71-EF46-469A-A0FE-D80B16922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35</Pages>
  <Words>15769</Words>
  <Characters>89886</Characters>
  <Application>Microsoft Office Word</Application>
  <DocSecurity>0</DocSecurity>
  <Lines>749</Lines>
  <Paragraphs>210</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105445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Sgro</dc:creator>
  <cp:lastModifiedBy>Windows User</cp:lastModifiedBy>
  <cp:revision>9</cp:revision>
  <cp:lastPrinted>2015-11-10T15:00:00Z</cp:lastPrinted>
  <dcterms:created xsi:type="dcterms:W3CDTF">2016-03-10T14:46:00Z</dcterms:created>
  <dcterms:modified xsi:type="dcterms:W3CDTF">2016-03-11T11:46:00Z</dcterms:modified>
</cp:coreProperties>
</file>