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A20C2" w14:textId="5EF7747B" w:rsidR="00A47806" w:rsidRPr="00423366" w:rsidRDefault="002A42A0" w:rsidP="00423366">
      <w:pPr>
        <w:pStyle w:val="Heading1"/>
        <w:spacing w:before="0"/>
        <w:jc w:val="center"/>
        <w:rPr>
          <w:rFonts w:ascii="Tw Cen MT" w:hAnsi="Tw Cen MT" w:cs="Arial"/>
          <w:color w:val="181818"/>
        </w:rPr>
      </w:pPr>
      <w:r>
        <w:rPr>
          <w:rFonts w:ascii="Tw Cen MT" w:hAnsi="Tw Cen MT" w:cs="Arial"/>
          <w:color w:val="181818"/>
        </w:rPr>
        <w:t>Community Support Evaluation</w:t>
      </w:r>
    </w:p>
    <w:p w14:paraId="1A398330" w14:textId="2FE2ECC5" w:rsidR="00A47806" w:rsidRPr="00423366" w:rsidRDefault="00A47806" w:rsidP="00423366">
      <w:pPr>
        <w:jc w:val="center"/>
        <w:rPr>
          <w:rFonts w:ascii="Tw Cen MT" w:hAnsi="Tw Cen MT"/>
          <w:b/>
          <w:sz w:val="28"/>
          <w:szCs w:val="28"/>
        </w:rPr>
      </w:pPr>
      <w:r w:rsidRPr="00423366">
        <w:rPr>
          <w:rFonts w:ascii="Tw Cen MT" w:hAnsi="Tw Cen MT" w:cs="Arial"/>
          <w:b/>
          <w:color w:val="181818"/>
          <w:sz w:val="28"/>
          <w:szCs w:val="28"/>
        </w:rPr>
        <w:t>Supporting Statemen</w:t>
      </w:r>
      <w:r w:rsidR="00581FA2">
        <w:rPr>
          <w:rFonts w:ascii="Tw Cen MT" w:hAnsi="Tw Cen MT" w:cs="Arial"/>
          <w:b/>
          <w:color w:val="181818"/>
          <w:sz w:val="28"/>
          <w:szCs w:val="28"/>
        </w:rPr>
        <w:t>t</w:t>
      </w:r>
    </w:p>
    <w:p w14:paraId="2B6A8056" w14:textId="77777777" w:rsidR="00A47806" w:rsidRPr="009756A4" w:rsidRDefault="00A47806" w:rsidP="00A47806">
      <w:pPr>
        <w:tabs>
          <w:tab w:val="left" w:pos="2250"/>
        </w:tabs>
        <w:rPr>
          <w:rFonts w:ascii="Arial" w:hAnsi="Arial" w:cs="Arial"/>
        </w:rPr>
      </w:pPr>
      <w:r>
        <w:rPr>
          <w:rFonts w:ascii="Arial" w:hAnsi="Arial" w:cs="Arial"/>
        </w:rPr>
        <w:tab/>
      </w:r>
    </w:p>
    <w:p w14:paraId="2FCA2A0D" w14:textId="16B475A6" w:rsidR="00A47806" w:rsidRPr="009449B0" w:rsidRDefault="00B84A99" w:rsidP="004E195B">
      <w:pPr>
        <w:pStyle w:val="BodyText"/>
        <w:numPr>
          <w:ilvl w:val="0"/>
          <w:numId w:val="9"/>
        </w:numPr>
        <w:tabs>
          <w:tab w:val="left" w:pos="843"/>
        </w:tabs>
        <w:spacing w:after="200"/>
        <w:rPr>
          <w:rFonts w:ascii="Tw Cen MT" w:hAnsi="Tw Cen MT" w:cs="Arial"/>
          <w:b/>
          <w:sz w:val="28"/>
          <w:szCs w:val="28"/>
        </w:rPr>
      </w:pPr>
      <w:r w:rsidRPr="00423366">
        <w:rPr>
          <w:rFonts w:ascii="Tw Cen MT" w:hAnsi="Tw Cen MT" w:cs="Arial"/>
          <w:b/>
          <w:color w:val="181818"/>
          <w:sz w:val="28"/>
          <w:szCs w:val="28"/>
        </w:rPr>
        <w:t>Collections of Information Employing Statistical Methods</w:t>
      </w:r>
    </w:p>
    <w:p w14:paraId="2F3177AC" w14:textId="0C78273A" w:rsidR="00A47806" w:rsidRPr="009D6E07" w:rsidRDefault="00B84A99" w:rsidP="004E195B">
      <w:pPr>
        <w:pStyle w:val="BodyText"/>
        <w:numPr>
          <w:ilvl w:val="0"/>
          <w:numId w:val="1"/>
        </w:numPr>
        <w:tabs>
          <w:tab w:val="left" w:pos="1563"/>
        </w:tabs>
        <w:spacing w:before="240" w:after="120"/>
        <w:rPr>
          <w:rFonts w:ascii="Tw Cen MT" w:hAnsi="Tw Cen MT" w:cs="Arial"/>
          <w:b/>
          <w:sz w:val="28"/>
          <w:szCs w:val="28"/>
        </w:rPr>
      </w:pPr>
      <w:r w:rsidRPr="00423366">
        <w:rPr>
          <w:rFonts w:ascii="Tw Cen MT" w:hAnsi="Tw Cen MT" w:cs="Arial"/>
          <w:b/>
          <w:color w:val="181818"/>
          <w:sz w:val="28"/>
          <w:szCs w:val="28"/>
        </w:rPr>
        <w:t>Respondent Universe and Sampling Methods</w:t>
      </w:r>
    </w:p>
    <w:p w14:paraId="6684FF97" w14:textId="4C87D752" w:rsidR="008D224F" w:rsidRDefault="006D08E4" w:rsidP="008D224F">
      <w:pPr>
        <w:pStyle w:val="BodyText"/>
        <w:tabs>
          <w:tab w:val="left" w:pos="1563"/>
        </w:tabs>
        <w:spacing w:after="200"/>
        <w:rPr>
          <w:rFonts w:ascii="Times New Roman" w:hAnsi="Times New Roman" w:cs="Times New Roman"/>
          <w:color w:val="181818"/>
          <w:sz w:val="24"/>
          <w:szCs w:val="24"/>
        </w:rPr>
      </w:pPr>
      <w:r>
        <w:rPr>
          <w:rFonts w:ascii="Times New Roman" w:hAnsi="Times New Roman" w:cs="Times New Roman"/>
          <w:color w:val="181818"/>
          <w:sz w:val="24"/>
          <w:szCs w:val="24"/>
        </w:rPr>
        <w:t xml:space="preserve">Exhibit </w:t>
      </w:r>
      <w:r w:rsidR="0089143F">
        <w:rPr>
          <w:rFonts w:ascii="Times New Roman" w:hAnsi="Times New Roman" w:cs="Times New Roman"/>
          <w:color w:val="181818"/>
          <w:sz w:val="24"/>
          <w:szCs w:val="24"/>
        </w:rPr>
        <w:t>1</w:t>
      </w:r>
      <w:r>
        <w:rPr>
          <w:rFonts w:ascii="Times New Roman" w:hAnsi="Times New Roman" w:cs="Times New Roman"/>
          <w:color w:val="181818"/>
          <w:sz w:val="24"/>
          <w:szCs w:val="24"/>
        </w:rPr>
        <w:t xml:space="preserve"> displays the </w:t>
      </w:r>
      <w:r w:rsidR="0089143F">
        <w:rPr>
          <w:rFonts w:ascii="Times New Roman" w:hAnsi="Times New Roman" w:cs="Times New Roman"/>
          <w:color w:val="181818"/>
          <w:sz w:val="24"/>
          <w:szCs w:val="24"/>
        </w:rPr>
        <w:t xml:space="preserve">expected number of </w:t>
      </w:r>
      <w:r>
        <w:rPr>
          <w:rFonts w:ascii="Times New Roman" w:hAnsi="Times New Roman" w:cs="Times New Roman"/>
          <w:color w:val="181818"/>
          <w:sz w:val="24"/>
          <w:szCs w:val="24"/>
        </w:rPr>
        <w:t xml:space="preserve">respondents </w:t>
      </w:r>
      <w:r w:rsidR="0089143F">
        <w:rPr>
          <w:rFonts w:ascii="Times New Roman" w:hAnsi="Times New Roman" w:cs="Times New Roman"/>
          <w:color w:val="181818"/>
          <w:sz w:val="24"/>
          <w:szCs w:val="24"/>
        </w:rPr>
        <w:t>to each data collection activity</w:t>
      </w:r>
      <w:r>
        <w:rPr>
          <w:rFonts w:ascii="Times New Roman" w:hAnsi="Times New Roman" w:cs="Times New Roman"/>
          <w:color w:val="181818"/>
          <w:sz w:val="24"/>
          <w:szCs w:val="24"/>
        </w:rPr>
        <w:t>.</w:t>
      </w:r>
    </w:p>
    <w:p w14:paraId="1FCA710E" w14:textId="00B5D235" w:rsidR="006D08E4" w:rsidRPr="002067A7" w:rsidRDefault="006D08E4" w:rsidP="006D08E4">
      <w:pPr>
        <w:pStyle w:val="BodyText"/>
        <w:tabs>
          <w:tab w:val="left" w:pos="1563"/>
        </w:tabs>
        <w:spacing w:before="240" w:after="200"/>
        <w:jc w:val="center"/>
        <w:rPr>
          <w:rFonts w:ascii="Tw Cen MT" w:hAnsi="Tw Cen MT" w:cs="Times New Roman"/>
          <w:sz w:val="24"/>
          <w:szCs w:val="24"/>
        </w:rPr>
      </w:pPr>
      <w:r>
        <w:rPr>
          <w:rFonts w:ascii="Tw Cen MT" w:hAnsi="Tw Cen MT" w:cs="Times New Roman"/>
          <w:b/>
          <w:sz w:val="24"/>
          <w:szCs w:val="24"/>
        </w:rPr>
        <w:t xml:space="preserve">Exhibit </w:t>
      </w:r>
      <w:r w:rsidR="0089143F">
        <w:rPr>
          <w:rFonts w:ascii="Tw Cen MT" w:hAnsi="Tw Cen MT" w:cs="Times New Roman"/>
          <w:b/>
          <w:sz w:val="24"/>
          <w:szCs w:val="24"/>
        </w:rPr>
        <w:t>1</w:t>
      </w:r>
      <w:r>
        <w:rPr>
          <w:rFonts w:ascii="Tw Cen MT" w:hAnsi="Tw Cen MT" w:cs="Times New Roman"/>
          <w:b/>
          <w:sz w:val="24"/>
          <w:szCs w:val="24"/>
        </w:rPr>
        <w:t xml:space="preserve">. </w:t>
      </w:r>
      <w:r w:rsidR="0089143F">
        <w:rPr>
          <w:rFonts w:ascii="Tw Cen MT" w:hAnsi="Tw Cen MT" w:cs="Times New Roman"/>
          <w:b/>
          <w:sz w:val="24"/>
          <w:szCs w:val="24"/>
        </w:rPr>
        <w:t>Number of Respondents by Data Collection Activity</w:t>
      </w:r>
    </w:p>
    <w:tbl>
      <w:tblPr>
        <w:tblStyle w:val="TableGrid"/>
        <w:tblW w:w="9265" w:type="dxa"/>
        <w:jc w:val="center"/>
        <w:tblLayout w:type="fixed"/>
        <w:tblCellMar>
          <w:top w:w="43" w:type="dxa"/>
          <w:left w:w="86" w:type="dxa"/>
          <w:bottom w:w="14" w:type="dxa"/>
          <w:right w:w="86" w:type="dxa"/>
        </w:tblCellMar>
        <w:tblLook w:val="04A0" w:firstRow="1" w:lastRow="0" w:firstColumn="1" w:lastColumn="0" w:noHBand="0" w:noVBand="1"/>
      </w:tblPr>
      <w:tblGrid>
        <w:gridCol w:w="3235"/>
        <w:gridCol w:w="1440"/>
        <w:gridCol w:w="2070"/>
        <w:gridCol w:w="2520"/>
      </w:tblGrid>
      <w:tr w:rsidR="006D08E4" w:rsidRPr="00277E3F" w14:paraId="7113970B" w14:textId="31075667" w:rsidTr="00236438">
        <w:trPr>
          <w:trHeight w:val="433"/>
          <w:tblHeader/>
          <w:jc w:val="center"/>
        </w:trPr>
        <w:tc>
          <w:tcPr>
            <w:tcW w:w="3235" w:type="dxa"/>
            <w:shd w:val="clear" w:color="auto" w:fill="323E4F" w:themeFill="text2" w:themeFillShade="BF"/>
            <w:tcMar>
              <w:top w:w="14" w:type="dxa"/>
              <w:left w:w="86" w:type="dxa"/>
              <w:bottom w:w="43" w:type="dxa"/>
              <w:right w:w="86" w:type="dxa"/>
            </w:tcMar>
          </w:tcPr>
          <w:p w14:paraId="57B94A1F" w14:textId="77777777" w:rsidR="000223F0" w:rsidRPr="00277E3F" w:rsidRDefault="000223F0" w:rsidP="00A52B42">
            <w:pPr>
              <w:jc w:val="center"/>
              <w:rPr>
                <w:rFonts w:ascii="Tw Cen MT" w:hAnsi="Tw Cen MT" w:cs="Arial"/>
                <w:color w:val="FFFFFF" w:themeColor="background1"/>
                <w:sz w:val="22"/>
                <w:szCs w:val="22"/>
              </w:rPr>
            </w:pPr>
            <w:r w:rsidRPr="00277E3F">
              <w:rPr>
                <w:rFonts w:ascii="Tw Cen MT" w:hAnsi="Tw Cen MT" w:cs="Arial"/>
                <w:color w:val="FFFFFF" w:themeColor="background1"/>
                <w:sz w:val="22"/>
                <w:szCs w:val="22"/>
              </w:rPr>
              <w:t>Instrument</w:t>
            </w:r>
          </w:p>
        </w:tc>
        <w:tc>
          <w:tcPr>
            <w:tcW w:w="1440" w:type="dxa"/>
            <w:shd w:val="clear" w:color="auto" w:fill="323E4F" w:themeFill="text2" w:themeFillShade="BF"/>
            <w:tcMar>
              <w:top w:w="14" w:type="dxa"/>
              <w:left w:w="86" w:type="dxa"/>
              <w:bottom w:w="43" w:type="dxa"/>
              <w:right w:w="86" w:type="dxa"/>
            </w:tcMar>
          </w:tcPr>
          <w:p w14:paraId="7A5D794D" w14:textId="62413F46" w:rsidR="000223F0" w:rsidRPr="00277E3F" w:rsidRDefault="000223F0" w:rsidP="00900F03">
            <w:pPr>
              <w:jc w:val="center"/>
              <w:rPr>
                <w:rFonts w:ascii="Tw Cen MT" w:hAnsi="Tw Cen MT" w:cs="Arial"/>
                <w:color w:val="FFFFFF" w:themeColor="background1"/>
                <w:sz w:val="22"/>
                <w:szCs w:val="22"/>
              </w:rPr>
            </w:pPr>
            <w:r>
              <w:rPr>
                <w:rFonts w:ascii="Tw Cen MT" w:hAnsi="Tw Cen MT" w:cs="Arial"/>
                <w:color w:val="FFFFFF" w:themeColor="background1"/>
                <w:sz w:val="22"/>
                <w:szCs w:val="22"/>
              </w:rPr>
              <w:t>Participating Grantees</w:t>
            </w:r>
          </w:p>
        </w:tc>
        <w:tc>
          <w:tcPr>
            <w:tcW w:w="2070" w:type="dxa"/>
            <w:shd w:val="clear" w:color="auto" w:fill="323E4F" w:themeFill="text2" w:themeFillShade="BF"/>
            <w:tcMar>
              <w:top w:w="14" w:type="dxa"/>
              <w:left w:w="86" w:type="dxa"/>
              <w:bottom w:w="43" w:type="dxa"/>
              <w:right w:w="86" w:type="dxa"/>
            </w:tcMar>
          </w:tcPr>
          <w:p w14:paraId="6F036A58" w14:textId="1C0AB7FE" w:rsidR="000223F0" w:rsidRPr="00277E3F" w:rsidRDefault="000223F0" w:rsidP="00900F03">
            <w:pPr>
              <w:jc w:val="center"/>
              <w:rPr>
                <w:rFonts w:ascii="Tw Cen MT" w:hAnsi="Tw Cen MT" w:cs="Arial"/>
                <w:color w:val="FFFFFF" w:themeColor="background1"/>
                <w:sz w:val="22"/>
                <w:szCs w:val="22"/>
              </w:rPr>
            </w:pPr>
            <w:r>
              <w:rPr>
                <w:rFonts w:ascii="Tw Cen MT" w:hAnsi="Tw Cen MT" w:cs="Arial"/>
                <w:color w:val="FFFFFF" w:themeColor="background1"/>
                <w:sz w:val="22"/>
                <w:szCs w:val="22"/>
              </w:rPr>
              <w:t>Respondents per Grantee</w:t>
            </w:r>
          </w:p>
        </w:tc>
        <w:tc>
          <w:tcPr>
            <w:tcW w:w="2520" w:type="dxa"/>
            <w:shd w:val="clear" w:color="auto" w:fill="323E4F" w:themeFill="text2" w:themeFillShade="BF"/>
          </w:tcPr>
          <w:p w14:paraId="585B081A" w14:textId="1C2394A8" w:rsidR="000223F0" w:rsidRDefault="000223F0" w:rsidP="000223F0">
            <w:pPr>
              <w:jc w:val="center"/>
              <w:rPr>
                <w:rFonts w:ascii="Tw Cen MT" w:hAnsi="Tw Cen MT" w:cs="Arial"/>
                <w:color w:val="FFFFFF" w:themeColor="background1"/>
                <w:sz w:val="22"/>
                <w:szCs w:val="22"/>
              </w:rPr>
            </w:pPr>
            <w:r>
              <w:rPr>
                <w:rFonts w:ascii="Tw Cen MT" w:hAnsi="Tw Cen MT" w:cs="Arial"/>
                <w:color w:val="FFFFFF" w:themeColor="background1"/>
                <w:sz w:val="22"/>
                <w:szCs w:val="22"/>
              </w:rPr>
              <w:t xml:space="preserve">Total Respondents </w:t>
            </w:r>
          </w:p>
        </w:tc>
      </w:tr>
      <w:tr w:rsidR="000223F0" w:rsidRPr="00277E3F" w14:paraId="7B233693" w14:textId="3848F99C" w:rsidTr="00236438">
        <w:trPr>
          <w:trHeight w:val="250"/>
          <w:jc w:val="center"/>
        </w:trPr>
        <w:tc>
          <w:tcPr>
            <w:tcW w:w="9265" w:type="dxa"/>
            <w:gridSpan w:val="4"/>
            <w:shd w:val="clear" w:color="auto" w:fill="D5DCE4" w:themeFill="text2" w:themeFillTint="33"/>
            <w:tcMar>
              <w:top w:w="14" w:type="dxa"/>
              <w:left w:w="86" w:type="dxa"/>
              <w:bottom w:w="43" w:type="dxa"/>
              <w:right w:w="86" w:type="dxa"/>
            </w:tcMar>
          </w:tcPr>
          <w:p w14:paraId="629CA4CC" w14:textId="158860C4" w:rsidR="000223F0" w:rsidRDefault="000223F0" w:rsidP="00900F03">
            <w:pPr>
              <w:jc w:val="center"/>
              <w:rPr>
                <w:rFonts w:ascii="Tw Cen MT" w:hAnsi="Tw Cen MT" w:cs="Arial"/>
                <w:sz w:val="22"/>
                <w:szCs w:val="22"/>
              </w:rPr>
            </w:pPr>
            <w:r>
              <w:rPr>
                <w:rFonts w:ascii="Tw Cen MT" w:hAnsi="Tw Cen MT" w:cs="Arial"/>
                <w:sz w:val="22"/>
                <w:szCs w:val="22"/>
              </w:rPr>
              <w:t>BHTCC Study</w:t>
            </w:r>
          </w:p>
        </w:tc>
      </w:tr>
      <w:tr w:rsidR="006D08E4" w:rsidRPr="00277E3F" w14:paraId="72AAC32D" w14:textId="2E6B0439" w:rsidTr="00236438">
        <w:trPr>
          <w:trHeight w:val="239"/>
          <w:jc w:val="center"/>
        </w:trPr>
        <w:tc>
          <w:tcPr>
            <w:tcW w:w="3235" w:type="dxa"/>
            <w:shd w:val="clear" w:color="auto" w:fill="auto"/>
            <w:tcMar>
              <w:top w:w="14" w:type="dxa"/>
              <w:left w:w="86" w:type="dxa"/>
              <w:bottom w:w="43" w:type="dxa"/>
              <w:right w:w="86" w:type="dxa"/>
            </w:tcMar>
          </w:tcPr>
          <w:p w14:paraId="041B10F3" w14:textId="2932E549" w:rsidR="000223F0" w:rsidRPr="00277E3F" w:rsidRDefault="000223F0" w:rsidP="006D08E4">
            <w:pPr>
              <w:jc w:val="left"/>
              <w:rPr>
                <w:rFonts w:ascii="Tw Cen MT" w:hAnsi="Tw Cen MT" w:cs="Arial"/>
                <w:sz w:val="22"/>
                <w:szCs w:val="22"/>
              </w:rPr>
            </w:pPr>
            <w:r>
              <w:rPr>
                <w:rFonts w:ascii="Tw Cen MT" w:hAnsi="Tw Cen MT" w:cs="Arial"/>
                <w:sz w:val="22"/>
                <w:szCs w:val="22"/>
              </w:rPr>
              <w:t>BPI</w:t>
            </w:r>
            <w:r w:rsidR="0043163E">
              <w:rPr>
                <w:rFonts w:ascii="Tw Cen MT" w:hAnsi="Tw Cen MT" w:cs="Arial"/>
                <w:sz w:val="22"/>
                <w:szCs w:val="22"/>
              </w:rPr>
              <w:t>–</w:t>
            </w:r>
            <w:r>
              <w:rPr>
                <w:rFonts w:ascii="Tw Cen MT" w:hAnsi="Tw Cen MT" w:cs="Arial"/>
                <w:sz w:val="22"/>
                <w:szCs w:val="22"/>
              </w:rPr>
              <w:t xml:space="preserve">BHTCC </w:t>
            </w:r>
          </w:p>
        </w:tc>
        <w:tc>
          <w:tcPr>
            <w:tcW w:w="1440" w:type="dxa"/>
            <w:tcMar>
              <w:top w:w="14" w:type="dxa"/>
              <w:left w:w="86" w:type="dxa"/>
              <w:bottom w:w="43" w:type="dxa"/>
              <w:right w:w="86" w:type="dxa"/>
            </w:tcMar>
          </w:tcPr>
          <w:p w14:paraId="1D65F6D2" w14:textId="4B189127" w:rsidR="000223F0" w:rsidRPr="00277E3F" w:rsidRDefault="000223F0" w:rsidP="00236438">
            <w:pPr>
              <w:jc w:val="center"/>
              <w:rPr>
                <w:rFonts w:ascii="Tw Cen MT" w:hAnsi="Tw Cen MT" w:cs="Arial"/>
                <w:sz w:val="22"/>
                <w:szCs w:val="22"/>
              </w:rPr>
            </w:pPr>
            <w:r>
              <w:rPr>
                <w:rFonts w:ascii="Tw Cen MT" w:hAnsi="Tw Cen MT" w:cs="Arial"/>
                <w:sz w:val="22"/>
                <w:szCs w:val="22"/>
              </w:rPr>
              <w:t>17</w:t>
            </w:r>
          </w:p>
        </w:tc>
        <w:tc>
          <w:tcPr>
            <w:tcW w:w="2070" w:type="dxa"/>
            <w:tcMar>
              <w:top w:w="14" w:type="dxa"/>
              <w:left w:w="86" w:type="dxa"/>
              <w:bottom w:w="43" w:type="dxa"/>
              <w:right w:w="86" w:type="dxa"/>
            </w:tcMar>
          </w:tcPr>
          <w:p w14:paraId="6BBAA722" w14:textId="38AA97FF" w:rsidR="000223F0" w:rsidRPr="00277E3F" w:rsidRDefault="000223F0" w:rsidP="00236438">
            <w:pPr>
              <w:jc w:val="center"/>
              <w:rPr>
                <w:rFonts w:ascii="Tw Cen MT" w:hAnsi="Tw Cen MT" w:cs="Arial"/>
                <w:sz w:val="22"/>
                <w:szCs w:val="22"/>
              </w:rPr>
            </w:pPr>
            <w:r>
              <w:rPr>
                <w:rFonts w:ascii="Tw Cen MT" w:hAnsi="Tw Cen MT" w:cs="Arial"/>
                <w:sz w:val="22"/>
                <w:szCs w:val="22"/>
              </w:rPr>
              <w:t>1</w:t>
            </w:r>
          </w:p>
        </w:tc>
        <w:tc>
          <w:tcPr>
            <w:tcW w:w="2520" w:type="dxa"/>
          </w:tcPr>
          <w:p w14:paraId="7C58059D" w14:textId="692B0DB2" w:rsidR="000223F0" w:rsidRPr="00277E3F" w:rsidRDefault="000223F0" w:rsidP="00236438">
            <w:pPr>
              <w:jc w:val="center"/>
              <w:rPr>
                <w:rFonts w:ascii="Tw Cen MT" w:hAnsi="Tw Cen MT" w:cs="Arial"/>
                <w:sz w:val="22"/>
                <w:szCs w:val="22"/>
              </w:rPr>
            </w:pPr>
            <w:r>
              <w:rPr>
                <w:rFonts w:ascii="Tw Cen MT" w:hAnsi="Tw Cen MT" w:cs="Arial"/>
                <w:sz w:val="22"/>
                <w:szCs w:val="22"/>
              </w:rPr>
              <w:t>17</w:t>
            </w:r>
          </w:p>
        </w:tc>
      </w:tr>
      <w:tr w:rsidR="006D08E4" w:rsidRPr="00277E3F" w14:paraId="0C27B79E" w14:textId="09C87D70" w:rsidTr="00236438">
        <w:trPr>
          <w:trHeight w:val="156"/>
          <w:jc w:val="center"/>
        </w:trPr>
        <w:tc>
          <w:tcPr>
            <w:tcW w:w="3235" w:type="dxa"/>
            <w:shd w:val="clear" w:color="auto" w:fill="auto"/>
            <w:tcMar>
              <w:top w:w="14" w:type="dxa"/>
              <w:left w:w="86" w:type="dxa"/>
              <w:bottom w:w="43" w:type="dxa"/>
              <w:right w:w="86" w:type="dxa"/>
            </w:tcMar>
          </w:tcPr>
          <w:p w14:paraId="75DF9BBA" w14:textId="7173CA5E" w:rsidR="000223F0" w:rsidRPr="00277E3F" w:rsidRDefault="000223F0" w:rsidP="006D08E4">
            <w:pPr>
              <w:jc w:val="left"/>
              <w:rPr>
                <w:rFonts w:ascii="Tw Cen MT" w:hAnsi="Tw Cen MT" w:cs="Arial"/>
                <w:sz w:val="22"/>
                <w:szCs w:val="22"/>
              </w:rPr>
            </w:pPr>
            <w:r>
              <w:rPr>
                <w:rFonts w:ascii="Tw Cen MT" w:hAnsi="Tw Cen MT" w:cs="Arial"/>
                <w:sz w:val="22"/>
                <w:szCs w:val="22"/>
              </w:rPr>
              <w:t>SLA KIIS</w:t>
            </w:r>
          </w:p>
        </w:tc>
        <w:tc>
          <w:tcPr>
            <w:tcW w:w="1440" w:type="dxa"/>
            <w:tcMar>
              <w:top w:w="14" w:type="dxa"/>
              <w:left w:w="86" w:type="dxa"/>
              <w:bottom w:w="43" w:type="dxa"/>
              <w:right w:w="86" w:type="dxa"/>
            </w:tcMar>
          </w:tcPr>
          <w:p w14:paraId="1E662004" w14:textId="08856BAC" w:rsidR="000223F0" w:rsidRPr="00277E3F" w:rsidRDefault="000223F0" w:rsidP="00236438">
            <w:pPr>
              <w:jc w:val="center"/>
              <w:rPr>
                <w:rFonts w:ascii="Tw Cen MT" w:hAnsi="Tw Cen MT" w:cs="Arial"/>
                <w:sz w:val="22"/>
                <w:szCs w:val="22"/>
              </w:rPr>
            </w:pPr>
            <w:r>
              <w:rPr>
                <w:rFonts w:ascii="Tw Cen MT" w:hAnsi="Tw Cen MT" w:cs="Arial"/>
                <w:sz w:val="22"/>
                <w:szCs w:val="22"/>
              </w:rPr>
              <w:t>17</w:t>
            </w:r>
          </w:p>
        </w:tc>
        <w:tc>
          <w:tcPr>
            <w:tcW w:w="2070" w:type="dxa"/>
            <w:tcMar>
              <w:top w:w="14" w:type="dxa"/>
              <w:left w:w="86" w:type="dxa"/>
              <w:bottom w:w="43" w:type="dxa"/>
              <w:right w:w="86" w:type="dxa"/>
            </w:tcMar>
          </w:tcPr>
          <w:p w14:paraId="4EE6ED3A" w14:textId="3CC781A3" w:rsidR="000223F0" w:rsidRPr="00277E3F" w:rsidRDefault="000223F0" w:rsidP="00236438">
            <w:pPr>
              <w:jc w:val="center"/>
              <w:rPr>
                <w:rFonts w:ascii="Tw Cen MT" w:hAnsi="Tw Cen MT" w:cs="Arial"/>
                <w:sz w:val="22"/>
                <w:szCs w:val="22"/>
              </w:rPr>
            </w:pPr>
            <w:r>
              <w:rPr>
                <w:rFonts w:ascii="Tw Cen MT" w:hAnsi="Tw Cen MT" w:cs="Arial"/>
                <w:sz w:val="22"/>
                <w:szCs w:val="22"/>
              </w:rPr>
              <w:t xml:space="preserve">5 </w:t>
            </w:r>
            <w:r w:rsidR="006D08E4">
              <w:rPr>
                <w:rFonts w:ascii="Tw Cen MT" w:hAnsi="Tw Cen MT" w:cs="Arial"/>
                <w:sz w:val="22"/>
                <w:szCs w:val="22"/>
              </w:rPr>
              <w:t>per administration</w:t>
            </w:r>
          </w:p>
        </w:tc>
        <w:tc>
          <w:tcPr>
            <w:tcW w:w="2520" w:type="dxa"/>
          </w:tcPr>
          <w:p w14:paraId="3BDE6626" w14:textId="2DCA94D7" w:rsidR="006D08E4" w:rsidRPr="00277E3F" w:rsidRDefault="006D08E4" w:rsidP="00236438">
            <w:pPr>
              <w:jc w:val="center"/>
              <w:rPr>
                <w:rFonts w:ascii="Tw Cen MT" w:hAnsi="Tw Cen MT" w:cs="Arial"/>
                <w:sz w:val="22"/>
                <w:szCs w:val="22"/>
              </w:rPr>
            </w:pPr>
            <w:r>
              <w:rPr>
                <w:rFonts w:ascii="Tw Cen MT" w:hAnsi="Tw Cen MT" w:cs="Arial"/>
                <w:sz w:val="22"/>
                <w:szCs w:val="22"/>
              </w:rPr>
              <w:t>170 (85 in Y2; 85 in Y4)</w:t>
            </w:r>
          </w:p>
        </w:tc>
      </w:tr>
      <w:tr w:rsidR="006D08E4" w:rsidRPr="00277E3F" w14:paraId="4257C37E" w14:textId="4C59FD1E" w:rsidTr="00236438">
        <w:trPr>
          <w:trHeight w:val="296"/>
          <w:jc w:val="center"/>
        </w:trPr>
        <w:tc>
          <w:tcPr>
            <w:tcW w:w="3235" w:type="dxa"/>
            <w:shd w:val="clear" w:color="auto" w:fill="auto"/>
            <w:tcMar>
              <w:top w:w="14" w:type="dxa"/>
              <w:left w:w="86" w:type="dxa"/>
              <w:bottom w:w="43" w:type="dxa"/>
              <w:right w:w="86" w:type="dxa"/>
            </w:tcMar>
          </w:tcPr>
          <w:p w14:paraId="4AC8B82C" w14:textId="4BCB43B3" w:rsidR="000223F0" w:rsidRDefault="000223F0" w:rsidP="0043163E">
            <w:pPr>
              <w:jc w:val="left"/>
              <w:rPr>
                <w:rFonts w:ascii="Tw Cen MT" w:hAnsi="Tw Cen MT" w:cs="Arial"/>
                <w:sz w:val="22"/>
                <w:szCs w:val="22"/>
              </w:rPr>
            </w:pPr>
            <w:r>
              <w:rPr>
                <w:rFonts w:ascii="Tw Cen MT" w:hAnsi="Tw Cen MT" w:cs="Arial"/>
                <w:sz w:val="22"/>
                <w:szCs w:val="22"/>
              </w:rPr>
              <w:t>Concept Mapping Exercise 1</w:t>
            </w:r>
            <w:r w:rsidR="0043163E">
              <w:rPr>
                <w:rFonts w:ascii="Tw Cen MT" w:hAnsi="Tw Cen MT" w:cs="Arial"/>
                <w:sz w:val="22"/>
                <w:szCs w:val="22"/>
              </w:rPr>
              <w:t xml:space="preserve"> (Brainstorming &amp; Sorting/Rating)</w:t>
            </w:r>
          </w:p>
        </w:tc>
        <w:tc>
          <w:tcPr>
            <w:tcW w:w="1440" w:type="dxa"/>
            <w:tcMar>
              <w:top w:w="14" w:type="dxa"/>
              <w:left w:w="86" w:type="dxa"/>
              <w:bottom w:w="43" w:type="dxa"/>
              <w:right w:w="86" w:type="dxa"/>
            </w:tcMar>
          </w:tcPr>
          <w:p w14:paraId="114E5F1B" w14:textId="020F9262" w:rsidR="000223F0" w:rsidRPr="00277E3F" w:rsidRDefault="000223F0" w:rsidP="00236438">
            <w:pPr>
              <w:jc w:val="center"/>
              <w:rPr>
                <w:rFonts w:ascii="Tw Cen MT" w:hAnsi="Tw Cen MT" w:cs="Arial"/>
                <w:sz w:val="22"/>
                <w:szCs w:val="22"/>
              </w:rPr>
            </w:pPr>
            <w:r>
              <w:rPr>
                <w:rFonts w:ascii="Tw Cen MT" w:hAnsi="Tw Cen MT" w:cs="Arial"/>
                <w:sz w:val="22"/>
                <w:szCs w:val="22"/>
              </w:rPr>
              <w:t>17</w:t>
            </w:r>
          </w:p>
        </w:tc>
        <w:tc>
          <w:tcPr>
            <w:tcW w:w="2070" w:type="dxa"/>
            <w:tcMar>
              <w:top w:w="14" w:type="dxa"/>
              <w:left w:w="86" w:type="dxa"/>
              <w:bottom w:w="43" w:type="dxa"/>
              <w:right w:w="86" w:type="dxa"/>
            </w:tcMar>
          </w:tcPr>
          <w:p w14:paraId="06A35099" w14:textId="2DF8FCCB" w:rsidR="000223F0" w:rsidRPr="00277E3F" w:rsidRDefault="0043163E" w:rsidP="0043163E">
            <w:pPr>
              <w:jc w:val="center"/>
              <w:rPr>
                <w:rFonts w:ascii="Tw Cen MT" w:hAnsi="Tw Cen MT" w:cs="Arial"/>
                <w:sz w:val="22"/>
                <w:szCs w:val="22"/>
              </w:rPr>
            </w:pPr>
            <w:r>
              <w:rPr>
                <w:rFonts w:ascii="Tw Cen MT" w:hAnsi="Tw Cen MT" w:cs="Arial"/>
                <w:sz w:val="22"/>
                <w:szCs w:val="22"/>
              </w:rPr>
              <w:t>20</w:t>
            </w:r>
          </w:p>
        </w:tc>
        <w:tc>
          <w:tcPr>
            <w:tcW w:w="2520" w:type="dxa"/>
          </w:tcPr>
          <w:p w14:paraId="7CDAD2D8" w14:textId="67A9523F" w:rsidR="000223F0" w:rsidRPr="00277E3F" w:rsidRDefault="006D08E4" w:rsidP="0043163E">
            <w:pPr>
              <w:jc w:val="center"/>
              <w:rPr>
                <w:rFonts w:ascii="Tw Cen MT" w:hAnsi="Tw Cen MT" w:cs="Arial"/>
                <w:sz w:val="22"/>
                <w:szCs w:val="22"/>
              </w:rPr>
            </w:pPr>
            <w:r>
              <w:rPr>
                <w:rFonts w:ascii="Tw Cen MT" w:hAnsi="Tw Cen MT" w:cs="Arial"/>
                <w:sz w:val="22"/>
                <w:szCs w:val="22"/>
              </w:rPr>
              <w:t xml:space="preserve">340 </w:t>
            </w:r>
          </w:p>
        </w:tc>
      </w:tr>
      <w:tr w:rsidR="0043163E" w:rsidRPr="00277E3F" w14:paraId="0873045A" w14:textId="77777777" w:rsidTr="00236438">
        <w:trPr>
          <w:trHeight w:val="296"/>
          <w:jc w:val="center"/>
        </w:trPr>
        <w:tc>
          <w:tcPr>
            <w:tcW w:w="3235" w:type="dxa"/>
            <w:shd w:val="clear" w:color="auto" w:fill="auto"/>
            <w:tcMar>
              <w:top w:w="14" w:type="dxa"/>
              <w:left w:w="86" w:type="dxa"/>
              <w:bottom w:w="43" w:type="dxa"/>
              <w:right w:w="86" w:type="dxa"/>
            </w:tcMar>
          </w:tcPr>
          <w:p w14:paraId="7698DDF1" w14:textId="2CA23411" w:rsidR="0043163E" w:rsidRDefault="0043163E" w:rsidP="006D08E4">
            <w:pPr>
              <w:jc w:val="left"/>
              <w:rPr>
                <w:rFonts w:ascii="Tw Cen MT" w:hAnsi="Tw Cen MT" w:cs="Arial"/>
                <w:sz w:val="22"/>
                <w:szCs w:val="22"/>
              </w:rPr>
            </w:pPr>
            <w:r>
              <w:rPr>
                <w:rFonts w:ascii="Tw Cen MT" w:hAnsi="Tw Cen MT" w:cs="Arial"/>
                <w:sz w:val="22"/>
                <w:szCs w:val="22"/>
              </w:rPr>
              <w:t>Concept Mapping Exercise 2 (Sorting/Rating)</w:t>
            </w:r>
          </w:p>
        </w:tc>
        <w:tc>
          <w:tcPr>
            <w:tcW w:w="1440" w:type="dxa"/>
            <w:tcMar>
              <w:top w:w="14" w:type="dxa"/>
              <w:left w:w="86" w:type="dxa"/>
              <w:bottom w:w="43" w:type="dxa"/>
              <w:right w:w="86" w:type="dxa"/>
            </w:tcMar>
          </w:tcPr>
          <w:p w14:paraId="61876E8B" w14:textId="52EE4CD2" w:rsidR="0043163E" w:rsidRDefault="0043163E" w:rsidP="00236438">
            <w:pPr>
              <w:jc w:val="center"/>
              <w:rPr>
                <w:rFonts w:ascii="Tw Cen MT" w:hAnsi="Tw Cen MT" w:cs="Arial"/>
                <w:sz w:val="22"/>
                <w:szCs w:val="22"/>
              </w:rPr>
            </w:pPr>
            <w:r>
              <w:rPr>
                <w:rFonts w:ascii="Tw Cen MT" w:hAnsi="Tw Cen MT" w:cs="Arial"/>
                <w:sz w:val="22"/>
                <w:szCs w:val="22"/>
              </w:rPr>
              <w:t>17</w:t>
            </w:r>
          </w:p>
        </w:tc>
        <w:tc>
          <w:tcPr>
            <w:tcW w:w="2070" w:type="dxa"/>
            <w:tcMar>
              <w:top w:w="14" w:type="dxa"/>
              <w:left w:w="86" w:type="dxa"/>
              <w:bottom w:w="43" w:type="dxa"/>
              <w:right w:w="86" w:type="dxa"/>
            </w:tcMar>
          </w:tcPr>
          <w:p w14:paraId="23A8BE6A" w14:textId="4406C632" w:rsidR="0043163E" w:rsidRDefault="0043163E" w:rsidP="00236438">
            <w:pPr>
              <w:jc w:val="center"/>
              <w:rPr>
                <w:rFonts w:ascii="Tw Cen MT" w:hAnsi="Tw Cen MT" w:cs="Arial"/>
                <w:sz w:val="22"/>
                <w:szCs w:val="22"/>
              </w:rPr>
            </w:pPr>
            <w:r>
              <w:rPr>
                <w:rFonts w:ascii="Tw Cen MT" w:hAnsi="Tw Cen MT" w:cs="Arial"/>
                <w:sz w:val="22"/>
                <w:szCs w:val="22"/>
              </w:rPr>
              <w:t>20</w:t>
            </w:r>
          </w:p>
        </w:tc>
        <w:tc>
          <w:tcPr>
            <w:tcW w:w="2520" w:type="dxa"/>
          </w:tcPr>
          <w:p w14:paraId="1B9D9BE9" w14:textId="65C52043" w:rsidR="0043163E" w:rsidRDefault="0043163E" w:rsidP="00236438">
            <w:pPr>
              <w:jc w:val="center"/>
              <w:rPr>
                <w:rFonts w:ascii="Tw Cen MT" w:hAnsi="Tw Cen MT" w:cs="Arial"/>
                <w:sz w:val="22"/>
                <w:szCs w:val="22"/>
              </w:rPr>
            </w:pPr>
            <w:r>
              <w:rPr>
                <w:rFonts w:ascii="Tw Cen MT" w:hAnsi="Tw Cen MT" w:cs="Arial"/>
                <w:sz w:val="22"/>
                <w:szCs w:val="22"/>
              </w:rPr>
              <w:t>340</w:t>
            </w:r>
          </w:p>
        </w:tc>
      </w:tr>
      <w:tr w:rsidR="006D08E4" w:rsidRPr="00277E3F" w14:paraId="0AC6722E" w14:textId="29193FC8" w:rsidTr="00236438">
        <w:trPr>
          <w:trHeight w:val="296"/>
          <w:jc w:val="center"/>
        </w:trPr>
        <w:tc>
          <w:tcPr>
            <w:tcW w:w="3235" w:type="dxa"/>
            <w:shd w:val="clear" w:color="auto" w:fill="auto"/>
            <w:tcMar>
              <w:top w:w="14" w:type="dxa"/>
              <w:left w:w="86" w:type="dxa"/>
              <w:bottom w:w="43" w:type="dxa"/>
              <w:right w:w="86" w:type="dxa"/>
            </w:tcMar>
          </w:tcPr>
          <w:p w14:paraId="188F961C" w14:textId="0678E413" w:rsidR="000223F0" w:rsidRDefault="000223F0" w:rsidP="006D08E4">
            <w:pPr>
              <w:jc w:val="left"/>
              <w:rPr>
                <w:rFonts w:ascii="Tw Cen MT" w:hAnsi="Tw Cen MT" w:cs="Arial"/>
                <w:sz w:val="22"/>
                <w:szCs w:val="22"/>
              </w:rPr>
            </w:pPr>
            <w:r>
              <w:rPr>
                <w:rFonts w:ascii="Tw Cen MT" w:hAnsi="Tw Cen MT" w:cs="Arial"/>
                <w:sz w:val="22"/>
                <w:szCs w:val="22"/>
              </w:rPr>
              <w:t>Concept Mapping</w:t>
            </w:r>
            <w:r w:rsidR="006D08E4">
              <w:rPr>
                <w:rFonts w:ascii="Tw Cen MT" w:hAnsi="Tw Cen MT" w:cs="Arial"/>
                <w:sz w:val="22"/>
                <w:szCs w:val="22"/>
              </w:rPr>
              <w:t xml:space="preserve"> </w:t>
            </w:r>
            <w:r>
              <w:rPr>
                <w:rFonts w:ascii="Tw Cen MT" w:hAnsi="Tw Cen MT" w:cs="Arial"/>
                <w:sz w:val="22"/>
                <w:szCs w:val="22"/>
              </w:rPr>
              <w:t>Exercises 3 &amp; 4</w:t>
            </w:r>
            <w:r w:rsidR="0043163E">
              <w:rPr>
                <w:rFonts w:ascii="Tw Cen MT" w:hAnsi="Tw Cen MT" w:cs="Arial"/>
                <w:sz w:val="22"/>
                <w:szCs w:val="22"/>
              </w:rPr>
              <w:t xml:space="preserve"> (Brainstorming &amp; Sorting/Rating)</w:t>
            </w:r>
          </w:p>
        </w:tc>
        <w:tc>
          <w:tcPr>
            <w:tcW w:w="1440" w:type="dxa"/>
            <w:tcMar>
              <w:top w:w="14" w:type="dxa"/>
              <w:left w:w="86" w:type="dxa"/>
              <w:bottom w:w="43" w:type="dxa"/>
              <w:right w:w="86" w:type="dxa"/>
            </w:tcMar>
          </w:tcPr>
          <w:p w14:paraId="577E7CE6" w14:textId="26699A48" w:rsidR="000223F0" w:rsidRPr="00277E3F" w:rsidRDefault="000223F0" w:rsidP="00236438">
            <w:pPr>
              <w:jc w:val="center"/>
              <w:rPr>
                <w:rFonts w:ascii="Tw Cen MT" w:hAnsi="Tw Cen MT" w:cs="Arial"/>
                <w:sz w:val="22"/>
                <w:szCs w:val="22"/>
              </w:rPr>
            </w:pPr>
            <w:r>
              <w:rPr>
                <w:rFonts w:ascii="Tw Cen MT" w:hAnsi="Tw Cen MT" w:cs="Arial"/>
                <w:sz w:val="22"/>
                <w:szCs w:val="22"/>
              </w:rPr>
              <w:t xml:space="preserve">10 </w:t>
            </w:r>
            <w:r w:rsidR="006D08E4">
              <w:rPr>
                <w:rFonts w:ascii="Tw Cen MT" w:hAnsi="Tw Cen MT" w:cs="Arial"/>
                <w:sz w:val="22"/>
                <w:szCs w:val="22"/>
              </w:rPr>
              <w:t>(</w:t>
            </w:r>
            <w:r>
              <w:rPr>
                <w:rFonts w:ascii="Tw Cen MT" w:hAnsi="Tw Cen MT" w:cs="Arial"/>
                <w:sz w:val="22"/>
                <w:szCs w:val="22"/>
              </w:rPr>
              <w:t xml:space="preserve">5 </w:t>
            </w:r>
            <w:r w:rsidR="006D08E4">
              <w:rPr>
                <w:rFonts w:ascii="Tw Cen MT" w:hAnsi="Tw Cen MT" w:cs="Arial"/>
                <w:sz w:val="22"/>
                <w:szCs w:val="22"/>
              </w:rPr>
              <w:t>each</w:t>
            </w:r>
            <w:r>
              <w:rPr>
                <w:rFonts w:ascii="Tw Cen MT" w:hAnsi="Tw Cen MT" w:cs="Arial"/>
                <w:sz w:val="22"/>
                <w:szCs w:val="22"/>
              </w:rPr>
              <w:t>)</w:t>
            </w:r>
          </w:p>
        </w:tc>
        <w:tc>
          <w:tcPr>
            <w:tcW w:w="2070" w:type="dxa"/>
            <w:tcMar>
              <w:top w:w="14" w:type="dxa"/>
              <w:left w:w="86" w:type="dxa"/>
              <w:bottom w:w="43" w:type="dxa"/>
              <w:right w:w="86" w:type="dxa"/>
            </w:tcMar>
          </w:tcPr>
          <w:p w14:paraId="2A8A5D65" w14:textId="5196475F" w:rsidR="000223F0" w:rsidRPr="00277E3F" w:rsidRDefault="000223F0" w:rsidP="00236438">
            <w:pPr>
              <w:jc w:val="center"/>
              <w:rPr>
                <w:rFonts w:ascii="Tw Cen MT" w:hAnsi="Tw Cen MT" w:cs="Arial"/>
                <w:sz w:val="22"/>
                <w:szCs w:val="22"/>
              </w:rPr>
            </w:pPr>
            <w:r>
              <w:rPr>
                <w:rFonts w:ascii="Tw Cen MT" w:hAnsi="Tw Cen MT" w:cs="Arial"/>
                <w:sz w:val="22"/>
                <w:szCs w:val="22"/>
              </w:rPr>
              <w:t>20 per exercise</w:t>
            </w:r>
          </w:p>
        </w:tc>
        <w:tc>
          <w:tcPr>
            <w:tcW w:w="2520" w:type="dxa"/>
          </w:tcPr>
          <w:p w14:paraId="192DBD5E" w14:textId="4F84E6FD" w:rsidR="000223F0" w:rsidRPr="00277E3F" w:rsidRDefault="006D08E4" w:rsidP="00236438">
            <w:pPr>
              <w:jc w:val="center"/>
              <w:rPr>
                <w:rFonts w:ascii="Tw Cen MT" w:hAnsi="Tw Cen MT" w:cs="Arial"/>
                <w:sz w:val="22"/>
                <w:szCs w:val="22"/>
              </w:rPr>
            </w:pPr>
            <w:r>
              <w:rPr>
                <w:rFonts w:ascii="Tw Cen MT" w:hAnsi="Tw Cen MT" w:cs="Arial"/>
                <w:sz w:val="22"/>
                <w:szCs w:val="22"/>
              </w:rPr>
              <w:t>200 (100 per exercise)</w:t>
            </w:r>
          </w:p>
        </w:tc>
      </w:tr>
      <w:tr w:rsidR="006D08E4" w:rsidRPr="00277E3F" w14:paraId="589C009D" w14:textId="3C74EEBA" w:rsidTr="00236438">
        <w:trPr>
          <w:trHeight w:val="248"/>
          <w:jc w:val="center"/>
        </w:trPr>
        <w:tc>
          <w:tcPr>
            <w:tcW w:w="3235" w:type="dxa"/>
            <w:shd w:val="clear" w:color="auto" w:fill="auto"/>
            <w:tcMar>
              <w:top w:w="14" w:type="dxa"/>
              <w:left w:w="86" w:type="dxa"/>
              <w:bottom w:w="43" w:type="dxa"/>
              <w:right w:w="86" w:type="dxa"/>
            </w:tcMar>
          </w:tcPr>
          <w:p w14:paraId="0217D9B9" w14:textId="0D366D51" w:rsidR="000223F0" w:rsidRDefault="000223F0" w:rsidP="006D08E4">
            <w:pPr>
              <w:jc w:val="left"/>
              <w:rPr>
                <w:rFonts w:ascii="Tw Cen MT" w:hAnsi="Tw Cen MT" w:cs="Arial"/>
                <w:sz w:val="22"/>
                <w:szCs w:val="22"/>
              </w:rPr>
            </w:pPr>
            <w:r>
              <w:rPr>
                <w:rFonts w:ascii="Tw Cen MT" w:hAnsi="Tw Cen MT" w:cs="Arial"/>
                <w:sz w:val="22"/>
                <w:szCs w:val="22"/>
              </w:rPr>
              <w:t xml:space="preserve">18-Month Tool </w:t>
            </w:r>
          </w:p>
        </w:tc>
        <w:tc>
          <w:tcPr>
            <w:tcW w:w="1440" w:type="dxa"/>
            <w:tcMar>
              <w:top w:w="14" w:type="dxa"/>
              <w:left w:w="86" w:type="dxa"/>
              <w:bottom w:w="43" w:type="dxa"/>
              <w:right w:w="86" w:type="dxa"/>
            </w:tcMar>
          </w:tcPr>
          <w:p w14:paraId="68082EF3" w14:textId="635BFA2A" w:rsidR="000223F0" w:rsidRPr="00277E3F" w:rsidRDefault="000223F0" w:rsidP="00236438">
            <w:pPr>
              <w:jc w:val="center"/>
              <w:rPr>
                <w:rFonts w:ascii="Tw Cen MT" w:hAnsi="Tw Cen MT" w:cs="Arial"/>
                <w:sz w:val="22"/>
                <w:szCs w:val="22"/>
              </w:rPr>
            </w:pPr>
            <w:r>
              <w:rPr>
                <w:rFonts w:ascii="Tw Cen MT" w:hAnsi="Tw Cen MT" w:cs="Arial"/>
                <w:sz w:val="22"/>
                <w:szCs w:val="22"/>
              </w:rPr>
              <w:t>17</w:t>
            </w:r>
          </w:p>
        </w:tc>
        <w:tc>
          <w:tcPr>
            <w:tcW w:w="2070" w:type="dxa"/>
            <w:tcMar>
              <w:top w:w="14" w:type="dxa"/>
              <w:left w:w="86" w:type="dxa"/>
              <w:bottom w:w="43" w:type="dxa"/>
              <w:right w:w="86" w:type="dxa"/>
            </w:tcMar>
          </w:tcPr>
          <w:p w14:paraId="1CFE0895" w14:textId="1D1FFD4D" w:rsidR="000223F0" w:rsidRPr="00277E3F" w:rsidRDefault="000223F0" w:rsidP="00236438">
            <w:pPr>
              <w:jc w:val="center"/>
              <w:rPr>
                <w:rFonts w:ascii="Tw Cen MT" w:hAnsi="Tw Cen MT" w:cs="Arial"/>
                <w:sz w:val="22"/>
                <w:szCs w:val="22"/>
              </w:rPr>
            </w:pPr>
            <w:r>
              <w:rPr>
                <w:rFonts w:ascii="Tw Cen MT" w:hAnsi="Tw Cen MT" w:cs="Arial"/>
                <w:sz w:val="22"/>
                <w:szCs w:val="22"/>
              </w:rPr>
              <w:t>1</w:t>
            </w:r>
          </w:p>
        </w:tc>
        <w:tc>
          <w:tcPr>
            <w:tcW w:w="2520" w:type="dxa"/>
          </w:tcPr>
          <w:p w14:paraId="7A34F73B" w14:textId="7FC1E1FA" w:rsidR="000223F0" w:rsidRPr="00277E3F" w:rsidRDefault="006D08E4" w:rsidP="00236438">
            <w:pPr>
              <w:jc w:val="center"/>
              <w:rPr>
                <w:rFonts w:ascii="Tw Cen MT" w:hAnsi="Tw Cen MT" w:cs="Arial"/>
                <w:sz w:val="22"/>
                <w:szCs w:val="22"/>
              </w:rPr>
            </w:pPr>
            <w:r>
              <w:rPr>
                <w:rFonts w:ascii="Tw Cen MT" w:hAnsi="Tw Cen MT" w:cs="Arial"/>
                <w:sz w:val="22"/>
                <w:szCs w:val="22"/>
              </w:rPr>
              <w:t>17</w:t>
            </w:r>
          </w:p>
        </w:tc>
      </w:tr>
      <w:tr w:rsidR="006D08E4" w:rsidRPr="00277E3F" w14:paraId="6D11FFAA" w14:textId="5F30BFDA" w:rsidTr="00236438">
        <w:trPr>
          <w:trHeight w:val="296"/>
          <w:jc w:val="center"/>
        </w:trPr>
        <w:tc>
          <w:tcPr>
            <w:tcW w:w="3235" w:type="dxa"/>
            <w:shd w:val="clear" w:color="auto" w:fill="auto"/>
            <w:tcMar>
              <w:top w:w="14" w:type="dxa"/>
              <w:left w:w="86" w:type="dxa"/>
              <w:bottom w:w="43" w:type="dxa"/>
              <w:right w:w="86" w:type="dxa"/>
            </w:tcMar>
          </w:tcPr>
          <w:p w14:paraId="5E894200" w14:textId="59C33406" w:rsidR="000223F0" w:rsidRDefault="000223F0" w:rsidP="006D08E4">
            <w:pPr>
              <w:jc w:val="left"/>
              <w:rPr>
                <w:rFonts w:ascii="Tw Cen MT" w:hAnsi="Tw Cen MT" w:cs="Arial"/>
                <w:sz w:val="22"/>
                <w:szCs w:val="22"/>
              </w:rPr>
            </w:pPr>
            <w:r>
              <w:rPr>
                <w:rFonts w:ascii="Tw Cen MT" w:hAnsi="Tw Cen MT" w:cs="Arial"/>
                <w:sz w:val="22"/>
                <w:szCs w:val="22"/>
              </w:rPr>
              <w:t xml:space="preserve">Comparison Study Tool </w:t>
            </w:r>
            <w:r w:rsidR="0043163E">
              <w:rPr>
                <w:rFonts w:ascii="Tw Cen MT" w:hAnsi="Tw Cen MT" w:cs="Arial"/>
                <w:sz w:val="22"/>
                <w:szCs w:val="22"/>
              </w:rPr>
              <w:t>(BL &amp; 6-Month)</w:t>
            </w:r>
          </w:p>
        </w:tc>
        <w:tc>
          <w:tcPr>
            <w:tcW w:w="1440" w:type="dxa"/>
            <w:tcMar>
              <w:top w:w="14" w:type="dxa"/>
              <w:left w:w="86" w:type="dxa"/>
              <w:bottom w:w="43" w:type="dxa"/>
              <w:right w:w="86" w:type="dxa"/>
            </w:tcMar>
          </w:tcPr>
          <w:p w14:paraId="52B5EF43" w14:textId="7C0C6C27" w:rsidR="000223F0" w:rsidRPr="00277E3F" w:rsidRDefault="000223F0" w:rsidP="00236438">
            <w:pPr>
              <w:jc w:val="center"/>
              <w:rPr>
                <w:rFonts w:ascii="Tw Cen MT" w:hAnsi="Tw Cen MT" w:cs="Arial"/>
                <w:sz w:val="22"/>
                <w:szCs w:val="22"/>
              </w:rPr>
            </w:pPr>
            <w:r>
              <w:rPr>
                <w:rFonts w:ascii="Tw Cen MT" w:hAnsi="Tw Cen MT" w:cs="Arial"/>
                <w:sz w:val="22"/>
                <w:szCs w:val="22"/>
              </w:rPr>
              <w:t>2</w:t>
            </w:r>
          </w:p>
        </w:tc>
        <w:tc>
          <w:tcPr>
            <w:tcW w:w="2070" w:type="dxa"/>
            <w:tcMar>
              <w:top w:w="14" w:type="dxa"/>
              <w:left w:w="86" w:type="dxa"/>
              <w:bottom w:w="43" w:type="dxa"/>
              <w:right w:w="86" w:type="dxa"/>
            </w:tcMar>
          </w:tcPr>
          <w:p w14:paraId="28A8C172" w14:textId="6F452911" w:rsidR="000223F0" w:rsidRPr="00277E3F" w:rsidRDefault="000223F0" w:rsidP="00236438">
            <w:pPr>
              <w:jc w:val="center"/>
              <w:rPr>
                <w:rFonts w:ascii="Tw Cen MT" w:hAnsi="Tw Cen MT" w:cs="Arial"/>
                <w:sz w:val="22"/>
                <w:szCs w:val="22"/>
              </w:rPr>
            </w:pPr>
            <w:r>
              <w:rPr>
                <w:rFonts w:ascii="Tw Cen MT" w:hAnsi="Tw Cen MT" w:cs="Arial"/>
                <w:sz w:val="22"/>
                <w:szCs w:val="22"/>
              </w:rPr>
              <w:t>1</w:t>
            </w:r>
          </w:p>
        </w:tc>
        <w:tc>
          <w:tcPr>
            <w:tcW w:w="2520" w:type="dxa"/>
          </w:tcPr>
          <w:p w14:paraId="048264E6" w14:textId="5562C405" w:rsidR="000223F0" w:rsidRPr="00277E3F" w:rsidRDefault="006D08E4" w:rsidP="00236438">
            <w:pPr>
              <w:jc w:val="center"/>
              <w:rPr>
                <w:rFonts w:ascii="Tw Cen MT" w:hAnsi="Tw Cen MT" w:cs="Arial"/>
                <w:sz w:val="22"/>
                <w:szCs w:val="22"/>
              </w:rPr>
            </w:pPr>
            <w:r>
              <w:rPr>
                <w:rFonts w:ascii="Tw Cen MT" w:hAnsi="Tw Cen MT" w:cs="Arial"/>
                <w:sz w:val="22"/>
                <w:szCs w:val="22"/>
              </w:rPr>
              <w:t>2</w:t>
            </w:r>
          </w:p>
        </w:tc>
      </w:tr>
      <w:tr w:rsidR="006D08E4" w:rsidRPr="00277E3F" w14:paraId="64CDFB7E" w14:textId="7C10BFBA" w:rsidTr="00236438">
        <w:trPr>
          <w:trHeight w:val="296"/>
          <w:jc w:val="center"/>
        </w:trPr>
        <w:tc>
          <w:tcPr>
            <w:tcW w:w="3235" w:type="dxa"/>
            <w:shd w:val="clear" w:color="auto" w:fill="auto"/>
            <w:tcMar>
              <w:top w:w="14" w:type="dxa"/>
              <w:left w:w="86" w:type="dxa"/>
              <w:bottom w:w="43" w:type="dxa"/>
              <w:right w:w="86" w:type="dxa"/>
            </w:tcMar>
          </w:tcPr>
          <w:p w14:paraId="5CC8C160" w14:textId="231A864C" w:rsidR="000223F0" w:rsidRDefault="000223F0" w:rsidP="006D08E4">
            <w:pPr>
              <w:jc w:val="left"/>
              <w:rPr>
                <w:rFonts w:ascii="Tw Cen MT" w:hAnsi="Tw Cen MT" w:cs="Arial"/>
                <w:sz w:val="22"/>
                <w:szCs w:val="22"/>
              </w:rPr>
            </w:pPr>
            <w:r>
              <w:rPr>
                <w:rFonts w:ascii="Tw Cen MT" w:hAnsi="Tw Cen MT" w:cs="Arial"/>
                <w:sz w:val="22"/>
                <w:szCs w:val="22"/>
              </w:rPr>
              <w:t>18-Month Tool</w:t>
            </w:r>
            <w:r w:rsidR="006D08E4">
              <w:rPr>
                <w:rFonts w:ascii="Tw Cen MT" w:hAnsi="Tw Cen MT" w:cs="Arial"/>
                <w:sz w:val="22"/>
                <w:szCs w:val="22"/>
              </w:rPr>
              <w:t xml:space="preserve"> (</w:t>
            </w:r>
            <w:r>
              <w:rPr>
                <w:rFonts w:ascii="Tw Cen MT" w:hAnsi="Tw Cen MT" w:cs="Arial"/>
                <w:sz w:val="22"/>
                <w:szCs w:val="22"/>
              </w:rPr>
              <w:t>Comparison Study</w:t>
            </w:r>
            <w:r w:rsidR="006D08E4">
              <w:rPr>
                <w:rFonts w:ascii="Tw Cen MT" w:hAnsi="Tw Cen MT" w:cs="Arial"/>
                <w:sz w:val="22"/>
                <w:szCs w:val="22"/>
              </w:rPr>
              <w:t>)</w:t>
            </w:r>
            <w:r>
              <w:rPr>
                <w:rFonts w:ascii="Tw Cen MT" w:hAnsi="Tw Cen MT" w:cs="Arial"/>
                <w:sz w:val="22"/>
                <w:szCs w:val="22"/>
              </w:rPr>
              <w:t xml:space="preserve"> </w:t>
            </w:r>
          </w:p>
        </w:tc>
        <w:tc>
          <w:tcPr>
            <w:tcW w:w="1440" w:type="dxa"/>
            <w:tcMar>
              <w:top w:w="14" w:type="dxa"/>
              <w:left w:w="86" w:type="dxa"/>
              <w:bottom w:w="43" w:type="dxa"/>
              <w:right w:w="86" w:type="dxa"/>
            </w:tcMar>
          </w:tcPr>
          <w:p w14:paraId="1CAF6255" w14:textId="039E090F" w:rsidR="000223F0" w:rsidRPr="00277E3F" w:rsidRDefault="000223F0" w:rsidP="00236438">
            <w:pPr>
              <w:jc w:val="center"/>
              <w:rPr>
                <w:rFonts w:ascii="Tw Cen MT" w:hAnsi="Tw Cen MT" w:cs="Arial"/>
                <w:sz w:val="22"/>
                <w:szCs w:val="22"/>
              </w:rPr>
            </w:pPr>
            <w:r>
              <w:rPr>
                <w:rFonts w:ascii="Tw Cen MT" w:hAnsi="Tw Cen MT" w:cs="Arial"/>
                <w:sz w:val="22"/>
                <w:szCs w:val="22"/>
              </w:rPr>
              <w:t>2</w:t>
            </w:r>
          </w:p>
        </w:tc>
        <w:tc>
          <w:tcPr>
            <w:tcW w:w="2070" w:type="dxa"/>
            <w:tcMar>
              <w:top w:w="14" w:type="dxa"/>
              <w:left w:w="86" w:type="dxa"/>
              <w:bottom w:w="43" w:type="dxa"/>
              <w:right w:w="86" w:type="dxa"/>
            </w:tcMar>
          </w:tcPr>
          <w:p w14:paraId="0F5C2448" w14:textId="4B4576EC" w:rsidR="000223F0" w:rsidRPr="00277E3F" w:rsidRDefault="000223F0" w:rsidP="00236438">
            <w:pPr>
              <w:jc w:val="center"/>
              <w:rPr>
                <w:rFonts w:ascii="Tw Cen MT" w:hAnsi="Tw Cen MT" w:cs="Arial"/>
                <w:sz w:val="22"/>
                <w:szCs w:val="22"/>
              </w:rPr>
            </w:pPr>
            <w:r>
              <w:rPr>
                <w:rFonts w:ascii="Tw Cen MT" w:hAnsi="Tw Cen MT" w:cs="Arial"/>
                <w:sz w:val="22"/>
                <w:szCs w:val="22"/>
              </w:rPr>
              <w:t>1</w:t>
            </w:r>
          </w:p>
        </w:tc>
        <w:tc>
          <w:tcPr>
            <w:tcW w:w="2520" w:type="dxa"/>
          </w:tcPr>
          <w:p w14:paraId="5CE8A9FB" w14:textId="4906D0A7" w:rsidR="000223F0" w:rsidRPr="00277E3F" w:rsidRDefault="006D08E4" w:rsidP="00236438">
            <w:pPr>
              <w:jc w:val="center"/>
              <w:rPr>
                <w:rFonts w:ascii="Tw Cen MT" w:hAnsi="Tw Cen MT" w:cs="Arial"/>
                <w:sz w:val="22"/>
                <w:szCs w:val="22"/>
              </w:rPr>
            </w:pPr>
            <w:r>
              <w:rPr>
                <w:rFonts w:ascii="Tw Cen MT" w:hAnsi="Tw Cen MT" w:cs="Arial"/>
                <w:sz w:val="22"/>
                <w:szCs w:val="22"/>
              </w:rPr>
              <w:t>2</w:t>
            </w:r>
          </w:p>
        </w:tc>
      </w:tr>
      <w:tr w:rsidR="000223F0" w:rsidRPr="00277E3F" w14:paraId="3636488C" w14:textId="4E219BE3" w:rsidTr="00236438">
        <w:trPr>
          <w:trHeight w:val="232"/>
          <w:jc w:val="center"/>
        </w:trPr>
        <w:tc>
          <w:tcPr>
            <w:tcW w:w="9265" w:type="dxa"/>
            <w:gridSpan w:val="4"/>
            <w:shd w:val="clear" w:color="auto" w:fill="D5DCE4" w:themeFill="text2" w:themeFillTint="33"/>
            <w:tcMar>
              <w:top w:w="14" w:type="dxa"/>
              <w:left w:w="86" w:type="dxa"/>
              <w:bottom w:w="43" w:type="dxa"/>
              <w:right w:w="86" w:type="dxa"/>
            </w:tcMar>
          </w:tcPr>
          <w:p w14:paraId="7A6636D1" w14:textId="1954E6E8" w:rsidR="000223F0" w:rsidRDefault="000223F0" w:rsidP="00236438">
            <w:pPr>
              <w:jc w:val="center"/>
              <w:rPr>
                <w:rFonts w:ascii="Tw Cen MT" w:hAnsi="Tw Cen MT" w:cs="Arial"/>
                <w:sz w:val="22"/>
                <w:szCs w:val="22"/>
              </w:rPr>
            </w:pPr>
            <w:r>
              <w:rPr>
                <w:rFonts w:ascii="Tw Cen MT" w:hAnsi="Tw Cen MT" w:cs="Arial"/>
                <w:sz w:val="22"/>
                <w:szCs w:val="22"/>
              </w:rPr>
              <w:t>SE Study</w:t>
            </w:r>
          </w:p>
        </w:tc>
      </w:tr>
      <w:tr w:rsidR="006D08E4" w:rsidRPr="00277E3F" w14:paraId="1B60F1D5" w14:textId="3E51EA95" w:rsidTr="00236438">
        <w:trPr>
          <w:trHeight w:val="175"/>
          <w:jc w:val="center"/>
        </w:trPr>
        <w:tc>
          <w:tcPr>
            <w:tcW w:w="3235" w:type="dxa"/>
            <w:shd w:val="clear" w:color="auto" w:fill="auto"/>
            <w:tcMar>
              <w:top w:w="14" w:type="dxa"/>
              <w:left w:w="86" w:type="dxa"/>
              <w:bottom w:w="43" w:type="dxa"/>
              <w:right w:w="86" w:type="dxa"/>
            </w:tcMar>
          </w:tcPr>
          <w:p w14:paraId="44AABEF7" w14:textId="1C5CDE19" w:rsidR="000223F0" w:rsidRDefault="0043163E" w:rsidP="006D08E4">
            <w:pPr>
              <w:jc w:val="left"/>
              <w:rPr>
                <w:rFonts w:ascii="Tw Cen MT" w:hAnsi="Tw Cen MT" w:cs="Arial"/>
                <w:sz w:val="22"/>
                <w:szCs w:val="22"/>
              </w:rPr>
            </w:pPr>
            <w:r>
              <w:rPr>
                <w:rFonts w:ascii="Tw Cen MT" w:hAnsi="Tw Cen MT" w:cs="Arial"/>
                <w:sz w:val="22"/>
                <w:szCs w:val="22"/>
              </w:rPr>
              <w:t>BPI–</w:t>
            </w:r>
            <w:r w:rsidR="000223F0">
              <w:rPr>
                <w:rFonts w:ascii="Tw Cen MT" w:hAnsi="Tw Cen MT" w:cs="Arial"/>
                <w:sz w:val="22"/>
                <w:szCs w:val="22"/>
              </w:rPr>
              <w:t xml:space="preserve">SE </w:t>
            </w:r>
          </w:p>
        </w:tc>
        <w:tc>
          <w:tcPr>
            <w:tcW w:w="1440" w:type="dxa"/>
            <w:tcMar>
              <w:top w:w="14" w:type="dxa"/>
              <w:left w:w="86" w:type="dxa"/>
              <w:bottom w:w="43" w:type="dxa"/>
              <w:right w:w="86" w:type="dxa"/>
            </w:tcMar>
          </w:tcPr>
          <w:p w14:paraId="656CF5DA" w14:textId="5AF4B61C" w:rsidR="000223F0" w:rsidRPr="00277E3F" w:rsidRDefault="006D08E4" w:rsidP="00236438">
            <w:pPr>
              <w:jc w:val="center"/>
              <w:rPr>
                <w:rFonts w:ascii="Tw Cen MT" w:hAnsi="Tw Cen MT" w:cs="Arial"/>
                <w:sz w:val="22"/>
                <w:szCs w:val="22"/>
              </w:rPr>
            </w:pPr>
            <w:r>
              <w:rPr>
                <w:rFonts w:ascii="Tw Cen MT" w:hAnsi="Tw Cen MT" w:cs="Arial"/>
                <w:sz w:val="22"/>
                <w:szCs w:val="22"/>
              </w:rPr>
              <w:t>7</w:t>
            </w:r>
          </w:p>
        </w:tc>
        <w:tc>
          <w:tcPr>
            <w:tcW w:w="2070" w:type="dxa"/>
            <w:tcMar>
              <w:top w:w="14" w:type="dxa"/>
              <w:left w:w="86" w:type="dxa"/>
              <w:bottom w:w="43" w:type="dxa"/>
              <w:right w:w="86" w:type="dxa"/>
            </w:tcMar>
          </w:tcPr>
          <w:p w14:paraId="20208A28" w14:textId="5CFBA718" w:rsidR="000223F0" w:rsidRPr="00277E3F" w:rsidRDefault="006D08E4" w:rsidP="00236438">
            <w:pPr>
              <w:jc w:val="center"/>
              <w:rPr>
                <w:rFonts w:ascii="Tw Cen MT" w:hAnsi="Tw Cen MT" w:cs="Arial"/>
                <w:sz w:val="22"/>
                <w:szCs w:val="22"/>
              </w:rPr>
            </w:pPr>
            <w:r>
              <w:rPr>
                <w:rFonts w:ascii="Tw Cen MT" w:hAnsi="Tw Cen MT" w:cs="Arial"/>
                <w:sz w:val="22"/>
                <w:szCs w:val="22"/>
              </w:rPr>
              <w:t>1</w:t>
            </w:r>
          </w:p>
        </w:tc>
        <w:tc>
          <w:tcPr>
            <w:tcW w:w="2520" w:type="dxa"/>
          </w:tcPr>
          <w:p w14:paraId="29EECD7D" w14:textId="257F7288" w:rsidR="000223F0" w:rsidRPr="00277E3F" w:rsidRDefault="006D08E4" w:rsidP="00236438">
            <w:pPr>
              <w:jc w:val="center"/>
              <w:rPr>
                <w:rFonts w:ascii="Tw Cen MT" w:hAnsi="Tw Cen MT" w:cs="Arial"/>
                <w:sz w:val="22"/>
                <w:szCs w:val="22"/>
              </w:rPr>
            </w:pPr>
            <w:r>
              <w:rPr>
                <w:rFonts w:ascii="Tw Cen MT" w:hAnsi="Tw Cen MT" w:cs="Arial"/>
                <w:sz w:val="22"/>
                <w:szCs w:val="22"/>
              </w:rPr>
              <w:t>7</w:t>
            </w:r>
          </w:p>
        </w:tc>
      </w:tr>
      <w:tr w:rsidR="006D08E4" w:rsidRPr="00277E3F" w14:paraId="77E3784C" w14:textId="2FB9B7BF" w:rsidTr="00236438">
        <w:trPr>
          <w:trHeight w:val="193"/>
          <w:jc w:val="center"/>
        </w:trPr>
        <w:tc>
          <w:tcPr>
            <w:tcW w:w="3235" w:type="dxa"/>
            <w:shd w:val="clear" w:color="auto" w:fill="auto"/>
            <w:tcMar>
              <w:top w:w="14" w:type="dxa"/>
              <w:left w:w="86" w:type="dxa"/>
              <w:bottom w:w="43" w:type="dxa"/>
              <w:right w:w="86" w:type="dxa"/>
            </w:tcMar>
          </w:tcPr>
          <w:p w14:paraId="6EFFE722" w14:textId="402D739E" w:rsidR="000223F0" w:rsidRDefault="000223F0" w:rsidP="006D08E4">
            <w:pPr>
              <w:jc w:val="left"/>
              <w:rPr>
                <w:rFonts w:ascii="Tw Cen MT" w:hAnsi="Tw Cen MT" w:cs="Arial"/>
                <w:sz w:val="22"/>
                <w:szCs w:val="22"/>
              </w:rPr>
            </w:pPr>
            <w:r>
              <w:rPr>
                <w:rFonts w:ascii="Tw Cen MT" w:hAnsi="Tw Cen MT" w:cs="Arial"/>
                <w:sz w:val="22"/>
                <w:szCs w:val="22"/>
              </w:rPr>
              <w:t>SSA KIIs</w:t>
            </w:r>
          </w:p>
        </w:tc>
        <w:tc>
          <w:tcPr>
            <w:tcW w:w="1440" w:type="dxa"/>
            <w:tcMar>
              <w:top w:w="14" w:type="dxa"/>
              <w:left w:w="86" w:type="dxa"/>
              <w:bottom w:w="43" w:type="dxa"/>
              <w:right w:w="86" w:type="dxa"/>
            </w:tcMar>
          </w:tcPr>
          <w:p w14:paraId="6A530174" w14:textId="78FB4249" w:rsidR="000223F0" w:rsidRPr="00277E3F" w:rsidRDefault="006D08E4" w:rsidP="00236438">
            <w:pPr>
              <w:jc w:val="center"/>
              <w:rPr>
                <w:rFonts w:ascii="Tw Cen MT" w:hAnsi="Tw Cen MT" w:cs="Arial"/>
                <w:sz w:val="22"/>
                <w:szCs w:val="22"/>
              </w:rPr>
            </w:pPr>
            <w:r>
              <w:rPr>
                <w:rFonts w:ascii="Tw Cen MT" w:hAnsi="Tw Cen MT" w:cs="Arial"/>
                <w:sz w:val="22"/>
                <w:szCs w:val="22"/>
              </w:rPr>
              <w:t>7</w:t>
            </w:r>
          </w:p>
        </w:tc>
        <w:tc>
          <w:tcPr>
            <w:tcW w:w="2070" w:type="dxa"/>
            <w:tcMar>
              <w:top w:w="14" w:type="dxa"/>
              <w:left w:w="86" w:type="dxa"/>
              <w:bottom w:w="43" w:type="dxa"/>
              <w:right w:w="86" w:type="dxa"/>
            </w:tcMar>
          </w:tcPr>
          <w:p w14:paraId="0D6BB3F5" w14:textId="6C41BC74" w:rsidR="006D08E4" w:rsidRPr="00277E3F" w:rsidRDefault="006D08E4" w:rsidP="00236438">
            <w:pPr>
              <w:jc w:val="center"/>
              <w:rPr>
                <w:rFonts w:ascii="Tw Cen MT" w:hAnsi="Tw Cen MT" w:cs="Arial"/>
                <w:sz w:val="22"/>
                <w:szCs w:val="22"/>
              </w:rPr>
            </w:pPr>
            <w:r>
              <w:rPr>
                <w:rFonts w:ascii="Tw Cen MT" w:hAnsi="Tw Cen MT" w:cs="Arial"/>
                <w:sz w:val="22"/>
                <w:szCs w:val="22"/>
              </w:rPr>
              <w:t>5 per administration</w:t>
            </w:r>
          </w:p>
        </w:tc>
        <w:tc>
          <w:tcPr>
            <w:tcW w:w="2520" w:type="dxa"/>
          </w:tcPr>
          <w:p w14:paraId="4D5B3A69" w14:textId="30E792FF" w:rsidR="000223F0" w:rsidRPr="00277E3F" w:rsidRDefault="006D08E4" w:rsidP="00236438">
            <w:pPr>
              <w:jc w:val="center"/>
              <w:rPr>
                <w:rFonts w:ascii="Tw Cen MT" w:hAnsi="Tw Cen MT" w:cs="Arial"/>
                <w:sz w:val="22"/>
                <w:szCs w:val="22"/>
              </w:rPr>
            </w:pPr>
            <w:r>
              <w:rPr>
                <w:rFonts w:ascii="Tw Cen MT" w:hAnsi="Tw Cen MT" w:cs="Arial"/>
                <w:sz w:val="22"/>
                <w:szCs w:val="22"/>
              </w:rPr>
              <w:t>70 (35 in Y2; 35 in Y4)</w:t>
            </w:r>
          </w:p>
        </w:tc>
      </w:tr>
      <w:tr w:rsidR="006D08E4" w:rsidRPr="00277E3F" w14:paraId="4DB703EC" w14:textId="3E44AF89" w:rsidTr="00236438">
        <w:trPr>
          <w:trHeight w:val="37"/>
          <w:jc w:val="center"/>
        </w:trPr>
        <w:tc>
          <w:tcPr>
            <w:tcW w:w="3235" w:type="dxa"/>
            <w:shd w:val="clear" w:color="auto" w:fill="auto"/>
            <w:tcMar>
              <w:top w:w="14" w:type="dxa"/>
              <w:left w:w="86" w:type="dxa"/>
              <w:bottom w:w="43" w:type="dxa"/>
              <w:right w:w="86" w:type="dxa"/>
            </w:tcMar>
          </w:tcPr>
          <w:p w14:paraId="42024975" w14:textId="69450828" w:rsidR="000223F0" w:rsidRDefault="000223F0" w:rsidP="006D08E4">
            <w:pPr>
              <w:jc w:val="left"/>
              <w:rPr>
                <w:rFonts w:ascii="Tw Cen MT" w:hAnsi="Tw Cen MT" w:cs="Arial"/>
                <w:sz w:val="22"/>
                <w:szCs w:val="22"/>
              </w:rPr>
            </w:pPr>
            <w:r>
              <w:rPr>
                <w:rFonts w:ascii="Tw Cen MT" w:hAnsi="Tw Cen MT" w:cs="Arial"/>
                <w:sz w:val="22"/>
                <w:szCs w:val="22"/>
              </w:rPr>
              <w:t xml:space="preserve">ENFG </w:t>
            </w:r>
            <w:r w:rsidR="006D08E4">
              <w:rPr>
                <w:rFonts w:ascii="Tw Cen MT" w:hAnsi="Tw Cen MT" w:cs="Arial"/>
                <w:sz w:val="22"/>
                <w:szCs w:val="22"/>
              </w:rPr>
              <w:t>– E</w:t>
            </w:r>
            <w:r>
              <w:rPr>
                <w:rFonts w:ascii="Tw Cen MT" w:hAnsi="Tw Cen MT" w:cs="Arial"/>
                <w:sz w:val="22"/>
                <w:szCs w:val="22"/>
              </w:rPr>
              <w:t>mployer</w:t>
            </w:r>
          </w:p>
        </w:tc>
        <w:tc>
          <w:tcPr>
            <w:tcW w:w="1440" w:type="dxa"/>
            <w:tcMar>
              <w:top w:w="14" w:type="dxa"/>
              <w:left w:w="86" w:type="dxa"/>
              <w:bottom w:w="43" w:type="dxa"/>
              <w:right w:w="86" w:type="dxa"/>
            </w:tcMar>
          </w:tcPr>
          <w:p w14:paraId="6CC8DA74" w14:textId="5A2ADCDC" w:rsidR="000223F0" w:rsidRPr="00277E3F" w:rsidRDefault="006D08E4" w:rsidP="00236438">
            <w:pPr>
              <w:jc w:val="center"/>
              <w:rPr>
                <w:rFonts w:ascii="Tw Cen MT" w:hAnsi="Tw Cen MT" w:cs="Arial"/>
                <w:sz w:val="22"/>
                <w:szCs w:val="22"/>
              </w:rPr>
            </w:pPr>
            <w:r>
              <w:rPr>
                <w:rFonts w:ascii="Tw Cen MT" w:hAnsi="Tw Cen MT" w:cs="Arial"/>
                <w:sz w:val="22"/>
                <w:szCs w:val="22"/>
              </w:rPr>
              <w:t>7</w:t>
            </w:r>
          </w:p>
        </w:tc>
        <w:tc>
          <w:tcPr>
            <w:tcW w:w="2070" w:type="dxa"/>
            <w:tcMar>
              <w:top w:w="14" w:type="dxa"/>
              <w:left w:w="86" w:type="dxa"/>
              <w:bottom w:w="43" w:type="dxa"/>
              <w:right w:w="86" w:type="dxa"/>
            </w:tcMar>
          </w:tcPr>
          <w:p w14:paraId="707182E2" w14:textId="7325465C" w:rsidR="000223F0" w:rsidRPr="00277E3F" w:rsidRDefault="006D08E4" w:rsidP="00236438">
            <w:pPr>
              <w:jc w:val="center"/>
              <w:rPr>
                <w:rFonts w:ascii="Tw Cen MT" w:hAnsi="Tw Cen MT" w:cs="Arial"/>
                <w:sz w:val="22"/>
                <w:szCs w:val="22"/>
              </w:rPr>
            </w:pPr>
            <w:r>
              <w:rPr>
                <w:rFonts w:ascii="Tw Cen MT" w:hAnsi="Tw Cen MT" w:cs="Arial"/>
                <w:sz w:val="22"/>
                <w:szCs w:val="22"/>
              </w:rPr>
              <w:t>6 per administration</w:t>
            </w:r>
          </w:p>
        </w:tc>
        <w:tc>
          <w:tcPr>
            <w:tcW w:w="2520" w:type="dxa"/>
          </w:tcPr>
          <w:p w14:paraId="11756595" w14:textId="3EFF06FF" w:rsidR="000223F0" w:rsidRPr="00277E3F" w:rsidRDefault="006D08E4" w:rsidP="00236438">
            <w:pPr>
              <w:jc w:val="center"/>
              <w:rPr>
                <w:rFonts w:ascii="Tw Cen MT" w:hAnsi="Tw Cen MT" w:cs="Arial"/>
                <w:sz w:val="22"/>
                <w:szCs w:val="22"/>
              </w:rPr>
            </w:pPr>
            <w:r>
              <w:rPr>
                <w:rFonts w:ascii="Tw Cen MT" w:hAnsi="Tw Cen MT" w:cs="Arial"/>
                <w:sz w:val="22"/>
                <w:szCs w:val="22"/>
              </w:rPr>
              <w:t>84 (42 in Y2; 42 in Y4)</w:t>
            </w:r>
          </w:p>
        </w:tc>
      </w:tr>
      <w:tr w:rsidR="006D08E4" w:rsidRPr="00277E3F" w14:paraId="6F623B46" w14:textId="167A19F3" w:rsidTr="00236438">
        <w:trPr>
          <w:trHeight w:val="296"/>
          <w:jc w:val="center"/>
        </w:trPr>
        <w:tc>
          <w:tcPr>
            <w:tcW w:w="3235" w:type="dxa"/>
            <w:shd w:val="clear" w:color="auto" w:fill="auto"/>
            <w:tcMar>
              <w:top w:w="14" w:type="dxa"/>
              <w:left w:w="86" w:type="dxa"/>
              <w:bottom w:w="43" w:type="dxa"/>
              <w:right w:w="86" w:type="dxa"/>
            </w:tcMar>
          </w:tcPr>
          <w:p w14:paraId="36BE0FB6" w14:textId="72F2B022" w:rsidR="000223F0" w:rsidRDefault="000223F0" w:rsidP="006D08E4">
            <w:pPr>
              <w:jc w:val="left"/>
              <w:rPr>
                <w:rFonts w:ascii="Tw Cen MT" w:hAnsi="Tw Cen MT" w:cs="Arial"/>
                <w:sz w:val="22"/>
                <w:szCs w:val="22"/>
              </w:rPr>
            </w:pPr>
            <w:r>
              <w:rPr>
                <w:rFonts w:ascii="Tw Cen MT" w:hAnsi="Tw Cen MT" w:cs="Arial"/>
                <w:sz w:val="22"/>
                <w:szCs w:val="22"/>
              </w:rPr>
              <w:t>ENFG – Employment Specialist</w:t>
            </w:r>
          </w:p>
        </w:tc>
        <w:tc>
          <w:tcPr>
            <w:tcW w:w="1440" w:type="dxa"/>
            <w:tcMar>
              <w:top w:w="14" w:type="dxa"/>
              <w:left w:w="86" w:type="dxa"/>
              <w:bottom w:w="43" w:type="dxa"/>
              <w:right w:w="86" w:type="dxa"/>
            </w:tcMar>
          </w:tcPr>
          <w:p w14:paraId="346D8C31" w14:textId="3967C4F4" w:rsidR="000223F0" w:rsidRPr="00277E3F" w:rsidRDefault="006D08E4" w:rsidP="00236438">
            <w:pPr>
              <w:jc w:val="center"/>
              <w:rPr>
                <w:rFonts w:ascii="Tw Cen MT" w:hAnsi="Tw Cen MT" w:cs="Arial"/>
                <w:sz w:val="22"/>
                <w:szCs w:val="22"/>
              </w:rPr>
            </w:pPr>
            <w:r>
              <w:rPr>
                <w:rFonts w:ascii="Tw Cen MT" w:hAnsi="Tw Cen MT" w:cs="Arial"/>
                <w:sz w:val="22"/>
                <w:szCs w:val="22"/>
              </w:rPr>
              <w:t>7</w:t>
            </w:r>
          </w:p>
        </w:tc>
        <w:tc>
          <w:tcPr>
            <w:tcW w:w="2070" w:type="dxa"/>
            <w:tcMar>
              <w:top w:w="14" w:type="dxa"/>
              <w:left w:w="86" w:type="dxa"/>
              <w:bottom w:w="43" w:type="dxa"/>
              <w:right w:w="86" w:type="dxa"/>
            </w:tcMar>
          </w:tcPr>
          <w:p w14:paraId="69A80F5C" w14:textId="71F8132F" w:rsidR="000223F0" w:rsidRPr="00277E3F" w:rsidRDefault="00236438" w:rsidP="00236438">
            <w:pPr>
              <w:jc w:val="center"/>
              <w:rPr>
                <w:rFonts w:ascii="Tw Cen MT" w:hAnsi="Tw Cen MT" w:cs="Arial"/>
                <w:sz w:val="22"/>
                <w:szCs w:val="22"/>
              </w:rPr>
            </w:pPr>
            <w:r>
              <w:rPr>
                <w:rFonts w:ascii="Tw Cen MT" w:hAnsi="Tw Cen MT" w:cs="Arial"/>
                <w:sz w:val="22"/>
                <w:szCs w:val="22"/>
              </w:rPr>
              <w:t xml:space="preserve">6 </w:t>
            </w:r>
            <w:r w:rsidR="006D08E4">
              <w:rPr>
                <w:rFonts w:ascii="Tw Cen MT" w:hAnsi="Tw Cen MT" w:cs="Arial"/>
                <w:sz w:val="22"/>
                <w:szCs w:val="22"/>
              </w:rPr>
              <w:t>per administration</w:t>
            </w:r>
          </w:p>
        </w:tc>
        <w:tc>
          <w:tcPr>
            <w:tcW w:w="2520" w:type="dxa"/>
          </w:tcPr>
          <w:p w14:paraId="64D5ED4A" w14:textId="505DCFC9" w:rsidR="000223F0" w:rsidRPr="00277E3F" w:rsidRDefault="00236438" w:rsidP="00236438">
            <w:pPr>
              <w:jc w:val="center"/>
              <w:rPr>
                <w:rFonts w:ascii="Tw Cen MT" w:hAnsi="Tw Cen MT" w:cs="Arial"/>
                <w:sz w:val="22"/>
                <w:szCs w:val="22"/>
              </w:rPr>
            </w:pPr>
            <w:r>
              <w:rPr>
                <w:rFonts w:ascii="Tw Cen MT" w:hAnsi="Tw Cen MT" w:cs="Arial"/>
                <w:sz w:val="22"/>
                <w:szCs w:val="22"/>
              </w:rPr>
              <w:t>84 (</w:t>
            </w:r>
            <w:r w:rsidR="006D08E4">
              <w:rPr>
                <w:rFonts w:ascii="Tw Cen MT" w:hAnsi="Tw Cen MT" w:cs="Arial"/>
                <w:sz w:val="22"/>
                <w:szCs w:val="22"/>
              </w:rPr>
              <w:t xml:space="preserve">42 in Y2; 42 in </w:t>
            </w:r>
            <w:r>
              <w:rPr>
                <w:rFonts w:ascii="Tw Cen MT" w:hAnsi="Tw Cen MT" w:cs="Arial"/>
                <w:sz w:val="22"/>
                <w:szCs w:val="22"/>
              </w:rPr>
              <w:t>Y</w:t>
            </w:r>
            <w:r w:rsidR="006D08E4">
              <w:rPr>
                <w:rFonts w:ascii="Tw Cen MT" w:hAnsi="Tw Cen MT" w:cs="Arial"/>
                <w:sz w:val="22"/>
                <w:szCs w:val="22"/>
              </w:rPr>
              <w:t>4)</w:t>
            </w:r>
          </w:p>
        </w:tc>
      </w:tr>
    </w:tbl>
    <w:p w14:paraId="7F87B9F2" w14:textId="77777777" w:rsidR="000B4CDA" w:rsidRDefault="000B4CDA" w:rsidP="000B4CDA">
      <w:pPr>
        <w:pStyle w:val="ListParagraph"/>
        <w:ind w:left="0"/>
      </w:pPr>
    </w:p>
    <w:p w14:paraId="28D84831" w14:textId="4616A874" w:rsidR="000B4CDA" w:rsidRDefault="000B4CDA" w:rsidP="000B4CDA">
      <w:pPr>
        <w:pStyle w:val="GLSBody"/>
        <w:keepNext/>
        <w:spacing w:after="60"/>
        <w:rPr>
          <w:rFonts w:ascii="Tw Cen MT" w:hAnsi="Tw Cen MT"/>
          <w:b/>
          <w:u w:val="single"/>
        </w:rPr>
      </w:pPr>
      <w:r>
        <w:rPr>
          <w:rFonts w:ascii="Tw Cen MT" w:hAnsi="Tw Cen MT"/>
          <w:b/>
          <w:u w:val="single"/>
        </w:rPr>
        <w:t>Using the Census of Grantees</w:t>
      </w:r>
    </w:p>
    <w:p w14:paraId="4B2F2F9E" w14:textId="295F3832" w:rsidR="000B4CDA" w:rsidRPr="002D2B8D" w:rsidRDefault="000B4CDA" w:rsidP="000B4CDA">
      <w:pPr>
        <w:pStyle w:val="ListParagraph"/>
        <w:spacing w:after="200"/>
        <w:ind w:left="0"/>
        <w:contextualSpacing w:val="0"/>
      </w:pPr>
      <w:r w:rsidRPr="002D2B8D">
        <w:t xml:space="preserve">For the </w:t>
      </w:r>
      <w:r w:rsidRPr="002D2B8D">
        <w:rPr>
          <w:b/>
        </w:rPr>
        <w:t>Behavioral Health Treatment Court Collaborative (BHTCC) Evaluation</w:t>
      </w:r>
      <w:r w:rsidRPr="002D2B8D">
        <w:t xml:space="preserve"> a census of grantees (17) is being used for the following reasons: </w:t>
      </w:r>
    </w:p>
    <w:p w14:paraId="6C429EBB" w14:textId="77777777" w:rsidR="000B4CDA" w:rsidRPr="002D2B8D" w:rsidRDefault="000B4CDA" w:rsidP="000B4CDA">
      <w:pPr>
        <w:pStyle w:val="ListParagraph"/>
        <w:numPr>
          <w:ilvl w:val="0"/>
          <w:numId w:val="21"/>
        </w:numPr>
        <w:spacing w:after="160" w:line="259" w:lineRule="auto"/>
      </w:pPr>
      <w:r w:rsidRPr="002D2B8D">
        <w:t xml:space="preserve">Key Informant Interviews (KIIs) – KIIs are being conducted for a system level assessment to understand enhancements and expansions at the grantee-level. Data gathered from each site will be used to assess the service infrastructure, capacity, and delivery of the BHTCC program. The data will be gathered two times and allow for description of change over time both within and across BHTCC sites. Finally, the KII system level assessment data can be transformed and incorporated into the client-level data as a mediating outcome variable for analysis of consumer outcomes. Given the site (grantee) specific analysis and use of the data, it is necessary to gather information from all grantees.    </w:t>
      </w:r>
    </w:p>
    <w:p w14:paraId="52D06012" w14:textId="77777777" w:rsidR="000B4CDA" w:rsidRPr="002D2B8D" w:rsidRDefault="000B4CDA" w:rsidP="000B4CDA">
      <w:pPr>
        <w:pStyle w:val="ListParagraph"/>
        <w:numPr>
          <w:ilvl w:val="0"/>
          <w:numId w:val="21"/>
        </w:numPr>
        <w:spacing w:after="160" w:line="259" w:lineRule="auto"/>
      </w:pPr>
      <w:r w:rsidRPr="002D2B8D">
        <w:lastRenderedPageBreak/>
        <w:t xml:space="preserve">Concept Mapping (CM) – CM will be conducted at the site level to assess the components of the BHTCC collaborative that are most important in supporting program participants in program adherence and recovery. Site specific (and cross-site) concept maps will be generated to depict consensus and variance in program stakeholder’s perspectives of the most important supports for program participants. Grantees can use this information to understand where there is agreement about key program components and where there is areas for refinement or change in the program supports to address stakeholder/consumer/needs. Given the site-specific analysis and maps to be provided back to grantees, it is necessary to conduct this activity with all grantees. </w:t>
      </w:r>
    </w:p>
    <w:p w14:paraId="5722136B" w14:textId="77777777" w:rsidR="000B4CDA" w:rsidRPr="002D2B8D" w:rsidRDefault="000B4CDA" w:rsidP="000B4CDA">
      <w:pPr>
        <w:spacing w:after="200"/>
      </w:pPr>
      <w:r w:rsidRPr="002D2B8D">
        <w:t xml:space="preserve">For the </w:t>
      </w:r>
      <w:r w:rsidRPr="002D2B8D">
        <w:rPr>
          <w:b/>
        </w:rPr>
        <w:t>Supported Employment (SE) Evaluation</w:t>
      </w:r>
      <w:r w:rsidRPr="002D2B8D">
        <w:t xml:space="preserve"> a census of grantees (7) is being used for the following reasons: </w:t>
      </w:r>
    </w:p>
    <w:p w14:paraId="514FDA45" w14:textId="77777777" w:rsidR="000B4CDA" w:rsidRPr="002D2B8D" w:rsidRDefault="000B4CDA" w:rsidP="000B4CDA">
      <w:pPr>
        <w:pStyle w:val="ListParagraph"/>
        <w:numPr>
          <w:ilvl w:val="0"/>
          <w:numId w:val="21"/>
        </w:numPr>
        <w:spacing w:after="160" w:line="259" w:lineRule="auto"/>
      </w:pPr>
      <w:r w:rsidRPr="002D2B8D">
        <w:t xml:space="preserve">Key Informant Interviews (KIIs) – KIIs are being conducted to understand the scalability and sustainability of SE programs. Given that laws and state-level policies related to access and use of a range of health and social services will be site-specific, it is necessary to collect data from each grantee. Grantee-level contexts (laws, policies, funding mechanisms) are important aspects to assess when determining whether and how the SE program may be sustainable and scalable and the needs and resources of both site and cross-site programs to continue in these efforts. </w:t>
      </w:r>
    </w:p>
    <w:p w14:paraId="57275F36" w14:textId="783BAF8E" w:rsidR="000E6198" w:rsidRDefault="008C28E2" w:rsidP="000E6198">
      <w:pPr>
        <w:pStyle w:val="BodyText"/>
        <w:tabs>
          <w:tab w:val="left" w:pos="1563"/>
        </w:tabs>
        <w:spacing w:before="240" w:after="200"/>
        <w:rPr>
          <w:rFonts w:ascii="Times New Roman" w:hAnsi="Times New Roman" w:cs="Times New Roman"/>
          <w:color w:val="181818"/>
          <w:sz w:val="24"/>
          <w:szCs w:val="24"/>
        </w:rPr>
      </w:pPr>
      <w:r w:rsidRPr="009D6E07">
        <w:rPr>
          <w:rFonts w:ascii="Times New Roman" w:hAnsi="Times New Roman" w:cs="Times New Roman"/>
          <w:color w:val="181818"/>
          <w:sz w:val="24"/>
          <w:szCs w:val="24"/>
        </w:rPr>
        <w:t xml:space="preserve">The respondent </w:t>
      </w:r>
      <w:r>
        <w:rPr>
          <w:rFonts w:ascii="Times New Roman" w:hAnsi="Times New Roman" w:cs="Times New Roman"/>
          <w:color w:val="181818"/>
          <w:sz w:val="24"/>
          <w:szCs w:val="24"/>
        </w:rPr>
        <w:t xml:space="preserve">universe and sampling methods are described below for the following data collection activities: SLA KIIs, Concept Mapping, 18-Month Abstraction Tool, Comparison Study Abstraction Tool, SSA KIIs, and ENFGs. </w:t>
      </w:r>
    </w:p>
    <w:p w14:paraId="29775120" w14:textId="70CACCAA" w:rsidR="000B4CDA" w:rsidRPr="000B4CDA" w:rsidRDefault="008D224F" w:rsidP="000B4CDA">
      <w:pPr>
        <w:pStyle w:val="BodyText"/>
        <w:numPr>
          <w:ilvl w:val="0"/>
          <w:numId w:val="14"/>
        </w:numPr>
        <w:tabs>
          <w:tab w:val="left" w:pos="1563"/>
        </w:tabs>
        <w:spacing w:after="200"/>
        <w:rPr>
          <w:rFonts w:ascii="Times New Roman" w:hAnsi="Times New Roman" w:cs="Times New Roman"/>
          <w:color w:val="181818"/>
          <w:sz w:val="24"/>
          <w:szCs w:val="24"/>
        </w:rPr>
      </w:pPr>
      <w:r w:rsidRPr="000B4CDA">
        <w:rPr>
          <w:rFonts w:ascii="Times New Roman" w:hAnsi="Times New Roman" w:cs="Times New Roman"/>
          <w:b/>
          <w:color w:val="181818"/>
          <w:sz w:val="24"/>
          <w:szCs w:val="24"/>
        </w:rPr>
        <w:t>BHTCC SLA KIIs:</w:t>
      </w:r>
      <w:r w:rsidRPr="000B4CDA">
        <w:rPr>
          <w:rFonts w:ascii="Times New Roman" w:hAnsi="Times New Roman" w:cs="Times New Roman"/>
          <w:color w:val="181818"/>
          <w:sz w:val="24"/>
          <w:szCs w:val="24"/>
        </w:rPr>
        <w:t xml:space="preserve"> </w:t>
      </w:r>
      <w:r w:rsidR="005B675F" w:rsidRPr="000B4CDA">
        <w:rPr>
          <w:rFonts w:ascii="Times New Roman" w:hAnsi="Times New Roman" w:cs="Times New Roman"/>
          <w:sz w:val="24"/>
          <w:szCs w:val="24"/>
        </w:rPr>
        <w:t xml:space="preserve">up to 170 </w:t>
      </w:r>
      <w:r w:rsidRPr="000B4CDA">
        <w:rPr>
          <w:rFonts w:ascii="Times New Roman" w:hAnsi="Times New Roman" w:cs="Times New Roman"/>
          <w:sz w:val="24"/>
          <w:szCs w:val="24"/>
        </w:rPr>
        <w:t xml:space="preserve">stakeholders </w:t>
      </w:r>
      <w:r w:rsidR="005B675F" w:rsidRPr="000B4CDA">
        <w:rPr>
          <w:rFonts w:ascii="Times New Roman" w:hAnsi="Times New Roman" w:cs="Times New Roman"/>
          <w:sz w:val="24"/>
          <w:szCs w:val="24"/>
        </w:rPr>
        <w:t xml:space="preserve">total </w:t>
      </w:r>
      <w:r w:rsidRPr="000B4CDA">
        <w:rPr>
          <w:rFonts w:ascii="Times New Roman" w:hAnsi="Times New Roman" w:cs="Times New Roman"/>
          <w:sz w:val="24"/>
          <w:szCs w:val="24"/>
        </w:rPr>
        <w:t xml:space="preserve">will participate in the SLA KIIs </w:t>
      </w:r>
      <w:r w:rsidR="005B675F" w:rsidRPr="000B4CDA">
        <w:rPr>
          <w:rFonts w:ascii="Times New Roman" w:hAnsi="Times New Roman" w:cs="Times New Roman"/>
          <w:sz w:val="24"/>
          <w:szCs w:val="24"/>
        </w:rPr>
        <w:t xml:space="preserve">across BHTCC grantees (i.e., 5 from each grantee) in Years 2 and 4 using </w:t>
      </w:r>
      <w:r w:rsidR="00A625F1" w:rsidRPr="000B4CDA">
        <w:rPr>
          <w:rFonts w:ascii="Times New Roman" w:hAnsi="Times New Roman" w:cs="Times New Roman"/>
          <w:sz w:val="24"/>
          <w:szCs w:val="24"/>
        </w:rPr>
        <w:t xml:space="preserve">purposive </w:t>
      </w:r>
      <w:r w:rsidR="005B675F" w:rsidRPr="000B4CDA">
        <w:rPr>
          <w:rFonts w:ascii="Times New Roman" w:hAnsi="Times New Roman" w:cs="Times New Roman"/>
          <w:sz w:val="24"/>
          <w:szCs w:val="24"/>
        </w:rPr>
        <w:t>sampling</w:t>
      </w:r>
      <w:r w:rsidR="00A625F1" w:rsidRPr="000B4CDA">
        <w:rPr>
          <w:rFonts w:ascii="Times New Roman" w:hAnsi="Times New Roman" w:cs="Times New Roman"/>
          <w:sz w:val="24"/>
          <w:szCs w:val="24"/>
        </w:rPr>
        <w:t xml:space="preserve"> to ensure a range of perspec</w:t>
      </w:r>
      <w:r w:rsidR="00236438" w:rsidRPr="000B4CDA">
        <w:rPr>
          <w:rFonts w:ascii="Times New Roman" w:hAnsi="Times New Roman" w:cs="Times New Roman"/>
          <w:sz w:val="24"/>
          <w:szCs w:val="24"/>
        </w:rPr>
        <w:t>tives from BHTCC program stakehold</w:t>
      </w:r>
      <w:r w:rsidR="00A625F1" w:rsidRPr="000B4CDA">
        <w:rPr>
          <w:rFonts w:ascii="Times New Roman" w:hAnsi="Times New Roman" w:cs="Times New Roman"/>
          <w:sz w:val="24"/>
          <w:szCs w:val="24"/>
        </w:rPr>
        <w:t>ers</w:t>
      </w:r>
      <w:r w:rsidR="005B675F" w:rsidRPr="000B4CDA">
        <w:rPr>
          <w:rFonts w:ascii="Times New Roman" w:hAnsi="Times New Roman" w:cs="Times New Roman"/>
          <w:sz w:val="24"/>
          <w:szCs w:val="24"/>
        </w:rPr>
        <w:t xml:space="preserve">. </w:t>
      </w:r>
      <w:r w:rsidR="00013908" w:rsidRPr="000B4CDA">
        <w:rPr>
          <w:rFonts w:ascii="Times New Roman" w:hAnsi="Times New Roman" w:cs="Times New Roman"/>
          <w:sz w:val="24"/>
          <w:szCs w:val="24"/>
        </w:rPr>
        <w:t xml:space="preserve">The Contractor </w:t>
      </w:r>
      <w:r w:rsidRPr="000B4CDA">
        <w:rPr>
          <w:rFonts w:ascii="Times New Roman" w:hAnsi="Times New Roman" w:cs="Times New Roman"/>
          <w:sz w:val="24"/>
          <w:szCs w:val="24"/>
        </w:rPr>
        <w:t xml:space="preserve">will work with SAMHSA to determine appropriate stakeholders for the KIIs. Participation will be based on the roles and responsibilities within each grantee. To identify participants, grantee program staff (e.g., project directors, local evaluators) will obtain written consent to contact from potential respondents and forward the forms to </w:t>
      </w:r>
      <w:r w:rsidR="00013908" w:rsidRPr="000B4CDA">
        <w:rPr>
          <w:rFonts w:ascii="Times New Roman" w:hAnsi="Times New Roman" w:cs="Times New Roman"/>
          <w:sz w:val="24"/>
          <w:szCs w:val="24"/>
        </w:rPr>
        <w:t>the evaluation team</w:t>
      </w:r>
      <w:r w:rsidRPr="000B4CDA">
        <w:rPr>
          <w:rFonts w:ascii="Times New Roman" w:hAnsi="Times New Roman" w:cs="Times New Roman"/>
          <w:sz w:val="24"/>
          <w:szCs w:val="24"/>
        </w:rPr>
        <w:t>.  Respondents will include: (1) court personnel (e.g., BHTCC administrators, coordinators, judges</w:t>
      </w:r>
      <w:r w:rsidR="007408B6" w:rsidRPr="000B4CDA">
        <w:rPr>
          <w:rFonts w:ascii="Times New Roman" w:hAnsi="Times New Roman" w:cs="Times New Roman"/>
          <w:sz w:val="24"/>
          <w:szCs w:val="24"/>
        </w:rPr>
        <w:t xml:space="preserve">, </w:t>
      </w:r>
      <w:r w:rsidRPr="000B4CDA">
        <w:rPr>
          <w:rFonts w:ascii="Times New Roman" w:hAnsi="Times New Roman" w:cs="Times New Roman"/>
          <w:sz w:val="24"/>
          <w:szCs w:val="24"/>
        </w:rPr>
        <w:t>and attorneys), (2) service providers (e.g., case managers</w:t>
      </w:r>
      <w:r w:rsidR="007408B6" w:rsidRPr="000B4CDA">
        <w:rPr>
          <w:rFonts w:ascii="Times New Roman" w:hAnsi="Times New Roman" w:cs="Times New Roman"/>
          <w:sz w:val="24"/>
          <w:szCs w:val="24"/>
        </w:rPr>
        <w:t xml:space="preserve"> and </w:t>
      </w:r>
      <w:r w:rsidRPr="000B4CDA">
        <w:rPr>
          <w:rFonts w:ascii="Times New Roman" w:hAnsi="Times New Roman" w:cs="Times New Roman"/>
          <w:sz w:val="24"/>
          <w:szCs w:val="24"/>
        </w:rPr>
        <w:t>BHTCC peers), and (3) consumers (e.g., clients and family members).</w:t>
      </w:r>
      <w:r w:rsidR="000B4CDA" w:rsidRPr="000B4CDA">
        <w:rPr>
          <w:rFonts w:ascii="Times New Roman" w:hAnsi="Times New Roman" w:cs="Times New Roman"/>
          <w:sz w:val="24"/>
          <w:szCs w:val="24"/>
        </w:rPr>
        <w:t xml:space="preserve"> It is important that that KII respondents have sufficient experience and knowledge of the program activities to share during the interviews. Thus, it is necessary for grantees to share a pool of respondents from each group and respondents will be arbitrarily selected by the contractor and recruited until the maximum number of interviews has been conducted within type and grantee (i.e., up to five interviews per grantee and at least one respondent per type).</w:t>
      </w:r>
    </w:p>
    <w:p w14:paraId="256CBDD5" w14:textId="40B323C2" w:rsidR="0093028C" w:rsidRPr="0093028C" w:rsidRDefault="0093028C" w:rsidP="00783F53">
      <w:pPr>
        <w:numPr>
          <w:ilvl w:val="0"/>
          <w:numId w:val="14"/>
        </w:numPr>
        <w:spacing w:after="200"/>
      </w:pPr>
      <w:r w:rsidRPr="0093028C">
        <w:rPr>
          <w:b/>
        </w:rPr>
        <w:t>Concept Mapping</w:t>
      </w:r>
      <w:r w:rsidRPr="0093028C">
        <w:t xml:space="preserve">: up to </w:t>
      </w:r>
      <w:r w:rsidR="007408B6">
        <w:t>8</w:t>
      </w:r>
      <w:r w:rsidRPr="0093028C">
        <w:t xml:space="preserve">80 BHTCC grantee stakeholders </w:t>
      </w:r>
      <w:r w:rsidR="005B675F">
        <w:t xml:space="preserve">total </w:t>
      </w:r>
      <w:r w:rsidRPr="0093028C">
        <w:t xml:space="preserve">will participate in concept mapping through the use of </w:t>
      </w:r>
      <w:r w:rsidR="00A625F1" w:rsidRPr="00236438">
        <w:t xml:space="preserve">purposive </w:t>
      </w:r>
      <w:r w:rsidRPr="00236438">
        <w:t>sampling.</w:t>
      </w:r>
      <w:r w:rsidRPr="0093028C">
        <w:t xml:space="preserve"> In Years 2–3</w:t>
      </w:r>
      <w:r w:rsidR="007408B6">
        <w:t>, up to 3</w:t>
      </w:r>
      <w:r w:rsidRPr="0093028C">
        <w:t xml:space="preserve">40 stakeholders will participate in Exercise 1 (local concept map). In Year 4, </w:t>
      </w:r>
      <w:r w:rsidR="007408B6">
        <w:t xml:space="preserve">up to </w:t>
      </w:r>
      <w:r w:rsidRPr="0093028C">
        <w:t xml:space="preserve">340 stakeholders will participate in Exercise 2 (KTR Map 1), </w:t>
      </w:r>
      <w:r w:rsidR="007408B6">
        <w:t xml:space="preserve">100 in </w:t>
      </w:r>
      <w:r w:rsidRPr="0093028C">
        <w:t>Exer</w:t>
      </w:r>
      <w:r w:rsidR="007408B6">
        <w:t xml:space="preserve">cise 3 (KTR Map 2), and 100 in </w:t>
      </w:r>
      <w:r w:rsidRPr="0093028C">
        <w:t>Exercise 4 (KTR Map 3). Respondents will include: court personnel, BHTCC peers, and consumers</w:t>
      </w:r>
      <w:r w:rsidR="007408B6">
        <w:t xml:space="preserve"> (clients and their families)</w:t>
      </w:r>
      <w:r w:rsidRPr="0093028C">
        <w:t xml:space="preserve">. </w:t>
      </w:r>
      <w:r w:rsidR="000B4CDA" w:rsidRPr="002D2B8D">
        <w:t xml:space="preserve">Similar to the KIIs, the CM activity will request BHTCC stakeholder participation </w:t>
      </w:r>
      <w:r w:rsidR="000B4CDA" w:rsidRPr="002D2B8D">
        <w:lastRenderedPageBreak/>
        <w:t>across court, service, and consumer (participants, peers, and families) groups.</w:t>
      </w:r>
      <w:r w:rsidR="000B4CDA">
        <w:t xml:space="preserve"> </w:t>
      </w:r>
      <w:r w:rsidR="000B4CDA" w:rsidRPr="002D2B8D">
        <w:t>The purpose of CM is not to generalize findings to all grantees; rather, CM is intended to uncover critical aspects of court supports (across a range of stakeholders) that helps and hinders recovery and program adherence.</w:t>
      </w:r>
    </w:p>
    <w:p w14:paraId="55AB6463" w14:textId="21BD7D75" w:rsidR="0093028C" w:rsidRPr="000B4CDA" w:rsidRDefault="0093028C" w:rsidP="00783F53">
      <w:pPr>
        <w:pStyle w:val="BHTCCBody"/>
        <w:numPr>
          <w:ilvl w:val="0"/>
          <w:numId w:val="14"/>
        </w:numPr>
        <w:tabs>
          <w:tab w:val="left" w:pos="1563"/>
        </w:tabs>
        <w:rPr>
          <w:rFonts w:ascii="Times New Roman" w:hAnsi="Times New Roman" w:cs="Times New Roman"/>
          <w:color w:val="181818"/>
          <w:sz w:val="24"/>
          <w:szCs w:val="24"/>
        </w:rPr>
      </w:pPr>
      <w:r w:rsidRPr="0093028C">
        <w:rPr>
          <w:rFonts w:ascii="Times New Roman" w:hAnsi="Times New Roman" w:cs="Times New Roman"/>
          <w:b/>
          <w:sz w:val="24"/>
          <w:szCs w:val="24"/>
        </w:rPr>
        <w:t>SE SSA KIIs</w:t>
      </w:r>
      <w:r w:rsidRPr="0093028C">
        <w:rPr>
          <w:rFonts w:ascii="Times New Roman" w:hAnsi="Times New Roman" w:cs="Times New Roman"/>
          <w:sz w:val="24"/>
          <w:szCs w:val="24"/>
        </w:rPr>
        <w:t xml:space="preserve">: </w:t>
      </w:r>
      <w:r w:rsidR="005B675F">
        <w:rPr>
          <w:rFonts w:ascii="Times New Roman" w:hAnsi="Times New Roman" w:cs="Times New Roman"/>
          <w:sz w:val="24"/>
          <w:szCs w:val="24"/>
        </w:rPr>
        <w:t>up to 70</w:t>
      </w:r>
      <w:r w:rsidRPr="0093028C">
        <w:rPr>
          <w:rFonts w:ascii="Times New Roman" w:hAnsi="Times New Roman" w:cs="Times New Roman"/>
          <w:sz w:val="24"/>
          <w:szCs w:val="24"/>
        </w:rPr>
        <w:t xml:space="preserve"> stakeholders </w:t>
      </w:r>
      <w:r w:rsidR="005B675F">
        <w:rPr>
          <w:rFonts w:ascii="Times New Roman" w:hAnsi="Times New Roman" w:cs="Times New Roman"/>
          <w:sz w:val="24"/>
          <w:szCs w:val="24"/>
        </w:rPr>
        <w:t xml:space="preserve">total </w:t>
      </w:r>
      <w:r w:rsidRPr="0093028C">
        <w:rPr>
          <w:rFonts w:ascii="Times New Roman" w:hAnsi="Times New Roman" w:cs="Times New Roman"/>
          <w:sz w:val="24"/>
          <w:szCs w:val="24"/>
        </w:rPr>
        <w:t xml:space="preserve">will participate in the SLA KIIs </w:t>
      </w:r>
      <w:r w:rsidR="005B675F">
        <w:rPr>
          <w:rFonts w:ascii="Times New Roman" w:hAnsi="Times New Roman" w:cs="Times New Roman"/>
          <w:sz w:val="24"/>
          <w:szCs w:val="24"/>
        </w:rPr>
        <w:t xml:space="preserve">across grantees </w:t>
      </w:r>
      <w:r w:rsidRPr="0093028C">
        <w:rPr>
          <w:rFonts w:ascii="Times New Roman" w:hAnsi="Times New Roman" w:cs="Times New Roman"/>
          <w:sz w:val="24"/>
          <w:szCs w:val="24"/>
        </w:rPr>
        <w:t xml:space="preserve">(i.e., 5 from each BHTCC grantee) </w:t>
      </w:r>
      <w:r w:rsidR="005B675F">
        <w:rPr>
          <w:rFonts w:ascii="Times New Roman" w:hAnsi="Times New Roman" w:cs="Times New Roman"/>
          <w:sz w:val="24"/>
          <w:szCs w:val="24"/>
        </w:rPr>
        <w:t xml:space="preserve">in </w:t>
      </w:r>
      <w:r w:rsidRPr="0093028C">
        <w:rPr>
          <w:rFonts w:ascii="Times New Roman" w:hAnsi="Times New Roman" w:cs="Times New Roman"/>
          <w:sz w:val="24"/>
          <w:szCs w:val="24"/>
        </w:rPr>
        <w:t xml:space="preserve">Years 2 and 4 using </w:t>
      </w:r>
      <w:r w:rsidR="00A625F1">
        <w:rPr>
          <w:rFonts w:ascii="Times New Roman" w:hAnsi="Times New Roman" w:cs="Times New Roman"/>
          <w:sz w:val="24"/>
          <w:szCs w:val="24"/>
        </w:rPr>
        <w:t xml:space="preserve">purposive selection to ensure </w:t>
      </w:r>
      <w:r w:rsidR="00BB640A">
        <w:rPr>
          <w:rFonts w:ascii="Times New Roman" w:hAnsi="Times New Roman" w:cs="Times New Roman"/>
          <w:sz w:val="24"/>
          <w:szCs w:val="24"/>
        </w:rPr>
        <w:t xml:space="preserve">State- </w:t>
      </w:r>
      <w:r w:rsidR="00A625F1">
        <w:rPr>
          <w:rFonts w:ascii="Times New Roman" w:hAnsi="Times New Roman" w:cs="Times New Roman"/>
          <w:sz w:val="24"/>
          <w:szCs w:val="24"/>
        </w:rPr>
        <w:t>and local</w:t>
      </w:r>
      <w:r w:rsidR="00BB640A">
        <w:rPr>
          <w:rFonts w:ascii="Times New Roman" w:hAnsi="Times New Roman" w:cs="Times New Roman"/>
          <w:sz w:val="24"/>
          <w:szCs w:val="24"/>
        </w:rPr>
        <w:t>-</w:t>
      </w:r>
      <w:r w:rsidR="00A625F1">
        <w:rPr>
          <w:rFonts w:ascii="Times New Roman" w:hAnsi="Times New Roman" w:cs="Times New Roman"/>
          <w:sz w:val="24"/>
          <w:szCs w:val="24"/>
        </w:rPr>
        <w:t xml:space="preserve">level perspectives on issues related to scalability and sustainability of SE programs. </w:t>
      </w:r>
      <w:r w:rsidR="00013908">
        <w:rPr>
          <w:rFonts w:ascii="Times New Roman" w:hAnsi="Times New Roman" w:cs="Times New Roman"/>
          <w:sz w:val="24"/>
          <w:szCs w:val="24"/>
        </w:rPr>
        <w:t xml:space="preserve">The Contractor </w:t>
      </w:r>
      <w:r w:rsidRPr="0093028C">
        <w:rPr>
          <w:rFonts w:ascii="Times New Roman" w:hAnsi="Times New Roman" w:cs="Times New Roman"/>
          <w:sz w:val="24"/>
          <w:szCs w:val="24"/>
        </w:rPr>
        <w:t>will work in collaboration with SAMHSA</w:t>
      </w:r>
      <w:r w:rsidR="000B552F">
        <w:rPr>
          <w:rFonts w:ascii="Times New Roman" w:hAnsi="Times New Roman" w:cs="Times New Roman"/>
          <w:sz w:val="24"/>
          <w:szCs w:val="24"/>
        </w:rPr>
        <w:t xml:space="preserve">, </w:t>
      </w:r>
      <w:r w:rsidRPr="0093028C">
        <w:rPr>
          <w:rFonts w:ascii="Times New Roman" w:hAnsi="Times New Roman" w:cs="Times New Roman"/>
          <w:sz w:val="24"/>
          <w:szCs w:val="24"/>
        </w:rPr>
        <w:t>grantee program directors</w:t>
      </w:r>
      <w:r w:rsidR="000B552F">
        <w:rPr>
          <w:rFonts w:ascii="Times New Roman" w:hAnsi="Times New Roman" w:cs="Times New Roman"/>
          <w:sz w:val="24"/>
          <w:szCs w:val="24"/>
        </w:rPr>
        <w:t xml:space="preserve">, and local project coordinators </w:t>
      </w:r>
      <w:r w:rsidRPr="0093028C">
        <w:rPr>
          <w:rFonts w:ascii="Times New Roman" w:hAnsi="Times New Roman" w:cs="Times New Roman"/>
          <w:sz w:val="24"/>
          <w:szCs w:val="24"/>
        </w:rPr>
        <w:t xml:space="preserve">to create a </w:t>
      </w:r>
      <w:r w:rsidR="000B552F">
        <w:rPr>
          <w:rFonts w:ascii="Times New Roman" w:hAnsi="Times New Roman" w:cs="Times New Roman"/>
          <w:sz w:val="24"/>
          <w:szCs w:val="24"/>
        </w:rPr>
        <w:t xml:space="preserve">list of potential respondents </w:t>
      </w:r>
      <w:r w:rsidRPr="0093028C">
        <w:rPr>
          <w:rFonts w:ascii="Times New Roman" w:hAnsi="Times New Roman" w:cs="Times New Roman"/>
          <w:sz w:val="24"/>
          <w:szCs w:val="24"/>
        </w:rPr>
        <w:t xml:space="preserve">for each State, acknowledging that the relevant stakeholders may differ from state to state. </w:t>
      </w:r>
      <w:r w:rsidR="000B4CDA" w:rsidRPr="002D2B8D">
        <w:rPr>
          <w:rFonts w:ascii="Times New Roman" w:hAnsi="Times New Roman" w:cs="Times New Roman"/>
          <w:sz w:val="24"/>
          <w:szCs w:val="24"/>
        </w:rPr>
        <w:t>KII interviews will be conducted to assess the scalability and sustainability of SE programs. The KIIs will be conducted with two respondent types: administrators of the program and service providers.</w:t>
      </w:r>
      <w:r w:rsidR="000B4CDA">
        <w:rPr>
          <w:rFonts w:ascii="Times New Roman" w:hAnsi="Times New Roman" w:cs="Times New Roman"/>
          <w:sz w:val="24"/>
          <w:szCs w:val="24"/>
        </w:rPr>
        <w:t xml:space="preserve"> </w:t>
      </w:r>
      <w:r>
        <w:rPr>
          <w:rFonts w:ascii="Times New Roman" w:hAnsi="Times New Roman" w:cs="Times New Roman"/>
          <w:sz w:val="24"/>
          <w:szCs w:val="24"/>
        </w:rPr>
        <w:t xml:space="preserve">Potential participants include </w:t>
      </w:r>
      <w:r w:rsidRPr="0093028C">
        <w:rPr>
          <w:rFonts w:ascii="Times New Roman" w:hAnsi="Times New Roman" w:cs="Times New Roman"/>
          <w:sz w:val="24"/>
          <w:szCs w:val="24"/>
        </w:rPr>
        <w:t>program director</w:t>
      </w:r>
      <w:r>
        <w:rPr>
          <w:rFonts w:ascii="Times New Roman" w:hAnsi="Times New Roman" w:cs="Times New Roman"/>
          <w:sz w:val="24"/>
          <w:szCs w:val="24"/>
        </w:rPr>
        <w:t>s;</w:t>
      </w:r>
      <w:r w:rsidRPr="0093028C">
        <w:rPr>
          <w:rFonts w:ascii="Times New Roman" w:hAnsi="Times New Roman" w:cs="Times New Roman"/>
          <w:sz w:val="24"/>
          <w:szCs w:val="24"/>
        </w:rPr>
        <w:t xml:space="preserve"> </w:t>
      </w:r>
      <w:r>
        <w:rPr>
          <w:rFonts w:ascii="Times New Roman" w:hAnsi="Times New Roman" w:cs="Times New Roman"/>
          <w:sz w:val="24"/>
          <w:szCs w:val="24"/>
        </w:rPr>
        <w:t>S</w:t>
      </w:r>
      <w:r w:rsidRPr="0093028C">
        <w:rPr>
          <w:rFonts w:ascii="Times New Roman" w:hAnsi="Times New Roman" w:cs="Times New Roman"/>
          <w:sz w:val="24"/>
          <w:szCs w:val="24"/>
        </w:rPr>
        <w:t>tate-level agency director</w:t>
      </w:r>
      <w:r>
        <w:rPr>
          <w:rFonts w:ascii="Times New Roman" w:hAnsi="Times New Roman" w:cs="Times New Roman"/>
          <w:sz w:val="24"/>
          <w:szCs w:val="24"/>
        </w:rPr>
        <w:t>s</w:t>
      </w:r>
      <w:r w:rsidRPr="0093028C">
        <w:rPr>
          <w:rFonts w:ascii="Times New Roman" w:hAnsi="Times New Roman" w:cs="Times New Roman"/>
          <w:sz w:val="24"/>
          <w:szCs w:val="24"/>
        </w:rPr>
        <w:t xml:space="preserve"> (e.g., Medicaid)</w:t>
      </w:r>
      <w:r>
        <w:rPr>
          <w:rFonts w:ascii="Times New Roman" w:hAnsi="Times New Roman" w:cs="Times New Roman"/>
          <w:sz w:val="24"/>
          <w:szCs w:val="24"/>
        </w:rPr>
        <w:t>;</w:t>
      </w:r>
      <w:r w:rsidRPr="0093028C">
        <w:rPr>
          <w:rFonts w:ascii="Times New Roman" w:hAnsi="Times New Roman" w:cs="Times New Roman"/>
          <w:sz w:val="24"/>
          <w:szCs w:val="24"/>
        </w:rPr>
        <w:t xml:space="preserve"> members of the SECC</w:t>
      </w:r>
      <w:r>
        <w:rPr>
          <w:rFonts w:ascii="Times New Roman" w:hAnsi="Times New Roman" w:cs="Times New Roman"/>
          <w:sz w:val="24"/>
          <w:szCs w:val="24"/>
        </w:rPr>
        <w:t>;</w:t>
      </w:r>
      <w:r w:rsidRPr="0093028C">
        <w:rPr>
          <w:rFonts w:ascii="Times New Roman" w:hAnsi="Times New Roman" w:cs="Times New Roman"/>
          <w:sz w:val="24"/>
          <w:szCs w:val="24"/>
        </w:rPr>
        <w:t xml:space="preserve"> and service providers from each local implementation site, who can give insight into the experiences of SE clients </w:t>
      </w:r>
      <w:r>
        <w:rPr>
          <w:rFonts w:ascii="Times New Roman" w:hAnsi="Times New Roman" w:cs="Times New Roman"/>
          <w:sz w:val="24"/>
          <w:szCs w:val="24"/>
        </w:rPr>
        <w:t>and how</w:t>
      </w:r>
      <w:r w:rsidRPr="0093028C">
        <w:rPr>
          <w:rFonts w:ascii="Times New Roman" w:hAnsi="Times New Roman" w:cs="Times New Roman"/>
          <w:sz w:val="24"/>
          <w:szCs w:val="24"/>
        </w:rPr>
        <w:t xml:space="preserve"> the project functions on the ground. Once the </w:t>
      </w:r>
      <w:r w:rsidR="000B552F">
        <w:rPr>
          <w:rFonts w:ascii="Times New Roman" w:hAnsi="Times New Roman" w:cs="Times New Roman"/>
          <w:sz w:val="24"/>
          <w:szCs w:val="24"/>
        </w:rPr>
        <w:t>list</w:t>
      </w:r>
      <w:r w:rsidR="000B552F" w:rsidRPr="0093028C">
        <w:rPr>
          <w:rFonts w:ascii="Times New Roman" w:hAnsi="Times New Roman" w:cs="Times New Roman"/>
          <w:sz w:val="24"/>
          <w:szCs w:val="24"/>
        </w:rPr>
        <w:t xml:space="preserve"> </w:t>
      </w:r>
      <w:r w:rsidRPr="0093028C">
        <w:rPr>
          <w:rFonts w:ascii="Times New Roman" w:hAnsi="Times New Roman" w:cs="Times New Roman"/>
          <w:sz w:val="24"/>
          <w:szCs w:val="24"/>
        </w:rPr>
        <w:t xml:space="preserve">is determined, </w:t>
      </w:r>
      <w:r w:rsidR="00013908">
        <w:rPr>
          <w:rFonts w:ascii="Times New Roman" w:hAnsi="Times New Roman" w:cs="Times New Roman"/>
          <w:sz w:val="24"/>
          <w:szCs w:val="24"/>
        </w:rPr>
        <w:t>the evaluation team</w:t>
      </w:r>
      <w:r w:rsidR="00013908" w:rsidRPr="0093028C">
        <w:rPr>
          <w:rFonts w:ascii="Times New Roman" w:hAnsi="Times New Roman" w:cs="Times New Roman"/>
          <w:sz w:val="24"/>
          <w:szCs w:val="24"/>
        </w:rPr>
        <w:t xml:space="preserve"> </w:t>
      </w:r>
      <w:r w:rsidRPr="0093028C">
        <w:rPr>
          <w:rFonts w:ascii="Times New Roman" w:hAnsi="Times New Roman" w:cs="Times New Roman"/>
          <w:sz w:val="24"/>
          <w:szCs w:val="24"/>
        </w:rPr>
        <w:t xml:space="preserve">will contact participants directly for recruitment and scheduling purposes. </w:t>
      </w:r>
    </w:p>
    <w:p w14:paraId="6343B88C" w14:textId="54BDFE58" w:rsidR="000B4CDA" w:rsidRPr="0093028C" w:rsidRDefault="000B4CDA" w:rsidP="000B4CDA">
      <w:pPr>
        <w:pStyle w:val="BHTCCBody"/>
        <w:tabs>
          <w:tab w:val="left" w:pos="1563"/>
        </w:tabs>
        <w:ind w:left="360"/>
        <w:rPr>
          <w:rFonts w:ascii="Times New Roman" w:hAnsi="Times New Roman" w:cs="Times New Roman"/>
          <w:color w:val="181818"/>
          <w:sz w:val="24"/>
          <w:szCs w:val="24"/>
        </w:rPr>
      </w:pPr>
      <w:r w:rsidRPr="002D2B8D">
        <w:rPr>
          <w:rFonts w:ascii="Times New Roman" w:hAnsi="Times New Roman" w:cs="Times New Roman"/>
          <w:sz w:val="24"/>
          <w:szCs w:val="24"/>
        </w:rPr>
        <w:t>KIIs will be used to gather information about both state and local level resources, infrastructure, program achievements, and barriers and facilitators of program activities. It will be important that potential respondents are knowledgeable about SE program operations as well as the policies and regulations that support or hinder program implementation. Thus, it will be necessary to purposively recruit persons who have sufficient experience to answer the questions in the interviews. Grantees will provide a pool of respondents to the contractor of persons that both fit the respondent category type and who have sufficient experience in the role to provide information during the KIIs. The contractor will recruit from this list until the maximum number of interviews have been conducted within respondent type and within site. Findings are not intended to be generalized to all SE programs; rather, this information will be used to understand the aspects of grantee and cross-grantee program operations that support and hinder scaling and sustaining programs beyond the grant funded period.</w:t>
      </w:r>
    </w:p>
    <w:p w14:paraId="22AA7A8F" w14:textId="50F14ED7" w:rsidR="0093028C" w:rsidRPr="0093028C" w:rsidRDefault="0093028C" w:rsidP="00783F53">
      <w:pPr>
        <w:pStyle w:val="BHTCCBody"/>
        <w:numPr>
          <w:ilvl w:val="0"/>
          <w:numId w:val="14"/>
        </w:numPr>
        <w:tabs>
          <w:tab w:val="left" w:pos="1563"/>
        </w:tabs>
        <w:rPr>
          <w:rFonts w:ascii="Times New Roman" w:hAnsi="Times New Roman" w:cs="Times New Roman"/>
          <w:color w:val="181818"/>
          <w:sz w:val="24"/>
          <w:szCs w:val="24"/>
        </w:rPr>
      </w:pPr>
      <w:r>
        <w:rPr>
          <w:rFonts w:ascii="Times New Roman" w:hAnsi="Times New Roman" w:cs="Times New Roman"/>
          <w:b/>
          <w:sz w:val="24"/>
          <w:szCs w:val="24"/>
        </w:rPr>
        <w:t>SE ENFGs</w:t>
      </w:r>
      <w:r w:rsidRPr="0093028C">
        <w:rPr>
          <w:rFonts w:ascii="Times New Roman" w:hAnsi="Times New Roman" w:cs="Times New Roman"/>
          <w:color w:val="181818"/>
          <w:sz w:val="24"/>
          <w:szCs w:val="24"/>
        </w:rPr>
        <w:t>:</w:t>
      </w:r>
      <w:r>
        <w:rPr>
          <w:rFonts w:ascii="Times New Roman" w:hAnsi="Times New Roman" w:cs="Times New Roman"/>
          <w:color w:val="181818"/>
          <w:sz w:val="24"/>
          <w:szCs w:val="24"/>
        </w:rPr>
        <w:t xml:space="preserve"> </w:t>
      </w:r>
      <w:r w:rsidR="005B675F">
        <w:rPr>
          <w:rFonts w:ascii="Times New Roman" w:hAnsi="Times New Roman" w:cs="Times New Roman"/>
          <w:color w:val="181818"/>
          <w:sz w:val="24"/>
          <w:szCs w:val="24"/>
        </w:rPr>
        <w:t>up to 84</w:t>
      </w:r>
      <w:r w:rsidR="007408B6">
        <w:rPr>
          <w:rFonts w:ascii="Times New Roman" w:hAnsi="Times New Roman" w:cs="Times New Roman"/>
          <w:color w:val="181818"/>
          <w:sz w:val="24"/>
          <w:szCs w:val="24"/>
        </w:rPr>
        <w:t xml:space="preserve"> employment specialists and </w:t>
      </w:r>
      <w:r w:rsidR="005B675F">
        <w:rPr>
          <w:rFonts w:ascii="Times New Roman" w:hAnsi="Times New Roman" w:cs="Times New Roman"/>
          <w:color w:val="181818"/>
          <w:sz w:val="24"/>
          <w:szCs w:val="24"/>
        </w:rPr>
        <w:t>84</w:t>
      </w:r>
      <w:r w:rsidR="007408B6">
        <w:rPr>
          <w:rFonts w:ascii="Times New Roman" w:hAnsi="Times New Roman" w:cs="Times New Roman"/>
          <w:color w:val="181818"/>
          <w:sz w:val="24"/>
          <w:szCs w:val="24"/>
        </w:rPr>
        <w:t xml:space="preserve"> employers (e.g., hiring managers and supervisors) </w:t>
      </w:r>
      <w:r w:rsidR="005B675F">
        <w:rPr>
          <w:rFonts w:ascii="Times New Roman" w:hAnsi="Times New Roman" w:cs="Times New Roman"/>
          <w:color w:val="181818"/>
          <w:sz w:val="24"/>
          <w:szCs w:val="24"/>
        </w:rPr>
        <w:t xml:space="preserve">total </w:t>
      </w:r>
      <w:r w:rsidR="007408B6">
        <w:rPr>
          <w:rFonts w:ascii="Times New Roman" w:hAnsi="Times New Roman" w:cs="Times New Roman"/>
          <w:color w:val="181818"/>
          <w:sz w:val="24"/>
          <w:szCs w:val="24"/>
        </w:rPr>
        <w:t xml:space="preserve">will participate in the ENFG employment specialist and employer versions, respectively, </w:t>
      </w:r>
      <w:r w:rsidR="005B675F">
        <w:rPr>
          <w:rFonts w:ascii="Times New Roman" w:hAnsi="Times New Roman" w:cs="Times New Roman"/>
          <w:color w:val="181818"/>
          <w:sz w:val="24"/>
          <w:szCs w:val="24"/>
        </w:rPr>
        <w:t>across SE grantees in</w:t>
      </w:r>
      <w:r w:rsidR="007408B6">
        <w:rPr>
          <w:rFonts w:ascii="Times New Roman" w:hAnsi="Times New Roman" w:cs="Times New Roman"/>
          <w:color w:val="181818"/>
          <w:sz w:val="24"/>
          <w:szCs w:val="24"/>
        </w:rPr>
        <w:t xml:space="preserve"> Years 2 and 4</w:t>
      </w:r>
      <w:r w:rsidR="0089143F">
        <w:rPr>
          <w:rFonts w:ascii="Times New Roman" w:hAnsi="Times New Roman" w:cs="Times New Roman"/>
          <w:color w:val="181818"/>
          <w:sz w:val="24"/>
          <w:szCs w:val="24"/>
        </w:rPr>
        <w:t xml:space="preserve">. </w:t>
      </w:r>
      <w:r w:rsidR="005B675F">
        <w:rPr>
          <w:rFonts w:ascii="Times New Roman" w:hAnsi="Times New Roman" w:cs="Times New Roman"/>
          <w:color w:val="181818"/>
          <w:sz w:val="24"/>
          <w:szCs w:val="24"/>
        </w:rPr>
        <w:t xml:space="preserve"> </w:t>
      </w:r>
      <w:r w:rsidR="0089143F">
        <w:rPr>
          <w:rFonts w:ascii="Times New Roman" w:hAnsi="Times New Roman" w:cs="Times New Roman"/>
          <w:color w:val="181818"/>
          <w:sz w:val="24"/>
          <w:szCs w:val="24"/>
        </w:rPr>
        <w:t>Six</w:t>
      </w:r>
      <w:r w:rsidR="005B675F">
        <w:rPr>
          <w:rFonts w:ascii="Times New Roman" w:hAnsi="Times New Roman" w:cs="Times New Roman"/>
          <w:color w:val="181818"/>
          <w:sz w:val="24"/>
          <w:szCs w:val="24"/>
        </w:rPr>
        <w:t xml:space="preserve"> of each respondent type will participate from each </w:t>
      </w:r>
      <w:r w:rsidR="0089143F">
        <w:rPr>
          <w:rFonts w:ascii="Times New Roman" w:hAnsi="Times New Roman" w:cs="Times New Roman"/>
          <w:color w:val="181818"/>
          <w:sz w:val="24"/>
          <w:szCs w:val="24"/>
        </w:rPr>
        <w:t>grantee; respondents will be recruited from two implementation sites</w:t>
      </w:r>
      <w:r w:rsidR="00A52B42">
        <w:rPr>
          <w:rFonts w:ascii="Times New Roman" w:hAnsi="Times New Roman" w:cs="Times New Roman"/>
          <w:color w:val="181818"/>
          <w:sz w:val="24"/>
          <w:szCs w:val="24"/>
        </w:rPr>
        <w:t xml:space="preserve"> at each grantee</w:t>
      </w:r>
      <w:r w:rsidR="005B675F">
        <w:rPr>
          <w:rFonts w:ascii="Times New Roman" w:hAnsi="Times New Roman" w:cs="Times New Roman"/>
          <w:color w:val="181818"/>
          <w:sz w:val="24"/>
          <w:szCs w:val="24"/>
        </w:rPr>
        <w:t xml:space="preserve">. </w:t>
      </w:r>
      <w:r w:rsidR="0089143F">
        <w:rPr>
          <w:rFonts w:ascii="Times New Roman" w:hAnsi="Times New Roman" w:cs="Times New Roman"/>
          <w:color w:val="181818"/>
          <w:sz w:val="24"/>
          <w:szCs w:val="24"/>
        </w:rPr>
        <w:t>Convenience sampling will be used to identify and recruit employment specialists. Purposive sampling will be used to identify and recruit employe</w:t>
      </w:r>
      <w:r w:rsidR="00A52B42">
        <w:rPr>
          <w:rFonts w:ascii="Times New Roman" w:hAnsi="Times New Roman" w:cs="Times New Roman"/>
          <w:color w:val="181818"/>
          <w:sz w:val="24"/>
          <w:szCs w:val="24"/>
        </w:rPr>
        <w:t xml:space="preserve">rs </w:t>
      </w:r>
      <w:r w:rsidR="000B552F" w:rsidRPr="00236438">
        <w:rPr>
          <w:rFonts w:ascii="Times New Roman" w:hAnsi="Times New Roman" w:cs="Times New Roman"/>
          <w:color w:val="181818"/>
          <w:sz w:val="24"/>
          <w:szCs w:val="24"/>
        </w:rPr>
        <w:t xml:space="preserve">who </w:t>
      </w:r>
      <w:r w:rsidR="008C28E2" w:rsidRPr="00236438">
        <w:rPr>
          <w:rFonts w:ascii="Times New Roman" w:hAnsi="Times New Roman" w:cs="Times New Roman"/>
          <w:color w:val="181818"/>
          <w:sz w:val="24"/>
          <w:szCs w:val="24"/>
        </w:rPr>
        <w:t>are knowledgeable of supported employees’ status as program participants.</w:t>
      </w:r>
      <w:r w:rsidR="000B552F">
        <w:rPr>
          <w:rFonts w:ascii="Times New Roman" w:hAnsi="Times New Roman" w:cs="Times New Roman"/>
          <w:color w:val="181818"/>
          <w:sz w:val="24"/>
          <w:szCs w:val="24"/>
        </w:rPr>
        <w:t xml:space="preserve"> Most program participants have not disclosed program participation; thus, employment cases where consumers have disclosed participation will be targeted for participation.  </w:t>
      </w:r>
    </w:p>
    <w:p w14:paraId="6530A81C" w14:textId="0DD5A395" w:rsidR="008D224F" w:rsidRDefault="008D224F" w:rsidP="008D224F">
      <w:pPr>
        <w:pStyle w:val="BodyText"/>
        <w:tabs>
          <w:tab w:val="left" w:pos="1563"/>
        </w:tabs>
        <w:spacing w:before="240" w:after="200"/>
        <w:rPr>
          <w:rFonts w:ascii="Times New Roman" w:hAnsi="Times New Roman" w:cs="Times New Roman"/>
          <w:sz w:val="24"/>
          <w:szCs w:val="24"/>
        </w:rPr>
      </w:pPr>
      <w:r>
        <w:rPr>
          <w:rFonts w:ascii="Times New Roman" w:hAnsi="Times New Roman" w:cs="Times New Roman"/>
          <w:color w:val="181818"/>
          <w:sz w:val="24"/>
          <w:szCs w:val="24"/>
        </w:rPr>
        <w:t xml:space="preserve">The following data collection activities are </w:t>
      </w:r>
      <w:r w:rsidRPr="00425F59">
        <w:rPr>
          <w:rFonts w:ascii="Times New Roman" w:hAnsi="Times New Roman" w:cs="Times New Roman"/>
          <w:sz w:val="24"/>
          <w:szCs w:val="24"/>
        </w:rPr>
        <w:t xml:space="preserve">reports on grant activities or </w:t>
      </w:r>
      <w:r>
        <w:rPr>
          <w:rFonts w:ascii="Times New Roman" w:hAnsi="Times New Roman" w:cs="Times New Roman"/>
          <w:sz w:val="24"/>
          <w:szCs w:val="24"/>
        </w:rPr>
        <w:t xml:space="preserve">existing </w:t>
      </w:r>
      <w:r w:rsidRPr="00425F59">
        <w:rPr>
          <w:rFonts w:ascii="Times New Roman" w:hAnsi="Times New Roman" w:cs="Times New Roman"/>
          <w:sz w:val="24"/>
          <w:szCs w:val="24"/>
        </w:rPr>
        <w:t xml:space="preserve">data </w:t>
      </w:r>
      <w:r>
        <w:rPr>
          <w:rFonts w:ascii="Times New Roman" w:hAnsi="Times New Roman" w:cs="Times New Roman"/>
          <w:sz w:val="24"/>
          <w:szCs w:val="24"/>
        </w:rPr>
        <w:t xml:space="preserve">abstractions </w:t>
      </w:r>
      <w:r w:rsidRPr="00425F59">
        <w:rPr>
          <w:rFonts w:ascii="Times New Roman" w:hAnsi="Times New Roman" w:cs="Times New Roman"/>
          <w:sz w:val="24"/>
          <w:szCs w:val="24"/>
        </w:rPr>
        <w:t>required from every grantee, so no sampling is required</w:t>
      </w:r>
      <w:r>
        <w:rPr>
          <w:rFonts w:ascii="Times New Roman" w:hAnsi="Times New Roman" w:cs="Times New Roman"/>
          <w:sz w:val="24"/>
          <w:szCs w:val="24"/>
        </w:rPr>
        <w:t>.</w:t>
      </w:r>
      <w:r w:rsidRPr="008D224F">
        <w:rPr>
          <w:rFonts w:ascii="Times New Roman" w:hAnsi="Times New Roman" w:cs="Times New Roman"/>
          <w:color w:val="181818"/>
          <w:sz w:val="24"/>
          <w:szCs w:val="24"/>
        </w:rPr>
        <w:t xml:space="preserve"> </w:t>
      </w:r>
      <w:r w:rsidRPr="00425F59">
        <w:rPr>
          <w:rFonts w:ascii="Times New Roman" w:hAnsi="Times New Roman" w:cs="Times New Roman"/>
          <w:color w:val="181818"/>
          <w:sz w:val="24"/>
          <w:szCs w:val="24"/>
        </w:rPr>
        <w:t xml:space="preserve">Respondents to these activities will be </w:t>
      </w:r>
      <w:r w:rsidR="00A52B42">
        <w:rPr>
          <w:rFonts w:ascii="Times New Roman" w:hAnsi="Times New Roman" w:cs="Times New Roman"/>
          <w:color w:val="181818"/>
          <w:sz w:val="24"/>
          <w:szCs w:val="24"/>
        </w:rPr>
        <w:t xml:space="preserve">grantee </w:t>
      </w:r>
      <w:r w:rsidRPr="00425F59">
        <w:rPr>
          <w:rFonts w:ascii="Times New Roman" w:hAnsi="Times New Roman" w:cs="Times New Roman"/>
          <w:color w:val="181818"/>
          <w:sz w:val="24"/>
          <w:szCs w:val="24"/>
        </w:rPr>
        <w:t>program staff and/or project evaluators</w:t>
      </w:r>
      <w:r w:rsidR="00A52B42">
        <w:rPr>
          <w:rFonts w:ascii="Times New Roman" w:hAnsi="Times New Roman" w:cs="Times New Roman"/>
          <w:color w:val="181818"/>
          <w:sz w:val="24"/>
          <w:szCs w:val="24"/>
        </w:rPr>
        <w:t xml:space="preserve"> and court clerks (BHTCC Comparison </w:t>
      </w:r>
      <w:proofErr w:type="spellStart"/>
      <w:r w:rsidR="00A52B42">
        <w:rPr>
          <w:rFonts w:ascii="Times New Roman" w:hAnsi="Times New Roman" w:cs="Times New Roman"/>
          <w:color w:val="181818"/>
          <w:sz w:val="24"/>
          <w:szCs w:val="24"/>
        </w:rPr>
        <w:t>Substudy</w:t>
      </w:r>
      <w:proofErr w:type="spellEnd"/>
      <w:r w:rsidR="00A52B42">
        <w:rPr>
          <w:rFonts w:ascii="Times New Roman" w:hAnsi="Times New Roman" w:cs="Times New Roman"/>
          <w:color w:val="181818"/>
          <w:sz w:val="24"/>
          <w:szCs w:val="24"/>
        </w:rPr>
        <w:t>).</w:t>
      </w:r>
      <w:r w:rsidRPr="00425F59">
        <w:rPr>
          <w:rFonts w:ascii="Times New Roman" w:hAnsi="Times New Roman" w:cs="Times New Roman"/>
          <w:color w:val="181818"/>
          <w:sz w:val="24"/>
          <w:szCs w:val="24"/>
        </w:rPr>
        <w:t xml:space="preserve"> </w:t>
      </w:r>
      <w:r>
        <w:rPr>
          <w:rFonts w:ascii="Times New Roman" w:hAnsi="Times New Roman" w:cs="Times New Roman"/>
          <w:color w:val="181818"/>
          <w:sz w:val="24"/>
          <w:szCs w:val="24"/>
        </w:rPr>
        <w:t xml:space="preserve"> </w:t>
      </w:r>
    </w:p>
    <w:p w14:paraId="09F4BA7F" w14:textId="5C662630" w:rsidR="008D224F" w:rsidRPr="008D224F" w:rsidRDefault="008D224F" w:rsidP="00783F53">
      <w:pPr>
        <w:pStyle w:val="BodyText"/>
        <w:numPr>
          <w:ilvl w:val="0"/>
          <w:numId w:val="13"/>
        </w:numPr>
        <w:tabs>
          <w:tab w:val="left" w:pos="1563"/>
        </w:tabs>
        <w:spacing w:after="200"/>
        <w:rPr>
          <w:rFonts w:ascii="Times New Roman" w:hAnsi="Times New Roman" w:cs="Times New Roman"/>
          <w:color w:val="181818"/>
          <w:sz w:val="24"/>
          <w:szCs w:val="24"/>
        </w:rPr>
      </w:pPr>
      <w:r w:rsidRPr="005B675F">
        <w:rPr>
          <w:rFonts w:ascii="Times New Roman" w:hAnsi="Times New Roman" w:cs="Times New Roman"/>
          <w:b/>
          <w:sz w:val="24"/>
          <w:szCs w:val="24"/>
        </w:rPr>
        <w:t>BPI–BHTCC</w:t>
      </w:r>
      <w:r w:rsidR="008C28E2">
        <w:rPr>
          <w:rFonts w:ascii="Times New Roman" w:hAnsi="Times New Roman" w:cs="Times New Roman"/>
          <w:b/>
          <w:sz w:val="24"/>
          <w:szCs w:val="24"/>
        </w:rPr>
        <w:t xml:space="preserve"> /</w:t>
      </w:r>
      <w:r w:rsidR="008C28E2" w:rsidRPr="008C28E2">
        <w:rPr>
          <w:rFonts w:ascii="Times New Roman" w:hAnsi="Times New Roman" w:cs="Times New Roman"/>
          <w:sz w:val="24"/>
          <w:szCs w:val="24"/>
        </w:rPr>
        <w:t xml:space="preserve"> </w:t>
      </w:r>
      <w:r w:rsidR="008C28E2">
        <w:rPr>
          <w:rFonts w:ascii="Times New Roman" w:hAnsi="Times New Roman" w:cs="Times New Roman"/>
          <w:b/>
          <w:sz w:val="24"/>
          <w:szCs w:val="24"/>
        </w:rPr>
        <w:t>BPI–SE</w:t>
      </w:r>
      <w:r w:rsidR="005B675F">
        <w:rPr>
          <w:rFonts w:ascii="Times New Roman" w:hAnsi="Times New Roman" w:cs="Times New Roman"/>
          <w:sz w:val="24"/>
          <w:szCs w:val="24"/>
        </w:rPr>
        <w:t>:</w:t>
      </w:r>
      <w:r w:rsidR="008C28E2">
        <w:rPr>
          <w:rFonts w:ascii="Times New Roman" w:hAnsi="Times New Roman" w:cs="Times New Roman"/>
          <w:sz w:val="24"/>
          <w:szCs w:val="24"/>
        </w:rPr>
        <w:t xml:space="preserve"> t</w:t>
      </w:r>
      <w:r w:rsidR="008C28E2" w:rsidRPr="006978A8">
        <w:rPr>
          <w:rFonts w:ascii="Times New Roman" w:hAnsi="Times New Roman" w:cs="Times New Roman"/>
          <w:sz w:val="24"/>
          <w:szCs w:val="24"/>
        </w:rPr>
        <w:t xml:space="preserve">he </w:t>
      </w:r>
      <w:r w:rsidR="008C28E2">
        <w:rPr>
          <w:rFonts w:ascii="Times New Roman" w:hAnsi="Times New Roman" w:cs="Times New Roman"/>
          <w:sz w:val="24"/>
          <w:szCs w:val="24"/>
        </w:rPr>
        <w:t>BPI</w:t>
      </w:r>
      <w:r w:rsidR="008C28E2" w:rsidRPr="006978A8">
        <w:rPr>
          <w:rFonts w:ascii="Times New Roman" w:hAnsi="Times New Roman" w:cs="Times New Roman"/>
          <w:sz w:val="24"/>
          <w:szCs w:val="24"/>
        </w:rPr>
        <w:t xml:space="preserve"> </w:t>
      </w:r>
      <w:r w:rsidR="008C28E2">
        <w:rPr>
          <w:rFonts w:ascii="Times New Roman" w:hAnsi="Times New Roman" w:cs="Times New Roman"/>
          <w:sz w:val="24"/>
          <w:szCs w:val="24"/>
        </w:rPr>
        <w:t>will be</w:t>
      </w:r>
      <w:r w:rsidR="008C28E2" w:rsidRPr="006978A8">
        <w:rPr>
          <w:rFonts w:ascii="Times New Roman" w:hAnsi="Times New Roman" w:cs="Times New Roman"/>
          <w:sz w:val="24"/>
          <w:szCs w:val="24"/>
        </w:rPr>
        <w:t xml:space="preserve"> administered </w:t>
      </w:r>
      <w:r w:rsidR="008C28E2">
        <w:rPr>
          <w:rFonts w:ascii="Times New Roman" w:hAnsi="Times New Roman" w:cs="Times New Roman"/>
          <w:sz w:val="24"/>
          <w:szCs w:val="24"/>
        </w:rPr>
        <w:t>on a biannual</w:t>
      </w:r>
      <w:r w:rsidR="008C28E2" w:rsidRPr="006978A8">
        <w:rPr>
          <w:rFonts w:ascii="Times New Roman" w:hAnsi="Times New Roman" w:cs="Times New Roman"/>
          <w:sz w:val="24"/>
          <w:szCs w:val="24"/>
        </w:rPr>
        <w:t xml:space="preserve"> over the course of the grant period, in the month following the end of the</w:t>
      </w:r>
      <w:r w:rsidR="008C28E2">
        <w:rPr>
          <w:rFonts w:ascii="Times New Roman" w:hAnsi="Times New Roman" w:cs="Times New Roman"/>
          <w:sz w:val="24"/>
          <w:szCs w:val="24"/>
        </w:rPr>
        <w:t xml:space="preserve"> FY</w:t>
      </w:r>
      <w:r w:rsidR="008C28E2" w:rsidRPr="006978A8">
        <w:rPr>
          <w:rFonts w:ascii="Times New Roman" w:hAnsi="Times New Roman" w:cs="Times New Roman"/>
          <w:sz w:val="24"/>
          <w:szCs w:val="24"/>
        </w:rPr>
        <w:t xml:space="preserve"> quarter</w:t>
      </w:r>
      <w:r w:rsidR="008C28E2">
        <w:rPr>
          <w:rFonts w:ascii="Times New Roman" w:hAnsi="Times New Roman" w:cs="Times New Roman"/>
          <w:sz w:val="24"/>
          <w:szCs w:val="24"/>
        </w:rPr>
        <w:t xml:space="preserve">s 2 and 4. Each grantee </w:t>
      </w:r>
      <w:r w:rsidR="008C28E2">
        <w:rPr>
          <w:rFonts w:ascii="Times New Roman" w:hAnsi="Times New Roman" w:cs="Times New Roman"/>
          <w:sz w:val="24"/>
          <w:szCs w:val="24"/>
        </w:rPr>
        <w:lastRenderedPageBreak/>
        <w:t>designates a program staff respondent. Sampling is not required.</w:t>
      </w:r>
    </w:p>
    <w:p w14:paraId="20F8D2C2" w14:textId="421A270A" w:rsidR="008D224F" w:rsidRDefault="008D224F" w:rsidP="00783F53">
      <w:pPr>
        <w:pStyle w:val="BodyText"/>
        <w:numPr>
          <w:ilvl w:val="0"/>
          <w:numId w:val="13"/>
        </w:numPr>
        <w:tabs>
          <w:tab w:val="left" w:pos="1563"/>
        </w:tabs>
        <w:spacing w:after="200"/>
        <w:rPr>
          <w:rFonts w:ascii="Times New Roman" w:hAnsi="Times New Roman" w:cs="Times New Roman"/>
          <w:color w:val="181818"/>
          <w:sz w:val="24"/>
          <w:szCs w:val="24"/>
        </w:rPr>
      </w:pPr>
      <w:r w:rsidRPr="005B675F">
        <w:rPr>
          <w:rFonts w:ascii="Times New Roman" w:hAnsi="Times New Roman" w:cs="Times New Roman"/>
          <w:b/>
          <w:sz w:val="24"/>
          <w:szCs w:val="24"/>
        </w:rPr>
        <w:t>1</w:t>
      </w:r>
      <w:r w:rsidRPr="005B675F">
        <w:rPr>
          <w:rFonts w:ascii="Times New Roman" w:hAnsi="Times New Roman" w:cs="Times New Roman"/>
          <w:b/>
          <w:color w:val="181818"/>
          <w:sz w:val="24"/>
          <w:szCs w:val="24"/>
        </w:rPr>
        <w:t>8-Month Abstraction Tool (for BHTCC participants)</w:t>
      </w:r>
      <w:r w:rsidR="005B675F">
        <w:rPr>
          <w:rFonts w:ascii="Times New Roman" w:hAnsi="Times New Roman" w:cs="Times New Roman"/>
          <w:color w:val="181818"/>
          <w:sz w:val="24"/>
          <w:szCs w:val="24"/>
        </w:rPr>
        <w:t xml:space="preserve">: </w:t>
      </w:r>
      <w:r w:rsidR="008C28E2">
        <w:rPr>
          <w:rFonts w:ascii="Times New Roman" w:hAnsi="Times New Roman" w:cs="Times New Roman"/>
          <w:sz w:val="24"/>
          <w:szCs w:val="24"/>
        </w:rPr>
        <w:t>the 18-Month Tool will be completed for the census of BHTCC participants at each grantee</w:t>
      </w:r>
      <w:r w:rsidR="001C13A1">
        <w:rPr>
          <w:rFonts w:ascii="Times New Roman" w:hAnsi="Times New Roman" w:cs="Times New Roman"/>
          <w:sz w:val="24"/>
          <w:szCs w:val="24"/>
        </w:rPr>
        <w:t xml:space="preserve"> (e.g., 100 participants per grantee)</w:t>
      </w:r>
      <w:r w:rsidR="008C28E2">
        <w:rPr>
          <w:rFonts w:ascii="Times New Roman" w:hAnsi="Times New Roman" w:cs="Times New Roman"/>
          <w:sz w:val="24"/>
          <w:szCs w:val="24"/>
        </w:rPr>
        <w:t xml:space="preserve">. </w:t>
      </w:r>
      <w:r w:rsidR="00F75214">
        <w:rPr>
          <w:rFonts w:ascii="Times New Roman" w:hAnsi="Times New Roman" w:cs="Times New Roman"/>
          <w:sz w:val="24"/>
          <w:szCs w:val="24"/>
        </w:rPr>
        <w:t>In addition, t</w:t>
      </w:r>
      <w:r w:rsidR="008C28E2">
        <w:rPr>
          <w:rFonts w:ascii="Times New Roman" w:hAnsi="Times New Roman" w:cs="Times New Roman"/>
          <w:sz w:val="24"/>
          <w:szCs w:val="24"/>
        </w:rPr>
        <w:t>he 18-Month Tool will be completed for comparison cases at each participating grantee until data on 260 offenders has been abstracted.</w:t>
      </w:r>
    </w:p>
    <w:p w14:paraId="0A8D081B" w14:textId="30AF9D93" w:rsidR="002067A7" w:rsidRPr="008C28E2" w:rsidRDefault="002067A7" w:rsidP="00783F53">
      <w:pPr>
        <w:pStyle w:val="BodyText"/>
        <w:numPr>
          <w:ilvl w:val="0"/>
          <w:numId w:val="13"/>
        </w:numPr>
        <w:tabs>
          <w:tab w:val="left" w:pos="1563"/>
        </w:tabs>
        <w:spacing w:after="200"/>
        <w:rPr>
          <w:rFonts w:ascii="Times New Roman" w:hAnsi="Times New Roman" w:cs="Times New Roman"/>
          <w:color w:val="181818"/>
          <w:sz w:val="24"/>
          <w:szCs w:val="24"/>
        </w:rPr>
      </w:pPr>
      <w:r w:rsidRPr="002067A7">
        <w:rPr>
          <w:rFonts w:ascii="Times New Roman" w:hAnsi="Times New Roman" w:cs="Times New Roman"/>
          <w:b/>
          <w:sz w:val="24"/>
          <w:szCs w:val="24"/>
        </w:rPr>
        <w:t xml:space="preserve">Comparison Study </w:t>
      </w:r>
      <w:r>
        <w:rPr>
          <w:rFonts w:ascii="Times New Roman" w:hAnsi="Times New Roman" w:cs="Times New Roman"/>
          <w:b/>
          <w:sz w:val="24"/>
          <w:szCs w:val="24"/>
        </w:rPr>
        <w:t xml:space="preserve">Abstraction </w:t>
      </w:r>
      <w:r w:rsidRPr="002067A7">
        <w:rPr>
          <w:rFonts w:ascii="Times New Roman" w:hAnsi="Times New Roman" w:cs="Times New Roman"/>
          <w:b/>
          <w:sz w:val="24"/>
          <w:szCs w:val="24"/>
        </w:rPr>
        <w:t>Tool</w:t>
      </w:r>
      <w:r w:rsidR="0043163E">
        <w:rPr>
          <w:rFonts w:ascii="Times New Roman" w:hAnsi="Times New Roman" w:cs="Times New Roman"/>
          <w:b/>
          <w:sz w:val="24"/>
          <w:szCs w:val="24"/>
        </w:rPr>
        <w:t xml:space="preserve"> (BL and 6-Month)</w:t>
      </w:r>
      <w:r>
        <w:rPr>
          <w:rFonts w:ascii="Times New Roman" w:hAnsi="Times New Roman" w:cs="Times New Roman"/>
          <w:sz w:val="24"/>
          <w:szCs w:val="24"/>
        </w:rPr>
        <w:t xml:space="preserve">: </w:t>
      </w:r>
      <w:r w:rsidR="008C28E2">
        <w:rPr>
          <w:rFonts w:ascii="Times New Roman" w:hAnsi="Times New Roman" w:cs="Times New Roman"/>
          <w:sz w:val="24"/>
          <w:szCs w:val="24"/>
        </w:rPr>
        <w:t>the Comparison Study Tool will be completed for the census of comparison study cases at each participating grantee until data on 260 offenders has been abstracted.</w:t>
      </w:r>
    </w:p>
    <w:p w14:paraId="17042F08" w14:textId="77777777" w:rsidR="00BE633F" w:rsidRPr="000E6198" w:rsidRDefault="00BE633F" w:rsidP="00236438">
      <w:pPr>
        <w:pStyle w:val="BodyText"/>
        <w:keepNext/>
        <w:widowControl/>
        <w:numPr>
          <w:ilvl w:val="0"/>
          <w:numId w:val="1"/>
        </w:numPr>
        <w:tabs>
          <w:tab w:val="left" w:pos="1563"/>
        </w:tabs>
        <w:spacing w:before="240" w:after="120"/>
        <w:rPr>
          <w:rFonts w:ascii="Tw Cen MT" w:hAnsi="Tw Cen MT" w:cs="Arial"/>
          <w:b/>
          <w:sz w:val="28"/>
          <w:szCs w:val="28"/>
        </w:rPr>
      </w:pPr>
      <w:r w:rsidRPr="00423366">
        <w:rPr>
          <w:rFonts w:ascii="Tw Cen MT" w:hAnsi="Tw Cen MT" w:cs="Arial"/>
          <w:b/>
          <w:color w:val="181818"/>
          <w:sz w:val="28"/>
          <w:szCs w:val="28"/>
        </w:rPr>
        <w:t>I</w:t>
      </w:r>
      <w:r>
        <w:rPr>
          <w:rFonts w:ascii="Tw Cen MT" w:hAnsi="Tw Cen MT" w:cs="Arial"/>
          <w:b/>
          <w:color w:val="181818"/>
          <w:sz w:val="28"/>
          <w:szCs w:val="28"/>
        </w:rPr>
        <w:t xml:space="preserve">nformation Collection Procedures </w:t>
      </w:r>
    </w:p>
    <w:p w14:paraId="4815E01B" w14:textId="07045A86" w:rsidR="000E6198" w:rsidRPr="008B6737" w:rsidRDefault="000E6198" w:rsidP="00236438">
      <w:pPr>
        <w:pStyle w:val="BodyText"/>
        <w:keepNext/>
        <w:widowControl/>
        <w:numPr>
          <w:ilvl w:val="2"/>
          <w:numId w:val="1"/>
        </w:numPr>
        <w:tabs>
          <w:tab w:val="left" w:pos="1563"/>
        </w:tabs>
        <w:spacing w:after="240"/>
        <w:rPr>
          <w:rFonts w:ascii="Tw Cen MT" w:hAnsi="Tw Cen MT" w:cs="Arial"/>
          <w:b/>
          <w:sz w:val="28"/>
          <w:szCs w:val="28"/>
        </w:rPr>
      </w:pPr>
      <w:r>
        <w:rPr>
          <w:rFonts w:ascii="Tw Cen MT" w:hAnsi="Tw Cen MT" w:cs="Arial"/>
          <w:b/>
          <w:color w:val="181818"/>
          <w:sz w:val="28"/>
          <w:szCs w:val="28"/>
        </w:rPr>
        <w:t>BHTCC Study</w:t>
      </w:r>
    </w:p>
    <w:p w14:paraId="0622A2ED" w14:textId="62F57915" w:rsidR="00537CED" w:rsidRDefault="00537CED" w:rsidP="00236438">
      <w:pPr>
        <w:pStyle w:val="GLSBody"/>
        <w:keepNext/>
        <w:spacing w:after="60"/>
        <w:rPr>
          <w:rFonts w:ascii="Tw Cen MT" w:hAnsi="Tw Cen MT"/>
          <w:b/>
          <w:u w:val="single"/>
        </w:rPr>
      </w:pPr>
      <w:r>
        <w:rPr>
          <w:rFonts w:ascii="Tw Cen MT" w:hAnsi="Tw Cen MT"/>
          <w:b/>
          <w:u w:val="single"/>
        </w:rPr>
        <w:t>BHTCC System Change Study</w:t>
      </w:r>
    </w:p>
    <w:p w14:paraId="1C0EA7BA" w14:textId="09AD5683" w:rsidR="00F75214" w:rsidRPr="00537CED" w:rsidRDefault="00F75214" w:rsidP="00DA2E38">
      <w:pPr>
        <w:pStyle w:val="GLSBody"/>
        <w:spacing w:before="120" w:after="60"/>
        <w:rPr>
          <w:rFonts w:ascii="Tw Cen MT" w:hAnsi="Tw Cen MT"/>
          <w:i/>
        </w:rPr>
      </w:pPr>
      <w:r w:rsidRPr="00537CED">
        <w:rPr>
          <w:rFonts w:ascii="Tw Cen MT" w:hAnsi="Tw Cen MT"/>
          <w:b/>
          <w:i/>
        </w:rPr>
        <w:t>Biannual Program Inventory</w:t>
      </w:r>
      <w:r w:rsidR="005B675F" w:rsidRPr="00537CED">
        <w:rPr>
          <w:rFonts w:ascii="Tw Cen MT" w:hAnsi="Tw Cen MT"/>
          <w:b/>
          <w:i/>
        </w:rPr>
        <w:t>–BHTCC</w:t>
      </w:r>
      <w:r w:rsidR="002A1A1A" w:rsidRPr="00537CED">
        <w:rPr>
          <w:rFonts w:ascii="Tw Cen MT" w:hAnsi="Tw Cen MT"/>
          <w:i/>
        </w:rPr>
        <w:t xml:space="preserve"> </w:t>
      </w:r>
    </w:p>
    <w:p w14:paraId="00CB6689" w14:textId="71DFD337" w:rsidR="00D66BF1" w:rsidRDefault="00F75214" w:rsidP="000E6198">
      <w:pPr>
        <w:pStyle w:val="GLSBody"/>
        <w:spacing w:after="200"/>
      </w:pPr>
      <w:r>
        <w:t>E</w:t>
      </w:r>
      <w:r w:rsidR="00A52B42">
        <w:t>ach BHTCC grantee will assign a respondent to complete the BPI. O</w:t>
      </w:r>
      <w:r w:rsidR="002A1A1A">
        <w:t>ne month after the end of FY quarter</w:t>
      </w:r>
      <w:r w:rsidR="001B4860">
        <w:t>s 2 and 4 (April and October)</w:t>
      </w:r>
      <w:r w:rsidR="002A1A1A">
        <w:t xml:space="preserve">, </w:t>
      </w:r>
      <w:r w:rsidR="001B4860">
        <w:t>respondents will receive</w:t>
      </w:r>
      <w:r w:rsidR="00D66BF1" w:rsidRPr="006978A8">
        <w:t xml:space="preserve"> a </w:t>
      </w:r>
      <w:r w:rsidR="001B4860">
        <w:t xml:space="preserve">BPI password via e-mail and use </w:t>
      </w:r>
      <w:r w:rsidR="00D66BF1" w:rsidRPr="006978A8">
        <w:t xml:space="preserve">the password to log in to the survey on the </w:t>
      </w:r>
      <w:r w:rsidR="001B4860">
        <w:t xml:space="preserve">CSEDS. The respondent </w:t>
      </w:r>
      <w:r w:rsidR="00D66BF1" w:rsidRPr="006978A8">
        <w:t xml:space="preserve">must finalize </w:t>
      </w:r>
      <w:r w:rsidR="002A1A1A">
        <w:t>the</w:t>
      </w:r>
      <w:r w:rsidR="00D66BF1" w:rsidRPr="006978A8">
        <w:t xml:space="preserve"> submission by the end of the administration period, which lasts for 15 business days. All </w:t>
      </w:r>
      <w:r w:rsidR="001B4860">
        <w:t>BPI entries</w:t>
      </w:r>
      <w:r w:rsidR="00D66BF1" w:rsidRPr="006978A8">
        <w:t xml:space="preserve"> </w:t>
      </w:r>
      <w:r w:rsidR="001B4860">
        <w:t>will be</w:t>
      </w:r>
      <w:r w:rsidR="00D66BF1" w:rsidRPr="006978A8">
        <w:t xml:space="preserve"> reviewed to ensure data quality. </w:t>
      </w:r>
      <w:r w:rsidR="001B4860">
        <w:t xml:space="preserve">BPI </w:t>
      </w:r>
      <w:r w:rsidR="00D66BF1" w:rsidRPr="006978A8">
        <w:t xml:space="preserve">respondents </w:t>
      </w:r>
      <w:r w:rsidR="001B4860">
        <w:t>will be</w:t>
      </w:r>
      <w:r w:rsidR="00D66BF1" w:rsidRPr="006978A8">
        <w:t xml:space="preserve"> provided with technical assistance via e-mail (e.g., help email) for any questions.</w:t>
      </w:r>
      <w:r w:rsidR="00F95FE0">
        <w:t xml:space="preserve">  </w:t>
      </w:r>
    </w:p>
    <w:p w14:paraId="4CAFDE98" w14:textId="6781E577" w:rsidR="00F75214" w:rsidRPr="00537CED" w:rsidRDefault="00F75214" w:rsidP="00F75214">
      <w:pPr>
        <w:pStyle w:val="GLSBody"/>
        <w:spacing w:after="60"/>
        <w:rPr>
          <w:rFonts w:ascii="Tw Cen MT" w:hAnsi="Tw Cen MT"/>
          <w:i/>
        </w:rPr>
      </w:pPr>
      <w:r w:rsidRPr="00537CED">
        <w:rPr>
          <w:rFonts w:ascii="Tw Cen MT" w:hAnsi="Tw Cen MT"/>
          <w:b/>
          <w:i/>
        </w:rPr>
        <w:t>System Level Assessment KIIs</w:t>
      </w:r>
    </w:p>
    <w:p w14:paraId="120C747B" w14:textId="2F62354F" w:rsidR="00AB7C8F" w:rsidRPr="00AB7C8F" w:rsidRDefault="00AB7C8F" w:rsidP="000E6198">
      <w:pPr>
        <w:pStyle w:val="BHTCCBody"/>
        <w:rPr>
          <w:rFonts w:ascii="Times New Roman" w:hAnsi="Times New Roman" w:cs="Times New Roman"/>
          <w:sz w:val="24"/>
          <w:szCs w:val="24"/>
        </w:rPr>
      </w:pPr>
      <w:r w:rsidRPr="000E6198">
        <w:rPr>
          <w:rFonts w:ascii="Times New Roman" w:hAnsi="Times New Roman" w:cs="Times New Roman"/>
          <w:sz w:val="24"/>
          <w:szCs w:val="24"/>
        </w:rPr>
        <w:t xml:space="preserve">SLA KIIs will consist of one-on-one interviews with stakeholders from each of the 17 BHTCC programs. The </w:t>
      </w:r>
      <w:r w:rsidR="00013908">
        <w:rPr>
          <w:rFonts w:ascii="Times New Roman" w:hAnsi="Times New Roman" w:cs="Times New Roman"/>
          <w:sz w:val="24"/>
          <w:szCs w:val="24"/>
        </w:rPr>
        <w:t>Contractor</w:t>
      </w:r>
      <w:r w:rsidRPr="00AB7C8F">
        <w:rPr>
          <w:rFonts w:ascii="Times New Roman" w:hAnsi="Times New Roman" w:cs="Times New Roman"/>
          <w:sz w:val="24"/>
          <w:szCs w:val="24"/>
        </w:rPr>
        <w:t xml:space="preserve"> will conduct original, qualitative data collection in Years 2 and 4 by conducting one-on-one KIIs with stakeholders from each of the 17 BHTCC programs. In Year 2, KIIs will focus on gathering information and feedback on implementation processes and outcomes related to adherence to the model; service infrastructure, capacity, and delivery processes, the service array; management structure and oversight, reward and sanction models; trauma-informed practices; collaboration among BHTCC participants; and facilitators and barriers to collaboration. In Year 4, the KIIs will focus on similar indicators as assessed in Year 2, in addition to changes over time and specific plans for future implementation. </w:t>
      </w:r>
    </w:p>
    <w:p w14:paraId="7C5D49D2" w14:textId="6C695B9C" w:rsidR="00AB7C8F" w:rsidRPr="000E6198" w:rsidRDefault="00AB7C8F" w:rsidP="00AB7C8F">
      <w:pPr>
        <w:pStyle w:val="BHTCCBody"/>
        <w:rPr>
          <w:rFonts w:ascii="Times New Roman" w:hAnsi="Times New Roman" w:cs="Times New Roman"/>
          <w:sz w:val="24"/>
          <w:szCs w:val="24"/>
        </w:rPr>
      </w:pPr>
      <w:r w:rsidRPr="000E6198">
        <w:rPr>
          <w:rFonts w:ascii="Times New Roman" w:hAnsi="Times New Roman" w:cs="Times New Roman"/>
          <w:sz w:val="24"/>
          <w:szCs w:val="24"/>
        </w:rPr>
        <w:t xml:space="preserve">The </w:t>
      </w:r>
      <w:r w:rsidR="00013908">
        <w:rPr>
          <w:rFonts w:ascii="Times New Roman" w:hAnsi="Times New Roman" w:cs="Times New Roman"/>
          <w:sz w:val="24"/>
          <w:szCs w:val="24"/>
        </w:rPr>
        <w:t>Contractor</w:t>
      </w:r>
      <w:r w:rsidRPr="000E6198">
        <w:rPr>
          <w:rFonts w:ascii="Times New Roman" w:hAnsi="Times New Roman" w:cs="Times New Roman"/>
          <w:sz w:val="24"/>
          <w:szCs w:val="24"/>
        </w:rPr>
        <w:t xml:space="preserve"> will work with SAHMSA to identify appropriate stakeholders for participation in the KIIs. Recruitment of KII participants will be initiated through contact with the BHTCC project directors for each grantee, and participation will be based on the roles and responsibilities within each grantee site. For each site, </w:t>
      </w:r>
      <w:r w:rsidR="00013908">
        <w:rPr>
          <w:rFonts w:ascii="Times New Roman" w:hAnsi="Times New Roman" w:cs="Times New Roman"/>
          <w:sz w:val="24"/>
          <w:szCs w:val="24"/>
        </w:rPr>
        <w:t>interviews will be conducted with</w:t>
      </w:r>
      <w:r w:rsidRPr="000E6198">
        <w:rPr>
          <w:rFonts w:ascii="Times New Roman" w:hAnsi="Times New Roman" w:cs="Times New Roman"/>
          <w:sz w:val="24"/>
          <w:szCs w:val="24"/>
        </w:rPr>
        <w:t xml:space="preserve"> court personnel, </w:t>
      </w:r>
      <w:r w:rsidR="000E6198">
        <w:rPr>
          <w:rFonts w:ascii="Times New Roman" w:hAnsi="Times New Roman" w:cs="Times New Roman"/>
          <w:sz w:val="24"/>
          <w:szCs w:val="24"/>
        </w:rPr>
        <w:t>service providers</w:t>
      </w:r>
      <w:r w:rsidRPr="000E6198">
        <w:rPr>
          <w:rFonts w:ascii="Times New Roman" w:hAnsi="Times New Roman" w:cs="Times New Roman"/>
          <w:sz w:val="24"/>
          <w:szCs w:val="24"/>
        </w:rPr>
        <w:t xml:space="preserve">, and </w:t>
      </w:r>
      <w:r w:rsidR="000E6198">
        <w:rPr>
          <w:rFonts w:ascii="Times New Roman" w:hAnsi="Times New Roman" w:cs="Times New Roman"/>
          <w:sz w:val="24"/>
          <w:szCs w:val="24"/>
        </w:rPr>
        <w:t>participants (and their families) in</w:t>
      </w:r>
      <w:r w:rsidRPr="000E6198">
        <w:rPr>
          <w:rFonts w:ascii="Times New Roman" w:hAnsi="Times New Roman" w:cs="Times New Roman"/>
          <w:sz w:val="24"/>
          <w:szCs w:val="24"/>
        </w:rPr>
        <w:t xml:space="preserve"> BHTCC. Recruitment of KII participants will be managed by selected grantee program staff (e.g., project directors, local evaluators) who will obtain written consent to be contacted to participate in a KII and will send the forms to the </w:t>
      </w:r>
      <w:r w:rsidR="00013908">
        <w:rPr>
          <w:rFonts w:ascii="Times New Roman" w:hAnsi="Times New Roman" w:cs="Times New Roman"/>
          <w:sz w:val="24"/>
          <w:szCs w:val="24"/>
        </w:rPr>
        <w:t>evaluation</w:t>
      </w:r>
      <w:r w:rsidR="00013908" w:rsidRPr="000E6198">
        <w:rPr>
          <w:rFonts w:ascii="Times New Roman" w:hAnsi="Times New Roman" w:cs="Times New Roman"/>
          <w:sz w:val="24"/>
          <w:szCs w:val="24"/>
        </w:rPr>
        <w:t xml:space="preserve"> </w:t>
      </w:r>
      <w:r w:rsidRPr="000E6198">
        <w:rPr>
          <w:rFonts w:ascii="Times New Roman" w:hAnsi="Times New Roman" w:cs="Times New Roman"/>
          <w:sz w:val="24"/>
          <w:szCs w:val="24"/>
        </w:rPr>
        <w:t>team.</w:t>
      </w:r>
      <w:r w:rsidR="000E6198">
        <w:rPr>
          <w:rFonts w:ascii="Times New Roman" w:hAnsi="Times New Roman" w:cs="Times New Roman"/>
          <w:sz w:val="24"/>
          <w:szCs w:val="24"/>
        </w:rPr>
        <w:t xml:space="preserve"> </w:t>
      </w:r>
      <w:r w:rsidRPr="00AB7C8F">
        <w:rPr>
          <w:rFonts w:ascii="Times New Roman" w:hAnsi="Times New Roman" w:cs="Times New Roman"/>
          <w:sz w:val="24"/>
          <w:szCs w:val="24"/>
        </w:rPr>
        <w:t>Eac</w:t>
      </w:r>
      <w:r w:rsidRPr="000E6198">
        <w:rPr>
          <w:rFonts w:ascii="Times New Roman" w:hAnsi="Times New Roman" w:cs="Times New Roman"/>
          <w:sz w:val="24"/>
          <w:szCs w:val="24"/>
        </w:rPr>
        <w:t xml:space="preserve">h interview will be conducted by one </w:t>
      </w:r>
      <w:r w:rsidR="00013908">
        <w:rPr>
          <w:rFonts w:ascii="Times New Roman" w:hAnsi="Times New Roman" w:cs="Times New Roman"/>
          <w:sz w:val="24"/>
          <w:szCs w:val="24"/>
        </w:rPr>
        <w:t xml:space="preserve">evaluation </w:t>
      </w:r>
      <w:r w:rsidRPr="000E6198">
        <w:rPr>
          <w:rFonts w:ascii="Times New Roman" w:hAnsi="Times New Roman" w:cs="Times New Roman"/>
          <w:sz w:val="24"/>
          <w:szCs w:val="24"/>
        </w:rPr>
        <w:t xml:space="preserve">team </w:t>
      </w:r>
      <w:r w:rsidR="00013908">
        <w:rPr>
          <w:rFonts w:ascii="Times New Roman" w:hAnsi="Times New Roman" w:cs="Times New Roman"/>
          <w:sz w:val="24"/>
          <w:szCs w:val="24"/>
        </w:rPr>
        <w:t xml:space="preserve">member </w:t>
      </w:r>
      <w:r w:rsidRPr="000E6198">
        <w:rPr>
          <w:rFonts w:ascii="Times New Roman" w:hAnsi="Times New Roman" w:cs="Times New Roman"/>
          <w:sz w:val="24"/>
          <w:szCs w:val="24"/>
        </w:rPr>
        <w:t xml:space="preserve">remotely, either via telephone or Skype. Interviews will last approximately 60 minutes each and be audio-recorded for analysis. The interviewer will use a semi-structured interview guide developed and tailored for different respondents at each site to gather the most pertinent information from interview participants. </w:t>
      </w:r>
    </w:p>
    <w:p w14:paraId="21E5F075" w14:textId="3E9C15BC" w:rsidR="00AB7C8F" w:rsidRPr="000E6198" w:rsidRDefault="00AB7C8F" w:rsidP="00AB7C8F">
      <w:pPr>
        <w:pStyle w:val="BHTCCBody"/>
        <w:rPr>
          <w:rFonts w:ascii="Times New Roman" w:hAnsi="Times New Roman" w:cs="Times New Roman"/>
          <w:sz w:val="24"/>
          <w:szCs w:val="24"/>
        </w:rPr>
      </w:pPr>
      <w:r w:rsidRPr="000E6198">
        <w:rPr>
          <w:rFonts w:ascii="Times New Roman" w:hAnsi="Times New Roman" w:cs="Times New Roman"/>
          <w:sz w:val="24"/>
          <w:szCs w:val="24"/>
        </w:rPr>
        <w:lastRenderedPageBreak/>
        <w:t xml:space="preserve">At the start of the interview, the interviewer will obtain verbal consent by reading aloud the informed consent statement </w:t>
      </w:r>
      <w:r w:rsidR="000E6198">
        <w:rPr>
          <w:rFonts w:ascii="Times New Roman" w:hAnsi="Times New Roman" w:cs="Times New Roman"/>
          <w:sz w:val="24"/>
          <w:szCs w:val="24"/>
        </w:rPr>
        <w:t>a</w:t>
      </w:r>
      <w:r w:rsidRPr="000E6198">
        <w:rPr>
          <w:rFonts w:ascii="Times New Roman" w:hAnsi="Times New Roman" w:cs="Times New Roman"/>
          <w:sz w:val="24"/>
          <w:szCs w:val="24"/>
        </w:rPr>
        <w:t xml:space="preserve">nd obtain verbal consent from each respondent. The consent statement describes the purpose of the study, how the information will be used, and the steps that will be taken to protect participant privacy. The respondent also will be asked to provide verbal consent to be audio-recorded. Interviews will be semi-structured and conversational, but will follow a specific set of questions developed to collect data on identified evaluation questions and indicators of particular relevance and interest. Following the interviews, audio recordings will be transcribed to facilitate qualitative analysis. </w:t>
      </w:r>
    </w:p>
    <w:p w14:paraId="11FB567F" w14:textId="70B0B348" w:rsidR="00F75214" w:rsidRPr="00537CED" w:rsidRDefault="00F75214" w:rsidP="00537CED">
      <w:pPr>
        <w:pStyle w:val="GLSBody"/>
        <w:keepNext/>
        <w:spacing w:after="60"/>
        <w:rPr>
          <w:rFonts w:ascii="Tw Cen MT" w:hAnsi="Tw Cen MT"/>
          <w:i/>
        </w:rPr>
      </w:pPr>
      <w:r w:rsidRPr="00537CED">
        <w:rPr>
          <w:rFonts w:ascii="Tw Cen MT" w:hAnsi="Tw Cen MT"/>
          <w:b/>
          <w:i/>
        </w:rPr>
        <w:t>Concept Mapping</w:t>
      </w:r>
    </w:p>
    <w:p w14:paraId="7B2F839D" w14:textId="11B82928" w:rsidR="00AB7C8F" w:rsidRPr="00AB7C8F" w:rsidRDefault="00AB7C8F" w:rsidP="00AB7C8F">
      <w:pPr>
        <w:pStyle w:val="BHTCCBody"/>
        <w:rPr>
          <w:rFonts w:ascii="Times New Roman" w:hAnsi="Times New Roman" w:cs="Times New Roman"/>
          <w:sz w:val="24"/>
          <w:szCs w:val="24"/>
        </w:rPr>
      </w:pPr>
      <w:r w:rsidRPr="00AB7C8F">
        <w:rPr>
          <w:rFonts w:ascii="Times New Roman" w:hAnsi="Times New Roman" w:cs="Times New Roman"/>
          <w:sz w:val="24"/>
          <w:szCs w:val="24"/>
        </w:rPr>
        <w:t>Concept map</w:t>
      </w:r>
      <w:r>
        <w:rPr>
          <w:rFonts w:ascii="Times New Roman" w:hAnsi="Times New Roman" w:cs="Times New Roman"/>
          <w:sz w:val="24"/>
          <w:szCs w:val="24"/>
        </w:rPr>
        <w:t>ping</w:t>
      </w:r>
      <w:r w:rsidRPr="00AB7C8F">
        <w:rPr>
          <w:rFonts w:ascii="Times New Roman" w:hAnsi="Times New Roman" w:cs="Times New Roman"/>
          <w:sz w:val="24"/>
          <w:szCs w:val="24"/>
        </w:rPr>
        <w:t xml:space="preserve"> will include the following steps:</w:t>
      </w:r>
    </w:p>
    <w:p w14:paraId="6DF68A0F" w14:textId="20EC6CBB" w:rsidR="00AB7C8F" w:rsidRPr="00AB7C8F" w:rsidRDefault="00AB7C8F" w:rsidP="00783F53">
      <w:pPr>
        <w:pStyle w:val="BHTCCBody"/>
        <w:numPr>
          <w:ilvl w:val="0"/>
          <w:numId w:val="15"/>
        </w:numPr>
        <w:rPr>
          <w:rFonts w:ascii="Times New Roman" w:hAnsi="Times New Roman" w:cs="Times New Roman"/>
          <w:i/>
          <w:sz w:val="24"/>
          <w:szCs w:val="24"/>
        </w:rPr>
      </w:pPr>
      <w:r w:rsidRPr="00AB7C8F">
        <w:rPr>
          <w:rFonts w:ascii="Times New Roman" w:hAnsi="Times New Roman" w:cs="Times New Roman"/>
          <w:i/>
          <w:sz w:val="24"/>
          <w:szCs w:val="24"/>
        </w:rPr>
        <w:t>A planning phase, anticipated to take 1–3 months:</w:t>
      </w:r>
      <w:r w:rsidRPr="00AB7C8F">
        <w:rPr>
          <w:rFonts w:ascii="Times New Roman" w:hAnsi="Times New Roman" w:cs="Times New Roman"/>
          <w:sz w:val="24"/>
          <w:szCs w:val="24"/>
        </w:rPr>
        <w:t xml:space="preserve"> The planning phase is anticipated to be longer for the first concept mapping activity (closer to 3 months), and shorter for the subsequent concept mapping activities (approximately 1 month). In this phase, the focus prompt will be determined on the basis of input from SAMHSA, the BHTCC grantees, and the </w:t>
      </w:r>
      <w:r w:rsidR="00013908">
        <w:rPr>
          <w:rFonts w:ascii="Times New Roman" w:hAnsi="Times New Roman" w:cs="Times New Roman"/>
          <w:sz w:val="24"/>
          <w:szCs w:val="24"/>
        </w:rPr>
        <w:t>evaluation team</w:t>
      </w:r>
      <w:r w:rsidRPr="00AB7C8F">
        <w:rPr>
          <w:rFonts w:ascii="Times New Roman" w:hAnsi="Times New Roman" w:cs="Times New Roman"/>
          <w:sz w:val="24"/>
          <w:szCs w:val="24"/>
        </w:rPr>
        <w:t>; a lead contact at each BHTCC site will be identified; the potential inclusion of pre-existing brainstormed ideas that incorporate community support principles, trauma-informed care principles, and other clearly understood principles associated with BHTCC will be determined. The purpose of potentially incorporating these key foundational principles would be to avoid the need for BHTCC grantees to “reinvent the wheel” during brainstorming. Instead, participants would brainstorm on more nuanced items specific to their sites rather than spending time on core foundational principles. Participants would be able to “see” the list of already identified core ideas and add their own brainstormed ideas.</w:t>
      </w:r>
    </w:p>
    <w:p w14:paraId="261B488D" w14:textId="182B71F0" w:rsidR="00AB7C8F" w:rsidRPr="001A48EF" w:rsidRDefault="00AB7C8F" w:rsidP="00783F53">
      <w:pPr>
        <w:pStyle w:val="BHTCCBody"/>
        <w:widowControl w:val="0"/>
        <w:numPr>
          <w:ilvl w:val="0"/>
          <w:numId w:val="15"/>
        </w:numPr>
        <w:tabs>
          <w:tab w:val="left" w:pos="1563"/>
        </w:tabs>
        <w:rPr>
          <w:rFonts w:ascii="Times New Roman" w:hAnsi="Times New Roman" w:cs="Times New Roman"/>
          <w:sz w:val="24"/>
          <w:szCs w:val="24"/>
        </w:rPr>
      </w:pPr>
      <w:r w:rsidRPr="001A48EF">
        <w:rPr>
          <w:rFonts w:ascii="Times New Roman" w:hAnsi="Times New Roman" w:cs="Times New Roman"/>
          <w:i/>
          <w:sz w:val="24"/>
          <w:szCs w:val="24"/>
        </w:rPr>
        <w:t>Training of BHTCC grantees and coordination of data collection activities, anticipated to take 1–3 months:</w:t>
      </w:r>
      <w:r w:rsidRPr="001A48EF">
        <w:rPr>
          <w:rFonts w:ascii="Times New Roman" w:hAnsi="Times New Roman" w:cs="Times New Roman"/>
          <w:sz w:val="24"/>
          <w:szCs w:val="24"/>
        </w:rPr>
        <w:t xml:space="preserve"> Training and coordination of activities is anticipated to take longer for the first concept mapping activity (approximately 3 months), and shorter for the subsequent concept maps (approximately 1 month). Training is anticipated to occur during the quarterly training </w:t>
      </w:r>
      <w:r w:rsidR="00C82C95">
        <w:rPr>
          <w:rFonts w:ascii="Times New Roman" w:hAnsi="Times New Roman" w:cs="Times New Roman"/>
          <w:sz w:val="24"/>
          <w:szCs w:val="24"/>
        </w:rPr>
        <w:t>w</w:t>
      </w:r>
      <w:r w:rsidRPr="001A48EF">
        <w:rPr>
          <w:rFonts w:ascii="Times New Roman" w:hAnsi="Times New Roman" w:cs="Times New Roman"/>
          <w:sz w:val="24"/>
          <w:szCs w:val="24"/>
        </w:rPr>
        <w:t>ebinars. The BHTCC study team will determine whether one training for all 17 BHTCC grantees or smaller group training will best facilitate implementation of concept mapping. As part of the training process, a list of all expected BHTCC participants will be created by the lead contact at each site.</w:t>
      </w:r>
      <w:r w:rsidR="001A48EF" w:rsidRPr="001A48EF">
        <w:rPr>
          <w:rFonts w:ascii="Times New Roman" w:hAnsi="Times New Roman" w:cs="Times New Roman"/>
          <w:sz w:val="24"/>
          <w:szCs w:val="24"/>
        </w:rPr>
        <w:t xml:space="preserve"> </w:t>
      </w:r>
      <w:r w:rsidRPr="001A48EF">
        <w:rPr>
          <w:rFonts w:ascii="Times New Roman" w:hAnsi="Times New Roman" w:cs="Times New Roman"/>
          <w:sz w:val="24"/>
          <w:szCs w:val="24"/>
        </w:rPr>
        <w:t xml:space="preserve">Coordination of data collection activities at each site also will be carried out with the lead contacts and the evaluation team. The Concept System software supports carrying out brainstorming, sorting/rating, and interpretation via a </w:t>
      </w:r>
      <w:r w:rsidR="00C82C95">
        <w:rPr>
          <w:rFonts w:ascii="Times New Roman" w:hAnsi="Times New Roman" w:cs="Times New Roman"/>
          <w:sz w:val="24"/>
          <w:szCs w:val="24"/>
        </w:rPr>
        <w:t>w</w:t>
      </w:r>
      <w:r w:rsidRPr="001A48EF">
        <w:rPr>
          <w:rFonts w:ascii="Times New Roman" w:hAnsi="Times New Roman" w:cs="Times New Roman"/>
          <w:sz w:val="24"/>
          <w:szCs w:val="24"/>
        </w:rPr>
        <w:t xml:space="preserve">eb-based program on personal computers. The feasibility of </w:t>
      </w:r>
      <w:r w:rsidR="00C82C95">
        <w:rPr>
          <w:rFonts w:ascii="Times New Roman" w:hAnsi="Times New Roman" w:cs="Times New Roman"/>
          <w:sz w:val="24"/>
          <w:szCs w:val="24"/>
        </w:rPr>
        <w:t>w</w:t>
      </w:r>
      <w:r w:rsidRPr="001A48EF">
        <w:rPr>
          <w:rFonts w:ascii="Times New Roman" w:hAnsi="Times New Roman" w:cs="Times New Roman"/>
          <w:sz w:val="24"/>
          <w:szCs w:val="24"/>
        </w:rPr>
        <w:t>eb-based participation with all BHTCC stakeholders will be assessed and coordinated during this phase; specifically, how to accommodate involvement of consumers and their families (or any other stakeholders) who may not have computer access will be addressed including a plan for how and where concept map activities will be carried out and troubleshooting any potential computer access issues. Note that concept mapping activities can also be done manually, including by phone or with paper-and-pencil formats as a potential back-up to computer access issues.</w:t>
      </w:r>
    </w:p>
    <w:p w14:paraId="7FBB20A9" w14:textId="758DB237" w:rsidR="00AB7C8F" w:rsidRPr="00AB7C8F" w:rsidRDefault="00AB7C8F" w:rsidP="00783F53">
      <w:pPr>
        <w:pStyle w:val="BHTCCBody"/>
        <w:numPr>
          <w:ilvl w:val="0"/>
          <w:numId w:val="15"/>
        </w:numPr>
        <w:spacing w:after="240"/>
        <w:rPr>
          <w:rFonts w:ascii="Times New Roman" w:hAnsi="Times New Roman" w:cs="Times New Roman"/>
          <w:sz w:val="24"/>
          <w:szCs w:val="24"/>
        </w:rPr>
      </w:pPr>
      <w:r w:rsidRPr="00AB7C8F">
        <w:rPr>
          <w:rFonts w:ascii="Times New Roman" w:hAnsi="Times New Roman" w:cs="Times New Roman"/>
          <w:i/>
          <w:sz w:val="24"/>
          <w:szCs w:val="24"/>
        </w:rPr>
        <w:t>Concept mapping data collection activities, anticipated to take 12–18 months for the 17 BHTCC local site-maps and up to 3 months for each cross-site map:</w:t>
      </w:r>
      <w:r w:rsidRPr="00AB7C8F">
        <w:rPr>
          <w:rFonts w:ascii="Times New Roman" w:hAnsi="Times New Roman" w:cs="Times New Roman"/>
          <w:sz w:val="24"/>
          <w:szCs w:val="24"/>
        </w:rPr>
        <w:t xml:space="preserve">  All concept mapping </w:t>
      </w:r>
      <w:r w:rsidRPr="00AB7C8F">
        <w:rPr>
          <w:rFonts w:ascii="Times New Roman" w:hAnsi="Times New Roman" w:cs="Times New Roman"/>
          <w:sz w:val="24"/>
          <w:szCs w:val="24"/>
        </w:rPr>
        <w:lastRenderedPageBreak/>
        <w:t xml:space="preserve">activities will be carried out remotely, with the evaluation team available via phone or </w:t>
      </w:r>
      <w:r w:rsidR="00C82C95">
        <w:rPr>
          <w:rFonts w:ascii="Times New Roman" w:hAnsi="Times New Roman" w:cs="Times New Roman"/>
          <w:sz w:val="24"/>
          <w:szCs w:val="24"/>
        </w:rPr>
        <w:t>w</w:t>
      </w:r>
      <w:r w:rsidRPr="00AB7C8F">
        <w:rPr>
          <w:rFonts w:ascii="Times New Roman" w:hAnsi="Times New Roman" w:cs="Times New Roman"/>
          <w:sz w:val="24"/>
          <w:szCs w:val="24"/>
        </w:rPr>
        <w:t xml:space="preserve">ebinar. At each site, brainstorming is anticipated to take approximately one month; sorting and rating is anticipated to take an additional month; and interpretation of initial maps will occur remotely via </w:t>
      </w:r>
      <w:r w:rsidR="00C82C95">
        <w:rPr>
          <w:rFonts w:ascii="Times New Roman" w:hAnsi="Times New Roman" w:cs="Times New Roman"/>
          <w:sz w:val="24"/>
          <w:szCs w:val="24"/>
        </w:rPr>
        <w:t>w</w:t>
      </w:r>
      <w:r w:rsidRPr="00AB7C8F">
        <w:rPr>
          <w:rFonts w:ascii="Times New Roman" w:hAnsi="Times New Roman" w:cs="Times New Roman"/>
          <w:sz w:val="24"/>
          <w:szCs w:val="24"/>
        </w:rPr>
        <w:t>ebinar for each site.</w:t>
      </w:r>
    </w:p>
    <w:p w14:paraId="7232017A" w14:textId="7F760973" w:rsidR="00F75214" w:rsidRDefault="00537CED" w:rsidP="00F75214">
      <w:pPr>
        <w:pStyle w:val="GLSBody"/>
        <w:keepNext/>
        <w:spacing w:after="60"/>
        <w:rPr>
          <w:rFonts w:ascii="Tw Cen MT" w:hAnsi="Tw Cen MT"/>
          <w:b/>
          <w:u w:val="single"/>
        </w:rPr>
      </w:pPr>
      <w:r>
        <w:rPr>
          <w:rFonts w:ascii="Tw Cen MT" w:hAnsi="Tw Cen MT"/>
          <w:b/>
          <w:u w:val="single"/>
        </w:rPr>
        <w:t xml:space="preserve">BHTCC Consumer Outcome </w:t>
      </w:r>
      <w:r w:rsidR="006B73C3">
        <w:rPr>
          <w:rFonts w:ascii="Tw Cen MT" w:hAnsi="Tw Cen MT"/>
          <w:b/>
          <w:u w:val="single"/>
        </w:rPr>
        <w:t xml:space="preserve">and Comparison </w:t>
      </w:r>
      <w:proofErr w:type="spellStart"/>
      <w:r>
        <w:rPr>
          <w:rFonts w:ascii="Tw Cen MT" w:hAnsi="Tw Cen MT"/>
          <w:b/>
          <w:u w:val="single"/>
        </w:rPr>
        <w:t>Substud</w:t>
      </w:r>
      <w:r w:rsidR="006B73C3">
        <w:rPr>
          <w:rFonts w:ascii="Tw Cen MT" w:hAnsi="Tw Cen MT"/>
          <w:b/>
          <w:u w:val="single"/>
        </w:rPr>
        <w:t>ies</w:t>
      </w:r>
      <w:proofErr w:type="spellEnd"/>
    </w:p>
    <w:p w14:paraId="15E08B83" w14:textId="77777777" w:rsidR="00537CED" w:rsidRPr="00537CED" w:rsidRDefault="00537CED" w:rsidP="00537CED">
      <w:pPr>
        <w:pStyle w:val="GLSBody"/>
        <w:keepNext/>
        <w:spacing w:before="120" w:after="60"/>
        <w:rPr>
          <w:rFonts w:ascii="Tw Cen MT" w:hAnsi="Tw Cen MT"/>
          <w:b/>
          <w:i/>
        </w:rPr>
      </w:pPr>
      <w:r w:rsidRPr="00537CED">
        <w:rPr>
          <w:rFonts w:ascii="Tw Cen MT" w:hAnsi="Tw Cen MT"/>
          <w:b/>
          <w:i/>
        </w:rPr>
        <w:t>18-Month Abstraction Tool</w:t>
      </w:r>
    </w:p>
    <w:p w14:paraId="76659165" w14:textId="7B47BF59" w:rsidR="008B6737" w:rsidRPr="00D62D36" w:rsidRDefault="008B6737" w:rsidP="000E6198">
      <w:pPr>
        <w:pStyle w:val="BHTCCBody"/>
      </w:pPr>
      <w:r w:rsidRPr="008B6737">
        <w:rPr>
          <w:rFonts w:ascii="Times New Roman" w:hAnsi="Times New Roman" w:cs="Times New Roman"/>
          <w:sz w:val="24"/>
          <w:szCs w:val="24"/>
        </w:rPr>
        <w:t xml:space="preserve">At 18 months after baseline/intake for any client enrolled in the BHTCC program, grant staff will extract risk assessment and recidivism data from existing databases, including all data from the period between baseline and 18 months. </w:t>
      </w:r>
      <w:r w:rsidR="00013908">
        <w:rPr>
          <w:rFonts w:ascii="Times New Roman" w:hAnsi="Times New Roman" w:cs="Times New Roman"/>
          <w:sz w:val="24"/>
          <w:szCs w:val="24"/>
        </w:rPr>
        <w:t>The evaluation team</w:t>
      </w:r>
      <w:r w:rsidR="00013908" w:rsidRPr="008B6737">
        <w:rPr>
          <w:rFonts w:ascii="Times New Roman" w:hAnsi="Times New Roman" w:cs="Times New Roman"/>
          <w:sz w:val="24"/>
          <w:szCs w:val="24"/>
        </w:rPr>
        <w:t xml:space="preserve"> </w:t>
      </w:r>
      <w:r w:rsidRPr="008B6737">
        <w:rPr>
          <w:rFonts w:ascii="Times New Roman" w:hAnsi="Times New Roman" w:cs="Times New Roman"/>
          <w:sz w:val="24"/>
          <w:szCs w:val="24"/>
        </w:rPr>
        <w:t xml:space="preserve">will provide an Excel tool to record the data in a predefined format. All risk assessment and recidivism records will be identified by the </w:t>
      </w:r>
      <w:r w:rsidR="00013908">
        <w:rPr>
          <w:rFonts w:ascii="Times New Roman" w:hAnsi="Times New Roman" w:cs="Times New Roman"/>
          <w:sz w:val="24"/>
          <w:szCs w:val="24"/>
        </w:rPr>
        <w:t>performance monitoring system</w:t>
      </w:r>
      <w:r w:rsidR="00013908" w:rsidRPr="008B6737">
        <w:rPr>
          <w:rFonts w:ascii="Times New Roman" w:hAnsi="Times New Roman" w:cs="Times New Roman"/>
          <w:sz w:val="24"/>
          <w:szCs w:val="24"/>
        </w:rPr>
        <w:t xml:space="preserve"> </w:t>
      </w:r>
      <w:r w:rsidRPr="008B6737">
        <w:rPr>
          <w:rFonts w:ascii="Times New Roman" w:hAnsi="Times New Roman" w:cs="Times New Roman"/>
          <w:sz w:val="24"/>
          <w:szCs w:val="24"/>
        </w:rPr>
        <w:t>client ID to enable linkage across the two client-level data sources. No identifying information will be provided (i.e., just the client ID). Beginning in year 2, grantees will upload all extracted data on a quarterly basis. In their final upload (last month of grant activity), grantees will include data for all clients not currently submitted including those enrolled less than 18 months.</w:t>
      </w:r>
    </w:p>
    <w:p w14:paraId="490C484F" w14:textId="796218BC" w:rsidR="00AB40B9" w:rsidRPr="00AB40B9" w:rsidRDefault="00AB40B9" w:rsidP="00AB40B9">
      <w:pPr>
        <w:pStyle w:val="BHTCCBody"/>
        <w:spacing w:before="120" w:after="60"/>
        <w:rPr>
          <w:rFonts w:ascii="Times New Roman" w:hAnsi="Times New Roman" w:cs="Times New Roman"/>
          <w:sz w:val="24"/>
          <w:szCs w:val="24"/>
        </w:rPr>
      </w:pPr>
      <w:r w:rsidRPr="00AB40B9">
        <w:rPr>
          <w:rFonts w:ascii="Tw Cen MT" w:hAnsi="Tw Cen MT"/>
          <w:b/>
          <w:i/>
          <w:sz w:val="24"/>
          <w:szCs w:val="24"/>
        </w:rPr>
        <w:t xml:space="preserve">Comparison Study </w:t>
      </w:r>
      <w:r>
        <w:rPr>
          <w:rFonts w:ascii="Tw Cen MT" w:hAnsi="Tw Cen MT"/>
          <w:b/>
          <w:i/>
          <w:sz w:val="24"/>
          <w:szCs w:val="24"/>
        </w:rPr>
        <w:t xml:space="preserve">Client Level Abstraction </w:t>
      </w:r>
      <w:r w:rsidRPr="00AB40B9">
        <w:rPr>
          <w:rFonts w:ascii="Tw Cen MT" w:hAnsi="Tw Cen MT"/>
          <w:b/>
          <w:i/>
          <w:sz w:val="24"/>
          <w:szCs w:val="24"/>
        </w:rPr>
        <w:t>Tool and 18-Month Tool</w:t>
      </w:r>
      <w:r w:rsidRPr="00AB40B9">
        <w:rPr>
          <w:rFonts w:ascii="Times New Roman" w:hAnsi="Times New Roman" w:cs="Times New Roman"/>
          <w:sz w:val="24"/>
          <w:szCs w:val="24"/>
        </w:rPr>
        <w:t xml:space="preserve"> </w:t>
      </w:r>
    </w:p>
    <w:p w14:paraId="6B9E208C" w14:textId="4556A970" w:rsidR="00537CED" w:rsidRPr="00537CED" w:rsidRDefault="00C82C95" w:rsidP="000B552F">
      <w:pPr>
        <w:pStyle w:val="BHTCCBody"/>
        <w:rPr>
          <w:rFonts w:ascii="Times New Roman" w:hAnsi="Times New Roman" w:cs="Times New Roman"/>
          <w:sz w:val="24"/>
          <w:szCs w:val="24"/>
        </w:rPr>
      </w:pPr>
      <w:r>
        <w:rPr>
          <w:rFonts w:ascii="Times New Roman" w:hAnsi="Times New Roman" w:cs="Times New Roman"/>
          <w:sz w:val="24"/>
          <w:szCs w:val="24"/>
        </w:rPr>
        <w:t>SAMHSA has</w:t>
      </w:r>
      <w:r w:rsidR="00537CED" w:rsidRPr="00537CED">
        <w:rPr>
          <w:rFonts w:ascii="Times New Roman" w:hAnsi="Times New Roman" w:cs="Times New Roman"/>
          <w:sz w:val="24"/>
          <w:szCs w:val="24"/>
        </w:rPr>
        <w:t xml:space="preserve"> proposed the matched comparison data collection as an enhancement to the BHTCC Consumer Outcome Study, to be administered in no more than two </w:t>
      </w:r>
      <w:r w:rsidR="00DF2473">
        <w:rPr>
          <w:rFonts w:ascii="Times New Roman" w:hAnsi="Times New Roman" w:cs="Times New Roman"/>
          <w:sz w:val="24"/>
          <w:szCs w:val="24"/>
        </w:rPr>
        <w:t xml:space="preserve">comparison </w:t>
      </w:r>
      <w:r w:rsidR="00537CED" w:rsidRPr="00537CED">
        <w:rPr>
          <w:rFonts w:ascii="Times New Roman" w:hAnsi="Times New Roman" w:cs="Times New Roman"/>
          <w:sz w:val="24"/>
          <w:szCs w:val="24"/>
        </w:rPr>
        <w:t>sites (</w:t>
      </w:r>
      <w:r>
        <w:rPr>
          <w:rFonts w:ascii="Times New Roman" w:hAnsi="Times New Roman" w:cs="Times New Roman"/>
          <w:sz w:val="24"/>
          <w:szCs w:val="24"/>
        </w:rPr>
        <w:t>it is recognized</w:t>
      </w:r>
      <w:r w:rsidR="00537CED" w:rsidRPr="00537CED">
        <w:rPr>
          <w:rFonts w:ascii="Times New Roman" w:hAnsi="Times New Roman" w:cs="Times New Roman"/>
          <w:sz w:val="24"/>
          <w:szCs w:val="24"/>
        </w:rPr>
        <w:t xml:space="preserve"> that challenges will be involved for </w:t>
      </w:r>
      <w:r w:rsidR="00DF2473">
        <w:rPr>
          <w:rFonts w:ascii="Times New Roman" w:hAnsi="Times New Roman" w:cs="Times New Roman"/>
          <w:sz w:val="24"/>
          <w:szCs w:val="24"/>
        </w:rPr>
        <w:t xml:space="preserve">identifying matched comparison samples within grantee programs [i.e., wait listed participants] or with recruiting non-BHTCC courts [for participation as a comparison site]). Ideally, comparison samples will be drawn from the grantee site (i.e., the BHTCC program court) with </w:t>
      </w:r>
      <w:r w:rsidR="00537CED" w:rsidRPr="00537CED">
        <w:rPr>
          <w:rFonts w:ascii="Times New Roman" w:hAnsi="Times New Roman" w:cs="Times New Roman"/>
          <w:sz w:val="24"/>
          <w:szCs w:val="24"/>
        </w:rPr>
        <w:t xml:space="preserve">individuals who are eligible but wait-listed for services as controls, because they will be more similar to program participants than individuals who opt out of services. However, </w:t>
      </w:r>
      <w:r w:rsidR="00DF2473">
        <w:rPr>
          <w:rFonts w:ascii="Times New Roman" w:hAnsi="Times New Roman" w:cs="Times New Roman"/>
          <w:sz w:val="24"/>
          <w:szCs w:val="24"/>
        </w:rPr>
        <w:t xml:space="preserve">preliminary reviews of grant program plans suggest that limited BHTCC programs </w:t>
      </w:r>
      <w:r w:rsidR="00537CED" w:rsidRPr="00537CED">
        <w:rPr>
          <w:rFonts w:ascii="Times New Roman" w:hAnsi="Times New Roman" w:cs="Times New Roman"/>
          <w:sz w:val="24"/>
          <w:szCs w:val="24"/>
        </w:rPr>
        <w:t>have a sufficient number of clients waiting for services</w:t>
      </w:r>
      <w:r w:rsidR="000B552F">
        <w:rPr>
          <w:rFonts w:ascii="Times New Roman" w:hAnsi="Times New Roman" w:cs="Times New Roman"/>
          <w:sz w:val="24"/>
          <w:szCs w:val="24"/>
        </w:rPr>
        <w:t xml:space="preserve">. For the matched comparison samples, </w:t>
      </w:r>
      <w:r w:rsidR="00537CED" w:rsidRPr="00537CED">
        <w:rPr>
          <w:rFonts w:ascii="Times New Roman" w:hAnsi="Times New Roman" w:cs="Times New Roman"/>
          <w:sz w:val="24"/>
          <w:szCs w:val="24"/>
        </w:rPr>
        <w:t xml:space="preserve">130 matched comparison </w:t>
      </w:r>
      <w:r w:rsidR="000B552F">
        <w:rPr>
          <w:rFonts w:ascii="Times New Roman" w:hAnsi="Times New Roman" w:cs="Times New Roman"/>
          <w:sz w:val="24"/>
          <w:szCs w:val="24"/>
        </w:rPr>
        <w:t>cases</w:t>
      </w:r>
      <w:r w:rsidR="000B552F" w:rsidRPr="00537CED">
        <w:rPr>
          <w:rFonts w:ascii="Times New Roman" w:hAnsi="Times New Roman" w:cs="Times New Roman"/>
          <w:sz w:val="24"/>
          <w:szCs w:val="24"/>
        </w:rPr>
        <w:t xml:space="preserve"> </w:t>
      </w:r>
      <w:r w:rsidR="00537CED" w:rsidRPr="00537CED">
        <w:rPr>
          <w:rFonts w:ascii="Times New Roman" w:hAnsi="Times New Roman" w:cs="Times New Roman"/>
          <w:sz w:val="24"/>
          <w:szCs w:val="24"/>
        </w:rPr>
        <w:t xml:space="preserve">per </w:t>
      </w:r>
      <w:r w:rsidR="00DF2473">
        <w:rPr>
          <w:rFonts w:ascii="Times New Roman" w:hAnsi="Times New Roman" w:cs="Times New Roman"/>
          <w:sz w:val="24"/>
          <w:szCs w:val="24"/>
        </w:rPr>
        <w:t xml:space="preserve">comparison </w:t>
      </w:r>
      <w:r w:rsidR="00537CED" w:rsidRPr="00537CED">
        <w:rPr>
          <w:rFonts w:ascii="Times New Roman" w:hAnsi="Times New Roman" w:cs="Times New Roman"/>
          <w:sz w:val="24"/>
          <w:szCs w:val="24"/>
        </w:rPr>
        <w:t>site, distributed across 3 years of data collection</w:t>
      </w:r>
      <w:r w:rsidR="000B552F">
        <w:rPr>
          <w:rFonts w:ascii="Times New Roman" w:hAnsi="Times New Roman" w:cs="Times New Roman"/>
          <w:sz w:val="24"/>
          <w:szCs w:val="24"/>
        </w:rPr>
        <w:t xml:space="preserve"> will result in adequate power to </w:t>
      </w:r>
      <w:r w:rsidR="000B552F" w:rsidRPr="000B552F">
        <w:rPr>
          <w:rFonts w:ascii="Times New Roman" w:hAnsi="Times New Roman" w:cs="Times New Roman"/>
          <w:sz w:val="24"/>
          <w:szCs w:val="24"/>
        </w:rPr>
        <w:t>detect differences in</w:t>
      </w:r>
      <w:r w:rsidR="000B552F">
        <w:rPr>
          <w:rFonts w:ascii="Times New Roman" w:hAnsi="Times New Roman" w:cs="Times New Roman"/>
          <w:sz w:val="24"/>
          <w:szCs w:val="24"/>
        </w:rPr>
        <w:t xml:space="preserve"> consumer outcomes such as recidivism gathered through the 18 month data abstraction tool. </w:t>
      </w:r>
      <w:r w:rsidR="00537CED" w:rsidRPr="00537CED">
        <w:rPr>
          <w:rFonts w:ascii="Times New Roman" w:hAnsi="Times New Roman" w:cs="Times New Roman"/>
          <w:sz w:val="24"/>
          <w:szCs w:val="24"/>
        </w:rPr>
        <w:t xml:space="preserve">Further, </w:t>
      </w:r>
      <w:r w:rsidR="00DF2473">
        <w:rPr>
          <w:rFonts w:ascii="Times New Roman" w:hAnsi="Times New Roman" w:cs="Times New Roman"/>
          <w:sz w:val="24"/>
          <w:szCs w:val="24"/>
        </w:rPr>
        <w:t>it is yet unknown</w:t>
      </w:r>
      <w:r w:rsidR="00537CED" w:rsidRPr="00537CED">
        <w:rPr>
          <w:rFonts w:ascii="Times New Roman" w:hAnsi="Times New Roman" w:cs="Times New Roman"/>
          <w:sz w:val="24"/>
          <w:szCs w:val="24"/>
        </w:rPr>
        <w:t xml:space="preserve"> whether the wait-listed individuals will be waiting for services long enough to participate in 6 months of data collection. These are considerations that will be taken into account when selecting the two </w:t>
      </w:r>
      <w:r w:rsidR="00DF2473">
        <w:rPr>
          <w:rFonts w:ascii="Times New Roman" w:hAnsi="Times New Roman" w:cs="Times New Roman"/>
          <w:sz w:val="24"/>
          <w:szCs w:val="24"/>
        </w:rPr>
        <w:t xml:space="preserve">comparison study </w:t>
      </w:r>
      <w:r w:rsidR="00017BEA">
        <w:rPr>
          <w:rFonts w:ascii="Times New Roman" w:hAnsi="Times New Roman" w:cs="Times New Roman"/>
          <w:sz w:val="24"/>
          <w:szCs w:val="24"/>
        </w:rPr>
        <w:t>samples/</w:t>
      </w:r>
      <w:r w:rsidR="00DF2473">
        <w:rPr>
          <w:rFonts w:ascii="Times New Roman" w:hAnsi="Times New Roman" w:cs="Times New Roman"/>
          <w:sz w:val="24"/>
          <w:szCs w:val="24"/>
        </w:rPr>
        <w:t>sites (BHTCC wait li</w:t>
      </w:r>
      <w:r w:rsidR="00017BEA">
        <w:rPr>
          <w:rFonts w:ascii="Times New Roman" w:hAnsi="Times New Roman" w:cs="Times New Roman"/>
          <w:sz w:val="24"/>
          <w:szCs w:val="24"/>
        </w:rPr>
        <w:t xml:space="preserve">st or non-BHTCC comparison site) for inclusion in the comparison study. If sufficient control cases exist using </w:t>
      </w:r>
      <w:r w:rsidR="00537CED" w:rsidRPr="00537CED">
        <w:rPr>
          <w:rFonts w:ascii="Times New Roman" w:hAnsi="Times New Roman" w:cs="Times New Roman"/>
          <w:sz w:val="24"/>
          <w:szCs w:val="24"/>
        </w:rPr>
        <w:t xml:space="preserve">the wait-list approach, </w:t>
      </w:r>
      <w:r w:rsidR="00017BEA">
        <w:rPr>
          <w:rFonts w:ascii="Times New Roman" w:hAnsi="Times New Roman" w:cs="Times New Roman"/>
          <w:sz w:val="24"/>
          <w:szCs w:val="24"/>
        </w:rPr>
        <w:t xml:space="preserve">comparison sites will be recruited for a matched sample of </w:t>
      </w:r>
      <w:r w:rsidR="00537CED" w:rsidRPr="00537CED">
        <w:rPr>
          <w:rFonts w:ascii="Times New Roman" w:hAnsi="Times New Roman" w:cs="Times New Roman"/>
          <w:sz w:val="24"/>
          <w:szCs w:val="24"/>
        </w:rPr>
        <w:t>individuals who are eligible but who opt out of services</w:t>
      </w:r>
      <w:r w:rsidR="00017BEA">
        <w:rPr>
          <w:rFonts w:ascii="Times New Roman" w:hAnsi="Times New Roman" w:cs="Times New Roman"/>
          <w:sz w:val="24"/>
          <w:szCs w:val="24"/>
        </w:rPr>
        <w:t xml:space="preserve"> or go through an alternative court in a neighboring jurisdiction</w:t>
      </w:r>
      <w:r w:rsidR="00537CED" w:rsidRPr="00537CED">
        <w:rPr>
          <w:rFonts w:ascii="Times New Roman" w:hAnsi="Times New Roman" w:cs="Times New Roman"/>
          <w:sz w:val="24"/>
          <w:szCs w:val="24"/>
        </w:rPr>
        <w:t xml:space="preserve">. </w:t>
      </w:r>
      <w:r w:rsidR="00017BEA">
        <w:rPr>
          <w:rFonts w:ascii="Times New Roman" w:hAnsi="Times New Roman" w:cs="Times New Roman"/>
          <w:sz w:val="24"/>
          <w:szCs w:val="24"/>
        </w:rPr>
        <w:t xml:space="preserve">To use this approach, control measures </w:t>
      </w:r>
      <w:r w:rsidR="00537CED" w:rsidRPr="00537CED">
        <w:rPr>
          <w:rFonts w:ascii="Times New Roman" w:hAnsi="Times New Roman" w:cs="Times New Roman"/>
          <w:sz w:val="24"/>
          <w:szCs w:val="24"/>
        </w:rPr>
        <w:t xml:space="preserve">(e.g., prior criminal history, prior jail time, and </w:t>
      </w:r>
      <w:r w:rsidR="00017BEA">
        <w:rPr>
          <w:rFonts w:ascii="Times New Roman" w:hAnsi="Times New Roman" w:cs="Times New Roman"/>
          <w:sz w:val="24"/>
          <w:szCs w:val="24"/>
        </w:rPr>
        <w:t>presence of eligibility criteria</w:t>
      </w:r>
      <w:r w:rsidR="00537CED" w:rsidRPr="00537CED">
        <w:rPr>
          <w:rFonts w:ascii="Times New Roman" w:hAnsi="Times New Roman" w:cs="Times New Roman"/>
          <w:sz w:val="24"/>
          <w:szCs w:val="24"/>
        </w:rPr>
        <w:t>)</w:t>
      </w:r>
      <w:r w:rsidR="00017BEA">
        <w:rPr>
          <w:rFonts w:ascii="Times New Roman" w:hAnsi="Times New Roman" w:cs="Times New Roman"/>
          <w:sz w:val="24"/>
          <w:szCs w:val="24"/>
        </w:rPr>
        <w:t xml:space="preserve"> will need to be gathered for the control sample through a non-BHTCC program comparison site</w:t>
      </w:r>
      <w:r w:rsidR="00537CED" w:rsidRPr="00537CED">
        <w:rPr>
          <w:rFonts w:ascii="Times New Roman" w:hAnsi="Times New Roman" w:cs="Times New Roman"/>
          <w:sz w:val="24"/>
          <w:szCs w:val="24"/>
        </w:rPr>
        <w:t xml:space="preserve">. This approach has been used in other research studies comparing participants in mental health and traditional courts (Moore, &amp; </w:t>
      </w:r>
      <w:proofErr w:type="spellStart"/>
      <w:r w:rsidR="00537CED" w:rsidRPr="00537CED">
        <w:rPr>
          <w:rFonts w:ascii="Times New Roman" w:hAnsi="Times New Roman" w:cs="Times New Roman"/>
          <w:sz w:val="24"/>
          <w:szCs w:val="24"/>
        </w:rPr>
        <w:t>Hiday</w:t>
      </w:r>
      <w:proofErr w:type="spellEnd"/>
      <w:r w:rsidR="00537CED" w:rsidRPr="00537CED">
        <w:rPr>
          <w:rFonts w:ascii="Times New Roman" w:hAnsi="Times New Roman" w:cs="Times New Roman"/>
          <w:sz w:val="24"/>
          <w:szCs w:val="24"/>
        </w:rPr>
        <w:t>, 2006).</w:t>
      </w:r>
    </w:p>
    <w:p w14:paraId="19743FFC" w14:textId="01AFEC1D" w:rsidR="00537CED" w:rsidRDefault="00017BEA" w:rsidP="00017BEA">
      <w:pPr>
        <w:pStyle w:val="BHTCCBody"/>
        <w:rPr>
          <w:rFonts w:ascii="Times New Roman" w:hAnsi="Times New Roman" w:cs="Times New Roman"/>
          <w:sz w:val="24"/>
          <w:szCs w:val="24"/>
        </w:rPr>
      </w:pPr>
      <w:r>
        <w:rPr>
          <w:rFonts w:ascii="Times New Roman" w:hAnsi="Times New Roman" w:cs="Times New Roman"/>
          <w:sz w:val="24"/>
          <w:szCs w:val="24"/>
        </w:rPr>
        <w:t>In addition, c</w:t>
      </w:r>
      <w:r w:rsidR="00DF2473">
        <w:rPr>
          <w:rFonts w:ascii="Times New Roman" w:hAnsi="Times New Roman" w:cs="Times New Roman"/>
          <w:sz w:val="24"/>
          <w:szCs w:val="24"/>
        </w:rPr>
        <w:t>lient-level information on comparable offenders</w:t>
      </w:r>
      <w:r w:rsidR="00537CED" w:rsidRPr="00537CED">
        <w:rPr>
          <w:rFonts w:ascii="Times New Roman" w:hAnsi="Times New Roman" w:cs="Times New Roman"/>
          <w:sz w:val="24"/>
          <w:szCs w:val="24"/>
        </w:rPr>
        <w:t xml:space="preserve"> who are not being provided services</w:t>
      </w:r>
      <w:r>
        <w:rPr>
          <w:rFonts w:ascii="Times New Roman" w:hAnsi="Times New Roman" w:cs="Times New Roman"/>
          <w:sz w:val="24"/>
          <w:szCs w:val="24"/>
        </w:rPr>
        <w:t xml:space="preserve"> will be gathered</w:t>
      </w:r>
      <w:r w:rsidR="00537CED" w:rsidRPr="00537CED">
        <w:rPr>
          <w:rFonts w:ascii="Times New Roman" w:hAnsi="Times New Roman" w:cs="Times New Roman"/>
          <w:sz w:val="24"/>
          <w:szCs w:val="24"/>
        </w:rPr>
        <w:t xml:space="preserve">. </w:t>
      </w:r>
      <w:r w:rsidR="00013908">
        <w:rPr>
          <w:rFonts w:ascii="Times New Roman" w:hAnsi="Times New Roman" w:cs="Times New Roman"/>
          <w:sz w:val="24"/>
          <w:szCs w:val="24"/>
        </w:rPr>
        <w:t>The evaluation team will</w:t>
      </w:r>
      <w:r w:rsidR="00537CED" w:rsidRPr="00537CED">
        <w:rPr>
          <w:rFonts w:ascii="Times New Roman" w:hAnsi="Times New Roman" w:cs="Times New Roman"/>
          <w:sz w:val="24"/>
          <w:szCs w:val="24"/>
        </w:rPr>
        <w:t xml:space="preserve"> work with local program staff on strategies for </w:t>
      </w:r>
      <w:r>
        <w:rPr>
          <w:rFonts w:ascii="Times New Roman" w:hAnsi="Times New Roman" w:cs="Times New Roman"/>
          <w:sz w:val="24"/>
          <w:szCs w:val="24"/>
        </w:rPr>
        <w:t xml:space="preserve">recruitment of a non-BHTCC court for a matched control group sample, </w:t>
      </w:r>
      <w:r w:rsidR="00537CED" w:rsidRPr="00537CED">
        <w:rPr>
          <w:rFonts w:ascii="Times New Roman" w:hAnsi="Times New Roman" w:cs="Times New Roman"/>
          <w:sz w:val="24"/>
          <w:szCs w:val="24"/>
        </w:rPr>
        <w:t xml:space="preserve">gaining buy-in, and emphasizing the value of their perspective and contributions. </w:t>
      </w:r>
      <w:r w:rsidR="00013908">
        <w:rPr>
          <w:rFonts w:ascii="Times New Roman" w:hAnsi="Times New Roman" w:cs="Times New Roman"/>
          <w:sz w:val="24"/>
          <w:szCs w:val="24"/>
        </w:rPr>
        <w:t>The evaluation team also</w:t>
      </w:r>
      <w:r w:rsidR="00013908" w:rsidRPr="00537CED">
        <w:rPr>
          <w:rFonts w:ascii="Times New Roman" w:hAnsi="Times New Roman" w:cs="Times New Roman"/>
          <w:sz w:val="24"/>
          <w:szCs w:val="24"/>
        </w:rPr>
        <w:t xml:space="preserve"> </w:t>
      </w:r>
      <w:r w:rsidR="00537CED" w:rsidRPr="00537CED">
        <w:rPr>
          <w:rFonts w:ascii="Times New Roman" w:hAnsi="Times New Roman" w:cs="Times New Roman"/>
          <w:sz w:val="24"/>
          <w:szCs w:val="24"/>
        </w:rPr>
        <w:t xml:space="preserve">will work with local </w:t>
      </w:r>
      <w:r>
        <w:rPr>
          <w:rFonts w:ascii="Times New Roman" w:hAnsi="Times New Roman" w:cs="Times New Roman"/>
          <w:sz w:val="24"/>
          <w:szCs w:val="24"/>
        </w:rPr>
        <w:t xml:space="preserve">BHTCC </w:t>
      </w:r>
      <w:r w:rsidR="00537CED" w:rsidRPr="00537CED">
        <w:rPr>
          <w:rFonts w:ascii="Times New Roman" w:hAnsi="Times New Roman" w:cs="Times New Roman"/>
          <w:sz w:val="24"/>
          <w:szCs w:val="24"/>
        </w:rPr>
        <w:t xml:space="preserve">program staff on strategies to </w:t>
      </w:r>
      <w:r w:rsidR="00537CED">
        <w:rPr>
          <w:rFonts w:ascii="Times New Roman" w:hAnsi="Times New Roman" w:cs="Times New Roman"/>
          <w:sz w:val="24"/>
          <w:szCs w:val="24"/>
        </w:rPr>
        <w:t>abstract</w:t>
      </w:r>
      <w:r w:rsidR="00537CED" w:rsidRPr="00537CED">
        <w:rPr>
          <w:rFonts w:ascii="Times New Roman" w:hAnsi="Times New Roman" w:cs="Times New Roman"/>
          <w:sz w:val="24"/>
          <w:szCs w:val="24"/>
        </w:rPr>
        <w:t xml:space="preserve"> data from matched control cases</w:t>
      </w:r>
      <w:r>
        <w:rPr>
          <w:rFonts w:ascii="Times New Roman" w:hAnsi="Times New Roman" w:cs="Times New Roman"/>
          <w:sz w:val="24"/>
          <w:szCs w:val="24"/>
        </w:rPr>
        <w:t xml:space="preserve"> (i.e., </w:t>
      </w:r>
      <w:r>
        <w:rPr>
          <w:rFonts w:ascii="Times New Roman" w:hAnsi="Times New Roman" w:cs="Times New Roman"/>
          <w:sz w:val="24"/>
          <w:szCs w:val="24"/>
        </w:rPr>
        <w:lastRenderedPageBreak/>
        <w:t>wait-listed cases)</w:t>
      </w:r>
      <w:r w:rsidR="00537CED" w:rsidRPr="00537CED">
        <w:rPr>
          <w:rFonts w:ascii="Times New Roman" w:hAnsi="Times New Roman" w:cs="Times New Roman"/>
          <w:sz w:val="24"/>
          <w:szCs w:val="24"/>
        </w:rPr>
        <w:t xml:space="preserve">. For example, staff can schedule data </w:t>
      </w:r>
      <w:r w:rsidR="00537CED">
        <w:rPr>
          <w:rFonts w:ascii="Times New Roman" w:hAnsi="Times New Roman" w:cs="Times New Roman"/>
          <w:sz w:val="24"/>
          <w:szCs w:val="24"/>
        </w:rPr>
        <w:t xml:space="preserve">abstraction </w:t>
      </w:r>
      <w:r w:rsidR="00537CED" w:rsidRPr="00537CED">
        <w:rPr>
          <w:rFonts w:ascii="Times New Roman" w:hAnsi="Times New Roman" w:cs="Times New Roman"/>
          <w:sz w:val="24"/>
          <w:szCs w:val="24"/>
        </w:rPr>
        <w:t>for times and locations when individuals are already participating in regularly scheduled court appearances</w:t>
      </w:r>
      <w:r w:rsidR="00537CED">
        <w:rPr>
          <w:rFonts w:ascii="Times New Roman" w:hAnsi="Times New Roman" w:cs="Times New Roman"/>
          <w:sz w:val="24"/>
          <w:szCs w:val="24"/>
        </w:rPr>
        <w:t>.</w:t>
      </w:r>
      <w:r w:rsidR="00537CED" w:rsidRPr="00537CED">
        <w:rPr>
          <w:rFonts w:ascii="Times New Roman" w:hAnsi="Times New Roman" w:cs="Times New Roman"/>
          <w:sz w:val="24"/>
          <w:szCs w:val="24"/>
        </w:rPr>
        <w:t xml:space="preserve"> </w:t>
      </w:r>
    </w:p>
    <w:p w14:paraId="7DAA183A" w14:textId="77777777" w:rsidR="00CD34CF" w:rsidRPr="00B406CD" w:rsidRDefault="00CD34CF" w:rsidP="00CD34CF">
      <w:pPr>
        <w:pStyle w:val="BHTCCBody"/>
        <w:spacing w:after="60"/>
        <w:rPr>
          <w:rFonts w:ascii="Tw Cen MT" w:hAnsi="Tw Cen MT" w:cs="Times New Roman"/>
          <w:i/>
          <w:sz w:val="24"/>
          <w:szCs w:val="24"/>
        </w:rPr>
      </w:pPr>
      <w:r w:rsidRPr="00B406CD">
        <w:rPr>
          <w:rFonts w:ascii="Tw Cen MT" w:hAnsi="Tw Cen MT" w:cs="Times New Roman"/>
          <w:i/>
          <w:sz w:val="24"/>
          <w:szCs w:val="24"/>
        </w:rPr>
        <w:t xml:space="preserve">Power Analysis </w:t>
      </w:r>
    </w:p>
    <w:p w14:paraId="01706DEC" w14:textId="7B9F1F39" w:rsidR="00CD34CF" w:rsidRPr="008B6737" w:rsidRDefault="00C82C95" w:rsidP="00CD34CF">
      <w:pPr>
        <w:pStyle w:val="BHTCCBody"/>
        <w:rPr>
          <w:rFonts w:ascii="Times New Roman" w:hAnsi="Times New Roman" w:cs="Times New Roman"/>
          <w:sz w:val="24"/>
          <w:szCs w:val="24"/>
        </w:rPr>
      </w:pPr>
      <w:r>
        <w:rPr>
          <w:rFonts w:ascii="Times New Roman" w:hAnsi="Times New Roman" w:cs="Times New Roman"/>
          <w:sz w:val="24"/>
          <w:szCs w:val="24"/>
        </w:rPr>
        <w:t xml:space="preserve">SAMHSA </w:t>
      </w:r>
      <w:r w:rsidR="00CD34CF" w:rsidRPr="008B6737">
        <w:rPr>
          <w:rFonts w:ascii="Times New Roman" w:hAnsi="Times New Roman" w:cs="Times New Roman"/>
          <w:sz w:val="24"/>
          <w:szCs w:val="24"/>
        </w:rPr>
        <w:t>estimate</w:t>
      </w:r>
      <w:r>
        <w:rPr>
          <w:rFonts w:ascii="Times New Roman" w:hAnsi="Times New Roman" w:cs="Times New Roman"/>
          <w:sz w:val="24"/>
          <w:szCs w:val="24"/>
        </w:rPr>
        <w:t>s</w:t>
      </w:r>
      <w:r w:rsidR="00CD34CF" w:rsidRPr="008B6737">
        <w:rPr>
          <w:rFonts w:ascii="Times New Roman" w:hAnsi="Times New Roman" w:cs="Times New Roman"/>
          <w:sz w:val="24"/>
          <w:szCs w:val="24"/>
        </w:rPr>
        <w:t xml:space="preserve"> the minimum detectable difference in the proportion of clients with rearrests, recommitments or revocations at 18 months between two groups of clients defined by intake characteristics (e.g. gender, race-ethnic identification) or program participation (e.g. clients successfully engaged in the program during six months) with 80% power at a 5% significance level. Given the high prevalence of recidivism, the maximum variance for a proportion (i.e., 0.5) </w:t>
      </w:r>
      <w:r>
        <w:rPr>
          <w:rFonts w:ascii="Times New Roman" w:hAnsi="Times New Roman" w:cs="Times New Roman"/>
          <w:sz w:val="24"/>
          <w:szCs w:val="24"/>
        </w:rPr>
        <w:t xml:space="preserve">will be used </w:t>
      </w:r>
      <w:r w:rsidR="00CD34CF" w:rsidRPr="008B6737">
        <w:rPr>
          <w:rFonts w:ascii="Times New Roman" w:hAnsi="Times New Roman" w:cs="Times New Roman"/>
          <w:sz w:val="24"/>
          <w:szCs w:val="24"/>
        </w:rPr>
        <w:t>for the power analysis. Two scenarios regarding the relative size of the groups that will be compared are presented: in the first one, the two groups have equal size; in the second one, one of the groups represents only 10% of the sample.</w:t>
      </w:r>
    </w:p>
    <w:p w14:paraId="5135AC28" w14:textId="2FBE7FBB" w:rsidR="00CD34CF" w:rsidRPr="008B6737" w:rsidRDefault="00CD34CF" w:rsidP="00CD34CF">
      <w:pPr>
        <w:pStyle w:val="BHTCCBody"/>
        <w:rPr>
          <w:rFonts w:ascii="Times New Roman" w:hAnsi="Times New Roman" w:cs="Times New Roman"/>
          <w:sz w:val="24"/>
          <w:szCs w:val="24"/>
        </w:rPr>
      </w:pPr>
      <w:r w:rsidRPr="008B6737">
        <w:rPr>
          <w:rFonts w:ascii="Times New Roman" w:hAnsi="Times New Roman" w:cs="Times New Roman"/>
          <w:sz w:val="24"/>
          <w:szCs w:val="24"/>
        </w:rPr>
        <w:t xml:space="preserve">The 18-Month Data Abstraction Tool will use a census rather than a sampling approach. Because this data collection activity does not rely on interviews to clients, </w:t>
      </w:r>
      <w:r w:rsidR="00C82C95" w:rsidRPr="008B6737">
        <w:rPr>
          <w:rFonts w:ascii="Times New Roman" w:hAnsi="Times New Roman" w:cs="Times New Roman"/>
          <w:sz w:val="24"/>
          <w:szCs w:val="24"/>
        </w:rPr>
        <w:t>a significant amount of attrition</w:t>
      </w:r>
      <w:r w:rsidR="00C82C95">
        <w:rPr>
          <w:rFonts w:ascii="Times New Roman" w:hAnsi="Times New Roman" w:cs="Times New Roman"/>
          <w:sz w:val="24"/>
          <w:szCs w:val="24"/>
        </w:rPr>
        <w:t xml:space="preserve"> is not</w:t>
      </w:r>
      <w:r w:rsidRPr="008B6737">
        <w:rPr>
          <w:rFonts w:ascii="Times New Roman" w:hAnsi="Times New Roman" w:cs="Times New Roman"/>
          <w:sz w:val="24"/>
          <w:szCs w:val="24"/>
        </w:rPr>
        <w:t xml:space="preserve"> anticipate</w:t>
      </w:r>
      <w:r w:rsidR="00C82C95">
        <w:rPr>
          <w:rFonts w:ascii="Times New Roman" w:hAnsi="Times New Roman" w:cs="Times New Roman"/>
          <w:sz w:val="24"/>
          <w:szCs w:val="24"/>
        </w:rPr>
        <w:t>d</w:t>
      </w:r>
      <w:r w:rsidRPr="008B6737">
        <w:rPr>
          <w:rFonts w:ascii="Times New Roman" w:hAnsi="Times New Roman" w:cs="Times New Roman"/>
          <w:sz w:val="24"/>
          <w:szCs w:val="24"/>
        </w:rPr>
        <w:t xml:space="preserve">. Missing data could arise, however, in the case of grantees unable to access this information. By the end of the program, </w:t>
      </w:r>
      <w:r w:rsidR="00C82C95">
        <w:rPr>
          <w:rFonts w:ascii="Times New Roman" w:hAnsi="Times New Roman" w:cs="Times New Roman"/>
          <w:sz w:val="24"/>
          <w:szCs w:val="24"/>
        </w:rPr>
        <w:t>it is</w:t>
      </w:r>
      <w:r w:rsidRPr="008B6737">
        <w:rPr>
          <w:rFonts w:ascii="Times New Roman" w:hAnsi="Times New Roman" w:cs="Times New Roman"/>
          <w:sz w:val="24"/>
          <w:szCs w:val="24"/>
        </w:rPr>
        <w:t xml:space="preserve"> anticipate</w:t>
      </w:r>
      <w:r w:rsidR="00C82C95">
        <w:rPr>
          <w:rFonts w:ascii="Times New Roman" w:hAnsi="Times New Roman" w:cs="Times New Roman"/>
          <w:sz w:val="24"/>
          <w:szCs w:val="24"/>
        </w:rPr>
        <w:t>d</w:t>
      </w:r>
      <w:r w:rsidRPr="008B6737">
        <w:rPr>
          <w:rFonts w:ascii="Times New Roman" w:hAnsi="Times New Roman" w:cs="Times New Roman"/>
          <w:sz w:val="24"/>
          <w:szCs w:val="24"/>
        </w:rPr>
        <w:t xml:space="preserve"> that follow up information on approximately 100 clients per site will be collected (i.e. clients enrolled since program inception through the first half of the third year).</w:t>
      </w:r>
    </w:p>
    <w:p w14:paraId="131A67EE" w14:textId="47443378" w:rsidR="00CD34CF" w:rsidRDefault="00CD34CF" w:rsidP="00CD34CF">
      <w:pPr>
        <w:pStyle w:val="BHTCCBody"/>
        <w:rPr>
          <w:rFonts w:ascii="Times New Roman" w:hAnsi="Times New Roman" w:cs="Times New Roman"/>
          <w:sz w:val="24"/>
          <w:szCs w:val="24"/>
        </w:rPr>
      </w:pPr>
      <w:r w:rsidRPr="008B6737">
        <w:rPr>
          <w:rFonts w:ascii="Times New Roman" w:hAnsi="Times New Roman" w:cs="Times New Roman"/>
          <w:sz w:val="24"/>
          <w:szCs w:val="24"/>
        </w:rPr>
        <w:t>The estimated minimum detectable difference across sites is 7% (for groups of equal size) 12% (if one group represents only 10% of the sample) assuming 15 out of the 17 grantees are able to participate. On the other hand, the minimum detectable difference using the sample for a single site would be 28% (for groups of equal size) to 47% (if one groups represents only 10% of the sample). As a reference, the ATCC evaluation found differences of 14% in the prevalence of one or more mental health problems at 6 months, and as high as 16% in the proportion of respondents who reported spending 1 or more nights in jail or in the 30 days prior to the interview. Thus, while the 18-Month Data Abstraction Tool will generally not support precise estimations within each site, it will achieve adequate power to detect differences across sites. Furthermore, the framework for the power analysis is a highly simplified version of the proposed analytical approach (involving survival analysis) and provides, therefore, conservative estimates of the power.</w:t>
      </w:r>
      <w:r>
        <w:rPr>
          <w:rFonts w:ascii="Times New Roman" w:hAnsi="Times New Roman" w:cs="Times New Roman"/>
          <w:sz w:val="24"/>
          <w:szCs w:val="24"/>
        </w:rPr>
        <w:t xml:space="preserve"> Exhibit 2 contains a power analysis.</w:t>
      </w:r>
    </w:p>
    <w:p w14:paraId="60D4B3D8" w14:textId="3F4DF150" w:rsidR="006B73C3" w:rsidRPr="006B73C3" w:rsidRDefault="006B73C3" w:rsidP="006B73C3">
      <w:pPr>
        <w:pStyle w:val="ICFExhibitTitle"/>
        <w:rPr>
          <w:rFonts w:ascii="Tw Cen MT" w:hAnsi="Tw Cen MT" w:cs="Times New Roman"/>
        </w:rPr>
      </w:pPr>
      <w:r w:rsidRPr="006B73C3">
        <w:rPr>
          <w:rFonts w:ascii="Tw Cen MT" w:hAnsi="Tw Cen MT" w:cs="Times New Roman"/>
        </w:rPr>
        <w:t xml:space="preserve">Exhibit </w:t>
      </w:r>
      <w:r w:rsidR="00CD34CF">
        <w:rPr>
          <w:rFonts w:ascii="Tw Cen MT" w:hAnsi="Tw Cen MT" w:cs="Times New Roman"/>
        </w:rPr>
        <w:t>2</w:t>
      </w:r>
      <w:r w:rsidRPr="006B73C3">
        <w:rPr>
          <w:rFonts w:ascii="Tw Cen MT" w:hAnsi="Tw Cen MT" w:cs="Times New Roman"/>
        </w:rPr>
        <w:t xml:space="preserve">. Power Analysis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990"/>
        <w:gridCol w:w="1170"/>
        <w:gridCol w:w="990"/>
        <w:gridCol w:w="1170"/>
        <w:gridCol w:w="899"/>
        <w:gridCol w:w="1176"/>
      </w:tblGrid>
      <w:tr w:rsidR="00CD34CF" w:rsidRPr="006B73C3" w14:paraId="244ECE6F" w14:textId="77777777" w:rsidTr="00CD34CF">
        <w:trPr>
          <w:jc w:val="center"/>
        </w:trPr>
        <w:tc>
          <w:tcPr>
            <w:tcW w:w="1584" w:type="pct"/>
            <w:vMerge w:val="restart"/>
            <w:shd w:val="clear" w:color="auto" w:fill="323E4F" w:themeFill="text2" w:themeFillShade="BF"/>
            <w:tcMar>
              <w:top w:w="43" w:type="dxa"/>
              <w:left w:w="72" w:type="dxa"/>
              <w:bottom w:w="43" w:type="dxa"/>
              <w:right w:w="72" w:type="dxa"/>
            </w:tcMar>
            <w:vAlign w:val="center"/>
          </w:tcPr>
          <w:p w14:paraId="303F8905" w14:textId="77777777" w:rsidR="00CD34CF" w:rsidRPr="006B73C3" w:rsidRDefault="00CD34CF" w:rsidP="00CD34CF">
            <w:pPr>
              <w:pStyle w:val="ICFTableHeading"/>
              <w:rPr>
                <w:rFonts w:ascii="Tw Cen MT" w:hAnsi="Tw Cen MT"/>
                <w:b w:val="0"/>
                <w:color w:val="auto"/>
                <w:sz w:val="22"/>
                <w:szCs w:val="22"/>
              </w:rPr>
            </w:pPr>
            <w:r w:rsidRPr="006B73C3">
              <w:rPr>
                <w:rFonts w:ascii="Tw Cen MT" w:hAnsi="Tw Cen MT"/>
                <w:b w:val="0"/>
                <w:color w:val="auto"/>
                <w:sz w:val="22"/>
                <w:szCs w:val="22"/>
              </w:rPr>
              <w:t>Source/Data Collection Activity</w:t>
            </w:r>
          </w:p>
        </w:tc>
        <w:tc>
          <w:tcPr>
            <w:tcW w:w="1154" w:type="pct"/>
            <w:gridSpan w:val="2"/>
            <w:shd w:val="clear" w:color="auto" w:fill="323E4F" w:themeFill="text2" w:themeFillShade="BF"/>
            <w:tcMar>
              <w:top w:w="43" w:type="dxa"/>
              <w:left w:w="72" w:type="dxa"/>
              <w:bottom w:w="43" w:type="dxa"/>
              <w:right w:w="72" w:type="dxa"/>
            </w:tcMar>
            <w:vAlign w:val="center"/>
          </w:tcPr>
          <w:p w14:paraId="1078506C" w14:textId="77777777" w:rsidR="00CD34CF" w:rsidRPr="006B73C3" w:rsidRDefault="00CD34CF" w:rsidP="00CD34CF">
            <w:pPr>
              <w:pStyle w:val="ICFTableHeading"/>
              <w:rPr>
                <w:rFonts w:ascii="Tw Cen MT" w:hAnsi="Tw Cen MT"/>
                <w:b w:val="0"/>
                <w:color w:val="auto"/>
                <w:sz w:val="22"/>
                <w:szCs w:val="22"/>
              </w:rPr>
            </w:pPr>
            <w:r w:rsidRPr="006B73C3">
              <w:rPr>
                <w:rFonts w:ascii="Tw Cen MT" w:hAnsi="Tw Cen MT"/>
                <w:b w:val="0"/>
                <w:color w:val="auto"/>
                <w:sz w:val="22"/>
                <w:szCs w:val="22"/>
              </w:rPr>
              <w:t>Target Sample Size</w:t>
            </w:r>
          </w:p>
        </w:tc>
        <w:tc>
          <w:tcPr>
            <w:tcW w:w="1154" w:type="pct"/>
            <w:gridSpan w:val="2"/>
            <w:shd w:val="clear" w:color="auto" w:fill="323E4F" w:themeFill="text2" w:themeFillShade="BF"/>
            <w:tcMar>
              <w:top w:w="43" w:type="dxa"/>
              <w:left w:w="72" w:type="dxa"/>
              <w:bottom w:w="43" w:type="dxa"/>
              <w:right w:w="72" w:type="dxa"/>
            </w:tcMar>
            <w:vAlign w:val="center"/>
          </w:tcPr>
          <w:p w14:paraId="72B1FD46" w14:textId="77777777" w:rsidR="00CD34CF" w:rsidRPr="006B73C3" w:rsidRDefault="00CD34CF" w:rsidP="00CD34CF">
            <w:pPr>
              <w:pStyle w:val="ICFTableHeading"/>
              <w:rPr>
                <w:rFonts w:ascii="Tw Cen MT" w:hAnsi="Tw Cen MT"/>
                <w:b w:val="0"/>
                <w:color w:val="auto"/>
                <w:sz w:val="22"/>
                <w:szCs w:val="22"/>
              </w:rPr>
            </w:pPr>
            <w:r w:rsidRPr="006B73C3">
              <w:rPr>
                <w:rFonts w:ascii="Tw Cen MT" w:hAnsi="Tw Cen MT"/>
                <w:b w:val="0"/>
                <w:color w:val="auto"/>
                <w:sz w:val="22"/>
                <w:szCs w:val="22"/>
              </w:rPr>
              <w:t>Effective Sample Size</w:t>
            </w:r>
          </w:p>
        </w:tc>
        <w:tc>
          <w:tcPr>
            <w:tcW w:w="1108" w:type="pct"/>
            <w:gridSpan w:val="2"/>
            <w:shd w:val="clear" w:color="auto" w:fill="323E4F" w:themeFill="text2" w:themeFillShade="BF"/>
            <w:tcMar>
              <w:top w:w="43" w:type="dxa"/>
              <w:left w:w="72" w:type="dxa"/>
              <w:bottom w:w="43" w:type="dxa"/>
              <w:right w:w="72" w:type="dxa"/>
            </w:tcMar>
            <w:vAlign w:val="center"/>
          </w:tcPr>
          <w:p w14:paraId="314E4F8E" w14:textId="77777777" w:rsidR="00CD34CF" w:rsidRPr="006B73C3" w:rsidRDefault="00CD34CF" w:rsidP="00CD34CF">
            <w:pPr>
              <w:pStyle w:val="ICFTableHeading"/>
              <w:rPr>
                <w:rFonts w:ascii="Tw Cen MT" w:hAnsi="Tw Cen MT"/>
                <w:b w:val="0"/>
                <w:color w:val="auto"/>
                <w:sz w:val="22"/>
                <w:szCs w:val="22"/>
              </w:rPr>
            </w:pPr>
            <w:r w:rsidRPr="006B73C3">
              <w:rPr>
                <w:rFonts w:ascii="Tw Cen MT" w:hAnsi="Tw Cen MT"/>
                <w:b w:val="0"/>
                <w:color w:val="auto"/>
                <w:sz w:val="22"/>
                <w:szCs w:val="22"/>
              </w:rPr>
              <w:t>Minimum Detectable Difference</w:t>
            </w:r>
          </w:p>
        </w:tc>
      </w:tr>
      <w:tr w:rsidR="00CD34CF" w:rsidRPr="006B73C3" w14:paraId="3490A005" w14:textId="77777777" w:rsidTr="00CD34CF">
        <w:trPr>
          <w:jc w:val="center"/>
        </w:trPr>
        <w:tc>
          <w:tcPr>
            <w:tcW w:w="1584" w:type="pct"/>
            <w:vMerge/>
            <w:shd w:val="clear" w:color="auto" w:fill="D5DCE4" w:themeFill="text2" w:themeFillTint="33"/>
            <w:tcMar>
              <w:top w:w="43" w:type="dxa"/>
              <w:left w:w="72" w:type="dxa"/>
              <w:bottom w:w="43" w:type="dxa"/>
              <w:right w:w="72" w:type="dxa"/>
            </w:tcMar>
            <w:vAlign w:val="center"/>
          </w:tcPr>
          <w:p w14:paraId="32DFB834" w14:textId="77777777" w:rsidR="00CD34CF" w:rsidRPr="006B73C3" w:rsidRDefault="00CD34CF" w:rsidP="006B73C3">
            <w:pPr>
              <w:pStyle w:val="ICFTableHeading"/>
              <w:jc w:val="both"/>
              <w:rPr>
                <w:rFonts w:ascii="Tw Cen MT" w:hAnsi="Tw Cen MT"/>
                <w:b w:val="0"/>
                <w:color w:val="auto"/>
                <w:sz w:val="22"/>
                <w:szCs w:val="22"/>
              </w:rPr>
            </w:pPr>
          </w:p>
        </w:tc>
        <w:tc>
          <w:tcPr>
            <w:tcW w:w="529" w:type="pct"/>
            <w:shd w:val="clear" w:color="auto" w:fill="D5DCE4" w:themeFill="text2" w:themeFillTint="33"/>
            <w:noWrap/>
            <w:tcMar>
              <w:top w:w="43" w:type="dxa"/>
              <w:left w:w="72" w:type="dxa"/>
              <w:bottom w:w="43" w:type="dxa"/>
              <w:right w:w="72" w:type="dxa"/>
            </w:tcMar>
            <w:vAlign w:val="center"/>
          </w:tcPr>
          <w:p w14:paraId="4BAA7995" w14:textId="77777777" w:rsidR="00CD34CF" w:rsidRPr="006B73C3" w:rsidRDefault="00CD34CF" w:rsidP="00CD34CF">
            <w:pPr>
              <w:pStyle w:val="ICFTableHeading"/>
              <w:rPr>
                <w:rFonts w:ascii="Tw Cen MT" w:hAnsi="Tw Cen MT"/>
                <w:b w:val="0"/>
                <w:color w:val="auto"/>
                <w:sz w:val="22"/>
                <w:szCs w:val="22"/>
              </w:rPr>
            </w:pPr>
            <w:r w:rsidRPr="006B73C3">
              <w:rPr>
                <w:rFonts w:ascii="Tw Cen MT" w:hAnsi="Tw Cen MT"/>
                <w:b w:val="0"/>
                <w:color w:val="auto"/>
                <w:sz w:val="22"/>
                <w:szCs w:val="22"/>
              </w:rPr>
              <w:t>Per Site</w:t>
            </w:r>
          </w:p>
        </w:tc>
        <w:tc>
          <w:tcPr>
            <w:tcW w:w="625" w:type="pct"/>
            <w:shd w:val="clear" w:color="auto" w:fill="D5DCE4" w:themeFill="text2" w:themeFillTint="33"/>
            <w:noWrap/>
            <w:tcMar>
              <w:top w:w="43" w:type="dxa"/>
              <w:left w:w="72" w:type="dxa"/>
              <w:bottom w:w="43" w:type="dxa"/>
              <w:right w:w="72" w:type="dxa"/>
            </w:tcMar>
            <w:vAlign w:val="center"/>
          </w:tcPr>
          <w:p w14:paraId="66072909" w14:textId="77777777" w:rsidR="00CD34CF" w:rsidRPr="006B73C3" w:rsidRDefault="00CD34CF" w:rsidP="00CD34CF">
            <w:pPr>
              <w:pStyle w:val="ICFTableHeading"/>
              <w:rPr>
                <w:rFonts w:ascii="Tw Cen MT" w:hAnsi="Tw Cen MT"/>
                <w:b w:val="0"/>
                <w:color w:val="auto"/>
                <w:sz w:val="22"/>
                <w:szCs w:val="22"/>
              </w:rPr>
            </w:pPr>
            <w:r w:rsidRPr="006B73C3">
              <w:rPr>
                <w:rFonts w:ascii="Tw Cen MT" w:hAnsi="Tw Cen MT"/>
                <w:b w:val="0"/>
                <w:color w:val="auto"/>
                <w:sz w:val="22"/>
                <w:szCs w:val="22"/>
              </w:rPr>
              <w:t>Across Sites</w:t>
            </w:r>
          </w:p>
        </w:tc>
        <w:tc>
          <w:tcPr>
            <w:tcW w:w="529" w:type="pct"/>
            <w:shd w:val="clear" w:color="auto" w:fill="D5DCE4" w:themeFill="text2" w:themeFillTint="33"/>
            <w:noWrap/>
            <w:tcMar>
              <w:top w:w="43" w:type="dxa"/>
              <w:left w:w="72" w:type="dxa"/>
              <w:bottom w:w="43" w:type="dxa"/>
              <w:right w:w="72" w:type="dxa"/>
            </w:tcMar>
            <w:vAlign w:val="center"/>
          </w:tcPr>
          <w:p w14:paraId="3BBE2B4A" w14:textId="77777777" w:rsidR="00CD34CF" w:rsidRPr="006B73C3" w:rsidRDefault="00CD34CF" w:rsidP="00CD34CF">
            <w:pPr>
              <w:pStyle w:val="ICFTableHeading"/>
              <w:rPr>
                <w:rFonts w:ascii="Tw Cen MT" w:hAnsi="Tw Cen MT"/>
                <w:b w:val="0"/>
                <w:color w:val="auto"/>
                <w:sz w:val="22"/>
                <w:szCs w:val="22"/>
              </w:rPr>
            </w:pPr>
            <w:r w:rsidRPr="006B73C3">
              <w:rPr>
                <w:rFonts w:ascii="Tw Cen MT" w:hAnsi="Tw Cen MT"/>
                <w:b w:val="0"/>
                <w:color w:val="auto"/>
                <w:sz w:val="22"/>
                <w:szCs w:val="22"/>
              </w:rPr>
              <w:t>Per Site</w:t>
            </w:r>
          </w:p>
        </w:tc>
        <w:tc>
          <w:tcPr>
            <w:tcW w:w="625" w:type="pct"/>
            <w:shd w:val="clear" w:color="auto" w:fill="D5DCE4" w:themeFill="text2" w:themeFillTint="33"/>
            <w:noWrap/>
            <w:tcMar>
              <w:top w:w="43" w:type="dxa"/>
              <w:left w:w="72" w:type="dxa"/>
              <w:bottom w:w="43" w:type="dxa"/>
              <w:right w:w="72" w:type="dxa"/>
            </w:tcMar>
            <w:vAlign w:val="center"/>
          </w:tcPr>
          <w:p w14:paraId="098F9ABD" w14:textId="77777777" w:rsidR="00CD34CF" w:rsidRPr="006B73C3" w:rsidRDefault="00CD34CF" w:rsidP="00CD34CF">
            <w:pPr>
              <w:pStyle w:val="ICFTableHeading"/>
              <w:rPr>
                <w:rFonts w:ascii="Tw Cen MT" w:hAnsi="Tw Cen MT"/>
                <w:b w:val="0"/>
                <w:color w:val="auto"/>
                <w:sz w:val="22"/>
                <w:szCs w:val="22"/>
              </w:rPr>
            </w:pPr>
            <w:r w:rsidRPr="006B73C3">
              <w:rPr>
                <w:rFonts w:ascii="Tw Cen MT" w:hAnsi="Tw Cen MT"/>
                <w:b w:val="0"/>
                <w:color w:val="auto"/>
                <w:sz w:val="22"/>
                <w:szCs w:val="22"/>
              </w:rPr>
              <w:t>Across Sites</w:t>
            </w:r>
          </w:p>
        </w:tc>
        <w:tc>
          <w:tcPr>
            <w:tcW w:w="480" w:type="pct"/>
            <w:shd w:val="clear" w:color="auto" w:fill="D5DCE4" w:themeFill="text2" w:themeFillTint="33"/>
            <w:noWrap/>
            <w:tcMar>
              <w:top w:w="43" w:type="dxa"/>
              <w:left w:w="72" w:type="dxa"/>
              <w:bottom w:w="43" w:type="dxa"/>
              <w:right w:w="72" w:type="dxa"/>
            </w:tcMar>
            <w:vAlign w:val="center"/>
          </w:tcPr>
          <w:p w14:paraId="65300ADE" w14:textId="77777777" w:rsidR="00CD34CF" w:rsidRPr="006B73C3" w:rsidRDefault="00CD34CF" w:rsidP="00CD34CF">
            <w:pPr>
              <w:pStyle w:val="ICFTableHeading"/>
              <w:rPr>
                <w:rFonts w:ascii="Tw Cen MT" w:hAnsi="Tw Cen MT"/>
                <w:b w:val="0"/>
                <w:color w:val="auto"/>
                <w:sz w:val="22"/>
                <w:szCs w:val="22"/>
              </w:rPr>
            </w:pPr>
            <w:r w:rsidRPr="006B73C3">
              <w:rPr>
                <w:rFonts w:ascii="Tw Cen MT" w:hAnsi="Tw Cen MT"/>
                <w:b w:val="0"/>
                <w:color w:val="auto"/>
                <w:sz w:val="22"/>
                <w:szCs w:val="22"/>
              </w:rPr>
              <w:t>Per Site</w:t>
            </w:r>
          </w:p>
        </w:tc>
        <w:tc>
          <w:tcPr>
            <w:tcW w:w="628" w:type="pct"/>
            <w:shd w:val="clear" w:color="auto" w:fill="D5DCE4" w:themeFill="text2" w:themeFillTint="33"/>
            <w:noWrap/>
            <w:tcMar>
              <w:top w:w="43" w:type="dxa"/>
              <w:left w:w="72" w:type="dxa"/>
              <w:bottom w:w="43" w:type="dxa"/>
              <w:right w:w="72" w:type="dxa"/>
            </w:tcMar>
            <w:vAlign w:val="center"/>
          </w:tcPr>
          <w:p w14:paraId="7F1DC80D" w14:textId="77777777" w:rsidR="00CD34CF" w:rsidRPr="006B73C3" w:rsidRDefault="00CD34CF" w:rsidP="00CD34CF">
            <w:pPr>
              <w:pStyle w:val="ICFTableHeading"/>
              <w:rPr>
                <w:rFonts w:ascii="Tw Cen MT" w:hAnsi="Tw Cen MT"/>
                <w:b w:val="0"/>
                <w:color w:val="auto"/>
                <w:sz w:val="22"/>
                <w:szCs w:val="22"/>
              </w:rPr>
            </w:pPr>
            <w:r w:rsidRPr="006B73C3">
              <w:rPr>
                <w:rFonts w:ascii="Tw Cen MT" w:hAnsi="Tw Cen MT"/>
                <w:b w:val="0"/>
                <w:color w:val="auto"/>
                <w:sz w:val="22"/>
                <w:szCs w:val="22"/>
              </w:rPr>
              <w:t>Across Sites</w:t>
            </w:r>
          </w:p>
        </w:tc>
      </w:tr>
      <w:tr w:rsidR="00CD34CF" w:rsidRPr="006B73C3" w14:paraId="4EF1BC4E" w14:textId="77777777" w:rsidTr="00CD34CF">
        <w:trPr>
          <w:jc w:val="center"/>
        </w:trPr>
        <w:tc>
          <w:tcPr>
            <w:tcW w:w="1584" w:type="pct"/>
            <w:shd w:val="clear" w:color="auto" w:fill="auto"/>
            <w:tcMar>
              <w:top w:w="43" w:type="dxa"/>
              <w:left w:w="72" w:type="dxa"/>
              <w:bottom w:w="43" w:type="dxa"/>
              <w:right w:w="72" w:type="dxa"/>
            </w:tcMar>
          </w:tcPr>
          <w:p w14:paraId="60492A64" w14:textId="77777777" w:rsidR="00CD34CF" w:rsidRPr="006B73C3" w:rsidRDefault="00CD34CF" w:rsidP="006B73C3">
            <w:pPr>
              <w:pStyle w:val="ICFTableText"/>
              <w:jc w:val="both"/>
              <w:rPr>
                <w:rFonts w:ascii="Tw Cen MT" w:hAnsi="Tw Cen MT" w:cs="Times New Roman"/>
                <w:sz w:val="22"/>
                <w:szCs w:val="22"/>
              </w:rPr>
            </w:pPr>
            <w:r w:rsidRPr="006B73C3">
              <w:rPr>
                <w:rFonts w:ascii="Tw Cen MT" w:hAnsi="Tw Cen MT" w:cs="Times New Roman"/>
                <w:sz w:val="22"/>
                <w:szCs w:val="22"/>
              </w:rPr>
              <w:t>Client-level TRAC (CPD) data</w:t>
            </w:r>
          </w:p>
        </w:tc>
        <w:tc>
          <w:tcPr>
            <w:tcW w:w="529" w:type="pct"/>
            <w:shd w:val="clear" w:color="auto" w:fill="auto"/>
            <w:tcMar>
              <w:top w:w="43" w:type="dxa"/>
              <w:left w:w="72" w:type="dxa"/>
              <w:bottom w:w="43" w:type="dxa"/>
              <w:right w:w="72" w:type="dxa"/>
            </w:tcMar>
          </w:tcPr>
          <w:p w14:paraId="71EC21E8" w14:textId="77777777" w:rsidR="00CD34CF" w:rsidRPr="006B73C3" w:rsidRDefault="00CD34CF" w:rsidP="006B73C3">
            <w:pPr>
              <w:pStyle w:val="ICFTableText"/>
              <w:tabs>
                <w:tab w:val="decimal" w:pos="543"/>
              </w:tabs>
              <w:jc w:val="both"/>
              <w:rPr>
                <w:rFonts w:ascii="Tw Cen MT" w:hAnsi="Tw Cen MT" w:cs="Times New Roman"/>
                <w:sz w:val="22"/>
                <w:szCs w:val="22"/>
              </w:rPr>
            </w:pPr>
            <w:r w:rsidRPr="006B73C3">
              <w:rPr>
                <w:rFonts w:ascii="Tw Cen MT" w:hAnsi="Tw Cen MT" w:cs="Times New Roman"/>
                <w:sz w:val="22"/>
                <w:szCs w:val="22"/>
              </w:rPr>
              <w:t>130</w:t>
            </w:r>
          </w:p>
        </w:tc>
        <w:tc>
          <w:tcPr>
            <w:tcW w:w="625" w:type="pct"/>
            <w:shd w:val="clear" w:color="auto" w:fill="auto"/>
            <w:tcMar>
              <w:top w:w="43" w:type="dxa"/>
              <w:left w:w="72" w:type="dxa"/>
              <w:bottom w:w="43" w:type="dxa"/>
              <w:right w:w="72" w:type="dxa"/>
            </w:tcMar>
          </w:tcPr>
          <w:p w14:paraId="0ADDAA7C" w14:textId="77777777" w:rsidR="00CD34CF" w:rsidRPr="006B73C3" w:rsidRDefault="00CD34CF" w:rsidP="006B73C3">
            <w:pPr>
              <w:pStyle w:val="ICFTableText"/>
              <w:tabs>
                <w:tab w:val="decimal" w:pos="543"/>
              </w:tabs>
              <w:jc w:val="both"/>
              <w:rPr>
                <w:rFonts w:ascii="Tw Cen MT" w:hAnsi="Tw Cen MT" w:cs="Times New Roman"/>
                <w:sz w:val="22"/>
                <w:szCs w:val="22"/>
              </w:rPr>
            </w:pPr>
            <w:r w:rsidRPr="006B73C3">
              <w:rPr>
                <w:rFonts w:ascii="Tw Cen MT" w:hAnsi="Tw Cen MT" w:cs="Times New Roman"/>
                <w:sz w:val="22"/>
                <w:szCs w:val="22"/>
              </w:rPr>
              <w:t>1,820</w:t>
            </w:r>
          </w:p>
        </w:tc>
        <w:tc>
          <w:tcPr>
            <w:tcW w:w="529" w:type="pct"/>
            <w:shd w:val="clear" w:color="auto" w:fill="auto"/>
            <w:tcMar>
              <w:top w:w="43" w:type="dxa"/>
              <w:left w:w="72" w:type="dxa"/>
              <w:bottom w:w="43" w:type="dxa"/>
              <w:right w:w="72" w:type="dxa"/>
            </w:tcMar>
          </w:tcPr>
          <w:p w14:paraId="74E20B6B" w14:textId="77777777" w:rsidR="00CD34CF" w:rsidRPr="006B73C3" w:rsidRDefault="00CD34CF" w:rsidP="006B73C3">
            <w:pPr>
              <w:pStyle w:val="ICFTableText"/>
              <w:tabs>
                <w:tab w:val="decimal" w:pos="535"/>
              </w:tabs>
              <w:jc w:val="both"/>
              <w:rPr>
                <w:rFonts w:ascii="Tw Cen MT" w:hAnsi="Tw Cen MT" w:cs="Times New Roman"/>
                <w:sz w:val="22"/>
                <w:szCs w:val="22"/>
              </w:rPr>
            </w:pPr>
            <w:r w:rsidRPr="006B73C3">
              <w:rPr>
                <w:rFonts w:ascii="Tw Cen MT" w:hAnsi="Tw Cen MT" w:cs="Times New Roman"/>
                <w:sz w:val="22"/>
                <w:szCs w:val="22"/>
              </w:rPr>
              <w:t>144</w:t>
            </w:r>
          </w:p>
        </w:tc>
        <w:tc>
          <w:tcPr>
            <w:tcW w:w="625" w:type="pct"/>
            <w:shd w:val="clear" w:color="auto" w:fill="auto"/>
            <w:tcMar>
              <w:top w:w="43" w:type="dxa"/>
              <w:left w:w="72" w:type="dxa"/>
              <w:bottom w:w="43" w:type="dxa"/>
              <w:right w:w="72" w:type="dxa"/>
            </w:tcMar>
          </w:tcPr>
          <w:p w14:paraId="1EDD06CD" w14:textId="77777777" w:rsidR="00CD34CF" w:rsidRPr="006B73C3" w:rsidRDefault="00CD34CF" w:rsidP="006B73C3">
            <w:pPr>
              <w:pStyle w:val="ICFTableText"/>
              <w:tabs>
                <w:tab w:val="decimal" w:pos="535"/>
              </w:tabs>
              <w:jc w:val="both"/>
              <w:rPr>
                <w:rFonts w:ascii="Tw Cen MT" w:hAnsi="Tw Cen MT" w:cs="Times New Roman"/>
                <w:sz w:val="22"/>
                <w:szCs w:val="22"/>
              </w:rPr>
            </w:pPr>
            <w:r w:rsidRPr="006B73C3">
              <w:rPr>
                <w:rFonts w:ascii="Tw Cen MT" w:hAnsi="Tw Cen MT" w:cs="Times New Roman"/>
                <w:sz w:val="22"/>
                <w:szCs w:val="22"/>
              </w:rPr>
              <w:t>2,022</w:t>
            </w:r>
          </w:p>
        </w:tc>
        <w:tc>
          <w:tcPr>
            <w:tcW w:w="480" w:type="pct"/>
            <w:shd w:val="clear" w:color="auto" w:fill="auto"/>
            <w:tcMar>
              <w:top w:w="43" w:type="dxa"/>
              <w:left w:w="72" w:type="dxa"/>
              <w:bottom w:w="43" w:type="dxa"/>
              <w:right w:w="72" w:type="dxa"/>
            </w:tcMar>
          </w:tcPr>
          <w:p w14:paraId="205AB4ED" w14:textId="77777777" w:rsidR="00CD34CF" w:rsidRPr="006B73C3" w:rsidRDefault="00CD34CF" w:rsidP="006B73C3">
            <w:pPr>
              <w:pStyle w:val="ICFTableText"/>
              <w:tabs>
                <w:tab w:val="decimal" w:pos="535"/>
              </w:tabs>
              <w:jc w:val="both"/>
              <w:rPr>
                <w:rFonts w:ascii="Tw Cen MT" w:hAnsi="Tw Cen MT" w:cs="Times New Roman"/>
                <w:sz w:val="22"/>
                <w:szCs w:val="22"/>
              </w:rPr>
            </w:pPr>
            <w:r w:rsidRPr="006B73C3">
              <w:rPr>
                <w:rFonts w:ascii="Tw Cen MT" w:hAnsi="Tw Cen MT" w:cs="Times New Roman"/>
                <w:sz w:val="22"/>
                <w:szCs w:val="22"/>
              </w:rPr>
              <w:t>12%</w:t>
            </w:r>
          </w:p>
        </w:tc>
        <w:tc>
          <w:tcPr>
            <w:tcW w:w="628" w:type="pct"/>
            <w:shd w:val="clear" w:color="auto" w:fill="auto"/>
            <w:tcMar>
              <w:top w:w="43" w:type="dxa"/>
              <w:left w:w="72" w:type="dxa"/>
              <w:bottom w:w="43" w:type="dxa"/>
              <w:right w:w="72" w:type="dxa"/>
            </w:tcMar>
          </w:tcPr>
          <w:p w14:paraId="52DBA264" w14:textId="77777777" w:rsidR="00CD34CF" w:rsidRPr="006B73C3" w:rsidRDefault="00CD34CF" w:rsidP="006B73C3">
            <w:pPr>
              <w:pStyle w:val="ICFTableText"/>
              <w:tabs>
                <w:tab w:val="decimal" w:pos="535"/>
              </w:tabs>
              <w:jc w:val="both"/>
              <w:rPr>
                <w:rFonts w:ascii="Tw Cen MT" w:hAnsi="Tw Cen MT" w:cs="Times New Roman"/>
                <w:sz w:val="22"/>
                <w:szCs w:val="22"/>
              </w:rPr>
            </w:pPr>
            <w:r w:rsidRPr="006B73C3">
              <w:rPr>
                <w:rFonts w:ascii="Tw Cen MT" w:hAnsi="Tw Cen MT" w:cs="Times New Roman"/>
                <w:sz w:val="22"/>
                <w:szCs w:val="22"/>
              </w:rPr>
              <w:t>3%</w:t>
            </w:r>
          </w:p>
        </w:tc>
      </w:tr>
      <w:tr w:rsidR="00CD34CF" w:rsidRPr="006B73C3" w14:paraId="2A2D2D5D" w14:textId="77777777" w:rsidTr="00CD34CF">
        <w:trPr>
          <w:jc w:val="center"/>
        </w:trPr>
        <w:tc>
          <w:tcPr>
            <w:tcW w:w="1584" w:type="pct"/>
            <w:shd w:val="clear" w:color="auto" w:fill="auto"/>
            <w:tcMar>
              <w:top w:w="43" w:type="dxa"/>
              <w:left w:w="72" w:type="dxa"/>
              <w:bottom w:w="43" w:type="dxa"/>
              <w:right w:w="72" w:type="dxa"/>
            </w:tcMar>
          </w:tcPr>
          <w:p w14:paraId="504B9FEC" w14:textId="2B39064C" w:rsidR="00CD34CF" w:rsidRPr="006B73C3" w:rsidRDefault="00CD34CF" w:rsidP="00CD34CF">
            <w:pPr>
              <w:pStyle w:val="ICFTableText"/>
              <w:jc w:val="both"/>
              <w:rPr>
                <w:rFonts w:ascii="Tw Cen MT" w:hAnsi="Tw Cen MT" w:cs="Times New Roman"/>
                <w:sz w:val="22"/>
                <w:szCs w:val="22"/>
              </w:rPr>
            </w:pPr>
            <w:r>
              <w:rPr>
                <w:rFonts w:ascii="Tw Cen MT" w:hAnsi="Tw Cen MT" w:cs="Times New Roman"/>
                <w:sz w:val="22"/>
                <w:szCs w:val="22"/>
              </w:rPr>
              <w:t>18</w:t>
            </w:r>
            <w:r w:rsidRPr="006B73C3">
              <w:rPr>
                <w:rFonts w:ascii="Tw Cen MT" w:hAnsi="Tw Cen MT" w:cs="Times New Roman"/>
                <w:sz w:val="22"/>
                <w:szCs w:val="22"/>
              </w:rPr>
              <w:t>-</w:t>
            </w:r>
            <w:r>
              <w:rPr>
                <w:rFonts w:ascii="Tw Cen MT" w:hAnsi="Tw Cen MT" w:cs="Times New Roman"/>
                <w:sz w:val="22"/>
                <w:szCs w:val="22"/>
              </w:rPr>
              <w:t>Month Tool (BHTCC Clients)</w:t>
            </w:r>
          </w:p>
        </w:tc>
        <w:tc>
          <w:tcPr>
            <w:tcW w:w="529" w:type="pct"/>
            <w:shd w:val="clear" w:color="auto" w:fill="auto"/>
            <w:tcMar>
              <w:top w:w="43" w:type="dxa"/>
              <w:left w:w="72" w:type="dxa"/>
              <w:bottom w:w="43" w:type="dxa"/>
              <w:right w:w="72" w:type="dxa"/>
            </w:tcMar>
          </w:tcPr>
          <w:p w14:paraId="0043054B" w14:textId="77777777" w:rsidR="00CD34CF" w:rsidRPr="006B73C3" w:rsidRDefault="00CD34CF" w:rsidP="006B73C3">
            <w:pPr>
              <w:pStyle w:val="ICFTableText"/>
              <w:tabs>
                <w:tab w:val="decimal" w:pos="543"/>
              </w:tabs>
              <w:jc w:val="both"/>
              <w:rPr>
                <w:rFonts w:ascii="Tw Cen MT" w:hAnsi="Tw Cen MT" w:cs="Times New Roman"/>
                <w:sz w:val="22"/>
                <w:szCs w:val="22"/>
              </w:rPr>
            </w:pPr>
            <w:r w:rsidRPr="006B73C3">
              <w:rPr>
                <w:rFonts w:ascii="Tw Cen MT" w:hAnsi="Tw Cen MT" w:cs="Times New Roman"/>
                <w:sz w:val="22"/>
                <w:szCs w:val="22"/>
              </w:rPr>
              <w:t>20</w:t>
            </w:r>
          </w:p>
        </w:tc>
        <w:tc>
          <w:tcPr>
            <w:tcW w:w="625" w:type="pct"/>
            <w:shd w:val="clear" w:color="auto" w:fill="auto"/>
            <w:tcMar>
              <w:top w:w="43" w:type="dxa"/>
              <w:left w:w="72" w:type="dxa"/>
              <w:bottom w:w="43" w:type="dxa"/>
              <w:right w:w="72" w:type="dxa"/>
            </w:tcMar>
          </w:tcPr>
          <w:p w14:paraId="262EB895" w14:textId="77777777" w:rsidR="00CD34CF" w:rsidRPr="006B73C3" w:rsidRDefault="00CD34CF" w:rsidP="006B73C3">
            <w:pPr>
              <w:pStyle w:val="ICFTableText"/>
              <w:tabs>
                <w:tab w:val="decimal" w:pos="543"/>
              </w:tabs>
              <w:jc w:val="both"/>
              <w:rPr>
                <w:rFonts w:ascii="Tw Cen MT" w:hAnsi="Tw Cen MT" w:cs="Times New Roman"/>
                <w:sz w:val="22"/>
                <w:szCs w:val="22"/>
              </w:rPr>
            </w:pPr>
            <w:r w:rsidRPr="006B73C3">
              <w:rPr>
                <w:rFonts w:ascii="Tw Cen MT" w:hAnsi="Tw Cen MT" w:cs="Times New Roman"/>
                <w:sz w:val="22"/>
                <w:szCs w:val="22"/>
              </w:rPr>
              <w:t>280</w:t>
            </w:r>
          </w:p>
        </w:tc>
        <w:tc>
          <w:tcPr>
            <w:tcW w:w="529" w:type="pct"/>
            <w:shd w:val="clear" w:color="auto" w:fill="auto"/>
            <w:tcMar>
              <w:top w:w="43" w:type="dxa"/>
              <w:left w:w="72" w:type="dxa"/>
              <w:bottom w:w="43" w:type="dxa"/>
              <w:right w:w="72" w:type="dxa"/>
            </w:tcMar>
          </w:tcPr>
          <w:p w14:paraId="696BF7A8" w14:textId="77777777" w:rsidR="00CD34CF" w:rsidRPr="006B73C3" w:rsidRDefault="00CD34CF" w:rsidP="006B73C3">
            <w:pPr>
              <w:pStyle w:val="ICFTableText"/>
              <w:tabs>
                <w:tab w:val="decimal" w:pos="535"/>
              </w:tabs>
              <w:jc w:val="both"/>
              <w:rPr>
                <w:rFonts w:ascii="Tw Cen MT" w:hAnsi="Tw Cen MT" w:cs="Times New Roman"/>
                <w:sz w:val="22"/>
                <w:szCs w:val="22"/>
              </w:rPr>
            </w:pPr>
            <w:r w:rsidRPr="006B73C3">
              <w:rPr>
                <w:rFonts w:ascii="Tw Cen MT" w:hAnsi="Tw Cen MT" w:cs="Times New Roman"/>
                <w:sz w:val="22"/>
                <w:szCs w:val="22"/>
              </w:rPr>
              <w:t>22</w:t>
            </w:r>
          </w:p>
        </w:tc>
        <w:tc>
          <w:tcPr>
            <w:tcW w:w="625" w:type="pct"/>
            <w:shd w:val="clear" w:color="auto" w:fill="auto"/>
            <w:tcMar>
              <w:top w:w="43" w:type="dxa"/>
              <w:left w:w="72" w:type="dxa"/>
              <w:bottom w:w="43" w:type="dxa"/>
              <w:right w:w="72" w:type="dxa"/>
            </w:tcMar>
          </w:tcPr>
          <w:p w14:paraId="6E08D3DA" w14:textId="77777777" w:rsidR="00CD34CF" w:rsidRPr="006B73C3" w:rsidRDefault="00CD34CF" w:rsidP="006B73C3">
            <w:pPr>
              <w:pStyle w:val="ICFTableText"/>
              <w:tabs>
                <w:tab w:val="decimal" w:pos="535"/>
              </w:tabs>
              <w:jc w:val="both"/>
              <w:rPr>
                <w:rFonts w:ascii="Tw Cen MT" w:hAnsi="Tw Cen MT" w:cs="Times New Roman"/>
                <w:sz w:val="22"/>
                <w:szCs w:val="22"/>
              </w:rPr>
            </w:pPr>
            <w:r w:rsidRPr="006B73C3">
              <w:rPr>
                <w:rFonts w:ascii="Tw Cen MT" w:hAnsi="Tw Cen MT" w:cs="Times New Roman"/>
                <w:sz w:val="22"/>
                <w:szCs w:val="22"/>
              </w:rPr>
              <w:t>311</w:t>
            </w:r>
          </w:p>
        </w:tc>
        <w:tc>
          <w:tcPr>
            <w:tcW w:w="480" w:type="pct"/>
            <w:shd w:val="clear" w:color="auto" w:fill="auto"/>
            <w:tcMar>
              <w:top w:w="43" w:type="dxa"/>
              <w:left w:w="72" w:type="dxa"/>
              <w:bottom w:w="43" w:type="dxa"/>
              <w:right w:w="72" w:type="dxa"/>
            </w:tcMar>
          </w:tcPr>
          <w:p w14:paraId="63B43AA5" w14:textId="77777777" w:rsidR="00CD34CF" w:rsidRPr="006B73C3" w:rsidRDefault="00CD34CF" w:rsidP="006B73C3">
            <w:pPr>
              <w:pStyle w:val="ICFTableText"/>
              <w:tabs>
                <w:tab w:val="decimal" w:pos="535"/>
              </w:tabs>
              <w:jc w:val="both"/>
              <w:rPr>
                <w:rFonts w:ascii="Tw Cen MT" w:hAnsi="Tw Cen MT" w:cs="Times New Roman"/>
                <w:sz w:val="22"/>
                <w:szCs w:val="22"/>
              </w:rPr>
            </w:pPr>
            <w:r w:rsidRPr="006B73C3">
              <w:rPr>
                <w:rFonts w:ascii="Tw Cen MT" w:hAnsi="Tw Cen MT" w:cs="Times New Roman"/>
                <w:sz w:val="22"/>
                <w:szCs w:val="22"/>
              </w:rPr>
              <w:t>30%</w:t>
            </w:r>
          </w:p>
        </w:tc>
        <w:tc>
          <w:tcPr>
            <w:tcW w:w="628" w:type="pct"/>
            <w:shd w:val="clear" w:color="auto" w:fill="auto"/>
            <w:tcMar>
              <w:top w:w="43" w:type="dxa"/>
              <w:left w:w="72" w:type="dxa"/>
              <w:bottom w:w="43" w:type="dxa"/>
              <w:right w:w="72" w:type="dxa"/>
            </w:tcMar>
          </w:tcPr>
          <w:p w14:paraId="143AADE0" w14:textId="77777777" w:rsidR="00CD34CF" w:rsidRPr="006B73C3" w:rsidRDefault="00CD34CF" w:rsidP="006B73C3">
            <w:pPr>
              <w:pStyle w:val="ICFTableText"/>
              <w:tabs>
                <w:tab w:val="decimal" w:pos="535"/>
              </w:tabs>
              <w:jc w:val="both"/>
              <w:rPr>
                <w:rFonts w:ascii="Tw Cen MT" w:hAnsi="Tw Cen MT" w:cs="Times New Roman"/>
                <w:sz w:val="22"/>
                <w:szCs w:val="22"/>
              </w:rPr>
            </w:pPr>
            <w:r w:rsidRPr="006B73C3">
              <w:rPr>
                <w:rFonts w:ascii="Tw Cen MT" w:hAnsi="Tw Cen MT" w:cs="Times New Roman"/>
                <w:sz w:val="22"/>
                <w:szCs w:val="22"/>
              </w:rPr>
              <w:t>8%</w:t>
            </w:r>
          </w:p>
        </w:tc>
      </w:tr>
      <w:tr w:rsidR="00CD34CF" w:rsidRPr="006B73C3" w14:paraId="0CDDF171" w14:textId="77777777" w:rsidTr="00CD34CF">
        <w:trPr>
          <w:jc w:val="center"/>
        </w:trPr>
        <w:tc>
          <w:tcPr>
            <w:tcW w:w="1584" w:type="pct"/>
            <w:shd w:val="clear" w:color="auto" w:fill="auto"/>
            <w:tcMar>
              <w:top w:w="43" w:type="dxa"/>
              <w:left w:w="72" w:type="dxa"/>
              <w:bottom w:w="43" w:type="dxa"/>
              <w:right w:w="72" w:type="dxa"/>
            </w:tcMar>
          </w:tcPr>
          <w:p w14:paraId="74E08E67" w14:textId="1F997337" w:rsidR="00CD34CF" w:rsidRPr="006B73C3" w:rsidRDefault="00CD34CF" w:rsidP="00CD34CF">
            <w:pPr>
              <w:pStyle w:val="ICFTableText"/>
              <w:rPr>
                <w:rFonts w:ascii="Tw Cen MT" w:hAnsi="Tw Cen MT" w:cs="Times New Roman"/>
                <w:sz w:val="22"/>
                <w:szCs w:val="22"/>
              </w:rPr>
            </w:pPr>
            <w:r w:rsidRPr="006B73C3">
              <w:rPr>
                <w:rFonts w:ascii="Tw Cen MT" w:hAnsi="Tw Cen MT" w:cs="Times New Roman"/>
                <w:sz w:val="22"/>
                <w:szCs w:val="22"/>
              </w:rPr>
              <w:t>Matched comparison client-level data (</w:t>
            </w:r>
            <w:r>
              <w:rPr>
                <w:rFonts w:ascii="Tw Cen MT" w:hAnsi="Tw Cen MT" w:cs="Times New Roman"/>
                <w:sz w:val="22"/>
                <w:szCs w:val="22"/>
              </w:rPr>
              <w:t>Comparison Study</w:t>
            </w:r>
            <w:r w:rsidRPr="006B73C3">
              <w:rPr>
                <w:rFonts w:ascii="Tw Cen MT" w:hAnsi="Tw Cen MT" w:cs="Times New Roman"/>
                <w:sz w:val="22"/>
                <w:szCs w:val="22"/>
              </w:rPr>
              <w:t>)</w:t>
            </w:r>
          </w:p>
        </w:tc>
        <w:tc>
          <w:tcPr>
            <w:tcW w:w="529" w:type="pct"/>
            <w:shd w:val="clear" w:color="auto" w:fill="auto"/>
            <w:tcMar>
              <w:top w:w="43" w:type="dxa"/>
              <w:left w:w="72" w:type="dxa"/>
              <w:bottom w:w="43" w:type="dxa"/>
              <w:right w:w="72" w:type="dxa"/>
            </w:tcMar>
          </w:tcPr>
          <w:p w14:paraId="65C3FAD4" w14:textId="77777777" w:rsidR="00CD34CF" w:rsidRPr="006B73C3" w:rsidRDefault="00CD34CF" w:rsidP="006B73C3">
            <w:pPr>
              <w:pStyle w:val="ICFTableText"/>
              <w:tabs>
                <w:tab w:val="decimal" w:pos="543"/>
              </w:tabs>
              <w:jc w:val="both"/>
              <w:rPr>
                <w:rFonts w:ascii="Tw Cen MT" w:hAnsi="Tw Cen MT" w:cs="Times New Roman"/>
                <w:sz w:val="22"/>
                <w:szCs w:val="22"/>
              </w:rPr>
            </w:pPr>
            <w:r w:rsidRPr="006B73C3">
              <w:rPr>
                <w:rFonts w:ascii="Tw Cen MT" w:hAnsi="Tw Cen MT" w:cs="Times New Roman"/>
                <w:sz w:val="22"/>
                <w:szCs w:val="22"/>
              </w:rPr>
              <w:t>130</w:t>
            </w:r>
          </w:p>
        </w:tc>
        <w:tc>
          <w:tcPr>
            <w:tcW w:w="625" w:type="pct"/>
            <w:shd w:val="clear" w:color="auto" w:fill="auto"/>
            <w:tcMar>
              <w:top w:w="43" w:type="dxa"/>
              <w:left w:w="72" w:type="dxa"/>
              <w:bottom w:w="43" w:type="dxa"/>
              <w:right w:w="72" w:type="dxa"/>
            </w:tcMar>
          </w:tcPr>
          <w:p w14:paraId="2A7A8922" w14:textId="77777777" w:rsidR="00CD34CF" w:rsidRPr="006B73C3" w:rsidRDefault="00CD34CF" w:rsidP="006B73C3">
            <w:pPr>
              <w:pStyle w:val="ICFTableText"/>
              <w:tabs>
                <w:tab w:val="decimal" w:pos="543"/>
              </w:tabs>
              <w:jc w:val="both"/>
              <w:rPr>
                <w:rFonts w:ascii="Tw Cen MT" w:hAnsi="Tw Cen MT" w:cs="Times New Roman"/>
                <w:sz w:val="22"/>
                <w:szCs w:val="22"/>
              </w:rPr>
            </w:pPr>
            <w:r w:rsidRPr="006B73C3">
              <w:rPr>
                <w:rFonts w:ascii="Tw Cen MT" w:hAnsi="Tw Cen MT" w:cs="Times New Roman"/>
                <w:sz w:val="22"/>
                <w:szCs w:val="22"/>
              </w:rPr>
              <w:t>260</w:t>
            </w:r>
          </w:p>
        </w:tc>
        <w:tc>
          <w:tcPr>
            <w:tcW w:w="529" w:type="pct"/>
            <w:shd w:val="clear" w:color="auto" w:fill="auto"/>
            <w:tcMar>
              <w:top w:w="43" w:type="dxa"/>
              <w:left w:w="72" w:type="dxa"/>
              <w:bottom w:w="43" w:type="dxa"/>
              <w:right w:w="72" w:type="dxa"/>
            </w:tcMar>
          </w:tcPr>
          <w:p w14:paraId="39EBA954" w14:textId="77777777" w:rsidR="00CD34CF" w:rsidRPr="006B73C3" w:rsidRDefault="00CD34CF" w:rsidP="006B73C3">
            <w:pPr>
              <w:pStyle w:val="ICFTableText"/>
              <w:tabs>
                <w:tab w:val="decimal" w:pos="535"/>
              </w:tabs>
              <w:jc w:val="both"/>
              <w:rPr>
                <w:rFonts w:ascii="Tw Cen MT" w:hAnsi="Tw Cen MT" w:cs="Times New Roman"/>
                <w:sz w:val="22"/>
                <w:szCs w:val="22"/>
              </w:rPr>
            </w:pPr>
            <w:r w:rsidRPr="006B73C3">
              <w:rPr>
                <w:rFonts w:ascii="Tw Cen MT" w:hAnsi="Tw Cen MT" w:cs="Times New Roman"/>
                <w:sz w:val="22"/>
                <w:szCs w:val="22"/>
              </w:rPr>
              <w:t>144</w:t>
            </w:r>
          </w:p>
        </w:tc>
        <w:tc>
          <w:tcPr>
            <w:tcW w:w="625" w:type="pct"/>
            <w:shd w:val="clear" w:color="auto" w:fill="auto"/>
            <w:tcMar>
              <w:top w:w="43" w:type="dxa"/>
              <w:left w:w="72" w:type="dxa"/>
              <w:bottom w:w="43" w:type="dxa"/>
              <w:right w:w="72" w:type="dxa"/>
            </w:tcMar>
          </w:tcPr>
          <w:p w14:paraId="20CBDC66" w14:textId="77777777" w:rsidR="00CD34CF" w:rsidRPr="006B73C3" w:rsidRDefault="00CD34CF" w:rsidP="006B73C3">
            <w:pPr>
              <w:pStyle w:val="ICFTableText"/>
              <w:tabs>
                <w:tab w:val="decimal" w:pos="535"/>
              </w:tabs>
              <w:jc w:val="both"/>
              <w:rPr>
                <w:rFonts w:ascii="Tw Cen MT" w:hAnsi="Tw Cen MT" w:cs="Times New Roman"/>
                <w:sz w:val="22"/>
                <w:szCs w:val="22"/>
              </w:rPr>
            </w:pPr>
            <w:r w:rsidRPr="006B73C3">
              <w:rPr>
                <w:rFonts w:ascii="Tw Cen MT" w:hAnsi="Tw Cen MT" w:cs="Times New Roman"/>
                <w:sz w:val="22"/>
                <w:szCs w:val="22"/>
              </w:rPr>
              <w:t>289</w:t>
            </w:r>
          </w:p>
        </w:tc>
        <w:tc>
          <w:tcPr>
            <w:tcW w:w="480" w:type="pct"/>
            <w:shd w:val="clear" w:color="auto" w:fill="auto"/>
            <w:tcMar>
              <w:top w:w="43" w:type="dxa"/>
              <w:left w:w="72" w:type="dxa"/>
              <w:bottom w:w="43" w:type="dxa"/>
              <w:right w:w="72" w:type="dxa"/>
            </w:tcMar>
          </w:tcPr>
          <w:p w14:paraId="47D30993" w14:textId="77777777" w:rsidR="00CD34CF" w:rsidRPr="006B73C3" w:rsidRDefault="00CD34CF" w:rsidP="006B73C3">
            <w:pPr>
              <w:pStyle w:val="ICFTableText"/>
              <w:tabs>
                <w:tab w:val="decimal" w:pos="535"/>
              </w:tabs>
              <w:jc w:val="both"/>
              <w:rPr>
                <w:rFonts w:ascii="Tw Cen MT" w:hAnsi="Tw Cen MT" w:cs="Times New Roman"/>
                <w:sz w:val="22"/>
                <w:szCs w:val="22"/>
              </w:rPr>
            </w:pPr>
            <w:r w:rsidRPr="006B73C3">
              <w:rPr>
                <w:rFonts w:ascii="Tw Cen MT" w:hAnsi="Tw Cen MT" w:cs="Times New Roman"/>
                <w:sz w:val="22"/>
                <w:szCs w:val="22"/>
              </w:rPr>
              <w:t>23%</w:t>
            </w:r>
          </w:p>
        </w:tc>
        <w:tc>
          <w:tcPr>
            <w:tcW w:w="628" w:type="pct"/>
            <w:shd w:val="clear" w:color="auto" w:fill="auto"/>
            <w:tcMar>
              <w:top w:w="43" w:type="dxa"/>
              <w:left w:w="72" w:type="dxa"/>
              <w:bottom w:w="43" w:type="dxa"/>
              <w:right w:w="72" w:type="dxa"/>
            </w:tcMar>
          </w:tcPr>
          <w:p w14:paraId="0623220D" w14:textId="77777777" w:rsidR="00CD34CF" w:rsidRPr="006B73C3" w:rsidRDefault="00CD34CF" w:rsidP="006B73C3">
            <w:pPr>
              <w:pStyle w:val="ICFTableText"/>
              <w:tabs>
                <w:tab w:val="decimal" w:pos="535"/>
              </w:tabs>
              <w:jc w:val="both"/>
              <w:rPr>
                <w:rFonts w:ascii="Tw Cen MT" w:hAnsi="Tw Cen MT" w:cs="Times New Roman"/>
                <w:sz w:val="22"/>
                <w:szCs w:val="22"/>
              </w:rPr>
            </w:pPr>
            <w:r w:rsidRPr="006B73C3">
              <w:rPr>
                <w:rFonts w:ascii="Tw Cen MT" w:hAnsi="Tw Cen MT" w:cs="Times New Roman"/>
                <w:sz w:val="22"/>
                <w:szCs w:val="22"/>
              </w:rPr>
              <w:t>16%</w:t>
            </w:r>
          </w:p>
        </w:tc>
      </w:tr>
    </w:tbl>
    <w:p w14:paraId="42A1124A" w14:textId="77777777" w:rsidR="000B4CDA" w:rsidRPr="002D2B8D" w:rsidRDefault="000B4CDA" w:rsidP="000B4CDA">
      <w:pPr>
        <w:pStyle w:val="ListParagraph"/>
        <w:spacing w:before="200"/>
        <w:ind w:left="0"/>
        <w:contextualSpacing w:val="0"/>
      </w:pPr>
      <w:r w:rsidRPr="002D2B8D">
        <w:t xml:space="preserve">Given the high prevalence of recidivism (assuming 50% chance of being rearrested), the maximum variance for a proportion (i.e., 0.5) was used in the power analysis. We used the minimum detectable difference (MDD) that defines the difference between the means of a treatment and the comparison group that must exist to detect a statistically significant effect as a parameter in the </w:t>
      </w:r>
      <w:r w:rsidRPr="002D2B8D">
        <w:lastRenderedPageBreak/>
        <w:t xml:space="preserve">power analysis. We assumed that the estimated minimum detectable difference across sites is 7% (for groups of equal size) 12% (if one group represents only 10% of the sample) assuming 15 out of the 17 grantees are able to participate. Under this assumption, two scenarios regarding the relative size of the groups that will be compared are presented: in the first one, the two groups have equal size; in the second one, one of the groups represents only 10% of the sample. </w:t>
      </w:r>
    </w:p>
    <w:p w14:paraId="4272EE8F" w14:textId="77777777" w:rsidR="000B4CDA" w:rsidRDefault="000B4CDA" w:rsidP="000B4CDA">
      <w:pPr>
        <w:pStyle w:val="BHTCCBody"/>
        <w:spacing w:before="240"/>
        <w:rPr>
          <w:rFonts w:ascii="Times New Roman" w:hAnsi="Times New Roman" w:cs="Times New Roman"/>
          <w:sz w:val="24"/>
          <w:szCs w:val="24"/>
        </w:rPr>
      </w:pPr>
      <w:r w:rsidRPr="002D2B8D">
        <w:rPr>
          <w:rFonts w:ascii="Times New Roman" w:hAnsi="Times New Roman" w:cs="Times New Roman"/>
          <w:sz w:val="24"/>
          <w:szCs w:val="24"/>
        </w:rPr>
        <w:t>Concerning design effect, the calculation of the effective sample size involves design effect (DEFF), thus effective sample size = actual (target) sample size/DEFF. Note that, in the proposed study, sites are considered as strata and not as clusters. Our power analysis shows that simple random sampling (SRS) is more efficient than cluster sampling (note that DEFF &lt; 1).</w:t>
      </w:r>
    </w:p>
    <w:p w14:paraId="00D34C13" w14:textId="4E36AE81" w:rsidR="00CD34CF" w:rsidRPr="00CD34CF" w:rsidRDefault="00CD34CF" w:rsidP="000B4CDA">
      <w:pPr>
        <w:pStyle w:val="BHTCCBody"/>
        <w:spacing w:before="240"/>
        <w:rPr>
          <w:rFonts w:ascii="Times New Roman" w:hAnsi="Times New Roman" w:cs="Times New Roman"/>
          <w:sz w:val="24"/>
          <w:szCs w:val="24"/>
        </w:rPr>
      </w:pPr>
      <w:r w:rsidRPr="00CD34CF">
        <w:rPr>
          <w:rFonts w:ascii="Times New Roman" w:hAnsi="Times New Roman" w:cs="Times New Roman"/>
          <w:sz w:val="24"/>
          <w:szCs w:val="24"/>
        </w:rPr>
        <w:t>In sum, the use of client-level data for the Consumer Outcome Study will allow us to detect differences of interest with adequate power both within each site and across sites. The primary data collection activities, on the other hand, will generally not support precise estimations by site, but will achieve adequate power to detect difference across sites. In the case of the Enhanced Outcome Study, the power will be adequate to detect differences in outcomes with rather larger changes such as those registered for recidivism indicators in the ATCC evaluation.</w:t>
      </w:r>
      <w:r>
        <w:rPr>
          <w:rFonts w:ascii="Times New Roman" w:hAnsi="Times New Roman" w:cs="Times New Roman"/>
          <w:sz w:val="24"/>
          <w:szCs w:val="24"/>
        </w:rPr>
        <w:t xml:space="preserve"> </w:t>
      </w:r>
    </w:p>
    <w:p w14:paraId="4EA90175" w14:textId="096AA21F" w:rsidR="000E6198" w:rsidRPr="000E6198" w:rsidRDefault="00AB40B9" w:rsidP="00B406CD">
      <w:pPr>
        <w:pStyle w:val="BodyText"/>
        <w:numPr>
          <w:ilvl w:val="2"/>
          <w:numId w:val="1"/>
        </w:numPr>
        <w:tabs>
          <w:tab w:val="left" w:pos="1563"/>
        </w:tabs>
        <w:spacing w:before="240" w:after="200"/>
        <w:rPr>
          <w:rFonts w:ascii="Tw Cen MT" w:hAnsi="Tw Cen MT" w:cs="Times New Roman"/>
          <w:color w:val="181818"/>
          <w:sz w:val="28"/>
          <w:szCs w:val="28"/>
        </w:rPr>
      </w:pPr>
      <w:r>
        <w:rPr>
          <w:rFonts w:ascii="Tw Cen MT" w:hAnsi="Tw Cen MT" w:cs="Times New Roman"/>
          <w:b/>
          <w:sz w:val="28"/>
          <w:szCs w:val="28"/>
        </w:rPr>
        <w:t>S</w:t>
      </w:r>
      <w:r w:rsidR="000E6198" w:rsidRPr="000E6198">
        <w:rPr>
          <w:rFonts w:ascii="Tw Cen MT" w:hAnsi="Tw Cen MT" w:cs="Times New Roman"/>
          <w:b/>
          <w:sz w:val="28"/>
          <w:szCs w:val="28"/>
        </w:rPr>
        <w:t>E Study</w:t>
      </w:r>
    </w:p>
    <w:p w14:paraId="5ADA318A" w14:textId="1E8CDA70" w:rsidR="00AB40B9" w:rsidRDefault="00AB40B9" w:rsidP="00F75214">
      <w:pPr>
        <w:pStyle w:val="GLSBody"/>
        <w:spacing w:after="60"/>
        <w:rPr>
          <w:rFonts w:ascii="Tw Cen MT" w:hAnsi="Tw Cen MT"/>
          <w:b/>
          <w:u w:val="single"/>
        </w:rPr>
      </w:pPr>
      <w:r>
        <w:rPr>
          <w:rFonts w:ascii="Tw Cen MT" w:hAnsi="Tw Cen MT"/>
          <w:b/>
          <w:u w:val="single"/>
        </w:rPr>
        <w:t>SE System Change Study</w:t>
      </w:r>
    </w:p>
    <w:p w14:paraId="036FA022" w14:textId="27004B83" w:rsidR="00F75214" w:rsidRPr="00AB40B9" w:rsidRDefault="00AB40B9" w:rsidP="00AB40B9">
      <w:pPr>
        <w:pStyle w:val="GLSBody"/>
        <w:spacing w:before="120" w:after="60"/>
        <w:rPr>
          <w:rFonts w:ascii="Tw Cen MT" w:hAnsi="Tw Cen MT"/>
          <w:i/>
        </w:rPr>
      </w:pPr>
      <w:r w:rsidRPr="00AB40B9">
        <w:rPr>
          <w:rFonts w:ascii="Tw Cen MT" w:hAnsi="Tw Cen MT"/>
          <w:b/>
          <w:i/>
        </w:rPr>
        <w:t>Biannual</w:t>
      </w:r>
      <w:r w:rsidR="00F75214" w:rsidRPr="00AB40B9">
        <w:rPr>
          <w:rFonts w:ascii="Tw Cen MT" w:hAnsi="Tw Cen MT"/>
          <w:b/>
          <w:i/>
        </w:rPr>
        <w:t xml:space="preserve"> Program Inventory–SE </w:t>
      </w:r>
    </w:p>
    <w:p w14:paraId="4210A9B8" w14:textId="22432AD7" w:rsidR="000E6198" w:rsidRDefault="00F75214" w:rsidP="000E6198">
      <w:pPr>
        <w:pStyle w:val="GLSBody"/>
        <w:spacing w:after="200"/>
      </w:pPr>
      <w:r>
        <w:t>E</w:t>
      </w:r>
      <w:r w:rsidR="000E6198">
        <w:t xml:space="preserve">ach </w:t>
      </w:r>
      <w:r>
        <w:t>SE</w:t>
      </w:r>
      <w:r w:rsidR="000E6198">
        <w:t xml:space="preserve"> grantee will assign a respondent to complete the BPI. One month after the end of FY quarters 2 and 4 (April and October), respondents will receive</w:t>
      </w:r>
      <w:r w:rsidR="000E6198" w:rsidRPr="006978A8">
        <w:t xml:space="preserve"> a </w:t>
      </w:r>
      <w:r w:rsidR="000E6198">
        <w:t xml:space="preserve">BPI password via e-mail and use </w:t>
      </w:r>
      <w:r w:rsidR="000E6198" w:rsidRPr="006978A8">
        <w:t xml:space="preserve">the password to log in to the survey on the </w:t>
      </w:r>
      <w:r w:rsidR="000E6198">
        <w:t xml:space="preserve">CSEDS. The respondent </w:t>
      </w:r>
      <w:r w:rsidR="000E6198" w:rsidRPr="006978A8">
        <w:t xml:space="preserve">must finalize </w:t>
      </w:r>
      <w:r w:rsidR="000E6198">
        <w:t>the</w:t>
      </w:r>
      <w:r w:rsidR="000E6198" w:rsidRPr="006978A8">
        <w:t xml:space="preserve"> submission by the end of the administration period, which lasts for 15 business days. All </w:t>
      </w:r>
      <w:r w:rsidR="000E6198">
        <w:t>BPI entries</w:t>
      </w:r>
      <w:r w:rsidR="000E6198" w:rsidRPr="006978A8">
        <w:t xml:space="preserve"> </w:t>
      </w:r>
      <w:r w:rsidR="000E6198">
        <w:t>will be</w:t>
      </w:r>
      <w:r w:rsidR="000E6198" w:rsidRPr="006978A8">
        <w:t xml:space="preserve"> reviewed to ensure data quality. </w:t>
      </w:r>
      <w:r w:rsidR="000E6198">
        <w:t xml:space="preserve">BPI </w:t>
      </w:r>
      <w:r w:rsidR="000E6198" w:rsidRPr="006978A8">
        <w:t xml:space="preserve">respondents </w:t>
      </w:r>
      <w:r w:rsidR="000E6198">
        <w:t>will be</w:t>
      </w:r>
      <w:r w:rsidR="000E6198" w:rsidRPr="006978A8">
        <w:t xml:space="preserve"> provided with technical assistance via e-mail (e.g., help email) for any questions.</w:t>
      </w:r>
      <w:r w:rsidR="000E6198">
        <w:t xml:space="preserve">  </w:t>
      </w:r>
    </w:p>
    <w:p w14:paraId="6C5EE0BC" w14:textId="12484238" w:rsidR="00F75214" w:rsidRPr="00AB40B9" w:rsidRDefault="00F75214" w:rsidP="00236438">
      <w:pPr>
        <w:pStyle w:val="GLSBody"/>
        <w:keepNext/>
        <w:spacing w:after="60"/>
        <w:rPr>
          <w:rFonts w:ascii="Tw Cen MT" w:hAnsi="Tw Cen MT"/>
          <w:i/>
        </w:rPr>
      </w:pPr>
      <w:r w:rsidRPr="00AB40B9">
        <w:rPr>
          <w:rFonts w:ascii="Tw Cen MT" w:hAnsi="Tw Cen MT"/>
          <w:b/>
          <w:i/>
        </w:rPr>
        <w:t>Scalability/Sustainability Assessment KIIs</w:t>
      </w:r>
    </w:p>
    <w:p w14:paraId="3D449E77" w14:textId="5ADECB70" w:rsidR="00DA2E38" w:rsidRPr="000E6198" w:rsidRDefault="00013908" w:rsidP="00DA2E38">
      <w:pPr>
        <w:pStyle w:val="BHTCCBody"/>
        <w:tabs>
          <w:tab w:val="left" w:pos="1563"/>
        </w:tabs>
        <w:rPr>
          <w:rFonts w:ascii="Times New Roman" w:hAnsi="Times New Roman" w:cs="Times New Roman"/>
          <w:sz w:val="24"/>
          <w:szCs w:val="24"/>
        </w:rPr>
      </w:pPr>
      <w:r>
        <w:rPr>
          <w:rFonts w:ascii="Times New Roman" w:hAnsi="Times New Roman" w:cs="Times New Roman"/>
          <w:sz w:val="24"/>
          <w:szCs w:val="24"/>
        </w:rPr>
        <w:t xml:space="preserve">The evaluation team </w:t>
      </w:r>
      <w:r w:rsidR="00A52B42" w:rsidRPr="00A52B42">
        <w:rPr>
          <w:rFonts w:ascii="Times New Roman" w:hAnsi="Times New Roman" w:cs="Times New Roman"/>
          <w:sz w:val="24"/>
          <w:szCs w:val="24"/>
        </w:rPr>
        <w:t xml:space="preserve">will conduct five KIIs </w:t>
      </w:r>
      <w:r w:rsidR="00051AF5">
        <w:rPr>
          <w:rFonts w:ascii="Times New Roman" w:hAnsi="Times New Roman" w:cs="Times New Roman"/>
          <w:sz w:val="24"/>
          <w:szCs w:val="24"/>
        </w:rPr>
        <w:t>with stakeholders from each SE grantee</w:t>
      </w:r>
      <w:r w:rsidR="00A52B42" w:rsidRPr="00A52B42">
        <w:rPr>
          <w:rFonts w:ascii="Times New Roman" w:hAnsi="Times New Roman" w:cs="Times New Roman"/>
          <w:sz w:val="24"/>
          <w:szCs w:val="24"/>
        </w:rPr>
        <w:t xml:space="preserve"> </w:t>
      </w:r>
      <w:r w:rsidR="00051AF5">
        <w:rPr>
          <w:rFonts w:ascii="Times New Roman" w:hAnsi="Times New Roman" w:cs="Times New Roman"/>
          <w:sz w:val="24"/>
          <w:szCs w:val="24"/>
        </w:rPr>
        <w:t>in</w:t>
      </w:r>
      <w:r w:rsidR="00A52B42" w:rsidRPr="00A52B42">
        <w:rPr>
          <w:rFonts w:ascii="Times New Roman" w:hAnsi="Times New Roman" w:cs="Times New Roman"/>
          <w:sz w:val="24"/>
          <w:szCs w:val="24"/>
        </w:rPr>
        <w:t xml:space="preserve"> Year</w:t>
      </w:r>
      <w:r w:rsidR="00051AF5">
        <w:rPr>
          <w:rFonts w:ascii="Times New Roman" w:hAnsi="Times New Roman" w:cs="Times New Roman"/>
          <w:sz w:val="24"/>
          <w:szCs w:val="24"/>
        </w:rPr>
        <w:t>s</w:t>
      </w:r>
      <w:r w:rsidR="00A52B42" w:rsidRPr="00A52B42">
        <w:rPr>
          <w:rFonts w:ascii="Times New Roman" w:hAnsi="Times New Roman" w:cs="Times New Roman"/>
          <w:sz w:val="24"/>
          <w:szCs w:val="24"/>
        </w:rPr>
        <w:t xml:space="preserve"> 2 and 4. </w:t>
      </w:r>
      <w:r>
        <w:rPr>
          <w:rFonts w:ascii="Times New Roman" w:hAnsi="Times New Roman" w:cs="Times New Roman"/>
          <w:sz w:val="24"/>
          <w:szCs w:val="24"/>
        </w:rPr>
        <w:t>The Contractor</w:t>
      </w:r>
      <w:r w:rsidRPr="000E6198">
        <w:rPr>
          <w:rFonts w:ascii="Times New Roman" w:hAnsi="Times New Roman" w:cs="Times New Roman"/>
          <w:sz w:val="24"/>
          <w:szCs w:val="24"/>
        </w:rPr>
        <w:t xml:space="preserve"> </w:t>
      </w:r>
      <w:r w:rsidR="000E6198" w:rsidRPr="000E6198">
        <w:rPr>
          <w:rFonts w:ascii="Times New Roman" w:hAnsi="Times New Roman" w:cs="Times New Roman"/>
          <w:sz w:val="24"/>
          <w:szCs w:val="24"/>
        </w:rPr>
        <w:t xml:space="preserve">will work in collaboration with SAMHSA, PRA, and state program directors to create a final sample for each state, acknowledging that the relevant stakeholders may differ from state to state. </w:t>
      </w:r>
      <w:r w:rsidR="00DA2E38">
        <w:rPr>
          <w:rFonts w:ascii="Times New Roman" w:hAnsi="Times New Roman" w:cs="Times New Roman"/>
          <w:sz w:val="24"/>
          <w:szCs w:val="24"/>
        </w:rPr>
        <w:t>S</w:t>
      </w:r>
      <w:r w:rsidR="00DA2E38" w:rsidRPr="000E6198">
        <w:rPr>
          <w:rFonts w:ascii="Times New Roman" w:hAnsi="Times New Roman" w:cs="Times New Roman"/>
          <w:sz w:val="24"/>
          <w:szCs w:val="24"/>
        </w:rPr>
        <w:t>elected grantee program staff (e.g., project directors, local evaluators)</w:t>
      </w:r>
      <w:r w:rsidR="00DA2E38">
        <w:rPr>
          <w:rFonts w:ascii="Times New Roman" w:hAnsi="Times New Roman" w:cs="Times New Roman"/>
          <w:sz w:val="24"/>
          <w:szCs w:val="24"/>
        </w:rPr>
        <w:t xml:space="preserve"> will assist with the r</w:t>
      </w:r>
      <w:r w:rsidR="00DA2E38" w:rsidRPr="000E6198">
        <w:rPr>
          <w:rFonts w:ascii="Times New Roman" w:hAnsi="Times New Roman" w:cs="Times New Roman"/>
          <w:sz w:val="24"/>
          <w:szCs w:val="24"/>
        </w:rPr>
        <w:t xml:space="preserve">ecruitment of KII participants by </w:t>
      </w:r>
      <w:r w:rsidR="00DA2E38">
        <w:rPr>
          <w:rFonts w:ascii="Times New Roman" w:hAnsi="Times New Roman" w:cs="Times New Roman"/>
          <w:sz w:val="24"/>
          <w:szCs w:val="24"/>
        </w:rPr>
        <w:t>obtaining</w:t>
      </w:r>
      <w:r w:rsidR="00DA2E38" w:rsidRPr="000E6198">
        <w:rPr>
          <w:rFonts w:ascii="Times New Roman" w:hAnsi="Times New Roman" w:cs="Times New Roman"/>
          <w:sz w:val="24"/>
          <w:szCs w:val="24"/>
        </w:rPr>
        <w:t xml:space="preserve"> written consent to be contacted to participate in a KII and </w:t>
      </w:r>
      <w:r w:rsidR="00DA2E38">
        <w:rPr>
          <w:rFonts w:ascii="Times New Roman" w:hAnsi="Times New Roman" w:cs="Times New Roman"/>
          <w:sz w:val="24"/>
          <w:szCs w:val="24"/>
        </w:rPr>
        <w:t>sending the</w:t>
      </w:r>
      <w:r w:rsidR="00DA2E38" w:rsidRPr="000E6198">
        <w:rPr>
          <w:rFonts w:ascii="Times New Roman" w:hAnsi="Times New Roman" w:cs="Times New Roman"/>
          <w:sz w:val="24"/>
          <w:szCs w:val="24"/>
        </w:rPr>
        <w:t xml:space="preserve"> forms to the </w:t>
      </w:r>
      <w:r>
        <w:rPr>
          <w:rFonts w:ascii="Times New Roman" w:hAnsi="Times New Roman" w:cs="Times New Roman"/>
          <w:sz w:val="24"/>
          <w:szCs w:val="24"/>
        </w:rPr>
        <w:t>evaluation</w:t>
      </w:r>
      <w:r w:rsidRPr="000E6198">
        <w:rPr>
          <w:rFonts w:ascii="Times New Roman" w:hAnsi="Times New Roman" w:cs="Times New Roman"/>
          <w:sz w:val="24"/>
          <w:szCs w:val="24"/>
        </w:rPr>
        <w:t xml:space="preserve"> </w:t>
      </w:r>
      <w:r w:rsidR="00DA2E38" w:rsidRPr="000E6198">
        <w:rPr>
          <w:rFonts w:ascii="Times New Roman" w:hAnsi="Times New Roman" w:cs="Times New Roman"/>
          <w:sz w:val="24"/>
          <w:szCs w:val="24"/>
        </w:rPr>
        <w:t>team.</w:t>
      </w:r>
      <w:r w:rsidR="00DA2E38">
        <w:rPr>
          <w:rFonts w:ascii="Times New Roman" w:hAnsi="Times New Roman" w:cs="Times New Roman"/>
          <w:sz w:val="24"/>
          <w:szCs w:val="24"/>
        </w:rPr>
        <w:t xml:space="preserve"> </w:t>
      </w:r>
      <w:r w:rsidR="00DA2E38" w:rsidRPr="000E6198">
        <w:rPr>
          <w:rFonts w:ascii="Times New Roman" w:hAnsi="Times New Roman" w:cs="Times New Roman"/>
          <w:sz w:val="24"/>
          <w:szCs w:val="24"/>
        </w:rPr>
        <w:t xml:space="preserve">Once the sample is determined, </w:t>
      </w:r>
      <w:r>
        <w:rPr>
          <w:rFonts w:ascii="Times New Roman" w:hAnsi="Times New Roman" w:cs="Times New Roman"/>
          <w:sz w:val="24"/>
          <w:szCs w:val="24"/>
        </w:rPr>
        <w:t>the evaluation team</w:t>
      </w:r>
      <w:r w:rsidRPr="000E6198">
        <w:rPr>
          <w:rFonts w:ascii="Times New Roman" w:hAnsi="Times New Roman" w:cs="Times New Roman"/>
          <w:sz w:val="24"/>
          <w:szCs w:val="24"/>
        </w:rPr>
        <w:t xml:space="preserve"> </w:t>
      </w:r>
      <w:r w:rsidR="00DA2E38" w:rsidRPr="000E6198">
        <w:rPr>
          <w:rFonts w:ascii="Times New Roman" w:hAnsi="Times New Roman" w:cs="Times New Roman"/>
          <w:sz w:val="24"/>
          <w:szCs w:val="24"/>
        </w:rPr>
        <w:t xml:space="preserve">will contact participants directly </w:t>
      </w:r>
      <w:r w:rsidR="00DA2E38">
        <w:rPr>
          <w:rFonts w:ascii="Times New Roman" w:hAnsi="Times New Roman" w:cs="Times New Roman"/>
          <w:sz w:val="24"/>
          <w:szCs w:val="24"/>
        </w:rPr>
        <w:t>to</w:t>
      </w:r>
      <w:r w:rsidR="00DA2E38" w:rsidRPr="000E6198">
        <w:rPr>
          <w:rFonts w:ascii="Times New Roman" w:hAnsi="Times New Roman" w:cs="Times New Roman"/>
          <w:sz w:val="24"/>
          <w:szCs w:val="24"/>
        </w:rPr>
        <w:t xml:space="preserve"> schedul</w:t>
      </w:r>
      <w:r w:rsidR="00DA2E38">
        <w:rPr>
          <w:rFonts w:ascii="Times New Roman" w:hAnsi="Times New Roman" w:cs="Times New Roman"/>
          <w:sz w:val="24"/>
          <w:szCs w:val="24"/>
        </w:rPr>
        <w:t>e</w:t>
      </w:r>
      <w:r w:rsidR="00DA2E38" w:rsidRPr="000E6198">
        <w:rPr>
          <w:rFonts w:ascii="Times New Roman" w:hAnsi="Times New Roman" w:cs="Times New Roman"/>
          <w:sz w:val="24"/>
          <w:szCs w:val="24"/>
        </w:rPr>
        <w:t xml:space="preserve"> purposes. KIIs are expected to last approximately 60 minutes and will be conducted </w:t>
      </w:r>
      <w:r w:rsidR="00DA2E38">
        <w:rPr>
          <w:rFonts w:ascii="Times New Roman" w:hAnsi="Times New Roman" w:cs="Times New Roman"/>
          <w:sz w:val="24"/>
          <w:szCs w:val="24"/>
        </w:rPr>
        <w:t>via</w:t>
      </w:r>
      <w:r w:rsidR="00DA2E38" w:rsidRPr="000E6198">
        <w:rPr>
          <w:rFonts w:ascii="Times New Roman" w:hAnsi="Times New Roman" w:cs="Times New Roman"/>
          <w:sz w:val="24"/>
          <w:szCs w:val="24"/>
        </w:rPr>
        <w:t xml:space="preserve"> Skype) when possible or by telephone. KIIs will be recorded with permission from participants and transcribed verbatim to capture responses in their entirety.</w:t>
      </w:r>
    </w:p>
    <w:p w14:paraId="77D13FBB" w14:textId="419766BF" w:rsidR="000E6198" w:rsidRDefault="000E6198" w:rsidP="000E6198">
      <w:pPr>
        <w:pStyle w:val="BHTCCBody"/>
        <w:rPr>
          <w:rFonts w:ascii="Times New Roman" w:hAnsi="Times New Roman" w:cs="Times New Roman"/>
          <w:sz w:val="24"/>
          <w:szCs w:val="24"/>
        </w:rPr>
      </w:pPr>
      <w:r w:rsidRPr="000E6198">
        <w:rPr>
          <w:rFonts w:ascii="Times New Roman" w:hAnsi="Times New Roman" w:cs="Times New Roman"/>
          <w:sz w:val="24"/>
          <w:szCs w:val="24"/>
        </w:rPr>
        <w:t xml:space="preserve">The KII instrument is a semi-structured guide with a basic foundation for all </w:t>
      </w:r>
      <w:r w:rsidR="00F75214">
        <w:rPr>
          <w:rFonts w:ascii="Times New Roman" w:hAnsi="Times New Roman" w:cs="Times New Roman"/>
          <w:sz w:val="24"/>
          <w:szCs w:val="24"/>
        </w:rPr>
        <w:t>S</w:t>
      </w:r>
      <w:r w:rsidRPr="000E6198">
        <w:rPr>
          <w:rFonts w:ascii="Times New Roman" w:hAnsi="Times New Roman" w:cs="Times New Roman"/>
          <w:sz w:val="24"/>
          <w:szCs w:val="24"/>
        </w:rPr>
        <w:t xml:space="preserve">tates and respondents that can be tailored to the specific state context and respondent’s role within the SE program by selecting specific questions and probes. These guides can be modified to include specific probes on the basis of the state context or information gleaned from BPI data and document review. For example, the sustainability section of each guide might include probes addressing information found through review of the states’ sustainability plans. This instrument design ensures that critical </w:t>
      </w:r>
      <w:r w:rsidRPr="000E6198">
        <w:rPr>
          <w:rFonts w:ascii="Times New Roman" w:hAnsi="Times New Roman" w:cs="Times New Roman"/>
          <w:sz w:val="24"/>
          <w:szCs w:val="24"/>
        </w:rPr>
        <w:lastRenderedPageBreak/>
        <w:t>topics will be covered with all participants while allowing them to address issues specific to their context and role.</w:t>
      </w:r>
      <w:r w:rsidR="00F75214">
        <w:rPr>
          <w:rFonts w:ascii="Times New Roman" w:hAnsi="Times New Roman" w:cs="Times New Roman"/>
          <w:sz w:val="24"/>
          <w:szCs w:val="24"/>
        </w:rPr>
        <w:t xml:space="preserve"> </w:t>
      </w:r>
      <w:r w:rsidRPr="000E6198">
        <w:rPr>
          <w:rFonts w:ascii="Times New Roman" w:hAnsi="Times New Roman" w:cs="Times New Roman"/>
          <w:sz w:val="24"/>
          <w:szCs w:val="24"/>
        </w:rPr>
        <w:t>KIIs in Year 2 focus on infrastructure and motivations for scale up and sustainability, as well as steps already in place to achieve those goals. Data collection in Year 4 will rely on a similar sample, most likely returning to the same participants or others who occupy the same role, and will use the same KII framework. While covering the same topics, Year 4 KIIs will follow up on how the infrastructure and activities taking place in Year 2 come to fruition, and will emphasize outcomes and intentions for the program beyond the grant cycle.</w:t>
      </w:r>
    </w:p>
    <w:p w14:paraId="75882677" w14:textId="77777777" w:rsidR="00F75214" w:rsidRPr="000E6198" w:rsidRDefault="00F75214" w:rsidP="00F75214">
      <w:pPr>
        <w:pStyle w:val="BHTCCBody"/>
        <w:rPr>
          <w:rFonts w:ascii="Times New Roman" w:hAnsi="Times New Roman" w:cs="Times New Roman"/>
          <w:sz w:val="24"/>
          <w:szCs w:val="24"/>
        </w:rPr>
      </w:pPr>
      <w:r w:rsidRPr="000E6198">
        <w:rPr>
          <w:rFonts w:ascii="Times New Roman" w:hAnsi="Times New Roman" w:cs="Times New Roman"/>
          <w:sz w:val="24"/>
          <w:szCs w:val="24"/>
        </w:rPr>
        <w:t xml:space="preserve">At the start of the interview, the interviewer will obtain verbal consent by reading aloud the informed consent statement </w:t>
      </w:r>
      <w:r>
        <w:rPr>
          <w:rFonts w:ascii="Times New Roman" w:hAnsi="Times New Roman" w:cs="Times New Roman"/>
          <w:sz w:val="24"/>
          <w:szCs w:val="24"/>
        </w:rPr>
        <w:t>a</w:t>
      </w:r>
      <w:r w:rsidRPr="000E6198">
        <w:rPr>
          <w:rFonts w:ascii="Times New Roman" w:hAnsi="Times New Roman" w:cs="Times New Roman"/>
          <w:sz w:val="24"/>
          <w:szCs w:val="24"/>
        </w:rPr>
        <w:t xml:space="preserve">nd obtain verbal consent from each respondent. The consent statement describes the purpose of the study, how the information will be used, and the steps that will be taken to protect participant privacy. The respondent also will be asked to provide verbal consent to be audio-recorded. Interviews will be semi-structured and conversational, but will follow a specific set of questions developed to collect data on identified evaluation questions and indicators of particular relevance and interest. Following the interviews, audio recordings will be transcribed to facilitate qualitative analysis. </w:t>
      </w:r>
    </w:p>
    <w:p w14:paraId="2FFDEA86" w14:textId="22E2BF9E" w:rsidR="00F75214" w:rsidRPr="00AB40B9" w:rsidRDefault="00F75214" w:rsidP="00F75214">
      <w:pPr>
        <w:pStyle w:val="GLSBody"/>
        <w:spacing w:after="60"/>
        <w:rPr>
          <w:rFonts w:ascii="Tw Cen MT" w:hAnsi="Tw Cen MT"/>
          <w:i/>
        </w:rPr>
      </w:pPr>
      <w:r w:rsidRPr="00AB40B9">
        <w:rPr>
          <w:rFonts w:ascii="Tw Cen MT" w:hAnsi="Tw Cen MT"/>
          <w:b/>
          <w:i/>
        </w:rPr>
        <w:t>Employment Needs Focus Groups</w:t>
      </w:r>
    </w:p>
    <w:p w14:paraId="4166FF93" w14:textId="659BD24B" w:rsidR="00A52B42" w:rsidRPr="00A52B42" w:rsidRDefault="00013908" w:rsidP="00A52B42">
      <w:pPr>
        <w:pStyle w:val="BHTCCBody"/>
        <w:rPr>
          <w:rFonts w:ascii="Times New Roman" w:hAnsi="Times New Roman" w:cs="Times New Roman"/>
          <w:sz w:val="24"/>
          <w:szCs w:val="24"/>
        </w:rPr>
      </w:pPr>
      <w:r>
        <w:rPr>
          <w:rFonts w:ascii="Times New Roman" w:hAnsi="Times New Roman" w:cs="Times New Roman"/>
          <w:sz w:val="24"/>
          <w:szCs w:val="24"/>
        </w:rPr>
        <w:t>The evaluation team</w:t>
      </w:r>
      <w:r w:rsidRPr="00A52B42">
        <w:rPr>
          <w:rFonts w:ascii="Times New Roman" w:hAnsi="Times New Roman" w:cs="Times New Roman"/>
          <w:sz w:val="24"/>
          <w:szCs w:val="24"/>
        </w:rPr>
        <w:t xml:space="preserve"> </w:t>
      </w:r>
      <w:r w:rsidR="00A52B42" w:rsidRPr="00A52B42">
        <w:rPr>
          <w:rFonts w:ascii="Times New Roman" w:hAnsi="Times New Roman" w:cs="Times New Roman"/>
          <w:sz w:val="24"/>
          <w:szCs w:val="24"/>
        </w:rPr>
        <w:t xml:space="preserve">will conduct </w:t>
      </w:r>
      <w:r w:rsidRPr="00A52B42">
        <w:rPr>
          <w:rFonts w:ascii="Times New Roman" w:hAnsi="Times New Roman" w:cs="Times New Roman"/>
          <w:sz w:val="24"/>
          <w:szCs w:val="24"/>
        </w:rPr>
        <w:t>t</w:t>
      </w:r>
      <w:r>
        <w:rPr>
          <w:rFonts w:ascii="Times New Roman" w:hAnsi="Times New Roman" w:cs="Times New Roman"/>
          <w:sz w:val="24"/>
          <w:szCs w:val="24"/>
        </w:rPr>
        <w:t>w</w:t>
      </w:r>
      <w:r w:rsidRPr="00A52B42">
        <w:rPr>
          <w:rFonts w:ascii="Times New Roman" w:hAnsi="Times New Roman" w:cs="Times New Roman"/>
          <w:sz w:val="24"/>
          <w:szCs w:val="24"/>
        </w:rPr>
        <w:t>o</w:t>
      </w:r>
      <w:r w:rsidR="00A52B42" w:rsidRPr="00A52B42">
        <w:rPr>
          <w:rFonts w:ascii="Times New Roman" w:hAnsi="Times New Roman" w:cs="Times New Roman"/>
          <w:sz w:val="24"/>
          <w:szCs w:val="24"/>
        </w:rPr>
        <w:t xml:space="preserve"> ENFGs within each of the </w:t>
      </w:r>
      <w:r w:rsidR="004D657A">
        <w:rPr>
          <w:rFonts w:ascii="Times New Roman" w:hAnsi="Times New Roman" w:cs="Times New Roman"/>
          <w:sz w:val="24"/>
          <w:szCs w:val="24"/>
        </w:rPr>
        <w:t xml:space="preserve">7 SE </w:t>
      </w:r>
      <w:r w:rsidR="00A52B42" w:rsidRPr="00A52B42">
        <w:rPr>
          <w:rFonts w:ascii="Times New Roman" w:hAnsi="Times New Roman" w:cs="Times New Roman"/>
          <w:sz w:val="24"/>
          <w:szCs w:val="24"/>
        </w:rPr>
        <w:t xml:space="preserve">grantee </w:t>
      </w:r>
      <w:r w:rsidR="00051AF5">
        <w:rPr>
          <w:rFonts w:ascii="Times New Roman" w:hAnsi="Times New Roman" w:cs="Times New Roman"/>
          <w:sz w:val="24"/>
          <w:szCs w:val="24"/>
        </w:rPr>
        <w:t>S</w:t>
      </w:r>
      <w:r w:rsidR="00A52B42" w:rsidRPr="00A52B42">
        <w:rPr>
          <w:rFonts w:ascii="Times New Roman" w:hAnsi="Times New Roman" w:cs="Times New Roman"/>
          <w:sz w:val="24"/>
          <w:szCs w:val="24"/>
        </w:rPr>
        <w:t xml:space="preserve">tates (i.e., one with employment specialists, one with employers) </w:t>
      </w:r>
      <w:r w:rsidR="00A52B42">
        <w:rPr>
          <w:rFonts w:ascii="Times New Roman" w:hAnsi="Times New Roman" w:cs="Times New Roman"/>
          <w:sz w:val="24"/>
          <w:szCs w:val="24"/>
        </w:rPr>
        <w:t xml:space="preserve">in </w:t>
      </w:r>
      <w:r w:rsidR="00A52B42" w:rsidRPr="00A52B42">
        <w:rPr>
          <w:rFonts w:ascii="Times New Roman" w:hAnsi="Times New Roman" w:cs="Times New Roman"/>
          <w:sz w:val="24"/>
          <w:szCs w:val="24"/>
        </w:rPr>
        <w:t>Year</w:t>
      </w:r>
      <w:r w:rsidR="00A52B42">
        <w:rPr>
          <w:rFonts w:ascii="Times New Roman" w:hAnsi="Times New Roman" w:cs="Times New Roman"/>
          <w:sz w:val="24"/>
          <w:szCs w:val="24"/>
        </w:rPr>
        <w:t>s</w:t>
      </w:r>
      <w:r w:rsidR="00A52B42" w:rsidRPr="00A52B42">
        <w:rPr>
          <w:rFonts w:ascii="Times New Roman" w:hAnsi="Times New Roman" w:cs="Times New Roman"/>
          <w:sz w:val="24"/>
          <w:szCs w:val="24"/>
        </w:rPr>
        <w:t xml:space="preserve"> 2 and 4. Each ENFG will consist of approximately </w:t>
      </w:r>
      <w:r w:rsidR="004D657A">
        <w:rPr>
          <w:rFonts w:ascii="Times New Roman" w:hAnsi="Times New Roman" w:cs="Times New Roman"/>
          <w:sz w:val="24"/>
          <w:szCs w:val="24"/>
        </w:rPr>
        <w:t xml:space="preserve">6 </w:t>
      </w:r>
      <w:r w:rsidR="00A52B42" w:rsidRPr="00A52B42">
        <w:rPr>
          <w:rFonts w:ascii="Times New Roman" w:hAnsi="Times New Roman" w:cs="Times New Roman"/>
          <w:sz w:val="24"/>
          <w:szCs w:val="24"/>
        </w:rPr>
        <w:t xml:space="preserve">participants. Grantees will assist with recruitment by asking local implementation sites for the contact information of employment specialists and employers that are currently engaged in the program. Target participants in the Employer focus groups will include hiring managers </w:t>
      </w:r>
      <w:r w:rsidR="00051AF5">
        <w:rPr>
          <w:rFonts w:ascii="Times New Roman" w:hAnsi="Times New Roman" w:cs="Times New Roman"/>
          <w:sz w:val="24"/>
          <w:szCs w:val="24"/>
        </w:rPr>
        <w:t xml:space="preserve">or supervisors </w:t>
      </w:r>
      <w:r w:rsidR="00A52B42" w:rsidRPr="00A52B42">
        <w:rPr>
          <w:rFonts w:ascii="Times New Roman" w:hAnsi="Times New Roman" w:cs="Times New Roman"/>
          <w:sz w:val="24"/>
          <w:szCs w:val="24"/>
        </w:rPr>
        <w:t xml:space="preserve">from employers currently engaged in the program whose employees have disclosed their status. </w:t>
      </w:r>
      <w:r>
        <w:rPr>
          <w:rFonts w:ascii="Times New Roman" w:hAnsi="Times New Roman" w:cs="Times New Roman"/>
          <w:sz w:val="24"/>
          <w:szCs w:val="24"/>
        </w:rPr>
        <w:t>P</w:t>
      </w:r>
      <w:r w:rsidR="00051AF5">
        <w:rPr>
          <w:rFonts w:ascii="Times New Roman" w:hAnsi="Times New Roman" w:cs="Times New Roman"/>
          <w:sz w:val="24"/>
          <w:szCs w:val="24"/>
        </w:rPr>
        <w:t>otential participants</w:t>
      </w:r>
      <w:r w:rsidR="00A52B42" w:rsidRPr="00A52B42">
        <w:rPr>
          <w:rFonts w:ascii="Times New Roman" w:hAnsi="Times New Roman" w:cs="Times New Roman"/>
          <w:sz w:val="24"/>
          <w:szCs w:val="24"/>
        </w:rPr>
        <w:t xml:space="preserve"> </w:t>
      </w:r>
      <w:r>
        <w:rPr>
          <w:rFonts w:ascii="Times New Roman" w:hAnsi="Times New Roman" w:cs="Times New Roman"/>
          <w:sz w:val="24"/>
          <w:szCs w:val="24"/>
        </w:rPr>
        <w:t xml:space="preserve">will receive </w:t>
      </w:r>
      <w:r w:rsidR="00A52B42" w:rsidRPr="00A52B42">
        <w:rPr>
          <w:rFonts w:ascii="Times New Roman" w:hAnsi="Times New Roman" w:cs="Times New Roman"/>
          <w:sz w:val="24"/>
          <w:szCs w:val="24"/>
        </w:rPr>
        <w:t>e-mail</w:t>
      </w:r>
      <w:r>
        <w:rPr>
          <w:rFonts w:ascii="Times New Roman" w:hAnsi="Times New Roman" w:cs="Times New Roman"/>
          <w:sz w:val="24"/>
          <w:szCs w:val="24"/>
        </w:rPr>
        <w:t>s</w:t>
      </w:r>
      <w:r w:rsidR="00A52B42" w:rsidRPr="00A52B42">
        <w:rPr>
          <w:rFonts w:ascii="Times New Roman" w:hAnsi="Times New Roman" w:cs="Times New Roman"/>
          <w:sz w:val="24"/>
          <w:szCs w:val="24"/>
        </w:rPr>
        <w:t xml:space="preserve"> and</w:t>
      </w:r>
      <w:r>
        <w:rPr>
          <w:rFonts w:ascii="Times New Roman" w:hAnsi="Times New Roman" w:cs="Times New Roman"/>
          <w:sz w:val="24"/>
          <w:szCs w:val="24"/>
        </w:rPr>
        <w:t>/or</w:t>
      </w:r>
      <w:r w:rsidR="00A52B42" w:rsidRPr="00A52B42">
        <w:rPr>
          <w:rFonts w:ascii="Times New Roman" w:hAnsi="Times New Roman" w:cs="Times New Roman"/>
          <w:sz w:val="24"/>
          <w:szCs w:val="24"/>
        </w:rPr>
        <w:t xml:space="preserve"> telephone to request their participation in the focus groups. The Employment Specialist focus groups will take approximately 90 minutes, while the Employer focus groups are designed to last approximately 60 minutes. Respondents will be asked to complete an online consent form and share times that they are available within a specific window for completing the focus group. Once </w:t>
      </w:r>
      <w:r>
        <w:rPr>
          <w:rFonts w:ascii="Times New Roman" w:hAnsi="Times New Roman" w:cs="Times New Roman"/>
          <w:sz w:val="24"/>
          <w:szCs w:val="24"/>
        </w:rPr>
        <w:t>the evaluation team</w:t>
      </w:r>
      <w:r w:rsidRPr="00A52B42">
        <w:rPr>
          <w:rFonts w:ascii="Times New Roman" w:hAnsi="Times New Roman" w:cs="Times New Roman"/>
          <w:sz w:val="24"/>
          <w:szCs w:val="24"/>
        </w:rPr>
        <w:t xml:space="preserve"> </w:t>
      </w:r>
      <w:r w:rsidR="00A52B42" w:rsidRPr="00A52B42">
        <w:rPr>
          <w:rFonts w:ascii="Times New Roman" w:hAnsi="Times New Roman" w:cs="Times New Roman"/>
          <w:sz w:val="24"/>
          <w:szCs w:val="24"/>
        </w:rPr>
        <w:t xml:space="preserve">has identified a time that works for a sufficient number of respondents, </w:t>
      </w:r>
      <w:r w:rsidR="00051AF5">
        <w:rPr>
          <w:rFonts w:ascii="Times New Roman" w:hAnsi="Times New Roman" w:cs="Times New Roman"/>
          <w:sz w:val="24"/>
          <w:szCs w:val="24"/>
        </w:rPr>
        <w:t>participants</w:t>
      </w:r>
      <w:r w:rsidR="00A52B42" w:rsidRPr="00A52B42">
        <w:rPr>
          <w:rFonts w:ascii="Times New Roman" w:hAnsi="Times New Roman" w:cs="Times New Roman"/>
          <w:sz w:val="24"/>
          <w:szCs w:val="24"/>
        </w:rPr>
        <w:t xml:space="preserve"> will receive a calendar invitation with information and a link to log into the online meeting. </w:t>
      </w:r>
    </w:p>
    <w:p w14:paraId="49B08B8A" w14:textId="094290A3" w:rsidR="00A52B42" w:rsidRPr="00D62D36" w:rsidRDefault="00A52B42" w:rsidP="00A52B42">
      <w:pPr>
        <w:pStyle w:val="BHTCCBody"/>
      </w:pPr>
      <w:r w:rsidRPr="00A52B42">
        <w:rPr>
          <w:rFonts w:ascii="Times New Roman" w:hAnsi="Times New Roman" w:cs="Times New Roman"/>
          <w:sz w:val="24"/>
          <w:szCs w:val="24"/>
        </w:rPr>
        <w:t xml:space="preserve">The ENFG instruments are designed to elicit a variety of perspectives from participants around the aforementioned topics, and to promote interaction between group members. ENFGs are virtual focus groups hosted by </w:t>
      </w:r>
      <w:r w:rsidR="00013908">
        <w:rPr>
          <w:rFonts w:ascii="Times New Roman" w:hAnsi="Times New Roman" w:cs="Times New Roman"/>
          <w:sz w:val="24"/>
          <w:szCs w:val="24"/>
        </w:rPr>
        <w:t>the Contractor</w:t>
      </w:r>
      <w:r w:rsidR="00013908" w:rsidRPr="00A52B42">
        <w:rPr>
          <w:rFonts w:ascii="Times New Roman" w:hAnsi="Times New Roman" w:cs="Times New Roman"/>
          <w:sz w:val="24"/>
          <w:szCs w:val="24"/>
        </w:rPr>
        <w:t xml:space="preserve"> </w:t>
      </w:r>
      <w:r w:rsidRPr="00A52B42">
        <w:rPr>
          <w:rFonts w:ascii="Times New Roman" w:hAnsi="Times New Roman" w:cs="Times New Roman"/>
          <w:sz w:val="24"/>
          <w:szCs w:val="24"/>
        </w:rPr>
        <w:t xml:space="preserve">through </w:t>
      </w:r>
      <w:r w:rsidR="00013908">
        <w:rPr>
          <w:rFonts w:ascii="Times New Roman" w:hAnsi="Times New Roman" w:cs="Times New Roman"/>
          <w:sz w:val="24"/>
          <w:szCs w:val="24"/>
        </w:rPr>
        <w:t>Adobe Connect</w:t>
      </w:r>
      <w:r w:rsidRPr="00A52B42">
        <w:rPr>
          <w:rFonts w:ascii="Times New Roman" w:hAnsi="Times New Roman" w:cs="Times New Roman"/>
          <w:sz w:val="24"/>
          <w:szCs w:val="24"/>
        </w:rPr>
        <w:t xml:space="preserve"> or a comparable online meeting platform</w:t>
      </w:r>
      <w:r w:rsidR="004D657A">
        <w:rPr>
          <w:rFonts w:ascii="Times New Roman" w:hAnsi="Times New Roman" w:cs="Times New Roman"/>
          <w:sz w:val="24"/>
          <w:szCs w:val="24"/>
        </w:rPr>
        <w:t xml:space="preserve">; </w:t>
      </w:r>
      <w:r w:rsidRPr="00A52B42">
        <w:rPr>
          <w:rFonts w:ascii="Times New Roman" w:hAnsi="Times New Roman" w:cs="Times New Roman"/>
          <w:sz w:val="24"/>
          <w:szCs w:val="24"/>
        </w:rPr>
        <w:t xml:space="preserve">the use of such a platform raises distinct considerations for how to ensure the aforementioned design goals are achieved. In addition to the moderator, who will guide discussion and ensure active participation from all participants, each ENFG will also use two additional support staff. A </w:t>
      </w:r>
      <w:r w:rsidR="004D657A">
        <w:rPr>
          <w:rFonts w:ascii="Times New Roman" w:hAnsi="Times New Roman" w:cs="Times New Roman"/>
          <w:sz w:val="24"/>
          <w:szCs w:val="24"/>
        </w:rPr>
        <w:t xml:space="preserve">note </w:t>
      </w:r>
      <w:r w:rsidRPr="00A52B42">
        <w:rPr>
          <w:rFonts w:ascii="Times New Roman" w:hAnsi="Times New Roman" w:cs="Times New Roman"/>
          <w:sz w:val="24"/>
          <w:szCs w:val="24"/>
        </w:rPr>
        <w:t xml:space="preserve">taker will be present to capture broad themes in the discussion and note the ordering of participants’ contributions to aid in matching transcript text to participants. </w:t>
      </w:r>
      <w:r w:rsidR="004D657A">
        <w:rPr>
          <w:rFonts w:ascii="Times New Roman" w:hAnsi="Times New Roman" w:cs="Times New Roman"/>
          <w:sz w:val="24"/>
          <w:szCs w:val="24"/>
        </w:rPr>
        <w:t>Further</w:t>
      </w:r>
      <w:r w:rsidRPr="00A52B42">
        <w:rPr>
          <w:rFonts w:ascii="Times New Roman" w:hAnsi="Times New Roman" w:cs="Times New Roman"/>
          <w:sz w:val="24"/>
          <w:szCs w:val="24"/>
        </w:rPr>
        <w:t xml:space="preserve">, a third technical support person will </w:t>
      </w:r>
      <w:r w:rsidR="004D657A">
        <w:rPr>
          <w:rFonts w:ascii="Times New Roman" w:hAnsi="Times New Roman" w:cs="Times New Roman"/>
          <w:sz w:val="24"/>
          <w:szCs w:val="24"/>
        </w:rPr>
        <w:t>attend</w:t>
      </w:r>
      <w:r w:rsidRPr="00A52B42">
        <w:rPr>
          <w:rFonts w:ascii="Times New Roman" w:hAnsi="Times New Roman" w:cs="Times New Roman"/>
          <w:sz w:val="24"/>
          <w:szCs w:val="24"/>
        </w:rPr>
        <w:t xml:space="preserve"> all focus groups to troubleshoot issues that may occur with the online meeting</w:t>
      </w:r>
      <w:r w:rsidRPr="00A52B42" w:rsidDel="00E515E2">
        <w:rPr>
          <w:rFonts w:ascii="Times New Roman" w:hAnsi="Times New Roman" w:cs="Times New Roman"/>
          <w:sz w:val="24"/>
          <w:szCs w:val="24"/>
        </w:rPr>
        <w:t xml:space="preserve"> </w:t>
      </w:r>
      <w:r w:rsidRPr="00A52B42">
        <w:rPr>
          <w:rFonts w:ascii="Times New Roman" w:hAnsi="Times New Roman" w:cs="Times New Roman"/>
          <w:sz w:val="24"/>
          <w:szCs w:val="24"/>
        </w:rPr>
        <w:t>platform and minimize the effects of technical difficulties on the overall flow of the discussion</w:t>
      </w:r>
      <w:r>
        <w:t>.</w:t>
      </w:r>
    </w:p>
    <w:p w14:paraId="1BFF0756" w14:textId="388AA7C2" w:rsidR="001B3C78" w:rsidRPr="00DA2E38" w:rsidRDefault="00B84A99" w:rsidP="00A52B42">
      <w:pPr>
        <w:pStyle w:val="BHTCCBody"/>
        <w:numPr>
          <w:ilvl w:val="0"/>
          <w:numId w:val="1"/>
        </w:numPr>
        <w:tabs>
          <w:tab w:val="left" w:pos="1563"/>
        </w:tabs>
        <w:spacing w:before="240" w:after="120"/>
        <w:rPr>
          <w:rFonts w:ascii="Tw Cen MT" w:hAnsi="Tw Cen MT" w:cs="Arial"/>
          <w:b/>
          <w:sz w:val="28"/>
          <w:szCs w:val="28"/>
        </w:rPr>
      </w:pPr>
      <w:r w:rsidRPr="001B4860">
        <w:rPr>
          <w:rFonts w:ascii="Tw Cen MT" w:hAnsi="Tw Cen MT" w:cs="Arial"/>
          <w:b/>
          <w:color w:val="181818"/>
          <w:sz w:val="28"/>
          <w:szCs w:val="28"/>
        </w:rPr>
        <w:t>Methods to Maximize Response Rates</w:t>
      </w:r>
    </w:p>
    <w:p w14:paraId="61BC39C6" w14:textId="4B88546A" w:rsidR="00DA2E38" w:rsidRPr="00D05385" w:rsidRDefault="00DA2E38" w:rsidP="00DA2E38">
      <w:pPr>
        <w:pStyle w:val="SuicideBodyText"/>
        <w:spacing w:after="200"/>
        <w:rPr>
          <w:highlight w:val="yellow"/>
        </w:rPr>
      </w:pPr>
      <w:r w:rsidRPr="00F1465D">
        <w:t xml:space="preserve">Participation in the </w:t>
      </w:r>
      <w:r>
        <w:t>CSE</w:t>
      </w:r>
      <w:r w:rsidRPr="00F1465D">
        <w:t xml:space="preserve"> is a requirement</w:t>
      </w:r>
      <w:r>
        <w:t xml:space="preserve"> for BHTCC and SE Program grantees. T</w:t>
      </w:r>
      <w:r w:rsidRPr="00F1465D">
        <w:t xml:space="preserve">herefore, completion of the </w:t>
      </w:r>
      <w:r>
        <w:t>BPI–BHTCC, BPI–SE, and 18-Month Tool</w:t>
      </w:r>
      <w:r w:rsidRPr="00F1465D">
        <w:t xml:space="preserve"> by program staff will be </w:t>
      </w:r>
      <w:r>
        <w:t>required</w:t>
      </w:r>
      <w:r w:rsidRPr="00F1465D">
        <w:t xml:space="preserve">. </w:t>
      </w:r>
      <w:r>
        <w:lastRenderedPageBreak/>
        <w:t xml:space="preserve">However, the CSE </w:t>
      </w:r>
      <w:r w:rsidRPr="00F1465D">
        <w:t xml:space="preserve">team has taken a number of steps to minimize the burden on local programs to ensure that completion </w:t>
      </w:r>
      <w:r>
        <w:t xml:space="preserve">in data collection </w:t>
      </w:r>
      <w:r w:rsidRPr="00F1465D">
        <w:t xml:space="preserve">is timely. These steps include </w:t>
      </w:r>
      <w:r>
        <w:t xml:space="preserve">(1) </w:t>
      </w:r>
      <w:r w:rsidRPr="00F1465D">
        <w:t>developing a Web-based data collection system</w:t>
      </w:r>
      <w:r>
        <w:t>; (2) using updated technology to conduct activities;</w:t>
      </w:r>
      <w:r w:rsidRPr="00F1465D">
        <w:t xml:space="preserve"> </w:t>
      </w:r>
      <w:r>
        <w:t xml:space="preserve">(3) scheduling data collection administration windows to allow for maximum participation; </w:t>
      </w:r>
      <w:r w:rsidRPr="00F1465D">
        <w:t xml:space="preserve">and </w:t>
      </w:r>
      <w:r>
        <w:t xml:space="preserve">(4) </w:t>
      </w:r>
      <w:r w:rsidRPr="00F1465D">
        <w:t xml:space="preserve">providing training and </w:t>
      </w:r>
      <w:r>
        <w:t xml:space="preserve">technical assistance </w:t>
      </w:r>
      <w:r w:rsidRPr="00F1465D">
        <w:t>to grantee</w:t>
      </w:r>
      <w:r>
        <w:t xml:space="preserve">s, including hosting </w:t>
      </w:r>
      <w:r w:rsidR="00C82C95">
        <w:t>w</w:t>
      </w:r>
      <w:r>
        <w:t>eb trainings, assigning a one-to-one technical assistance liaison, and</w:t>
      </w:r>
      <w:r w:rsidRPr="00F1465D">
        <w:t xml:space="preserve"> </w:t>
      </w:r>
      <w:r>
        <w:t>identifying</w:t>
      </w:r>
      <w:r w:rsidRPr="00D05385">
        <w:t xml:space="preserve"> specific procedures </w:t>
      </w:r>
      <w:r>
        <w:t xml:space="preserve">to </w:t>
      </w:r>
      <w:r w:rsidRPr="00D05385">
        <w:t xml:space="preserve">improve </w:t>
      </w:r>
      <w:r>
        <w:t>participation</w:t>
      </w:r>
      <w:r w:rsidRPr="00D05385">
        <w:t xml:space="preserve"> in all aspects of the evaluation.</w:t>
      </w:r>
      <w:r>
        <w:t xml:space="preserve"> Additional steps are described below.</w:t>
      </w:r>
      <w:r w:rsidR="00937D19">
        <w:t xml:space="preserve"> </w:t>
      </w:r>
    </w:p>
    <w:p w14:paraId="0765B922" w14:textId="59B3739D" w:rsidR="00DA2E38" w:rsidRPr="00ED4457" w:rsidRDefault="00937D19" w:rsidP="00783F53">
      <w:pPr>
        <w:numPr>
          <w:ilvl w:val="0"/>
          <w:numId w:val="16"/>
        </w:numPr>
        <w:spacing w:after="200"/>
        <w:ind w:left="360"/>
      </w:pPr>
      <w:r w:rsidRPr="00937D19">
        <w:rPr>
          <w:b/>
        </w:rPr>
        <w:t>SLA/SSA KIIs</w:t>
      </w:r>
      <w:r>
        <w:t xml:space="preserve">: </w:t>
      </w:r>
      <w:r w:rsidR="00DA2E38" w:rsidRPr="00ED4457">
        <w:t>Methods that will be used to maximize response rates for qualitative interviews include obtaining buy-in from key program stakeholders, provi</w:t>
      </w:r>
      <w:r w:rsidR="00DA2E38">
        <w:t xml:space="preserve">ding flexibility in scheduling, </w:t>
      </w:r>
      <w:r w:rsidR="00DA2E38" w:rsidRPr="00ED4457">
        <w:t>and conducting follow-up phone calls</w:t>
      </w:r>
      <w:r w:rsidR="00DA2E38">
        <w:t xml:space="preserve"> and e-mails to </w:t>
      </w:r>
      <w:r w:rsidR="00DA2E38" w:rsidRPr="00ED4457">
        <w:t>non</w:t>
      </w:r>
      <w:r w:rsidR="00DA2E38">
        <w:t>-</w:t>
      </w:r>
      <w:r w:rsidR="00DA2E38" w:rsidRPr="00ED4457">
        <w:t xml:space="preserve">responders. </w:t>
      </w:r>
      <w:r w:rsidR="00DA2E38" w:rsidRPr="004D657A">
        <w:t>In addition, local program staff will be utilized to obtain contact information for respondents, which will result in more accurate information, thus increasing response rates.</w:t>
      </w:r>
      <w:r w:rsidR="00DA2E38" w:rsidRPr="00ED4457">
        <w:t xml:space="preserve"> </w:t>
      </w:r>
      <w:r w:rsidR="00013908">
        <w:t xml:space="preserve">The evaluation team </w:t>
      </w:r>
      <w:r w:rsidR="00DA2E38">
        <w:t xml:space="preserve">will contact respondents at least three times to invite them to participate in the interviews. </w:t>
      </w:r>
      <w:r w:rsidR="00DA2E38" w:rsidRPr="00ED4457">
        <w:t xml:space="preserve">If any identified respondents for the qualitative interviews are nonresponsive, the </w:t>
      </w:r>
      <w:r w:rsidR="00DA2E38">
        <w:t>CSE</w:t>
      </w:r>
      <w:r w:rsidR="00DA2E38" w:rsidRPr="00ED4457">
        <w:t xml:space="preserve"> team will request that local program staff identify replacement respondents.</w:t>
      </w:r>
      <w:r w:rsidR="00DA2E38">
        <w:t xml:space="preserve">  </w:t>
      </w:r>
    </w:p>
    <w:p w14:paraId="4A987641" w14:textId="546722EE" w:rsidR="004D657A" w:rsidRDefault="00937D19" w:rsidP="00783F53">
      <w:pPr>
        <w:pStyle w:val="ListParagraph"/>
        <w:numPr>
          <w:ilvl w:val="0"/>
          <w:numId w:val="16"/>
        </w:numPr>
        <w:spacing w:after="200" w:line="264" w:lineRule="auto"/>
        <w:ind w:left="360"/>
        <w:contextualSpacing w:val="0"/>
        <w:rPr>
          <w:rFonts w:eastAsiaTheme="minorEastAsia"/>
          <w:lang w:eastAsia="ja-JP"/>
        </w:rPr>
      </w:pPr>
      <w:r w:rsidRPr="00013908">
        <w:rPr>
          <w:rFonts w:eastAsiaTheme="minorEastAsia"/>
          <w:b/>
          <w:lang w:eastAsia="ja-JP"/>
        </w:rPr>
        <w:t>Concept Mapping</w:t>
      </w:r>
      <w:r>
        <w:rPr>
          <w:rFonts w:eastAsiaTheme="minorEastAsia"/>
          <w:lang w:eastAsia="ja-JP"/>
        </w:rPr>
        <w:t xml:space="preserve">: </w:t>
      </w:r>
      <w:r w:rsidR="00A21385">
        <w:rPr>
          <w:rFonts w:eastAsiaTheme="minorEastAsia"/>
          <w:lang w:eastAsia="ja-JP"/>
        </w:rPr>
        <w:t xml:space="preserve">To maximize participation by a large number of respondents, </w:t>
      </w:r>
      <w:r w:rsidR="00013908">
        <w:rPr>
          <w:rFonts w:eastAsiaTheme="minorEastAsia"/>
          <w:lang w:eastAsia="ja-JP"/>
        </w:rPr>
        <w:t xml:space="preserve">the evaluation team </w:t>
      </w:r>
      <w:r w:rsidR="00A21385">
        <w:rPr>
          <w:rFonts w:eastAsiaTheme="minorEastAsia"/>
          <w:lang w:eastAsia="ja-JP"/>
        </w:rPr>
        <w:t xml:space="preserve">will </w:t>
      </w:r>
      <w:r w:rsidR="004D657A" w:rsidRPr="001A48EF">
        <w:rPr>
          <w:rFonts w:eastAsiaTheme="minorEastAsia"/>
          <w:lang w:eastAsia="ja-JP"/>
        </w:rPr>
        <w:t>assist each grantee in developing a local recruitment strategy</w:t>
      </w:r>
      <w:r w:rsidR="004D657A">
        <w:rPr>
          <w:rFonts w:eastAsiaTheme="minorEastAsia"/>
          <w:lang w:eastAsia="ja-JP"/>
        </w:rPr>
        <w:t xml:space="preserve"> for</w:t>
      </w:r>
      <w:r w:rsidR="00A21385">
        <w:rPr>
          <w:rFonts w:eastAsiaTheme="minorEastAsia"/>
          <w:lang w:eastAsia="ja-JP"/>
        </w:rPr>
        <w:t xml:space="preserve"> concept mapping. </w:t>
      </w:r>
      <w:r w:rsidR="00A21385">
        <w:t xml:space="preserve">To the extent possible, participants will be recruited at already existing meetings (via </w:t>
      </w:r>
      <w:r w:rsidR="004D657A" w:rsidRPr="001A48EF">
        <w:rPr>
          <w:rFonts w:eastAsiaTheme="minorEastAsia"/>
          <w:lang w:eastAsia="ja-JP"/>
        </w:rPr>
        <w:t>flyers given to them by program staff</w:t>
      </w:r>
      <w:r w:rsidR="00A21385">
        <w:rPr>
          <w:rFonts w:eastAsiaTheme="minorEastAsia"/>
          <w:lang w:eastAsia="ja-JP"/>
        </w:rPr>
        <w:t>)</w:t>
      </w:r>
      <w:r w:rsidR="004D657A" w:rsidRPr="001A48EF">
        <w:rPr>
          <w:rFonts w:eastAsiaTheme="minorEastAsia"/>
          <w:lang w:eastAsia="ja-JP"/>
        </w:rPr>
        <w:t>, in small groups, or directly through grant staff.</w:t>
      </w:r>
      <w:r w:rsidR="004D657A">
        <w:rPr>
          <w:rFonts w:eastAsiaTheme="minorEastAsia"/>
          <w:lang w:eastAsia="ja-JP"/>
        </w:rPr>
        <w:t xml:space="preserve"> </w:t>
      </w:r>
    </w:p>
    <w:p w14:paraId="2FCE1D85" w14:textId="2757BF54" w:rsidR="00A21385" w:rsidRPr="00A21385" w:rsidRDefault="00A21385" w:rsidP="00013908">
      <w:pPr>
        <w:pStyle w:val="BodyText"/>
        <w:keepNext/>
        <w:tabs>
          <w:tab w:val="left" w:pos="1563"/>
        </w:tabs>
        <w:spacing w:before="240" w:after="200"/>
        <w:jc w:val="center"/>
        <w:rPr>
          <w:rFonts w:ascii="Tw Cen MT" w:hAnsi="Tw Cen MT" w:cs="Times New Roman"/>
          <w:b/>
          <w:sz w:val="24"/>
          <w:szCs w:val="24"/>
        </w:rPr>
      </w:pPr>
      <w:r>
        <w:rPr>
          <w:rFonts w:ascii="Tw Cen MT" w:hAnsi="Tw Cen MT" w:cs="Times New Roman"/>
          <w:b/>
          <w:sz w:val="24"/>
          <w:szCs w:val="24"/>
        </w:rPr>
        <w:t>Exhibit 3. Concept Mapping Recruitment Strategy</w:t>
      </w:r>
      <w:r w:rsidR="005A4D17">
        <w:rPr>
          <w:rFonts w:ascii="Tw Cen MT" w:hAnsi="Tw Cen MT" w:cs="Times New Roman"/>
          <w:b/>
          <w:sz w:val="24"/>
          <w:szCs w:val="24"/>
        </w:rPr>
        <w:t xml:space="preserve"> by Respondent Type</w:t>
      </w:r>
      <w:r>
        <w:rPr>
          <w:rFonts w:ascii="Tw Cen MT" w:hAnsi="Tw Cen MT" w:cs="Times New Roman"/>
          <w:b/>
          <w:sz w:val="24"/>
          <w:szCs w:val="24"/>
        </w:rPr>
        <w:t xml:space="preserve"> </w:t>
      </w:r>
    </w:p>
    <w:tbl>
      <w:tblPr>
        <w:tblStyle w:val="TableGrid"/>
        <w:tblW w:w="9200" w:type="dxa"/>
        <w:jc w:val="center"/>
        <w:tblLayout w:type="fixed"/>
        <w:tblCellMar>
          <w:top w:w="43" w:type="dxa"/>
          <w:left w:w="86" w:type="dxa"/>
          <w:bottom w:w="14" w:type="dxa"/>
          <w:right w:w="86" w:type="dxa"/>
        </w:tblCellMar>
        <w:tblLook w:val="04A0" w:firstRow="1" w:lastRow="0" w:firstColumn="1" w:lastColumn="0" w:noHBand="0" w:noVBand="1"/>
      </w:tblPr>
      <w:tblGrid>
        <w:gridCol w:w="1345"/>
        <w:gridCol w:w="7855"/>
      </w:tblGrid>
      <w:tr w:rsidR="00A21385" w:rsidRPr="005A4D17" w14:paraId="20C13D19" w14:textId="77777777" w:rsidTr="00236438">
        <w:trPr>
          <w:trHeight w:val="399"/>
          <w:tblHeader/>
          <w:jc w:val="center"/>
        </w:trPr>
        <w:tc>
          <w:tcPr>
            <w:tcW w:w="1345" w:type="dxa"/>
            <w:shd w:val="clear" w:color="auto" w:fill="323E4F" w:themeFill="text2" w:themeFillShade="BF"/>
            <w:tcMar>
              <w:top w:w="14" w:type="dxa"/>
              <w:left w:w="86" w:type="dxa"/>
              <w:bottom w:w="43" w:type="dxa"/>
              <w:right w:w="86" w:type="dxa"/>
            </w:tcMar>
          </w:tcPr>
          <w:p w14:paraId="72B7B1DE" w14:textId="3DEB602A" w:rsidR="00A21385" w:rsidRPr="005A4D17" w:rsidRDefault="005A4D17" w:rsidP="00040E59">
            <w:pPr>
              <w:jc w:val="center"/>
              <w:rPr>
                <w:rFonts w:ascii="Tw Cen MT" w:hAnsi="Tw Cen MT" w:cs="Arial"/>
                <w:color w:val="FFFFFF" w:themeColor="background1"/>
                <w:sz w:val="22"/>
                <w:szCs w:val="22"/>
              </w:rPr>
            </w:pPr>
            <w:r>
              <w:rPr>
                <w:rFonts w:ascii="Tw Cen MT" w:hAnsi="Tw Cen MT" w:cs="Arial"/>
                <w:color w:val="FFFFFF" w:themeColor="background1"/>
                <w:sz w:val="22"/>
                <w:szCs w:val="22"/>
              </w:rPr>
              <w:t>Respondent Type</w:t>
            </w:r>
          </w:p>
        </w:tc>
        <w:tc>
          <w:tcPr>
            <w:tcW w:w="7855" w:type="dxa"/>
            <w:shd w:val="clear" w:color="auto" w:fill="323E4F" w:themeFill="text2" w:themeFillShade="BF"/>
            <w:tcMar>
              <w:top w:w="14" w:type="dxa"/>
              <w:left w:w="86" w:type="dxa"/>
              <w:bottom w:w="43" w:type="dxa"/>
              <w:right w:w="86" w:type="dxa"/>
            </w:tcMar>
          </w:tcPr>
          <w:p w14:paraId="0C2F7D40" w14:textId="53443AD3" w:rsidR="00A21385" w:rsidRPr="005A4D17" w:rsidRDefault="005B763D" w:rsidP="00236438">
            <w:pPr>
              <w:jc w:val="center"/>
              <w:rPr>
                <w:rFonts w:ascii="Tw Cen MT" w:hAnsi="Tw Cen MT" w:cs="Arial"/>
                <w:color w:val="FFFFFF" w:themeColor="background1"/>
                <w:sz w:val="22"/>
                <w:szCs w:val="22"/>
              </w:rPr>
            </w:pPr>
            <w:r>
              <w:rPr>
                <w:rFonts w:ascii="Tw Cen MT" w:hAnsi="Tw Cen MT" w:cs="Arial"/>
                <w:color w:val="FFFFFF" w:themeColor="background1"/>
                <w:sz w:val="22"/>
                <w:szCs w:val="22"/>
              </w:rPr>
              <w:t>Recruitment Stra</w:t>
            </w:r>
            <w:r w:rsidR="00236438">
              <w:rPr>
                <w:rFonts w:ascii="Tw Cen MT" w:hAnsi="Tw Cen MT" w:cs="Arial"/>
                <w:color w:val="FFFFFF" w:themeColor="background1"/>
                <w:sz w:val="22"/>
                <w:szCs w:val="22"/>
              </w:rPr>
              <w:t>tegy Options</w:t>
            </w:r>
          </w:p>
        </w:tc>
      </w:tr>
      <w:tr w:rsidR="00A94DEA" w:rsidRPr="005A4D17" w14:paraId="123F6C92" w14:textId="77777777" w:rsidTr="00A94DEA">
        <w:trPr>
          <w:trHeight w:val="235"/>
          <w:jc w:val="center"/>
        </w:trPr>
        <w:tc>
          <w:tcPr>
            <w:tcW w:w="1345" w:type="dxa"/>
            <w:shd w:val="clear" w:color="auto" w:fill="auto"/>
            <w:tcMar>
              <w:top w:w="14" w:type="dxa"/>
              <w:left w:w="86" w:type="dxa"/>
              <w:bottom w:w="43" w:type="dxa"/>
              <w:right w:w="86" w:type="dxa"/>
            </w:tcMar>
          </w:tcPr>
          <w:p w14:paraId="7FEEDAD5" w14:textId="5669ECB2" w:rsidR="00A94DEA" w:rsidRDefault="00A94DEA" w:rsidP="00A94DEA">
            <w:pPr>
              <w:jc w:val="left"/>
              <w:rPr>
                <w:rFonts w:ascii="Tw Cen MT" w:hAnsi="Tw Cen MT" w:cs="Arial"/>
                <w:sz w:val="22"/>
                <w:szCs w:val="22"/>
              </w:rPr>
            </w:pPr>
            <w:r>
              <w:rPr>
                <w:rFonts w:ascii="Tw Cen MT" w:hAnsi="Tw Cen MT" w:cs="Arial"/>
                <w:sz w:val="22"/>
                <w:szCs w:val="22"/>
              </w:rPr>
              <w:t>Court Personnel</w:t>
            </w:r>
            <w:r w:rsidRPr="007E1E97">
              <w:rPr>
                <w:rFonts w:ascii="Tw Cen MT" w:hAnsi="Tw Cen MT" w:cs="Arial"/>
                <w:sz w:val="22"/>
                <w:szCs w:val="22"/>
              </w:rPr>
              <w:t xml:space="preserve"> </w:t>
            </w:r>
          </w:p>
        </w:tc>
        <w:tc>
          <w:tcPr>
            <w:tcW w:w="7855" w:type="dxa"/>
            <w:tcMar>
              <w:top w:w="14" w:type="dxa"/>
              <w:left w:w="86" w:type="dxa"/>
              <w:bottom w:w="43" w:type="dxa"/>
              <w:right w:w="86" w:type="dxa"/>
            </w:tcMar>
          </w:tcPr>
          <w:p w14:paraId="38AA4C18" w14:textId="11D87997" w:rsidR="00A94DEA" w:rsidRDefault="005B763D" w:rsidP="00783F53">
            <w:pPr>
              <w:numPr>
                <w:ilvl w:val="0"/>
                <w:numId w:val="19"/>
              </w:numPr>
              <w:spacing w:after="120"/>
              <w:rPr>
                <w:rFonts w:ascii="Tw Cen MT" w:hAnsi="Tw Cen MT"/>
                <w:sz w:val="22"/>
                <w:szCs w:val="22"/>
              </w:rPr>
            </w:pPr>
            <w:r>
              <w:rPr>
                <w:rFonts w:ascii="Tw Cen MT" w:hAnsi="Tw Cen MT"/>
                <w:sz w:val="22"/>
                <w:szCs w:val="22"/>
              </w:rPr>
              <w:t>P</w:t>
            </w:r>
            <w:r w:rsidR="00A94DEA" w:rsidRPr="005A4D17">
              <w:rPr>
                <w:rFonts w:ascii="Tw Cen MT" w:hAnsi="Tw Cen MT"/>
                <w:sz w:val="22"/>
                <w:szCs w:val="22"/>
              </w:rPr>
              <w:t xml:space="preserve">roject </w:t>
            </w:r>
            <w:r>
              <w:rPr>
                <w:rFonts w:ascii="Tw Cen MT" w:hAnsi="Tw Cen MT"/>
                <w:sz w:val="22"/>
                <w:szCs w:val="22"/>
              </w:rPr>
              <w:t>d</w:t>
            </w:r>
            <w:r w:rsidR="00A94DEA" w:rsidRPr="005A4D17">
              <w:rPr>
                <w:rFonts w:ascii="Tw Cen MT" w:hAnsi="Tw Cen MT"/>
                <w:sz w:val="22"/>
                <w:szCs w:val="22"/>
              </w:rPr>
              <w:t xml:space="preserve">irector </w:t>
            </w:r>
            <w:r>
              <w:rPr>
                <w:rFonts w:ascii="Tw Cen MT" w:hAnsi="Tw Cen MT"/>
                <w:sz w:val="22"/>
                <w:szCs w:val="22"/>
              </w:rPr>
              <w:t>shares recruitment flyer directly</w:t>
            </w:r>
            <w:r w:rsidR="00A94DEA" w:rsidRPr="005A4D17">
              <w:rPr>
                <w:rFonts w:ascii="Tw Cen MT" w:hAnsi="Tw Cen MT"/>
                <w:sz w:val="22"/>
                <w:szCs w:val="22"/>
              </w:rPr>
              <w:t xml:space="preserve"> with </w:t>
            </w:r>
            <w:r>
              <w:rPr>
                <w:rFonts w:ascii="Tw Cen MT" w:hAnsi="Tw Cen MT"/>
                <w:sz w:val="22"/>
                <w:szCs w:val="22"/>
              </w:rPr>
              <w:t xml:space="preserve">BHTCC </w:t>
            </w:r>
            <w:r w:rsidR="00A94DEA" w:rsidRPr="005A4D17">
              <w:rPr>
                <w:rFonts w:ascii="Tw Cen MT" w:hAnsi="Tw Cen MT"/>
                <w:sz w:val="22"/>
                <w:szCs w:val="22"/>
              </w:rPr>
              <w:t>team</w:t>
            </w:r>
            <w:r>
              <w:rPr>
                <w:rFonts w:ascii="Tw Cen MT" w:hAnsi="Tw Cen MT"/>
                <w:sz w:val="22"/>
                <w:szCs w:val="22"/>
              </w:rPr>
              <w:t xml:space="preserve">. </w:t>
            </w:r>
          </w:p>
          <w:p w14:paraId="094E0C6D" w14:textId="4F084813" w:rsidR="00A94DEA" w:rsidRPr="005A4D17" w:rsidRDefault="005B763D" w:rsidP="00783F53">
            <w:pPr>
              <w:numPr>
                <w:ilvl w:val="0"/>
                <w:numId w:val="19"/>
              </w:numPr>
              <w:rPr>
                <w:rFonts w:ascii="Tw Cen MT" w:hAnsi="Tw Cen MT"/>
                <w:b/>
                <w:sz w:val="22"/>
                <w:szCs w:val="22"/>
              </w:rPr>
            </w:pPr>
            <w:r>
              <w:rPr>
                <w:rFonts w:ascii="Tw Cen MT" w:hAnsi="Tw Cen MT"/>
                <w:sz w:val="22"/>
                <w:szCs w:val="22"/>
              </w:rPr>
              <w:t xml:space="preserve">CSE staff </w:t>
            </w:r>
            <w:r w:rsidR="00A94DEA" w:rsidRPr="005A4D17">
              <w:rPr>
                <w:rFonts w:ascii="Tw Cen MT" w:hAnsi="Tw Cen MT"/>
                <w:sz w:val="22"/>
                <w:szCs w:val="22"/>
              </w:rPr>
              <w:t xml:space="preserve">to share recruitment flyer with any team members that project director cannot locate or for whom it would be better for </w:t>
            </w:r>
            <w:r>
              <w:rPr>
                <w:rFonts w:ascii="Tw Cen MT" w:hAnsi="Tw Cen MT"/>
                <w:sz w:val="22"/>
                <w:szCs w:val="22"/>
              </w:rPr>
              <w:t>CSE staff</w:t>
            </w:r>
            <w:r w:rsidR="00A94DEA" w:rsidRPr="005A4D17">
              <w:rPr>
                <w:rFonts w:ascii="Tw Cen MT" w:hAnsi="Tw Cen MT"/>
                <w:sz w:val="22"/>
                <w:szCs w:val="22"/>
              </w:rPr>
              <w:t xml:space="preserve"> to contact directly.</w:t>
            </w:r>
          </w:p>
        </w:tc>
      </w:tr>
      <w:tr w:rsidR="00A94DEA" w:rsidRPr="005A4D17" w14:paraId="504813DD" w14:textId="77777777" w:rsidTr="00A94DEA">
        <w:trPr>
          <w:trHeight w:val="235"/>
          <w:jc w:val="center"/>
        </w:trPr>
        <w:tc>
          <w:tcPr>
            <w:tcW w:w="1345" w:type="dxa"/>
            <w:shd w:val="clear" w:color="auto" w:fill="auto"/>
            <w:tcMar>
              <w:top w:w="14" w:type="dxa"/>
              <w:left w:w="86" w:type="dxa"/>
              <w:bottom w:w="43" w:type="dxa"/>
              <w:right w:w="86" w:type="dxa"/>
            </w:tcMar>
          </w:tcPr>
          <w:p w14:paraId="11CBF428" w14:textId="5A75FFAE" w:rsidR="00A94DEA" w:rsidRDefault="0043163E" w:rsidP="00A94DEA">
            <w:pPr>
              <w:jc w:val="left"/>
              <w:rPr>
                <w:rFonts w:ascii="Tw Cen MT" w:hAnsi="Tw Cen MT" w:cs="Arial"/>
                <w:sz w:val="22"/>
                <w:szCs w:val="22"/>
              </w:rPr>
            </w:pPr>
            <w:r>
              <w:rPr>
                <w:rFonts w:ascii="Tw Cen MT" w:hAnsi="Tw Cen MT" w:cs="Arial"/>
                <w:sz w:val="22"/>
                <w:szCs w:val="22"/>
              </w:rPr>
              <w:t>Service Providers</w:t>
            </w:r>
          </w:p>
        </w:tc>
        <w:tc>
          <w:tcPr>
            <w:tcW w:w="7855" w:type="dxa"/>
            <w:tcMar>
              <w:top w:w="14" w:type="dxa"/>
              <w:left w:w="86" w:type="dxa"/>
              <w:bottom w:w="43" w:type="dxa"/>
              <w:right w:w="86" w:type="dxa"/>
            </w:tcMar>
          </w:tcPr>
          <w:p w14:paraId="58625AF3" w14:textId="6FD4CC57" w:rsidR="00A94DEA" w:rsidRPr="005A4D17" w:rsidRDefault="005B763D" w:rsidP="00783F53">
            <w:pPr>
              <w:numPr>
                <w:ilvl w:val="0"/>
                <w:numId w:val="19"/>
              </w:numPr>
              <w:rPr>
                <w:rFonts w:ascii="Tw Cen MT" w:hAnsi="Tw Cen MT"/>
                <w:b/>
                <w:sz w:val="22"/>
                <w:szCs w:val="22"/>
              </w:rPr>
            </w:pPr>
            <w:r>
              <w:rPr>
                <w:rFonts w:ascii="Tw Cen MT" w:hAnsi="Tw Cen MT"/>
                <w:sz w:val="22"/>
                <w:szCs w:val="22"/>
              </w:rPr>
              <w:t>Lead contact</w:t>
            </w:r>
            <w:r w:rsidR="00A94DEA" w:rsidRPr="005A4D17">
              <w:rPr>
                <w:rFonts w:ascii="Tw Cen MT" w:hAnsi="Tw Cen MT"/>
                <w:sz w:val="22"/>
                <w:szCs w:val="22"/>
              </w:rPr>
              <w:t xml:space="preserve"> talks to peer specialists individually or in a small group</w:t>
            </w:r>
            <w:r w:rsidR="00A94DEA">
              <w:rPr>
                <w:rFonts w:ascii="Tw Cen MT" w:hAnsi="Tw Cen MT"/>
                <w:sz w:val="22"/>
                <w:szCs w:val="22"/>
              </w:rPr>
              <w:t>, s</w:t>
            </w:r>
            <w:r w:rsidR="00A94DEA" w:rsidRPr="005A4D17">
              <w:rPr>
                <w:rFonts w:ascii="Tw Cen MT" w:hAnsi="Tw Cen MT"/>
                <w:sz w:val="22"/>
                <w:szCs w:val="22"/>
              </w:rPr>
              <w:t>hares recruitment flyer</w:t>
            </w:r>
            <w:r w:rsidR="00A94DEA">
              <w:rPr>
                <w:rFonts w:ascii="Tw Cen MT" w:hAnsi="Tw Cen MT"/>
                <w:sz w:val="22"/>
                <w:szCs w:val="22"/>
              </w:rPr>
              <w:t>,</w:t>
            </w:r>
            <w:r w:rsidR="00A94DEA" w:rsidRPr="005A4D17">
              <w:rPr>
                <w:rFonts w:ascii="Tw Cen MT" w:hAnsi="Tw Cen MT"/>
                <w:sz w:val="22"/>
                <w:szCs w:val="22"/>
              </w:rPr>
              <w:t xml:space="preserve"> and solicits involvement in a similar manner as </w:t>
            </w:r>
            <w:r w:rsidR="00A94DEA">
              <w:rPr>
                <w:rFonts w:ascii="Tw Cen MT" w:hAnsi="Tw Cen MT"/>
                <w:sz w:val="22"/>
                <w:szCs w:val="22"/>
              </w:rPr>
              <w:t xml:space="preserve">Strategy </w:t>
            </w:r>
            <w:r>
              <w:rPr>
                <w:rFonts w:ascii="Tw Cen MT" w:hAnsi="Tw Cen MT"/>
                <w:sz w:val="22"/>
                <w:szCs w:val="22"/>
              </w:rPr>
              <w:t xml:space="preserve">A </w:t>
            </w:r>
            <w:r w:rsidR="00A94DEA">
              <w:rPr>
                <w:rFonts w:ascii="Tw Cen MT" w:hAnsi="Tw Cen MT"/>
                <w:sz w:val="22"/>
                <w:szCs w:val="22"/>
              </w:rPr>
              <w:t>for</w:t>
            </w:r>
            <w:r w:rsidR="00A94DEA" w:rsidRPr="00A94DEA">
              <w:rPr>
                <w:rFonts w:ascii="Tw Cen MT" w:hAnsi="Tw Cen MT"/>
                <w:sz w:val="22"/>
                <w:szCs w:val="22"/>
              </w:rPr>
              <w:t xml:space="preserve"> Consumers</w:t>
            </w:r>
            <w:r w:rsidR="00A94DEA">
              <w:rPr>
                <w:rFonts w:ascii="Tw Cen MT" w:hAnsi="Tw Cen MT"/>
                <w:sz w:val="22"/>
                <w:szCs w:val="22"/>
              </w:rPr>
              <w:t xml:space="preserve"> (below)</w:t>
            </w:r>
            <w:r w:rsidR="00A94DEA" w:rsidRPr="00A94DEA">
              <w:rPr>
                <w:rFonts w:ascii="Tw Cen MT" w:hAnsi="Tw Cen MT"/>
                <w:sz w:val="22"/>
                <w:szCs w:val="22"/>
              </w:rPr>
              <w:t>.</w:t>
            </w:r>
          </w:p>
        </w:tc>
      </w:tr>
      <w:tr w:rsidR="00A94DEA" w:rsidRPr="005A4D17" w14:paraId="56DF6E90" w14:textId="77777777" w:rsidTr="00A94DEA">
        <w:trPr>
          <w:trHeight w:val="235"/>
          <w:jc w:val="center"/>
        </w:trPr>
        <w:tc>
          <w:tcPr>
            <w:tcW w:w="1345" w:type="dxa"/>
            <w:shd w:val="clear" w:color="auto" w:fill="auto"/>
            <w:tcMar>
              <w:top w:w="14" w:type="dxa"/>
              <w:left w:w="86" w:type="dxa"/>
              <w:bottom w:w="43" w:type="dxa"/>
              <w:right w:w="86" w:type="dxa"/>
            </w:tcMar>
          </w:tcPr>
          <w:p w14:paraId="49F0FC0F" w14:textId="1AE936B9" w:rsidR="00A94DEA" w:rsidRPr="005A4D17" w:rsidRDefault="00A94DEA" w:rsidP="00A94DEA">
            <w:pPr>
              <w:jc w:val="left"/>
              <w:rPr>
                <w:rFonts w:ascii="Tw Cen MT" w:hAnsi="Tw Cen MT" w:cs="Arial"/>
                <w:sz w:val="22"/>
                <w:szCs w:val="22"/>
              </w:rPr>
            </w:pPr>
            <w:r>
              <w:rPr>
                <w:rFonts w:ascii="Tw Cen MT" w:hAnsi="Tw Cen MT" w:cs="Arial"/>
                <w:sz w:val="22"/>
                <w:szCs w:val="22"/>
              </w:rPr>
              <w:t xml:space="preserve">Consumers–Clients </w:t>
            </w:r>
          </w:p>
        </w:tc>
        <w:tc>
          <w:tcPr>
            <w:tcW w:w="7855" w:type="dxa"/>
            <w:tcMar>
              <w:top w:w="14" w:type="dxa"/>
              <w:left w:w="86" w:type="dxa"/>
              <w:bottom w:w="43" w:type="dxa"/>
              <w:right w:w="86" w:type="dxa"/>
            </w:tcMar>
          </w:tcPr>
          <w:p w14:paraId="4A937460" w14:textId="1DB22A66" w:rsidR="00A94DEA" w:rsidRDefault="00A94DEA" w:rsidP="00783F53">
            <w:pPr>
              <w:numPr>
                <w:ilvl w:val="0"/>
                <w:numId w:val="19"/>
              </w:numPr>
              <w:spacing w:after="120"/>
              <w:rPr>
                <w:rFonts w:ascii="Tw Cen MT" w:hAnsi="Tw Cen MT"/>
                <w:sz w:val="22"/>
                <w:szCs w:val="22"/>
              </w:rPr>
            </w:pPr>
            <w:r>
              <w:rPr>
                <w:rFonts w:ascii="Tw Cen MT" w:hAnsi="Tw Cen MT"/>
                <w:sz w:val="22"/>
                <w:szCs w:val="22"/>
              </w:rPr>
              <w:t>Lead contact</w:t>
            </w:r>
            <w:r w:rsidRPr="005A4D17">
              <w:rPr>
                <w:rFonts w:ascii="Tw Cen MT" w:hAnsi="Tw Cen MT"/>
                <w:sz w:val="22"/>
                <w:szCs w:val="22"/>
              </w:rPr>
              <w:t xml:space="preserve"> recruits </w:t>
            </w:r>
            <w:r>
              <w:rPr>
                <w:rFonts w:ascii="Tw Cen MT" w:hAnsi="Tw Cen MT"/>
                <w:sz w:val="22"/>
                <w:szCs w:val="22"/>
              </w:rPr>
              <w:t>from a</w:t>
            </w:r>
            <w:r w:rsidRPr="005A4D17">
              <w:rPr>
                <w:rFonts w:ascii="Tw Cen MT" w:hAnsi="Tw Cen MT"/>
                <w:sz w:val="22"/>
                <w:szCs w:val="22"/>
              </w:rPr>
              <w:t>lready existing meetings by providing a flyer with the relevant information, verbally going over that information, and answering any questions. Participants will be asked to indicate if they wish to participate via a check-box on a half-sheet sheet in which they’ve written their contact information, if they wish to be contacted to participate. All participants can turn in their half-sheets in a “voting box” approach (or in a manner in which it is easy for people to refuse to participate without anyone knowing). Participants can still refuse to participate later, but the point is that the Site Contact does both recruitment and leaves with a list of consumers who have expressed an interest to participate.</w:t>
            </w:r>
          </w:p>
          <w:p w14:paraId="3D02A870" w14:textId="0E0834D7" w:rsidR="00A94DEA" w:rsidRPr="005A4D17" w:rsidRDefault="00A94DEA" w:rsidP="00783F53">
            <w:pPr>
              <w:numPr>
                <w:ilvl w:val="0"/>
                <w:numId w:val="19"/>
              </w:numPr>
              <w:rPr>
                <w:rFonts w:ascii="Tw Cen MT" w:hAnsi="Tw Cen MT" w:cs="Arial"/>
                <w:sz w:val="22"/>
                <w:szCs w:val="22"/>
              </w:rPr>
            </w:pPr>
            <w:r w:rsidRPr="005A4D17">
              <w:rPr>
                <w:rFonts w:ascii="Tw Cen MT" w:hAnsi="Tw Cen MT"/>
                <w:sz w:val="22"/>
                <w:szCs w:val="22"/>
              </w:rPr>
              <w:t xml:space="preserve">Invitation to participate is given to treatment staff (or other BHTCC staff) who meet with consumers </w:t>
            </w:r>
            <w:r>
              <w:rPr>
                <w:rFonts w:ascii="Tw Cen MT" w:hAnsi="Tw Cen MT"/>
                <w:sz w:val="22"/>
                <w:szCs w:val="22"/>
              </w:rPr>
              <w:t>individually</w:t>
            </w:r>
            <w:r w:rsidRPr="005A4D17">
              <w:rPr>
                <w:rFonts w:ascii="Tw Cen MT" w:hAnsi="Tw Cen MT"/>
                <w:sz w:val="22"/>
                <w:szCs w:val="22"/>
              </w:rPr>
              <w:t xml:space="preserve">. Recruitment flyer is shared with a contact number for </w:t>
            </w:r>
            <w:r>
              <w:rPr>
                <w:rFonts w:ascii="Tw Cen MT" w:hAnsi="Tw Cen MT"/>
                <w:sz w:val="22"/>
                <w:szCs w:val="22"/>
              </w:rPr>
              <w:t>lead contact</w:t>
            </w:r>
            <w:r w:rsidRPr="005A4D17">
              <w:rPr>
                <w:rFonts w:ascii="Tw Cen MT" w:hAnsi="Tw Cen MT"/>
                <w:sz w:val="22"/>
                <w:szCs w:val="22"/>
              </w:rPr>
              <w:t xml:space="preserve"> to provide further information and get actual consent at that later point (and not with treatment or BHTCC staff).</w:t>
            </w:r>
          </w:p>
        </w:tc>
      </w:tr>
      <w:tr w:rsidR="00A94DEA" w:rsidRPr="005A4D17" w14:paraId="45A6A717" w14:textId="77777777" w:rsidTr="00A94DEA">
        <w:trPr>
          <w:trHeight w:val="291"/>
          <w:jc w:val="center"/>
        </w:trPr>
        <w:tc>
          <w:tcPr>
            <w:tcW w:w="1345" w:type="dxa"/>
            <w:shd w:val="clear" w:color="auto" w:fill="auto"/>
            <w:tcMar>
              <w:top w:w="14" w:type="dxa"/>
              <w:left w:w="86" w:type="dxa"/>
              <w:bottom w:w="43" w:type="dxa"/>
              <w:right w:w="86" w:type="dxa"/>
            </w:tcMar>
          </w:tcPr>
          <w:p w14:paraId="7A842BAF" w14:textId="7141B521" w:rsidR="00A94DEA" w:rsidRPr="005A4D17" w:rsidRDefault="00A94DEA" w:rsidP="00A94DEA">
            <w:pPr>
              <w:jc w:val="left"/>
              <w:rPr>
                <w:rFonts w:ascii="Tw Cen MT" w:hAnsi="Tw Cen MT" w:cs="Arial"/>
                <w:sz w:val="22"/>
                <w:szCs w:val="22"/>
              </w:rPr>
            </w:pPr>
            <w:r>
              <w:rPr>
                <w:rFonts w:ascii="Tw Cen MT" w:hAnsi="Tw Cen MT" w:cs="Arial"/>
                <w:sz w:val="22"/>
                <w:szCs w:val="22"/>
              </w:rPr>
              <w:t xml:space="preserve">Consumers– Family Members </w:t>
            </w:r>
          </w:p>
        </w:tc>
        <w:tc>
          <w:tcPr>
            <w:tcW w:w="7855" w:type="dxa"/>
            <w:tcMar>
              <w:top w:w="14" w:type="dxa"/>
              <w:left w:w="86" w:type="dxa"/>
              <w:bottom w:w="43" w:type="dxa"/>
              <w:right w:w="86" w:type="dxa"/>
            </w:tcMar>
          </w:tcPr>
          <w:p w14:paraId="310C9D0D" w14:textId="1557DFE8" w:rsidR="00A94DEA" w:rsidRDefault="00A94DEA" w:rsidP="0043163E">
            <w:pPr>
              <w:numPr>
                <w:ilvl w:val="0"/>
                <w:numId w:val="20"/>
              </w:numPr>
              <w:spacing w:after="60"/>
              <w:rPr>
                <w:rFonts w:ascii="Tw Cen MT" w:hAnsi="Tw Cen MT"/>
                <w:sz w:val="22"/>
                <w:szCs w:val="22"/>
              </w:rPr>
            </w:pPr>
            <w:r>
              <w:rPr>
                <w:rFonts w:ascii="Tw Cen MT" w:hAnsi="Tw Cen MT"/>
                <w:sz w:val="22"/>
                <w:szCs w:val="22"/>
              </w:rPr>
              <w:t>S</w:t>
            </w:r>
            <w:r w:rsidRPr="005A4D17">
              <w:rPr>
                <w:rFonts w:ascii="Tw Cen MT" w:hAnsi="Tw Cen MT"/>
                <w:sz w:val="22"/>
                <w:szCs w:val="22"/>
              </w:rPr>
              <w:t xml:space="preserve">ame as </w:t>
            </w:r>
            <w:r>
              <w:rPr>
                <w:rFonts w:ascii="Tw Cen MT" w:hAnsi="Tw Cen MT"/>
                <w:sz w:val="22"/>
                <w:szCs w:val="22"/>
              </w:rPr>
              <w:t>Strategy A</w:t>
            </w:r>
            <w:r w:rsidRPr="005A4D17">
              <w:rPr>
                <w:rFonts w:ascii="Tw Cen MT" w:hAnsi="Tw Cen MT"/>
                <w:sz w:val="22"/>
                <w:szCs w:val="22"/>
              </w:rPr>
              <w:t xml:space="preserve"> for Consumers</w:t>
            </w:r>
            <w:r>
              <w:rPr>
                <w:rFonts w:ascii="Tw Cen MT" w:hAnsi="Tw Cen MT"/>
                <w:sz w:val="22"/>
                <w:szCs w:val="22"/>
              </w:rPr>
              <w:t>–Clients</w:t>
            </w:r>
            <w:r w:rsidRPr="005A4D17">
              <w:rPr>
                <w:rFonts w:ascii="Tw Cen MT" w:hAnsi="Tw Cen MT"/>
                <w:sz w:val="22"/>
                <w:szCs w:val="22"/>
              </w:rPr>
              <w:t xml:space="preserve">. </w:t>
            </w:r>
          </w:p>
          <w:p w14:paraId="15B97AFF" w14:textId="42A24490" w:rsidR="00A94DEA" w:rsidRDefault="00A94DEA" w:rsidP="0043163E">
            <w:pPr>
              <w:numPr>
                <w:ilvl w:val="0"/>
                <w:numId w:val="20"/>
              </w:numPr>
              <w:spacing w:after="60"/>
              <w:rPr>
                <w:rFonts w:ascii="Tw Cen MT" w:hAnsi="Tw Cen MT"/>
                <w:sz w:val="22"/>
                <w:szCs w:val="22"/>
              </w:rPr>
            </w:pPr>
            <w:r>
              <w:rPr>
                <w:rFonts w:ascii="Tw Cen MT" w:hAnsi="Tw Cen MT"/>
                <w:sz w:val="22"/>
                <w:szCs w:val="22"/>
              </w:rPr>
              <w:lastRenderedPageBreak/>
              <w:t>Conduct</w:t>
            </w:r>
            <w:r w:rsidRPr="005A4D17">
              <w:rPr>
                <w:rFonts w:ascii="Tw Cen MT" w:hAnsi="Tw Cen MT"/>
                <w:sz w:val="22"/>
                <w:szCs w:val="22"/>
              </w:rPr>
              <w:t xml:space="preserve"> snowball sampling in which consumers share the flyer with their family members, and families contact Site Contact (or TAL?) via telephone if they wish to inquire further about participation. </w:t>
            </w:r>
          </w:p>
          <w:p w14:paraId="3B8CC632" w14:textId="04581E12" w:rsidR="00A94DEA" w:rsidRPr="005A4D17" w:rsidRDefault="00A94DEA" w:rsidP="00783F53">
            <w:pPr>
              <w:numPr>
                <w:ilvl w:val="0"/>
                <w:numId w:val="20"/>
              </w:numPr>
              <w:rPr>
                <w:rFonts w:ascii="Tw Cen MT" w:hAnsi="Tw Cen MT"/>
                <w:b/>
                <w:sz w:val="22"/>
                <w:szCs w:val="22"/>
              </w:rPr>
            </w:pPr>
            <w:r w:rsidRPr="005A4D17">
              <w:rPr>
                <w:rFonts w:ascii="Tw Cen MT" w:hAnsi="Tw Cen MT"/>
                <w:sz w:val="22"/>
                <w:szCs w:val="22"/>
              </w:rPr>
              <w:t>Any treatment staff or BHTCC court staff who have contact with families to share recruitment flyer. Family members who are interested contact Site Contact (or TAL?) via telephone if they wish to inquire further about participation.</w:t>
            </w:r>
          </w:p>
        </w:tc>
      </w:tr>
    </w:tbl>
    <w:p w14:paraId="4F320EF1" w14:textId="174B5598" w:rsidR="00DA2E38" w:rsidRDefault="00937D19" w:rsidP="00783F53">
      <w:pPr>
        <w:numPr>
          <w:ilvl w:val="0"/>
          <w:numId w:val="17"/>
        </w:numPr>
        <w:spacing w:before="240"/>
      </w:pPr>
      <w:r w:rsidRPr="00937D19">
        <w:rPr>
          <w:b/>
        </w:rPr>
        <w:lastRenderedPageBreak/>
        <w:t>ENFGs:</w:t>
      </w:r>
      <w:r>
        <w:t xml:space="preserve"> </w:t>
      </w:r>
      <w:r w:rsidR="005B763D" w:rsidRPr="00ED4457">
        <w:t xml:space="preserve">Methods that will be used to maximize response rates for </w:t>
      </w:r>
      <w:r w:rsidR="005B763D">
        <w:t>focus groups</w:t>
      </w:r>
      <w:r w:rsidR="005B763D" w:rsidRPr="00ED4457">
        <w:t xml:space="preserve"> include obtaining buy-in from key program stakeholders, provi</w:t>
      </w:r>
      <w:r w:rsidR="005B763D">
        <w:t xml:space="preserve">ding flexibility in scheduling, and utilizing technology that allows respondents </w:t>
      </w:r>
      <w:r w:rsidR="006B73C3">
        <w:t xml:space="preserve">to </w:t>
      </w:r>
      <w:r w:rsidR="005B763D">
        <w:t>remain anonymous to the group if they</w:t>
      </w:r>
      <w:r w:rsidR="006B73C3">
        <w:t xml:space="preserve"> so</w:t>
      </w:r>
      <w:r w:rsidR="005B763D">
        <w:t xml:space="preserve"> choose</w:t>
      </w:r>
      <w:r w:rsidR="005B763D" w:rsidRPr="00ED4457">
        <w:t xml:space="preserve">. </w:t>
      </w:r>
      <w:r w:rsidR="005B763D">
        <w:t>G</w:t>
      </w:r>
      <w:r w:rsidR="005B763D" w:rsidRPr="00A52B42">
        <w:t xml:space="preserve">rantees will assist with recruitment by asking local implementation sites for the contact information of employment specialists and employers that are currently engaged in the program. </w:t>
      </w:r>
      <w:r w:rsidR="00013908">
        <w:t>P</w:t>
      </w:r>
      <w:r w:rsidR="005B763D">
        <w:t>otential participants</w:t>
      </w:r>
      <w:r w:rsidR="005B763D" w:rsidRPr="00A52B42">
        <w:t xml:space="preserve"> </w:t>
      </w:r>
      <w:r w:rsidR="00013908">
        <w:t>will be contacted via</w:t>
      </w:r>
      <w:r w:rsidR="00013908" w:rsidRPr="00A52B42">
        <w:t xml:space="preserve"> </w:t>
      </w:r>
      <w:r w:rsidR="005B763D" w:rsidRPr="00A52B42">
        <w:t>e-mail and</w:t>
      </w:r>
      <w:r w:rsidR="00013908">
        <w:t>/or</w:t>
      </w:r>
      <w:r w:rsidR="005B763D" w:rsidRPr="00A52B42">
        <w:t xml:space="preserve"> telephone to request their participation in the focus groups.</w:t>
      </w:r>
    </w:p>
    <w:p w14:paraId="6E28AF42" w14:textId="3A72EA8E" w:rsidR="00937D19" w:rsidRDefault="00937D19" w:rsidP="00937D19">
      <w:pPr>
        <w:keepNext/>
        <w:spacing w:before="240" w:after="60"/>
        <w:rPr>
          <w:rFonts w:ascii="Tw Cen MT" w:hAnsi="Tw Cen MT"/>
          <w:b/>
          <w:u w:val="single"/>
        </w:rPr>
      </w:pPr>
      <w:r>
        <w:rPr>
          <w:rFonts w:ascii="Tw Cen MT" w:hAnsi="Tw Cen MT"/>
          <w:b/>
          <w:u w:val="single"/>
        </w:rPr>
        <w:t xml:space="preserve">Comparison </w:t>
      </w:r>
      <w:proofErr w:type="spellStart"/>
      <w:r>
        <w:rPr>
          <w:rFonts w:ascii="Tw Cen MT" w:hAnsi="Tw Cen MT"/>
          <w:b/>
          <w:u w:val="single"/>
        </w:rPr>
        <w:t>S</w:t>
      </w:r>
      <w:r w:rsidR="00A30730">
        <w:rPr>
          <w:rFonts w:ascii="Tw Cen MT" w:hAnsi="Tw Cen MT"/>
          <w:b/>
          <w:u w:val="single"/>
        </w:rPr>
        <w:t>ub</w:t>
      </w:r>
      <w:r w:rsidR="00456910">
        <w:rPr>
          <w:rFonts w:ascii="Tw Cen MT" w:hAnsi="Tw Cen MT"/>
          <w:b/>
          <w:u w:val="single"/>
        </w:rPr>
        <w:t>s</w:t>
      </w:r>
      <w:r>
        <w:rPr>
          <w:rFonts w:ascii="Tw Cen MT" w:hAnsi="Tw Cen MT"/>
          <w:b/>
          <w:u w:val="single"/>
        </w:rPr>
        <w:t>tudy</w:t>
      </w:r>
      <w:proofErr w:type="spellEnd"/>
      <w:r>
        <w:rPr>
          <w:rFonts w:ascii="Tw Cen MT" w:hAnsi="Tw Cen MT"/>
          <w:b/>
          <w:u w:val="single"/>
        </w:rPr>
        <w:t xml:space="preserve">  </w:t>
      </w:r>
    </w:p>
    <w:p w14:paraId="29D85CA8" w14:textId="23EDF33C" w:rsidR="00937D19" w:rsidRPr="00537CED" w:rsidRDefault="00A30730" w:rsidP="00937D19">
      <w:pPr>
        <w:pStyle w:val="BHTCCBody"/>
        <w:rPr>
          <w:rFonts w:ascii="Times New Roman" w:hAnsi="Times New Roman" w:cs="Times New Roman"/>
          <w:sz w:val="24"/>
          <w:szCs w:val="24"/>
        </w:rPr>
      </w:pPr>
      <w:r>
        <w:rPr>
          <w:rFonts w:ascii="Times New Roman" w:hAnsi="Times New Roman" w:cs="Times New Roman"/>
          <w:sz w:val="24"/>
          <w:szCs w:val="24"/>
        </w:rPr>
        <w:t xml:space="preserve">The Comparison </w:t>
      </w:r>
      <w:proofErr w:type="spellStart"/>
      <w:r>
        <w:rPr>
          <w:rFonts w:ascii="Times New Roman" w:hAnsi="Times New Roman" w:cs="Times New Roman"/>
          <w:sz w:val="24"/>
          <w:szCs w:val="24"/>
        </w:rPr>
        <w:t>Substudy</w:t>
      </w:r>
      <w:proofErr w:type="spellEnd"/>
      <w:r>
        <w:rPr>
          <w:rFonts w:ascii="Times New Roman" w:hAnsi="Times New Roman" w:cs="Times New Roman"/>
          <w:sz w:val="24"/>
          <w:szCs w:val="24"/>
        </w:rPr>
        <w:t xml:space="preserve"> will use nonparticipants as a control group. </w:t>
      </w:r>
      <w:r w:rsidR="00013908">
        <w:rPr>
          <w:rFonts w:ascii="Times New Roman" w:hAnsi="Times New Roman" w:cs="Times New Roman"/>
          <w:sz w:val="24"/>
          <w:szCs w:val="24"/>
        </w:rPr>
        <w:t>Exhibit 4 describes the</w:t>
      </w:r>
      <w:r w:rsidR="00937D19">
        <w:rPr>
          <w:rFonts w:ascii="Times New Roman" w:hAnsi="Times New Roman" w:cs="Times New Roman"/>
          <w:sz w:val="24"/>
          <w:szCs w:val="24"/>
        </w:rPr>
        <w:t xml:space="preserve"> plan to identify and recruit comparison sites to complete the Comparison Study Tool and 18-Month Tool. </w:t>
      </w:r>
    </w:p>
    <w:p w14:paraId="6C676AC7" w14:textId="25B89403" w:rsidR="00937D19" w:rsidRPr="00537CED" w:rsidRDefault="00937D19" w:rsidP="00A30730">
      <w:pPr>
        <w:pStyle w:val="BodyText"/>
        <w:keepNext/>
        <w:tabs>
          <w:tab w:val="left" w:pos="1563"/>
        </w:tabs>
        <w:spacing w:after="120"/>
        <w:jc w:val="center"/>
        <w:rPr>
          <w:rFonts w:ascii="Tw Cen MT" w:hAnsi="Tw Cen MT" w:cs="Times New Roman"/>
          <w:sz w:val="24"/>
          <w:szCs w:val="24"/>
        </w:rPr>
      </w:pPr>
      <w:r w:rsidRPr="00537CED">
        <w:rPr>
          <w:rFonts w:ascii="Tw Cen MT" w:hAnsi="Tw Cen MT" w:cs="Times New Roman"/>
          <w:b/>
          <w:sz w:val="24"/>
          <w:szCs w:val="24"/>
        </w:rPr>
        <w:t xml:space="preserve">Exhibit </w:t>
      </w:r>
      <w:r w:rsidR="00B406CD">
        <w:rPr>
          <w:rFonts w:ascii="Tw Cen MT" w:hAnsi="Tw Cen MT" w:cs="Times New Roman"/>
          <w:b/>
          <w:sz w:val="24"/>
          <w:szCs w:val="24"/>
        </w:rPr>
        <w:t>4</w:t>
      </w:r>
      <w:r w:rsidRPr="00537CED">
        <w:rPr>
          <w:rFonts w:ascii="Tw Cen MT" w:hAnsi="Tw Cen MT" w:cs="Times New Roman"/>
          <w:b/>
          <w:sz w:val="24"/>
          <w:szCs w:val="24"/>
        </w:rPr>
        <w:t>. Comparison Study Implementation Plan</w:t>
      </w:r>
    </w:p>
    <w:tbl>
      <w:tblPr>
        <w:tblStyle w:val="TableGrid"/>
        <w:tblW w:w="9365" w:type="dxa"/>
        <w:jc w:val="center"/>
        <w:tblLayout w:type="fixed"/>
        <w:tblCellMar>
          <w:top w:w="43" w:type="dxa"/>
          <w:left w:w="86" w:type="dxa"/>
          <w:bottom w:w="14" w:type="dxa"/>
          <w:right w:w="86" w:type="dxa"/>
        </w:tblCellMar>
        <w:tblLook w:val="04A0" w:firstRow="1" w:lastRow="0" w:firstColumn="1" w:lastColumn="0" w:noHBand="0" w:noVBand="1"/>
      </w:tblPr>
      <w:tblGrid>
        <w:gridCol w:w="1345"/>
        <w:gridCol w:w="8020"/>
      </w:tblGrid>
      <w:tr w:rsidR="00937D19" w:rsidRPr="002067A7" w14:paraId="03919BCD" w14:textId="77777777" w:rsidTr="00040E59">
        <w:trPr>
          <w:trHeight w:val="219"/>
          <w:tblHeader/>
          <w:jc w:val="center"/>
        </w:trPr>
        <w:tc>
          <w:tcPr>
            <w:tcW w:w="1345" w:type="dxa"/>
            <w:shd w:val="clear" w:color="auto" w:fill="323E4F" w:themeFill="text2" w:themeFillShade="BF"/>
            <w:tcMar>
              <w:top w:w="14" w:type="dxa"/>
              <w:left w:w="86" w:type="dxa"/>
              <w:bottom w:w="43" w:type="dxa"/>
              <w:right w:w="86" w:type="dxa"/>
            </w:tcMar>
          </w:tcPr>
          <w:p w14:paraId="567834A6" w14:textId="77777777" w:rsidR="00937D19" w:rsidRPr="00537CED" w:rsidRDefault="00937D19" w:rsidP="00040E59">
            <w:pPr>
              <w:jc w:val="center"/>
              <w:rPr>
                <w:rFonts w:ascii="Tw Cen MT" w:hAnsi="Tw Cen MT" w:cs="Arial"/>
                <w:color w:val="FFFFFF" w:themeColor="background1"/>
                <w:sz w:val="22"/>
                <w:szCs w:val="22"/>
              </w:rPr>
            </w:pPr>
            <w:r w:rsidRPr="00537CED">
              <w:rPr>
                <w:rFonts w:ascii="Tw Cen MT" w:hAnsi="Tw Cen MT" w:cs="Arial"/>
                <w:color w:val="FFFFFF" w:themeColor="background1"/>
                <w:sz w:val="22"/>
                <w:szCs w:val="22"/>
              </w:rPr>
              <w:t>Step</w:t>
            </w:r>
          </w:p>
        </w:tc>
        <w:tc>
          <w:tcPr>
            <w:tcW w:w="8020" w:type="dxa"/>
            <w:shd w:val="clear" w:color="auto" w:fill="323E4F" w:themeFill="text2" w:themeFillShade="BF"/>
            <w:tcMar>
              <w:top w:w="14" w:type="dxa"/>
              <w:left w:w="86" w:type="dxa"/>
              <w:bottom w:w="43" w:type="dxa"/>
              <w:right w:w="86" w:type="dxa"/>
            </w:tcMar>
          </w:tcPr>
          <w:p w14:paraId="5C88B4EC" w14:textId="77777777" w:rsidR="00937D19" w:rsidRPr="002067A7" w:rsidRDefault="00937D19" w:rsidP="00040E59">
            <w:pPr>
              <w:jc w:val="center"/>
              <w:rPr>
                <w:rFonts w:ascii="Tw Cen MT" w:hAnsi="Tw Cen MT" w:cs="Arial"/>
                <w:color w:val="FFFFFF" w:themeColor="background1"/>
                <w:sz w:val="22"/>
                <w:szCs w:val="22"/>
              </w:rPr>
            </w:pPr>
            <w:r w:rsidRPr="00537CED">
              <w:rPr>
                <w:rFonts w:ascii="Tw Cen MT" w:hAnsi="Tw Cen MT" w:cs="Arial"/>
                <w:color w:val="FFFFFF" w:themeColor="background1"/>
                <w:sz w:val="22"/>
                <w:szCs w:val="22"/>
              </w:rPr>
              <w:t>Description</w:t>
            </w:r>
            <w:r w:rsidRPr="002067A7">
              <w:rPr>
                <w:rFonts w:ascii="Tw Cen MT" w:hAnsi="Tw Cen MT" w:cs="Arial"/>
                <w:color w:val="FFFFFF" w:themeColor="background1"/>
                <w:sz w:val="22"/>
                <w:szCs w:val="22"/>
              </w:rPr>
              <w:t xml:space="preserve"> </w:t>
            </w:r>
          </w:p>
        </w:tc>
      </w:tr>
      <w:tr w:rsidR="00937D19" w:rsidRPr="002067A7" w14:paraId="519E0E14" w14:textId="77777777" w:rsidTr="00040E59">
        <w:trPr>
          <w:trHeight w:val="399"/>
          <w:jc w:val="center"/>
        </w:trPr>
        <w:tc>
          <w:tcPr>
            <w:tcW w:w="1345" w:type="dxa"/>
            <w:shd w:val="clear" w:color="auto" w:fill="auto"/>
            <w:tcMar>
              <w:top w:w="14" w:type="dxa"/>
              <w:left w:w="86" w:type="dxa"/>
              <w:bottom w:w="43" w:type="dxa"/>
              <w:right w:w="86" w:type="dxa"/>
            </w:tcMar>
          </w:tcPr>
          <w:p w14:paraId="0412C7B1" w14:textId="77777777" w:rsidR="00937D19" w:rsidRPr="002067A7" w:rsidRDefault="00937D19" w:rsidP="00040E59">
            <w:pPr>
              <w:jc w:val="left"/>
              <w:rPr>
                <w:rFonts w:ascii="Tw Cen MT" w:hAnsi="Tw Cen MT" w:cs="Arial"/>
                <w:sz w:val="22"/>
                <w:szCs w:val="22"/>
              </w:rPr>
            </w:pPr>
            <w:r w:rsidRPr="002067A7">
              <w:rPr>
                <w:rFonts w:ascii="Tw Cen MT" w:hAnsi="Tw Cen MT" w:cs="Arial"/>
                <w:sz w:val="22"/>
                <w:szCs w:val="22"/>
              </w:rPr>
              <w:t>Establish Eligibility Criteria</w:t>
            </w:r>
          </w:p>
        </w:tc>
        <w:tc>
          <w:tcPr>
            <w:tcW w:w="8020" w:type="dxa"/>
            <w:tcMar>
              <w:top w:w="14" w:type="dxa"/>
              <w:left w:w="86" w:type="dxa"/>
              <w:bottom w:w="43" w:type="dxa"/>
              <w:right w:w="86" w:type="dxa"/>
            </w:tcMar>
          </w:tcPr>
          <w:p w14:paraId="5F8377F6" w14:textId="754CF06F" w:rsidR="00937D19" w:rsidRPr="002067A7" w:rsidRDefault="00A30730" w:rsidP="00C82C95">
            <w:pPr>
              <w:pStyle w:val="BHTCCBody"/>
              <w:spacing w:after="0"/>
              <w:rPr>
                <w:rFonts w:ascii="Tw Cen MT" w:hAnsi="Tw Cen MT" w:cs="Arial"/>
                <w:sz w:val="22"/>
              </w:rPr>
            </w:pPr>
            <w:r>
              <w:rPr>
                <w:rFonts w:ascii="Tw Cen MT" w:hAnsi="Tw Cen MT" w:cs="Times New Roman"/>
                <w:sz w:val="22"/>
              </w:rPr>
              <w:t xml:space="preserve">The evaluation team </w:t>
            </w:r>
            <w:r w:rsidR="00937D19" w:rsidRPr="002067A7">
              <w:rPr>
                <w:rFonts w:ascii="Tw Cen MT" w:hAnsi="Tw Cen MT" w:cs="Times New Roman"/>
                <w:sz w:val="22"/>
              </w:rPr>
              <w:t xml:space="preserve">will establish eligibility criteria that will detail the minimal requirements for grantee participation in the </w:t>
            </w:r>
            <w:r w:rsidR="00937D19">
              <w:rPr>
                <w:rFonts w:ascii="Tw Cen MT" w:hAnsi="Tw Cen MT" w:cs="Times New Roman"/>
                <w:sz w:val="22"/>
              </w:rPr>
              <w:t>Comparison</w:t>
            </w:r>
            <w:r w:rsidR="00937D19" w:rsidRPr="002067A7">
              <w:rPr>
                <w:rFonts w:ascii="Tw Cen MT" w:hAnsi="Tw Cen MT" w:cs="Times New Roman"/>
                <w:sz w:val="22"/>
              </w:rPr>
              <w:t xml:space="preserve"> Study and review BHTCC grant applications to narrow the list of potential sites that meet the criteria. Grantees proposing service enhancement were required to report the number of additional clients to be served for each year of the proposed grant. Similarly, grantees proposing service expansion were required to report on how the expansion would be achieved (e.g., reduction in waiting lists, partnering with a new agency to provide the specific services enhancement). </w:t>
            </w:r>
            <w:r w:rsidR="00C82C95">
              <w:rPr>
                <w:rFonts w:ascii="Tw Cen MT" w:hAnsi="Tw Cen MT" w:cs="Times New Roman"/>
                <w:sz w:val="22"/>
              </w:rPr>
              <w:t>This information will be used</w:t>
            </w:r>
            <w:r w:rsidR="00937D19" w:rsidRPr="002067A7">
              <w:rPr>
                <w:rFonts w:ascii="Tw Cen MT" w:hAnsi="Tw Cen MT" w:cs="Times New Roman"/>
                <w:sz w:val="22"/>
              </w:rPr>
              <w:t xml:space="preserve"> to identify areas where eligibility is currently exceeding service capacity and where recruitment from a waiting list is most achievable.</w:t>
            </w:r>
          </w:p>
        </w:tc>
      </w:tr>
      <w:tr w:rsidR="00937D19" w:rsidRPr="002067A7" w14:paraId="3C0FEA11" w14:textId="77777777" w:rsidTr="00040E59">
        <w:trPr>
          <w:trHeight w:val="489"/>
          <w:jc w:val="center"/>
        </w:trPr>
        <w:tc>
          <w:tcPr>
            <w:tcW w:w="1345" w:type="dxa"/>
            <w:shd w:val="clear" w:color="auto" w:fill="auto"/>
            <w:tcMar>
              <w:top w:w="14" w:type="dxa"/>
              <w:left w:w="86" w:type="dxa"/>
              <w:bottom w:w="43" w:type="dxa"/>
              <w:right w:w="86" w:type="dxa"/>
            </w:tcMar>
          </w:tcPr>
          <w:p w14:paraId="378EFCD1" w14:textId="77777777" w:rsidR="00937D19" w:rsidRPr="002067A7" w:rsidRDefault="00937D19" w:rsidP="00040E59">
            <w:pPr>
              <w:jc w:val="left"/>
              <w:rPr>
                <w:rFonts w:ascii="Tw Cen MT" w:hAnsi="Tw Cen MT" w:cs="Arial"/>
                <w:sz w:val="22"/>
                <w:szCs w:val="22"/>
              </w:rPr>
            </w:pPr>
            <w:r>
              <w:rPr>
                <w:rFonts w:ascii="Tw Cen MT" w:hAnsi="Tw Cen MT" w:cs="Arial"/>
                <w:sz w:val="22"/>
                <w:szCs w:val="22"/>
              </w:rPr>
              <w:t xml:space="preserve">Select Grantees for Comparison Study </w:t>
            </w:r>
          </w:p>
        </w:tc>
        <w:tc>
          <w:tcPr>
            <w:tcW w:w="8020" w:type="dxa"/>
            <w:tcMar>
              <w:top w:w="14" w:type="dxa"/>
              <w:left w:w="86" w:type="dxa"/>
              <w:bottom w:w="43" w:type="dxa"/>
              <w:right w:w="86" w:type="dxa"/>
            </w:tcMar>
          </w:tcPr>
          <w:p w14:paraId="0385B8D1" w14:textId="69764632" w:rsidR="00937D19" w:rsidRPr="002067A7" w:rsidRDefault="00A30730" w:rsidP="00A30730">
            <w:pPr>
              <w:pStyle w:val="BHTCCBody"/>
              <w:spacing w:after="0"/>
              <w:rPr>
                <w:rFonts w:ascii="Tw Cen MT" w:hAnsi="Tw Cen MT" w:cs="Times New Roman"/>
                <w:sz w:val="22"/>
              </w:rPr>
            </w:pPr>
            <w:r>
              <w:rPr>
                <w:rFonts w:ascii="Tw Cen MT" w:hAnsi="Tw Cen MT" w:cs="Times New Roman"/>
                <w:sz w:val="22"/>
              </w:rPr>
              <w:t xml:space="preserve">The evaluation team </w:t>
            </w:r>
            <w:r w:rsidR="00937D19" w:rsidRPr="002067A7">
              <w:rPr>
                <w:rFonts w:ascii="Tw Cen MT" w:hAnsi="Tw Cen MT" w:cs="Times New Roman"/>
                <w:sz w:val="22"/>
              </w:rPr>
              <w:t xml:space="preserve">will follow up with grantees meeting the eligibility criteria to conduct a feasibility assessment to identify two BHTCC </w:t>
            </w:r>
            <w:r w:rsidR="00937D19">
              <w:rPr>
                <w:rFonts w:ascii="Tw Cen MT" w:hAnsi="Tw Cen MT" w:cs="Times New Roman"/>
                <w:sz w:val="22"/>
              </w:rPr>
              <w:t xml:space="preserve">comparison samples (either BHTCC or non-BHTCC </w:t>
            </w:r>
            <w:r w:rsidR="00937D19" w:rsidRPr="002067A7">
              <w:rPr>
                <w:rFonts w:ascii="Tw Cen MT" w:hAnsi="Tw Cen MT" w:cs="Times New Roman"/>
                <w:sz w:val="22"/>
              </w:rPr>
              <w:t>sites</w:t>
            </w:r>
            <w:r w:rsidR="00937D19">
              <w:rPr>
                <w:rFonts w:ascii="Tw Cen MT" w:hAnsi="Tw Cen MT" w:cs="Times New Roman"/>
                <w:sz w:val="22"/>
              </w:rPr>
              <w:t>)</w:t>
            </w:r>
            <w:r w:rsidR="00937D19" w:rsidRPr="002067A7">
              <w:rPr>
                <w:rFonts w:ascii="Tw Cen MT" w:hAnsi="Tw Cen MT" w:cs="Times New Roman"/>
                <w:sz w:val="22"/>
              </w:rPr>
              <w:t xml:space="preserve"> where </w:t>
            </w:r>
            <w:r w:rsidR="00937D19">
              <w:rPr>
                <w:rFonts w:ascii="Tw Cen MT" w:hAnsi="Tw Cen MT" w:cs="Times New Roman"/>
                <w:sz w:val="22"/>
              </w:rPr>
              <w:t>access and abstraction</w:t>
            </w:r>
            <w:r w:rsidR="00937D19" w:rsidRPr="002067A7">
              <w:rPr>
                <w:rFonts w:ascii="Tw Cen MT" w:hAnsi="Tw Cen MT" w:cs="Times New Roman"/>
                <w:sz w:val="22"/>
              </w:rPr>
              <w:t xml:space="preserve"> of control cases is most practicable. Working with local </w:t>
            </w:r>
            <w:r w:rsidR="00937D19">
              <w:rPr>
                <w:rFonts w:ascii="Tw Cen MT" w:hAnsi="Tw Cen MT" w:cs="Times New Roman"/>
                <w:sz w:val="22"/>
              </w:rPr>
              <w:t xml:space="preserve">BHTCC </w:t>
            </w:r>
            <w:r w:rsidR="00937D19" w:rsidRPr="002067A7">
              <w:rPr>
                <w:rFonts w:ascii="Tw Cen MT" w:hAnsi="Tw Cen MT" w:cs="Times New Roman"/>
                <w:sz w:val="22"/>
              </w:rPr>
              <w:t xml:space="preserve">program staff, </w:t>
            </w:r>
            <w:r>
              <w:rPr>
                <w:rFonts w:ascii="Tw Cen MT" w:hAnsi="Tw Cen MT" w:cs="Times New Roman"/>
                <w:sz w:val="22"/>
              </w:rPr>
              <w:t>the evaluation team</w:t>
            </w:r>
            <w:r w:rsidRPr="002067A7">
              <w:rPr>
                <w:rFonts w:ascii="Tw Cen MT" w:hAnsi="Tw Cen MT" w:cs="Times New Roman"/>
                <w:sz w:val="22"/>
              </w:rPr>
              <w:t xml:space="preserve"> </w:t>
            </w:r>
            <w:r w:rsidR="00937D19" w:rsidRPr="002067A7">
              <w:rPr>
                <w:rFonts w:ascii="Tw Cen MT" w:hAnsi="Tw Cen MT" w:cs="Times New Roman"/>
                <w:sz w:val="22"/>
              </w:rPr>
              <w:t xml:space="preserve">will seek to understand the screening and eligibility determination process for identifying program participants; the process for placing individuals on a wait list; the average length of time eligible individuals spend on a wait list; and whether the capacity issues are great enough to yield a sufficient number of individuals to serve as control cases for the </w:t>
            </w:r>
            <w:r w:rsidR="00937D19">
              <w:rPr>
                <w:rFonts w:ascii="Tw Cen MT" w:hAnsi="Tw Cen MT" w:cs="Times New Roman"/>
                <w:sz w:val="22"/>
              </w:rPr>
              <w:t>Comparison</w:t>
            </w:r>
            <w:r w:rsidR="00937D19" w:rsidRPr="002067A7">
              <w:rPr>
                <w:rFonts w:ascii="Tw Cen MT" w:hAnsi="Tw Cen MT" w:cs="Times New Roman"/>
                <w:sz w:val="22"/>
              </w:rPr>
              <w:t xml:space="preserve"> Study. If possible, one site implementing service expansion and one site implementing service enhancement </w:t>
            </w:r>
            <w:r>
              <w:rPr>
                <w:rFonts w:ascii="Tw Cen MT" w:hAnsi="Tw Cen MT" w:cs="Times New Roman"/>
                <w:sz w:val="22"/>
              </w:rPr>
              <w:t xml:space="preserve">will be selected </w:t>
            </w:r>
            <w:r w:rsidR="00937D19" w:rsidRPr="002067A7">
              <w:rPr>
                <w:rFonts w:ascii="Tw Cen MT" w:hAnsi="Tw Cen MT" w:cs="Times New Roman"/>
                <w:sz w:val="22"/>
              </w:rPr>
              <w:t>to participate.</w:t>
            </w:r>
            <w:r w:rsidR="00937D19">
              <w:rPr>
                <w:rFonts w:ascii="Tw Cen MT" w:hAnsi="Tw Cen MT" w:cs="Times New Roman"/>
                <w:sz w:val="22"/>
              </w:rPr>
              <w:t xml:space="preserve"> In the event that BHTCC grantees do not offer sufficient samples for control cases, </w:t>
            </w:r>
            <w:r>
              <w:rPr>
                <w:rFonts w:ascii="Tw Cen MT" w:hAnsi="Tw Cen MT" w:cs="Times New Roman"/>
                <w:sz w:val="22"/>
              </w:rPr>
              <w:t xml:space="preserve">the Contractor </w:t>
            </w:r>
            <w:r w:rsidR="00937D19">
              <w:rPr>
                <w:rFonts w:ascii="Tw Cen MT" w:hAnsi="Tw Cen MT" w:cs="Times New Roman"/>
                <w:sz w:val="22"/>
              </w:rPr>
              <w:t xml:space="preserve">will work with SAMHSA and BHTCC grantees to identify two comparison courts for comparison study samples. Courts that are in close geographic proximity and who have similar program/court eligibility criteria will be considered. </w:t>
            </w:r>
            <w:r>
              <w:rPr>
                <w:rFonts w:ascii="Tw Cen MT" w:hAnsi="Tw Cen MT" w:cs="Times New Roman"/>
                <w:sz w:val="22"/>
              </w:rPr>
              <w:t xml:space="preserve">The Contractor </w:t>
            </w:r>
            <w:r w:rsidR="00937D19">
              <w:rPr>
                <w:rFonts w:ascii="Tw Cen MT" w:hAnsi="Tw Cen MT" w:cs="Times New Roman"/>
                <w:sz w:val="22"/>
              </w:rPr>
              <w:t xml:space="preserve">will develop MOU with the comparison study court site to abstract data on a matched comparison sample of eligible offenders. Offender priors, criminogenic risk, and age at first offender are abstracted from all BHTCC grantees through the 18-Month Tool </w:t>
            </w:r>
            <w:r w:rsidR="00937D19">
              <w:rPr>
                <w:rFonts w:ascii="Tw Cen MT" w:hAnsi="Tw Cen MT" w:cs="Times New Roman"/>
                <w:sz w:val="22"/>
              </w:rPr>
              <w:lastRenderedPageBreak/>
              <w:t xml:space="preserve">and will be abstracted for the matched comparison samples. These variables will be used to match the control and BHTCC offender outcome data from the two groups. </w:t>
            </w:r>
          </w:p>
        </w:tc>
      </w:tr>
      <w:tr w:rsidR="00937D19" w:rsidRPr="002067A7" w14:paraId="64BAF8E1" w14:textId="77777777" w:rsidTr="00040E59">
        <w:trPr>
          <w:trHeight w:val="993"/>
          <w:jc w:val="center"/>
        </w:trPr>
        <w:tc>
          <w:tcPr>
            <w:tcW w:w="1345" w:type="dxa"/>
            <w:shd w:val="clear" w:color="auto" w:fill="auto"/>
            <w:tcMar>
              <w:top w:w="14" w:type="dxa"/>
              <w:left w:w="86" w:type="dxa"/>
              <w:bottom w:w="43" w:type="dxa"/>
              <w:right w:w="86" w:type="dxa"/>
            </w:tcMar>
          </w:tcPr>
          <w:p w14:paraId="4993543C" w14:textId="77777777" w:rsidR="00937D19" w:rsidRPr="002067A7" w:rsidRDefault="00937D19" w:rsidP="00040E59">
            <w:pPr>
              <w:jc w:val="left"/>
              <w:rPr>
                <w:rFonts w:ascii="Tw Cen MT" w:hAnsi="Tw Cen MT" w:cs="Arial"/>
                <w:sz w:val="22"/>
                <w:szCs w:val="22"/>
              </w:rPr>
            </w:pPr>
            <w:r>
              <w:rPr>
                <w:rFonts w:ascii="Tw Cen MT" w:hAnsi="Tw Cen MT" w:cs="Arial"/>
                <w:sz w:val="22"/>
                <w:szCs w:val="22"/>
              </w:rPr>
              <w:lastRenderedPageBreak/>
              <w:t>Train Staff on Recruitment</w:t>
            </w:r>
          </w:p>
        </w:tc>
        <w:tc>
          <w:tcPr>
            <w:tcW w:w="8020" w:type="dxa"/>
            <w:tcMar>
              <w:top w:w="14" w:type="dxa"/>
              <w:left w:w="86" w:type="dxa"/>
              <w:bottom w:w="43" w:type="dxa"/>
              <w:right w:w="86" w:type="dxa"/>
            </w:tcMar>
          </w:tcPr>
          <w:p w14:paraId="34135545" w14:textId="796FE52C" w:rsidR="00937D19" w:rsidRPr="002067A7" w:rsidRDefault="00A30730" w:rsidP="00040E59">
            <w:pPr>
              <w:pStyle w:val="BHTCCBody"/>
              <w:spacing w:after="0"/>
              <w:rPr>
                <w:rFonts w:ascii="Tw Cen MT" w:hAnsi="Tw Cen MT" w:cs="Times New Roman"/>
                <w:sz w:val="22"/>
              </w:rPr>
            </w:pPr>
            <w:r>
              <w:rPr>
                <w:rFonts w:ascii="Tw Cen MT" w:hAnsi="Tw Cen MT" w:cs="Times New Roman"/>
                <w:sz w:val="22"/>
              </w:rPr>
              <w:t>The evaluation team</w:t>
            </w:r>
            <w:r w:rsidRPr="002067A7">
              <w:rPr>
                <w:rFonts w:ascii="Tw Cen MT" w:hAnsi="Tw Cen MT" w:cs="Times New Roman"/>
                <w:sz w:val="22"/>
              </w:rPr>
              <w:t xml:space="preserve"> </w:t>
            </w:r>
            <w:r w:rsidR="00937D19" w:rsidRPr="002067A7">
              <w:rPr>
                <w:rFonts w:ascii="Tw Cen MT" w:hAnsi="Tw Cen MT" w:cs="Times New Roman"/>
                <w:sz w:val="22"/>
              </w:rPr>
              <w:t xml:space="preserve">will train </w:t>
            </w:r>
            <w:r w:rsidR="00937D19">
              <w:rPr>
                <w:rFonts w:ascii="Tw Cen MT" w:hAnsi="Tw Cen MT" w:cs="Times New Roman"/>
                <w:sz w:val="22"/>
              </w:rPr>
              <w:t xml:space="preserve">BHTCC program staff </w:t>
            </w:r>
            <w:r w:rsidR="00937D19" w:rsidRPr="002067A7">
              <w:rPr>
                <w:rFonts w:ascii="Tw Cen MT" w:hAnsi="Tw Cen MT" w:cs="Times New Roman"/>
                <w:sz w:val="22"/>
              </w:rPr>
              <w:t xml:space="preserve">on strategies for recruiting </w:t>
            </w:r>
            <w:r w:rsidR="00937D19">
              <w:rPr>
                <w:rFonts w:ascii="Tw Cen MT" w:hAnsi="Tw Cen MT" w:cs="Times New Roman"/>
                <w:sz w:val="22"/>
              </w:rPr>
              <w:t>a comparison court for participation or for abstracting comparison study data from within a wait-listed approach</w:t>
            </w:r>
            <w:r w:rsidR="00937D19" w:rsidRPr="002067A7">
              <w:rPr>
                <w:rFonts w:ascii="Tw Cen MT" w:hAnsi="Tw Cen MT" w:cs="Times New Roman"/>
                <w:sz w:val="22"/>
              </w:rPr>
              <w:t xml:space="preserve">, including how to respond to common barriers to participation. Our training will include various scenarios that local data collectors may encounter with </w:t>
            </w:r>
            <w:r w:rsidR="00937D19">
              <w:rPr>
                <w:rFonts w:ascii="Tw Cen MT" w:hAnsi="Tw Cen MT" w:cs="Times New Roman"/>
                <w:sz w:val="22"/>
              </w:rPr>
              <w:t>data abstraction.</w:t>
            </w:r>
          </w:p>
        </w:tc>
      </w:tr>
      <w:tr w:rsidR="00937D19" w:rsidRPr="002067A7" w14:paraId="4879317B" w14:textId="77777777" w:rsidTr="00040E59">
        <w:trPr>
          <w:trHeight w:val="381"/>
          <w:jc w:val="center"/>
        </w:trPr>
        <w:tc>
          <w:tcPr>
            <w:tcW w:w="1345" w:type="dxa"/>
            <w:shd w:val="clear" w:color="auto" w:fill="auto"/>
            <w:tcMar>
              <w:top w:w="14" w:type="dxa"/>
              <w:left w:w="86" w:type="dxa"/>
              <w:bottom w:w="43" w:type="dxa"/>
              <w:right w:w="86" w:type="dxa"/>
            </w:tcMar>
          </w:tcPr>
          <w:p w14:paraId="73EAAE25" w14:textId="77777777" w:rsidR="00937D19" w:rsidRPr="002067A7" w:rsidRDefault="00937D19" w:rsidP="00040E59">
            <w:pPr>
              <w:jc w:val="left"/>
              <w:rPr>
                <w:rFonts w:ascii="Tw Cen MT" w:hAnsi="Tw Cen MT" w:cs="Arial"/>
                <w:sz w:val="22"/>
                <w:szCs w:val="22"/>
              </w:rPr>
            </w:pPr>
            <w:r>
              <w:rPr>
                <w:rFonts w:ascii="Tw Cen MT" w:hAnsi="Tw Cen MT" w:cs="Arial"/>
                <w:sz w:val="22"/>
                <w:szCs w:val="22"/>
              </w:rPr>
              <w:t>Train Staff on Data Collection</w:t>
            </w:r>
          </w:p>
        </w:tc>
        <w:tc>
          <w:tcPr>
            <w:tcW w:w="8020" w:type="dxa"/>
            <w:tcMar>
              <w:top w:w="14" w:type="dxa"/>
              <w:left w:w="86" w:type="dxa"/>
              <w:bottom w:w="43" w:type="dxa"/>
              <w:right w:w="86" w:type="dxa"/>
            </w:tcMar>
          </w:tcPr>
          <w:p w14:paraId="0D27BC8D" w14:textId="54B7B03C" w:rsidR="00937D19" w:rsidRPr="002067A7" w:rsidRDefault="00A30730" w:rsidP="00040E59">
            <w:pPr>
              <w:pStyle w:val="BHTCCBody"/>
              <w:spacing w:after="0"/>
              <w:rPr>
                <w:rFonts w:ascii="Tw Cen MT" w:hAnsi="Tw Cen MT" w:cs="Times New Roman"/>
                <w:sz w:val="22"/>
              </w:rPr>
            </w:pPr>
            <w:r>
              <w:rPr>
                <w:rFonts w:ascii="Tw Cen MT" w:hAnsi="Tw Cen MT" w:cs="Times New Roman"/>
                <w:sz w:val="22"/>
              </w:rPr>
              <w:t>The evaluation team</w:t>
            </w:r>
            <w:r w:rsidR="00937D19" w:rsidRPr="002067A7">
              <w:rPr>
                <w:rFonts w:ascii="Tw Cen MT" w:hAnsi="Tw Cen MT" w:cs="Times New Roman"/>
                <w:sz w:val="22"/>
              </w:rPr>
              <w:t xml:space="preserve"> </w:t>
            </w:r>
            <w:r w:rsidR="00937D19">
              <w:rPr>
                <w:rFonts w:ascii="Tw Cen MT" w:hAnsi="Tw Cen MT" w:cs="Times New Roman"/>
                <w:sz w:val="22"/>
              </w:rPr>
              <w:t xml:space="preserve">will train BHTCC program staff or comparison site court staff on abstracting data for </w:t>
            </w:r>
            <w:r w:rsidR="00937D19" w:rsidRPr="002067A7">
              <w:rPr>
                <w:rFonts w:ascii="Tw Cen MT" w:hAnsi="Tw Cen MT" w:cs="Times New Roman"/>
                <w:sz w:val="22"/>
              </w:rPr>
              <w:t>the baseline and 6-month</w:t>
            </w:r>
            <w:r w:rsidR="00937D19">
              <w:rPr>
                <w:rFonts w:ascii="Tw Cen MT" w:hAnsi="Tw Cen MT" w:cs="Times New Roman"/>
                <w:i/>
                <w:iCs/>
                <w:sz w:val="22"/>
                <w:shd w:val="clear" w:color="auto" w:fill="FFFFFF"/>
              </w:rPr>
              <w:t xml:space="preserve"> </w:t>
            </w:r>
            <w:r w:rsidR="00937D19" w:rsidRPr="005B675F">
              <w:rPr>
                <w:rFonts w:ascii="Tw Cen MT" w:hAnsi="Tw Cen MT" w:cs="Times New Roman"/>
                <w:iCs/>
                <w:sz w:val="22"/>
                <w:shd w:val="clear" w:color="auto" w:fill="FFFFFF"/>
              </w:rPr>
              <w:t>Comparison Study Tool</w:t>
            </w:r>
            <w:r w:rsidR="00937D19" w:rsidRPr="005B675F">
              <w:rPr>
                <w:rFonts w:ascii="Tw Cen MT" w:hAnsi="Tw Cen MT" w:cs="Times New Roman"/>
                <w:sz w:val="22"/>
              </w:rPr>
              <w:t xml:space="preserve"> </w:t>
            </w:r>
            <w:r w:rsidR="00937D19">
              <w:rPr>
                <w:rFonts w:ascii="Tw Cen MT" w:hAnsi="Tw Cen MT" w:cs="Times New Roman"/>
                <w:sz w:val="22"/>
              </w:rPr>
              <w:t xml:space="preserve">and 18-Month Tool.  </w:t>
            </w:r>
          </w:p>
        </w:tc>
      </w:tr>
    </w:tbl>
    <w:p w14:paraId="26899D42" w14:textId="0C505AC7" w:rsidR="00153ECC" w:rsidRDefault="00153ECC" w:rsidP="0044663D">
      <w:pPr>
        <w:pStyle w:val="SuicideBodyText"/>
        <w:numPr>
          <w:ilvl w:val="0"/>
          <w:numId w:val="1"/>
        </w:numPr>
        <w:spacing w:before="360" w:after="120"/>
        <w:rPr>
          <w:rFonts w:ascii="Tw Cen MT" w:hAnsi="Tw Cen MT"/>
          <w:b/>
          <w:sz w:val="28"/>
          <w:szCs w:val="28"/>
        </w:rPr>
      </w:pPr>
      <w:r w:rsidRPr="00153ECC">
        <w:rPr>
          <w:rFonts w:ascii="Tw Cen MT" w:hAnsi="Tw Cen MT"/>
          <w:b/>
          <w:sz w:val="28"/>
          <w:szCs w:val="28"/>
        </w:rPr>
        <w:t>Tests of Procedures</w:t>
      </w:r>
    </w:p>
    <w:p w14:paraId="19A093C5" w14:textId="4A876D83" w:rsidR="00236438" w:rsidRDefault="00937D19" w:rsidP="00236438">
      <w:pPr>
        <w:pStyle w:val="SuicideBodyText"/>
        <w:spacing w:after="200"/>
      </w:pPr>
      <w:r w:rsidRPr="00642D32">
        <w:t>As new measures were developed, standard instrument development procedures including review of the literature</w:t>
      </w:r>
      <w:r w:rsidR="00236438">
        <w:t>;</w:t>
      </w:r>
      <w:r w:rsidRPr="00642D32">
        <w:t xml:space="preserve"> item development</w:t>
      </w:r>
      <w:r w:rsidR="00236438">
        <w:t>;</w:t>
      </w:r>
      <w:r w:rsidRPr="00642D32">
        <w:t xml:space="preserve"> and content review </w:t>
      </w:r>
      <w:r w:rsidR="00236438">
        <w:t>by individuals from SAMHSA, the grantees, and the BHTCC and SE steering committees</w:t>
      </w:r>
      <w:r w:rsidRPr="00642D32">
        <w:t xml:space="preserve"> </w:t>
      </w:r>
      <w:r>
        <w:t>(see Section A.6.b for information on organizations and individuals that reviewed the data collection activities).</w:t>
      </w:r>
      <w:r w:rsidR="00236438">
        <w:t xml:space="preserve"> A pilot of the proposed BPI was conducted with 5 grantees (3 BHTCC and 2 SE) to solicit feedback (e.g., item clarity, relevance to program, burden). Additional changes were made to these protocols to minimize respondent burden. Further, the 18-Month Abstraction Tool was developed with input from the steering committee and grantees to ensure no additional burden and direct data collection with program participants.</w:t>
      </w:r>
    </w:p>
    <w:p w14:paraId="4BF01E26" w14:textId="56C89BCA" w:rsidR="00937D19" w:rsidRPr="003A3348" w:rsidRDefault="00C82C95" w:rsidP="00236438">
      <w:pPr>
        <w:rPr>
          <w:rFonts w:cs="Arial"/>
        </w:rPr>
      </w:pPr>
      <w:proofErr w:type="gramStart"/>
      <w:r>
        <w:t>w</w:t>
      </w:r>
      <w:r w:rsidR="00937D19" w:rsidRPr="007A323D">
        <w:t>eb-based</w:t>
      </w:r>
      <w:proofErr w:type="gramEnd"/>
      <w:r w:rsidR="00937D19" w:rsidRPr="007A323D">
        <w:t xml:space="preserve"> instruments will undergo usability testing prior to fielding. </w:t>
      </w:r>
      <w:r w:rsidR="00937D19" w:rsidRPr="007A323D">
        <w:rPr>
          <w:rFonts w:cs="Arial"/>
        </w:rPr>
        <w:t>Usability testing refers to pilot testing of the interface for administering questionnaires to determine the most efficient and understandable presentation. Typically, this is completed with a prototype and modifications are made before final fielding.</w:t>
      </w:r>
      <w:r w:rsidR="00937D19" w:rsidRPr="003A3348">
        <w:rPr>
          <w:rFonts w:cs="Arial"/>
        </w:rPr>
        <w:t xml:space="preserve"> </w:t>
      </w:r>
    </w:p>
    <w:p w14:paraId="25B17282" w14:textId="77777777" w:rsidR="008207F0" w:rsidRPr="005C0EB8" w:rsidRDefault="00B84A99" w:rsidP="0044663D">
      <w:pPr>
        <w:pStyle w:val="BodyText"/>
        <w:keepNext/>
        <w:widowControl/>
        <w:numPr>
          <w:ilvl w:val="0"/>
          <w:numId w:val="1"/>
        </w:numPr>
        <w:tabs>
          <w:tab w:val="left" w:pos="1563"/>
        </w:tabs>
        <w:spacing w:before="360" w:after="120"/>
      </w:pPr>
      <w:r w:rsidRPr="005C0EB8">
        <w:rPr>
          <w:rFonts w:ascii="Tw Cen MT" w:hAnsi="Tw Cen MT" w:cs="Arial"/>
          <w:b/>
          <w:sz w:val="28"/>
          <w:szCs w:val="28"/>
        </w:rPr>
        <w:t>Statistical Consultants</w:t>
      </w:r>
    </w:p>
    <w:p w14:paraId="7EFD6317" w14:textId="25F0D354" w:rsidR="009E755F" w:rsidRPr="008207F0" w:rsidRDefault="00A30730" w:rsidP="008207F0">
      <w:pPr>
        <w:pStyle w:val="BodyText"/>
        <w:tabs>
          <w:tab w:val="left" w:pos="1563"/>
        </w:tabs>
        <w:spacing w:after="240"/>
        <w:rPr>
          <w:rFonts w:ascii="Times New Roman" w:hAnsi="Times New Roman" w:cs="Times New Roman"/>
          <w:sz w:val="24"/>
          <w:szCs w:val="24"/>
        </w:rPr>
      </w:pPr>
      <w:r>
        <w:rPr>
          <w:rFonts w:ascii="Times New Roman" w:hAnsi="Times New Roman" w:cs="Times New Roman"/>
          <w:sz w:val="24"/>
          <w:szCs w:val="24"/>
        </w:rPr>
        <w:t>The Contractor</w:t>
      </w:r>
      <w:r w:rsidRPr="008207F0">
        <w:rPr>
          <w:rFonts w:ascii="Times New Roman" w:hAnsi="Times New Roman" w:cs="Times New Roman"/>
          <w:sz w:val="24"/>
          <w:szCs w:val="24"/>
        </w:rPr>
        <w:t xml:space="preserve"> </w:t>
      </w:r>
      <w:r w:rsidR="009E755F" w:rsidRPr="008207F0">
        <w:rPr>
          <w:rFonts w:ascii="Times New Roman" w:hAnsi="Times New Roman" w:cs="Times New Roman"/>
          <w:sz w:val="24"/>
          <w:szCs w:val="24"/>
        </w:rPr>
        <w:t>has full responsibility for the development of the overall statistical design, and assumes oversight responsibility for data collection and analysis. Training, TA, and monitoring of data collection will be provided by the NOE team. The individuals responsible for overseeing data collection and analysis are:</w:t>
      </w:r>
    </w:p>
    <w:p w14:paraId="0B065ABA" w14:textId="7BA3D286" w:rsidR="001C13A1" w:rsidRDefault="001C13A1" w:rsidP="001C13A1">
      <w:r>
        <w:t xml:space="preserve">Robin Davis, </w:t>
      </w:r>
      <w:r w:rsidR="00BC3E72">
        <w:t>PhD</w:t>
      </w:r>
    </w:p>
    <w:p w14:paraId="01955B57" w14:textId="77777777" w:rsidR="00940627" w:rsidRDefault="00940627" w:rsidP="0094062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ICF International</w:t>
      </w:r>
    </w:p>
    <w:p w14:paraId="7B748164" w14:textId="27743C06" w:rsidR="001C13A1" w:rsidRDefault="001C13A1" w:rsidP="001C13A1">
      <w:r>
        <w:t>3 Corporate Square, Suite 370</w:t>
      </w:r>
    </w:p>
    <w:p w14:paraId="3F94E2D2" w14:textId="77777777" w:rsidR="001C13A1" w:rsidRDefault="001C13A1" w:rsidP="001C13A1">
      <w:r>
        <w:t>Atlanta, GA 30329</w:t>
      </w:r>
    </w:p>
    <w:p w14:paraId="4DCE781E" w14:textId="77777777" w:rsidR="001C13A1" w:rsidRDefault="001C13A1" w:rsidP="001C13A1">
      <w:r>
        <w:t>Phone: (404) 592-2188</w:t>
      </w:r>
    </w:p>
    <w:p w14:paraId="04E2EAF9" w14:textId="77777777" w:rsidR="001C13A1" w:rsidRDefault="001C13A1" w:rsidP="001C13A1">
      <w:r>
        <w:t xml:space="preserve">E-mail: </w:t>
      </w:r>
      <w:hyperlink r:id="rId8" w:history="1">
        <w:r w:rsidRPr="0088147A">
          <w:rPr>
            <w:rStyle w:val="Hyperlink"/>
          </w:rPr>
          <w:t>Robin.Davis@icfi.com</w:t>
        </w:r>
      </w:hyperlink>
      <w:r>
        <w:t xml:space="preserve"> </w:t>
      </w:r>
    </w:p>
    <w:p w14:paraId="105CFE4B" w14:textId="77777777" w:rsidR="001C13A1" w:rsidRDefault="001C13A1" w:rsidP="009E755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0940CDF" w14:textId="77777777" w:rsidR="009E755F" w:rsidRPr="00244BBB" w:rsidRDefault="009E755F" w:rsidP="00887134">
      <w:pPr>
        <w:pStyle w:val="SuicideBodyText"/>
        <w:spacing w:after="200"/>
      </w:pPr>
      <w:r w:rsidRPr="00244BBB">
        <w:t>The following individuals will serve as statistical consultants to this project:</w:t>
      </w:r>
    </w:p>
    <w:p w14:paraId="3A3889BE" w14:textId="56D064F4" w:rsidR="001C13A1" w:rsidRDefault="001C13A1" w:rsidP="001C13A1">
      <w:r>
        <w:t xml:space="preserve">Robin Davis, </w:t>
      </w:r>
      <w:r w:rsidR="00BC3E72">
        <w:t>PhD</w:t>
      </w:r>
    </w:p>
    <w:p w14:paraId="13801F4A" w14:textId="77777777" w:rsidR="00940627" w:rsidRDefault="00940627" w:rsidP="0094062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ICF International</w:t>
      </w:r>
    </w:p>
    <w:p w14:paraId="4341C959" w14:textId="77777777" w:rsidR="001C13A1" w:rsidRDefault="001C13A1" w:rsidP="001C13A1">
      <w:r>
        <w:t>3 Corporate Square, Suite 370</w:t>
      </w:r>
    </w:p>
    <w:p w14:paraId="4DD63E16" w14:textId="77777777" w:rsidR="001C13A1" w:rsidRDefault="001C13A1" w:rsidP="001C13A1">
      <w:r>
        <w:lastRenderedPageBreak/>
        <w:t>Atlanta, GA 30329</w:t>
      </w:r>
    </w:p>
    <w:p w14:paraId="2F18BB45" w14:textId="77777777" w:rsidR="001C13A1" w:rsidRDefault="001C13A1" w:rsidP="001C13A1">
      <w:r>
        <w:t>Phone: (404) 592-2188</w:t>
      </w:r>
    </w:p>
    <w:p w14:paraId="62D50168" w14:textId="77777777" w:rsidR="001C13A1" w:rsidRDefault="001C13A1" w:rsidP="001C13A1">
      <w:r>
        <w:t xml:space="preserve">E-mail: </w:t>
      </w:r>
      <w:hyperlink r:id="rId9" w:history="1">
        <w:r w:rsidRPr="0088147A">
          <w:rPr>
            <w:rStyle w:val="Hyperlink"/>
          </w:rPr>
          <w:t>Robin.Davis@icfi.com</w:t>
        </w:r>
      </w:hyperlink>
      <w:r>
        <w:t xml:space="preserve"> </w:t>
      </w:r>
    </w:p>
    <w:p w14:paraId="67A45C42" w14:textId="77777777" w:rsidR="001C13A1" w:rsidRDefault="001C13A1" w:rsidP="001C13A1">
      <w:pPr>
        <w:keepNext/>
        <w:autoSpaceDE w:val="0"/>
        <w:autoSpaceDN w:val="0"/>
        <w:adjustRightInd w:val="0"/>
        <w:jc w:val="left"/>
        <w:rPr>
          <w:rFonts w:eastAsiaTheme="minorHAnsi"/>
        </w:rPr>
      </w:pPr>
    </w:p>
    <w:p w14:paraId="75EA6F8C" w14:textId="77777777" w:rsidR="001C13A1" w:rsidRDefault="001C13A1" w:rsidP="001C13A1">
      <w:pPr>
        <w:keepNext/>
        <w:autoSpaceDE w:val="0"/>
        <w:autoSpaceDN w:val="0"/>
        <w:adjustRightInd w:val="0"/>
        <w:jc w:val="left"/>
        <w:rPr>
          <w:rFonts w:eastAsiaTheme="minorHAnsi"/>
        </w:rPr>
      </w:pPr>
      <w:r w:rsidRPr="00244BBB">
        <w:rPr>
          <w:rFonts w:eastAsiaTheme="minorHAnsi"/>
        </w:rPr>
        <w:t>Lucas Godoy Garraza, PhD, Statistician</w:t>
      </w:r>
    </w:p>
    <w:p w14:paraId="353D092A" w14:textId="77777777" w:rsidR="00940627" w:rsidRDefault="00940627" w:rsidP="0094062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ICF International</w:t>
      </w:r>
    </w:p>
    <w:p w14:paraId="7CA4C26F" w14:textId="77777777" w:rsidR="001C13A1" w:rsidRPr="00244BBB" w:rsidRDefault="001C13A1" w:rsidP="001C13A1">
      <w:pPr>
        <w:autoSpaceDE w:val="0"/>
        <w:autoSpaceDN w:val="0"/>
        <w:adjustRightInd w:val="0"/>
        <w:jc w:val="left"/>
        <w:rPr>
          <w:rFonts w:eastAsiaTheme="minorHAnsi"/>
        </w:rPr>
      </w:pPr>
      <w:r w:rsidRPr="00244BBB">
        <w:rPr>
          <w:rFonts w:eastAsiaTheme="minorHAnsi"/>
        </w:rPr>
        <w:t>Teleworks—Home Office</w:t>
      </w:r>
    </w:p>
    <w:p w14:paraId="57C419E7" w14:textId="77777777" w:rsidR="001C13A1" w:rsidRPr="00244BBB" w:rsidRDefault="001C13A1" w:rsidP="001C13A1">
      <w:pPr>
        <w:autoSpaceDE w:val="0"/>
        <w:autoSpaceDN w:val="0"/>
        <w:adjustRightInd w:val="0"/>
        <w:spacing w:after="200"/>
        <w:jc w:val="left"/>
        <w:rPr>
          <w:rFonts w:eastAsiaTheme="minorHAnsi"/>
        </w:rPr>
      </w:pPr>
      <w:r w:rsidRPr="00244BBB">
        <w:rPr>
          <w:rFonts w:eastAsiaTheme="minorHAnsi"/>
        </w:rPr>
        <w:t xml:space="preserve">E-mail: </w:t>
      </w:r>
      <w:hyperlink r:id="rId10" w:history="1">
        <w:r w:rsidRPr="0020697B">
          <w:rPr>
            <w:rStyle w:val="Hyperlink"/>
            <w:rFonts w:eastAsiaTheme="minorHAnsi"/>
          </w:rPr>
          <w:t>Lucas.GodoyGarraza@icfi.com</w:t>
        </w:r>
      </w:hyperlink>
      <w:r>
        <w:rPr>
          <w:rFonts w:eastAsiaTheme="minorHAnsi"/>
        </w:rPr>
        <w:t xml:space="preserve"> </w:t>
      </w:r>
    </w:p>
    <w:p w14:paraId="52DCA5A3" w14:textId="10380281" w:rsidR="00BC3E72" w:rsidRDefault="00BC3E72" w:rsidP="001C13A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Megan Brooks, MA</w:t>
      </w:r>
    </w:p>
    <w:p w14:paraId="75CB3833" w14:textId="5FF9A7C7" w:rsidR="00BC3E72" w:rsidRDefault="00BC3E72" w:rsidP="001C13A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ICF International</w:t>
      </w:r>
    </w:p>
    <w:p w14:paraId="74CC62DD" w14:textId="33EA43E0" w:rsidR="00BC3E72" w:rsidRDefault="00BC3E72" w:rsidP="001C13A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Teleworks</w:t>
      </w:r>
      <w:r w:rsidR="00940627" w:rsidRPr="00244BBB">
        <w:rPr>
          <w:rFonts w:eastAsiaTheme="minorHAnsi"/>
        </w:rPr>
        <w:t>—Home Office</w:t>
      </w:r>
    </w:p>
    <w:p w14:paraId="07A661ED" w14:textId="62CBB030" w:rsidR="00BC3E72" w:rsidRDefault="00BC3E72" w:rsidP="001C13A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Email: </w:t>
      </w:r>
      <w:hyperlink r:id="rId11" w:history="1">
        <w:r w:rsidRPr="00793786">
          <w:rPr>
            <w:rStyle w:val="Hyperlink"/>
          </w:rPr>
          <w:t>Megan.Brooks@icfi.com</w:t>
        </w:r>
      </w:hyperlink>
    </w:p>
    <w:p w14:paraId="59BCA0D3" w14:textId="77777777" w:rsidR="00BC3E72" w:rsidRDefault="00BC3E72" w:rsidP="001C13A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CA784DB" w14:textId="77777777" w:rsidR="001C13A1" w:rsidRPr="00244BBB" w:rsidRDefault="001C13A1" w:rsidP="001C13A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4BBB">
        <w:t>Christine M. Walrath, PhD</w:t>
      </w:r>
    </w:p>
    <w:p w14:paraId="01A0985C" w14:textId="06459AB6" w:rsidR="001C13A1" w:rsidRPr="00244BBB" w:rsidRDefault="001C13A1" w:rsidP="001C13A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4BBB">
        <w:t xml:space="preserve">ICF </w:t>
      </w:r>
      <w:r w:rsidR="00940627">
        <w:t>International</w:t>
      </w:r>
    </w:p>
    <w:p w14:paraId="0901A9E3" w14:textId="77777777" w:rsidR="001C13A1" w:rsidRPr="00244BBB" w:rsidRDefault="001C13A1" w:rsidP="001C13A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4BBB">
        <w:t>40 Wall Street, 34</w:t>
      </w:r>
      <w:r w:rsidRPr="00244BBB">
        <w:rPr>
          <w:vertAlign w:val="superscript"/>
        </w:rPr>
        <w:t>th</w:t>
      </w:r>
      <w:r w:rsidRPr="00244BBB">
        <w:t xml:space="preserve"> Floor</w:t>
      </w:r>
    </w:p>
    <w:p w14:paraId="1FDF203E" w14:textId="77777777" w:rsidR="001C13A1" w:rsidRPr="00244BBB" w:rsidRDefault="001C13A1" w:rsidP="001C13A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4BBB">
        <w:t>New York, NY 10005</w:t>
      </w:r>
    </w:p>
    <w:p w14:paraId="4DE4A109" w14:textId="77777777" w:rsidR="001C13A1" w:rsidRDefault="001C13A1" w:rsidP="001C13A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Phone: </w:t>
      </w:r>
      <w:r w:rsidRPr="00244BBB">
        <w:t>(212) 941-5555</w:t>
      </w:r>
    </w:p>
    <w:p w14:paraId="5702A26F" w14:textId="77777777" w:rsidR="001C13A1" w:rsidRDefault="001C13A1" w:rsidP="001C13A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pPr>
      <w:r>
        <w:t xml:space="preserve">E-mail: </w:t>
      </w:r>
      <w:hyperlink r:id="rId12" w:history="1">
        <w:r w:rsidRPr="002A3AE8">
          <w:rPr>
            <w:rStyle w:val="Hyperlink"/>
          </w:rPr>
          <w:t>christine.walrath@icfi.com</w:t>
        </w:r>
      </w:hyperlink>
      <w:r>
        <w:t xml:space="preserve"> </w:t>
      </w:r>
    </w:p>
    <w:p w14:paraId="445213B7" w14:textId="1BA1AED4" w:rsidR="0043163E" w:rsidRPr="00244BBB" w:rsidRDefault="0043163E" w:rsidP="0043163E">
      <w:pPr>
        <w:pStyle w:val="SuicideBodyText"/>
        <w:spacing w:after="200"/>
      </w:pPr>
      <w:bookmarkStart w:id="0" w:name="_GoBack"/>
      <w:r w:rsidRPr="00244BBB">
        <w:t>The agency staff responsible for receiving and approving contract deliverables is:</w:t>
      </w:r>
    </w:p>
    <w:p w14:paraId="1BCB2E99" w14:textId="16F0FB70" w:rsidR="0043163E" w:rsidRDefault="0043163E" w:rsidP="0043163E">
      <w:r w:rsidRPr="0043163E">
        <w:t xml:space="preserve">Marian </w:t>
      </w:r>
      <w:r w:rsidR="0084017A">
        <w:t>Scheinholtz, MS, OT</w:t>
      </w:r>
    </w:p>
    <w:p w14:paraId="65ABB465" w14:textId="77777777" w:rsidR="0043163E" w:rsidRPr="0043163E" w:rsidRDefault="0043163E" w:rsidP="0043163E">
      <w:r w:rsidRPr="0043163E">
        <w:t xml:space="preserve">Center for Mental Health Services, SAMHSA </w:t>
      </w:r>
    </w:p>
    <w:p w14:paraId="073481A7" w14:textId="2F32A209" w:rsidR="0043163E" w:rsidRDefault="0084017A" w:rsidP="0043163E">
      <w:pPr>
        <w:ind w:right="720"/>
      </w:pPr>
      <w:r>
        <w:t>5600 Fisher Lane</w:t>
      </w:r>
    </w:p>
    <w:p w14:paraId="045E99EC" w14:textId="77777777" w:rsidR="0043163E" w:rsidRPr="0043163E" w:rsidRDefault="0043163E" w:rsidP="0043163E">
      <w:pPr>
        <w:ind w:right="720"/>
      </w:pPr>
      <w:r w:rsidRPr="0043163E">
        <w:t>Rockville, MD 20857</w:t>
      </w:r>
    </w:p>
    <w:p w14:paraId="3C439354" w14:textId="447EFC1A" w:rsidR="0043163E" w:rsidRPr="0043163E" w:rsidRDefault="0043163E" w:rsidP="0043163E">
      <w:pPr>
        <w:rPr>
          <w:lang w:val="fr-FR"/>
        </w:rPr>
      </w:pPr>
      <w:r w:rsidRPr="0043163E">
        <w:t xml:space="preserve">Phone: </w:t>
      </w:r>
      <w:r w:rsidR="0084017A">
        <w:t>240-276-1911</w:t>
      </w:r>
    </w:p>
    <w:p w14:paraId="66F93408" w14:textId="0BDD5C87" w:rsidR="0084017A" w:rsidRDefault="0043163E" w:rsidP="0084017A">
      <w:r w:rsidRPr="0043163E">
        <w:rPr>
          <w:rFonts w:eastAsiaTheme="minorHAnsi"/>
        </w:rPr>
        <w:t xml:space="preserve">E-mail: </w:t>
      </w:r>
      <w:hyperlink r:id="rId13" w:history="1">
        <w:r w:rsidR="0084017A" w:rsidRPr="007F06DD">
          <w:rPr>
            <w:rStyle w:val="Hyperlink"/>
          </w:rPr>
          <w:t>Marian.scheinholtz@samhsa.hhs.gov</w:t>
        </w:r>
      </w:hyperlink>
    </w:p>
    <w:p w14:paraId="014E16D0" w14:textId="77777777" w:rsidR="0084017A" w:rsidRDefault="0084017A" w:rsidP="0084017A"/>
    <w:p w14:paraId="136AB6AF" w14:textId="74A3C3EA" w:rsidR="0043163E" w:rsidRPr="0043163E" w:rsidRDefault="0043163E" w:rsidP="0043163E">
      <w:pPr>
        <w:rPr>
          <w:sz w:val="22"/>
          <w:szCs w:val="22"/>
        </w:rPr>
      </w:pPr>
      <w:r w:rsidRPr="0043163E">
        <w:t xml:space="preserve">Alyson </w:t>
      </w:r>
      <w:r w:rsidR="0084017A">
        <w:t>Essex, PhD, MHS, Alternate Contracting Officer Representative</w:t>
      </w:r>
    </w:p>
    <w:p w14:paraId="0F4B91A0" w14:textId="7611FDA4" w:rsidR="0043163E" w:rsidRPr="0043163E" w:rsidRDefault="0043163E" w:rsidP="0043163E">
      <w:r w:rsidRPr="0043163E">
        <w:t xml:space="preserve">Center for </w:t>
      </w:r>
      <w:r w:rsidR="0084017A">
        <w:t>Behavioral Health Statistics and Quality</w:t>
      </w:r>
      <w:r w:rsidRPr="0043163E">
        <w:t xml:space="preserve"> </w:t>
      </w:r>
    </w:p>
    <w:p w14:paraId="611E531B" w14:textId="4E8E3EE1" w:rsidR="0043163E" w:rsidRDefault="0084017A" w:rsidP="0043163E">
      <w:pPr>
        <w:ind w:right="720"/>
      </w:pPr>
      <w:r>
        <w:t>5600 Fishers Lane–Room 15E61D</w:t>
      </w:r>
    </w:p>
    <w:p w14:paraId="256C8099" w14:textId="420F1AA6" w:rsidR="0084017A" w:rsidRPr="0043163E" w:rsidRDefault="0084017A" w:rsidP="0043163E">
      <w:pPr>
        <w:ind w:right="720"/>
      </w:pPr>
      <w:r>
        <w:t>Rockville, MD 20857</w:t>
      </w:r>
    </w:p>
    <w:p w14:paraId="06F204BA" w14:textId="587E3522" w:rsidR="0043163E" w:rsidRPr="0043163E" w:rsidRDefault="0043163E" w:rsidP="0043163E">
      <w:pPr>
        <w:rPr>
          <w:lang w:val="fr-FR"/>
        </w:rPr>
      </w:pPr>
      <w:r w:rsidRPr="0043163E">
        <w:t xml:space="preserve">Phone: </w:t>
      </w:r>
      <w:r w:rsidR="0084017A">
        <w:t>240-276-0529</w:t>
      </w:r>
    </w:p>
    <w:p w14:paraId="0DABFC56" w14:textId="4A89C452" w:rsidR="0043163E" w:rsidRDefault="0043163E" w:rsidP="0043163E">
      <w:pPr>
        <w:spacing w:after="240"/>
        <w:rPr>
          <w:rStyle w:val="Hyperlink"/>
          <w:rFonts w:eastAsiaTheme="majorEastAsia"/>
          <w:lang w:val="fr-FR"/>
        </w:rPr>
      </w:pPr>
      <w:r w:rsidRPr="0043163E">
        <w:rPr>
          <w:rFonts w:eastAsiaTheme="minorHAnsi"/>
        </w:rPr>
        <w:t xml:space="preserve">E-mail: </w:t>
      </w:r>
      <w:hyperlink r:id="rId14" w:history="1">
        <w:r w:rsidR="0084017A" w:rsidRPr="007F06DD">
          <w:rPr>
            <w:rStyle w:val="Hyperlink"/>
            <w:rFonts w:eastAsiaTheme="majorEastAsia"/>
            <w:lang w:val="fr-FR"/>
          </w:rPr>
          <w:t>Alyson.</w:t>
        </w:r>
      </w:hyperlink>
      <w:r w:rsidR="0084017A">
        <w:rPr>
          <w:rStyle w:val="Hyperlink"/>
          <w:rFonts w:eastAsiaTheme="majorEastAsia"/>
          <w:lang w:val="fr-FR"/>
        </w:rPr>
        <w:t>Essex@samhsa.hhs.gov</w:t>
      </w:r>
    </w:p>
    <w:bookmarkEnd w:id="0"/>
    <w:p w14:paraId="013CD0F7" w14:textId="77777777" w:rsidR="00561D0F" w:rsidRDefault="00561D0F" w:rsidP="00A30730">
      <w:pPr>
        <w:pStyle w:val="GLSReference"/>
        <w:keepNext/>
        <w:spacing w:before="360" w:after="120"/>
        <w:rPr>
          <w:rFonts w:ascii="Tw Cen MT" w:eastAsiaTheme="minorHAnsi" w:hAnsi="Tw Cen MT"/>
          <w:b/>
          <w:sz w:val="28"/>
          <w:szCs w:val="28"/>
        </w:rPr>
      </w:pPr>
      <w:r>
        <w:rPr>
          <w:rFonts w:ascii="Tw Cen MT" w:eastAsiaTheme="minorHAnsi" w:hAnsi="Tw Cen MT"/>
          <w:b/>
          <w:sz w:val="28"/>
          <w:szCs w:val="28"/>
        </w:rPr>
        <w:t>References</w:t>
      </w:r>
    </w:p>
    <w:p w14:paraId="0AFA54A9" w14:textId="77777777" w:rsidR="001C13A1" w:rsidRPr="001C13A1" w:rsidRDefault="001C13A1" w:rsidP="00581FA2">
      <w:pPr>
        <w:spacing w:after="120"/>
        <w:ind w:left="360" w:hanging="360"/>
        <w:mirrorIndents/>
        <w:jc w:val="left"/>
      </w:pPr>
      <w:r w:rsidRPr="001C13A1">
        <w:t xml:space="preserve">Berman, G., &amp; </w:t>
      </w:r>
      <w:proofErr w:type="spellStart"/>
      <w:r w:rsidRPr="001C13A1">
        <w:t>Feinblatt</w:t>
      </w:r>
      <w:proofErr w:type="spellEnd"/>
      <w:r w:rsidRPr="001C13A1">
        <w:t xml:space="preserve">, J. (2005). </w:t>
      </w:r>
      <w:r w:rsidRPr="001C13A1">
        <w:rPr>
          <w:i/>
        </w:rPr>
        <w:t>Good courts: The case for problem-solving justice</w:t>
      </w:r>
      <w:r w:rsidRPr="001C13A1">
        <w:t xml:space="preserve">. New York: The New Press. </w:t>
      </w:r>
    </w:p>
    <w:p w14:paraId="408E9403" w14:textId="77777777" w:rsidR="001C13A1" w:rsidRPr="001C13A1" w:rsidRDefault="001C13A1" w:rsidP="00581FA2">
      <w:pPr>
        <w:pStyle w:val="ICFProposalText"/>
        <w:ind w:left="360" w:hanging="360"/>
        <w:jc w:val="left"/>
        <w:rPr>
          <w:i/>
          <w:szCs w:val="24"/>
          <w:shd w:val="clear" w:color="auto" w:fill="FFFFFF"/>
        </w:rPr>
      </w:pPr>
      <w:r w:rsidRPr="001C13A1">
        <w:rPr>
          <w:szCs w:val="24"/>
          <w:shd w:val="clear" w:color="auto" w:fill="FFFFFF"/>
        </w:rPr>
        <w:t>Bureau of Justice Assistance. (</w:t>
      </w:r>
      <w:proofErr w:type="spellStart"/>
      <w:r w:rsidRPr="001C13A1">
        <w:rPr>
          <w:szCs w:val="24"/>
          <w:shd w:val="clear" w:color="auto" w:fill="FFFFFF"/>
        </w:rPr>
        <w:t>n.d.</w:t>
      </w:r>
      <w:proofErr w:type="spellEnd"/>
      <w:r w:rsidRPr="001C13A1">
        <w:rPr>
          <w:szCs w:val="24"/>
          <w:shd w:val="clear" w:color="auto" w:fill="FFFFFF"/>
        </w:rPr>
        <w:t xml:space="preserve">-a). </w:t>
      </w:r>
      <w:proofErr w:type="gramStart"/>
      <w:r w:rsidRPr="001C13A1">
        <w:rPr>
          <w:i/>
          <w:szCs w:val="24"/>
          <w:shd w:val="clear" w:color="auto" w:fill="FFFFFF"/>
        </w:rPr>
        <w:t>What</w:t>
      </w:r>
      <w:proofErr w:type="gramEnd"/>
      <w:r w:rsidRPr="001C13A1">
        <w:rPr>
          <w:i/>
          <w:szCs w:val="24"/>
          <w:shd w:val="clear" w:color="auto" w:fill="FFFFFF"/>
        </w:rPr>
        <w:t xml:space="preserve"> are problem-solving courts? </w:t>
      </w:r>
      <w:r w:rsidRPr="001C13A1">
        <w:rPr>
          <w:szCs w:val="24"/>
          <w:shd w:val="clear" w:color="auto" w:fill="FFFFFF"/>
        </w:rPr>
        <w:t>Retrieved January 26, 2015, from https://www.bja.gov/evaluation/program-adjudication/problem-solving-courts.htm</w:t>
      </w:r>
      <w:r w:rsidRPr="001C13A1">
        <w:rPr>
          <w:i/>
          <w:szCs w:val="24"/>
          <w:shd w:val="clear" w:color="auto" w:fill="FFFFFF"/>
        </w:rPr>
        <w:t xml:space="preserve"> </w:t>
      </w:r>
    </w:p>
    <w:p w14:paraId="4735AFA0" w14:textId="77777777" w:rsidR="001C13A1" w:rsidRPr="001C13A1" w:rsidRDefault="001C13A1" w:rsidP="00581FA2">
      <w:pPr>
        <w:spacing w:after="120"/>
        <w:ind w:left="360" w:hanging="360"/>
        <w:mirrorIndents/>
        <w:jc w:val="left"/>
        <w:rPr>
          <w:shd w:val="clear" w:color="auto" w:fill="FFFFFF"/>
        </w:rPr>
      </w:pPr>
      <w:r w:rsidRPr="001C13A1">
        <w:rPr>
          <w:shd w:val="clear" w:color="auto" w:fill="FFFFFF"/>
        </w:rPr>
        <w:t xml:space="preserve">Department of Health and Human Services, Office of Inspector General. (1993). </w:t>
      </w:r>
      <w:r w:rsidRPr="001C13A1">
        <w:rPr>
          <w:i/>
          <w:shd w:val="clear" w:color="auto" w:fill="FFFFFF"/>
        </w:rPr>
        <w:t>Revitalizing the Community Support Program</w:t>
      </w:r>
      <w:r w:rsidRPr="001C13A1">
        <w:rPr>
          <w:shd w:val="clear" w:color="auto" w:fill="FFFFFF"/>
        </w:rPr>
        <w:t xml:space="preserve">. Retrieved October 3, 2014, from </w:t>
      </w:r>
      <w:hyperlink r:id="rId15" w:history="1">
        <w:r w:rsidRPr="001C13A1">
          <w:rPr>
            <w:rStyle w:val="Hyperlink"/>
            <w:shd w:val="clear" w:color="auto" w:fill="FFFFFF"/>
          </w:rPr>
          <w:t>https://oig.hhs.gov/oei/reports/oei-05-92-00120.pdf</w:t>
        </w:r>
      </w:hyperlink>
    </w:p>
    <w:p w14:paraId="719F62B1" w14:textId="77777777" w:rsidR="001C13A1" w:rsidRPr="001C13A1" w:rsidRDefault="001C13A1" w:rsidP="00581FA2">
      <w:pPr>
        <w:spacing w:after="120"/>
        <w:ind w:left="360" w:hanging="360"/>
        <w:jc w:val="left"/>
      </w:pPr>
      <w:proofErr w:type="spellStart"/>
      <w:r w:rsidRPr="001C13A1">
        <w:lastRenderedPageBreak/>
        <w:t>Lurigio</w:t>
      </w:r>
      <w:proofErr w:type="spellEnd"/>
      <w:r w:rsidRPr="001C13A1">
        <w:t xml:space="preserve">, A. J., &amp; Snowden, J. (2009). Putting therapeutic jurisprudence into practice: The growth, operations, and effectiveness of mental health court. </w:t>
      </w:r>
      <w:r w:rsidRPr="001C13A1">
        <w:rPr>
          <w:i/>
        </w:rPr>
        <w:t>The Justice System Journal, 30</w:t>
      </w:r>
      <w:r w:rsidRPr="001C13A1">
        <w:t>(2), 196–218.</w:t>
      </w:r>
    </w:p>
    <w:p w14:paraId="0A9A0AC7" w14:textId="77777777" w:rsidR="001C13A1" w:rsidRPr="001C13A1" w:rsidRDefault="001C13A1" w:rsidP="00581FA2">
      <w:pPr>
        <w:spacing w:after="120"/>
        <w:ind w:left="360" w:hanging="360"/>
        <w:mirrorIndents/>
        <w:jc w:val="left"/>
      </w:pPr>
      <w:r w:rsidRPr="001C13A1">
        <w:t>National Association of Drug Court Professionals. (</w:t>
      </w:r>
      <w:proofErr w:type="spellStart"/>
      <w:r w:rsidRPr="001C13A1">
        <w:t>n.d.</w:t>
      </w:r>
      <w:proofErr w:type="spellEnd"/>
      <w:r w:rsidRPr="001C13A1">
        <w:t xml:space="preserve">). </w:t>
      </w:r>
      <w:r w:rsidRPr="001C13A1">
        <w:rPr>
          <w:i/>
        </w:rPr>
        <w:t>Problem solving courts: Addressing a spectrum of issues.</w:t>
      </w:r>
      <w:r w:rsidRPr="001C13A1">
        <w:t xml:space="preserve"> Retrieved January 28, 2015, from http://www.nadcp.org/learn/what-are-drug-courts/models/problem-solving-courts</w:t>
      </w:r>
    </w:p>
    <w:p w14:paraId="529C2C1D" w14:textId="33BC832F" w:rsidR="001C13A1" w:rsidRPr="001C13A1" w:rsidRDefault="001C13A1" w:rsidP="00581FA2">
      <w:pPr>
        <w:spacing w:after="120"/>
        <w:ind w:left="360" w:hanging="360"/>
        <w:mirrorIndents/>
        <w:jc w:val="left"/>
        <w:rPr>
          <w:rStyle w:val="Hyperlink"/>
          <w:shd w:val="clear" w:color="auto" w:fill="FFFFFF"/>
        </w:rPr>
      </w:pPr>
      <w:r w:rsidRPr="001C13A1">
        <w:rPr>
          <w:shd w:val="clear" w:color="auto" w:fill="FFFFFF"/>
        </w:rPr>
        <w:t xml:space="preserve">Pennsylvania Department of Public Welfare. (2013). </w:t>
      </w:r>
      <w:r w:rsidRPr="001C13A1">
        <w:rPr>
          <w:i/>
          <w:shd w:val="clear" w:color="auto" w:fill="FFFFFF"/>
        </w:rPr>
        <w:t>Pennsylvania Community Support Program</w:t>
      </w:r>
      <w:r w:rsidRPr="001C13A1">
        <w:rPr>
          <w:shd w:val="clear" w:color="auto" w:fill="FFFFFF"/>
        </w:rPr>
        <w:t xml:space="preserve">. Retrieved October 3, 2014, from </w:t>
      </w:r>
      <w:hyperlink r:id="rId16" w:history="1">
        <w:r w:rsidR="0044663D" w:rsidRPr="0088147A">
          <w:rPr>
            <w:rStyle w:val="Hyperlink"/>
            <w:shd w:val="clear" w:color="auto" w:fill="FFFFFF"/>
          </w:rPr>
          <w:t>http://www.dpw.state.pa.us/communitypartners/pennsylvaniacommunitysupportprogramcsp/index.htm</w:t>
        </w:r>
      </w:hyperlink>
    </w:p>
    <w:p w14:paraId="7CBB3534" w14:textId="5B6605CC" w:rsidR="001C13A1" w:rsidRPr="001C13A1" w:rsidRDefault="0044663D" w:rsidP="00581FA2">
      <w:pPr>
        <w:spacing w:after="120"/>
        <w:ind w:left="360" w:hanging="360"/>
        <w:jc w:val="left"/>
        <w:rPr>
          <w:shd w:val="clear" w:color="auto" w:fill="FFFFFF"/>
        </w:rPr>
      </w:pPr>
      <w:r>
        <w:rPr>
          <w:shd w:val="clear" w:color="auto" w:fill="FFFFFF"/>
        </w:rPr>
        <w:t>S</w:t>
      </w:r>
      <w:r w:rsidR="0036427C">
        <w:rPr>
          <w:shd w:val="clear" w:color="auto" w:fill="FFFFFF"/>
        </w:rPr>
        <w:t>ubstance Abuse and Mental Health Services Administration</w:t>
      </w:r>
      <w:r w:rsidR="001C13A1" w:rsidRPr="001C13A1">
        <w:rPr>
          <w:shd w:val="clear" w:color="auto" w:fill="FFFFFF"/>
        </w:rPr>
        <w:t xml:space="preserve">. (2001). </w:t>
      </w:r>
      <w:r w:rsidR="001C13A1" w:rsidRPr="001C13A1">
        <w:rPr>
          <w:i/>
          <w:shd w:val="clear" w:color="auto" w:fill="FFFFFF"/>
        </w:rPr>
        <w:t xml:space="preserve">Overcoming barriers to community integration for people with mental illness. </w:t>
      </w:r>
      <w:r w:rsidR="001C13A1" w:rsidRPr="001C13A1">
        <w:rPr>
          <w:shd w:val="clear" w:color="auto" w:fill="FFFFFF"/>
        </w:rPr>
        <w:t>Rockville, MD: Author. Retrieved January 26, 2015, from http://www.ahpnet.com/</w:t>
      </w:r>
      <w:r w:rsidR="001C13A1" w:rsidRPr="001C13A1">
        <w:rPr>
          <w:shd w:val="clear" w:color="auto" w:fill="FFFFFF"/>
        </w:rPr>
        <w:br/>
        <w:t xml:space="preserve">communications/documents/OvercomingBarriers.aspx </w:t>
      </w:r>
    </w:p>
    <w:p w14:paraId="34F51636" w14:textId="64DD1AB9" w:rsidR="001C13A1" w:rsidRPr="001C13A1" w:rsidRDefault="0036427C" w:rsidP="00581FA2">
      <w:pPr>
        <w:spacing w:after="120"/>
        <w:ind w:left="360" w:hanging="360"/>
        <w:jc w:val="left"/>
        <w:rPr>
          <w:shd w:val="clear" w:color="auto" w:fill="FFFFFF"/>
        </w:rPr>
      </w:pPr>
      <w:r>
        <w:t>———.</w:t>
      </w:r>
      <w:r w:rsidRPr="001C13A1">
        <w:rPr>
          <w:shd w:val="clear" w:color="auto" w:fill="FFFFFF"/>
        </w:rPr>
        <w:t xml:space="preserve"> </w:t>
      </w:r>
      <w:r>
        <w:rPr>
          <w:shd w:val="clear" w:color="auto" w:fill="FFFFFF"/>
        </w:rPr>
        <w:t xml:space="preserve"> </w:t>
      </w:r>
      <w:r w:rsidR="001C13A1" w:rsidRPr="001C13A1">
        <w:rPr>
          <w:shd w:val="clear" w:color="auto" w:fill="FFFFFF"/>
        </w:rPr>
        <w:t>(2014a)</w:t>
      </w:r>
      <w:r>
        <w:rPr>
          <w:shd w:val="clear" w:color="auto" w:fill="FFFFFF"/>
        </w:rPr>
        <w:t xml:space="preserve">. </w:t>
      </w:r>
      <w:proofErr w:type="gramStart"/>
      <w:r w:rsidRPr="0036427C">
        <w:rPr>
          <w:i/>
          <w:shd w:val="clear" w:color="auto" w:fill="FFFFFF"/>
        </w:rPr>
        <w:t>Leading</w:t>
      </w:r>
      <w:proofErr w:type="gramEnd"/>
      <w:r w:rsidR="001C13A1" w:rsidRPr="001C13A1">
        <w:rPr>
          <w:i/>
          <w:iCs/>
          <w:shd w:val="clear" w:color="auto" w:fill="FFFFFF"/>
        </w:rPr>
        <w:t xml:space="preserve"> change 2.0: Advancing the behavioral health of the nation 2015–2018</w:t>
      </w:r>
      <w:r w:rsidR="001C13A1" w:rsidRPr="001C13A1">
        <w:rPr>
          <w:shd w:val="clear" w:color="auto" w:fill="FFFFFF"/>
        </w:rPr>
        <w:t>. HHS Publication No. (PEP) 14-LEADCHANGE2. Rockville, MD: Substance Abuse and Mental Health Services Administration.</w:t>
      </w:r>
    </w:p>
    <w:p w14:paraId="3961D515" w14:textId="0E58430C" w:rsidR="001C13A1" w:rsidRPr="001C13A1" w:rsidRDefault="0036427C" w:rsidP="00581FA2">
      <w:pPr>
        <w:spacing w:after="120"/>
        <w:ind w:left="360" w:hanging="360"/>
        <w:mirrorIndents/>
        <w:jc w:val="left"/>
      </w:pPr>
      <w:r>
        <w:t>———.</w:t>
      </w:r>
      <w:r w:rsidR="001C13A1" w:rsidRPr="001C13A1">
        <w:rPr>
          <w:shd w:val="clear" w:color="auto" w:fill="FFFFFF"/>
        </w:rPr>
        <w:t xml:space="preserve"> (2014c). </w:t>
      </w:r>
      <w:r w:rsidR="001C13A1" w:rsidRPr="001C13A1">
        <w:rPr>
          <w:i/>
          <w:shd w:val="clear" w:color="auto" w:fill="FFFFFF"/>
        </w:rPr>
        <w:t>Transforming lives through supported employment</w:t>
      </w:r>
      <w:r w:rsidR="001C13A1" w:rsidRPr="001C13A1">
        <w:rPr>
          <w:shd w:val="clear" w:color="auto" w:fill="FFFFFF"/>
        </w:rPr>
        <w:t xml:space="preserve">. (Request for Applications No. SM-14-011). Rockville, MD: Author. Retrieved January 26, 2015, from </w:t>
      </w:r>
      <w:hyperlink r:id="rId17" w:history="1">
        <w:r w:rsidR="001C13A1" w:rsidRPr="001C13A1">
          <w:rPr>
            <w:rStyle w:val="Hyperlink"/>
            <w:shd w:val="clear" w:color="auto" w:fill="FFFFFF"/>
          </w:rPr>
          <w:t>http://www.samhsa.gov/grants/grant-announcements/sm-14-011</w:t>
        </w:r>
      </w:hyperlink>
    </w:p>
    <w:p w14:paraId="09F2F7BF" w14:textId="77777777" w:rsidR="0036427C" w:rsidRDefault="0036427C" w:rsidP="00581FA2">
      <w:pPr>
        <w:pStyle w:val="GLSReference"/>
        <w:ind w:left="288" w:hanging="288"/>
        <w:jc w:val="left"/>
      </w:pPr>
      <w:r>
        <w:t xml:space="preserve">U.S. Bureau of Labor Statistics. (2014). National Compensation Survey Statistics. Retrieved April 2015 from </w:t>
      </w:r>
      <w:r w:rsidRPr="005F67C6">
        <w:t>http://www.bls.gov/ncs/ocs/</w:t>
      </w:r>
    </w:p>
    <w:p w14:paraId="0C0D55A6" w14:textId="77777777" w:rsidR="00914CE5" w:rsidRDefault="00914CE5" w:rsidP="00914CE5">
      <w:pPr>
        <w:pStyle w:val="GLSReference"/>
        <w:spacing w:before="0" w:after="120"/>
        <w:rPr>
          <w:rFonts w:ascii="Tw Cen MT" w:eastAsiaTheme="minorHAnsi" w:hAnsi="Tw Cen MT"/>
          <w:b/>
          <w:sz w:val="28"/>
          <w:szCs w:val="28"/>
        </w:rPr>
      </w:pPr>
    </w:p>
    <w:p w14:paraId="75D7BECC" w14:textId="4CF8E26F" w:rsidR="00887134" w:rsidRDefault="00887134" w:rsidP="00914CE5">
      <w:pPr>
        <w:pStyle w:val="GLSReference"/>
        <w:spacing w:before="0" w:after="120"/>
        <w:rPr>
          <w:rFonts w:ascii="Tw Cen MT" w:eastAsiaTheme="minorHAnsi" w:hAnsi="Tw Cen MT"/>
          <w:b/>
          <w:sz w:val="28"/>
          <w:szCs w:val="28"/>
        </w:rPr>
      </w:pPr>
      <w:r>
        <w:rPr>
          <w:rFonts w:ascii="Tw Cen MT" w:eastAsiaTheme="minorHAnsi" w:hAnsi="Tw Cen MT"/>
          <w:b/>
          <w:sz w:val="28"/>
          <w:szCs w:val="28"/>
        </w:rPr>
        <w:t>Attachments</w:t>
      </w:r>
    </w:p>
    <w:p w14:paraId="3D306934" w14:textId="7F121B01" w:rsidR="00DD0005" w:rsidRDefault="00DD0005" w:rsidP="00783F53">
      <w:pPr>
        <w:numPr>
          <w:ilvl w:val="0"/>
          <w:numId w:val="10"/>
        </w:numPr>
        <w:spacing w:after="60" w:line="276" w:lineRule="auto"/>
        <w:jc w:val="left"/>
      </w:pPr>
      <w:r>
        <w:t>Biannual Program Inventory</w:t>
      </w:r>
      <w:r w:rsidR="00EF2C52">
        <w:t>—B</w:t>
      </w:r>
      <w:r>
        <w:t xml:space="preserve">HTCC </w:t>
      </w:r>
      <w:r w:rsidR="00EF2C52">
        <w:t>Version</w:t>
      </w:r>
    </w:p>
    <w:p w14:paraId="74A2F975" w14:textId="0029B559" w:rsidR="00EF2C52" w:rsidRDefault="00994EF0" w:rsidP="00994EF0">
      <w:pPr>
        <w:numPr>
          <w:ilvl w:val="0"/>
          <w:numId w:val="10"/>
        </w:numPr>
        <w:spacing w:after="60" w:line="276" w:lineRule="auto"/>
        <w:jc w:val="left"/>
      </w:pPr>
      <w:r>
        <w:t>SLA KII—</w:t>
      </w:r>
      <w:r w:rsidR="00DD0005">
        <w:t>Court Personnel Version</w:t>
      </w:r>
      <w:r w:rsidR="008E7554">
        <w:t xml:space="preserve"> (Year 2, Year 4)</w:t>
      </w:r>
    </w:p>
    <w:p w14:paraId="1FB1F803" w14:textId="069BB6F8" w:rsidR="00EF2C52" w:rsidRDefault="00994EF0" w:rsidP="00D5393F">
      <w:pPr>
        <w:numPr>
          <w:ilvl w:val="0"/>
          <w:numId w:val="10"/>
        </w:numPr>
        <w:spacing w:after="60" w:line="276" w:lineRule="auto"/>
        <w:jc w:val="left"/>
      </w:pPr>
      <w:r>
        <w:t>SLA KII—</w:t>
      </w:r>
      <w:r w:rsidR="00DD0005">
        <w:t>Service Provider Version</w:t>
      </w:r>
      <w:r w:rsidR="008E7554">
        <w:t xml:space="preserve"> (Year 2, Year 4)</w:t>
      </w:r>
    </w:p>
    <w:p w14:paraId="2392DD12" w14:textId="23564677" w:rsidR="00EF2C52" w:rsidRDefault="00994EF0" w:rsidP="00994EF0">
      <w:pPr>
        <w:numPr>
          <w:ilvl w:val="0"/>
          <w:numId w:val="10"/>
        </w:numPr>
        <w:spacing w:after="60" w:line="276" w:lineRule="auto"/>
        <w:jc w:val="left"/>
      </w:pPr>
      <w:r>
        <w:t>SLA KII—</w:t>
      </w:r>
      <w:r w:rsidR="00DD0005">
        <w:t>Consumer Version</w:t>
      </w:r>
      <w:r w:rsidR="008E7554">
        <w:t xml:space="preserve"> </w:t>
      </w:r>
    </w:p>
    <w:p w14:paraId="6CA9843D" w14:textId="77777777" w:rsidR="00EB1908" w:rsidRDefault="00EB1908" w:rsidP="00EB1908">
      <w:pPr>
        <w:numPr>
          <w:ilvl w:val="0"/>
          <w:numId w:val="10"/>
        </w:numPr>
        <w:spacing w:after="60" w:line="276" w:lineRule="auto"/>
        <w:jc w:val="left"/>
      </w:pPr>
      <w:r>
        <w:t xml:space="preserve">Concept Mapping—Brainstorming Activity </w:t>
      </w:r>
    </w:p>
    <w:p w14:paraId="2C27BAD8" w14:textId="77777777" w:rsidR="00EB1908" w:rsidRPr="000870C6" w:rsidRDefault="00EB1908" w:rsidP="00EB1908">
      <w:pPr>
        <w:numPr>
          <w:ilvl w:val="0"/>
          <w:numId w:val="10"/>
        </w:numPr>
        <w:spacing w:after="60" w:line="276" w:lineRule="auto"/>
        <w:jc w:val="left"/>
      </w:pPr>
      <w:r>
        <w:t xml:space="preserve">Concept Mapping—Sorting/Rating Activity </w:t>
      </w:r>
    </w:p>
    <w:p w14:paraId="1112B8FA" w14:textId="319E01FE" w:rsidR="000870C6" w:rsidRDefault="00994EF0" w:rsidP="00783F53">
      <w:pPr>
        <w:numPr>
          <w:ilvl w:val="0"/>
          <w:numId w:val="10"/>
        </w:numPr>
        <w:spacing w:after="60" w:line="276" w:lineRule="auto"/>
        <w:jc w:val="left"/>
      </w:pPr>
      <w:r>
        <w:t>18-Month Client-</w:t>
      </w:r>
      <w:r w:rsidR="00DD0005">
        <w:t xml:space="preserve">Level </w:t>
      </w:r>
      <w:r w:rsidR="00581FA2">
        <w:t xml:space="preserve">Data </w:t>
      </w:r>
      <w:r w:rsidR="00DD0005">
        <w:t>Abstraction Tool</w:t>
      </w:r>
    </w:p>
    <w:p w14:paraId="75CFACCA" w14:textId="7604FD10" w:rsidR="000870C6" w:rsidRPr="000870C6" w:rsidRDefault="00DD0005" w:rsidP="00994EF0">
      <w:pPr>
        <w:numPr>
          <w:ilvl w:val="0"/>
          <w:numId w:val="10"/>
        </w:numPr>
        <w:spacing w:after="60" w:line="276" w:lineRule="auto"/>
        <w:jc w:val="left"/>
      </w:pPr>
      <w:r>
        <w:t>Consumer Study Tool</w:t>
      </w:r>
      <w:r w:rsidR="008E4D66">
        <w:t>—B</w:t>
      </w:r>
      <w:r>
        <w:t xml:space="preserve">aseline </w:t>
      </w:r>
    </w:p>
    <w:p w14:paraId="6D2A550E" w14:textId="3DA12634" w:rsidR="000870C6" w:rsidRPr="000870C6" w:rsidRDefault="00DD0005" w:rsidP="00994EF0">
      <w:pPr>
        <w:numPr>
          <w:ilvl w:val="0"/>
          <w:numId w:val="10"/>
        </w:numPr>
        <w:spacing w:after="60" w:line="276" w:lineRule="auto"/>
        <w:jc w:val="left"/>
      </w:pPr>
      <w:r>
        <w:t>Consumer Study Tool</w:t>
      </w:r>
      <w:r w:rsidR="008E4D66">
        <w:t>—</w:t>
      </w:r>
      <w:r>
        <w:t xml:space="preserve"> 6-Month</w:t>
      </w:r>
    </w:p>
    <w:p w14:paraId="170B3F2C" w14:textId="2836116E" w:rsidR="000F5F5F" w:rsidRDefault="000F5F5F" w:rsidP="000F5F5F">
      <w:pPr>
        <w:numPr>
          <w:ilvl w:val="0"/>
          <w:numId w:val="10"/>
        </w:numPr>
        <w:spacing w:after="60" w:line="276" w:lineRule="auto"/>
        <w:jc w:val="left"/>
      </w:pPr>
      <w:r>
        <w:t>Comparison Study</w:t>
      </w:r>
      <w:r w:rsidR="008E4D66">
        <w:t xml:space="preserve"> Tool—1</w:t>
      </w:r>
      <w:r>
        <w:t xml:space="preserve">8-Month </w:t>
      </w:r>
      <w:r w:rsidR="008E4D66">
        <w:t xml:space="preserve"> </w:t>
      </w:r>
    </w:p>
    <w:p w14:paraId="79D7382C" w14:textId="2CC9D30D" w:rsidR="000870C6" w:rsidRDefault="00DD0005" w:rsidP="00783F53">
      <w:pPr>
        <w:numPr>
          <w:ilvl w:val="0"/>
          <w:numId w:val="10"/>
        </w:numPr>
        <w:spacing w:after="60" w:line="276" w:lineRule="auto"/>
        <w:jc w:val="left"/>
      </w:pPr>
      <w:r>
        <w:t xml:space="preserve">Biannual Program Inventory–SE </w:t>
      </w:r>
    </w:p>
    <w:p w14:paraId="3BBB67EC" w14:textId="07718143" w:rsidR="00DD0005" w:rsidRPr="000870C6" w:rsidRDefault="00994EF0" w:rsidP="00994EF0">
      <w:pPr>
        <w:numPr>
          <w:ilvl w:val="0"/>
          <w:numId w:val="10"/>
        </w:numPr>
        <w:spacing w:after="60" w:line="276" w:lineRule="auto"/>
        <w:jc w:val="left"/>
      </w:pPr>
      <w:r>
        <w:t>SSA KII—</w:t>
      </w:r>
      <w:r w:rsidR="00DD0005">
        <w:t>Administrator Version (Year 2, Year 4)</w:t>
      </w:r>
    </w:p>
    <w:p w14:paraId="1F8EA546" w14:textId="16EA5770" w:rsidR="00DD0005" w:rsidRPr="000870C6" w:rsidRDefault="00994EF0" w:rsidP="00994EF0">
      <w:pPr>
        <w:numPr>
          <w:ilvl w:val="0"/>
          <w:numId w:val="10"/>
        </w:numPr>
        <w:spacing w:after="60" w:line="276" w:lineRule="auto"/>
        <w:jc w:val="left"/>
      </w:pPr>
      <w:r>
        <w:t>SSA KII—</w:t>
      </w:r>
      <w:r w:rsidR="00DD0005">
        <w:t>Service Provider Version (Year 2, Year 4)</w:t>
      </w:r>
    </w:p>
    <w:p w14:paraId="0A890B05" w14:textId="77777777" w:rsidR="00EB7D46" w:rsidRDefault="000F5F5F" w:rsidP="00EB7D46">
      <w:pPr>
        <w:numPr>
          <w:ilvl w:val="0"/>
          <w:numId w:val="10"/>
        </w:numPr>
        <w:spacing w:after="60" w:line="276" w:lineRule="auto"/>
        <w:jc w:val="left"/>
      </w:pPr>
      <w:r>
        <w:t>ENFG—</w:t>
      </w:r>
      <w:r w:rsidR="00B406CD">
        <w:t xml:space="preserve">Employer </w:t>
      </w:r>
      <w:r>
        <w:t>Version</w:t>
      </w:r>
      <w:r w:rsidR="00DD0005">
        <w:t xml:space="preserve"> (Year 2, Year 4)</w:t>
      </w:r>
      <w:r w:rsidR="00EB7D46" w:rsidRPr="00EB7D46">
        <w:t xml:space="preserve"> </w:t>
      </w:r>
    </w:p>
    <w:p w14:paraId="0A14F988" w14:textId="46788420" w:rsidR="00EB7D46" w:rsidRDefault="00EB7D46" w:rsidP="00EB7D46">
      <w:pPr>
        <w:numPr>
          <w:ilvl w:val="0"/>
          <w:numId w:val="10"/>
        </w:numPr>
        <w:spacing w:after="60" w:line="276" w:lineRule="auto"/>
        <w:jc w:val="left"/>
      </w:pPr>
      <w:r>
        <w:lastRenderedPageBreak/>
        <w:t>ENFG—Employment Specialist Version (Year 2, Year 4)</w:t>
      </w:r>
    </w:p>
    <w:p w14:paraId="2E7C119F" w14:textId="77777777" w:rsidR="002A48B6" w:rsidRDefault="002A48B6" w:rsidP="000F5F5F">
      <w:pPr>
        <w:numPr>
          <w:ilvl w:val="0"/>
          <w:numId w:val="10"/>
        </w:numPr>
        <w:spacing w:after="60" w:line="276" w:lineRule="auto"/>
        <w:jc w:val="left"/>
      </w:pPr>
      <w:r>
        <w:t>SLA KII Verbal Consent Script</w:t>
      </w:r>
    </w:p>
    <w:p w14:paraId="2B38AFE0" w14:textId="77777777" w:rsidR="002A48B6" w:rsidRDefault="002A48B6" w:rsidP="000F5F5F">
      <w:pPr>
        <w:numPr>
          <w:ilvl w:val="0"/>
          <w:numId w:val="10"/>
        </w:numPr>
        <w:spacing w:after="60" w:line="276" w:lineRule="auto"/>
        <w:jc w:val="left"/>
      </w:pPr>
      <w:r>
        <w:t>SSA KII Verbal Consent Script</w:t>
      </w:r>
    </w:p>
    <w:p w14:paraId="36E78868" w14:textId="77777777" w:rsidR="002A48B6" w:rsidRDefault="002A48B6" w:rsidP="000F5F5F">
      <w:pPr>
        <w:numPr>
          <w:ilvl w:val="0"/>
          <w:numId w:val="10"/>
        </w:numPr>
        <w:spacing w:after="60" w:line="276" w:lineRule="auto"/>
        <w:jc w:val="left"/>
      </w:pPr>
      <w:r>
        <w:t>ENFG Employer Informed Consent</w:t>
      </w:r>
    </w:p>
    <w:p w14:paraId="261CA770" w14:textId="2DA3BD46" w:rsidR="00035BE6" w:rsidRDefault="002A48B6" w:rsidP="000F5F5F">
      <w:pPr>
        <w:numPr>
          <w:ilvl w:val="0"/>
          <w:numId w:val="10"/>
        </w:numPr>
        <w:spacing w:after="60" w:line="276" w:lineRule="auto"/>
        <w:jc w:val="left"/>
      </w:pPr>
      <w:r>
        <w:t>ENFG Employment Specialist Informed Consent</w:t>
      </w:r>
      <w:r w:rsidR="000F5F5F">
        <w:t xml:space="preserve"> </w:t>
      </w:r>
    </w:p>
    <w:p w14:paraId="09657F2E" w14:textId="77777777" w:rsidR="00EB1908" w:rsidRDefault="00EB1908" w:rsidP="00EB1908">
      <w:pPr>
        <w:spacing w:after="60" w:line="276" w:lineRule="auto"/>
        <w:jc w:val="left"/>
      </w:pPr>
    </w:p>
    <w:p w14:paraId="15CCB62B" w14:textId="522C52E2" w:rsidR="00EB1908" w:rsidRPr="000870C6" w:rsidRDefault="00EB1908" w:rsidP="00EB1908">
      <w:pPr>
        <w:spacing w:after="60" w:line="276" w:lineRule="auto"/>
        <w:jc w:val="left"/>
      </w:pPr>
    </w:p>
    <w:sectPr w:rsidR="00EB1908" w:rsidRPr="000870C6" w:rsidSect="007F7FEF">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4E646" w14:textId="77777777" w:rsidR="002B4A0A" w:rsidRDefault="002B4A0A" w:rsidP="00AC2EE2">
      <w:r>
        <w:separator/>
      </w:r>
    </w:p>
  </w:endnote>
  <w:endnote w:type="continuationSeparator" w:id="0">
    <w:p w14:paraId="44E15CBB" w14:textId="77777777" w:rsidR="002B4A0A" w:rsidRDefault="002B4A0A" w:rsidP="00AC2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brima">
    <w:panose1 w:val="02000000000000000000"/>
    <w:charset w:val="00"/>
    <w:family w:val="auto"/>
    <w:pitch w:val="variable"/>
    <w:sig w:usb0="A000005F" w:usb1="0200004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6B45D" w14:textId="4CF6CD2C" w:rsidR="001F6533" w:rsidRDefault="001F6533" w:rsidP="001F6533">
    <w:pPr>
      <w:pStyle w:val="Footer"/>
      <w:tabs>
        <w:tab w:val="left" w:pos="6990"/>
      </w:tabs>
      <w:jc w:val="left"/>
    </w:pPr>
    <w:r>
      <w:tab/>
    </w:r>
    <w:sdt>
      <w:sdtPr>
        <w:id w:val="186354950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63A82">
          <w:rPr>
            <w:noProof/>
          </w:rPr>
          <w:t>15</w:t>
        </w:r>
        <w:r>
          <w:rPr>
            <w:noProof/>
          </w:rPr>
          <w:fldChar w:fldCharType="end"/>
        </w:r>
      </w:sdtContent>
    </w:sdt>
    <w:r>
      <w:rPr>
        <w:noProof/>
      </w:rPr>
      <w:tab/>
    </w:r>
  </w:p>
  <w:p w14:paraId="6DCFEE4B" w14:textId="602F2B8D" w:rsidR="00A52B42" w:rsidRPr="00315348" w:rsidRDefault="00A52B42">
    <w:pPr>
      <w:pStyle w:val="Footer"/>
      <w:rPr>
        <w:rFonts w:ascii="Tw Cen MT" w:hAnsi="Tw Cen M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2DDD5" w14:textId="77777777" w:rsidR="002B4A0A" w:rsidRDefault="002B4A0A" w:rsidP="00AC2EE2">
      <w:r>
        <w:separator/>
      </w:r>
    </w:p>
  </w:footnote>
  <w:footnote w:type="continuationSeparator" w:id="0">
    <w:p w14:paraId="0D06B28F" w14:textId="77777777" w:rsidR="002B4A0A" w:rsidRDefault="002B4A0A" w:rsidP="00AC2E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B98DE" w14:textId="617B5A93" w:rsidR="00A52B42" w:rsidRDefault="00A52B42">
    <w:pPr>
      <w:pStyle w:val="Header"/>
      <w:jc w:val="right"/>
    </w:pPr>
  </w:p>
  <w:p w14:paraId="4EE2B992" w14:textId="77777777" w:rsidR="00A52B42" w:rsidRPr="00315348" w:rsidRDefault="00A52B42">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0D49C40"/>
    <w:lvl w:ilvl="0">
      <w:start w:val="1"/>
      <w:numFmt w:val="bullet"/>
      <w:pStyle w:val="ListBullet"/>
      <w:lvlText w:val=""/>
      <w:lvlJc w:val="left"/>
      <w:pPr>
        <w:ind w:left="360" w:hanging="360"/>
      </w:pPr>
      <w:rPr>
        <w:rFonts w:ascii="Wingdings" w:hAnsi="Wingdings" w:hint="default"/>
        <w:b w:val="0"/>
        <w:i w:val="0"/>
        <w:color w:val="0067AC"/>
        <w:sz w:val="20"/>
        <w:szCs w:val="22"/>
      </w:rPr>
    </w:lvl>
  </w:abstractNum>
  <w:abstractNum w:abstractNumId="1" w15:restartNumberingAfterBreak="0">
    <w:nsid w:val="0AFB631F"/>
    <w:multiLevelType w:val="hybridMultilevel"/>
    <w:tmpl w:val="3482E652"/>
    <w:lvl w:ilvl="0" w:tplc="9AA8C81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64318"/>
    <w:multiLevelType w:val="hybridMultilevel"/>
    <w:tmpl w:val="B574A844"/>
    <w:lvl w:ilvl="0" w:tplc="AFBA1DAC">
      <w:start w:val="1"/>
      <w:numFmt w:val="decimal"/>
      <w:lvlText w:val="%1."/>
      <w:lvlJc w:val="left"/>
      <w:pPr>
        <w:ind w:left="504" w:hanging="504"/>
      </w:pPr>
      <w:rPr>
        <w:rFonts w:ascii="Tw Cen MT" w:hAnsi="Tw Cen MT" w:hint="default"/>
        <w:b/>
        <w:sz w:val="28"/>
        <w:szCs w:val="28"/>
      </w:rPr>
    </w:lvl>
    <w:lvl w:ilvl="1" w:tplc="0AE08AA8">
      <w:start w:val="1"/>
      <w:numFmt w:val="lowerLetter"/>
      <w:lvlText w:val="%2."/>
      <w:lvlJc w:val="left"/>
      <w:pPr>
        <w:ind w:left="720" w:hanging="360"/>
      </w:pPr>
      <w:rPr>
        <w:rFonts w:hint="default"/>
      </w:rPr>
    </w:lvl>
    <w:lvl w:ilvl="2" w:tplc="E91093C8">
      <w:start w:val="1"/>
      <w:numFmt w:val="decimal"/>
      <w:lvlText w:val="%3)"/>
      <w:lvlJc w:val="left"/>
      <w:pPr>
        <w:ind w:left="108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219BE"/>
    <w:multiLevelType w:val="hybridMultilevel"/>
    <w:tmpl w:val="91A4D8F2"/>
    <w:lvl w:ilvl="0" w:tplc="68D29C74">
      <w:start w:val="1"/>
      <w:numFmt w:val="bullet"/>
      <w:pStyle w:val="SuicideBullet1"/>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3600"/>
        </w:tabs>
        <w:ind w:left="3600" w:hanging="360"/>
      </w:pPr>
      <w:rPr>
        <w:rFonts w:ascii="Courier New" w:hAnsi="Courier New" w:hint="default"/>
      </w:rPr>
    </w:lvl>
    <w:lvl w:ilvl="2" w:tplc="E3BADCD4">
      <w:numFmt w:val="bullet"/>
      <w:lvlText w:val="-"/>
      <w:lvlJc w:val="left"/>
      <w:pPr>
        <w:tabs>
          <w:tab w:val="num" w:pos="4320"/>
        </w:tabs>
        <w:ind w:left="4320" w:hanging="360"/>
      </w:pPr>
      <w:rPr>
        <w:rFonts w:ascii="Times New Roman" w:eastAsia="Times New Roman" w:hAnsi="Times New Roman" w:cs="Times New Roman"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13E56DED"/>
    <w:multiLevelType w:val="hybridMultilevel"/>
    <w:tmpl w:val="BDFCE3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7706CE"/>
    <w:multiLevelType w:val="hybridMultilevel"/>
    <w:tmpl w:val="F9AE5068"/>
    <w:lvl w:ilvl="0" w:tplc="006C7CA8">
      <w:start w:val="1"/>
      <w:numFmt w:val="decimal"/>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16385"/>
    <w:multiLevelType w:val="hybridMultilevel"/>
    <w:tmpl w:val="25BC0CCE"/>
    <w:lvl w:ilvl="0" w:tplc="BCF47EB4">
      <w:start w:val="2"/>
      <w:numFmt w:val="upperLetter"/>
      <w:lvlText w:val="%1."/>
      <w:lvlJc w:val="left"/>
      <w:pPr>
        <w:ind w:left="360" w:hanging="360"/>
      </w:pPr>
      <w:rPr>
        <w:rFonts w:hint="default"/>
        <w:color w:val="1818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8415E5"/>
    <w:multiLevelType w:val="hybridMultilevel"/>
    <w:tmpl w:val="A8101AB2"/>
    <w:lvl w:ilvl="0" w:tplc="6122C8F6">
      <w:start w:val="1"/>
      <w:numFmt w:val="bullet"/>
      <w:pStyle w:val="BHTCCBullet1"/>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E4128"/>
    <w:multiLevelType w:val="hybridMultilevel"/>
    <w:tmpl w:val="65828CF2"/>
    <w:lvl w:ilvl="0" w:tplc="04090001">
      <w:start w:val="1"/>
      <w:numFmt w:val="bullet"/>
      <w:lvlText w:val=""/>
      <w:lvlJc w:val="left"/>
      <w:pPr>
        <w:ind w:left="1440" w:hanging="360"/>
      </w:pPr>
      <w:rPr>
        <w:rFonts w:ascii="Symbol" w:hAnsi="Symbol" w:hint="default"/>
      </w:rPr>
    </w:lvl>
    <w:lvl w:ilvl="1" w:tplc="805CADFE">
      <w:start w:val="1"/>
      <w:numFmt w:val="bullet"/>
      <w:pStyle w:val="SuicideBullet2"/>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6A2DCB"/>
    <w:multiLevelType w:val="hybridMultilevel"/>
    <w:tmpl w:val="ED52013E"/>
    <w:lvl w:ilvl="0" w:tplc="FE141022">
      <w:start w:val="1"/>
      <w:numFmt w:val="bullet"/>
      <w:lvlText w:val=""/>
      <w:lvlJc w:val="left"/>
      <w:pPr>
        <w:ind w:left="360" w:hanging="360"/>
      </w:pPr>
      <w:rPr>
        <w:rFonts w:ascii="Wingdings" w:hAnsi="Wingdings" w:hint="default"/>
        <w:b w:val="0"/>
        <w:bCs w:val="0"/>
        <w:i w:val="0"/>
        <w:iCs w:val="0"/>
        <w:caps w:val="0"/>
        <w:smallCaps w:val="0"/>
        <w:strike w:val="0"/>
        <w:dstrike w:val="0"/>
        <w:noProof w:val="0"/>
        <w:snapToGrid w:val="0"/>
        <w:vanish w:val="0"/>
        <w:color w:val="auto"/>
        <w:spacing w:val="0"/>
        <w:w w:val="0"/>
        <w:kern w:val="0"/>
        <w:position w:val="0"/>
        <w:sz w:val="24"/>
        <w:szCs w:val="24"/>
        <w:u w:val="none"/>
        <w:vertAlign w:val="baseline"/>
        <w:em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38485F"/>
    <w:multiLevelType w:val="hybridMultilevel"/>
    <w:tmpl w:val="9A2E6A42"/>
    <w:lvl w:ilvl="0" w:tplc="E6D4D02C">
      <w:start w:val="1"/>
      <w:numFmt w:val="lowerLetter"/>
      <w:pStyle w:val="SuicideHead3"/>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B7F88"/>
    <w:multiLevelType w:val="hybridMultilevel"/>
    <w:tmpl w:val="484C194A"/>
    <w:lvl w:ilvl="0" w:tplc="A30CB57C">
      <w:start w:val="1"/>
      <w:numFmt w:val="bullet"/>
      <w:pStyle w:val="GLSTableBullet1"/>
      <w:lvlText w:val=""/>
      <w:lvlJc w:val="left"/>
      <w:pPr>
        <w:ind w:left="360" w:hanging="360"/>
      </w:pPr>
      <w:rPr>
        <w:rFonts w:ascii="Symbol" w:hAnsi="Symbol" w:hint="default"/>
        <w:color w:val="auto"/>
        <w:sz w:val="20"/>
        <w:szCs w:val="18"/>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8BC50D4"/>
    <w:multiLevelType w:val="hybridMultilevel"/>
    <w:tmpl w:val="701070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BC751D"/>
    <w:multiLevelType w:val="hybridMultilevel"/>
    <w:tmpl w:val="DD34D534"/>
    <w:lvl w:ilvl="0" w:tplc="EA02D4D2">
      <w:start w:val="1"/>
      <w:numFmt w:val="bullet"/>
      <w:pStyle w:val="GLSBullet2"/>
      <w:lvlText w:val=""/>
      <w:lvlJc w:val="left"/>
      <w:pPr>
        <w:ind w:left="1080" w:hanging="360"/>
      </w:pPr>
      <w:rPr>
        <w:rFonts w:ascii="Symbol" w:hAnsi="Symbol" w:cs="Times New Roman" w:hint="default"/>
        <w:b w:val="0"/>
        <w:bCs w:val="0"/>
        <w:i w:val="0"/>
        <w:caps w:val="0"/>
        <w:smallCaps w:val="0"/>
        <w:strike w:val="0"/>
        <w:dstrike w:val="0"/>
        <w:vanish w:val="0"/>
        <w:color w:val="auto"/>
        <w:spacing w:val="0"/>
        <w:kern w:val="0"/>
        <w:position w:val="0"/>
        <w:sz w:val="20"/>
        <w:u w:val="none"/>
        <w:vertAlign w:val="baseline"/>
        <w:em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DEC00AC"/>
    <w:multiLevelType w:val="hybridMultilevel"/>
    <w:tmpl w:val="A1A837AA"/>
    <w:lvl w:ilvl="0" w:tplc="FE141022">
      <w:start w:val="1"/>
      <w:numFmt w:val="bullet"/>
      <w:lvlText w:val=""/>
      <w:lvlJc w:val="left"/>
      <w:pPr>
        <w:ind w:left="720" w:hanging="360"/>
      </w:pPr>
      <w:rPr>
        <w:rFonts w:ascii="Wingdings" w:hAnsi="Wingdings" w:hint="default"/>
        <w:b w:val="0"/>
        <w:bCs w:val="0"/>
        <w:i w:val="0"/>
        <w:iCs w:val="0"/>
        <w:caps w:val="0"/>
        <w:smallCaps w:val="0"/>
        <w:strike w:val="0"/>
        <w:dstrike w:val="0"/>
        <w:noProof w:val="0"/>
        <w:snapToGrid w:val="0"/>
        <w:vanish w:val="0"/>
        <w:color w:val="auto"/>
        <w:spacing w:val="0"/>
        <w:w w:val="0"/>
        <w:kern w:val="0"/>
        <w:position w:val="0"/>
        <w:sz w:val="24"/>
        <w:szCs w:val="24"/>
        <w:u w:val="none"/>
        <w:vertAlign w:val="baseline"/>
        <w:em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340BD8"/>
    <w:multiLevelType w:val="hybridMultilevel"/>
    <w:tmpl w:val="870A23A8"/>
    <w:lvl w:ilvl="0" w:tplc="9AA8C81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B7007EB"/>
    <w:multiLevelType w:val="hybridMultilevel"/>
    <w:tmpl w:val="F0685498"/>
    <w:lvl w:ilvl="0" w:tplc="1AEACD02">
      <w:start w:val="1"/>
      <w:numFmt w:val="upperLetter"/>
      <w:lvlText w:val="%1."/>
      <w:lvlJc w:val="left"/>
      <w:pPr>
        <w:ind w:left="432" w:hanging="432"/>
      </w:pPr>
      <w:rPr>
        <w:rFonts w:ascii="Times New Roman" w:eastAsia="Times New Roman" w:hAnsi="Times New Roman" w:cs="Times New Roman" w:hint="default"/>
      </w:rPr>
    </w:lvl>
    <w:lvl w:ilvl="1" w:tplc="30E6785A">
      <w:start w:val="1"/>
      <w:numFmt w:val="decimal"/>
      <w:lvlText w:val="%2."/>
      <w:lvlJc w:val="left"/>
      <w:pPr>
        <w:ind w:left="792" w:hanging="432"/>
      </w:pPr>
      <w:rPr>
        <w:rFonts w:hint="default"/>
      </w:rPr>
    </w:lvl>
    <w:lvl w:ilvl="2" w:tplc="0409000F">
      <w:start w:val="1"/>
      <w:numFmt w:val="decimal"/>
      <w:lvlText w:val="%3."/>
      <w:lvlJc w:val="left"/>
      <w:pPr>
        <w:ind w:left="1296" w:hanging="360"/>
      </w:pPr>
      <w:rPr>
        <w:rFonts w:hint="default"/>
      </w:rPr>
    </w:lvl>
    <w:lvl w:ilvl="3" w:tplc="07D0FD8A">
      <w:start w:val="1"/>
      <w:numFmt w:val="decimal"/>
      <w:lvlText w:val="%4."/>
      <w:lvlJc w:val="left"/>
      <w:pPr>
        <w:ind w:left="1800" w:hanging="360"/>
      </w:pPr>
      <w:rPr>
        <w:rFonts w:hint="default"/>
      </w:rPr>
    </w:lvl>
    <w:lvl w:ilvl="4" w:tplc="5958E796">
      <w:start w:val="1"/>
      <w:numFmt w:val="lowerLetter"/>
      <w:lvlText w:val="%5."/>
      <w:lvlJc w:val="left"/>
      <w:pPr>
        <w:ind w:left="2448"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CA70E88"/>
    <w:multiLevelType w:val="hybridMultilevel"/>
    <w:tmpl w:val="45309236"/>
    <w:lvl w:ilvl="0" w:tplc="A7341B8C">
      <w:start w:val="1"/>
      <w:numFmt w:val="bullet"/>
      <w:lvlText w:val=""/>
      <w:lvlJc w:val="left"/>
      <w:pPr>
        <w:ind w:left="288" w:hanging="288"/>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59C359E"/>
    <w:multiLevelType w:val="hybridMultilevel"/>
    <w:tmpl w:val="EB6C1C76"/>
    <w:lvl w:ilvl="0" w:tplc="21F0475C">
      <w:start w:val="1"/>
      <w:numFmt w:val="bullet"/>
      <w:pStyle w:val="GLSTableBullet2"/>
      <w:lvlText w:val=""/>
      <w:lvlJc w:val="left"/>
      <w:pPr>
        <w:ind w:left="-630" w:hanging="360"/>
      </w:pPr>
      <w:rPr>
        <w:rFonts w:ascii="Symbol" w:hAnsi="Symbol" w:cs="Times New Roman" w:hint="default"/>
        <w:b w:val="0"/>
        <w:bCs w:val="0"/>
        <w:i w:val="0"/>
        <w:caps w:val="0"/>
        <w:smallCaps w:val="0"/>
        <w:strike w:val="0"/>
        <w:dstrike w:val="0"/>
        <w:vanish w:val="0"/>
        <w:color w:val="auto"/>
        <w:spacing w:val="0"/>
        <w:kern w:val="0"/>
        <w:position w:val="0"/>
        <w:u w:val="none"/>
        <w:vertAlign w:val="baseline"/>
        <w:em w:val="none"/>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2250" w:hanging="360"/>
      </w:pPr>
      <w:rPr>
        <w:rFonts w:ascii="Courier New" w:hAnsi="Courier New" w:cs="Courier New" w:hint="default"/>
      </w:rPr>
    </w:lvl>
    <w:lvl w:ilvl="5" w:tplc="04090005" w:tentative="1">
      <w:start w:val="1"/>
      <w:numFmt w:val="bullet"/>
      <w:lvlText w:val=""/>
      <w:lvlJc w:val="left"/>
      <w:pPr>
        <w:ind w:left="2970" w:hanging="360"/>
      </w:pPr>
      <w:rPr>
        <w:rFonts w:ascii="Wingdings" w:hAnsi="Wingdings" w:hint="default"/>
      </w:rPr>
    </w:lvl>
    <w:lvl w:ilvl="6" w:tplc="04090001" w:tentative="1">
      <w:start w:val="1"/>
      <w:numFmt w:val="bullet"/>
      <w:lvlText w:val=""/>
      <w:lvlJc w:val="left"/>
      <w:pPr>
        <w:ind w:left="3690" w:hanging="360"/>
      </w:pPr>
      <w:rPr>
        <w:rFonts w:ascii="Symbol" w:hAnsi="Symbol" w:hint="default"/>
      </w:rPr>
    </w:lvl>
    <w:lvl w:ilvl="7" w:tplc="04090003" w:tentative="1">
      <w:start w:val="1"/>
      <w:numFmt w:val="bullet"/>
      <w:lvlText w:val="o"/>
      <w:lvlJc w:val="left"/>
      <w:pPr>
        <w:ind w:left="4410" w:hanging="360"/>
      </w:pPr>
      <w:rPr>
        <w:rFonts w:ascii="Courier New" w:hAnsi="Courier New" w:cs="Courier New" w:hint="default"/>
      </w:rPr>
    </w:lvl>
    <w:lvl w:ilvl="8" w:tplc="04090005" w:tentative="1">
      <w:start w:val="1"/>
      <w:numFmt w:val="bullet"/>
      <w:lvlText w:val=""/>
      <w:lvlJc w:val="left"/>
      <w:pPr>
        <w:ind w:left="5130" w:hanging="360"/>
      </w:pPr>
      <w:rPr>
        <w:rFonts w:ascii="Wingdings" w:hAnsi="Wingdings" w:hint="default"/>
      </w:rPr>
    </w:lvl>
  </w:abstractNum>
  <w:abstractNum w:abstractNumId="19" w15:restartNumberingAfterBreak="0">
    <w:nsid w:val="78E37BAE"/>
    <w:multiLevelType w:val="hybridMultilevel"/>
    <w:tmpl w:val="858A9E5E"/>
    <w:lvl w:ilvl="0" w:tplc="1AEACD02">
      <w:start w:val="1"/>
      <w:numFmt w:val="upperLetter"/>
      <w:lvlText w:val="%1."/>
      <w:lvlJc w:val="left"/>
      <w:pPr>
        <w:ind w:left="432" w:hanging="432"/>
      </w:pPr>
      <w:rPr>
        <w:rFonts w:ascii="Times New Roman" w:eastAsia="Times New Roman" w:hAnsi="Times New Roman" w:cs="Times New Roman" w:hint="default"/>
      </w:rPr>
    </w:lvl>
    <w:lvl w:ilvl="1" w:tplc="30E6785A">
      <w:start w:val="1"/>
      <w:numFmt w:val="decimal"/>
      <w:lvlText w:val="%2."/>
      <w:lvlJc w:val="left"/>
      <w:pPr>
        <w:ind w:left="792" w:hanging="432"/>
      </w:pPr>
      <w:rPr>
        <w:rFonts w:hint="default"/>
      </w:rPr>
    </w:lvl>
    <w:lvl w:ilvl="2" w:tplc="0409000F">
      <w:start w:val="1"/>
      <w:numFmt w:val="decimal"/>
      <w:lvlText w:val="%3."/>
      <w:lvlJc w:val="left"/>
      <w:pPr>
        <w:ind w:left="1296" w:hanging="360"/>
      </w:pPr>
      <w:rPr>
        <w:rFonts w:hint="default"/>
      </w:rPr>
    </w:lvl>
    <w:lvl w:ilvl="3" w:tplc="07D0FD8A">
      <w:start w:val="1"/>
      <w:numFmt w:val="decimal"/>
      <w:lvlText w:val="%4."/>
      <w:lvlJc w:val="left"/>
      <w:pPr>
        <w:ind w:left="1800" w:hanging="360"/>
      </w:pPr>
      <w:rPr>
        <w:rFonts w:hint="default"/>
      </w:rPr>
    </w:lvl>
    <w:lvl w:ilvl="4" w:tplc="5958E796">
      <w:start w:val="1"/>
      <w:numFmt w:val="lowerLetter"/>
      <w:lvlText w:val="%5."/>
      <w:lvlJc w:val="left"/>
      <w:pPr>
        <w:ind w:left="2448"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E1A044A"/>
    <w:multiLevelType w:val="hybridMultilevel"/>
    <w:tmpl w:val="D1C61724"/>
    <w:lvl w:ilvl="0" w:tplc="31D8A8D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1"/>
  </w:num>
  <w:num w:numId="5">
    <w:abstractNumId w:val="18"/>
  </w:num>
  <w:num w:numId="6">
    <w:abstractNumId w:val="10"/>
  </w:num>
  <w:num w:numId="7">
    <w:abstractNumId w:val="13"/>
  </w:num>
  <w:num w:numId="8">
    <w:abstractNumId w:val="8"/>
  </w:num>
  <w:num w:numId="9">
    <w:abstractNumId w:val="6"/>
  </w:num>
  <w:num w:numId="10">
    <w:abstractNumId w:val="19"/>
  </w:num>
  <w:num w:numId="11">
    <w:abstractNumId w:val="16"/>
  </w:num>
  <w:num w:numId="12">
    <w:abstractNumId w:val="7"/>
  </w:num>
  <w:num w:numId="13">
    <w:abstractNumId w:val="4"/>
  </w:num>
  <w:num w:numId="14">
    <w:abstractNumId w:val="1"/>
  </w:num>
  <w:num w:numId="15">
    <w:abstractNumId w:val="5"/>
  </w:num>
  <w:num w:numId="16">
    <w:abstractNumId w:val="14"/>
  </w:num>
  <w:num w:numId="17">
    <w:abstractNumId w:val="9"/>
  </w:num>
  <w:num w:numId="18">
    <w:abstractNumId w:val="12"/>
  </w:num>
  <w:num w:numId="19">
    <w:abstractNumId w:val="17"/>
  </w:num>
  <w:num w:numId="20">
    <w:abstractNumId w:val="15"/>
  </w:num>
  <w:num w:numId="2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EE2"/>
    <w:rsid w:val="0000062F"/>
    <w:rsid w:val="00001EEA"/>
    <w:rsid w:val="00003577"/>
    <w:rsid w:val="000038CF"/>
    <w:rsid w:val="00003B96"/>
    <w:rsid w:val="00013908"/>
    <w:rsid w:val="00017BEA"/>
    <w:rsid w:val="00020DFA"/>
    <w:rsid w:val="0002164F"/>
    <w:rsid w:val="000223F0"/>
    <w:rsid w:val="00025725"/>
    <w:rsid w:val="00027A22"/>
    <w:rsid w:val="000326AB"/>
    <w:rsid w:val="00032C54"/>
    <w:rsid w:val="00034EE7"/>
    <w:rsid w:val="00035BE6"/>
    <w:rsid w:val="0004130C"/>
    <w:rsid w:val="0004682C"/>
    <w:rsid w:val="00051AF5"/>
    <w:rsid w:val="00061026"/>
    <w:rsid w:val="000613E3"/>
    <w:rsid w:val="000745E4"/>
    <w:rsid w:val="000802F7"/>
    <w:rsid w:val="00082627"/>
    <w:rsid w:val="000843CD"/>
    <w:rsid w:val="000870A6"/>
    <w:rsid w:val="000870C6"/>
    <w:rsid w:val="000915AF"/>
    <w:rsid w:val="00093F92"/>
    <w:rsid w:val="0009487A"/>
    <w:rsid w:val="000A1C5A"/>
    <w:rsid w:val="000A2215"/>
    <w:rsid w:val="000A449C"/>
    <w:rsid w:val="000A7109"/>
    <w:rsid w:val="000B1239"/>
    <w:rsid w:val="000B4CDA"/>
    <w:rsid w:val="000B552F"/>
    <w:rsid w:val="000C235B"/>
    <w:rsid w:val="000C72FF"/>
    <w:rsid w:val="000D0720"/>
    <w:rsid w:val="000D1260"/>
    <w:rsid w:val="000D21CC"/>
    <w:rsid w:val="000D556B"/>
    <w:rsid w:val="000E0B60"/>
    <w:rsid w:val="000E4698"/>
    <w:rsid w:val="000E5E0C"/>
    <w:rsid w:val="000E6198"/>
    <w:rsid w:val="000E7B12"/>
    <w:rsid w:val="000F042E"/>
    <w:rsid w:val="000F45FC"/>
    <w:rsid w:val="000F5A36"/>
    <w:rsid w:val="000F5BFC"/>
    <w:rsid w:val="000F5F5F"/>
    <w:rsid w:val="000F6FCF"/>
    <w:rsid w:val="00100EA6"/>
    <w:rsid w:val="00102935"/>
    <w:rsid w:val="00112035"/>
    <w:rsid w:val="00114F29"/>
    <w:rsid w:val="00126B5C"/>
    <w:rsid w:val="00127A4E"/>
    <w:rsid w:val="001305CC"/>
    <w:rsid w:val="00133F47"/>
    <w:rsid w:val="00144699"/>
    <w:rsid w:val="00151107"/>
    <w:rsid w:val="00152B61"/>
    <w:rsid w:val="00153ECC"/>
    <w:rsid w:val="00154EA3"/>
    <w:rsid w:val="0017087D"/>
    <w:rsid w:val="0017453B"/>
    <w:rsid w:val="001810DE"/>
    <w:rsid w:val="001838E3"/>
    <w:rsid w:val="001876A8"/>
    <w:rsid w:val="00190C81"/>
    <w:rsid w:val="00190D8E"/>
    <w:rsid w:val="00193C19"/>
    <w:rsid w:val="001A3C27"/>
    <w:rsid w:val="001A48EF"/>
    <w:rsid w:val="001A4BB1"/>
    <w:rsid w:val="001A4DCD"/>
    <w:rsid w:val="001A5903"/>
    <w:rsid w:val="001B3069"/>
    <w:rsid w:val="001B3C78"/>
    <w:rsid w:val="001B4860"/>
    <w:rsid w:val="001B7C9B"/>
    <w:rsid w:val="001C038B"/>
    <w:rsid w:val="001C13A1"/>
    <w:rsid w:val="001C1547"/>
    <w:rsid w:val="001C45CB"/>
    <w:rsid w:val="001C6588"/>
    <w:rsid w:val="001D0F08"/>
    <w:rsid w:val="001D4641"/>
    <w:rsid w:val="001D5D3A"/>
    <w:rsid w:val="001E128E"/>
    <w:rsid w:val="001E2DFA"/>
    <w:rsid w:val="001E5489"/>
    <w:rsid w:val="001E7FAC"/>
    <w:rsid w:val="001F2F14"/>
    <w:rsid w:val="001F3234"/>
    <w:rsid w:val="001F5B86"/>
    <w:rsid w:val="001F6533"/>
    <w:rsid w:val="002067A7"/>
    <w:rsid w:val="00215EC3"/>
    <w:rsid w:val="00215F17"/>
    <w:rsid w:val="00223E1E"/>
    <w:rsid w:val="002258D7"/>
    <w:rsid w:val="00236438"/>
    <w:rsid w:val="00237CCC"/>
    <w:rsid w:val="00244BBB"/>
    <w:rsid w:val="002628D8"/>
    <w:rsid w:val="00265507"/>
    <w:rsid w:val="00267A34"/>
    <w:rsid w:val="002735B2"/>
    <w:rsid w:val="00276F34"/>
    <w:rsid w:val="00277E3F"/>
    <w:rsid w:val="00292DC3"/>
    <w:rsid w:val="002938F3"/>
    <w:rsid w:val="00295CFC"/>
    <w:rsid w:val="002A027D"/>
    <w:rsid w:val="002A0EFD"/>
    <w:rsid w:val="002A1A1A"/>
    <w:rsid w:val="002A218E"/>
    <w:rsid w:val="002A42A0"/>
    <w:rsid w:val="002A48B6"/>
    <w:rsid w:val="002B4832"/>
    <w:rsid w:val="002B4A0A"/>
    <w:rsid w:val="002B6DC3"/>
    <w:rsid w:val="002C0908"/>
    <w:rsid w:val="002C1D5E"/>
    <w:rsid w:val="002C29E3"/>
    <w:rsid w:val="002C6DF3"/>
    <w:rsid w:val="002D4554"/>
    <w:rsid w:val="002D58AB"/>
    <w:rsid w:val="002D6EA2"/>
    <w:rsid w:val="002E209C"/>
    <w:rsid w:val="0030363E"/>
    <w:rsid w:val="003066D3"/>
    <w:rsid w:val="003103F5"/>
    <w:rsid w:val="0031054C"/>
    <w:rsid w:val="0031215C"/>
    <w:rsid w:val="00315348"/>
    <w:rsid w:val="003154CE"/>
    <w:rsid w:val="00315FFA"/>
    <w:rsid w:val="00316684"/>
    <w:rsid w:val="00316D31"/>
    <w:rsid w:val="0031732D"/>
    <w:rsid w:val="00320476"/>
    <w:rsid w:val="00324B85"/>
    <w:rsid w:val="0032773C"/>
    <w:rsid w:val="003309E4"/>
    <w:rsid w:val="00331B39"/>
    <w:rsid w:val="0033493C"/>
    <w:rsid w:val="003403AE"/>
    <w:rsid w:val="003426E3"/>
    <w:rsid w:val="00343E64"/>
    <w:rsid w:val="00344C88"/>
    <w:rsid w:val="00351DD9"/>
    <w:rsid w:val="00351FE5"/>
    <w:rsid w:val="0035452F"/>
    <w:rsid w:val="00362AFC"/>
    <w:rsid w:val="0036427C"/>
    <w:rsid w:val="00364A08"/>
    <w:rsid w:val="00371A2B"/>
    <w:rsid w:val="0037263D"/>
    <w:rsid w:val="003769E8"/>
    <w:rsid w:val="00376ABC"/>
    <w:rsid w:val="0037786E"/>
    <w:rsid w:val="003802CF"/>
    <w:rsid w:val="003828F1"/>
    <w:rsid w:val="00383393"/>
    <w:rsid w:val="003846C8"/>
    <w:rsid w:val="003863C3"/>
    <w:rsid w:val="0038769A"/>
    <w:rsid w:val="00393BCC"/>
    <w:rsid w:val="00395E72"/>
    <w:rsid w:val="00397A58"/>
    <w:rsid w:val="003A230F"/>
    <w:rsid w:val="003A79A0"/>
    <w:rsid w:val="003B4F0F"/>
    <w:rsid w:val="003D1A02"/>
    <w:rsid w:val="003E00F0"/>
    <w:rsid w:val="003E0577"/>
    <w:rsid w:val="003E0A6E"/>
    <w:rsid w:val="003E0A99"/>
    <w:rsid w:val="003E1E53"/>
    <w:rsid w:val="003E42D2"/>
    <w:rsid w:val="003F31B5"/>
    <w:rsid w:val="003F69B8"/>
    <w:rsid w:val="003F6A55"/>
    <w:rsid w:val="003F732C"/>
    <w:rsid w:val="00413902"/>
    <w:rsid w:val="00423366"/>
    <w:rsid w:val="00425F59"/>
    <w:rsid w:val="00430627"/>
    <w:rsid w:val="0043146E"/>
    <w:rsid w:val="0043163E"/>
    <w:rsid w:val="0044663D"/>
    <w:rsid w:val="00451307"/>
    <w:rsid w:val="00451B69"/>
    <w:rsid w:val="00453C6E"/>
    <w:rsid w:val="00456910"/>
    <w:rsid w:val="00457714"/>
    <w:rsid w:val="00457B6C"/>
    <w:rsid w:val="00463885"/>
    <w:rsid w:val="00470E98"/>
    <w:rsid w:val="00473A65"/>
    <w:rsid w:val="00481720"/>
    <w:rsid w:val="00482135"/>
    <w:rsid w:val="00484EF6"/>
    <w:rsid w:val="004877C7"/>
    <w:rsid w:val="00487E0A"/>
    <w:rsid w:val="004922CF"/>
    <w:rsid w:val="00493E0F"/>
    <w:rsid w:val="004A12D8"/>
    <w:rsid w:val="004C5FF8"/>
    <w:rsid w:val="004C730F"/>
    <w:rsid w:val="004D198B"/>
    <w:rsid w:val="004D37EE"/>
    <w:rsid w:val="004D511D"/>
    <w:rsid w:val="004D657A"/>
    <w:rsid w:val="004D786B"/>
    <w:rsid w:val="004E195B"/>
    <w:rsid w:val="004E1ADE"/>
    <w:rsid w:val="004F06B9"/>
    <w:rsid w:val="004F27B7"/>
    <w:rsid w:val="00505483"/>
    <w:rsid w:val="0050582E"/>
    <w:rsid w:val="00511870"/>
    <w:rsid w:val="00522332"/>
    <w:rsid w:val="00525D28"/>
    <w:rsid w:val="00535BC7"/>
    <w:rsid w:val="00537CED"/>
    <w:rsid w:val="00542A04"/>
    <w:rsid w:val="00561AF0"/>
    <w:rsid w:val="00561D0F"/>
    <w:rsid w:val="0056209E"/>
    <w:rsid w:val="005675BD"/>
    <w:rsid w:val="005701B4"/>
    <w:rsid w:val="00570A7E"/>
    <w:rsid w:val="005732C6"/>
    <w:rsid w:val="00581FA2"/>
    <w:rsid w:val="005836E8"/>
    <w:rsid w:val="00584B4D"/>
    <w:rsid w:val="00586ED4"/>
    <w:rsid w:val="005901B7"/>
    <w:rsid w:val="0059410A"/>
    <w:rsid w:val="005A4D17"/>
    <w:rsid w:val="005B675F"/>
    <w:rsid w:val="005B6BB2"/>
    <w:rsid w:val="005B6DDE"/>
    <w:rsid w:val="005B763D"/>
    <w:rsid w:val="005B7954"/>
    <w:rsid w:val="005C0EB8"/>
    <w:rsid w:val="005C2D1C"/>
    <w:rsid w:val="005D1EDE"/>
    <w:rsid w:val="005D3AB3"/>
    <w:rsid w:val="005E3130"/>
    <w:rsid w:val="005E4C5C"/>
    <w:rsid w:val="005E56DB"/>
    <w:rsid w:val="005E720F"/>
    <w:rsid w:val="005F28EF"/>
    <w:rsid w:val="005F489E"/>
    <w:rsid w:val="005F4A3B"/>
    <w:rsid w:val="006052FD"/>
    <w:rsid w:val="006053E9"/>
    <w:rsid w:val="00617A9A"/>
    <w:rsid w:val="0064274B"/>
    <w:rsid w:val="00642831"/>
    <w:rsid w:val="00651D42"/>
    <w:rsid w:val="00651FD7"/>
    <w:rsid w:val="006579C8"/>
    <w:rsid w:val="00660E14"/>
    <w:rsid w:val="00675D5A"/>
    <w:rsid w:val="00683939"/>
    <w:rsid w:val="00684E41"/>
    <w:rsid w:val="006917F3"/>
    <w:rsid w:val="006978A8"/>
    <w:rsid w:val="006A210B"/>
    <w:rsid w:val="006A496E"/>
    <w:rsid w:val="006B42D0"/>
    <w:rsid w:val="006B7197"/>
    <w:rsid w:val="006B73C3"/>
    <w:rsid w:val="006C4949"/>
    <w:rsid w:val="006C5ACD"/>
    <w:rsid w:val="006C602C"/>
    <w:rsid w:val="006C691F"/>
    <w:rsid w:val="006D08E4"/>
    <w:rsid w:val="006D4984"/>
    <w:rsid w:val="006E0D9A"/>
    <w:rsid w:val="006E74E3"/>
    <w:rsid w:val="006F0713"/>
    <w:rsid w:val="006F4877"/>
    <w:rsid w:val="006F4C36"/>
    <w:rsid w:val="00705BE5"/>
    <w:rsid w:val="007339E9"/>
    <w:rsid w:val="00735929"/>
    <w:rsid w:val="0073737B"/>
    <w:rsid w:val="007408B6"/>
    <w:rsid w:val="00742FDB"/>
    <w:rsid w:val="00744824"/>
    <w:rsid w:val="00745F37"/>
    <w:rsid w:val="00752215"/>
    <w:rsid w:val="00752EE3"/>
    <w:rsid w:val="00754A75"/>
    <w:rsid w:val="00754A93"/>
    <w:rsid w:val="00757B1A"/>
    <w:rsid w:val="0076097C"/>
    <w:rsid w:val="00762867"/>
    <w:rsid w:val="007633CE"/>
    <w:rsid w:val="007665B1"/>
    <w:rsid w:val="007724F2"/>
    <w:rsid w:val="00776DB8"/>
    <w:rsid w:val="00783F53"/>
    <w:rsid w:val="00784CB0"/>
    <w:rsid w:val="007858C2"/>
    <w:rsid w:val="00794553"/>
    <w:rsid w:val="007966BC"/>
    <w:rsid w:val="00796744"/>
    <w:rsid w:val="007A78BA"/>
    <w:rsid w:val="007D1703"/>
    <w:rsid w:val="007D3FDB"/>
    <w:rsid w:val="007D4C76"/>
    <w:rsid w:val="007E1DC4"/>
    <w:rsid w:val="007E55AF"/>
    <w:rsid w:val="007F43A4"/>
    <w:rsid w:val="007F5E77"/>
    <w:rsid w:val="007F62D4"/>
    <w:rsid w:val="007F7BF7"/>
    <w:rsid w:val="007F7F81"/>
    <w:rsid w:val="007F7FEF"/>
    <w:rsid w:val="008039CF"/>
    <w:rsid w:val="00806C90"/>
    <w:rsid w:val="00806DCD"/>
    <w:rsid w:val="00811C8C"/>
    <w:rsid w:val="00815CA3"/>
    <w:rsid w:val="008203F3"/>
    <w:rsid w:val="008207F0"/>
    <w:rsid w:val="008246AD"/>
    <w:rsid w:val="0084017A"/>
    <w:rsid w:val="00842FC6"/>
    <w:rsid w:val="008437FD"/>
    <w:rsid w:val="008546ED"/>
    <w:rsid w:val="00855B3E"/>
    <w:rsid w:val="008642AF"/>
    <w:rsid w:val="00867354"/>
    <w:rsid w:val="00870832"/>
    <w:rsid w:val="0087685A"/>
    <w:rsid w:val="00876AC0"/>
    <w:rsid w:val="00877EE4"/>
    <w:rsid w:val="008800B7"/>
    <w:rsid w:val="00880648"/>
    <w:rsid w:val="00881268"/>
    <w:rsid w:val="00881D84"/>
    <w:rsid w:val="00882221"/>
    <w:rsid w:val="00884015"/>
    <w:rsid w:val="00887134"/>
    <w:rsid w:val="0089143F"/>
    <w:rsid w:val="008950ED"/>
    <w:rsid w:val="00897FEE"/>
    <w:rsid w:val="008A3414"/>
    <w:rsid w:val="008A5132"/>
    <w:rsid w:val="008A5FE5"/>
    <w:rsid w:val="008B2815"/>
    <w:rsid w:val="008B2E5D"/>
    <w:rsid w:val="008B6737"/>
    <w:rsid w:val="008C1A2F"/>
    <w:rsid w:val="008C28E2"/>
    <w:rsid w:val="008C445B"/>
    <w:rsid w:val="008D1185"/>
    <w:rsid w:val="008D224F"/>
    <w:rsid w:val="008D6B21"/>
    <w:rsid w:val="008E2231"/>
    <w:rsid w:val="008E4D66"/>
    <w:rsid w:val="008E7554"/>
    <w:rsid w:val="008F58C6"/>
    <w:rsid w:val="00900F03"/>
    <w:rsid w:val="0090429D"/>
    <w:rsid w:val="0090777E"/>
    <w:rsid w:val="0091218E"/>
    <w:rsid w:val="00912FF6"/>
    <w:rsid w:val="0091427C"/>
    <w:rsid w:val="00914CE5"/>
    <w:rsid w:val="009214A0"/>
    <w:rsid w:val="0093028C"/>
    <w:rsid w:val="00934248"/>
    <w:rsid w:val="00937D19"/>
    <w:rsid w:val="00940627"/>
    <w:rsid w:val="00941876"/>
    <w:rsid w:val="009449B0"/>
    <w:rsid w:val="0095007A"/>
    <w:rsid w:val="00952766"/>
    <w:rsid w:val="00960A58"/>
    <w:rsid w:val="00967EE8"/>
    <w:rsid w:val="009756A4"/>
    <w:rsid w:val="00975F03"/>
    <w:rsid w:val="00986E2C"/>
    <w:rsid w:val="0098756A"/>
    <w:rsid w:val="00994EF0"/>
    <w:rsid w:val="009A0A09"/>
    <w:rsid w:val="009A3E29"/>
    <w:rsid w:val="009A6590"/>
    <w:rsid w:val="009B2BA8"/>
    <w:rsid w:val="009B2F5E"/>
    <w:rsid w:val="009B4969"/>
    <w:rsid w:val="009C7956"/>
    <w:rsid w:val="009D489D"/>
    <w:rsid w:val="009D6E07"/>
    <w:rsid w:val="009E11DF"/>
    <w:rsid w:val="009E336B"/>
    <w:rsid w:val="009E438F"/>
    <w:rsid w:val="009E4CF8"/>
    <w:rsid w:val="009E65A2"/>
    <w:rsid w:val="009E6640"/>
    <w:rsid w:val="009E755F"/>
    <w:rsid w:val="009F002F"/>
    <w:rsid w:val="009F0054"/>
    <w:rsid w:val="009F2CE3"/>
    <w:rsid w:val="009F594D"/>
    <w:rsid w:val="009F7262"/>
    <w:rsid w:val="00A01C3B"/>
    <w:rsid w:val="00A01EF4"/>
    <w:rsid w:val="00A02251"/>
    <w:rsid w:val="00A05824"/>
    <w:rsid w:val="00A11E36"/>
    <w:rsid w:val="00A14543"/>
    <w:rsid w:val="00A14D39"/>
    <w:rsid w:val="00A21385"/>
    <w:rsid w:val="00A240FC"/>
    <w:rsid w:val="00A27A4D"/>
    <w:rsid w:val="00A30730"/>
    <w:rsid w:val="00A3073B"/>
    <w:rsid w:val="00A33755"/>
    <w:rsid w:val="00A372C7"/>
    <w:rsid w:val="00A37785"/>
    <w:rsid w:val="00A42EC2"/>
    <w:rsid w:val="00A46E9D"/>
    <w:rsid w:val="00A47806"/>
    <w:rsid w:val="00A47F55"/>
    <w:rsid w:val="00A52B42"/>
    <w:rsid w:val="00A554BD"/>
    <w:rsid w:val="00A61CB6"/>
    <w:rsid w:val="00A625F1"/>
    <w:rsid w:val="00A62F9F"/>
    <w:rsid w:val="00A668E7"/>
    <w:rsid w:val="00A66BF0"/>
    <w:rsid w:val="00A749E4"/>
    <w:rsid w:val="00A74CF3"/>
    <w:rsid w:val="00A74D77"/>
    <w:rsid w:val="00A74F5F"/>
    <w:rsid w:val="00A774A2"/>
    <w:rsid w:val="00A80555"/>
    <w:rsid w:val="00A863F5"/>
    <w:rsid w:val="00A9105A"/>
    <w:rsid w:val="00A92461"/>
    <w:rsid w:val="00A94DEA"/>
    <w:rsid w:val="00AA14AF"/>
    <w:rsid w:val="00AA5721"/>
    <w:rsid w:val="00AA5B17"/>
    <w:rsid w:val="00AB281E"/>
    <w:rsid w:val="00AB40B9"/>
    <w:rsid w:val="00AB7C8F"/>
    <w:rsid w:val="00AC0CC6"/>
    <w:rsid w:val="00AC2EE2"/>
    <w:rsid w:val="00AD113E"/>
    <w:rsid w:val="00AD325F"/>
    <w:rsid w:val="00AE6445"/>
    <w:rsid w:val="00AF2D59"/>
    <w:rsid w:val="00AF485A"/>
    <w:rsid w:val="00B0122E"/>
    <w:rsid w:val="00B069C3"/>
    <w:rsid w:val="00B07E9C"/>
    <w:rsid w:val="00B12453"/>
    <w:rsid w:val="00B21BC0"/>
    <w:rsid w:val="00B2251C"/>
    <w:rsid w:val="00B24FB8"/>
    <w:rsid w:val="00B31CC2"/>
    <w:rsid w:val="00B32D03"/>
    <w:rsid w:val="00B35751"/>
    <w:rsid w:val="00B4008C"/>
    <w:rsid w:val="00B406CD"/>
    <w:rsid w:val="00B43FCC"/>
    <w:rsid w:val="00B50305"/>
    <w:rsid w:val="00B522CD"/>
    <w:rsid w:val="00B6430E"/>
    <w:rsid w:val="00B66974"/>
    <w:rsid w:val="00B709DA"/>
    <w:rsid w:val="00B70A3B"/>
    <w:rsid w:val="00B7195F"/>
    <w:rsid w:val="00B72196"/>
    <w:rsid w:val="00B727BF"/>
    <w:rsid w:val="00B72B27"/>
    <w:rsid w:val="00B73C66"/>
    <w:rsid w:val="00B84A99"/>
    <w:rsid w:val="00B92DE8"/>
    <w:rsid w:val="00B93B99"/>
    <w:rsid w:val="00BA00BD"/>
    <w:rsid w:val="00BB0626"/>
    <w:rsid w:val="00BB3FA5"/>
    <w:rsid w:val="00BB640A"/>
    <w:rsid w:val="00BC0C08"/>
    <w:rsid w:val="00BC0DA0"/>
    <w:rsid w:val="00BC177A"/>
    <w:rsid w:val="00BC3E72"/>
    <w:rsid w:val="00BC4E59"/>
    <w:rsid w:val="00BC63CC"/>
    <w:rsid w:val="00BC6A7F"/>
    <w:rsid w:val="00BD0A53"/>
    <w:rsid w:val="00BD3D70"/>
    <w:rsid w:val="00BD4300"/>
    <w:rsid w:val="00BD60A6"/>
    <w:rsid w:val="00BE50C2"/>
    <w:rsid w:val="00BE59CE"/>
    <w:rsid w:val="00BE633F"/>
    <w:rsid w:val="00BF10E0"/>
    <w:rsid w:val="00C03F3B"/>
    <w:rsid w:val="00C04CFA"/>
    <w:rsid w:val="00C052AD"/>
    <w:rsid w:val="00C06E30"/>
    <w:rsid w:val="00C1766D"/>
    <w:rsid w:val="00C17B29"/>
    <w:rsid w:val="00C20A2F"/>
    <w:rsid w:val="00C221FD"/>
    <w:rsid w:val="00C23EE1"/>
    <w:rsid w:val="00C23F7F"/>
    <w:rsid w:val="00C25649"/>
    <w:rsid w:val="00C25EFB"/>
    <w:rsid w:val="00C3383A"/>
    <w:rsid w:val="00C376D7"/>
    <w:rsid w:val="00C4083A"/>
    <w:rsid w:val="00C44F42"/>
    <w:rsid w:val="00C4690B"/>
    <w:rsid w:val="00C51ECD"/>
    <w:rsid w:val="00C52AD0"/>
    <w:rsid w:val="00C542E8"/>
    <w:rsid w:val="00C65AC4"/>
    <w:rsid w:val="00C7007D"/>
    <w:rsid w:val="00C70B68"/>
    <w:rsid w:val="00C71070"/>
    <w:rsid w:val="00C80804"/>
    <w:rsid w:val="00C81DF8"/>
    <w:rsid w:val="00C82C95"/>
    <w:rsid w:val="00C8417B"/>
    <w:rsid w:val="00C91481"/>
    <w:rsid w:val="00CA0267"/>
    <w:rsid w:val="00CA272D"/>
    <w:rsid w:val="00CA4141"/>
    <w:rsid w:val="00CB1DA7"/>
    <w:rsid w:val="00CB2ABA"/>
    <w:rsid w:val="00CC50A6"/>
    <w:rsid w:val="00CD1D19"/>
    <w:rsid w:val="00CD34CF"/>
    <w:rsid w:val="00CE02A0"/>
    <w:rsid w:val="00CE119A"/>
    <w:rsid w:val="00CE1A9B"/>
    <w:rsid w:val="00CE793A"/>
    <w:rsid w:val="00CF28C5"/>
    <w:rsid w:val="00CF4E3F"/>
    <w:rsid w:val="00CF77CB"/>
    <w:rsid w:val="00D02100"/>
    <w:rsid w:val="00D103C1"/>
    <w:rsid w:val="00D1349B"/>
    <w:rsid w:val="00D178C8"/>
    <w:rsid w:val="00D27557"/>
    <w:rsid w:val="00D41079"/>
    <w:rsid w:val="00D44869"/>
    <w:rsid w:val="00D45A14"/>
    <w:rsid w:val="00D5127B"/>
    <w:rsid w:val="00D5450C"/>
    <w:rsid w:val="00D54773"/>
    <w:rsid w:val="00D62BE7"/>
    <w:rsid w:val="00D66BF1"/>
    <w:rsid w:val="00D67E76"/>
    <w:rsid w:val="00D70229"/>
    <w:rsid w:val="00D715E0"/>
    <w:rsid w:val="00D72451"/>
    <w:rsid w:val="00D76CE6"/>
    <w:rsid w:val="00D82902"/>
    <w:rsid w:val="00D9028B"/>
    <w:rsid w:val="00D953BF"/>
    <w:rsid w:val="00DA2E38"/>
    <w:rsid w:val="00DA401A"/>
    <w:rsid w:val="00DA6AE4"/>
    <w:rsid w:val="00DB0134"/>
    <w:rsid w:val="00DB4831"/>
    <w:rsid w:val="00DC29CD"/>
    <w:rsid w:val="00DC514E"/>
    <w:rsid w:val="00DD0005"/>
    <w:rsid w:val="00DD0EDE"/>
    <w:rsid w:val="00DD14C2"/>
    <w:rsid w:val="00DE2A85"/>
    <w:rsid w:val="00DE6E58"/>
    <w:rsid w:val="00DE7254"/>
    <w:rsid w:val="00DF2473"/>
    <w:rsid w:val="00DF3DE8"/>
    <w:rsid w:val="00DF3F3F"/>
    <w:rsid w:val="00DF573F"/>
    <w:rsid w:val="00DF5BDC"/>
    <w:rsid w:val="00E0041C"/>
    <w:rsid w:val="00E01023"/>
    <w:rsid w:val="00E0159F"/>
    <w:rsid w:val="00E05951"/>
    <w:rsid w:val="00E10B44"/>
    <w:rsid w:val="00E1218B"/>
    <w:rsid w:val="00E13AF3"/>
    <w:rsid w:val="00E156D1"/>
    <w:rsid w:val="00E1755B"/>
    <w:rsid w:val="00E22072"/>
    <w:rsid w:val="00E2266B"/>
    <w:rsid w:val="00E246A3"/>
    <w:rsid w:val="00E26B69"/>
    <w:rsid w:val="00E35145"/>
    <w:rsid w:val="00E36FA4"/>
    <w:rsid w:val="00E41931"/>
    <w:rsid w:val="00E45173"/>
    <w:rsid w:val="00E50CED"/>
    <w:rsid w:val="00E60B30"/>
    <w:rsid w:val="00E66183"/>
    <w:rsid w:val="00E66656"/>
    <w:rsid w:val="00E67CCF"/>
    <w:rsid w:val="00E842CC"/>
    <w:rsid w:val="00E973FD"/>
    <w:rsid w:val="00E97609"/>
    <w:rsid w:val="00EA598F"/>
    <w:rsid w:val="00EB1420"/>
    <w:rsid w:val="00EB1908"/>
    <w:rsid w:val="00EB3EDF"/>
    <w:rsid w:val="00EB48CD"/>
    <w:rsid w:val="00EB52FE"/>
    <w:rsid w:val="00EB7D46"/>
    <w:rsid w:val="00EC4CEC"/>
    <w:rsid w:val="00ED698A"/>
    <w:rsid w:val="00EE0398"/>
    <w:rsid w:val="00EE26CB"/>
    <w:rsid w:val="00EE48BF"/>
    <w:rsid w:val="00EF0749"/>
    <w:rsid w:val="00EF0EF1"/>
    <w:rsid w:val="00EF279C"/>
    <w:rsid w:val="00EF2C52"/>
    <w:rsid w:val="00F0228B"/>
    <w:rsid w:val="00F05882"/>
    <w:rsid w:val="00F06419"/>
    <w:rsid w:val="00F074AF"/>
    <w:rsid w:val="00F0752A"/>
    <w:rsid w:val="00F168FB"/>
    <w:rsid w:val="00F2359B"/>
    <w:rsid w:val="00F25591"/>
    <w:rsid w:val="00F322B4"/>
    <w:rsid w:val="00F464AB"/>
    <w:rsid w:val="00F5005A"/>
    <w:rsid w:val="00F53685"/>
    <w:rsid w:val="00F5400D"/>
    <w:rsid w:val="00F5514A"/>
    <w:rsid w:val="00F636EA"/>
    <w:rsid w:val="00F63A82"/>
    <w:rsid w:val="00F6400C"/>
    <w:rsid w:val="00F65558"/>
    <w:rsid w:val="00F667A8"/>
    <w:rsid w:val="00F67AB8"/>
    <w:rsid w:val="00F704B2"/>
    <w:rsid w:val="00F70755"/>
    <w:rsid w:val="00F7157E"/>
    <w:rsid w:val="00F71B2C"/>
    <w:rsid w:val="00F75214"/>
    <w:rsid w:val="00F7616E"/>
    <w:rsid w:val="00F804BF"/>
    <w:rsid w:val="00F95FE0"/>
    <w:rsid w:val="00F967C2"/>
    <w:rsid w:val="00FA3759"/>
    <w:rsid w:val="00FA748A"/>
    <w:rsid w:val="00FB010E"/>
    <w:rsid w:val="00FB3568"/>
    <w:rsid w:val="00FC02A4"/>
    <w:rsid w:val="00FC7A01"/>
    <w:rsid w:val="00FF36DC"/>
    <w:rsid w:val="00FF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22549"/>
  <w15:docId w15:val="{62DF20C6-F550-46AF-8D5D-15961AFC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EE2"/>
    <w:rPr>
      <w:rFonts w:ascii="Times New Roman" w:eastAsia="Times New Roman" w:hAnsi="Times New Roman" w:cs="Times New Roman"/>
      <w:sz w:val="24"/>
      <w:szCs w:val="24"/>
    </w:rPr>
  </w:style>
  <w:style w:type="paragraph" w:styleId="Heading1">
    <w:name w:val="heading 1"/>
    <w:basedOn w:val="Normal"/>
    <w:next w:val="Normal"/>
    <w:link w:val="Heading1Char"/>
    <w:qFormat/>
    <w:rsid w:val="00AC2EE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next w:val="Normal"/>
    <w:link w:val="Heading5Char"/>
    <w:uiPriority w:val="9"/>
    <w:unhideWhenUsed/>
    <w:qFormat/>
    <w:rsid w:val="0059410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EE2"/>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AC2EE2"/>
    <w:pPr>
      <w:ind w:left="720"/>
      <w:contextualSpacing/>
    </w:pPr>
  </w:style>
  <w:style w:type="character" w:styleId="CommentReference">
    <w:name w:val="annotation reference"/>
    <w:basedOn w:val="DefaultParagraphFont"/>
    <w:uiPriority w:val="99"/>
    <w:unhideWhenUsed/>
    <w:rsid w:val="00AC2EE2"/>
    <w:rPr>
      <w:sz w:val="16"/>
      <w:szCs w:val="16"/>
    </w:rPr>
  </w:style>
  <w:style w:type="paragraph" w:styleId="CommentText">
    <w:name w:val="annotation text"/>
    <w:basedOn w:val="Normal"/>
    <w:link w:val="CommentTextChar"/>
    <w:uiPriority w:val="99"/>
    <w:unhideWhenUsed/>
    <w:rsid w:val="00AC2EE2"/>
    <w:rPr>
      <w:sz w:val="20"/>
      <w:szCs w:val="20"/>
    </w:rPr>
  </w:style>
  <w:style w:type="character" w:customStyle="1" w:styleId="CommentTextChar">
    <w:name w:val="Comment Text Char"/>
    <w:basedOn w:val="DefaultParagraphFont"/>
    <w:link w:val="CommentText"/>
    <w:uiPriority w:val="99"/>
    <w:rsid w:val="00AC2EE2"/>
    <w:rPr>
      <w:rFonts w:ascii="Times New Roman" w:eastAsia="Times New Roman" w:hAnsi="Times New Roman" w:cs="Times New Roman"/>
      <w:sz w:val="20"/>
      <w:szCs w:val="20"/>
    </w:rPr>
  </w:style>
  <w:style w:type="table" w:styleId="TableGrid">
    <w:name w:val="Table Grid"/>
    <w:basedOn w:val="TableNormal"/>
    <w:uiPriority w:val="39"/>
    <w:rsid w:val="00AC2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2EE2"/>
    <w:pPr>
      <w:widowControl w:val="0"/>
    </w:pPr>
    <w:rPr>
      <w:rFonts w:ascii="Arial" w:eastAsia="Arial" w:hAnsi="Arial" w:cstheme="minorBidi"/>
      <w:sz w:val="23"/>
      <w:szCs w:val="23"/>
    </w:rPr>
  </w:style>
  <w:style w:type="character" w:customStyle="1" w:styleId="BodyTextChar">
    <w:name w:val="Body Text Char"/>
    <w:basedOn w:val="DefaultParagraphFont"/>
    <w:link w:val="BodyText"/>
    <w:uiPriority w:val="1"/>
    <w:rsid w:val="00AC2EE2"/>
    <w:rPr>
      <w:rFonts w:ascii="Arial" w:eastAsia="Arial" w:hAnsi="Arial"/>
      <w:sz w:val="23"/>
      <w:szCs w:val="23"/>
    </w:rPr>
  </w:style>
  <w:style w:type="paragraph" w:customStyle="1" w:styleId="SuicideBodyText">
    <w:name w:val="Suicide Body Text"/>
    <w:basedOn w:val="Normal"/>
    <w:link w:val="SuicideBodyTextChar"/>
    <w:rsid w:val="00AC2EE2"/>
    <w:pPr>
      <w:autoSpaceDE w:val="0"/>
      <w:autoSpaceDN w:val="0"/>
      <w:adjustRightInd w:val="0"/>
    </w:pPr>
  </w:style>
  <w:style w:type="character" w:customStyle="1" w:styleId="SuicideBodyTextChar">
    <w:name w:val="Suicide Body Text Char"/>
    <w:link w:val="SuicideBodyText"/>
    <w:rsid w:val="00AC2EE2"/>
    <w:rPr>
      <w:rFonts w:ascii="Times New Roman" w:eastAsia="Times New Roman" w:hAnsi="Times New Roman" w:cs="Times New Roman"/>
      <w:sz w:val="24"/>
      <w:szCs w:val="24"/>
    </w:rPr>
  </w:style>
  <w:style w:type="paragraph" w:customStyle="1" w:styleId="GLSBody">
    <w:name w:val="GLS Body"/>
    <w:basedOn w:val="Normal"/>
    <w:link w:val="GLSBodyChar"/>
    <w:rsid w:val="00AC2EE2"/>
    <w:pPr>
      <w:autoSpaceDE w:val="0"/>
      <w:autoSpaceDN w:val="0"/>
      <w:adjustRightInd w:val="0"/>
      <w:spacing w:after="240"/>
    </w:pPr>
  </w:style>
  <w:style w:type="character" w:customStyle="1" w:styleId="GLSBodyChar">
    <w:name w:val="GLS Body Char"/>
    <w:link w:val="GLSBody"/>
    <w:rsid w:val="00AC2EE2"/>
    <w:rPr>
      <w:rFonts w:ascii="Times New Roman" w:eastAsia="Times New Roman" w:hAnsi="Times New Roman" w:cs="Times New Roman"/>
      <w:sz w:val="24"/>
      <w:szCs w:val="24"/>
    </w:rPr>
  </w:style>
  <w:style w:type="paragraph" w:customStyle="1" w:styleId="SuicideBullet1">
    <w:name w:val="Suicide Bullet 1"/>
    <w:basedOn w:val="Normal"/>
    <w:qFormat/>
    <w:rsid w:val="00AC2EE2"/>
    <w:pPr>
      <w:numPr>
        <w:numId w:val="2"/>
      </w:numPr>
      <w:tabs>
        <w:tab w:val="left" w:pos="-1440"/>
        <w:tab w:val="left" w:pos="360"/>
      </w:tabs>
      <w:autoSpaceDE w:val="0"/>
      <w:autoSpaceDN w:val="0"/>
      <w:adjustRightInd w:val="0"/>
      <w:ind w:left="360"/>
    </w:pPr>
  </w:style>
  <w:style w:type="paragraph" w:styleId="FootnoteText">
    <w:name w:val="footnote text"/>
    <w:basedOn w:val="Normal"/>
    <w:link w:val="FootnoteTextChar"/>
    <w:uiPriority w:val="99"/>
    <w:unhideWhenUsed/>
    <w:rsid w:val="00AC2EE2"/>
    <w:pPr>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AC2EE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C2EE2"/>
    <w:rPr>
      <w:vertAlign w:val="superscript"/>
    </w:rPr>
  </w:style>
  <w:style w:type="paragraph" w:customStyle="1" w:styleId="ProposalBodyText">
    <w:name w:val="Proposal Body Text"/>
    <w:basedOn w:val="Normal"/>
    <w:link w:val="ProposalBodyTextChar"/>
    <w:qFormat/>
    <w:rsid w:val="00AC2EE2"/>
    <w:pPr>
      <w:tabs>
        <w:tab w:val="left" w:pos="0"/>
      </w:tabs>
      <w:autoSpaceDE w:val="0"/>
      <w:autoSpaceDN w:val="0"/>
      <w:adjustRightInd w:val="0"/>
      <w:contextualSpacing/>
    </w:pPr>
    <w:rPr>
      <w:szCs w:val="20"/>
    </w:rPr>
  </w:style>
  <w:style w:type="character" w:customStyle="1" w:styleId="ProposalBodyTextChar">
    <w:name w:val="Proposal Body Text Char"/>
    <w:link w:val="ProposalBodyText"/>
    <w:rsid w:val="00AC2EE2"/>
    <w:rPr>
      <w:rFonts w:ascii="Times New Roman" w:eastAsia="Times New Roman" w:hAnsi="Times New Roman" w:cs="Times New Roman"/>
      <w:sz w:val="24"/>
      <w:szCs w:val="20"/>
    </w:rPr>
  </w:style>
  <w:style w:type="character" w:customStyle="1" w:styleId="minorhead">
    <w:name w:val="minorhead"/>
    <w:rsid w:val="00AC2EE2"/>
    <w:rPr>
      <w:rFonts w:ascii="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5732C6"/>
    <w:rPr>
      <w:b/>
      <w:bCs/>
    </w:rPr>
  </w:style>
  <w:style w:type="character" w:customStyle="1" w:styleId="CommentSubjectChar">
    <w:name w:val="Comment Subject Char"/>
    <w:basedOn w:val="CommentTextChar"/>
    <w:link w:val="CommentSubject"/>
    <w:uiPriority w:val="99"/>
    <w:semiHidden/>
    <w:rsid w:val="005732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732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2C6"/>
    <w:rPr>
      <w:rFonts w:ascii="Segoe UI" w:eastAsia="Times New Roman" w:hAnsi="Segoe UI" w:cs="Segoe UI"/>
      <w:sz w:val="18"/>
      <w:szCs w:val="18"/>
    </w:rPr>
  </w:style>
  <w:style w:type="paragraph" w:styleId="Header">
    <w:name w:val="header"/>
    <w:basedOn w:val="Normal"/>
    <w:link w:val="HeaderChar"/>
    <w:uiPriority w:val="99"/>
    <w:unhideWhenUsed/>
    <w:rsid w:val="005732C6"/>
    <w:pPr>
      <w:tabs>
        <w:tab w:val="center" w:pos="4680"/>
        <w:tab w:val="right" w:pos="9360"/>
      </w:tabs>
    </w:pPr>
  </w:style>
  <w:style w:type="character" w:customStyle="1" w:styleId="HeaderChar">
    <w:name w:val="Header Char"/>
    <w:basedOn w:val="DefaultParagraphFont"/>
    <w:link w:val="Header"/>
    <w:uiPriority w:val="99"/>
    <w:rsid w:val="005732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32C6"/>
    <w:pPr>
      <w:tabs>
        <w:tab w:val="center" w:pos="4680"/>
        <w:tab w:val="right" w:pos="9360"/>
      </w:tabs>
    </w:pPr>
  </w:style>
  <w:style w:type="character" w:customStyle="1" w:styleId="FooterChar">
    <w:name w:val="Footer Char"/>
    <w:basedOn w:val="DefaultParagraphFont"/>
    <w:link w:val="Footer"/>
    <w:uiPriority w:val="99"/>
    <w:rsid w:val="005732C6"/>
    <w:rPr>
      <w:rFonts w:ascii="Times New Roman" w:eastAsia="Times New Roman" w:hAnsi="Times New Roman" w:cs="Times New Roman"/>
      <w:sz w:val="24"/>
      <w:szCs w:val="24"/>
    </w:rPr>
  </w:style>
  <w:style w:type="paragraph" w:customStyle="1" w:styleId="GLSReference">
    <w:name w:val="GLS Reference"/>
    <w:rsid w:val="000802F7"/>
    <w:pPr>
      <w:spacing w:before="120"/>
      <w:ind w:left="360" w:hanging="360"/>
    </w:pPr>
    <w:rPr>
      <w:rFonts w:ascii="Times New Roman" w:eastAsia="Times New Roman" w:hAnsi="Times New Roman" w:cs="Times New Roman"/>
      <w:sz w:val="24"/>
      <w:szCs w:val="20"/>
    </w:rPr>
  </w:style>
  <w:style w:type="paragraph" w:styleId="ListBullet">
    <w:name w:val="List Bullet"/>
    <w:basedOn w:val="Normal"/>
    <w:rsid w:val="003E0A6E"/>
    <w:pPr>
      <w:numPr>
        <w:numId w:val="3"/>
      </w:numPr>
      <w:spacing w:after="120"/>
      <w:jc w:val="left"/>
    </w:pPr>
    <w:rPr>
      <w:szCs w:val="22"/>
    </w:rPr>
  </w:style>
  <w:style w:type="character" w:styleId="Emphasis">
    <w:name w:val="Emphasis"/>
    <w:basedOn w:val="DefaultParagraphFont"/>
    <w:uiPriority w:val="20"/>
    <w:qFormat/>
    <w:rsid w:val="003E0A6E"/>
    <w:rPr>
      <w:i/>
      <w:iCs/>
    </w:rPr>
  </w:style>
  <w:style w:type="character" w:customStyle="1" w:styleId="apple-converted-space">
    <w:name w:val="apple-converted-space"/>
    <w:basedOn w:val="DefaultParagraphFont"/>
    <w:rsid w:val="003E0A6E"/>
  </w:style>
  <w:style w:type="paragraph" w:customStyle="1" w:styleId="GLSTable1">
    <w:name w:val="GLS Table 1"/>
    <w:basedOn w:val="Normal"/>
    <w:qFormat/>
    <w:rsid w:val="003E0A6E"/>
    <w:pPr>
      <w:autoSpaceDE w:val="0"/>
      <w:autoSpaceDN w:val="0"/>
      <w:adjustRightInd w:val="0"/>
      <w:spacing w:before="40" w:after="40"/>
      <w:jc w:val="center"/>
    </w:pPr>
    <w:rPr>
      <w:rFonts w:ascii="Tw Cen MT" w:hAnsi="Tw Cen MT" w:cs="Arial"/>
      <w:b/>
      <w:szCs w:val="20"/>
    </w:rPr>
  </w:style>
  <w:style w:type="paragraph" w:customStyle="1" w:styleId="GLSTableBullet1">
    <w:name w:val="GLS Table Bullet 1"/>
    <w:basedOn w:val="Normal"/>
    <w:qFormat/>
    <w:rsid w:val="003E0A6E"/>
    <w:pPr>
      <w:numPr>
        <w:numId w:val="4"/>
      </w:numPr>
      <w:spacing w:before="40" w:after="20"/>
      <w:contextualSpacing/>
    </w:pPr>
    <w:rPr>
      <w:rFonts w:ascii="Tw Cen MT" w:hAnsi="Tw Cen MT" w:cs="Arial"/>
      <w:szCs w:val="20"/>
    </w:rPr>
  </w:style>
  <w:style w:type="paragraph" w:customStyle="1" w:styleId="GLSBullet1">
    <w:name w:val="GLS Bullet 1"/>
    <w:basedOn w:val="Normal"/>
    <w:rsid w:val="00F0752A"/>
    <w:pPr>
      <w:autoSpaceDE w:val="0"/>
      <w:autoSpaceDN w:val="0"/>
      <w:adjustRightInd w:val="0"/>
      <w:spacing w:after="60"/>
      <w:jc w:val="left"/>
    </w:pPr>
  </w:style>
  <w:style w:type="paragraph" w:customStyle="1" w:styleId="GLSH4">
    <w:name w:val="GLS H4"/>
    <w:rsid w:val="00BB3FA5"/>
    <w:pPr>
      <w:keepNext/>
      <w:spacing w:after="120"/>
      <w:jc w:val="left"/>
    </w:pPr>
    <w:rPr>
      <w:rFonts w:ascii="Tw Cen MT" w:eastAsia="Times New Roman" w:hAnsi="Tw Cen MT" w:cs="Arial"/>
      <w:b/>
      <w:iCs/>
      <w:color w:val="296D7F"/>
      <w:sz w:val="28"/>
      <w:szCs w:val="24"/>
      <w:u w:val="single"/>
    </w:rPr>
  </w:style>
  <w:style w:type="character" w:styleId="Hyperlink">
    <w:name w:val="Hyperlink"/>
    <w:basedOn w:val="DefaultParagraphFont"/>
    <w:uiPriority w:val="99"/>
    <w:unhideWhenUsed/>
    <w:rsid w:val="00BB3FA5"/>
    <w:rPr>
      <w:color w:val="0563C1" w:themeColor="hyperlink"/>
      <w:u w:val="single"/>
    </w:rPr>
  </w:style>
  <w:style w:type="paragraph" w:customStyle="1" w:styleId="GLSTableBullet2">
    <w:name w:val="GLS Table Bullet 2"/>
    <w:basedOn w:val="Normal"/>
    <w:qFormat/>
    <w:rsid w:val="00757B1A"/>
    <w:pPr>
      <w:numPr>
        <w:numId w:val="5"/>
      </w:numPr>
      <w:autoSpaceDE w:val="0"/>
      <w:autoSpaceDN w:val="0"/>
      <w:adjustRightInd w:val="0"/>
      <w:spacing w:before="40" w:after="40"/>
      <w:ind w:left="510" w:hanging="240"/>
      <w:jc w:val="left"/>
    </w:pPr>
    <w:rPr>
      <w:rFonts w:ascii="Tw Cen MT" w:eastAsiaTheme="minorEastAsia" w:hAnsi="Tw Cen MT" w:cs="Arial"/>
      <w:szCs w:val="20"/>
    </w:rPr>
  </w:style>
  <w:style w:type="paragraph" w:customStyle="1" w:styleId="GLSTable3">
    <w:name w:val="GLS Table 3"/>
    <w:basedOn w:val="Normal"/>
    <w:qFormat/>
    <w:rsid w:val="00FB010E"/>
    <w:pPr>
      <w:autoSpaceDE w:val="0"/>
      <w:autoSpaceDN w:val="0"/>
      <w:adjustRightInd w:val="0"/>
      <w:spacing w:before="40" w:after="40"/>
      <w:jc w:val="left"/>
    </w:pPr>
    <w:rPr>
      <w:rFonts w:ascii="Tw Cen MT" w:hAnsi="Tw Cen MT" w:cs="Arial"/>
      <w:szCs w:val="20"/>
    </w:rPr>
  </w:style>
  <w:style w:type="paragraph" w:customStyle="1" w:styleId="proposalbodytext0">
    <w:name w:val="proposalbodytext"/>
    <w:basedOn w:val="Normal"/>
    <w:semiHidden/>
    <w:rsid w:val="00F0228B"/>
    <w:pPr>
      <w:spacing w:before="100" w:beforeAutospacing="1" w:after="100" w:afterAutospacing="1"/>
      <w:jc w:val="left"/>
    </w:pPr>
    <w:rPr>
      <w:rFonts w:ascii="Arial Unicode MS" w:eastAsia="Arial Unicode MS" w:hAnsi="Arial Unicode MS" w:cs="Arial Unicode MS"/>
    </w:rPr>
  </w:style>
  <w:style w:type="paragraph" w:styleId="DocumentMap">
    <w:name w:val="Document Map"/>
    <w:basedOn w:val="Normal"/>
    <w:link w:val="DocumentMapChar"/>
    <w:semiHidden/>
    <w:rsid w:val="00683939"/>
    <w:pPr>
      <w:shd w:val="clear" w:color="auto" w:fill="000080"/>
      <w:jc w:val="left"/>
    </w:pPr>
    <w:rPr>
      <w:rFonts w:ascii="Tahoma" w:hAnsi="Tahoma" w:cs="Tahoma"/>
      <w:sz w:val="20"/>
      <w:szCs w:val="20"/>
    </w:rPr>
  </w:style>
  <w:style w:type="character" w:customStyle="1" w:styleId="DocumentMapChar">
    <w:name w:val="Document Map Char"/>
    <w:basedOn w:val="DefaultParagraphFont"/>
    <w:link w:val="DocumentMap"/>
    <w:semiHidden/>
    <w:rsid w:val="00683939"/>
    <w:rPr>
      <w:rFonts w:ascii="Tahoma" w:eastAsia="Times New Roman" w:hAnsi="Tahoma" w:cs="Tahoma"/>
      <w:sz w:val="20"/>
      <w:szCs w:val="20"/>
      <w:shd w:val="clear" w:color="auto" w:fill="000080"/>
    </w:rPr>
  </w:style>
  <w:style w:type="paragraph" w:customStyle="1" w:styleId="SuicideHead3">
    <w:name w:val="Suicide Head 3"/>
    <w:basedOn w:val="Normal"/>
    <w:qFormat/>
    <w:rsid w:val="00683939"/>
    <w:pPr>
      <w:widowControl w:val="0"/>
      <w:numPr>
        <w:numId w:val="6"/>
      </w:numPr>
      <w:autoSpaceDE w:val="0"/>
      <w:autoSpaceDN w:val="0"/>
      <w:adjustRightInd w:val="0"/>
      <w:spacing w:after="120"/>
      <w:jc w:val="left"/>
    </w:pPr>
    <w:rPr>
      <w:rFonts w:ascii="Arial" w:hAnsi="Arial" w:cs="Arial"/>
      <w:b/>
      <w:i/>
      <w:sz w:val="26"/>
      <w:szCs w:val="26"/>
    </w:rPr>
  </w:style>
  <w:style w:type="paragraph" w:customStyle="1" w:styleId="SuicideTableTitle">
    <w:name w:val="Suicide Table Title"/>
    <w:basedOn w:val="Normal"/>
    <w:qFormat/>
    <w:rsid w:val="007D1703"/>
    <w:pPr>
      <w:tabs>
        <w:tab w:val="left" w:pos="-1440"/>
      </w:tabs>
      <w:autoSpaceDE w:val="0"/>
      <w:autoSpaceDN w:val="0"/>
      <w:adjustRightInd w:val="0"/>
      <w:spacing w:after="120"/>
      <w:jc w:val="center"/>
    </w:pPr>
    <w:rPr>
      <w:rFonts w:ascii="Arial" w:hAnsi="Arial" w:cs="Arial"/>
      <w:b/>
      <w:sz w:val="20"/>
      <w:szCs w:val="20"/>
    </w:rPr>
  </w:style>
  <w:style w:type="character" w:customStyle="1" w:styleId="Heading5Char">
    <w:name w:val="Heading 5 Char"/>
    <w:basedOn w:val="DefaultParagraphFont"/>
    <w:link w:val="Heading5"/>
    <w:uiPriority w:val="9"/>
    <w:rsid w:val="0059410A"/>
    <w:rPr>
      <w:rFonts w:asciiTheme="majorHAnsi" w:eastAsiaTheme="majorEastAsia" w:hAnsiTheme="majorHAnsi" w:cstheme="majorBidi"/>
      <w:color w:val="2E74B5" w:themeColor="accent1" w:themeShade="BF"/>
      <w:sz w:val="24"/>
      <w:szCs w:val="24"/>
    </w:rPr>
  </w:style>
  <w:style w:type="paragraph" w:customStyle="1" w:styleId="GLSBullet2">
    <w:name w:val="GLS Bullet 2"/>
    <w:basedOn w:val="Normal"/>
    <w:rsid w:val="00C70B68"/>
    <w:pPr>
      <w:numPr>
        <w:numId w:val="7"/>
      </w:numPr>
      <w:autoSpaceDE w:val="0"/>
      <w:autoSpaceDN w:val="0"/>
      <w:adjustRightInd w:val="0"/>
      <w:spacing w:after="60"/>
      <w:jc w:val="left"/>
    </w:pPr>
  </w:style>
  <w:style w:type="paragraph" w:customStyle="1" w:styleId="SuicideBullet2">
    <w:name w:val="Suicide Bullet 2"/>
    <w:basedOn w:val="Normal"/>
    <w:qFormat/>
    <w:rsid w:val="00E842CC"/>
    <w:pPr>
      <w:widowControl w:val="0"/>
      <w:numPr>
        <w:ilvl w:val="1"/>
        <w:numId w:val="8"/>
      </w:numPr>
      <w:autoSpaceDE w:val="0"/>
      <w:autoSpaceDN w:val="0"/>
      <w:adjustRightInd w:val="0"/>
      <w:ind w:left="720"/>
      <w:jc w:val="left"/>
    </w:pPr>
  </w:style>
  <w:style w:type="paragraph" w:styleId="NoSpacing">
    <w:name w:val="No Spacing"/>
    <w:aliases w:val="GLS No Spacing"/>
    <w:uiPriority w:val="1"/>
    <w:qFormat/>
    <w:rsid w:val="005701B4"/>
    <w:pPr>
      <w:jc w:val="left"/>
    </w:pPr>
  </w:style>
  <w:style w:type="paragraph" w:customStyle="1" w:styleId="GLSTable2">
    <w:name w:val="GLS Table 2"/>
    <w:basedOn w:val="Normal"/>
    <w:qFormat/>
    <w:rsid w:val="00DC514E"/>
    <w:pPr>
      <w:autoSpaceDE w:val="0"/>
      <w:autoSpaceDN w:val="0"/>
      <w:adjustRightInd w:val="0"/>
      <w:spacing w:before="40" w:after="40"/>
      <w:jc w:val="left"/>
    </w:pPr>
    <w:rPr>
      <w:rFonts w:ascii="Tw Cen MT" w:hAnsi="Tw Cen MT" w:cs="Arial"/>
      <w:b/>
      <w:color w:val="000000"/>
      <w:sz w:val="22"/>
      <w:szCs w:val="20"/>
    </w:rPr>
  </w:style>
  <w:style w:type="paragraph" w:customStyle="1" w:styleId="GLSTableExhibit">
    <w:name w:val="GLS Table/Exhibit"/>
    <w:basedOn w:val="Normal"/>
    <w:rsid w:val="00DC514E"/>
    <w:pPr>
      <w:keepNext/>
      <w:autoSpaceDE w:val="0"/>
      <w:autoSpaceDN w:val="0"/>
      <w:adjustRightInd w:val="0"/>
      <w:spacing w:after="120"/>
      <w:jc w:val="center"/>
    </w:pPr>
    <w:rPr>
      <w:rFonts w:ascii="Tw Cen MT" w:hAnsi="Tw Cen MT"/>
      <w:b/>
      <w:color w:val="C86665"/>
      <w:szCs w:val="20"/>
    </w:rPr>
  </w:style>
  <w:style w:type="paragraph" w:customStyle="1" w:styleId="GLSH3">
    <w:name w:val="GLS H3"/>
    <w:basedOn w:val="Normal"/>
    <w:rsid w:val="00DC514E"/>
    <w:pPr>
      <w:keepNext/>
      <w:autoSpaceDE w:val="0"/>
      <w:autoSpaceDN w:val="0"/>
      <w:adjustRightInd w:val="0"/>
      <w:spacing w:after="120"/>
      <w:jc w:val="left"/>
    </w:pPr>
    <w:rPr>
      <w:rFonts w:ascii="Tw Cen MT" w:hAnsi="Tw Cen MT" w:cs="Arial"/>
      <w:b/>
      <w:color w:val="000000"/>
      <w:sz w:val="28"/>
    </w:rPr>
  </w:style>
  <w:style w:type="table" w:customStyle="1" w:styleId="TableGrid1">
    <w:name w:val="Table Grid1"/>
    <w:basedOn w:val="TableNormal"/>
    <w:next w:val="TableGrid"/>
    <w:uiPriority w:val="39"/>
    <w:rsid w:val="00E50CED"/>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2">
    <w:name w:val="Table Heading 2"/>
    <w:basedOn w:val="Normal"/>
    <w:rsid w:val="00DA6AE4"/>
    <w:pPr>
      <w:spacing w:before="60" w:after="60"/>
      <w:jc w:val="left"/>
    </w:pPr>
    <w:rPr>
      <w:rFonts w:ascii="Arial Narrow" w:hAnsi="Arial Narrow" w:cs="Arial"/>
      <w:b/>
      <w:color w:val="FFFFFF"/>
      <w:sz w:val="20"/>
      <w:szCs w:val="18"/>
    </w:rPr>
  </w:style>
  <w:style w:type="paragraph" w:customStyle="1" w:styleId="TableText">
    <w:name w:val="Table Text"/>
    <w:basedOn w:val="ProposalBodyText"/>
    <w:qFormat/>
    <w:rsid w:val="00DA6AE4"/>
    <w:rPr>
      <w:rFonts w:ascii="Arial" w:hAnsi="Arial"/>
      <w:sz w:val="17"/>
      <w:szCs w:val="17"/>
    </w:rPr>
  </w:style>
  <w:style w:type="paragraph" w:customStyle="1" w:styleId="TableVerticalCategory">
    <w:name w:val="Table Vertical Category"/>
    <w:basedOn w:val="Normal"/>
    <w:rsid w:val="00DA6AE4"/>
    <w:pPr>
      <w:spacing w:before="60" w:after="60"/>
      <w:jc w:val="left"/>
    </w:pPr>
    <w:rPr>
      <w:rFonts w:ascii="Arial Narrow" w:hAnsi="Arial Narrow"/>
      <w:sz w:val="20"/>
      <w:szCs w:val="18"/>
    </w:rPr>
  </w:style>
  <w:style w:type="paragraph" w:customStyle="1" w:styleId="BHTCCBullet1">
    <w:name w:val="BHTCC Bullet 1"/>
    <w:basedOn w:val="ListParagraph"/>
    <w:qFormat/>
    <w:rsid w:val="00D1349B"/>
    <w:pPr>
      <w:numPr>
        <w:numId w:val="12"/>
      </w:numPr>
      <w:spacing w:after="120"/>
      <w:jc w:val="left"/>
    </w:pPr>
    <w:rPr>
      <w:rFonts w:ascii="Ebrima" w:eastAsiaTheme="minorHAnsi" w:hAnsi="Ebrima" w:cstheme="minorBidi"/>
      <w:sz w:val="20"/>
      <w:szCs w:val="22"/>
    </w:rPr>
  </w:style>
  <w:style w:type="paragraph" w:customStyle="1" w:styleId="BHTCCTable1">
    <w:name w:val="BHTCC Table 1"/>
    <w:basedOn w:val="Normal"/>
    <w:qFormat/>
    <w:rsid w:val="00D1349B"/>
    <w:pPr>
      <w:spacing w:before="20" w:after="20"/>
      <w:jc w:val="center"/>
    </w:pPr>
    <w:rPr>
      <w:rFonts w:ascii="Arial Narrow" w:eastAsiaTheme="minorHAnsi" w:hAnsi="Arial Narrow" w:cstheme="minorBidi"/>
      <w:b/>
      <w:color w:val="FFFFFF" w:themeColor="background1"/>
      <w:sz w:val="22"/>
      <w:szCs w:val="22"/>
    </w:rPr>
  </w:style>
  <w:style w:type="paragraph" w:customStyle="1" w:styleId="BHTCCTableText">
    <w:name w:val="BHTCC Table Text"/>
    <w:link w:val="BHTCCTableTextChar"/>
    <w:qFormat/>
    <w:rsid w:val="00D1349B"/>
    <w:pPr>
      <w:spacing w:before="20" w:after="20"/>
      <w:jc w:val="left"/>
    </w:pPr>
    <w:rPr>
      <w:rFonts w:ascii="Arial Narrow" w:hAnsi="Arial Narrow"/>
    </w:rPr>
  </w:style>
  <w:style w:type="character" w:customStyle="1" w:styleId="BHTCCTableTextChar">
    <w:name w:val="BHTCC Table Text Char"/>
    <w:basedOn w:val="DefaultParagraphFont"/>
    <w:link w:val="BHTCCTableText"/>
    <w:rsid w:val="00D1349B"/>
    <w:rPr>
      <w:rFonts w:ascii="Arial Narrow" w:hAnsi="Arial Narrow"/>
    </w:rPr>
  </w:style>
  <w:style w:type="paragraph" w:customStyle="1" w:styleId="BHTCCHead4">
    <w:name w:val="BHTCC Head 4"/>
    <w:basedOn w:val="Normal"/>
    <w:qFormat/>
    <w:rsid w:val="00D1349B"/>
    <w:pPr>
      <w:spacing w:before="120" w:after="120"/>
      <w:jc w:val="left"/>
    </w:pPr>
    <w:rPr>
      <w:rFonts w:ascii="Tw Cen MT" w:eastAsiaTheme="minorHAnsi" w:hAnsi="Tw Cen MT" w:cstheme="minorBidi"/>
      <w:i/>
      <w:color w:val="000000"/>
      <w:sz w:val="26"/>
      <w:szCs w:val="44"/>
      <w14:textFill>
        <w14:solidFill>
          <w14:srgbClr w14:val="000000">
            <w14:lumMod w14:val="50000"/>
          </w14:srgbClr>
        </w14:solidFill>
      </w14:textFill>
    </w:rPr>
  </w:style>
  <w:style w:type="paragraph" w:customStyle="1" w:styleId="BHTCCBody">
    <w:name w:val="BHTCC Body"/>
    <w:basedOn w:val="Normal"/>
    <w:qFormat/>
    <w:rsid w:val="007F5E77"/>
    <w:pPr>
      <w:spacing w:after="200"/>
    </w:pPr>
    <w:rPr>
      <w:rFonts w:ascii="Ebrima" w:eastAsiaTheme="minorHAnsi" w:hAnsi="Ebrima" w:cstheme="minorBidi"/>
      <w:sz w:val="20"/>
      <w:szCs w:val="22"/>
    </w:rPr>
  </w:style>
  <w:style w:type="paragraph" w:customStyle="1" w:styleId="BHTCCExhibitFigureHead">
    <w:name w:val="BHTCC Exhibit/Figure Head"/>
    <w:basedOn w:val="Normal"/>
    <w:qFormat/>
    <w:rsid w:val="00AB7C8F"/>
    <w:pPr>
      <w:spacing w:after="120"/>
      <w:jc w:val="center"/>
    </w:pPr>
    <w:rPr>
      <w:rFonts w:ascii="Ebrima" w:eastAsiaTheme="minorHAnsi" w:hAnsi="Ebrima"/>
      <w:b/>
      <w:bCs/>
      <w:color w:val="1F4E79" w:themeColor="accent1" w:themeShade="80"/>
      <w:sz w:val="22"/>
      <w:szCs w:val="22"/>
    </w:rPr>
  </w:style>
  <w:style w:type="paragraph" w:customStyle="1" w:styleId="BHTCCFootnote">
    <w:name w:val="BHTCC Footnote"/>
    <w:basedOn w:val="FootnoteText"/>
    <w:qFormat/>
    <w:rsid w:val="00AB7C8F"/>
    <w:pPr>
      <w:autoSpaceDE/>
      <w:autoSpaceDN/>
      <w:adjustRightInd/>
      <w:jc w:val="left"/>
    </w:pPr>
    <w:rPr>
      <w:rFonts w:ascii="Arial" w:hAnsi="Arial" w:cs="Arial"/>
      <w:sz w:val="16"/>
      <w:szCs w:val="16"/>
    </w:rPr>
  </w:style>
  <w:style w:type="paragraph" w:customStyle="1" w:styleId="BHTCCTextBox1">
    <w:name w:val="BHTCC Text Box 1"/>
    <w:basedOn w:val="Normal"/>
    <w:qFormat/>
    <w:rsid w:val="00537CED"/>
    <w:pPr>
      <w:spacing w:after="120"/>
      <w:jc w:val="left"/>
    </w:pPr>
    <w:rPr>
      <w:rFonts w:ascii="Arial Narrow" w:eastAsiaTheme="minorHAnsi" w:hAnsi="Arial Narrow" w:cstheme="minorBidi"/>
      <w:b/>
      <w:color w:val="FFFFFF" w:themeColor="background1"/>
      <w:sz w:val="22"/>
      <w:szCs w:val="22"/>
    </w:rPr>
  </w:style>
  <w:style w:type="paragraph" w:customStyle="1" w:styleId="BHTCCTextBox2">
    <w:name w:val="BHTCC Text Box 2"/>
    <w:basedOn w:val="Normal"/>
    <w:qFormat/>
    <w:rsid w:val="00537CED"/>
    <w:pPr>
      <w:spacing w:after="120"/>
      <w:jc w:val="left"/>
    </w:pPr>
    <w:rPr>
      <w:rFonts w:ascii="Arial Narrow" w:eastAsiaTheme="minorHAnsi" w:hAnsi="Arial Narrow" w:cstheme="minorBidi"/>
      <w:color w:val="FFFFFF" w:themeColor="background1"/>
      <w:sz w:val="22"/>
      <w:szCs w:val="22"/>
    </w:rPr>
  </w:style>
  <w:style w:type="paragraph" w:customStyle="1" w:styleId="ICFProposalText">
    <w:name w:val="ICF Proposal Text"/>
    <w:basedOn w:val="Normal"/>
    <w:link w:val="ICFProposalTextChar"/>
    <w:qFormat/>
    <w:rsid w:val="001C13A1"/>
    <w:pPr>
      <w:spacing w:after="120"/>
    </w:pPr>
    <w:rPr>
      <w:szCs w:val="22"/>
    </w:rPr>
  </w:style>
  <w:style w:type="character" w:customStyle="1" w:styleId="ICFProposalTextChar">
    <w:name w:val="ICF Proposal Text Char"/>
    <w:link w:val="ICFProposalText"/>
    <w:locked/>
    <w:rsid w:val="001C13A1"/>
    <w:rPr>
      <w:rFonts w:ascii="Times New Roman" w:eastAsia="Times New Roman" w:hAnsi="Times New Roman" w:cs="Times New Roman"/>
      <w:sz w:val="24"/>
    </w:rPr>
  </w:style>
  <w:style w:type="paragraph" w:customStyle="1" w:styleId="ICFTableText">
    <w:name w:val="ICF Table Text"/>
    <w:basedOn w:val="Normal"/>
    <w:qFormat/>
    <w:rsid w:val="006B73C3"/>
    <w:pPr>
      <w:jc w:val="left"/>
    </w:pPr>
    <w:rPr>
      <w:rFonts w:cs="Arial"/>
      <w:bCs/>
      <w:sz w:val="19"/>
      <w:szCs w:val="18"/>
    </w:rPr>
  </w:style>
  <w:style w:type="paragraph" w:customStyle="1" w:styleId="ICFExhibitTitle">
    <w:name w:val="ICF Exhibit Title"/>
    <w:basedOn w:val="Normal"/>
    <w:rsid w:val="006B73C3"/>
    <w:pPr>
      <w:keepNext/>
      <w:spacing w:after="120"/>
      <w:jc w:val="center"/>
    </w:pPr>
    <w:rPr>
      <w:rFonts w:cs="Arial"/>
      <w:b/>
      <w:szCs w:val="22"/>
    </w:rPr>
  </w:style>
  <w:style w:type="paragraph" w:customStyle="1" w:styleId="ICFTableHeading">
    <w:name w:val="ICF Table Heading"/>
    <w:basedOn w:val="Normal"/>
    <w:qFormat/>
    <w:rsid w:val="006B73C3"/>
    <w:pPr>
      <w:jc w:val="center"/>
    </w:pPr>
    <w:rPr>
      <w:rFonts w:cs="Arial"/>
      <w:b/>
      <w:color w:val="FFFFFF"/>
      <w:sz w:val="19"/>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3153">
      <w:bodyDiv w:val="1"/>
      <w:marLeft w:val="0"/>
      <w:marRight w:val="0"/>
      <w:marTop w:val="0"/>
      <w:marBottom w:val="0"/>
      <w:divBdr>
        <w:top w:val="none" w:sz="0" w:space="0" w:color="auto"/>
        <w:left w:val="none" w:sz="0" w:space="0" w:color="auto"/>
        <w:bottom w:val="none" w:sz="0" w:space="0" w:color="auto"/>
        <w:right w:val="none" w:sz="0" w:space="0" w:color="auto"/>
      </w:divBdr>
    </w:div>
    <w:div w:id="815495535">
      <w:bodyDiv w:val="1"/>
      <w:marLeft w:val="0"/>
      <w:marRight w:val="0"/>
      <w:marTop w:val="0"/>
      <w:marBottom w:val="0"/>
      <w:divBdr>
        <w:top w:val="none" w:sz="0" w:space="0" w:color="auto"/>
        <w:left w:val="none" w:sz="0" w:space="0" w:color="auto"/>
        <w:bottom w:val="none" w:sz="0" w:space="0" w:color="auto"/>
        <w:right w:val="none" w:sz="0" w:space="0" w:color="auto"/>
      </w:divBdr>
    </w:div>
    <w:div w:id="1617056633">
      <w:bodyDiv w:val="1"/>
      <w:marLeft w:val="0"/>
      <w:marRight w:val="0"/>
      <w:marTop w:val="0"/>
      <w:marBottom w:val="0"/>
      <w:divBdr>
        <w:top w:val="none" w:sz="0" w:space="0" w:color="auto"/>
        <w:left w:val="none" w:sz="0" w:space="0" w:color="auto"/>
        <w:bottom w:val="none" w:sz="0" w:space="0" w:color="auto"/>
        <w:right w:val="none" w:sz="0" w:space="0" w:color="auto"/>
      </w:divBdr>
    </w:div>
    <w:div w:id="164858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in.Davis@icfi.com" TargetMode="External"/><Relationship Id="rId13" Type="http://schemas.openxmlformats.org/officeDocument/2006/relationships/hyperlink" Target="mailto:Marian.scheinholtz@samhsa.hhs.go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hristine.walrath@icfi.com" TargetMode="External"/><Relationship Id="rId17" Type="http://schemas.openxmlformats.org/officeDocument/2006/relationships/hyperlink" Target="http://www.samhsa.gov/grants/grant-announcements/sm-14-011" TargetMode="External"/><Relationship Id="rId2" Type="http://schemas.openxmlformats.org/officeDocument/2006/relationships/numbering" Target="numbering.xml"/><Relationship Id="rId16" Type="http://schemas.openxmlformats.org/officeDocument/2006/relationships/hyperlink" Target="http://www.dpw.state.pa.us/communitypartners/pennsylvaniacommunitysupportprogramcsp/index.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gan.Brooks@icfi.com" TargetMode="External"/><Relationship Id="rId5" Type="http://schemas.openxmlformats.org/officeDocument/2006/relationships/webSettings" Target="webSettings.xml"/><Relationship Id="rId15" Type="http://schemas.openxmlformats.org/officeDocument/2006/relationships/hyperlink" Target="https://oig.hhs.gov/oei/reports/oei-05-92-00120.pdf" TargetMode="External"/><Relationship Id="rId10" Type="http://schemas.openxmlformats.org/officeDocument/2006/relationships/hyperlink" Target="mailto:Lucas.GodoyGarraza@icfi.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obin.Davis@icfi.com" TargetMode="External"/><Relationship Id="rId14" Type="http://schemas.openxmlformats.org/officeDocument/2006/relationships/hyperlink" Target="mailto:Aly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21849-93E2-495B-BF49-A42F3EB60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6584</Words>
  <Characters>37532</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44028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Sgro</dc:creator>
  <cp:lastModifiedBy>Davis, Robin</cp:lastModifiedBy>
  <cp:revision>3</cp:revision>
  <dcterms:created xsi:type="dcterms:W3CDTF">2016-09-08T15:21:00Z</dcterms:created>
  <dcterms:modified xsi:type="dcterms:W3CDTF">2016-09-08T15:21:00Z</dcterms:modified>
</cp:coreProperties>
</file>