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9DE2C" w14:textId="15C19C43" w:rsidR="00890380" w:rsidRDefault="00D40A0A" w:rsidP="0001203A">
      <w:pPr>
        <w:pStyle w:val="Title"/>
      </w:pPr>
      <w:r>
        <w:t>NOW IS THE TIME (NITT)</w:t>
      </w:r>
      <w:r w:rsidR="0001203A">
        <w:t xml:space="preserve"> </w:t>
      </w:r>
      <w:r w:rsidR="00765E2B">
        <w:t xml:space="preserve">– MINORITY FELLOWSHIP PROGRAM </w:t>
      </w:r>
      <w:r w:rsidR="00110BDF">
        <w:t xml:space="preserve">(MFP) </w:t>
      </w:r>
      <w:r w:rsidR="00765E2B">
        <w:t>EVALUATION</w:t>
      </w:r>
    </w:p>
    <w:p w14:paraId="706D3D0F" w14:textId="77777777" w:rsidR="000F51C7" w:rsidRDefault="0003189F" w:rsidP="0001203A">
      <w:pPr>
        <w:pStyle w:val="Title"/>
      </w:pPr>
      <w:r w:rsidRPr="000F51C7">
        <w:t>SUPPORTING STATEMENT</w:t>
      </w:r>
    </w:p>
    <w:p w14:paraId="29CC6B0D" w14:textId="77777777" w:rsidR="000F51C7" w:rsidRDefault="0003189F" w:rsidP="000F51C7">
      <w:pPr>
        <w:pStyle w:val="Heading1"/>
      </w:pPr>
      <w:r>
        <w:t>JUSTIFICATION</w:t>
      </w:r>
    </w:p>
    <w:p w14:paraId="22339C47" w14:textId="77777777" w:rsidR="000F51C7" w:rsidRDefault="0003189F" w:rsidP="000F51C7">
      <w:pPr>
        <w:pStyle w:val="Heading2"/>
      </w:pPr>
      <w:r w:rsidRPr="001F42AB">
        <w:t>Circumstances of Information Collection</w:t>
      </w:r>
    </w:p>
    <w:p w14:paraId="2B40E3FB" w14:textId="0B9CC584" w:rsidR="00A95284" w:rsidRPr="00892D9F" w:rsidRDefault="00A95284" w:rsidP="007627AB">
      <w:pPr>
        <w:rPr>
          <w:sz w:val="24"/>
          <w:szCs w:val="24"/>
        </w:rPr>
      </w:pPr>
      <w:r w:rsidRPr="00892D9F">
        <w:rPr>
          <w:sz w:val="24"/>
          <w:szCs w:val="24"/>
        </w:rPr>
        <w:t xml:space="preserve">The Substance Abuse and Mental Health Services Administration’s (SAMHSA) Center for Mental Health Services (CMHS) is requesting approval from the Office of Management and Budget (OMB) for new data collection activities for SAMHSA’s Evaluation of the </w:t>
      </w:r>
      <w:r w:rsidR="00110BDF" w:rsidRPr="00892D9F">
        <w:rPr>
          <w:sz w:val="24"/>
          <w:szCs w:val="24"/>
        </w:rPr>
        <w:t xml:space="preserve">MFP – Youth </w:t>
      </w:r>
      <w:r w:rsidR="00F165C1" w:rsidRPr="00892D9F">
        <w:rPr>
          <w:sz w:val="24"/>
          <w:szCs w:val="24"/>
        </w:rPr>
        <w:t>and</w:t>
      </w:r>
      <w:r w:rsidR="00110BDF" w:rsidRPr="00892D9F">
        <w:rPr>
          <w:sz w:val="24"/>
          <w:szCs w:val="24"/>
        </w:rPr>
        <w:t xml:space="preserve"> MFP – Addiction Counselors</w:t>
      </w:r>
      <w:r w:rsidRPr="00892D9F">
        <w:rPr>
          <w:sz w:val="24"/>
          <w:szCs w:val="24"/>
        </w:rPr>
        <w:t xml:space="preserve"> program</w:t>
      </w:r>
      <w:r w:rsidR="00110BDF" w:rsidRPr="00892D9F">
        <w:rPr>
          <w:sz w:val="24"/>
          <w:szCs w:val="24"/>
        </w:rPr>
        <w:t>s</w:t>
      </w:r>
      <w:r w:rsidRPr="00892D9F">
        <w:rPr>
          <w:sz w:val="24"/>
          <w:szCs w:val="24"/>
        </w:rPr>
        <w:t>, part of the Now Is The Time (NITT) initiative</w:t>
      </w:r>
      <w:r w:rsidR="007627AB">
        <w:rPr>
          <w:sz w:val="24"/>
          <w:szCs w:val="24"/>
        </w:rPr>
        <w:t xml:space="preserve">.  </w:t>
      </w:r>
      <w:r w:rsidRPr="00892D9F">
        <w:rPr>
          <w:sz w:val="24"/>
          <w:szCs w:val="24"/>
        </w:rPr>
        <w:t>SAMHSA’s NITT initiative aims to better protect U.S</w:t>
      </w:r>
      <w:r w:rsidR="007627AB">
        <w:rPr>
          <w:sz w:val="24"/>
          <w:szCs w:val="24"/>
        </w:rPr>
        <w:t xml:space="preserve">. </w:t>
      </w:r>
      <w:r w:rsidRPr="00892D9F">
        <w:rPr>
          <w:sz w:val="24"/>
          <w:szCs w:val="24"/>
        </w:rPr>
        <w:t>children from violence by making schools safer and increasing access to mental health services</w:t>
      </w:r>
      <w:r w:rsidR="007627AB">
        <w:rPr>
          <w:sz w:val="24"/>
          <w:szCs w:val="24"/>
        </w:rPr>
        <w:t xml:space="preserve">.  </w:t>
      </w:r>
      <w:r w:rsidRPr="00892D9F">
        <w:rPr>
          <w:sz w:val="24"/>
          <w:szCs w:val="24"/>
        </w:rPr>
        <w:t>Programs included are NITT Project AWARE, Healthy Transitions and M</w:t>
      </w:r>
      <w:r w:rsidR="00110BDF" w:rsidRPr="00892D9F">
        <w:rPr>
          <w:sz w:val="24"/>
          <w:szCs w:val="24"/>
        </w:rPr>
        <w:t>FP</w:t>
      </w:r>
      <w:r w:rsidRPr="00892D9F">
        <w:rPr>
          <w:sz w:val="24"/>
          <w:szCs w:val="24"/>
        </w:rPr>
        <w:t xml:space="preserve"> (Youth and Addiction Counselors)</w:t>
      </w:r>
      <w:r w:rsidR="007627AB">
        <w:rPr>
          <w:sz w:val="24"/>
          <w:szCs w:val="24"/>
        </w:rPr>
        <w:t xml:space="preserve">.  </w:t>
      </w:r>
      <w:r w:rsidRPr="00892D9F">
        <w:rPr>
          <w:sz w:val="24"/>
          <w:szCs w:val="24"/>
        </w:rPr>
        <w:t>While SAMHSA’s NITT initiative includes separate programs, these programs are united by their focus on capacity building, system change and workforce development</w:t>
      </w:r>
      <w:r w:rsidR="007627AB">
        <w:rPr>
          <w:sz w:val="24"/>
          <w:szCs w:val="24"/>
        </w:rPr>
        <w:t xml:space="preserve">.  </w:t>
      </w:r>
      <w:r w:rsidRPr="00892D9F">
        <w:rPr>
          <w:sz w:val="24"/>
          <w:szCs w:val="24"/>
        </w:rPr>
        <w:t>The NITT national evaluation is scheduled through March 1, 2020 and will conduct a national cross program evaluation of all three grant programs.</w:t>
      </w:r>
    </w:p>
    <w:p w14:paraId="56665B88" w14:textId="1649D0E9" w:rsidR="00C05339" w:rsidRPr="007D4208" w:rsidRDefault="00A95284" w:rsidP="007D4208">
      <w:pPr>
        <w:rPr>
          <w:sz w:val="24"/>
          <w:szCs w:val="24"/>
        </w:rPr>
      </w:pPr>
      <w:r w:rsidRPr="00892D9F">
        <w:rPr>
          <w:sz w:val="24"/>
          <w:szCs w:val="24"/>
        </w:rPr>
        <w:t>The data collection activit</w:t>
      </w:r>
      <w:r w:rsidR="008E4EE3" w:rsidRPr="00892D9F">
        <w:rPr>
          <w:sz w:val="24"/>
          <w:szCs w:val="24"/>
        </w:rPr>
        <w:t>y</w:t>
      </w:r>
      <w:r w:rsidRPr="00892D9F">
        <w:rPr>
          <w:sz w:val="24"/>
          <w:szCs w:val="24"/>
        </w:rPr>
        <w:t xml:space="preserve"> described in this package pertain</w:t>
      </w:r>
      <w:r w:rsidR="00892D9F" w:rsidRPr="00892D9F">
        <w:rPr>
          <w:sz w:val="24"/>
          <w:szCs w:val="24"/>
        </w:rPr>
        <w:t>s</w:t>
      </w:r>
      <w:r w:rsidRPr="00892D9F">
        <w:rPr>
          <w:sz w:val="24"/>
          <w:szCs w:val="24"/>
        </w:rPr>
        <w:t xml:space="preserve"> exclusively to the</w:t>
      </w:r>
      <w:r w:rsidR="00970D5B" w:rsidRPr="00892D9F">
        <w:rPr>
          <w:sz w:val="24"/>
          <w:szCs w:val="24"/>
        </w:rPr>
        <w:t xml:space="preserve"> telephone interviews that will be conducted for the</w:t>
      </w:r>
      <w:r w:rsidRPr="00892D9F">
        <w:rPr>
          <w:sz w:val="24"/>
          <w:szCs w:val="24"/>
        </w:rPr>
        <w:t xml:space="preserve"> NITT-M</w:t>
      </w:r>
      <w:r w:rsidR="00110BDF" w:rsidRPr="00892D9F">
        <w:rPr>
          <w:sz w:val="24"/>
          <w:szCs w:val="24"/>
        </w:rPr>
        <w:t>FP</w:t>
      </w:r>
      <w:r w:rsidRPr="00892D9F">
        <w:rPr>
          <w:sz w:val="24"/>
          <w:szCs w:val="24"/>
        </w:rPr>
        <w:t xml:space="preserve"> program components of the national evaluation</w:t>
      </w:r>
      <w:r w:rsidR="007627AB">
        <w:rPr>
          <w:sz w:val="24"/>
          <w:szCs w:val="24"/>
        </w:rPr>
        <w:t xml:space="preserve">.  </w:t>
      </w:r>
      <w:r w:rsidRPr="00892D9F">
        <w:rPr>
          <w:sz w:val="24"/>
          <w:szCs w:val="24"/>
        </w:rPr>
        <w:t xml:space="preserve">SAMHSA is requesting approval for </w:t>
      </w:r>
      <w:r w:rsidR="008E4EE3" w:rsidRPr="00892D9F">
        <w:rPr>
          <w:sz w:val="24"/>
          <w:szCs w:val="24"/>
        </w:rPr>
        <w:t xml:space="preserve">the </w:t>
      </w:r>
      <w:r w:rsidR="00892D9F">
        <w:rPr>
          <w:sz w:val="24"/>
          <w:szCs w:val="24"/>
        </w:rPr>
        <w:t xml:space="preserve">following </w:t>
      </w:r>
      <w:r w:rsidRPr="00892D9F">
        <w:rPr>
          <w:sz w:val="24"/>
          <w:szCs w:val="24"/>
        </w:rPr>
        <w:t>data collection</w:t>
      </w:r>
      <w:r w:rsidR="00B7211E">
        <w:rPr>
          <w:sz w:val="24"/>
          <w:szCs w:val="24"/>
        </w:rPr>
        <w:t xml:space="preserve">:  </w:t>
      </w:r>
      <w:r w:rsidR="007D4208">
        <w:rPr>
          <w:sz w:val="24"/>
          <w:szCs w:val="24"/>
        </w:rPr>
        <w:t xml:space="preserve">the </w:t>
      </w:r>
      <w:r w:rsidR="00C41E18" w:rsidRPr="007D4208">
        <w:rPr>
          <w:i/>
          <w:iCs/>
          <w:sz w:val="24"/>
          <w:szCs w:val="24"/>
        </w:rPr>
        <w:t>NITT-</w:t>
      </w:r>
      <w:r w:rsidR="000B236C" w:rsidRPr="007D4208">
        <w:rPr>
          <w:i/>
          <w:iCs/>
          <w:sz w:val="24"/>
          <w:szCs w:val="24"/>
        </w:rPr>
        <w:t>MFP Fellow Interview</w:t>
      </w:r>
      <w:r w:rsidRPr="007D4208">
        <w:rPr>
          <w:sz w:val="24"/>
          <w:szCs w:val="24"/>
        </w:rPr>
        <w:t xml:space="preserve">, </w:t>
      </w:r>
      <w:r w:rsidR="00970D5B" w:rsidRPr="007D4208">
        <w:rPr>
          <w:sz w:val="24"/>
          <w:szCs w:val="24"/>
        </w:rPr>
        <w:t>which will</w:t>
      </w:r>
      <w:r w:rsidRPr="007D4208">
        <w:rPr>
          <w:sz w:val="24"/>
          <w:szCs w:val="24"/>
        </w:rPr>
        <w:t xml:space="preserve"> collect</w:t>
      </w:r>
      <w:r w:rsidR="000B236C" w:rsidRPr="007D4208">
        <w:rPr>
          <w:sz w:val="24"/>
          <w:szCs w:val="24"/>
        </w:rPr>
        <w:t xml:space="preserve"> detailed</w:t>
      </w:r>
      <w:r w:rsidRPr="007D4208">
        <w:rPr>
          <w:sz w:val="24"/>
          <w:szCs w:val="24"/>
        </w:rPr>
        <w:t xml:space="preserve"> information </w:t>
      </w:r>
      <w:r w:rsidR="000B236C" w:rsidRPr="007D4208">
        <w:rPr>
          <w:sz w:val="24"/>
          <w:szCs w:val="24"/>
        </w:rPr>
        <w:t xml:space="preserve">from a subset of fellowship participants </w:t>
      </w:r>
      <w:r w:rsidRPr="007D4208">
        <w:rPr>
          <w:sz w:val="24"/>
          <w:szCs w:val="24"/>
        </w:rPr>
        <w:t xml:space="preserve">on </w:t>
      </w:r>
      <w:r w:rsidR="000B236C" w:rsidRPr="007D4208">
        <w:rPr>
          <w:sz w:val="24"/>
          <w:szCs w:val="24"/>
        </w:rPr>
        <w:t xml:space="preserve">their motivations </w:t>
      </w:r>
      <w:r w:rsidR="00B4125F" w:rsidRPr="007D4208">
        <w:rPr>
          <w:sz w:val="24"/>
          <w:szCs w:val="24"/>
        </w:rPr>
        <w:t>to</w:t>
      </w:r>
      <w:r w:rsidR="000B236C" w:rsidRPr="007D4208">
        <w:rPr>
          <w:sz w:val="24"/>
          <w:szCs w:val="24"/>
        </w:rPr>
        <w:t xml:space="preserve"> apply for the program, the skills and information they learned as fellows, and the influence of the program on their career plans</w:t>
      </w:r>
      <w:r w:rsidR="007627AB">
        <w:rPr>
          <w:sz w:val="24"/>
          <w:szCs w:val="24"/>
        </w:rPr>
        <w:t xml:space="preserve">.  </w:t>
      </w:r>
      <w:r w:rsidRPr="007D4208">
        <w:rPr>
          <w:b/>
          <w:sz w:val="24"/>
          <w:szCs w:val="24"/>
        </w:rPr>
        <w:t xml:space="preserve">(Attachment </w:t>
      </w:r>
      <w:r w:rsidR="00970D5B" w:rsidRPr="007D4208">
        <w:rPr>
          <w:b/>
          <w:sz w:val="24"/>
          <w:szCs w:val="24"/>
        </w:rPr>
        <w:t>1</w:t>
      </w:r>
      <w:r w:rsidRPr="007D4208">
        <w:rPr>
          <w:b/>
          <w:sz w:val="24"/>
          <w:szCs w:val="24"/>
        </w:rPr>
        <w:t>)</w:t>
      </w:r>
    </w:p>
    <w:p w14:paraId="37751E02" w14:textId="3A3C799C" w:rsidR="00C22787" w:rsidRPr="00892D9F" w:rsidRDefault="00C22787" w:rsidP="00080F92">
      <w:pPr>
        <w:rPr>
          <w:sz w:val="24"/>
          <w:szCs w:val="24"/>
        </w:rPr>
      </w:pPr>
      <w:r w:rsidRPr="00892D9F">
        <w:rPr>
          <w:sz w:val="24"/>
          <w:szCs w:val="24"/>
        </w:rPr>
        <w:t>SAMHSA’s NITT-MFP</w:t>
      </w:r>
      <w:r w:rsidR="00B4125F" w:rsidRPr="00892D9F">
        <w:rPr>
          <w:sz w:val="24"/>
          <w:szCs w:val="24"/>
        </w:rPr>
        <w:t xml:space="preserve"> – Youth</w:t>
      </w:r>
      <w:r w:rsidRPr="00892D9F">
        <w:rPr>
          <w:sz w:val="24"/>
          <w:szCs w:val="24"/>
        </w:rPr>
        <w:t xml:space="preserve"> program is authorized under Section 520A of the Public Health Service Act, as amended, and addresses the Healthy People 2020 Mental Health and Mental Disorders Topic Area (HP 2020-MHMD) and Substance Abuse Topic Area (HP 2020-SA)</w:t>
      </w:r>
      <w:r w:rsidR="007627AB">
        <w:rPr>
          <w:sz w:val="24"/>
          <w:szCs w:val="24"/>
        </w:rPr>
        <w:t xml:space="preserve">.  </w:t>
      </w:r>
      <w:r w:rsidR="00A47488" w:rsidRPr="00892D9F">
        <w:rPr>
          <w:sz w:val="24"/>
          <w:szCs w:val="24"/>
        </w:rPr>
        <w:t>SAMHSA’s NITT-MFP – Addiction Counselors program is authorized under Section 509 of the Public Health Service Act, as amended, and addresses the Healthy People 2020 Substance Abuse Topic Area (HP 2020-SA)</w:t>
      </w:r>
      <w:r w:rsidR="007627AB">
        <w:rPr>
          <w:sz w:val="24"/>
          <w:szCs w:val="24"/>
        </w:rPr>
        <w:t xml:space="preserve">.  </w:t>
      </w:r>
      <w:r w:rsidR="00A47488" w:rsidRPr="00892D9F">
        <w:rPr>
          <w:sz w:val="24"/>
          <w:szCs w:val="24"/>
        </w:rPr>
        <w:t xml:space="preserve">Both </w:t>
      </w:r>
      <w:r w:rsidRPr="00892D9F">
        <w:rPr>
          <w:sz w:val="24"/>
          <w:szCs w:val="24"/>
        </w:rPr>
        <w:t>NITT-MFP</w:t>
      </w:r>
      <w:r w:rsidR="00A47488" w:rsidRPr="00892D9F">
        <w:rPr>
          <w:sz w:val="24"/>
          <w:szCs w:val="24"/>
        </w:rPr>
        <w:t xml:space="preserve"> programs</w:t>
      </w:r>
      <w:r w:rsidRPr="00892D9F">
        <w:rPr>
          <w:sz w:val="24"/>
          <w:szCs w:val="24"/>
        </w:rPr>
        <w:t xml:space="preserve"> also support two of SAMHSA’s Strategic Initiatives</w:t>
      </w:r>
      <w:r w:rsidR="00B7211E">
        <w:rPr>
          <w:sz w:val="24"/>
          <w:szCs w:val="24"/>
        </w:rPr>
        <w:t xml:space="preserve">:  </w:t>
      </w:r>
      <w:r w:rsidRPr="00892D9F">
        <w:rPr>
          <w:sz w:val="24"/>
          <w:szCs w:val="24"/>
        </w:rPr>
        <w:t xml:space="preserve">(1) Prevention of Substance Abuse and Mental illness, and (2) </w:t>
      </w:r>
      <w:r w:rsidR="00CA62E8" w:rsidRPr="00892D9F">
        <w:rPr>
          <w:sz w:val="24"/>
          <w:szCs w:val="24"/>
        </w:rPr>
        <w:t>Workforce Development</w:t>
      </w:r>
      <w:r w:rsidR="007627AB">
        <w:rPr>
          <w:sz w:val="24"/>
          <w:szCs w:val="24"/>
        </w:rPr>
        <w:t xml:space="preserve">.  </w:t>
      </w:r>
      <w:r w:rsidRPr="00892D9F">
        <w:rPr>
          <w:sz w:val="24"/>
          <w:szCs w:val="24"/>
        </w:rPr>
        <w:t>Finally, this effort supports the fourth component of the President’s NITT Plan, to increase access to mental health</w:t>
      </w:r>
      <w:r w:rsidR="00A47488" w:rsidRPr="00892D9F">
        <w:rPr>
          <w:sz w:val="24"/>
          <w:szCs w:val="24"/>
        </w:rPr>
        <w:t>/behavioral health</w:t>
      </w:r>
      <w:r w:rsidRPr="00892D9F">
        <w:rPr>
          <w:sz w:val="24"/>
          <w:szCs w:val="24"/>
        </w:rPr>
        <w:t xml:space="preserve"> services.</w:t>
      </w:r>
    </w:p>
    <w:p w14:paraId="66182C0C" w14:textId="77777777" w:rsidR="00516E76" w:rsidRPr="00892D9F" w:rsidRDefault="003C6E56" w:rsidP="0001203A">
      <w:pPr>
        <w:pStyle w:val="Heading5"/>
        <w:rPr>
          <w:sz w:val="24"/>
          <w:szCs w:val="24"/>
        </w:rPr>
      </w:pPr>
      <w:r w:rsidRPr="00892D9F">
        <w:rPr>
          <w:sz w:val="24"/>
          <w:szCs w:val="24"/>
        </w:rPr>
        <w:t>Scope of the Issue</w:t>
      </w:r>
    </w:p>
    <w:p w14:paraId="73923867" w14:textId="7AECA655" w:rsidR="006F6108" w:rsidRPr="00892D9F" w:rsidRDefault="006F6108" w:rsidP="00080F92">
      <w:pPr>
        <w:rPr>
          <w:sz w:val="24"/>
          <w:szCs w:val="24"/>
        </w:rPr>
      </w:pPr>
      <w:r w:rsidRPr="00892D9F">
        <w:rPr>
          <w:sz w:val="24"/>
          <w:szCs w:val="24"/>
        </w:rPr>
        <w:t>The President’s NITT initiative responds in part to the fact that many children, youth</w:t>
      </w:r>
      <w:r w:rsidR="006B5C2E" w:rsidRPr="00892D9F">
        <w:rPr>
          <w:sz w:val="24"/>
          <w:szCs w:val="24"/>
        </w:rPr>
        <w:t>,</w:t>
      </w:r>
      <w:r w:rsidRPr="00892D9F">
        <w:rPr>
          <w:sz w:val="24"/>
          <w:szCs w:val="24"/>
        </w:rPr>
        <w:t xml:space="preserve"> and young adults who need behavioral health services do not receive them, and this is particularly so for </w:t>
      </w:r>
      <w:r w:rsidR="006B5C2E" w:rsidRPr="00892D9F">
        <w:rPr>
          <w:sz w:val="24"/>
          <w:szCs w:val="24"/>
        </w:rPr>
        <w:t>minority populations</w:t>
      </w:r>
      <w:r w:rsidR="007627AB">
        <w:rPr>
          <w:sz w:val="24"/>
          <w:szCs w:val="24"/>
        </w:rPr>
        <w:t xml:space="preserve">.  </w:t>
      </w:r>
      <w:r w:rsidRPr="00892D9F">
        <w:rPr>
          <w:sz w:val="24"/>
          <w:szCs w:val="24"/>
        </w:rPr>
        <w:t xml:space="preserve">Racial and ethnic minorities have less access to </w:t>
      </w:r>
      <w:r w:rsidR="006B5C2E" w:rsidRPr="00892D9F">
        <w:rPr>
          <w:sz w:val="24"/>
          <w:szCs w:val="24"/>
        </w:rPr>
        <w:t xml:space="preserve">behavioral </w:t>
      </w:r>
      <w:r w:rsidRPr="00892D9F">
        <w:rPr>
          <w:sz w:val="24"/>
          <w:szCs w:val="24"/>
        </w:rPr>
        <w:t xml:space="preserve">health services than whites and, when they do receive </w:t>
      </w:r>
      <w:r w:rsidR="006B5C2E" w:rsidRPr="00892D9F">
        <w:rPr>
          <w:sz w:val="24"/>
          <w:szCs w:val="24"/>
        </w:rPr>
        <w:t>behavioral</w:t>
      </w:r>
      <w:r w:rsidRPr="00892D9F">
        <w:rPr>
          <w:sz w:val="24"/>
          <w:szCs w:val="24"/>
        </w:rPr>
        <w:t xml:space="preserve"> health treatment, it is more likely to be of poor quality</w:t>
      </w:r>
      <w:r w:rsidR="007627AB">
        <w:rPr>
          <w:sz w:val="24"/>
          <w:szCs w:val="24"/>
        </w:rPr>
        <w:t xml:space="preserve">.  </w:t>
      </w:r>
      <w:r w:rsidRPr="00892D9F">
        <w:rPr>
          <w:sz w:val="24"/>
          <w:szCs w:val="24"/>
        </w:rPr>
        <w:t>A key component in reducing disparity in access to behavioral health services is attention to behavioral health workforce development</w:t>
      </w:r>
      <w:r w:rsidR="007627AB">
        <w:rPr>
          <w:sz w:val="24"/>
          <w:szCs w:val="24"/>
        </w:rPr>
        <w:t xml:space="preserve">.  </w:t>
      </w:r>
      <w:r w:rsidRPr="00892D9F">
        <w:rPr>
          <w:sz w:val="24"/>
          <w:szCs w:val="24"/>
        </w:rPr>
        <w:t xml:space="preserve">The behavioral health workforce is </w:t>
      </w:r>
      <w:r w:rsidRPr="00892D9F">
        <w:rPr>
          <w:sz w:val="24"/>
          <w:szCs w:val="24"/>
        </w:rPr>
        <w:lastRenderedPageBreak/>
        <w:t>inadequate to address the expanding needs of U.S. children, youth, and young adults</w:t>
      </w:r>
      <w:r w:rsidR="007627AB">
        <w:rPr>
          <w:sz w:val="24"/>
          <w:szCs w:val="24"/>
        </w:rPr>
        <w:t xml:space="preserve">.  </w:t>
      </w:r>
      <w:r w:rsidRPr="00892D9F">
        <w:rPr>
          <w:sz w:val="24"/>
          <w:szCs w:val="24"/>
        </w:rPr>
        <w:t>There are not enough behavioral health providers, particularly in rural communities, and inadequate resources to support behavioral health provider training and ongoing supervision (IOM, 2006)</w:t>
      </w:r>
      <w:r w:rsidR="007627AB">
        <w:rPr>
          <w:sz w:val="24"/>
          <w:szCs w:val="24"/>
        </w:rPr>
        <w:t xml:space="preserve">.  </w:t>
      </w:r>
      <w:r w:rsidRPr="00892D9F">
        <w:rPr>
          <w:sz w:val="24"/>
          <w:szCs w:val="24"/>
        </w:rPr>
        <w:t>Several recent changes will increase the need for an adequate supply of skilled behavioral health workers</w:t>
      </w:r>
      <w:r w:rsidR="00B7211E">
        <w:rPr>
          <w:sz w:val="24"/>
          <w:szCs w:val="24"/>
        </w:rPr>
        <w:t xml:space="preserve">:  </w:t>
      </w:r>
      <w:r w:rsidRPr="00892D9F">
        <w:rPr>
          <w:sz w:val="24"/>
          <w:szCs w:val="24"/>
        </w:rPr>
        <w:t xml:space="preserve">1) </w:t>
      </w:r>
      <w:r w:rsidR="00256D31" w:rsidRPr="00892D9F">
        <w:rPr>
          <w:sz w:val="24"/>
          <w:szCs w:val="24"/>
        </w:rPr>
        <w:t>recent policies</w:t>
      </w:r>
      <w:r w:rsidRPr="00892D9F">
        <w:rPr>
          <w:sz w:val="24"/>
          <w:szCs w:val="24"/>
        </w:rPr>
        <w:t xml:space="preserve"> will increase the number of people with coverage for behavioral health care; 2) increased use of screening in primary care settings will identify more behavioral health needs; 3) many returning veterans will need services; and 4) state initiatives to reduce prison populations will introduce more individuals with behavioral health needs back into communities (SAMHSA, 2013).</w:t>
      </w:r>
    </w:p>
    <w:p w14:paraId="4B8AA9CC" w14:textId="246CDC3F" w:rsidR="006F6108" w:rsidRPr="00892D9F" w:rsidRDefault="006F6108" w:rsidP="00080F92">
      <w:pPr>
        <w:rPr>
          <w:sz w:val="24"/>
          <w:szCs w:val="24"/>
        </w:rPr>
      </w:pPr>
      <w:r w:rsidRPr="00892D9F">
        <w:rPr>
          <w:sz w:val="24"/>
          <w:szCs w:val="24"/>
        </w:rPr>
        <w:t>The current behavioral health workforce is aging and large numbers will retire in the next few decades (SAMHSA, 2013)</w:t>
      </w:r>
      <w:r w:rsidR="007627AB">
        <w:rPr>
          <w:sz w:val="24"/>
          <w:szCs w:val="24"/>
        </w:rPr>
        <w:t xml:space="preserve">.  </w:t>
      </w:r>
      <w:r w:rsidRPr="00892D9F">
        <w:rPr>
          <w:sz w:val="24"/>
          <w:szCs w:val="24"/>
        </w:rPr>
        <w:t>However, it is difficult to recruit and retain highly qualified individuals into these occupations because the compensation is low relative to the high job stress and heavy workloads (Bureau of Labor Statistics [BLS], 2012), and there is prejudice associated with mental health and substance abuse occupations (IOM, 2006)</w:t>
      </w:r>
      <w:r w:rsidR="007627AB">
        <w:rPr>
          <w:sz w:val="24"/>
          <w:szCs w:val="24"/>
        </w:rPr>
        <w:t xml:space="preserve">.  </w:t>
      </w:r>
      <w:r w:rsidRPr="00892D9F">
        <w:rPr>
          <w:sz w:val="24"/>
          <w:szCs w:val="24"/>
        </w:rPr>
        <w:t>The high turnover rates in behavioral health jobs are also attributed to lack of clear professional pathways or career ladders, and the absence of effective supervision to mentor, lead, and develop staff (</w:t>
      </w:r>
      <w:proofErr w:type="spellStart"/>
      <w:r w:rsidRPr="00892D9F">
        <w:rPr>
          <w:sz w:val="24"/>
          <w:szCs w:val="24"/>
        </w:rPr>
        <w:t>Hoge</w:t>
      </w:r>
      <w:proofErr w:type="spellEnd"/>
      <w:r w:rsidRPr="00892D9F">
        <w:rPr>
          <w:sz w:val="24"/>
          <w:szCs w:val="24"/>
        </w:rPr>
        <w:t>, et al., 2007)</w:t>
      </w:r>
      <w:r w:rsidR="007627AB">
        <w:rPr>
          <w:sz w:val="24"/>
          <w:szCs w:val="24"/>
        </w:rPr>
        <w:t xml:space="preserve">.  </w:t>
      </w:r>
      <w:r w:rsidRPr="00892D9F">
        <w:rPr>
          <w:sz w:val="24"/>
          <w:szCs w:val="24"/>
        </w:rPr>
        <w:t>BLS projects that between 2012 and 2022, an additional 28,000 Substance Abuse and Behavioral Disorder Counselors, and an additional 48,200 Mental Health Counselors and Marriage and Family Therapists will be needed (BLS, 2012)</w:t>
      </w:r>
      <w:r w:rsidR="007627AB">
        <w:rPr>
          <w:sz w:val="24"/>
          <w:szCs w:val="24"/>
        </w:rPr>
        <w:t xml:space="preserve">.  </w:t>
      </w:r>
      <w:r w:rsidRPr="00892D9F">
        <w:rPr>
          <w:sz w:val="24"/>
          <w:szCs w:val="24"/>
        </w:rPr>
        <w:t xml:space="preserve">Without proactive measures, the current deficits across behavioral health professional disciplines will worsen. </w:t>
      </w:r>
    </w:p>
    <w:p w14:paraId="21A0E3FB" w14:textId="59BE5E87" w:rsidR="00D40A0A" w:rsidRPr="00892D9F" w:rsidRDefault="006F6108" w:rsidP="00080F92">
      <w:pPr>
        <w:rPr>
          <w:sz w:val="24"/>
          <w:szCs w:val="24"/>
        </w:rPr>
      </w:pPr>
      <w:r w:rsidRPr="00892D9F">
        <w:rPr>
          <w:sz w:val="24"/>
          <w:szCs w:val="24"/>
        </w:rPr>
        <w:t>The urgency and the challenges for training and retaining a well-prepared behavioral health workforce were thoroughly articulated in An Action Plan for Behavioral Health Workforce Development (</w:t>
      </w:r>
      <w:proofErr w:type="spellStart"/>
      <w:r w:rsidRPr="00892D9F">
        <w:rPr>
          <w:sz w:val="24"/>
          <w:szCs w:val="24"/>
        </w:rPr>
        <w:t>Hoge</w:t>
      </w:r>
      <w:proofErr w:type="spellEnd"/>
      <w:r w:rsidRPr="00892D9F">
        <w:rPr>
          <w:sz w:val="24"/>
          <w:szCs w:val="24"/>
        </w:rPr>
        <w:t>, et al., 2007)</w:t>
      </w:r>
      <w:r w:rsidR="007627AB">
        <w:rPr>
          <w:sz w:val="24"/>
          <w:szCs w:val="24"/>
        </w:rPr>
        <w:t xml:space="preserve">.  </w:t>
      </w:r>
      <w:r w:rsidRPr="00892D9F">
        <w:rPr>
          <w:sz w:val="24"/>
          <w:szCs w:val="24"/>
        </w:rPr>
        <w:t>This action plan highlighted the increasing prevalence of co-occurring mental and addictive disorders in the U.S., coupled with the absence of training to address co-occurring disorders provided to the behavioral health workforce, as particularly problematic</w:t>
      </w:r>
      <w:r w:rsidR="007627AB">
        <w:rPr>
          <w:sz w:val="24"/>
          <w:szCs w:val="24"/>
        </w:rPr>
        <w:t xml:space="preserve">.  </w:t>
      </w:r>
      <w:r w:rsidRPr="00892D9F">
        <w:rPr>
          <w:sz w:val="24"/>
          <w:szCs w:val="24"/>
        </w:rPr>
        <w:t>The action plan also cited the lack of cultural competency skills and training in this workforce, a gap made wider by the disproportionally small number of racially and ethnically diverse behavioral health professionals relative to U.S. demographics</w:t>
      </w:r>
      <w:r w:rsidR="007627AB">
        <w:rPr>
          <w:sz w:val="24"/>
          <w:szCs w:val="24"/>
        </w:rPr>
        <w:t xml:space="preserve">.  </w:t>
      </w:r>
      <w:r w:rsidRPr="00892D9F">
        <w:rPr>
          <w:sz w:val="24"/>
          <w:szCs w:val="24"/>
        </w:rPr>
        <w:t>As demographics change and the proportion of minority groups increase from 37% to a projected 57% of the U.S. population by 2060 (U.S. Census Bureau, 2012) the need for a culturally competent behavioral workforce will become increasingly important (</w:t>
      </w:r>
      <w:proofErr w:type="spellStart"/>
      <w:r w:rsidRPr="00892D9F">
        <w:rPr>
          <w:sz w:val="24"/>
          <w:szCs w:val="24"/>
        </w:rPr>
        <w:t>Hoge</w:t>
      </w:r>
      <w:proofErr w:type="spellEnd"/>
      <w:r w:rsidRPr="00892D9F">
        <w:rPr>
          <w:sz w:val="24"/>
          <w:szCs w:val="24"/>
        </w:rPr>
        <w:t>, et al., 2013)</w:t>
      </w:r>
      <w:r w:rsidR="007627AB">
        <w:rPr>
          <w:sz w:val="24"/>
          <w:szCs w:val="24"/>
        </w:rPr>
        <w:t xml:space="preserve">.  </w:t>
      </w:r>
      <w:r w:rsidRPr="00892D9F">
        <w:rPr>
          <w:sz w:val="24"/>
          <w:szCs w:val="24"/>
        </w:rPr>
        <w:t xml:space="preserve">In fact, the </w:t>
      </w:r>
      <w:r w:rsidR="00121731" w:rsidRPr="00892D9F">
        <w:rPr>
          <w:sz w:val="24"/>
          <w:szCs w:val="24"/>
        </w:rPr>
        <w:t>action pla</w:t>
      </w:r>
      <w:r w:rsidR="002A5D13" w:rsidRPr="00892D9F">
        <w:rPr>
          <w:sz w:val="24"/>
          <w:szCs w:val="24"/>
        </w:rPr>
        <w:t>n</w:t>
      </w:r>
      <w:r w:rsidRPr="00892D9F">
        <w:rPr>
          <w:sz w:val="24"/>
          <w:szCs w:val="24"/>
        </w:rPr>
        <w:t xml:space="preserve"> concluded that mental health providers are “too often insensitive to the needs of individuals, as these are affected by ethnicity, culture, and language” (</w:t>
      </w:r>
      <w:proofErr w:type="spellStart"/>
      <w:r w:rsidRPr="00892D9F">
        <w:rPr>
          <w:sz w:val="24"/>
          <w:szCs w:val="24"/>
        </w:rPr>
        <w:t>Hoge</w:t>
      </w:r>
      <w:proofErr w:type="spellEnd"/>
      <w:r w:rsidRPr="00892D9F">
        <w:rPr>
          <w:sz w:val="24"/>
          <w:szCs w:val="24"/>
        </w:rPr>
        <w:t>, et al., 2007)</w:t>
      </w:r>
      <w:r w:rsidR="007627AB">
        <w:rPr>
          <w:sz w:val="24"/>
          <w:szCs w:val="24"/>
        </w:rPr>
        <w:t xml:space="preserve">.  </w:t>
      </w:r>
      <w:r w:rsidRPr="00892D9F">
        <w:rPr>
          <w:sz w:val="24"/>
          <w:szCs w:val="24"/>
        </w:rPr>
        <w:t xml:space="preserve">As the lead federal agency responsible for improving the services provided by the mental health and addictions workforce, SAMHSA has put significant effort into understanding the behavioral workforce issues and developing plans to address them, including implementation of </w:t>
      </w:r>
      <w:r w:rsidR="00121731" w:rsidRPr="00892D9F">
        <w:rPr>
          <w:sz w:val="24"/>
          <w:szCs w:val="24"/>
        </w:rPr>
        <w:t>NITT-</w:t>
      </w:r>
      <w:r w:rsidRPr="00892D9F">
        <w:rPr>
          <w:sz w:val="24"/>
          <w:szCs w:val="24"/>
        </w:rPr>
        <w:t>M</w:t>
      </w:r>
      <w:r w:rsidR="00121731" w:rsidRPr="00892D9F">
        <w:rPr>
          <w:sz w:val="24"/>
          <w:szCs w:val="24"/>
        </w:rPr>
        <w:t>FP</w:t>
      </w:r>
      <w:r w:rsidRPr="00892D9F">
        <w:rPr>
          <w:sz w:val="24"/>
          <w:szCs w:val="24"/>
        </w:rPr>
        <w:t>.</w:t>
      </w:r>
    </w:p>
    <w:p w14:paraId="3456EB1A" w14:textId="5A9B5B02" w:rsidR="003C6E56" w:rsidRPr="00892D9F" w:rsidRDefault="00003F19" w:rsidP="0001203A">
      <w:pPr>
        <w:pStyle w:val="Heading5"/>
        <w:rPr>
          <w:sz w:val="24"/>
          <w:szCs w:val="24"/>
        </w:rPr>
      </w:pPr>
      <w:r w:rsidRPr="00892D9F">
        <w:rPr>
          <w:sz w:val="24"/>
          <w:szCs w:val="24"/>
        </w:rPr>
        <w:t>Overview of the NITT-MFP Program</w:t>
      </w:r>
    </w:p>
    <w:p w14:paraId="14FF50D8" w14:textId="4E54AC92" w:rsidR="00003F19" w:rsidRPr="00892D9F" w:rsidRDefault="006F6108" w:rsidP="00C7404E">
      <w:pPr>
        <w:rPr>
          <w:sz w:val="24"/>
          <w:szCs w:val="24"/>
        </w:rPr>
      </w:pPr>
      <w:r w:rsidRPr="00892D9F">
        <w:rPr>
          <w:sz w:val="24"/>
          <w:szCs w:val="24"/>
        </w:rPr>
        <w:t xml:space="preserve">The </w:t>
      </w:r>
      <w:r w:rsidR="002A5D13" w:rsidRPr="00892D9F">
        <w:rPr>
          <w:sz w:val="24"/>
          <w:szCs w:val="24"/>
        </w:rPr>
        <w:t xml:space="preserve">traditional </w:t>
      </w:r>
      <w:r w:rsidRPr="00892D9F">
        <w:rPr>
          <w:sz w:val="24"/>
          <w:szCs w:val="24"/>
        </w:rPr>
        <w:t>MFP was established in 1974 to provide specialized training to mental health psychiatrists, nurses, social workers, and psychologists to improve services provided in underserved minority communities</w:t>
      </w:r>
      <w:r w:rsidR="007627AB">
        <w:rPr>
          <w:sz w:val="24"/>
          <w:szCs w:val="24"/>
        </w:rPr>
        <w:t xml:space="preserve">.  </w:t>
      </w:r>
      <w:r w:rsidRPr="00892D9F">
        <w:rPr>
          <w:sz w:val="24"/>
          <w:szCs w:val="24"/>
        </w:rPr>
        <w:t xml:space="preserve">The </w:t>
      </w:r>
      <w:r w:rsidR="00C7404E" w:rsidRPr="00892D9F">
        <w:rPr>
          <w:sz w:val="24"/>
          <w:szCs w:val="24"/>
        </w:rPr>
        <w:t xml:space="preserve">traditional </w:t>
      </w:r>
      <w:r w:rsidRPr="00892D9F">
        <w:rPr>
          <w:sz w:val="24"/>
          <w:szCs w:val="24"/>
        </w:rPr>
        <w:t>MFP has resulted in a significant rise in the number, capacity and multidisciplinary leadership presence of minorities throughout the behavioral health community</w:t>
      </w:r>
      <w:r w:rsidR="007627AB">
        <w:rPr>
          <w:sz w:val="24"/>
          <w:szCs w:val="24"/>
        </w:rPr>
        <w:t xml:space="preserve">.  </w:t>
      </w:r>
      <w:r w:rsidRPr="00892D9F">
        <w:rPr>
          <w:sz w:val="24"/>
          <w:szCs w:val="24"/>
        </w:rPr>
        <w:t xml:space="preserve">Over the past four decades, the program has expanded to support more professional disciplines including marriage and family therapists and professional </w:t>
      </w:r>
      <w:r w:rsidRPr="00892D9F">
        <w:rPr>
          <w:sz w:val="24"/>
          <w:szCs w:val="24"/>
        </w:rPr>
        <w:lastRenderedPageBreak/>
        <w:t>counselors</w:t>
      </w:r>
      <w:r w:rsidR="007627AB">
        <w:rPr>
          <w:sz w:val="24"/>
          <w:szCs w:val="24"/>
        </w:rPr>
        <w:t xml:space="preserve">.  </w:t>
      </w:r>
      <w:r w:rsidR="002A5D13" w:rsidRPr="00892D9F">
        <w:rPr>
          <w:sz w:val="24"/>
          <w:szCs w:val="24"/>
        </w:rPr>
        <w:t>In 2014</w:t>
      </w:r>
      <w:r w:rsidRPr="00892D9F">
        <w:rPr>
          <w:sz w:val="24"/>
          <w:szCs w:val="24"/>
        </w:rPr>
        <w:t>, funds were appropriated to expand the</w:t>
      </w:r>
      <w:r w:rsidR="00C7404E" w:rsidRPr="00892D9F">
        <w:rPr>
          <w:sz w:val="24"/>
          <w:szCs w:val="24"/>
        </w:rPr>
        <w:t xml:space="preserve"> traditional</w:t>
      </w:r>
      <w:r w:rsidRPr="00892D9F">
        <w:rPr>
          <w:sz w:val="24"/>
          <w:szCs w:val="24"/>
        </w:rPr>
        <w:t xml:space="preserve"> MFP to </w:t>
      </w:r>
      <w:r w:rsidR="00C7404E" w:rsidRPr="00892D9F">
        <w:rPr>
          <w:sz w:val="24"/>
          <w:szCs w:val="24"/>
        </w:rPr>
        <w:t xml:space="preserve">include NITT-MFP to provide stipends and tuition support to students pursuing Master’s level training in behavioral health fields like psychology, social work, professional counseling, marriage and family therapy, nursing, and addiction/substance abuse counseling, thus </w:t>
      </w:r>
      <w:r w:rsidRPr="00892D9F">
        <w:rPr>
          <w:sz w:val="24"/>
          <w:szCs w:val="24"/>
        </w:rPr>
        <w:t>directly support</w:t>
      </w:r>
      <w:r w:rsidR="00C7404E" w:rsidRPr="00892D9F">
        <w:rPr>
          <w:sz w:val="24"/>
          <w:szCs w:val="24"/>
        </w:rPr>
        <w:t>ing</w:t>
      </w:r>
      <w:r w:rsidRPr="00892D9F">
        <w:rPr>
          <w:sz w:val="24"/>
          <w:szCs w:val="24"/>
        </w:rPr>
        <w:t xml:space="preserve"> the NITT goal of increasing behavioral health services for youth and contribut</w:t>
      </w:r>
      <w:r w:rsidR="00C7404E" w:rsidRPr="00892D9F">
        <w:rPr>
          <w:sz w:val="24"/>
          <w:szCs w:val="24"/>
        </w:rPr>
        <w:t>ing</w:t>
      </w:r>
      <w:r w:rsidRPr="00892D9F">
        <w:rPr>
          <w:sz w:val="24"/>
          <w:szCs w:val="24"/>
        </w:rPr>
        <w:t xml:space="preserve"> to making schools safer. </w:t>
      </w:r>
    </w:p>
    <w:p w14:paraId="26503C35" w14:textId="46E24D40" w:rsidR="00D40A0A" w:rsidRPr="00892D9F" w:rsidRDefault="006F6108" w:rsidP="00104737">
      <w:pPr>
        <w:rPr>
          <w:sz w:val="24"/>
          <w:szCs w:val="24"/>
        </w:rPr>
      </w:pPr>
      <w:r w:rsidRPr="00892D9F">
        <w:rPr>
          <w:sz w:val="24"/>
          <w:szCs w:val="24"/>
        </w:rPr>
        <w:t>NITT–MFP</w:t>
      </w:r>
      <w:r w:rsidR="00F165C1" w:rsidRPr="00892D9F">
        <w:rPr>
          <w:sz w:val="24"/>
          <w:szCs w:val="24"/>
        </w:rPr>
        <w:t xml:space="preserve"> – </w:t>
      </w:r>
      <w:r w:rsidRPr="00892D9F">
        <w:rPr>
          <w:sz w:val="24"/>
          <w:szCs w:val="24"/>
        </w:rPr>
        <w:t xml:space="preserve">Youth funded </w:t>
      </w:r>
      <w:r w:rsidR="00F165C1" w:rsidRPr="00892D9F">
        <w:rPr>
          <w:sz w:val="24"/>
          <w:szCs w:val="24"/>
        </w:rPr>
        <w:t xml:space="preserve">five grantees </w:t>
      </w:r>
      <w:r w:rsidRPr="00892D9F">
        <w:rPr>
          <w:sz w:val="24"/>
          <w:szCs w:val="24"/>
        </w:rPr>
        <w:t xml:space="preserve">to </w:t>
      </w:r>
      <w:r w:rsidR="0053314B" w:rsidRPr="00892D9F">
        <w:rPr>
          <w:sz w:val="24"/>
          <w:szCs w:val="24"/>
        </w:rPr>
        <w:t xml:space="preserve">each </w:t>
      </w:r>
      <w:r w:rsidRPr="00892D9F">
        <w:rPr>
          <w:sz w:val="24"/>
          <w:szCs w:val="24"/>
        </w:rPr>
        <w:t xml:space="preserve">support up to </w:t>
      </w:r>
      <w:r w:rsidR="00D94C28" w:rsidRPr="00892D9F">
        <w:rPr>
          <w:sz w:val="24"/>
          <w:szCs w:val="24"/>
        </w:rPr>
        <w:t>48</w:t>
      </w:r>
      <w:r w:rsidRPr="00892D9F">
        <w:rPr>
          <w:sz w:val="24"/>
          <w:szCs w:val="24"/>
        </w:rPr>
        <w:t xml:space="preserve"> Master’s level fellows</w:t>
      </w:r>
      <w:r w:rsidR="0053314B" w:rsidRPr="00892D9F">
        <w:rPr>
          <w:sz w:val="24"/>
          <w:szCs w:val="24"/>
        </w:rPr>
        <w:t xml:space="preserve"> </w:t>
      </w:r>
      <w:r w:rsidR="00D94C28" w:rsidRPr="00892D9F">
        <w:rPr>
          <w:sz w:val="24"/>
          <w:szCs w:val="24"/>
        </w:rPr>
        <w:t>per year</w:t>
      </w:r>
      <w:r w:rsidRPr="00892D9F">
        <w:rPr>
          <w:sz w:val="24"/>
          <w:szCs w:val="24"/>
        </w:rPr>
        <w:t xml:space="preserve"> committed to addressing the behavioral health needs of at risk children, adolescents, and populations transitioning to adulthood (ages 16–25)</w:t>
      </w:r>
      <w:r w:rsidR="007627AB">
        <w:rPr>
          <w:sz w:val="24"/>
          <w:szCs w:val="24"/>
        </w:rPr>
        <w:t xml:space="preserve">.  </w:t>
      </w:r>
      <w:r w:rsidRPr="00892D9F">
        <w:rPr>
          <w:sz w:val="24"/>
          <w:szCs w:val="24"/>
        </w:rPr>
        <w:t xml:space="preserve">By recruiting and providing specialized training to psychologists, nurses, family therapists, social workers, and counselors who will focus their services on underserved minority youth, </w:t>
      </w:r>
      <w:r w:rsidR="00F165C1" w:rsidRPr="00892D9F">
        <w:rPr>
          <w:sz w:val="24"/>
          <w:szCs w:val="24"/>
        </w:rPr>
        <w:t xml:space="preserve">NITT </w:t>
      </w:r>
      <w:r w:rsidRPr="00892D9F">
        <w:rPr>
          <w:sz w:val="24"/>
          <w:szCs w:val="24"/>
        </w:rPr>
        <w:t>MFP</w:t>
      </w:r>
      <w:r w:rsidR="00F165C1" w:rsidRPr="00892D9F">
        <w:rPr>
          <w:sz w:val="24"/>
          <w:szCs w:val="24"/>
        </w:rPr>
        <w:t xml:space="preserve"> – </w:t>
      </w:r>
      <w:r w:rsidRPr="00892D9F">
        <w:rPr>
          <w:sz w:val="24"/>
          <w:szCs w:val="24"/>
        </w:rPr>
        <w:t>Y</w:t>
      </w:r>
      <w:r w:rsidR="00F165C1" w:rsidRPr="00892D9F">
        <w:rPr>
          <w:sz w:val="24"/>
          <w:szCs w:val="24"/>
        </w:rPr>
        <w:t>outh</w:t>
      </w:r>
      <w:r w:rsidRPr="00892D9F">
        <w:rPr>
          <w:sz w:val="24"/>
          <w:szCs w:val="24"/>
        </w:rPr>
        <w:t xml:space="preserve"> is intended to increase the skilled workforce providing mental health services where they are needed the most</w:t>
      </w:r>
      <w:r w:rsidR="007627AB">
        <w:rPr>
          <w:sz w:val="24"/>
          <w:szCs w:val="24"/>
        </w:rPr>
        <w:t xml:space="preserve">.  </w:t>
      </w:r>
      <w:r w:rsidRPr="00892D9F">
        <w:rPr>
          <w:sz w:val="24"/>
          <w:szCs w:val="24"/>
        </w:rPr>
        <w:t>NITT–MFP</w:t>
      </w:r>
      <w:r w:rsidR="00F165C1" w:rsidRPr="00892D9F">
        <w:rPr>
          <w:sz w:val="24"/>
          <w:szCs w:val="24"/>
        </w:rPr>
        <w:t xml:space="preserve"> – </w:t>
      </w:r>
      <w:r w:rsidRPr="00892D9F">
        <w:rPr>
          <w:sz w:val="24"/>
          <w:szCs w:val="24"/>
        </w:rPr>
        <w:t>Addiction Counselors funded</w:t>
      </w:r>
      <w:r w:rsidR="00F165C1" w:rsidRPr="00892D9F">
        <w:rPr>
          <w:sz w:val="24"/>
          <w:szCs w:val="24"/>
        </w:rPr>
        <w:t xml:space="preserve"> two grantees</w:t>
      </w:r>
      <w:r w:rsidRPr="00892D9F">
        <w:rPr>
          <w:sz w:val="24"/>
          <w:szCs w:val="24"/>
        </w:rPr>
        <w:t xml:space="preserve"> to </w:t>
      </w:r>
      <w:r w:rsidR="0053314B" w:rsidRPr="00892D9F">
        <w:rPr>
          <w:sz w:val="24"/>
          <w:szCs w:val="24"/>
        </w:rPr>
        <w:t xml:space="preserve">each </w:t>
      </w:r>
      <w:r w:rsidR="00505AE4" w:rsidRPr="00892D9F">
        <w:rPr>
          <w:sz w:val="24"/>
          <w:szCs w:val="24"/>
        </w:rPr>
        <w:t>support a maximum of</w:t>
      </w:r>
      <w:r w:rsidR="0053314B" w:rsidRPr="00892D9F">
        <w:rPr>
          <w:sz w:val="24"/>
          <w:szCs w:val="24"/>
        </w:rPr>
        <w:t xml:space="preserve"> </w:t>
      </w:r>
      <w:r w:rsidR="00D94C28" w:rsidRPr="00892D9F">
        <w:rPr>
          <w:sz w:val="24"/>
          <w:szCs w:val="24"/>
        </w:rPr>
        <w:t>30</w:t>
      </w:r>
      <w:r w:rsidRPr="00892D9F">
        <w:rPr>
          <w:sz w:val="24"/>
          <w:szCs w:val="24"/>
        </w:rPr>
        <w:t xml:space="preserve"> Master’s fellows</w:t>
      </w:r>
      <w:r w:rsidR="00D94C28" w:rsidRPr="00892D9F">
        <w:rPr>
          <w:sz w:val="24"/>
          <w:szCs w:val="24"/>
        </w:rPr>
        <w:t xml:space="preserve"> per year</w:t>
      </w:r>
      <w:r w:rsidRPr="00892D9F">
        <w:rPr>
          <w:sz w:val="24"/>
          <w:szCs w:val="24"/>
        </w:rPr>
        <w:t xml:space="preserve"> in their final year of addiction counseling university programs, with a focus on providing culturally sensitive addiction counseling to underserved youth in the 16–2</w:t>
      </w:r>
      <w:r w:rsidR="0053314B" w:rsidRPr="00892D9F">
        <w:rPr>
          <w:sz w:val="24"/>
          <w:szCs w:val="24"/>
        </w:rPr>
        <w:t>5</w:t>
      </w:r>
      <w:r w:rsidRPr="00892D9F">
        <w:rPr>
          <w:sz w:val="24"/>
          <w:szCs w:val="24"/>
        </w:rPr>
        <w:t xml:space="preserve"> age group, which has higher substance use rates than any other age group (SAMHSA, 2013)</w:t>
      </w:r>
      <w:r w:rsidR="007627AB">
        <w:rPr>
          <w:sz w:val="24"/>
          <w:szCs w:val="24"/>
        </w:rPr>
        <w:t xml:space="preserve">.  </w:t>
      </w:r>
      <w:r w:rsidRPr="00892D9F">
        <w:rPr>
          <w:sz w:val="24"/>
          <w:szCs w:val="24"/>
        </w:rPr>
        <w:t>This support will help to fill another important need in the behavioral health workforce</w:t>
      </w:r>
      <w:r w:rsidR="007627AB">
        <w:rPr>
          <w:sz w:val="24"/>
          <w:szCs w:val="24"/>
        </w:rPr>
        <w:t xml:space="preserve">.  </w:t>
      </w:r>
      <w:r w:rsidR="007A0056" w:rsidRPr="00892D9F">
        <w:rPr>
          <w:sz w:val="24"/>
          <w:szCs w:val="24"/>
        </w:rPr>
        <w:t>The NITT-MFP programs provide one year fellowships</w:t>
      </w:r>
      <w:r w:rsidR="00317E30" w:rsidRPr="00892D9F">
        <w:rPr>
          <w:sz w:val="24"/>
          <w:szCs w:val="24"/>
        </w:rPr>
        <w:t>.</w:t>
      </w:r>
      <w:r w:rsidR="007A0056" w:rsidRPr="00892D9F">
        <w:rPr>
          <w:sz w:val="24"/>
          <w:szCs w:val="24"/>
        </w:rPr>
        <w:t xml:space="preserve"> </w:t>
      </w:r>
    </w:p>
    <w:p w14:paraId="25143341" w14:textId="7A8091F5" w:rsidR="005D215D" w:rsidRPr="00892D9F" w:rsidRDefault="005D215D" w:rsidP="00144B4E">
      <w:pPr>
        <w:rPr>
          <w:sz w:val="24"/>
          <w:szCs w:val="24"/>
        </w:rPr>
      </w:pPr>
      <w:r w:rsidRPr="00892D9F">
        <w:rPr>
          <w:b/>
          <w:bCs/>
          <w:i/>
          <w:iCs/>
          <w:sz w:val="24"/>
          <w:szCs w:val="24"/>
        </w:rPr>
        <w:t>Table 1</w:t>
      </w:r>
      <w:r w:rsidRPr="00892D9F">
        <w:rPr>
          <w:sz w:val="24"/>
          <w:szCs w:val="24"/>
        </w:rPr>
        <w:t xml:space="preserve"> provides an overview of the number of grantees per NITT-MFP program, the number </w:t>
      </w:r>
      <w:r w:rsidR="00870BB7" w:rsidRPr="00892D9F">
        <w:rPr>
          <w:sz w:val="24"/>
          <w:szCs w:val="24"/>
        </w:rPr>
        <w:t xml:space="preserve">of </w:t>
      </w:r>
      <w:r w:rsidRPr="00892D9F">
        <w:rPr>
          <w:sz w:val="24"/>
          <w:szCs w:val="24"/>
        </w:rPr>
        <w:t xml:space="preserve">fellows each grantee will support per cohort year, the total number of fellows supported each cohort year, the number of cohorts, and the total number of fellows that will be supported over the </w:t>
      </w:r>
      <w:r w:rsidR="00144B4E" w:rsidRPr="00892D9F">
        <w:rPr>
          <w:sz w:val="24"/>
          <w:szCs w:val="24"/>
        </w:rPr>
        <w:t>four</w:t>
      </w:r>
      <w:r w:rsidRPr="00892D9F">
        <w:rPr>
          <w:sz w:val="24"/>
          <w:szCs w:val="24"/>
        </w:rPr>
        <w:t>-year life of the grant programs.</w:t>
      </w:r>
    </w:p>
    <w:p w14:paraId="7965FF1D" w14:textId="00001D36" w:rsidR="005D215D" w:rsidRPr="00892D9F" w:rsidRDefault="005D215D" w:rsidP="00892D9F">
      <w:pPr>
        <w:pStyle w:val="ExhibitTitle"/>
      </w:pPr>
      <w:r w:rsidRPr="00892D9F">
        <w:t>Table 1.</w:t>
      </w:r>
      <w:r w:rsidRPr="00892D9F">
        <w:tab/>
        <w:t>Now is the Time (NITT) – Minority Fellowship Program (MFP) Grantee and Fellow Overview</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55"/>
        <w:gridCol w:w="1440"/>
        <w:gridCol w:w="1440"/>
        <w:gridCol w:w="1530"/>
        <w:gridCol w:w="1440"/>
        <w:gridCol w:w="1425"/>
      </w:tblGrid>
      <w:tr w:rsidR="00C06473" w:rsidRPr="00892D9F" w14:paraId="21D6C8EC" w14:textId="77777777" w:rsidTr="00C06473">
        <w:tc>
          <w:tcPr>
            <w:tcW w:w="2055" w:type="dxa"/>
            <w:shd w:val="clear" w:color="auto" w:fill="DBE5F1" w:themeFill="accent1" w:themeFillTint="33"/>
            <w:vAlign w:val="bottom"/>
          </w:tcPr>
          <w:p w14:paraId="02662E34" w14:textId="53BAA513" w:rsidR="00104737" w:rsidRPr="00892D9F" w:rsidRDefault="00C41E18" w:rsidP="00080F92">
            <w:pPr>
              <w:pStyle w:val="EQ3"/>
              <w:jc w:val="center"/>
              <w:rPr>
                <w:b/>
                <w:bCs/>
                <w:sz w:val="22"/>
                <w:szCs w:val="22"/>
              </w:rPr>
            </w:pPr>
            <w:r w:rsidRPr="00892D9F">
              <w:rPr>
                <w:b/>
                <w:bCs/>
                <w:sz w:val="22"/>
                <w:szCs w:val="22"/>
              </w:rPr>
              <w:t>NITT-</w:t>
            </w:r>
            <w:r w:rsidR="00104737" w:rsidRPr="00892D9F">
              <w:rPr>
                <w:b/>
                <w:bCs/>
                <w:sz w:val="22"/>
                <w:szCs w:val="22"/>
              </w:rPr>
              <w:t>MFP Program</w:t>
            </w:r>
          </w:p>
        </w:tc>
        <w:tc>
          <w:tcPr>
            <w:tcW w:w="1440" w:type="dxa"/>
            <w:shd w:val="clear" w:color="auto" w:fill="DBE5F1" w:themeFill="accent1" w:themeFillTint="33"/>
            <w:vAlign w:val="bottom"/>
          </w:tcPr>
          <w:p w14:paraId="25073BDC" w14:textId="7A814023" w:rsidR="00104737" w:rsidRPr="00892D9F" w:rsidRDefault="00104737" w:rsidP="00080F92">
            <w:pPr>
              <w:pStyle w:val="EQ3"/>
              <w:jc w:val="center"/>
              <w:rPr>
                <w:b/>
                <w:bCs/>
                <w:sz w:val="22"/>
                <w:szCs w:val="22"/>
              </w:rPr>
            </w:pPr>
            <w:r w:rsidRPr="00892D9F">
              <w:rPr>
                <w:b/>
                <w:bCs/>
                <w:sz w:val="22"/>
                <w:szCs w:val="22"/>
              </w:rPr>
              <w:t>Number of Grantees</w:t>
            </w:r>
          </w:p>
        </w:tc>
        <w:tc>
          <w:tcPr>
            <w:tcW w:w="1440" w:type="dxa"/>
            <w:shd w:val="clear" w:color="auto" w:fill="DBE5F1" w:themeFill="accent1" w:themeFillTint="33"/>
            <w:vAlign w:val="bottom"/>
          </w:tcPr>
          <w:p w14:paraId="21903EE4" w14:textId="77B78357" w:rsidR="00104737" w:rsidRPr="00892D9F" w:rsidRDefault="00104737" w:rsidP="00080F92">
            <w:pPr>
              <w:pStyle w:val="EQ3"/>
              <w:jc w:val="center"/>
              <w:rPr>
                <w:b/>
                <w:bCs/>
                <w:sz w:val="22"/>
                <w:szCs w:val="22"/>
              </w:rPr>
            </w:pPr>
            <w:r w:rsidRPr="00892D9F">
              <w:rPr>
                <w:b/>
                <w:bCs/>
                <w:sz w:val="22"/>
                <w:szCs w:val="22"/>
              </w:rPr>
              <w:t>Fellows per Year</w:t>
            </w:r>
          </w:p>
        </w:tc>
        <w:tc>
          <w:tcPr>
            <w:tcW w:w="1530" w:type="dxa"/>
            <w:shd w:val="clear" w:color="auto" w:fill="DBE5F1" w:themeFill="accent1" w:themeFillTint="33"/>
            <w:vAlign w:val="bottom"/>
          </w:tcPr>
          <w:p w14:paraId="35C984C0" w14:textId="4598F3DC" w:rsidR="00104737" w:rsidRPr="00892D9F" w:rsidRDefault="00104737" w:rsidP="00080F92">
            <w:pPr>
              <w:pStyle w:val="EQ3"/>
              <w:jc w:val="center"/>
              <w:rPr>
                <w:b/>
                <w:bCs/>
                <w:sz w:val="22"/>
                <w:szCs w:val="22"/>
              </w:rPr>
            </w:pPr>
            <w:r w:rsidRPr="00892D9F">
              <w:rPr>
                <w:b/>
                <w:bCs/>
                <w:sz w:val="22"/>
                <w:szCs w:val="22"/>
              </w:rPr>
              <w:t>Total</w:t>
            </w:r>
            <w:r w:rsidR="003A1B56" w:rsidRPr="00892D9F">
              <w:rPr>
                <w:b/>
                <w:bCs/>
                <w:sz w:val="22"/>
                <w:szCs w:val="22"/>
              </w:rPr>
              <w:t xml:space="preserve"> Fellows</w:t>
            </w:r>
            <w:r w:rsidRPr="00892D9F">
              <w:rPr>
                <w:b/>
                <w:bCs/>
                <w:sz w:val="22"/>
                <w:szCs w:val="22"/>
              </w:rPr>
              <w:t xml:space="preserve"> per Year</w:t>
            </w:r>
          </w:p>
        </w:tc>
        <w:tc>
          <w:tcPr>
            <w:tcW w:w="1440" w:type="dxa"/>
            <w:shd w:val="clear" w:color="auto" w:fill="DBE5F1" w:themeFill="accent1" w:themeFillTint="33"/>
            <w:vAlign w:val="bottom"/>
          </w:tcPr>
          <w:p w14:paraId="0EF67E03" w14:textId="24101C67" w:rsidR="00104737" w:rsidRPr="00892D9F" w:rsidRDefault="00104737" w:rsidP="00080F92">
            <w:pPr>
              <w:pStyle w:val="EQ3"/>
              <w:jc w:val="center"/>
              <w:rPr>
                <w:b/>
                <w:bCs/>
                <w:sz w:val="22"/>
                <w:szCs w:val="22"/>
              </w:rPr>
            </w:pPr>
            <w:r w:rsidRPr="00892D9F">
              <w:rPr>
                <w:b/>
                <w:bCs/>
                <w:sz w:val="22"/>
                <w:szCs w:val="22"/>
              </w:rPr>
              <w:t>Number of Cohorts</w:t>
            </w:r>
          </w:p>
        </w:tc>
        <w:tc>
          <w:tcPr>
            <w:tcW w:w="1425" w:type="dxa"/>
            <w:shd w:val="clear" w:color="auto" w:fill="DBE5F1" w:themeFill="accent1" w:themeFillTint="33"/>
            <w:vAlign w:val="bottom"/>
          </w:tcPr>
          <w:p w14:paraId="214CFEC6" w14:textId="02BC3BD0" w:rsidR="00104737" w:rsidRPr="00892D9F" w:rsidRDefault="005D215D" w:rsidP="00080F92">
            <w:pPr>
              <w:pStyle w:val="EQ3"/>
              <w:jc w:val="center"/>
              <w:rPr>
                <w:b/>
                <w:bCs/>
                <w:sz w:val="22"/>
                <w:szCs w:val="22"/>
              </w:rPr>
            </w:pPr>
            <w:r w:rsidRPr="00892D9F">
              <w:rPr>
                <w:b/>
                <w:bCs/>
                <w:sz w:val="22"/>
                <w:szCs w:val="22"/>
              </w:rPr>
              <w:t xml:space="preserve">Fellows </w:t>
            </w:r>
            <w:r w:rsidR="00104737" w:rsidRPr="00892D9F">
              <w:rPr>
                <w:b/>
                <w:bCs/>
                <w:sz w:val="22"/>
                <w:szCs w:val="22"/>
              </w:rPr>
              <w:t>Total</w:t>
            </w:r>
          </w:p>
        </w:tc>
      </w:tr>
      <w:tr w:rsidR="00104737" w:rsidRPr="00892D9F" w14:paraId="3CEEB309" w14:textId="77777777" w:rsidTr="00C06473">
        <w:tc>
          <w:tcPr>
            <w:tcW w:w="2055" w:type="dxa"/>
          </w:tcPr>
          <w:p w14:paraId="47E6DB27" w14:textId="013E0298" w:rsidR="00104737" w:rsidRPr="00892D9F" w:rsidRDefault="00104737" w:rsidP="00104737">
            <w:pPr>
              <w:pStyle w:val="EQ3"/>
              <w:rPr>
                <w:sz w:val="22"/>
                <w:szCs w:val="22"/>
              </w:rPr>
            </w:pPr>
            <w:r w:rsidRPr="00892D9F">
              <w:rPr>
                <w:sz w:val="22"/>
                <w:szCs w:val="22"/>
              </w:rPr>
              <w:t>Youth</w:t>
            </w:r>
          </w:p>
        </w:tc>
        <w:tc>
          <w:tcPr>
            <w:tcW w:w="1440" w:type="dxa"/>
            <w:vAlign w:val="center"/>
          </w:tcPr>
          <w:p w14:paraId="7E7243B3" w14:textId="7881A6EB" w:rsidR="00104737" w:rsidRPr="00892D9F" w:rsidRDefault="00104737" w:rsidP="00144B4E">
            <w:pPr>
              <w:pStyle w:val="EQ3"/>
              <w:jc w:val="center"/>
              <w:rPr>
                <w:sz w:val="22"/>
                <w:szCs w:val="22"/>
              </w:rPr>
            </w:pPr>
            <w:r w:rsidRPr="00892D9F">
              <w:rPr>
                <w:sz w:val="22"/>
                <w:szCs w:val="22"/>
              </w:rPr>
              <w:t>5</w:t>
            </w:r>
          </w:p>
        </w:tc>
        <w:tc>
          <w:tcPr>
            <w:tcW w:w="1440" w:type="dxa"/>
            <w:vAlign w:val="center"/>
          </w:tcPr>
          <w:p w14:paraId="009C36BF" w14:textId="56369CD7" w:rsidR="00104737" w:rsidRPr="00892D9F" w:rsidRDefault="00104737" w:rsidP="00144B4E">
            <w:pPr>
              <w:pStyle w:val="EQ3"/>
              <w:jc w:val="center"/>
              <w:rPr>
                <w:sz w:val="22"/>
                <w:szCs w:val="22"/>
              </w:rPr>
            </w:pPr>
            <w:r w:rsidRPr="00892D9F">
              <w:rPr>
                <w:sz w:val="22"/>
                <w:szCs w:val="22"/>
              </w:rPr>
              <w:t>48</w:t>
            </w:r>
          </w:p>
        </w:tc>
        <w:tc>
          <w:tcPr>
            <w:tcW w:w="1530" w:type="dxa"/>
            <w:vAlign w:val="center"/>
          </w:tcPr>
          <w:p w14:paraId="03ECF5A9" w14:textId="6F67E338" w:rsidR="00104737" w:rsidRPr="00892D9F" w:rsidRDefault="00104737" w:rsidP="00144B4E">
            <w:pPr>
              <w:pStyle w:val="EQ3"/>
              <w:jc w:val="center"/>
              <w:rPr>
                <w:sz w:val="22"/>
                <w:szCs w:val="22"/>
              </w:rPr>
            </w:pPr>
            <w:r w:rsidRPr="00892D9F">
              <w:rPr>
                <w:sz w:val="22"/>
                <w:szCs w:val="22"/>
              </w:rPr>
              <w:t>240</w:t>
            </w:r>
          </w:p>
        </w:tc>
        <w:tc>
          <w:tcPr>
            <w:tcW w:w="1440" w:type="dxa"/>
            <w:vAlign w:val="center"/>
          </w:tcPr>
          <w:p w14:paraId="349917AF" w14:textId="191E6347" w:rsidR="00104737" w:rsidRPr="00892D9F" w:rsidRDefault="00104737" w:rsidP="00144B4E">
            <w:pPr>
              <w:pStyle w:val="EQ3"/>
              <w:jc w:val="center"/>
              <w:rPr>
                <w:sz w:val="22"/>
                <w:szCs w:val="22"/>
              </w:rPr>
            </w:pPr>
            <w:r w:rsidRPr="00892D9F">
              <w:rPr>
                <w:sz w:val="22"/>
                <w:szCs w:val="22"/>
              </w:rPr>
              <w:t>4</w:t>
            </w:r>
          </w:p>
        </w:tc>
        <w:tc>
          <w:tcPr>
            <w:tcW w:w="1425" w:type="dxa"/>
            <w:vAlign w:val="center"/>
          </w:tcPr>
          <w:p w14:paraId="702E57E4" w14:textId="207B976F" w:rsidR="00104737" w:rsidRPr="00892D9F" w:rsidRDefault="00104737" w:rsidP="00144B4E">
            <w:pPr>
              <w:pStyle w:val="EQ3"/>
              <w:ind w:left="-153"/>
              <w:jc w:val="center"/>
              <w:rPr>
                <w:sz w:val="22"/>
                <w:szCs w:val="22"/>
              </w:rPr>
            </w:pPr>
            <w:r w:rsidRPr="00892D9F">
              <w:rPr>
                <w:sz w:val="22"/>
                <w:szCs w:val="22"/>
              </w:rPr>
              <w:t>960</w:t>
            </w:r>
          </w:p>
        </w:tc>
      </w:tr>
      <w:tr w:rsidR="00104737" w:rsidRPr="00892D9F" w14:paraId="7E278821" w14:textId="77777777" w:rsidTr="00C06473">
        <w:tc>
          <w:tcPr>
            <w:tcW w:w="2055" w:type="dxa"/>
          </w:tcPr>
          <w:p w14:paraId="2C574367" w14:textId="42F635F8" w:rsidR="00104737" w:rsidRPr="00892D9F" w:rsidRDefault="00104737" w:rsidP="00104737">
            <w:pPr>
              <w:pStyle w:val="EQ3"/>
              <w:rPr>
                <w:sz w:val="22"/>
                <w:szCs w:val="22"/>
              </w:rPr>
            </w:pPr>
            <w:r w:rsidRPr="00892D9F">
              <w:rPr>
                <w:sz w:val="22"/>
                <w:szCs w:val="22"/>
              </w:rPr>
              <w:t>Addiction Counselors</w:t>
            </w:r>
          </w:p>
        </w:tc>
        <w:tc>
          <w:tcPr>
            <w:tcW w:w="1440" w:type="dxa"/>
            <w:vAlign w:val="center"/>
          </w:tcPr>
          <w:p w14:paraId="2AC185CF" w14:textId="20ED90F7" w:rsidR="00104737" w:rsidRPr="00892D9F" w:rsidRDefault="00104737" w:rsidP="00144B4E">
            <w:pPr>
              <w:pStyle w:val="EQ3"/>
              <w:jc w:val="center"/>
              <w:rPr>
                <w:sz w:val="22"/>
                <w:szCs w:val="22"/>
              </w:rPr>
            </w:pPr>
            <w:r w:rsidRPr="00892D9F">
              <w:rPr>
                <w:sz w:val="22"/>
                <w:szCs w:val="22"/>
              </w:rPr>
              <w:t>2</w:t>
            </w:r>
          </w:p>
        </w:tc>
        <w:tc>
          <w:tcPr>
            <w:tcW w:w="1440" w:type="dxa"/>
            <w:vAlign w:val="center"/>
          </w:tcPr>
          <w:p w14:paraId="5D37234D" w14:textId="082BB4CF" w:rsidR="00104737" w:rsidRPr="00892D9F" w:rsidRDefault="00104737" w:rsidP="00144B4E">
            <w:pPr>
              <w:pStyle w:val="EQ3"/>
              <w:jc w:val="center"/>
              <w:rPr>
                <w:sz w:val="22"/>
                <w:szCs w:val="22"/>
              </w:rPr>
            </w:pPr>
            <w:r w:rsidRPr="00892D9F">
              <w:rPr>
                <w:sz w:val="22"/>
                <w:szCs w:val="22"/>
              </w:rPr>
              <w:t>30</w:t>
            </w:r>
          </w:p>
        </w:tc>
        <w:tc>
          <w:tcPr>
            <w:tcW w:w="1530" w:type="dxa"/>
            <w:vAlign w:val="center"/>
          </w:tcPr>
          <w:p w14:paraId="2752174B" w14:textId="7F84C896" w:rsidR="00104737" w:rsidRPr="00892D9F" w:rsidRDefault="00104737" w:rsidP="00144B4E">
            <w:pPr>
              <w:pStyle w:val="EQ3"/>
              <w:ind w:left="-108"/>
              <w:jc w:val="center"/>
              <w:rPr>
                <w:sz w:val="22"/>
                <w:szCs w:val="22"/>
              </w:rPr>
            </w:pPr>
            <w:r w:rsidRPr="00892D9F">
              <w:rPr>
                <w:sz w:val="22"/>
                <w:szCs w:val="22"/>
              </w:rPr>
              <w:t>60</w:t>
            </w:r>
          </w:p>
        </w:tc>
        <w:tc>
          <w:tcPr>
            <w:tcW w:w="1440" w:type="dxa"/>
            <w:vAlign w:val="center"/>
          </w:tcPr>
          <w:p w14:paraId="13545551" w14:textId="3DD355B0" w:rsidR="00104737" w:rsidRPr="00892D9F" w:rsidRDefault="00104737" w:rsidP="00144B4E">
            <w:pPr>
              <w:pStyle w:val="EQ3"/>
              <w:jc w:val="center"/>
              <w:rPr>
                <w:sz w:val="22"/>
                <w:szCs w:val="22"/>
              </w:rPr>
            </w:pPr>
            <w:r w:rsidRPr="00892D9F">
              <w:rPr>
                <w:sz w:val="22"/>
                <w:szCs w:val="22"/>
              </w:rPr>
              <w:t>4</w:t>
            </w:r>
          </w:p>
        </w:tc>
        <w:tc>
          <w:tcPr>
            <w:tcW w:w="1425" w:type="dxa"/>
            <w:vAlign w:val="center"/>
          </w:tcPr>
          <w:p w14:paraId="2559B954" w14:textId="406D4FBF" w:rsidR="00104737" w:rsidRPr="00892D9F" w:rsidRDefault="00104737" w:rsidP="00144B4E">
            <w:pPr>
              <w:pStyle w:val="EQ3"/>
              <w:ind w:left="-153"/>
              <w:jc w:val="center"/>
              <w:rPr>
                <w:sz w:val="22"/>
                <w:szCs w:val="22"/>
              </w:rPr>
            </w:pPr>
            <w:r w:rsidRPr="00892D9F">
              <w:rPr>
                <w:sz w:val="22"/>
                <w:szCs w:val="22"/>
              </w:rPr>
              <w:t>240</w:t>
            </w:r>
          </w:p>
        </w:tc>
      </w:tr>
      <w:tr w:rsidR="00104737" w:rsidRPr="00892D9F" w14:paraId="55D662EF" w14:textId="77777777" w:rsidTr="00C06473">
        <w:tc>
          <w:tcPr>
            <w:tcW w:w="2055" w:type="dxa"/>
          </w:tcPr>
          <w:p w14:paraId="4D9E582B" w14:textId="39546083" w:rsidR="00104737" w:rsidRPr="00892D9F" w:rsidRDefault="005D215D" w:rsidP="00C06473">
            <w:pPr>
              <w:pStyle w:val="EQ3"/>
              <w:spacing w:after="20"/>
              <w:rPr>
                <w:b/>
                <w:bCs/>
                <w:sz w:val="22"/>
                <w:szCs w:val="22"/>
              </w:rPr>
            </w:pPr>
            <w:r w:rsidRPr="00892D9F">
              <w:rPr>
                <w:b/>
                <w:bCs/>
                <w:sz w:val="22"/>
                <w:szCs w:val="22"/>
              </w:rPr>
              <w:t>TOTAL</w:t>
            </w:r>
          </w:p>
        </w:tc>
        <w:tc>
          <w:tcPr>
            <w:tcW w:w="1440" w:type="dxa"/>
            <w:vAlign w:val="center"/>
          </w:tcPr>
          <w:p w14:paraId="4EA93EF7" w14:textId="75075548" w:rsidR="00104737" w:rsidRPr="00892D9F" w:rsidRDefault="005D215D" w:rsidP="00C06473">
            <w:pPr>
              <w:pStyle w:val="EQ3"/>
              <w:spacing w:after="20"/>
              <w:jc w:val="center"/>
              <w:rPr>
                <w:b/>
                <w:bCs/>
                <w:sz w:val="22"/>
                <w:szCs w:val="22"/>
              </w:rPr>
            </w:pPr>
            <w:r w:rsidRPr="00892D9F">
              <w:rPr>
                <w:b/>
                <w:bCs/>
                <w:sz w:val="22"/>
                <w:szCs w:val="22"/>
              </w:rPr>
              <w:t>7</w:t>
            </w:r>
          </w:p>
        </w:tc>
        <w:tc>
          <w:tcPr>
            <w:tcW w:w="1440" w:type="dxa"/>
            <w:vAlign w:val="center"/>
          </w:tcPr>
          <w:p w14:paraId="4DE15F4C" w14:textId="355FA73D" w:rsidR="00104737" w:rsidRPr="00892D9F" w:rsidRDefault="005D215D" w:rsidP="00C06473">
            <w:pPr>
              <w:pStyle w:val="EQ3"/>
              <w:spacing w:after="20"/>
              <w:jc w:val="center"/>
              <w:rPr>
                <w:b/>
                <w:bCs/>
                <w:sz w:val="22"/>
                <w:szCs w:val="22"/>
              </w:rPr>
            </w:pPr>
            <w:r w:rsidRPr="00892D9F">
              <w:rPr>
                <w:b/>
                <w:bCs/>
                <w:sz w:val="22"/>
                <w:szCs w:val="22"/>
              </w:rPr>
              <w:t>78</w:t>
            </w:r>
          </w:p>
        </w:tc>
        <w:tc>
          <w:tcPr>
            <w:tcW w:w="1530" w:type="dxa"/>
            <w:vAlign w:val="center"/>
          </w:tcPr>
          <w:p w14:paraId="5A11D115" w14:textId="319FA135" w:rsidR="00104737" w:rsidRPr="00892D9F" w:rsidRDefault="005D215D" w:rsidP="00C06473">
            <w:pPr>
              <w:pStyle w:val="EQ3"/>
              <w:spacing w:after="20"/>
              <w:jc w:val="center"/>
              <w:rPr>
                <w:b/>
                <w:bCs/>
                <w:sz w:val="22"/>
                <w:szCs w:val="22"/>
              </w:rPr>
            </w:pPr>
            <w:r w:rsidRPr="00892D9F">
              <w:rPr>
                <w:b/>
                <w:bCs/>
                <w:sz w:val="22"/>
                <w:szCs w:val="22"/>
              </w:rPr>
              <w:t>300</w:t>
            </w:r>
          </w:p>
        </w:tc>
        <w:tc>
          <w:tcPr>
            <w:tcW w:w="1440" w:type="dxa"/>
            <w:shd w:val="clear" w:color="auto" w:fill="D9D9D9" w:themeFill="background1" w:themeFillShade="D9"/>
            <w:vAlign w:val="center"/>
          </w:tcPr>
          <w:p w14:paraId="788EF0BC" w14:textId="77777777" w:rsidR="00104737" w:rsidRPr="00892D9F" w:rsidRDefault="00104737" w:rsidP="00C06473">
            <w:pPr>
              <w:pStyle w:val="EQ3"/>
              <w:spacing w:after="20"/>
              <w:jc w:val="center"/>
              <w:rPr>
                <w:b/>
                <w:bCs/>
                <w:sz w:val="22"/>
                <w:szCs w:val="22"/>
              </w:rPr>
            </w:pPr>
          </w:p>
        </w:tc>
        <w:tc>
          <w:tcPr>
            <w:tcW w:w="1425" w:type="dxa"/>
            <w:vAlign w:val="center"/>
          </w:tcPr>
          <w:p w14:paraId="1EB661E5" w14:textId="0A4F590E" w:rsidR="00104737" w:rsidRPr="00892D9F" w:rsidRDefault="005D215D" w:rsidP="00C06473">
            <w:pPr>
              <w:pStyle w:val="EQ3"/>
              <w:spacing w:after="20"/>
              <w:jc w:val="center"/>
              <w:rPr>
                <w:b/>
                <w:bCs/>
                <w:sz w:val="22"/>
                <w:szCs w:val="22"/>
              </w:rPr>
            </w:pPr>
            <w:r w:rsidRPr="00892D9F">
              <w:rPr>
                <w:b/>
                <w:bCs/>
                <w:sz w:val="22"/>
                <w:szCs w:val="22"/>
              </w:rPr>
              <w:t>1,200</w:t>
            </w:r>
          </w:p>
        </w:tc>
      </w:tr>
    </w:tbl>
    <w:p w14:paraId="44658A83" w14:textId="77777777" w:rsidR="00144B4E" w:rsidRDefault="00144B4E" w:rsidP="00401B28">
      <w:pPr>
        <w:pStyle w:val="Heading5"/>
      </w:pPr>
    </w:p>
    <w:p w14:paraId="0222360D" w14:textId="5CBF9F36" w:rsidR="00D40A0A" w:rsidRPr="00892D9F" w:rsidRDefault="00003F19" w:rsidP="00401B28">
      <w:pPr>
        <w:pStyle w:val="Heading5"/>
        <w:rPr>
          <w:sz w:val="24"/>
          <w:szCs w:val="24"/>
        </w:rPr>
      </w:pPr>
      <w:r w:rsidRPr="00892D9F">
        <w:rPr>
          <w:sz w:val="24"/>
          <w:szCs w:val="24"/>
        </w:rPr>
        <w:t xml:space="preserve">National Evaluation of SAMHSA’s </w:t>
      </w:r>
      <w:r w:rsidR="00771316" w:rsidRPr="00892D9F">
        <w:rPr>
          <w:sz w:val="24"/>
          <w:szCs w:val="24"/>
        </w:rPr>
        <w:t>NITT</w:t>
      </w:r>
      <w:r w:rsidRPr="00892D9F">
        <w:rPr>
          <w:sz w:val="24"/>
          <w:szCs w:val="24"/>
        </w:rPr>
        <w:t>-MFP</w:t>
      </w:r>
    </w:p>
    <w:p w14:paraId="758043D2" w14:textId="7705E9C5" w:rsidR="00D40A0A" w:rsidRPr="00892D9F" w:rsidRDefault="00003F19" w:rsidP="00F7176E">
      <w:pPr>
        <w:rPr>
          <w:sz w:val="24"/>
          <w:szCs w:val="24"/>
        </w:rPr>
      </w:pPr>
      <w:r w:rsidRPr="00892D9F">
        <w:rPr>
          <w:sz w:val="24"/>
          <w:szCs w:val="24"/>
        </w:rPr>
        <w:t xml:space="preserve">The evaluation of the </w:t>
      </w:r>
      <w:r w:rsidR="00BC7884" w:rsidRPr="00892D9F">
        <w:rPr>
          <w:sz w:val="24"/>
          <w:szCs w:val="24"/>
        </w:rPr>
        <w:t>NITT-MFP</w:t>
      </w:r>
      <w:r w:rsidRPr="00892D9F">
        <w:rPr>
          <w:sz w:val="24"/>
          <w:szCs w:val="24"/>
        </w:rPr>
        <w:t xml:space="preserve"> program</w:t>
      </w:r>
      <w:r w:rsidR="00E315B7" w:rsidRPr="00892D9F">
        <w:rPr>
          <w:sz w:val="24"/>
          <w:szCs w:val="24"/>
        </w:rPr>
        <w:t>s will assess</w:t>
      </w:r>
      <w:r w:rsidRPr="00892D9F">
        <w:rPr>
          <w:sz w:val="24"/>
          <w:szCs w:val="24"/>
        </w:rPr>
        <w:t xml:space="preserve"> the overall success of the SAMHSA NITT initiative in enhancing the behavioral health workforce in terms of the number of new graduates from the </w:t>
      </w:r>
      <w:r w:rsidR="00CA3EA5" w:rsidRPr="00892D9F">
        <w:rPr>
          <w:sz w:val="24"/>
          <w:szCs w:val="24"/>
        </w:rPr>
        <w:t>NITT-MFP</w:t>
      </w:r>
      <w:r w:rsidRPr="00892D9F">
        <w:rPr>
          <w:sz w:val="24"/>
          <w:szCs w:val="24"/>
        </w:rPr>
        <w:t xml:space="preserve"> programs, their competencies and characteristics, and their capacity to meet behavioral health workforce needs</w:t>
      </w:r>
      <w:r w:rsidR="007627AB">
        <w:rPr>
          <w:sz w:val="24"/>
          <w:szCs w:val="24"/>
        </w:rPr>
        <w:t xml:space="preserve">.  </w:t>
      </w:r>
      <w:r w:rsidRPr="00892D9F">
        <w:rPr>
          <w:sz w:val="24"/>
          <w:szCs w:val="24"/>
        </w:rPr>
        <w:t>The</w:t>
      </w:r>
      <w:r w:rsidR="002873B8" w:rsidRPr="00892D9F">
        <w:rPr>
          <w:sz w:val="24"/>
          <w:szCs w:val="24"/>
        </w:rPr>
        <w:t xml:space="preserve"> </w:t>
      </w:r>
      <w:r w:rsidR="00CA3EA5" w:rsidRPr="00892D9F">
        <w:rPr>
          <w:sz w:val="24"/>
          <w:szCs w:val="24"/>
        </w:rPr>
        <w:t>NITT-MFP</w:t>
      </w:r>
      <w:r w:rsidRPr="00892D9F">
        <w:rPr>
          <w:sz w:val="24"/>
          <w:szCs w:val="24"/>
        </w:rPr>
        <w:t xml:space="preserve"> </w:t>
      </w:r>
      <w:r w:rsidR="00F95A2F" w:rsidRPr="00892D9F">
        <w:rPr>
          <w:sz w:val="24"/>
          <w:szCs w:val="24"/>
        </w:rPr>
        <w:t>evaluation will collect data on changes</w:t>
      </w:r>
      <w:r w:rsidR="002873B8" w:rsidRPr="00892D9F">
        <w:rPr>
          <w:sz w:val="24"/>
          <w:szCs w:val="24"/>
        </w:rPr>
        <w:t xml:space="preserve"> in the number of culturally competent behavioral health professional</w:t>
      </w:r>
      <w:r w:rsidR="00F7176E" w:rsidRPr="00892D9F">
        <w:rPr>
          <w:sz w:val="24"/>
          <w:szCs w:val="24"/>
        </w:rPr>
        <w:t>s</w:t>
      </w:r>
      <w:r w:rsidR="002873B8" w:rsidRPr="00892D9F">
        <w:rPr>
          <w:sz w:val="24"/>
          <w:szCs w:val="24"/>
        </w:rPr>
        <w:t xml:space="preserve"> available to provide clinical services to underserved, at risk children, adolescents and youth ages 1</w:t>
      </w:r>
      <w:r w:rsidR="00F95A2F" w:rsidRPr="00892D9F">
        <w:rPr>
          <w:sz w:val="24"/>
          <w:szCs w:val="24"/>
        </w:rPr>
        <w:t>6–25 transitioning to adulthood</w:t>
      </w:r>
      <w:r w:rsidR="007627AB">
        <w:rPr>
          <w:sz w:val="24"/>
          <w:szCs w:val="24"/>
        </w:rPr>
        <w:t xml:space="preserve">.  </w:t>
      </w:r>
      <w:r w:rsidR="00F95A2F" w:rsidRPr="00892D9F">
        <w:rPr>
          <w:sz w:val="24"/>
          <w:szCs w:val="24"/>
        </w:rPr>
        <w:t>The evaluation will also explore whether the program results in</w:t>
      </w:r>
      <w:r w:rsidR="002873B8" w:rsidRPr="00892D9F">
        <w:rPr>
          <w:sz w:val="24"/>
          <w:szCs w:val="24"/>
        </w:rPr>
        <w:t xml:space="preserve"> increased kn</w:t>
      </w:r>
      <w:r w:rsidR="00F95A2F" w:rsidRPr="00892D9F">
        <w:rPr>
          <w:sz w:val="24"/>
          <w:szCs w:val="24"/>
        </w:rPr>
        <w:t>owledge, skills, and aptitude among</w:t>
      </w:r>
      <w:r w:rsidR="002873B8" w:rsidRPr="00892D9F">
        <w:rPr>
          <w:sz w:val="24"/>
          <w:szCs w:val="24"/>
        </w:rPr>
        <w:t xml:space="preserve"> </w:t>
      </w:r>
      <w:r w:rsidR="00F7176E" w:rsidRPr="00892D9F">
        <w:rPr>
          <w:sz w:val="24"/>
          <w:szCs w:val="24"/>
        </w:rPr>
        <w:t>NITT-</w:t>
      </w:r>
      <w:r w:rsidR="002873B8" w:rsidRPr="00892D9F">
        <w:rPr>
          <w:sz w:val="24"/>
          <w:szCs w:val="24"/>
        </w:rPr>
        <w:t>MFP fellows to provide culturally competent behavioral health services to these populations;</w:t>
      </w:r>
      <w:r w:rsidR="00F95A2F" w:rsidRPr="00892D9F">
        <w:rPr>
          <w:sz w:val="24"/>
          <w:szCs w:val="24"/>
        </w:rPr>
        <w:t xml:space="preserve"> the</w:t>
      </w:r>
      <w:r w:rsidR="002873B8" w:rsidRPr="00892D9F">
        <w:rPr>
          <w:sz w:val="24"/>
          <w:szCs w:val="24"/>
        </w:rPr>
        <w:t xml:space="preserve"> costs associat</w:t>
      </w:r>
      <w:r w:rsidR="00F7176E" w:rsidRPr="00892D9F">
        <w:rPr>
          <w:sz w:val="24"/>
          <w:szCs w:val="24"/>
        </w:rPr>
        <w:t>ed</w:t>
      </w:r>
      <w:r w:rsidR="002873B8" w:rsidRPr="00892D9F">
        <w:rPr>
          <w:sz w:val="24"/>
          <w:szCs w:val="24"/>
        </w:rPr>
        <w:t xml:space="preserve"> with increasing the behavioral health workforce; and how these new behavioral health professionals are sustained in the workforce.</w:t>
      </w:r>
    </w:p>
    <w:p w14:paraId="0E2AA748" w14:textId="57B1CEF2" w:rsidR="00E315B7" w:rsidRPr="00892D9F" w:rsidRDefault="00C41E18" w:rsidP="000A7F54">
      <w:pPr>
        <w:rPr>
          <w:sz w:val="24"/>
          <w:szCs w:val="24"/>
        </w:rPr>
      </w:pPr>
      <w:r w:rsidRPr="00892D9F">
        <w:rPr>
          <w:sz w:val="24"/>
          <w:szCs w:val="24"/>
        </w:rPr>
        <w:t>T</w:t>
      </w:r>
      <w:r w:rsidR="00E315B7" w:rsidRPr="00892D9F">
        <w:rPr>
          <w:sz w:val="24"/>
          <w:szCs w:val="24"/>
        </w:rPr>
        <w:t>he NITT-MFP</w:t>
      </w:r>
      <w:r w:rsidRPr="00892D9F">
        <w:rPr>
          <w:sz w:val="24"/>
          <w:szCs w:val="24"/>
        </w:rPr>
        <w:t xml:space="preserve"> evaluation is designed to</w:t>
      </w:r>
      <w:r w:rsidR="00E315B7" w:rsidRPr="00892D9F">
        <w:rPr>
          <w:sz w:val="24"/>
          <w:szCs w:val="24"/>
        </w:rPr>
        <w:t xml:space="preserve"> assess the level of success of the grantees in meeting the programs</w:t>
      </w:r>
      <w:r w:rsidRPr="00892D9F">
        <w:rPr>
          <w:sz w:val="24"/>
          <w:szCs w:val="24"/>
        </w:rPr>
        <w:t>’</w:t>
      </w:r>
      <w:r w:rsidR="00E315B7" w:rsidRPr="00892D9F">
        <w:rPr>
          <w:sz w:val="24"/>
          <w:szCs w:val="24"/>
        </w:rPr>
        <w:t xml:space="preserve"> goals and identifies the factors that contribute to differences among grantees in levels of success</w:t>
      </w:r>
      <w:r w:rsidR="007627AB">
        <w:rPr>
          <w:sz w:val="24"/>
          <w:szCs w:val="24"/>
        </w:rPr>
        <w:t xml:space="preserve">.  </w:t>
      </w:r>
      <w:r w:rsidR="00E315B7" w:rsidRPr="00892D9F">
        <w:rPr>
          <w:sz w:val="24"/>
          <w:szCs w:val="24"/>
        </w:rPr>
        <w:t>These research questions will be addressed by the NITT-MFP process and outcome evaluation</w:t>
      </w:r>
      <w:r w:rsidR="007627AB">
        <w:rPr>
          <w:sz w:val="24"/>
          <w:szCs w:val="24"/>
        </w:rPr>
        <w:t xml:space="preserve">.  </w:t>
      </w:r>
      <w:r w:rsidR="00E315B7" w:rsidRPr="00892D9F">
        <w:rPr>
          <w:sz w:val="24"/>
          <w:szCs w:val="24"/>
        </w:rPr>
        <w:t xml:space="preserve">The process evaluation will include both qualitative and quantitative components supported by multiple types of data collection—reviews of grantee application and program documentation, interviews with fellows, </w:t>
      </w:r>
      <w:r w:rsidR="000A7F54">
        <w:rPr>
          <w:sz w:val="24"/>
          <w:szCs w:val="24"/>
        </w:rPr>
        <w:t xml:space="preserve">and </w:t>
      </w:r>
      <w:r w:rsidR="0018506A" w:rsidRPr="00892D9F">
        <w:rPr>
          <w:sz w:val="24"/>
          <w:szCs w:val="24"/>
        </w:rPr>
        <w:t xml:space="preserve">the analysis of </w:t>
      </w:r>
      <w:r w:rsidR="00E315B7" w:rsidRPr="00892D9F">
        <w:rPr>
          <w:sz w:val="24"/>
          <w:szCs w:val="24"/>
        </w:rPr>
        <w:t>survey</w:t>
      </w:r>
      <w:r w:rsidR="0018506A" w:rsidRPr="00892D9F">
        <w:rPr>
          <w:sz w:val="24"/>
          <w:szCs w:val="24"/>
        </w:rPr>
        <w:t xml:space="preserve"> data from</w:t>
      </w:r>
      <w:r w:rsidR="00E315B7" w:rsidRPr="00892D9F">
        <w:rPr>
          <w:sz w:val="24"/>
          <w:szCs w:val="24"/>
        </w:rPr>
        <w:t xml:space="preserve"> fellows and program alumni</w:t>
      </w:r>
      <w:r w:rsidR="004A5402" w:rsidRPr="00892D9F">
        <w:rPr>
          <w:sz w:val="24"/>
          <w:szCs w:val="24"/>
        </w:rPr>
        <w:t xml:space="preserve"> (approved under OMB No. 0930-0304)</w:t>
      </w:r>
      <w:r w:rsidR="007627AB">
        <w:rPr>
          <w:sz w:val="24"/>
          <w:szCs w:val="24"/>
        </w:rPr>
        <w:t xml:space="preserve">.  </w:t>
      </w:r>
      <w:r w:rsidR="00E315B7" w:rsidRPr="00892D9F">
        <w:rPr>
          <w:sz w:val="24"/>
          <w:szCs w:val="24"/>
        </w:rPr>
        <w:t>The NITT-MFP outcome evaluation includes two levels of primary outcomes</w:t>
      </w:r>
      <w:r w:rsidR="00B7211E">
        <w:rPr>
          <w:sz w:val="24"/>
          <w:szCs w:val="24"/>
        </w:rPr>
        <w:t xml:space="preserve">:  </w:t>
      </w:r>
      <w:r w:rsidR="00E315B7" w:rsidRPr="00892D9F">
        <w:rPr>
          <w:sz w:val="24"/>
          <w:szCs w:val="24"/>
        </w:rPr>
        <w:t>grantees and fellows</w:t>
      </w:r>
      <w:r w:rsidR="007627AB">
        <w:rPr>
          <w:sz w:val="24"/>
          <w:szCs w:val="24"/>
        </w:rPr>
        <w:t xml:space="preserve">.  </w:t>
      </w:r>
      <w:r w:rsidR="00E315B7" w:rsidRPr="00892D9F">
        <w:rPr>
          <w:sz w:val="24"/>
          <w:szCs w:val="24"/>
        </w:rPr>
        <w:t>The Web-based surveys of current fellows and fellowship program alumni</w:t>
      </w:r>
      <w:r w:rsidR="0018506A" w:rsidRPr="00892D9F">
        <w:rPr>
          <w:sz w:val="24"/>
          <w:szCs w:val="24"/>
        </w:rPr>
        <w:t xml:space="preserve"> have already</w:t>
      </w:r>
      <w:r w:rsidR="00E315B7" w:rsidRPr="00892D9F">
        <w:rPr>
          <w:sz w:val="24"/>
          <w:szCs w:val="24"/>
        </w:rPr>
        <w:t xml:space="preserve"> </w:t>
      </w:r>
      <w:r w:rsidR="0018506A" w:rsidRPr="00892D9F">
        <w:rPr>
          <w:sz w:val="24"/>
          <w:szCs w:val="24"/>
        </w:rPr>
        <w:t>received OMB clearance</w:t>
      </w:r>
      <w:r w:rsidR="008B2C2B" w:rsidRPr="00892D9F">
        <w:rPr>
          <w:sz w:val="24"/>
          <w:szCs w:val="24"/>
        </w:rPr>
        <w:t xml:space="preserve"> (OMB No. 0930-0304)</w:t>
      </w:r>
      <w:r w:rsidR="0018506A" w:rsidRPr="00892D9F">
        <w:rPr>
          <w:sz w:val="24"/>
          <w:szCs w:val="24"/>
        </w:rPr>
        <w:t>; this</w:t>
      </w:r>
      <w:r w:rsidR="004A5402" w:rsidRPr="00892D9F">
        <w:rPr>
          <w:sz w:val="24"/>
          <w:szCs w:val="24"/>
        </w:rPr>
        <w:t xml:space="preserve"> NITT-MFP</w:t>
      </w:r>
      <w:r w:rsidR="0018506A" w:rsidRPr="00892D9F">
        <w:rPr>
          <w:sz w:val="24"/>
          <w:szCs w:val="24"/>
        </w:rPr>
        <w:t xml:space="preserve"> </w:t>
      </w:r>
      <w:r w:rsidR="00892D9F">
        <w:rPr>
          <w:sz w:val="24"/>
          <w:szCs w:val="24"/>
        </w:rPr>
        <w:t xml:space="preserve">OMB </w:t>
      </w:r>
      <w:r w:rsidR="0018506A" w:rsidRPr="00892D9F">
        <w:rPr>
          <w:sz w:val="24"/>
          <w:szCs w:val="24"/>
        </w:rPr>
        <w:t>package focuses on the</w:t>
      </w:r>
      <w:r w:rsidR="00E315B7" w:rsidRPr="00892D9F">
        <w:rPr>
          <w:sz w:val="24"/>
          <w:szCs w:val="24"/>
        </w:rPr>
        <w:t xml:space="preserve"> </w:t>
      </w:r>
      <w:r w:rsidR="0056684A" w:rsidRPr="00892D9F">
        <w:rPr>
          <w:sz w:val="24"/>
          <w:szCs w:val="24"/>
        </w:rPr>
        <w:t xml:space="preserve">telephone </w:t>
      </w:r>
      <w:r w:rsidR="00E315B7" w:rsidRPr="00892D9F">
        <w:rPr>
          <w:sz w:val="24"/>
          <w:szCs w:val="24"/>
        </w:rPr>
        <w:t xml:space="preserve">interviews with selected </w:t>
      </w:r>
      <w:r w:rsidR="00892D9F">
        <w:rPr>
          <w:sz w:val="24"/>
          <w:szCs w:val="24"/>
        </w:rPr>
        <w:t>fellows</w:t>
      </w:r>
      <w:r w:rsidR="007627AB">
        <w:rPr>
          <w:sz w:val="24"/>
          <w:szCs w:val="24"/>
        </w:rPr>
        <w:t xml:space="preserve">.  </w:t>
      </w:r>
      <w:r w:rsidR="00E315B7" w:rsidRPr="00892D9F">
        <w:rPr>
          <w:sz w:val="24"/>
          <w:szCs w:val="24"/>
        </w:rPr>
        <w:t>The outcome evaluation will focus on how differences in professional disciplines and grantees</w:t>
      </w:r>
      <w:r w:rsidR="0056684A" w:rsidRPr="00892D9F">
        <w:rPr>
          <w:sz w:val="24"/>
          <w:szCs w:val="24"/>
        </w:rPr>
        <w:t>’</w:t>
      </w:r>
      <w:r w:rsidR="00E315B7" w:rsidRPr="00892D9F">
        <w:rPr>
          <w:sz w:val="24"/>
          <w:szCs w:val="24"/>
        </w:rPr>
        <w:t xml:space="preserve"> program strategies contribute to observed differences in fellow outcomes.</w:t>
      </w:r>
    </w:p>
    <w:p w14:paraId="1837FEEB" w14:textId="78FEE970" w:rsidR="00E315B7" w:rsidRPr="00892D9F" w:rsidRDefault="00E315B7" w:rsidP="00080F92">
      <w:pPr>
        <w:pStyle w:val="Heading5"/>
        <w:rPr>
          <w:sz w:val="24"/>
          <w:szCs w:val="24"/>
        </w:rPr>
      </w:pPr>
      <w:r w:rsidRPr="00892D9F">
        <w:rPr>
          <w:sz w:val="24"/>
          <w:szCs w:val="24"/>
        </w:rPr>
        <w:t>NITT-MFP Evaluation Questions</w:t>
      </w:r>
    </w:p>
    <w:p w14:paraId="373B43CE" w14:textId="1B55BE61" w:rsidR="00E315B7" w:rsidRPr="00892D9F" w:rsidRDefault="00E315B7" w:rsidP="00144B4E">
      <w:pPr>
        <w:rPr>
          <w:sz w:val="24"/>
          <w:szCs w:val="24"/>
        </w:rPr>
      </w:pPr>
      <w:r w:rsidRPr="00892D9F">
        <w:rPr>
          <w:sz w:val="24"/>
          <w:szCs w:val="24"/>
        </w:rPr>
        <w:t>The NITT-MFP evaluation questions to assess program processes and outcomes fall into two broad areas</w:t>
      </w:r>
      <w:r w:rsidR="00B7211E">
        <w:rPr>
          <w:sz w:val="24"/>
          <w:szCs w:val="24"/>
        </w:rPr>
        <w:t xml:space="preserve">:  </w:t>
      </w:r>
      <w:r w:rsidRPr="00892D9F">
        <w:rPr>
          <w:sz w:val="24"/>
          <w:szCs w:val="24"/>
        </w:rPr>
        <w:t>1) mental health service system capacity and infrastructure, and 2) early and accurate identification of mental health needs</w:t>
      </w:r>
      <w:r w:rsidR="007627AB">
        <w:rPr>
          <w:sz w:val="24"/>
          <w:szCs w:val="24"/>
        </w:rPr>
        <w:t xml:space="preserve">.  </w:t>
      </w:r>
      <w:r w:rsidRPr="00892D9F">
        <w:rPr>
          <w:b/>
          <w:bCs/>
          <w:i/>
          <w:iCs/>
          <w:sz w:val="24"/>
          <w:szCs w:val="24"/>
        </w:rPr>
        <w:t xml:space="preserve">Table </w:t>
      </w:r>
      <w:r w:rsidR="00144B4E" w:rsidRPr="00892D9F">
        <w:rPr>
          <w:b/>
          <w:bCs/>
          <w:i/>
          <w:iCs/>
          <w:sz w:val="24"/>
          <w:szCs w:val="24"/>
        </w:rPr>
        <w:t>2</w:t>
      </w:r>
      <w:r w:rsidRPr="00892D9F">
        <w:rPr>
          <w:sz w:val="24"/>
          <w:szCs w:val="24"/>
        </w:rPr>
        <w:t xml:space="preserve"> describes the NITT-MFP evaluation questions; questions 1-5 address priority area 1, and question 6, priority area 2. </w:t>
      </w:r>
    </w:p>
    <w:p w14:paraId="14CBF424" w14:textId="0A0F175E" w:rsidR="00E57640" w:rsidRPr="00892D9F" w:rsidRDefault="00401B28" w:rsidP="00892D9F">
      <w:pPr>
        <w:pStyle w:val="ExhibitTitle"/>
      </w:pPr>
      <w:bookmarkStart w:id="0" w:name="_Toc376527483"/>
      <w:r w:rsidRPr="00892D9F">
        <w:t xml:space="preserve">Table </w:t>
      </w:r>
      <w:r w:rsidR="00144B4E" w:rsidRPr="00892D9F">
        <w:t>2</w:t>
      </w:r>
      <w:r w:rsidR="00E57640" w:rsidRPr="00892D9F">
        <w:t>.</w:t>
      </w:r>
      <w:r w:rsidR="00144B4E" w:rsidRPr="00892D9F">
        <w:tab/>
      </w:r>
      <w:r w:rsidR="00E57640" w:rsidRPr="00892D9F">
        <w:t xml:space="preserve">Evaluation Questions for the </w:t>
      </w:r>
      <w:bookmarkEnd w:id="0"/>
      <w:r w:rsidR="00144B4E" w:rsidRPr="00892D9F">
        <w:t>Now is the Time (NITT) -</w:t>
      </w:r>
      <w:r w:rsidR="00003F19" w:rsidRPr="00892D9F">
        <w:t xml:space="preserve"> Minority Fellowship Program</w:t>
      </w:r>
      <w:r w:rsidR="00144B4E" w:rsidRPr="00892D9F">
        <w:t xml:space="preserve"> (MFP) </w:t>
      </w:r>
      <w:r w:rsidR="0056684A" w:rsidRPr="00892D9F">
        <w:t>P</w:t>
      </w:r>
      <w:r w:rsidR="00003F19" w:rsidRPr="00892D9F">
        <w:t>rograms</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5"/>
        <w:gridCol w:w="8901"/>
      </w:tblGrid>
      <w:tr w:rsidR="00E57640" w:rsidRPr="008B0DF6" w14:paraId="63F0A77B" w14:textId="77777777" w:rsidTr="00C06473">
        <w:trPr>
          <w:cantSplit/>
          <w:trHeight w:val="1070"/>
        </w:trPr>
        <w:tc>
          <w:tcPr>
            <w:tcW w:w="583" w:type="dxa"/>
            <w:shd w:val="clear" w:color="auto" w:fill="DBE5F1" w:themeFill="accent1" w:themeFillTint="33"/>
          </w:tcPr>
          <w:p w14:paraId="6F61B4FC" w14:textId="77777777" w:rsidR="00E57640" w:rsidRPr="008B0DF6" w:rsidRDefault="00E57640" w:rsidP="00080F92">
            <w:pPr>
              <w:keepNext/>
              <w:spacing w:before="120" w:after="120"/>
              <w:jc w:val="right"/>
            </w:pPr>
            <w:r w:rsidRPr="008B0DF6">
              <w:t>EQ1</w:t>
            </w:r>
            <w:r>
              <w:t>.</w:t>
            </w:r>
          </w:p>
        </w:tc>
        <w:tc>
          <w:tcPr>
            <w:tcW w:w="8993" w:type="dxa"/>
            <w:shd w:val="clear" w:color="auto" w:fill="DBE5F1" w:themeFill="accent1" w:themeFillTint="33"/>
          </w:tcPr>
          <w:p w14:paraId="12691253" w14:textId="11F8CDC6" w:rsidR="00E57640" w:rsidRPr="008B0DF6" w:rsidRDefault="00003F19" w:rsidP="00080F92">
            <w:pPr>
              <w:spacing w:before="120" w:after="120"/>
            </w:pPr>
            <w:r>
              <w:t>To what extent does NITT-MFP increase the number of culturally competent behavioral health professionals available to provide clinical services to underserved, at-risk children, youth, and young adults in public and private settings?</w:t>
            </w:r>
          </w:p>
        </w:tc>
      </w:tr>
      <w:tr w:rsidR="00E57640" w:rsidRPr="008B0DF6" w14:paraId="6AC7B71E" w14:textId="77777777" w:rsidTr="00C06473">
        <w:trPr>
          <w:cantSplit/>
        </w:trPr>
        <w:tc>
          <w:tcPr>
            <w:tcW w:w="583" w:type="dxa"/>
          </w:tcPr>
          <w:p w14:paraId="225615C4" w14:textId="77777777" w:rsidR="00E57640" w:rsidRPr="008B0DF6" w:rsidRDefault="00E57640" w:rsidP="00080F92">
            <w:pPr>
              <w:keepNext/>
              <w:spacing w:before="120" w:after="120"/>
              <w:jc w:val="right"/>
            </w:pPr>
            <w:r w:rsidRPr="008B0DF6">
              <w:t>EQ2</w:t>
            </w:r>
            <w:r>
              <w:t>.</w:t>
            </w:r>
          </w:p>
        </w:tc>
        <w:tc>
          <w:tcPr>
            <w:tcW w:w="8993" w:type="dxa"/>
          </w:tcPr>
          <w:p w14:paraId="5B8DD240" w14:textId="24D57EA7" w:rsidR="00E57640" w:rsidRPr="008B0DF6" w:rsidRDefault="00003F19" w:rsidP="00080F92">
            <w:pPr>
              <w:keepNext/>
              <w:spacing w:before="120" w:after="120"/>
              <w:ind w:left="-43"/>
            </w:pPr>
            <w:r>
              <w:t>To what extent does NITT-MFP prepare fellows for the supervisory behavioral health workforce?</w:t>
            </w:r>
          </w:p>
        </w:tc>
      </w:tr>
      <w:tr w:rsidR="00E57640" w:rsidRPr="008B0DF6" w14:paraId="0F69202D" w14:textId="77777777" w:rsidTr="00C06473">
        <w:trPr>
          <w:cantSplit/>
          <w:trHeight w:val="800"/>
        </w:trPr>
        <w:tc>
          <w:tcPr>
            <w:tcW w:w="583" w:type="dxa"/>
            <w:shd w:val="clear" w:color="auto" w:fill="DBE5F1" w:themeFill="accent1" w:themeFillTint="33"/>
          </w:tcPr>
          <w:p w14:paraId="0AC8D9E3" w14:textId="77777777" w:rsidR="00E57640" w:rsidRPr="008B0DF6" w:rsidRDefault="00E57640" w:rsidP="00080F92">
            <w:pPr>
              <w:keepNext/>
              <w:spacing w:before="120" w:after="120"/>
              <w:jc w:val="right"/>
            </w:pPr>
            <w:r w:rsidRPr="008B0DF6">
              <w:t>EQ3</w:t>
            </w:r>
            <w:r>
              <w:t>.</w:t>
            </w:r>
          </w:p>
        </w:tc>
        <w:tc>
          <w:tcPr>
            <w:tcW w:w="8993" w:type="dxa"/>
            <w:shd w:val="clear" w:color="auto" w:fill="DBE5F1" w:themeFill="accent1" w:themeFillTint="33"/>
          </w:tcPr>
          <w:p w14:paraId="565B80CD" w14:textId="70F8D423" w:rsidR="00E57640" w:rsidRPr="008B0DF6" w:rsidRDefault="00003F19" w:rsidP="00080F92">
            <w:pPr>
              <w:spacing w:before="120" w:after="120"/>
            </w:pPr>
            <w:r>
              <w:t>To what extent does NITT-MFP build the supervisory behavioral workforce for behavioral professionals that provide clinical services to underserved, at-risk, children, youth, and young adults?</w:t>
            </w:r>
          </w:p>
        </w:tc>
      </w:tr>
      <w:tr w:rsidR="00E57640" w:rsidRPr="008B0DF6" w14:paraId="739F0CAC" w14:textId="77777777" w:rsidTr="00C06473">
        <w:trPr>
          <w:cantSplit/>
        </w:trPr>
        <w:tc>
          <w:tcPr>
            <w:tcW w:w="583" w:type="dxa"/>
            <w:shd w:val="clear" w:color="auto" w:fill="auto"/>
          </w:tcPr>
          <w:p w14:paraId="4F0420CF" w14:textId="77777777" w:rsidR="00E57640" w:rsidRPr="008B0DF6" w:rsidRDefault="00E57640" w:rsidP="00080F92">
            <w:pPr>
              <w:keepNext/>
              <w:spacing w:before="120" w:after="120"/>
              <w:jc w:val="right"/>
            </w:pPr>
            <w:r w:rsidRPr="008B0DF6">
              <w:t>EQ4</w:t>
            </w:r>
            <w:r>
              <w:t>.</w:t>
            </w:r>
          </w:p>
        </w:tc>
        <w:tc>
          <w:tcPr>
            <w:tcW w:w="8993" w:type="dxa"/>
            <w:shd w:val="clear" w:color="auto" w:fill="auto"/>
          </w:tcPr>
          <w:p w14:paraId="6C6B8375" w14:textId="037EE89E" w:rsidR="00E57640" w:rsidRPr="008B0DF6" w:rsidRDefault="00E315B7" w:rsidP="00080F92">
            <w:pPr>
              <w:keepNext/>
              <w:spacing w:before="120" w:after="120"/>
              <w:ind w:left="-43"/>
            </w:pPr>
            <w:r>
              <w:t>What costs are associated with increasing the behavioral health workforce and how do the costs vary across professional disciplines?</w:t>
            </w:r>
          </w:p>
        </w:tc>
      </w:tr>
      <w:tr w:rsidR="00E57640" w:rsidRPr="008B0DF6" w14:paraId="2FCEF865" w14:textId="77777777" w:rsidTr="00C06473">
        <w:trPr>
          <w:cantSplit/>
        </w:trPr>
        <w:tc>
          <w:tcPr>
            <w:tcW w:w="583" w:type="dxa"/>
            <w:shd w:val="clear" w:color="auto" w:fill="DBE5F1" w:themeFill="accent1" w:themeFillTint="33"/>
          </w:tcPr>
          <w:p w14:paraId="37B6155A" w14:textId="77777777" w:rsidR="00E57640" w:rsidRPr="008B0DF6" w:rsidRDefault="00E57640" w:rsidP="00080F92">
            <w:pPr>
              <w:spacing w:before="120" w:after="120"/>
              <w:jc w:val="right"/>
            </w:pPr>
            <w:r w:rsidRPr="008B0DF6">
              <w:t>EQ5</w:t>
            </w:r>
            <w:r>
              <w:t>.</w:t>
            </w:r>
          </w:p>
        </w:tc>
        <w:tc>
          <w:tcPr>
            <w:tcW w:w="8993" w:type="dxa"/>
            <w:shd w:val="clear" w:color="auto" w:fill="DBE5F1" w:themeFill="accent1" w:themeFillTint="33"/>
          </w:tcPr>
          <w:p w14:paraId="5F5DE2B4" w14:textId="351E6771" w:rsidR="00E57640" w:rsidRPr="008B0DF6" w:rsidRDefault="00E315B7" w:rsidP="00080F92">
            <w:pPr>
              <w:spacing w:before="120" w:after="120"/>
              <w:ind w:left="-43"/>
            </w:pPr>
            <w:r>
              <w:t>What are the intended/actual/projected ways in which new behavioral health professionals will be sustained in the workforce?</w:t>
            </w:r>
          </w:p>
        </w:tc>
      </w:tr>
      <w:tr w:rsidR="00003F19" w:rsidRPr="008B0DF6" w14:paraId="4FAEABCC" w14:textId="77777777" w:rsidTr="007D4208">
        <w:trPr>
          <w:cantSplit/>
          <w:trHeight w:val="1080"/>
        </w:trPr>
        <w:tc>
          <w:tcPr>
            <w:tcW w:w="583" w:type="dxa"/>
            <w:shd w:val="clear" w:color="auto" w:fill="auto"/>
          </w:tcPr>
          <w:p w14:paraId="0F11AB87" w14:textId="18521C64" w:rsidR="00003F19" w:rsidRPr="008B0DF6" w:rsidRDefault="00003F19" w:rsidP="00080F92">
            <w:pPr>
              <w:spacing w:before="120" w:after="120"/>
              <w:jc w:val="right"/>
            </w:pPr>
            <w:r>
              <w:t>EQ6</w:t>
            </w:r>
            <w:r w:rsidR="007627AB">
              <w:t>.</w:t>
            </w:r>
          </w:p>
        </w:tc>
        <w:tc>
          <w:tcPr>
            <w:tcW w:w="8993" w:type="dxa"/>
            <w:shd w:val="clear" w:color="auto" w:fill="auto"/>
          </w:tcPr>
          <w:p w14:paraId="33EE152A" w14:textId="630EC36F" w:rsidR="00003F19" w:rsidRDefault="00E315B7" w:rsidP="00080F92">
            <w:pPr>
              <w:spacing w:before="120" w:after="120"/>
              <w:ind w:left="-43"/>
            </w:pPr>
            <w:r>
              <w:t>To what extent are the knowledge, skills, and aptitude of fellows to provide culturally competent behavioral health services to underserved, at-risk children, youth, and young adults increased as a result of the NITT-MFP?</w:t>
            </w:r>
          </w:p>
        </w:tc>
      </w:tr>
    </w:tbl>
    <w:p w14:paraId="321C0ED6" w14:textId="77777777" w:rsidR="005C7B5B" w:rsidRDefault="005C7B5B" w:rsidP="005C7B5B">
      <w:pPr>
        <w:spacing w:after="0"/>
      </w:pPr>
    </w:p>
    <w:p w14:paraId="123412ED" w14:textId="77777777" w:rsidR="000F51C7" w:rsidRDefault="0003189F" w:rsidP="000F51C7">
      <w:pPr>
        <w:pStyle w:val="Heading2"/>
      </w:pPr>
      <w:r w:rsidRPr="001F42AB">
        <w:t>Purpose and Use of Information</w:t>
      </w:r>
    </w:p>
    <w:p w14:paraId="7DB9A73B" w14:textId="32897824" w:rsidR="00061036" w:rsidRPr="000A7F54" w:rsidRDefault="00061036" w:rsidP="002F76D0">
      <w:pPr>
        <w:rPr>
          <w:sz w:val="24"/>
          <w:szCs w:val="24"/>
        </w:rPr>
      </w:pPr>
      <w:r w:rsidRPr="000A7F54">
        <w:rPr>
          <w:sz w:val="24"/>
          <w:szCs w:val="24"/>
        </w:rPr>
        <w:t xml:space="preserve">The data collected through the </w:t>
      </w:r>
      <w:r w:rsidR="00C41E18" w:rsidRPr="000A7F54">
        <w:rPr>
          <w:sz w:val="24"/>
          <w:szCs w:val="24"/>
        </w:rPr>
        <w:t>NITT-</w:t>
      </w:r>
      <w:r w:rsidRPr="000A7F54">
        <w:rPr>
          <w:sz w:val="24"/>
          <w:szCs w:val="24"/>
        </w:rPr>
        <w:t>MFP Fellow Interviews</w:t>
      </w:r>
      <w:r w:rsidR="00F84A4B" w:rsidRPr="000A7F54">
        <w:rPr>
          <w:sz w:val="24"/>
          <w:szCs w:val="24"/>
        </w:rPr>
        <w:t xml:space="preserve"> </w:t>
      </w:r>
      <w:r w:rsidRPr="000A7F54">
        <w:rPr>
          <w:sz w:val="24"/>
          <w:szCs w:val="24"/>
        </w:rPr>
        <w:t xml:space="preserve">will provide detailed, descriptive information about the </w:t>
      </w:r>
      <w:r w:rsidR="00F84A4B" w:rsidRPr="000A7F54">
        <w:rPr>
          <w:sz w:val="24"/>
          <w:szCs w:val="24"/>
        </w:rPr>
        <w:t>interviewees’</w:t>
      </w:r>
      <w:r w:rsidRPr="000A7F54">
        <w:rPr>
          <w:sz w:val="24"/>
          <w:szCs w:val="24"/>
        </w:rPr>
        <w:t xml:space="preserve"> experiences in the </w:t>
      </w:r>
      <w:r w:rsidR="00AC5089" w:rsidRPr="000A7F54">
        <w:rPr>
          <w:sz w:val="24"/>
          <w:szCs w:val="24"/>
        </w:rPr>
        <w:t>NITT-</w:t>
      </w:r>
      <w:r w:rsidRPr="000A7F54">
        <w:rPr>
          <w:sz w:val="24"/>
          <w:szCs w:val="24"/>
        </w:rPr>
        <w:t>MFP program and their assessment of the program’s impact on their professional interests and career choices</w:t>
      </w:r>
      <w:r w:rsidR="007627AB">
        <w:rPr>
          <w:sz w:val="24"/>
          <w:szCs w:val="24"/>
        </w:rPr>
        <w:t xml:space="preserve">.  </w:t>
      </w:r>
      <w:r w:rsidRPr="000A7F54">
        <w:rPr>
          <w:sz w:val="24"/>
          <w:szCs w:val="24"/>
        </w:rPr>
        <w:t>The information collected through the interviews</w:t>
      </w:r>
      <w:r w:rsidR="0018506A" w:rsidRPr="000A7F54">
        <w:rPr>
          <w:sz w:val="24"/>
          <w:szCs w:val="24"/>
        </w:rPr>
        <w:t xml:space="preserve">, in conjunction with the survey data provided </w:t>
      </w:r>
      <w:r w:rsidR="002F76D0" w:rsidRPr="000A7F54">
        <w:rPr>
          <w:sz w:val="24"/>
          <w:szCs w:val="24"/>
        </w:rPr>
        <w:t>under OMB No. 0930-0304</w:t>
      </w:r>
      <w:r w:rsidR="0018506A" w:rsidRPr="000A7F54">
        <w:rPr>
          <w:sz w:val="24"/>
          <w:szCs w:val="24"/>
        </w:rPr>
        <w:t>,</w:t>
      </w:r>
      <w:r w:rsidRPr="000A7F54">
        <w:rPr>
          <w:sz w:val="24"/>
          <w:szCs w:val="24"/>
        </w:rPr>
        <w:t xml:space="preserve"> will provide the</w:t>
      </w:r>
      <w:r w:rsidR="00F84A4B" w:rsidRPr="000A7F54">
        <w:rPr>
          <w:sz w:val="24"/>
          <w:szCs w:val="24"/>
        </w:rPr>
        <w:t xml:space="preserve"> data necessary to conduct a process and outcome evaluation of the NITT-MFP programs</w:t>
      </w:r>
      <w:r w:rsidRPr="000A7F54">
        <w:rPr>
          <w:sz w:val="24"/>
          <w:szCs w:val="24"/>
        </w:rPr>
        <w:t xml:space="preserve">, as described above. </w:t>
      </w:r>
    </w:p>
    <w:p w14:paraId="650ACE10" w14:textId="5B9FB682" w:rsidR="00C0419E" w:rsidRPr="000A7F54" w:rsidRDefault="00612EE4" w:rsidP="00981D04">
      <w:pPr>
        <w:rPr>
          <w:sz w:val="24"/>
          <w:szCs w:val="24"/>
        </w:rPr>
      </w:pPr>
      <w:r w:rsidRPr="000A7F54">
        <w:rPr>
          <w:sz w:val="24"/>
          <w:szCs w:val="24"/>
        </w:rPr>
        <w:t>The</w:t>
      </w:r>
      <w:r w:rsidR="00080F92" w:rsidRPr="000A7F54">
        <w:rPr>
          <w:sz w:val="24"/>
          <w:szCs w:val="24"/>
        </w:rPr>
        <w:t xml:space="preserve"> NITT-MFP Fellow Interview</w:t>
      </w:r>
      <w:r w:rsidR="0018506A" w:rsidRPr="000A7F54">
        <w:rPr>
          <w:sz w:val="24"/>
          <w:szCs w:val="24"/>
        </w:rPr>
        <w:t xml:space="preserve"> (</w:t>
      </w:r>
      <w:r w:rsidR="0018506A" w:rsidRPr="000A7F54">
        <w:rPr>
          <w:b/>
          <w:bCs/>
          <w:sz w:val="24"/>
          <w:szCs w:val="24"/>
        </w:rPr>
        <w:t>Attachment 1</w:t>
      </w:r>
      <w:r w:rsidR="0018506A" w:rsidRPr="000A7F54">
        <w:rPr>
          <w:sz w:val="24"/>
          <w:szCs w:val="24"/>
        </w:rPr>
        <w:t>)</w:t>
      </w:r>
      <w:r w:rsidR="00F62BEA" w:rsidRPr="000A7F54">
        <w:rPr>
          <w:sz w:val="24"/>
          <w:szCs w:val="24"/>
        </w:rPr>
        <w:t xml:space="preserve"> </w:t>
      </w:r>
      <w:r w:rsidR="00C83E03" w:rsidRPr="000A7F54">
        <w:rPr>
          <w:sz w:val="24"/>
          <w:szCs w:val="24"/>
        </w:rPr>
        <w:t>will</w:t>
      </w:r>
      <w:r w:rsidR="00061036" w:rsidRPr="000A7F54">
        <w:rPr>
          <w:sz w:val="24"/>
          <w:szCs w:val="24"/>
        </w:rPr>
        <w:t xml:space="preserve"> </w:t>
      </w:r>
      <w:r w:rsidR="00F62BEA" w:rsidRPr="000A7F54">
        <w:rPr>
          <w:sz w:val="24"/>
          <w:szCs w:val="24"/>
        </w:rPr>
        <w:t xml:space="preserve">collect detailed </w:t>
      </w:r>
      <w:r w:rsidR="00981D04" w:rsidRPr="000A7F54">
        <w:rPr>
          <w:sz w:val="24"/>
          <w:szCs w:val="24"/>
        </w:rPr>
        <w:t xml:space="preserve">qualitative </w:t>
      </w:r>
      <w:r w:rsidR="00F62BEA" w:rsidRPr="000A7F54">
        <w:rPr>
          <w:sz w:val="24"/>
          <w:szCs w:val="24"/>
        </w:rPr>
        <w:t xml:space="preserve">information on fellows’ </w:t>
      </w:r>
      <w:r w:rsidRPr="000A7F54">
        <w:rPr>
          <w:sz w:val="24"/>
          <w:szCs w:val="24"/>
        </w:rPr>
        <w:t>experiences that is not possible to collect in a survey</w:t>
      </w:r>
      <w:r w:rsidR="007627AB">
        <w:rPr>
          <w:sz w:val="24"/>
          <w:szCs w:val="24"/>
        </w:rPr>
        <w:t xml:space="preserve">.  </w:t>
      </w:r>
      <w:r w:rsidRPr="000A7F54">
        <w:rPr>
          <w:sz w:val="24"/>
          <w:szCs w:val="24"/>
        </w:rPr>
        <w:t>The interview is timed to collect fellows</w:t>
      </w:r>
      <w:r w:rsidR="00981D04" w:rsidRPr="000A7F54">
        <w:rPr>
          <w:sz w:val="24"/>
          <w:szCs w:val="24"/>
        </w:rPr>
        <w:t>’</w:t>
      </w:r>
      <w:r w:rsidRPr="000A7F54">
        <w:rPr>
          <w:sz w:val="24"/>
          <w:szCs w:val="24"/>
        </w:rPr>
        <w:t xml:space="preserve"> impressions of their fellowship experiences before too much time has passed, as well as their initial labor market outcomes</w:t>
      </w:r>
      <w:r w:rsidR="007627AB">
        <w:rPr>
          <w:sz w:val="24"/>
          <w:szCs w:val="24"/>
        </w:rPr>
        <w:t xml:space="preserve">.  </w:t>
      </w:r>
      <w:r w:rsidRPr="000A7F54">
        <w:rPr>
          <w:sz w:val="24"/>
          <w:szCs w:val="24"/>
        </w:rPr>
        <w:t xml:space="preserve">The information collected will be used </w:t>
      </w:r>
      <w:r w:rsidR="00D62E48" w:rsidRPr="000A7F54">
        <w:rPr>
          <w:sz w:val="24"/>
          <w:szCs w:val="24"/>
        </w:rPr>
        <w:t>to assess</w:t>
      </w:r>
      <w:r w:rsidR="00F62BEA" w:rsidRPr="000A7F54">
        <w:rPr>
          <w:sz w:val="24"/>
          <w:szCs w:val="24"/>
        </w:rPr>
        <w:t xml:space="preserve"> the </w:t>
      </w:r>
      <w:r w:rsidR="00912D5A" w:rsidRPr="000A7F54">
        <w:rPr>
          <w:sz w:val="24"/>
          <w:szCs w:val="24"/>
        </w:rPr>
        <w:t>NITT-</w:t>
      </w:r>
      <w:r w:rsidR="00F62BEA" w:rsidRPr="000A7F54">
        <w:rPr>
          <w:sz w:val="24"/>
          <w:szCs w:val="24"/>
        </w:rPr>
        <w:t>MFP program</w:t>
      </w:r>
      <w:r w:rsidR="00912D5A" w:rsidRPr="000A7F54">
        <w:rPr>
          <w:sz w:val="24"/>
          <w:szCs w:val="24"/>
        </w:rPr>
        <w:t xml:space="preserve"> factor</w:t>
      </w:r>
      <w:r w:rsidR="00F62BEA" w:rsidRPr="000A7F54">
        <w:rPr>
          <w:sz w:val="24"/>
          <w:szCs w:val="24"/>
        </w:rPr>
        <w:t xml:space="preserve">s </w:t>
      </w:r>
      <w:r w:rsidR="00912D5A" w:rsidRPr="000A7F54">
        <w:rPr>
          <w:sz w:val="24"/>
          <w:szCs w:val="24"/>
        </w:rPr>
        <w:t>associated with</w:t>
      </w:r>
      <w:r w:rsidR="00F62BEA" w:rsidRPr="000A7F54">
        <w:rPr>
          <w:sz w:val="24"/>
          <w:szCs w:val="24"/>
        </w:rPr>
        <w:t xml:space="preserve"> employment and other post-fellow</w:t>
      </w:r>
      <w:r w:rsidR="00061036" w:rsidRPr="000A7F54">
        <w:rPr>
          <w:sz w:val="24"/>
          <w:szCs w:val="24"/>
        </w:rPr>
        <w:t>s</w:t>
      </w:r>
      <w:r w:rsidR="00F62BEA" w:rsidRPr="000A7F54">
        <w:rPr>
          <w:sz w:val="24"/>
          <w:szCs w:val="24"/>
        </w:rPr>
        <w:t>hip outcomes</w:t>
      </w:r>
      <w:r w:rsidR="007627AB">
        <w:rPr>
          <w:sz w:val="24"/>
          <w:szCs w:val="24"/>
        </w:rPr>
        <w:t xml:space="preserve">.  </w:t>
      </w:r>
      <w:r w:rsidR="007A0056" w:rsidRPr="000A7F54">
        <w:rPr>
          <w:sz w:val="24"/>
          <w:szCs w:val="24"/>
        </w:rPr>
        <w:t>A subset of fellow</w:t>
      </w:r>
      <w:r w:rsidR="008D367C" w:rsidRPr="000A7F54">
        <w:rPr>
          <w:sz w:val="24"/>
          <w:szCs w:val="24"/>
        </w:rPr>
        <w:t>ship recipients</w:t>
      </w:r>
      <w:r w:rsidR="007A0056" w:rsidRPr="000A7F54">
        <w:rPr>
          <w:sz w:val="24"/>
          <w:szCs w:val="24"/>
        </w:rPr>
        <w:t xml:space="preserve"> will be recruited to complete the telephone interview approximately 4 to 5 months post</w:t>
      </w:r>
      <w:r w:rsidR="00505AE4" w:rsidRPr="000A7F54">
        <w:rPr>
          <w:sz w:val="24"/>
          <w:szCs w:val="24"/>
        </w:rPr>
        <w:t xml:space="preserve"> </w:t>
      </w:r>
      <w:r w:rsidR="007A0056" w:rsidRPr="000A7F54">
        <w:rPr>
          <w:sz w:val="24"/>
          <w:szCs w:val="24"/>
        </w:rPr>
        <w:t>program completion</w:t>
      </w:r>
      <w:r w:rsidR="007627AB">
        <w:rPr>
          <w:sz w:val="24"/>
          <w:szCs w:val="24"/>
        </w:rPr>
        <w:t xml:space="preserve">.  </w:t>
      </w:r>
      <w:r w:rsidR="00F62BEA" w:rsidRPr="000A7F54">
        <w:rPr>
          <w:sz w:val="24"/>
          <w:szCs w:val="24"/>
        </w:rPr>
        <w:t>The interview</w:t>
      </w:r>
      <w:r w:rsidR="00C83E03" w:rsidRPr="000A7F54">
        <w:rPr>
          <w:sz w:val="24"/>
          <w:szCs w:val="24"/>
        </w:rPr>
        <w:t>ees will be</w:t>
      </w:r>
      <w:r w:rsidR="00F62BEA" w:rsidRPr="000A7F54">
        <w:rPr>
          <w:sz w:val="24"/>
          <w:szCs w:val="24"/>
        </w:rPr>
        <w:t xml:space="preserve"> ask</w:t>
      </w:r>
      <w:r w:rsidR="00C83E03" w:rsidRPr="000A7F54">
        <w:rPr>
          <w:sz w:val="24"/>
          <w:szCs w:val="24"/>
        </w:rPr>
        <w:t>ed</w:t>
      </w:r>
      <w:r w:rsidR="00912D5A" w:rsidRPr="000A7F54">
        <w:rPr>
          <w:sz w:val="24"/>
          <w:szCs w:val="24"/>
        </w:rPr>
        <w:t xml:space="preserve"> </w:t>
      </w:r>
      <w:r w:rsidR="00A36876" w:rsidRPr="000A7F54">
        <w:rPr>
          <w:sz w:val="24"/>
          <w:szCs w:val="24"/>
        </w:rPr>
        <w:t>to describe 1) their program, how they learned about it, and what led them to apply; 2) the role of the fellowship stipend in their</w:t>
      </w:r>
      <w:r w:rsidR="000523A2" w:rsidRPr="000A7F54">
        <w:rPr>
          <w:sz w:val="24"/>
          <w:szCs w:val="24"/>
        </w:rPr>
        <w:t xml:space="preserve"> ability to participate in the program</w:t>
      </w:r>
      <w:r w:rsidR="00A36876" w:rsidRPr="000A7F54">
        <w:rPr>
          <w:sz w:val="24"/>
          <w:szCs w:val="24"/>
        </w:rPr>
        <w:t>; 3) the effects of the program on their interest in working with at risk children, adolescents, and transition age youth from racially and ethnically diverse backgrounds (and for MFP-AC fellows, in the area of addiction counseling</w:t>
      </w:r>
      <w:r w:rsidR="00DB0F7A" w:rsidRPr="000A7F54">
        <w:rPr>
          <w:sz w:val="24"/>
          <w:szCs w:val="24"/>
        </w:rPr>
        <w:t>)</w:t>
      </w:r>
      <w:r w:rsidR="00A36876" w:rsidRPr="000A7F54">
        <w:rPr>
          <w:sz w:val="24"/>
          <w:szCs w:val="24"/>
        </w:rPr>
        <w:t xml:space="preserve">; </w:t>
      </w:r>
      <w:r w:rsidR="000523A2" w:rsidRPr="000A7F54">
        <w:rPr>
          <w:sz w:val="24"/>
          <w:szCs w:val="24"/>
        </w:rPr>
        <w:t xml:space="preserve">and </w:t>
      </w:r>
      <w:r w:rsidR="00A36876" w:rsidRPr="000A7F54">
        <w:rPr>
          <w:sz w:val="24"/>
          <w:szCs w:val="24"/>
        </w:rPr>
        <w:t>4) whether the program improved their understanding of and ability to provide culturally competent services</w:t>
      </w:r>
      <w:r w:rsidR="007627AB">
        <w:rPr>
          <w:sz w:val="24"/>
          <w:szCs w:val="24"/>
        </w:rPr>
        <w:t xml:space="preserve">.  </w:t>
      </w:r>
      <w:r w:rsidR="000523A2" w:rsidRPr="000A7F54">
        <w:rPr>
          <w:sz w:val="24"/>
          <w:szCs w:val="24"/>
        </w:rPr>
        <w:t>In addition, the interview will ask about fellows’ program and post-program outcomes, including</w:t>
      </w:r>
      <w:r w:rsidR="00115706" w:rsidRPr="000A7F54">
        <w:rPr>
          <w:sz w:val="24"/>
          <w:szCs w:val="24"/>
        </w:rPr>
        <w:t xml:space="preserve"> 1) whether they completed their fellowship and the effects of the stipend on their education </w:t>
      </w:r>
      <w:r w:rsidR="00E746F9" w:rsidRPr="000A7F54">
        <w:rPr>
          <w:sz w:val="24"/>
          <w:szCs w:val="24"/>
        </w:rPr>
        <w:t>and career,</w:t>
      </w:r>
      <w:r w:rsidR="00115706" w:rsidRPr="000A7F54">
        <w:rPr>
          <w:sz w:val="24"/>
          <w:szCs w:val="24"/>
        </w:rPr>
        <w:t xml:space="preserve"> 2) their current employment</w:t>
      </w:r>
      <w:r w:rsidR="00E746F9" w:rsidRPr="000A7F54">
        <w:rPr>
          <w:sz w:val="24"/>
          <w:szCs w:val="24"/>
        </w:rPr>
        <w:t xml:space="preserve"> setting, and if in behavior health services, the characteristics of their client population, 3)</w:t>
      </w:r>
      <w:r w:rsidR="00115706" w:rsidRPr="000A7F54">
        <w:rPr>
          <w:sz w:val="24"/>
          <w:szCs w:val="24"/>
        </w:rPr>
        <w:t xml:space="preserve"> the role that their fellowship played in the</w:t>
      </w:r>
      <w:r w:rsidR="00E746F9" w:rsidRPr="000A7F54">
        <w:rPr>
          <w:sz w:val="24"/>
          <w:szCs w:val="24"/>
        </w:rPr>
        <w:t>ir job interests and job search, and</w:t>
      </w:r>
      <w:r w:rsidR="00115706" w:rsidRPr="000A7F54">
        <w:rPr>
          <w:sz w:val="24"/>
          <w:szCs w:val="24"/>
        </w:rPr>
        <w:t xml:space="preserve"> 3) their satisfaction with the fellowship program and </w:t>
      </w:r>
      <w:r w:rsidR="000523A2" w:rsidRPr="000A7F54">
        <w:rPr>
          <w:sz w:val="24"/>
          <w:szCs w:val="24"/>
        </w:rPr>
        <w:t xml:space="preserve">their assessment of </w:t>
      </w:r>
      <w:r w:rsidR="00115706" w:rsidRPr="000A7F54">
        <w:rPr>
          <w:sz w:val="24"/>
          <w:szCs w:val="24"/>
        </w:rPr>
        <w:t>its impact on their career and professional activities</w:t>
      </w:r>
      <w:r w:rsidR="007627AB">
        <w:rPr>
          <w:sz w:val="24"/>
          <w:szCs w:val="24"/>
        </w:rPr>
        <w:t xml:space="preserve">.  </w:t>
      </w:r>
      <w:r w:rsidR="00E746F9" w:rsidRPr="000A7F54">
        <w:rPr>
          <w:sz w:val="24"/>
          <w:szCs w:val="24"/>
        </w:rPr>
        <w:t>This information is necessary to assess whether the program is having the intended effects of increasing participants’ interest and willingness to become behavioral health providers and addiction counselors providing services to underserved children, adolescents, and transition-age youth (ages 16-25), and particularly among racially/ethnically diverse populations.</w:t>
      </w:r>
    </w:p>
    <w:p w14:paraId="5E417C3F" w14:textId="77777777" w:rsidR="008F26CF" w:rsidRPr="000A7F54" w:rsidRDefault="008F26CF" w:rsidP="008F26CF">
      <w:pPr>
        <w:pStyle w:val="Heading5"/>
        <w:rPr>
          <w:sz w:val="24"/>
          <w:szCs w:val="24"/>
        </w:rPr>
      </w:pPr>
      <w:r w:rsidRPr="000A7F54">
        <w:rPr>
          <w:sz w:val="24"/>
          <w:szCs w:val="24"/>
        </w:rPr>
        <w:t>Evaluation Questions and Data Sources</w:t>
      </w:r>
    </w:p>
    <w:p w14:paraId="311A6FD8" w14:textId="6AEA4E66" w:rsidR="008F26CF" w:rsidRPr="000A7F54" w:rsidRDefault="008F26CF" w:rsidP="002F76D0">
      <w:pPr>
        <w:rPr>
          <w:sz w:val="24"/>
          <w:szCs w:val="24"/>
        </w:rPr>
      </w:pPr>
      <w:r w:rsidRPr="000A7F54">
        <w:rPr>
          <w:sz w:val="24"/>
          <w:szCs w:val="24"/>
        </w:rPr>
        <w:t xml:space="preserve">An overview of the NITT-MFP evaluation questions and the </w:t>
      </w:r>
      <w:r w:rsidR="00144B4E" w:rsidRPr="000A7F54">
        <w:rPr>
          <w:sz w:val="24"/>
          <w:szCs w:val="24"/>
        </w:rPr>
        <w:t xml:space="preserve">items from the </w:t>
      </w:r>
      <w:r w:rsidR="002F76D0" w:rsidRPr="000A7F54">
        <w:rPr>
          <w:sz w:val="24"/>
          <w:szCs w:val="24"/>
        </w:rPr>
        <w:t>F</w:t>
      </w:r>
      <w:r w:rsidRPr="000A7F54">
        <w:rPr>
          <w:sz w:val="24"/>
          <w:szCs w:val="24"/>
        </w:rPr>
        <w:t xml:space="preserve">ellow </w:t>
      </w:r>
      <w:r w:rsidR="002F76D0" w:rsidRPr="000A7F54">
        <w:rPr>
          <w:sz w:val="24"/>
          <w:szCs w:val="24"/>
        </w:rPr>
        <w:t>Interview</w:t>
      </w:r>
      <w:r w:rsidRPr="000A7F54">
        <w:rPr>
          <w:sz w:val="24"/>
          <w:szCs w:val="24"/>
        </w:rPr>
        <w:t xml:space="preserve"> that will be used to measure them are listed in </w:t>
      </w:r>
      <w:r w:rsidRPr="000A7F54">
        <w:rPr>
          <w:b/>
          <w:bCs/>
          <w:i/>
          <w:iCs/>
          <w:sz w:val="24"/>
          <w:szCs w:val="24"/>
        </w:rPr>
        <w:t xml:space="preserve">Table </w:t>
      </w:r>
      <w:r w:rsidR="00144B4E" w:rsidRPr="000A7F54">
        <w:rPr>
          <w:b/>
          <w:bCs/>
          <w:i/>
          <w:iCs/>
          <w:sz w:val="24"/>
          <w:szCs w:val="24"/>
        </w:rPr>
        <w:t>3</w:t>
      </w:r>
      <w:r w:rsidR="007627AB">
        <w:rPr>
          <w:b/>
          <w:bCs/>
          <w:i/>
          <w:iCs/>
          <w:sz w:val="24"/>
          <w:szCs w:val="24"/>
        </w:rPr>
        <w:t xml:space="preserve">.  </w:t>
      </w:r>
      <w:r w:rsidR="0018506A" w:rsidRPr="000A7F54">
        <w:rPr>
          <w:bCs/>
          <w:iCs/>
          <w:sz w:val="24"/>
          <w:szCs w:val="24"/>
        </w:rPr>
        <w:t>Evaluation question 4 is excluded because the data needed to answer that question will be collected through information supplied by the seven grantees.</w:t>
      </w:r>
    </w:p>
    <w:p w14:paraId="1D7D9844" w14:textId="67B23007" w:rsidR="00C83E03" w:rsidRPr="00892D9F" w:rsidRDefault="00C83E03" w:rsidP="00892D9F">
      <w:pPr>
        <w:pStyle w:val="ExhibitTitle"/>
      </w:pPr>
      <w:r w:rsidRPr="00892D9F">
        <w:t xml:space="preserve">Table </w:t>
      </w:r>
      <w:r w:rsidR="00144B4E" w:rsidRPr="00892D9F">
        <w:t>3</w:t>
      </w:r>
      <w:r w:rsidRPr="00892D9F">
        <w:t xml:space="preserve">. </w:t>
      </w:r>
      <w:r w:rsidR="00317E30" w:rsidRPr="00892D9F">
        <w:tab/>
      </w:r>
      <w:r w:rsidRPr="00892D9F">
        <w:t>Now Is the Time</w:t>
      </w:r>
      <w:r w:rsidR="00144B4E" w:rsidRPr="00892D9F">
        <w:t xml:space="preserve"> (NITT) </w:t>
      </w:r>
      <w:r w:rsidRPr="00892D9F">
        <w:t>- Minority Fellowship Program (MFP) National Evaluation</w:t>
      </w:r>
      <w:r w:rsidR="00144B4E" w:rsidRPr="00892D9F">
        <w:t xml:space="preserve"> – </w:t>
      </w:r>
      <w:r w:rsidRPr="00892D9F">
        <w:t xml:space="preserve">Evaluation Questions and </w:t>
      </w:r>
      <w:r w:rsidR="002F76D0" w:rsidRPr="00892D9F">
        <w:t>the Fellow Interview</w:t>
      </w:r>
    </w:p>
    <w:tbl>
      <w:tblPr>
        <w:tblStyle w:val="TableGrid"/>
        <w:tblW w:w="0" w:type="auto"/>
        <w:tblLayout w:type="fixed"/>
        <w:tblCellMar>
          <w:left w:w="115" w:type="dxa"/>
          <w:right w:w="115" w:type="dxa"/>
        </w:tblCellMar>
        <w:tblLook w:val="04A0" w:firstRow="1" w:lastRow="0" w:firstColumn="1" w:lastColumn="0" w:noHBand="0" w:noVBand="1"/>
      </w:tblPr>
      <w:tblGrid>
        <w:gridCol w:w="5935"/>
        <w:gridCol w:w="3379"/>
      </w:tblGrid>
      <w:tr w:rsidR="00C83E03" w:rsidRPr="00481ADF" w14:paraId="2127E15A" w14:textId="77777777" w:rsidTr="00C06473">
        <w:trPr>
          <w:cantSplit/>
        </w:trPr>
        <w:tc>
          <w:tcPr>
            <w:tcW w:w="9314" w:type="dxa"/>
            <w:gridSpan w:val="2"/>
            <w:tcBorders>
              <w:top w:val="single" w:sz="12" w:space="0" w:color="auto"/>
              <w:left w:val="single" w:sz="12" w:space="0" w:color="auto"/>
              <w:bottom w:val="nil"/>
              <w:right w:val="single" w:sz="12" w:space="0" w:color="auto"/>
            </w:tcBorders>
            <w:shd w:val="clear" w:color="auto" w:fill="DBE5F1" w:themeFill="accent1" w:themeFillTint="33"/>
            <w:tcMar>
              <w:top w:w="29" w:type="dxa"/>
              <w:bottom w:w="29" w:type="dxa"/>
            </w:tcMar>
          </w:tcPr>
          <w:p w14:paraId="76471CC6" w14:textId="00B4E1DE" w:rsidR="00C83E03" w:rsidRPr="00481ADF" w:rsidRDefault="00C83E03" w:rsidP="00C83E03">
            <w:pPr>
              <w:pStyle w:val="EQ"/>
            </w:pPr>
            <w:r>
              <w:t>EQ1.</w:t>
            </w:r>
            <w:r>
              <w:tab/>
              <w:t>To what extent does NITT-MFP increase the number of culturally competent behavioral health professionals available to provide clinical services to underserved, at-risk children, youth, and young adults in public and private settings</w:t>
            </w:r>
            <w:r w:rsidRPr="00481ADF">
              <w:t>?</w:t>
            </w:r>
          </w:p>
        </w:tc>
      </w:tr>
      <w:tr w:rsidR="00C83E03" w:rsidRPr="00156A1F" w14:paraId="34F18B40" w14:textId="77777777" w:rsidTr="00C06473">
        <w:trPr>
          <w:cantSplit/>
        </w:trPr>
        <w:tc>
          <w:tcPr>
            <w:tcW w:w="5935" w:type="dxa"/>
            <w:tcBorders>
              <w:top w:val="nil"/>
              <w:left w:val="single" w:sz="12" w:space="0" w:color="auto"/>
              <w:bottom w:val="nil"/>
              <w:right w:val="nil"/>
            </w:tcBorders>
            <w:shd w:val="clear" w:color="auto" w:fill="F2F2F2" w:themeFill="background1" w:themeFillShade="F2"/>
            <w:tcMar>
              <w:top w:w="29" w:type="dxa"/>
              <w:bottom w:w="29" w:type="dxa"/>
            </w:tcMar>
          </w:tcPr>
          <w:p w14:paraId="11FCF245" w14:textId="2A027C76" w:rsidR="00C83E03" w:rsidRPr="000A7F54" w:rsidRDefault="00C83E03" w:rsidP="00C83E03">
            <w:pPr>
              <w:pStyle w:val="EQ2"/>
              <w:rPr>
                <w:sz w:val="22"/>
                <w:szCs w:val="22"/>
              </w:rPr>
            </w:pPr>
            <w:r w:rsidRPr="000A7F54">
              <w:rPr>
                <w:sz w:val="22"/>
                <w:szCs w:val="22"/>
              </w:rPr>
              <w:t>Instrument</w:t>
            </w:r>
          </w:p>
        </w:tc>
        <w:tc>
          <w:tcPr>
            <w:tcW w:w="3379"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4B0C60FC" w14:textId="4BAB55DD" w:rsidR="00C83E03" w:rsidRPr="000A7F54" w:rsidRDefault="00FC1B6C" w:rsidP="00C83E03">
            <w:pPr>
              <w:pStyle w:val="EQ2"/>
              <w:rPr>
                <w:sz w:val="22"/>
                <w:szCs w:val="22"/>
              </w:rPr>
            </w:pPr>
            <w:r w:rsidRPr="000A7F54">
              <w:rPr>
                <w:sz w:val="22"/>
                <w:szCs w:val="22"/>
              </w:rPr>
              <w:t>Items</w:t>
            </w:r>
          </w:p>
        </w:tc>
      </w:tr>
      <w:tr w:rsidR="00C83E03" w:rsidRPr="00156A1F" w14:paraId="331B6D47" w14:textId="77777777" w:rsidTr="00C06473">
        <w:trPr>
          <w:cantSplit/>
        </w:trPr>
        <w:tc>
          <w:tcPr>
            <w:tcW w:w="5935" w:type="dxa"/>
            <w:tcBorders>
              <w:top w:val="dotted" w:sz="4" w:space="0" w:color="auto"/>
              <w:left w:val="single" w:sz="12" w:space="0" w:color="auto"/>
              <w:bottom w:val="single" w:sz="4" w:space="0" w:color="auto"/>
              <w:right w:val="nil"/>
            </w:tcBorders>
            <w:tcMar>
              <w:top w:w="29" w:type="dxa"/>
              <w:bottom w:w="29" w:type="dxa"/>
            </w:tcMar>
          </w:tcPr>
          <w:p w14:paraId="501F6A2C" w14:textId="744E1961" w:rsidR="00C83E03" w:rsidRPr="000A7F54" w:rsidRDefault="00C41E18" w:rsidP="0001172F">
            <w:pPr>
              <w:pStyle w:val="EQ3"/>
              <w:rPr>
                <w:sz w:val="22"/>
                <w:szCs w:val="22"/>
              </w:rPr>
            </w:pPr>
            <w:r w:rsidRPr="000A7F54">
              <w:rPr>
                <w:sz w:val="22"/>
                <w:szCs w:val="22"/>
              </w:rPr>
              <w:t>NITT-</w:t>
            </w:r>
            <w:r w:rsidR="003F257E" w:rsidRPr="000A7F54">
              <w:rPr>
                <w:sz w:val="22"/>
                <w:szCs w:val="22"/>
              </w:rPr>
              <w:t>MFP Fellow Interview</w:t>
            </w:r>
          </w:p>
        </w:tc>
        <w:tc>
          <w:tcPr>
            <w:tcW w:w="3379" w:type="dxa"/>
            <w:tcBorders>
              <w:top w:val="dotted" w:sz="4" w:space="0" w:color="auto"/>
              <w:left w:val="nil"/>
              <w:bottom w:val="single" w:sz="4" w:space="0" w:color="auto"/>
              <w:right w:val="single" w:sz="12" w:space="0" w:color="auto"/>
            </w:tcBorders>
            <w:tcMar>
              <w:top w:w="29" w:type="dxa"/>
              <w:left w:w="43" w:type="dxa"/>
              <w:bottom w:w="29" w:type="dxa"/>
              <w:right w:w="43" w:type="dxa"/>
            </w:tcMar>
          </w:tcPr>
          <w:p w14:paraId="03A6DA90" w14:textId="47DD3CB0" w:rsidR="00C83E03" w:rsidRPr="000A7F54" w:rsidRDefault="008B2C2B" w:rsidP="00C83E03">
            <w:pPr>
              <w:pStyle w:val="EQ3"/>
              <w:rPr>
                <w:sz w:val="22"/>
                <w:szCs w:val="22"/>
              </w:rPr>
            </w:pPr>
            <w:r w:rsidRPr="000A7F54">
              <w:rPr>
                <w:sz w:val="22"/>
                <w:szCs w:val="22"/>
              </w:rPr>
              <w:t>12</w:t>
            </w:r>
            <w:r w:rsidR="00557A77" w:rsidRPr="000A7F54">
              <w:rPr>
                <w:sz w:val="22"/>
                <w:szCs w:val="22"/>
              </w:rPr>
              <w:t>-</w:t>
            </w:r>
            <w:r w:rsidRPr="000A7F54">
              <w:rPr>
                <w:sz w:val="22"/>
                <w:szCs w:val="22"/>
              </w:rPr>
              <w:t>22</w:t>
            </w:r>
          </w:p>
        </w:tc>
      </w:tr>
      <w:tr w:rsidR="00C83E03" w:rsidRPr="00481ADF" w14:paraId="07428BAA" w14:textId="77777777" w:rsidTr="00C06473">
        <w:trPr>
          <w:cantSplit/>
        </w:trPr>
        <w:tc>
          <w:tcPr>
            <w:tcW w:w="9314" w:type="dxa"/>
            <w:gridSpan w:val="2"/>
            <w:tcBorders>
              <w:top w:val="single" w:sz="4" w:space="0" w:color="auto"/>
              <w:left w:val="single" w:sz="12" w:space="0" w:color="auto"/>
              <w:bottom w:val="nil"/>
              <w:right w:val="single" w:sz="12" w:space="0" w:color="auto"/>
            </w:tcBorders>
            <w:shd w:val="clear" w:color="auto" w:fill="DBE5F1" w:themeFill="accent1" w:themeFillTint="33"/>
            <w:tcMar>
              <w:top w:w="29" w:type="dxa"/>
              <w:bottom w:w="29" w:type="dxa"/>
            </w:tcMar>
          </w:tcPr>
          <w:p w14:paraId="0CCF497A" w14:textId="5B9099D7" w:rsidR="00C83E03" w:rsidRPr="000A7F54" w:rsidRDefault="00C83E03" w:rsidP="00C83E03">
            <w:pPr>
              <w:pStyle w:val="EQ"/>
              <w:rPr>
                <w:szCs w:val="22"/>
              </w:rPr>
            </w:pPr>
            <w:r w:rsidRPr="000A7F54">
              <w:rPr>
                <w:szCs w:val="22"/>
              </w:rPr>
              <w:t>EQ2.</w:t>
            </w:r>
            <w:r w:rsidRPr="000A7F54">
              <w:rPr>
                <w:szCs w:val="22"/>
              </w:rPr>
              <w:tab/>
              <w:t>To what extent does NITT-MFP prepare fellows for the supervisory behavioral health workforce?</w:t>
            </w:r>
          </w:p>
        </w:tc>
      </w:tr>
      <w:tr w:rsidR="00C83E03" w:rsidRPr="00481ADF" w14:paraId="05768CFD" w14:textId="77777777" w:rsidTr="00C06473">
        <w:trPr>
          <w:cantSplit/>
        </w:trPr>
        <w:tc>
          <w:tcPr>
            <w:tcW w:w="5935" w:type="dxa"/>
            <w:tcBorders>
              <w:top w:val="nil"/>
              <w:left w:val="single" w:sz="12" w:space="0" w:color="auto"/>
              <w:bottom w:val="nil"/>
              <w:right w:val="nil"/>
            </w:tcBorders>
            <w:shd w:val="clear" w:color="auto" w:fill="F2F2F2" w:themeFill="background1" w:themeFillShade="F2"/>
            <w:tcMar>
              <w:top w:w="29" w:type="dxa"/>
              <w:bottom w:w="29" w:type="dxa"/>
            </w:tcMar>
          </w:tcPr>
          <w:p w14:paraId="1EF4B108" w14:textId="77777777" w:rsidR="00C83E03" w:rsidRPr="000A7F54" w:rsidRDefault="00C83E03" w:rsidP="00C83E03">
            <w:pPr>
              <w:pStyle w:val="EQ2"/>
              <w:rPr>
                <w:sz w:val="22"/>
                <w:szCs w:val="22"/>
              </w:rPr>
            </w:pPr>
            <w:r w:rsidRPr="000A7F54">
              <w:rPr>
                <w:sz w:val="22"/>
                <w:szCs w:val="22"/>
              </w:rPr>
              <w:t>Instrument</w:t>
            </w:r>
          </w:p>
        </w:tc>
        <w:tc>
          <w:tcPr>
            <w:tcW w:w="3379"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2C384332" w14:textId="668D19D2" w:rsidR="00C83E03" w:rsidRPr="000A7F54" w:rsidRDefault="00FC1B6C" w:rsidP="00C83E03">
            <w:pPr>
              <w:pStyle w:val="EQ2"/>
              <w:rPr>
                <w:sz w:val="22"/>
                <w:szCs w:val="22"/>
              </w:rPr>
            </w:pPr>
            <w:r w:rsidRPr="000A7F54">
              <w:rPr>
                <w:sz w:val="22"/>
                <w:szCs w:val="22"/>
              </w:rPr>
              <w:t>Items</w:t>
            </w:r>
          </w:p>
        </w:tc>
      </w:tr>
      <w:tr w:rsidR="0001172F" w:rsidRPr="00481ADF" w14:paraId="37F8C067" w14:textId="77777777" w:rsidTr="00C06473">
        <w:trPr>
          <w:cantSplit/>
        </w:trPr>
        <w:tc>
          <w:tcPr>
            <w:tcW w:w="5935" w:type="dxa"/>
            <w:tcBorders>
              <w:top w:val="dotted" w:sz="4" w:space="0" w:color="auto"/>
              <w:left w:val="single" w:sz="12" w:space="0" w:color="auto"/>
              <w:bottom w:val="single" w:sz="4" w:space="0" w:color="auto"/>
              <w:right w:val="nil"/>
            </w:tcBorders>
            <w:tcMar>
              <w:top w:w="29" w:type="dxa"/>
              <w:bottom w:w="29" w:type="dxa"/>
            </w:tcMar>
          </w:tcPr>
          <w:p w14:paraId="78612C65" w14:textId="54E334F1" w:rsidR="0001172F" w:rsidRPr="000A7F54" w:rsidRDefault="00C41E18" w:rsidP="0001172F">
            <w:pPr>
              <w:pStyle w:val="EQ3"/>
              <w:rPr>
                <w:sz w:val="22"/>
                <w:szCs w:val="22"/>
              </w:rPr>
            </w:pPr>
            <w:r w:rsidRPr="000A7F54">
              <w:rPr>
                <w:sz w:val="22"/>
                <w:szCs w:val="22"/>
              </w:rPr>
              <w:t>NITT-</w:t>
            </w:r>
            <w:r w:rsidR="0001172F" w:rsidRPr="000A7F54">
              <w:rPr>
                <w:sz w:val="22"/>
                <w:szCs w:val="22"/>
              </w:rPr>
              <w:t>MFP Fellow Interview</w:t>
            </w:r>
          </w:p>
        </w:tc>
        <w:tc>
          <w:tcPr>
            <w:tcW w:w="3379" w:type="dxa"/>
            <w:tcBorders>
              <w:top w:val="dotted" w:sz="4" w:space="0" w:color="auto"/>
              <w:left w:val="nil"/>
              <w:bottom w:val="single" w:sz="4" w:space="0" w:color="auto"/>
              <w:right w:val="single" w:sz="12" w:space="0" w:color="auto"/>
            </w:tcBorders>
            <w:tcMar>
              <w:top w:w="29" w:type="dxa"/>
              <w:left w:w="43" w:type="dxa"/>
              <w:bottom w:w="29" w:type="dxa"/>
              <w:right w:w="43" w:type="dxa"/>
            </w:tcMar>
          </w:tcPr>
          <w:p w14:paraId="42F123D7" w14:textId="4530F885" w:rsidR="0001172F" w:rsidRPr="000A7F54" w:rsidRDefault="00557A77" w:rsidP="0001172F">
            <w:pPr>
              <w:pStyle w:val="EQ3"/>
              <w:rPr>
                <w:sz w:val="22"/>
                <w:szCs w:val="22"/>
              </w:rPr>
            </w:pPr>
            <w:r w:rsidRPr="000A7F54">
              <w:rPr>
                <w:sz w:val="22"/>
                <w:szCs w:val="22"/>
              </w:rPr>
              <w:t>10</w:t>
            </w:r>
          </w:p>
        </w:tc>
      </w:tr>
      <w:tr w:rsidR="003F257E" w:rsidRPr="00481ADF" w14:paraId="7FB7D558" w14:textId="77777777" w:rsidTr="00C06473">
        <w:trPr>
          <w:cantSplit/>
        </w:trPr>
        <w:tc>
          <w:tcPr>
            <w:tcW w:w="9314" w:type="dxa"/>
            <w:gridSpan w:val="2"/>
            <w:tcBorders>
              <w:top w:val="single" w:sz="4" w:space="0" w:color="auto"/>
              <w:left w:val="single" w:sz="12" w:space="0" w:color="auto"/>
              <w:bottom w:val="nil"/>
              <w:right w:val="single" w:sz="12" w:space="0" w:color="auto"/>
            </w:tcBorders>
            <w:shd w:val="clear" w:color="auto" w:fill="DBE5F1" w:themeFill="accent1" w:themeFillTint="33"/>
            <w:tcMar>
              <w:top w:w="29" w:type="dxa"/>
              <w:bottom w:w="29" w:type="dxa"/>
            </w:tcMar>
          </w:tcPr>
          <w:p w14:paraId="5CFA0C54" w14:textId="0F79B87A" w:rsidR="003F257E" w:rsidRPr="000A7F54" w:rsidRDefault="003F257E" w:rsidP="003F257E">
            <w:pPr>
              <w:pStyle w:val="EQ"/>
              <w:rPr>
                <w:szCs w:val="22"/>
              </w:rPr>
            </w:pPr>
            <w:r w:rsidRPr="000A7F54">
              <w:rPr>
                <w:szCs w:val="22"/>
              </w:rPr>
              <w:t>EQ3.</w:t>
            </w:r>
            <w:r w:rsidRPr="000A7F54">
              <w:rPr>
                <w:szCs w:val="22"/>
              </w:rPr>
              <w:tab/>
              <w:t>To what extent does NITT-MFP build the supervisory behavioral workforce for behavioral professionals that provide clinical services to underserved, at-risk, children, youth, and young adults?</w:t>
            </w:r>
          </w:p>
        </w:tc>
      </w:tr>
      <w:tr w:rsidR="003F257E" w:rsidRPr="00481ADF" w14:paraId="2B37A974" w14:textId="77777777" w:rsidTr="00C06473">
        <w:trPr>
          <w:cantSplit/>
        </w:trPr>
        <w:tc>
          <w:tcPr>
            <w:tcW w:w="5935" w:type="dxa"/>
            <w:tcBorders>
              <w:top w:val="nil"/>
              <w:left w:val="single" w:sz="12" w:space="0" w:color="auto"/>
              <w:bottom w:val="nil"/>
              <w:right w:val="nil"/>
            </w:tcBorders>
            <w:shd w:val="clear" w:color="auto" w:fill="F2F2F2" w:themeFill="background1" w:themeFillShade="F2"/>
            <w:tcMar>
              <w:top w:w="29" w:type="dxa"/>
              <w:bottom w:w="29" w:type="dxa"/>
            </w:tcMar>
          </w:tcPr>
          <w:p w14:paraId="4A808136" w14:textId="77777777" w:rsidR="003F257E" w:rsidRPr="000A7F54" w:rsidRDefault="003F257E" w:rsidP="003F257E">
            <w:pPr>
              <w:pStyle w:val="EQ2"/>
              <w:rPr>
                <w:sz w:val="22"/>
                <w:szCs w:val="22"/>
              </w:rPr>
            </w:pPr>
            <w:r w:rsidRPr="000A7F54">
              <w:rPr>
                <w:sz w:val="22"/>
                <w:szCs w:val="22"/>
              </w:rPr>
              <w:t>Instrument</w:t>
            </w:r>
          </w:p>
        </w:tc>
        <w:tc>
          <w:tcPr>
            <w:tcW w:w="3379"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3EE9D25A" w14:textId="522ADD37" w:rsidR="003F257E" w:rsidRPr="000A7F54" w:rsidRDefault="00FC1B6C" w:rsidP="003F257E">
            <w:pPr>
              <w:pStyle w:val="EQ2"/>
              <w:rPr>
                <w:sz w:val="22"/>
                <w:szCs w:val="22"/>
              </w:rPr>
            </w:pPr>
            <w:r w:rsidRPr="000A7F54">
              <w:rPr>
                <w:sz w:val="22"/>
                <w:szCs w:val="22"/>
              </w:rPr>
              <w:t>Items</w:t>
            </w:r>
          </w:p>
        </w:tc>
      </w:tr>
      <w:tr w:rsidR="0001172F" w:rsidRPr="00481ADF" w14:paraId="48681C25" w14:textId="77777777" w:rsidTr="00C06473">
        <w:trPr>
          <w:cantSplit/>
        </w:trPr>
        <w:tc>
          <w:tcPr>
            <w:tcW w:w="5935" w:type="dxa"/>
            <w:tcBorders>
              <w:top w:val="dotted" w:sz="4" w:space="0" w:color="auto"/>
              <w:left w:val="single" w:sz="12" w:space="0" w:color="auto"/>
              <w:bottom w:val="single" w:sz="4" w:space="0" w:color="auto"/>
              <w:right w:val="nil"/>
            </w:tcBorders>
            <w:tcMar>
              <w:top w:w="29" w:type="dxa"/>
              <w:bottom w:w="29" w:type="dxa"/>
            </w:tcMar>
          </w:tcPr>
          <w:p w14:paraId="29D4017F" w14:textId="57C7AB1E" w:rsidR="0001172F" w:rsidRPr="000A7F54" w:rsidRDefault="00C41E18" w:rsidP="0001172F">
            <w:pPr>
              <w:pStyle w:val="EQ3"/>
              <w:rPr>
                <w:sz w:val="22"/>
                <w:szCs w:val="22"/>
              </w:rPr>
            </w:pPr>
            <w:r w:rsidRPr="000A7F54">
              <w:rPr>
                <w:sz w:val="22"/>
                <w:szCs w:val="22"/>
              </w:rPr>
              <w:t>NITT-</w:t>
            </w:r>
            <w:r w:rsidR="0001172F" w:rsidRPr="000A7F54">
              <w:rPr>
                <w:sz w:val="22"/>
                <w:szCs w:val="22"/>
              </w:rPr>
              <w:t>MFP Fellow Interview</w:t>
            </w:r>
          </w:p>
        </w:tc>
        <w:tc>
          <w:tcPr>
            <w:tcW w:w="3379" w:type="dxa"/>
            <w:tcBorders>
              <w:top w:val="dotted" w:sz="4" w:space="0" w:color="auto"/>
              <w:left w:val="nil"/>
              <w:bottom w:val="single" w:sz="4" w:space="0" w:color="auto"/>
              <w:right w:val="single" w:sz="12" w:space="0" w:color="auto"/>
            </w:tcBorders>
            <w:tcMar>
              <w:top w:w="29" w:type="dxa"/>
              <w:left w:w="43" w:type="dxa"/>
              <w:bottom w:w="29" w:type="dxa"/>
              <w:right w:w="43" w:type="dxa"/>
            </w:tcMar>
          </w:tcPr>
          <w:p w14:paraId="454A2487" w14:textId="3225615A" w:rsidR="0001172F" w:rsidRPr="000A7F54" w:rsidRDefault="00557A77" w:rsidP="0001172F">
            <w:pPr>
              <w:pStyle w:val="EQ3"/>
              <w:rPr>
                <w:sz w:val="22"/>
                <w:szCs w:val="22"/>
              </w:rPr>
            </w:pPr>
            <w:r w:rsidRPr="000A7F54">
              <w:rPr>
                <w:sz w:val="22"/>
                <w:szCs w:val="22"/>
              </w:rPr>
              <w:t>10</w:t>
            </w:r>
          </w:p>
        </w:tc>
      </w:tr>
      <w:tr w:rsidR="00FC1B6C" w:rsidRPr="00481ADF" w14:paraId="5AE494DA" w14:textId="77777777" w:rsidTr="00C06473">
        <w:trPr>
          <w:cantSplit/>
        </w:trPr>
        <w:tc>
          <w:tcPr>
            <w:tcW w:w="9314" w:type="dxa"/>
            <w:gridSpan w:val="2"/>
            <w:tcBorders>
              <w:top w:val="single" w:sz="4" w:space="0" w:color="auto"/>
              <w:left w:val="single" w:sz="12" w:space="0" w:color="auto"/>
              <w:bottom w:val="nil"/>
              <w:right w:val="single" w:sz="12" w:space="0" w:color="auto"/>
            </w:tcBorders>
            <w:shd w:val="clear" w:color="auto" w:fill="DBE5F1" w:themeFill="accent1" w:themeFillTint="33"/>
            <w:tcMar>
              <w:top w:w="29" w:type="dxa"/>
              <w:bottom w:w="29" w:type="dxa"/>
            </w:tcMar>
          </w:tcPr>
          <w:p w14:paraId="4C726048" w14:textId="18B84FA5" w:rsidR="00FC1B6C" w:rsidRPr="000A7F54" w:rsidRDefault="00FC1B6C" w:rsidP="00FC1B6C">
            <w:pPr>
              <w:pStyle w:val="EQ"/>
              <w:rPr>
                <w:szCs w:val="22"/>
              </w:rPr>
            </w:pPr>
            <w:r w:rsidRPr="000A7F54">
              <w:rPr>
                <w:szCs w:val="22"/>
              </w:rPr>
              <w:t>EQ5.</w:t>
            </w:r>
            <w:r w:rsidRPr="000A7F54">
              <w:rPr>
                <w:szCs w:val="22"/>
              </w:rPr>
              <w:tab/>
              <w:t>What are the intended/actual/projected ways in which new behavioral health professionals will be sustained in the workforce?</w:t>
            </w:r>
          </w:p>
        </w:tc>
      </w:tr>
      <w:tr w:rsidR="00FC1B6C" w:rsidRPr="00481ADF" w14:paraId="49028534" w14:textId="77777777" w:rsidTr="00C06473">
        <w:trPr>
          <w:cantSplit/>
        </w:trPr>
        <w:tc>
          <w:tcPr>
            <w:tcW w:w="5935" w:type="dxa"/>
            <w:tcBorders>
              <w:top w:val="nil"/>
              <w:left w:val="single" w:sz="12" w:space="0" w:color="auto"/>
              <w:bottom w:val="nil"/>
              <w:right w:val="nil"/>
            </w:tcBorders>
            <w:shd w:val="clear" w:color="auto" w:fill="F2F2F2" w:themeFill="background1" w:themeFillShade="F2"/>
            <w:tcMar>
              <w:top w:w="29" w:type="dxa"/>
              <w:bottom w:w="29" w:type="dxa"/>
            </w:tcMar>
          </w:tcPr>
          <w:p w14:paraId="0E2F6237" w14:textId="77777777" w:rsidR="00FC1B6C" w:rsidRPr="000A7F54" w:rsidRDefault="00FC1B6C" w:rsidP="00FC1B6C">
            <w:pPr>
              <w:pStyle w:val="EQ2"/>
              <w:rPr>
                <w:sz w:val="22"/>
                <w:szCs w:val="22"/>
              </w:rPr>
            </w:pPr>
            <w:r w:rsidRPr="000A7F54">
              <w:rPr>
                <w:sz w:val="22"/>
                <w:szCs w:val="22"/>
              </w:rPr>
              <w:t>Instrument</w:t>
            </w:r>
          </w:p>
        </w:tc>
        <w:tc>
          <w:tcPr>
            <w:tcW w:w="3379"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4AD7847D" w14:textId="40660B5A" w:rsidR="00FC1B6C" w:rsidRPr="000A7F54" w:rsidRDefault="00FC1B6C" w:rsidP="00FC1B6C">
            <w:pPr>
              <w:pStyle w:val="EQ2"/>
              <w:rPr>
                <w:sz w:val="22"/>
                <w:szCs w:val="22"/>
              </w:rPr>
            </w:pPr>
            <w:r w:rsidRPr="000A7F54">
              <w:rPr>
                <w:sz w:val="22"/>
                <w:szCs w:val="22"/>
              </w:rPr>
              <w:t>Items</w:t>
            </w:r>
          </w:p>
        </w:tc>
      </w:tr>
      <w:tr w:rsidR="0001172F" w:rsidRPr="00481ADF" w14:paraId="68C076D8" w14:textId="77777777" w:rsidTr="00C06473">
        <w:trPr>
          <w:cantSplit/>
        </w:trPr>
        <w:tc>
          <w:tcPr>
            <w:tcW w:w="5935" w:type="dxa"/>
            <w:tcBorders>
              <w:top w:val="dotted" w:sz="4" w:space="0" w:color="auto"/>
              <w:left w:val="single" w:sz="12" w:space="0" w:color="auto"/>
              <w:bottom w:val="single" w:sz="4" w:space="0" w:color="auto"/>
              <w:right w:val="nil"/>
            </w:tcBorders>
            <w:tcMar>
              <w:top w:w="29" w:type="dxa"/>
              <w:bottom w:w="29" w:type="dxa"/>
            </w:tcMar>
          </w:tcPr>
          <w:p w14:paraId="2619F509" w14:textId="2C78601F" w:rsidR="0001172F" w:rsidRPr="000A7F54" w:rsidRDefault="00C41E18" w:rsidP="0001172F">
            <w:pPr>
              <w:pStyle w:val="EQ3"/>
              <w:rPr>
                <w:sz w:val="22"/>
                <w:szCs w:val="22"/>
              </w:rPr>
            </w:pPr>
            <w:r w:rsidRPr="000A7F54">
              <w:rPr>
                <w:sz w:val="22"/>
                <w:szCs w:val="22"/>
              </w:rPr>
              <w:t>NITT-</w:t>
            </w:r>
            <w:r w:rsidR="0001172F" w:rsidRPr="000A7F54">
              <w:rPr>
                <w:sz w:val="22"/>
                <w:szCs w:val="22"/>
              </w:rPr>
              <w:t>MFP Fellow Interview</w:t>
            </w:r>
          </w:p>
        </w:tc>
        <w:tc>
          <w:tcPr>
            <w:tcW w:w="3379" w:type="dxa"/>
            <w:tcBorders>
              <w:top w:val="dotted" w:sz="4" w:space="0" w:color="auto"/>
              <w:left w:val="nil"/>
              <w:bottom w:val="single" w:sz="4" w:space="0" w:color="auto"/>
              <w:right w:val="single" w:sz="12" w:space="0" w:color="auto"/>
            </w:tcBorders>
            <w:tcMar>
              <w:top w:w="29" w:type="dxa"/>
              <w:left w:w="43" w:type="dxa"/>
              <w:bottom w:w="29" w:type="dxa"/>
              <w:right w:w="43" w:type="dxa"/>
            </w:tcMar>
          </w:tcPr>
          <w:p w14:paraId="4CDA2B6B" w14:textId="7B661615" w:rsidR="0001172F" w:rsidRPr="000A7F54" w:rsidRDefault="00557A77" w:rsidP="0001172F">
            <w:pPr>
              <w:pStyle w:val="EQ3"/>
              <w:rPr>
                <w:sz w:val="22"/>
                <w:szCs w:val="22"/>
              </w:rPr>
            </w:pPr>
            <w:r w:rsidRPr="000A7F54">
              <w:rPr>
                <w:sz w:val="22"/>
                <w:szCs w:val="22"/>
              </w:rPr>
              <w:t>9-</w:t>
            </w:r>
            <w:r w:rsidR="008B2C2B" w:rsidRPr="000A7F54">
              <w:rPr>
                <w:sz w:val="22"/>
                <w:szCs w:val="22"/>
              </w:rPr>
              <w:t>11; 22</w:t>
            </w:r>
          </w:p>
        </w:tc>
      </w:tr>
      <w:tr w:rsidR="00FC1B6C" w:rsidRPr="00481ADF" w14:paraId="13A5C8A1" w14:textId="77777777" w:rsidTr="00C06473">
        <w:trPr>
          <w:cantSplit/>
        </w:trPr>
        <w:tc>
          <w:tcPr>
            <w:tcW w:w="9314" w:type="dxa"/>
            <w:gridSpan w:val="2"/>
            <w:tcBorders>
              <w:top w:val="single" w:sz="4" w:space="0" w:color="auto"/>
              <w:left w:val="single" w:sz="12" w:space="0" w:color="auto"/>
              <w:bottom w:val="nil"/>
              <w:right w:val="single" w:sz="12" w:space="0" w:color="auto"/>
            </w:tcBorders>
            <w:shd w:val="clear" w:color="auto" w:fill="DBE5F1" w:themeFill="accent1" w:themeFillTint="33"/>
            <w:tcMar>
              <w:top w:w="29" w:type="dxa"/>
              <w:bottom w:w="29" w:type="dxa"/>
            </w:tcMar>
          </w:tcPr>
          <w:p w14:paraId="3A9C278B" w14:textId="3D354262" w:rsidR="00FC1B6C" w:rsidRPr="000A7F54" w:rsidRDefault="00FC1B6C" w:rsidP="00FC1B6C">
            <w:pPr>
              <w:pStyle w:val="EQ"/>
              <w:rPr>
                <w:szCs w:val="22"/>
              </w:rPr>
            </w:pPr>
            <w:r w:rsidRPr="000A7F54">
              <w:rPr>
                <w:szCs w:val="22"/>
              </w:rPr>
              <w:t>EQ6.</w:t>
            </w:r>
            <w:r w:rsidRPr="000A7F54">
              <w:rPr>
                <w:szCs w:val="22"/>
              </w:rPr>
              <w:tab/>
              <w:t>To what extent are the knowledge, skills, and aptitude of fellows to provide culturally competent behavioral health services to underserved, at-risk children, youth, and young adults increased as a result of the NITT-MFP?</w:t>
            </w:r>
          </w:p>
        </w:tc>
      </w:tr>
      <w:tr w:rsidR="00FC1B6C" w:rsidRPr="00481ADF" w14:paraId="149DCD11" w14:textId="77777777" w:rsidTr="00C06473">
        <w:trPr>
          <w:cantSplit/>
        </w:trPr>
        <w:tc>
          <w:tcPr>
            <w:tcW w:w="5935" w:type="dxa"/>
            <w:tcBorders>
              <w:top w:val="nil"/>
              <w:left w:val="single" w:sz="12" w:space="0" w:color="auto"/>
              <w:bottom w:val="nil"/>
              <w:right w:val="nil"/>
            </w:tcBorders>
            <w:shd w:val="clear" w:color="auto" w:fill="F2F2F2" w:themeFill="background1" w:themeFillShade="F2"/>
            <w:tcMar>
              <w:top w:w="29" w:type="dxa"/>
              <w:bottom w:w="29" w:type="dxa"/>
            </w:tcMar>
          </w:tcPr>
          <w:p w14:paraId="5A0E86C1" w14:textId="77777777" w:rsidR="00FC1B6C" w:rsidRPr="000A7F54" w:rsidRDefault="00FC1B6C" w:rsidP="00FC1B6C">
            <w:pPr>
              <w:pStyle w:val="EQ2"/>
              <w:rPr>
                <w:sz w:val="22"/>
                <w:szCs w:val="22"/>
              </w:rPr>
            </w:pPr>
            <w:r w:rsidRPr="000A7F54">
              <w:rPr>
                <w:sz w:val="22"/>
                <w:szCs w:val="22"/>
              </w:rPr>
              <w:t>Instrument</w:t>
            </w:r>
          </w:p>
        </w:tc>
        <w:tc>
          <w:tcPr>
            <w:tcW w:w="3379"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7A5471C7" w14:textId="3325118F" w:rsidR="00FC1B6C" w:rsidRPr="000A7F54" w:rsidRDefault="00FC1B6C" w:rsidP="00FC1B6C">
            <w:pPr>
              <w:pStyle w:val="EQ2"/>
              <w:rPr>
                <w:sz w:val="22"/>
                <w:szCs w:val="22"/>
              </w:rPr>
            </w:pPr>
            <w:r w:rsidRPr="000A7F54">
              <w:rPr>
                <w:sz w:val="22"/>
                <w:szCs w:val="22"/>
              </w:rPr>
              <w:t>Items</w:t>
            </w:r>
          </w:p>
        </w:tc>
      </w:tr>
      <w:tr w:rsidR="0001172F" w:rsidRPr="00481ADF" w14:paraId="06A59F74" w14:textId="77777777" w:rsidTr="00C06473">
        <w:trPr>
          <w:cantSplit/>
        </w:trPr>
        <w:tc>
          <w:tcPr>
            <w:tcW w:w="5935" w:type="dxa"/>
            <w:tcBorders>
              <w:top w:val="dotted" w:sz="4" w:space="0" w:color="auto"/>
              <w:left w:val="single" w:sz="12" w:space="0" w:color="auto"/>
              <w:bottom w:val="single" w:sz="12" w:space="0" w:color="auto"/>
              <w:right w:val="nil"/>
            </w:tcBorders>
            <w:tcMar>
              <w:top w:w="29" w:type="dxa"/>
              <w:bottom w:w="29" w:type="dxa"/>
            </w:tcMar>
          </w:tcPr>
          <w:p w14:paraId="3518152F" w14:textId="2759C6B4" w:rsidR="0001172F" w:rsidRPr="000A7F54" w:rsidRDefault="00C41E18" w:rsidP="0001172F">
            <w:pPr>
              <w:pStyle w:val="EQ3"/>
              <w:rPr>
                <w:sz w:val="22"/>
                <w:szCs w:val="22"/>
              </w:rPr>
            </w:pPr>
            <w:r w:rsidRPr="000A7F54">
              <w:rPr>
                <w:sz w:val="22"/>
                <w:szCs w:val="22"/>
              </w:rPr>
              <w:t>NITT-</w:t>
            </w:r>
            <w:r w:rsidR="0001172F" w:rsidRPr="000A7F54">
              <w:rPr>
                <w:sz w:val="22"/>
                <w:szCs w:val="22"/>
              </w:rPr>
              <w:t>MFP Fellow Interview</w:t>
            </w:r>
          </w:p>
        </w:tc>
        <w:tc>
          <w:tcPr>
            <w:tcW w:w="3379" w:type="dxa"/>
            <w:tcBorders>
              <w:top w:val="dotted" w:sz="4" w:space="0" w:color="auto"/>
              <w:left w:val="nil"/>
              <w:bottom w:val="single" w:sz="12" w:space="0" w:color="auto"/>
              <w:right w:val="single" w:sz="12" w:space="0" w:color="auto"/>
            </w:tcBorders>
            <w:tcMar>
              <w:top w:w="29" w:type="dxa"/>
              <w:left w:w="43" w:type="dxa"/>
              <w:bottom w:w="29" w:type="dxa"/>
              <w:right w:w="43" w:type="dxa"/>
            </w:tcMar>
          </w:tcPr>
          <w:p w14:paraId="77F17F17" w14:textId="00551B0F" w:rsidR="0001172F" w:rsidRPr="000A7F54" w:rsidRDefault="00557A77" w:rsidP="0001172F">
            <w:pPr>
              <w:pStyle w:val="EQ3"/>
              <w:rPr>
                <w:sz w:val="22"/>
                <w:szCs w:val="22"/>
              </w:rPr>
            </w:pPr>
            <w:r w:rsidRPr="000A7F54">
              <w:rPr>
                <w:sz w:val="22"/>
                <w:szCs w:val="22"/>
              </w:rPr>
              <w:t>1</w:t>
            </w:r>
            <w:r w:rsidR="008B2C2B" w:rsidRPr="000A7F54">
              <w:rPr>
                <w:sz w:val="22"/>
                <w:szCs w:val="22"/>
              </w:rPr>
              <w:t>2</w:t>
            </w:r>
            <w:r w:rsidRPr="000A7F54">
              <w:rPr>
                <w:sz w:val="22"/>
                <w:szCs w:val="22"/>
              </w:rPr>
              <w:t>-</w:t>
            </w:r>
            <w:r w:rsidR="008B2C2B" w:rsidRPr="000A7F54">
              <w:rPr>
                <w:sz w:val="22"/>
                <w:szCs w:val="22"/>
              </w:rPr>
              <w:t>22</w:t>
            </w:r>
          </w:p>
        </w:tc>
      </w:tr>
    </w:tbl>
    <w:p w14:paraId="2ECC370E" w14:textId="5312C9A7" w:rsidR="00772C9E" w:rsidRDefault="00772C9E">
      <w:pPr>
        <w:spacing w:after="0"/>
        <w:rPr>
          <w:sz w:val="18"/>
          <w:szCs w:val="18"/>
        </w:rPr>
      </w:pPr>
    </w:p>
    <w:p w14:paraId="6B68D545" w14:textId="77777777" w:rsidR="000F51C7" w:rsidRDefault="0003189F" w:rsidP="0001203A">
      <w:pPr>
        <w:pStyle w:val="Heading2"/>
      </w:pPr>
      <w:r w:rsidRPr="001F42AB">
        <w:t xml:space="preserve">Use of Information </w:t>
      </w:r>
      <w:r w:rsidRPr="0001203A">
        <w:t>Technology</w:t>
      </w:r>
    </w:p>
    <w:p w14:paraId="11F42CE8" w14:textId="09C96096" w:rsidR="006E467E" w:rsidRPr="000A7F54" w:rsidRDefault="006E467E" w:rsidP="00DB3825">
      <w:pPr>
        <w:rPr>
          <w:sz w:val="24"/>
          <w:szCs w:val="24"/>
        </w:rPr>
      </w:pPr>
      <w:r w:rsidRPr="000A7F54">
        <w:rPr>
          <w:sz w:val="24"/>
          <w:szCs w:val="24"/>
        </w:rPr>
        <w:t xml:space="preserve">The </w:t>
      </w:r>
      <w:r w:rsidR="00C41E18" w:rsidRPr="000A7F54">
        <w:rPr>
          <w:sz w:val="24"/>
          <w:szCs w:val="24"/>
        </w:rPr>
        <w:t>NITT-</w:t>
      </w:r>
      <w:r w:rsidRPr="000A7F54">
        <w:rPr>
          <w:sz w:val="24"/>
          <w:szCs w:val="24"/>
        </w:rPr>
        <w:t>MFP</w:t>
      </w:r>
      <w:r w:rsidR="00985E11" w:rsidRPr="000A7F54">
        <w:rPr>
          <w:sz w:val="24"/>
          <w:szCs w:val="24"/>
        </w:rPr>
        <w:t xml:space="preserve"> Fellow Interv</w:t>
      </w:r>
      <w:r w:rsidRPr="000A7F54">
        <w:rPr>
          <w:sz w:val="24"/>
          <w:szCs w:val="24"/>
        </w:rPr>
        <w:t>iew will be conducted by telephone</w:t>
      </w:r>
      <w:r w:rsidR="00401B28" w:rsidRPr="000A7F54">
        <w:rPr>
          <w:sz w:val="24"/>
          <w:szCs w:val="24"/>
        </w:rPr>
        <w:t xml:space="preserve"> </w:t>
      </w:r>
      <w:r w:rsidRPr="000A7F54">
        <w:rPr>
          <w:sz w:val="24"/>
          <w:szCs w:val="24"/>
        </w:rPr>
        <w:t>by member</w:t>
      </w:r>
      <w:r w:rsidR="00401B28" w:rsidRPr="000A7F54">
        <w:rPr>
          <w:sz w:val="24"/>
          <w:szCs w:val="24"/>
        </w:rPr>
        <w:t>s</w:t>
      </w:r>
      <w:r w:rsidRPr="000A7F54">
        <w:rPr>
          <w:sz w:val="24"/>
          <w:szCs w:val="24"/>
        </w:rPr>
        <w:t xml:space="preserve"> of the evaluation team</w:t>
      </w:r>
      <w:r w:rsidR="007627AB">
        <w:rPr>
          <w:sz w:val="24"/>
          <w:szCs w:val="24"/>
        </w:rPr>
        <w:t xml:space="preserve">.  </w:t>
      </w:r>
      <w:r w:rsidR="00985E11" w:rsidRPr="000A7F54">
        <w:rPr>
          <w:sz w:val="24"/>
          <w:szCs w:val="24"/>
        </w:rPr>
        <w:t>With respondent consent, interviews will be recorded as a back-up to the note taker</w:t>
      </w:r>
      <w:r w:rsidR="007627AB">
        <w:rPr>
          <w:sz w:val="24"/>
          <w:szCs w:val="24"/>
        </w:rPr>
        <w:t xml:space="preserve">.  </w:t>
      </w:r>
      <w:r w:rsidR="00985E11" w:rsidRPr="000A7F54">
        <w:rPr>
          <w:sz w:val="24"/>
          <w:szCs w:val="24"/>
        </w:rPr>
        <w:t>After the interview, the interviewer and note taker will review the completed interview notes for accuracy; any areas of discrepancy will be validated with the recording</w:t>
      </w:r>
      <w:r w:rsidR="007627AB">
        <w:rPr>
          <w:sz w:val="24"/>
          <w:szCs w:val="24"/>
        </w:rPr>
        <w:t xml:space="preserve">.  </w:t>
      </w:r>
      <w:r w:rsidR="00985E11" w:rsidRPr="000A7F54">
        <w:rPr>
          <w:sz w:val="24"/>
          <w:szCs w:val="24"/>
        </w:rPr>
        <w:t>Once the interview responses are considered final, the recording will be deleted</w:t>
      </w:r>
      <w:r w:rsidR="007627AB">
        <w:rPr>
          <w:sz w:val="24"/>
          <w:szCs w:val="24"/>
        </w:rPr>
        <w:t xml:space="preserve">.  </w:t>
      </w:r>
      <w:r w:rsidR="00985E11" w:rsidRPr="000A7F54">
        <w:rPr>
          <w:sz w:val="24"/>
          <w:szCs w:val="24"/>
        </w:rPr>
        <w:t>Until they are deleted, the recordings will be kept by the note taker on a secure, password protected</w:t>
      </w:r>
      <w:r w:rsidR="00DB3825" w:rsidRPr="000A7F54">
        <w:rPr>
          <w:sz w:val="24"/>
          <w:szCs w:val="24"/>
        </w:rPr>
        <w:t xml:space="preserve"> server</w:t>
      </w:r>
      <w:r w:rsidR="00985E11" w:rsidRPr="000A7F54">
        <w:rPr>
          <w:sz w:val="24"/>
          <w:szCs w:val="24"/>
        </w:rPr>
        <w:t>.</w:t>
      </w:r>
      <w:r w:rsidRPr="000A7F54">
        <w:rPr>
          <w:sz w:val="24"/>
          <w:szCs w:val="24"/>
        </w:rPr>
        <w:t xml:space="preserve"> </w:t>
      </w:r>
    </w:p>
    <w:p w14:paraId="6261D663" w14:textId="77777777" w:rsidR="000F51C7" w:rsidRDefault="0003189F" w:rsidP="000F51C7">
      <w:pPr>
        <w:pStyle w:val="Heading2"/>
      </w:pPr>
      <w:r w:rsidRPr="001F42AB">
        <w:t>Effort to Identify Duplication</w:t>
      </w:r>
    </w:p>
    <w:p w14:paraId="1DD94929" w14:textId="2117EE17" w:rsidR="008F7255" w:rsidRPr="000A7F54" w:rsidRDefault="008F7255" w:rsidP="00C462EF">
      <w:pPr>
        <w:rPr>
          <w:sz w:val="24"/>
          <w:szCs w:val="24"/>
        </w:rPr>
      </w:pPr>
      <w:r w:rsidRPr="000A7F54">
        <w:rPr>
          <w:sz w:val="24"/>
          <w:szCs w:val="24"/>
        </w:rPr>
        <w:t>To avoid the duplication of data collection efforts, the NITT-MFP evaluation will not administer any surveys to MFP fellows</w:t>
      </w:r>
      <w:r w:rsidR="007627AB">
        <w:rPr>
          <w:sz w:val="24"/>
          <w:szCs w:val="24"/>
        </w:rPr>
        <w:t xml:space="preserve">.  </w:t>
      </w:r>
      <w:r w:rsidRPr="000A7F54">
        <w:rPr>
          <w:sz w:val="24"/>
          <w:szCs w:val="24"/>
        </w:rPr>
        <w:t xml:space="preserve">Instead, the information collected through the fellow interviews will be supplemented by data from two surveys (of current fellows and alumni) administered by another contractor under OMB No. 0930-0304. </w:t>
      </w:r>
      <w:r w:rsidR="007627AB">
        <w:rPr>
          <w:sz w:val="24"/>
          <w:szCs w:val="24"/>
        </w:rPr>
        <w:t xml:space="preserve"> </w:t>
      </w:r>
      <w:r w:rsidR="007C12FE" w:rsidRPr="000A7F54">
        <w:rPr>
          <w:sz w:val="24"/>
          <w:szCs w:val="24"/>
        </w:rPr>
        <w:t>The NITT-MFP evaluation</w:t>
      </w:r>
      <w:r w:rsidR="008B2C2B" w:rsidRPr="000A7F54">
        <w:rPr>
          <w:sz w:val="24"/>
          <w:szCs w:val="24"/>
        </w:rPr>
        <w:t xml:space="preserve"> </w:t>
      </w:r>
      <w:r w:rsidR="002F76D0" w:rsidRPr="000A7F54">
        <w:rPr>
          <w:sz w:val="24"/>
          <w:szCs w:val="24"/>
        </w:rPr>
        <w:t>Fellow I</w:t>
      </w:r>
      <w:r w:rsidR="008B2C2B" w:rsidRPr="000A7F54">
        <w:rPr>
          <w:sz w:val="24"/>
          <w:szCs w:val="24"/>
        </w:rPr>
        <w:t>nterview</w:t>
      </w:r>
      <w:r w:rsidR="007C12FE" w:rsidRPr="000A7F54">
        <w:rPr>
          <w:sz w:val="24"/>
          <w:szCs w:val="24"/>
        </w:rPr>
        <w:t xml:space="preserve"> </w:t>
      </w:r>
      <w:r w:rsidR="008B2C2B" w:rsidRPr="000A7F54">
        <w:rPr>
          <w:sz w:val="24"/>
          <w:szCs w:val="24"/>
        </w:rPr>
        <w:t>will</w:t>
      </w:r>
      <w:r w:rsidR="007C12FE" w:rsidRPr="000A7F54">
        <w:rPr>
          <w:sz w:val="24"/>
          <w:szCs w:val="24"/>
        </w:rPr>
        <w:t xml:space="preserve"> collect information unique to NITT-MFP programs that is otherwise not available</w:t>
      </w:r>
      <w:r w:rsidRPr="000A7F54">
        <w:rPr>
          <w:sz w:val="24"/>
          <w:szCs w:val="24"/>
        </w:rPr>
        <w:t>, with the exception of the first eight questions in the interview</w:t>
      </w:r>
      <w:r w:rsidR="007627AB">
        <w:rPr>
          <w:sz w:val="24"/>
          <w:szCs w:val="24"/>
        </w:rPr>
        <w:t xml:space="preserve">.  </w:t>
      </w:r>
      <w:r w:rsidRPr="000A7F54">
        <w:rPr>
          <w:sz w:val="24"/>
          <w:szCs w:val="24"/>
        </w:rPr>
        <w:t xml:space="preserve">These questions are repeated in the interview to collect richer and more detailed information using open response options and </w:t>
      </w:r>
      <w:r w:rsidR="00C462EF" w:rsidRPr="000A7F54">
        <w:rPr>
          <w:sz w:val="24"/>
          <w:szCs w:val="24"/>
        </w:rPr>
        <w:t xml:space="preserve">provide </w:t>
      </w:r>
      <w:r w:rsidRPr="000A7F54">
        <w:rPr>
          <w:sz w:val="24"/>
          <w:szCs w:val="24"/>
        </w:rPr>
        <w:t>the opportunity to ask for additional information</w:t>
      </w:r>
      <w:r w:rsidR="007627AB">
        <w:rPr>
          <w:sz w:val="24"/>
          <w:szCs w:val="24"/>
        </w:rPr>
        <w:t xml:space="preserve">.  </w:t>
      </w:r>
      <w:r w:rsidRPr="000A7F54">
        <w:rPr>
          <w:sz w:val="24"/>
          <w:szCs w:val="24"/>
        </w:rPr>
        <w:t xml:space="preserve">In addition, the response rate for the survey is not 100 percent, so some of the questions are repeated to ensure that information on the fellows’ programs that is essential for interpreting the interview results </w:t>
      </w:r>
      <w:r w:rsidR="00C462EF" w:rsidRPr="000A7F54">
        <w:rPr>
          <w:sz w:val="24"/>
          <w:szCs w:val="24"/>
        </w:rPr>
        <w:t xml:space="preserve">(e.g., confirming which program the fellowship was funded under) </w:t>
      </w:r>
      <w:r w:rsidRPr="000A7F54">
        <w:rPr>
          <w:sz w:val="24"/>
          <w:szCs w:val="24"/>
        </w:rPr>
        <w:t xml:space="preserve">is available for all of the interviewees. </w:t>
      </w:r>
    </w:p>
    <w:p w14:paraId="4AB3D593" w14:textId="4B58B2DA" w:rsidR="007C12FE" w:rsidRPr="000A7F54" w:rsidRDefault="007C12FE" w:rsidP="002B6BE3">
      <w:pPr>
        <w:rPr>
          <w:sz w:val="24"/>
          <w:szCs w:val="24"/>
        </w:rPr>
      </w:pPr>
      <w:r w:rsidRPr="000A7F54">
        <w:rPr>
          <w:sz w:val="24"/>
          <w:szCs w:val="24"/>
        </w:rPr>
        <w:t>The surveys are designed to track program outputs, such as the number of fellows and their employment status over time</w:t>
      </w:r>
      <w:r w:rsidR="007627AB">
        <w:rPr>
          <w:sz w:val="24"/>
          <w:szCs w:val="24"/>
        </w:rPr>
        <w:t xml:space="preserve">.  </w:t>
      </w:r>
      <w:r w:rsidRPr="000A7F54">
        <w:rPr>
          <w:sz w:val="24"/>
          <w:szCs w:val="24"/>
        </w:rPr>
        <w:t>The fellow interviews are designed to expand upon the questions asked through the survey and provide detailed and in-depth information that will aid in the interpretation of the survey results</w:t>
      </w:r>
      <w:r w:rsidR="007627AB">
        <w:rPr>
          <w:sz w:val="24"/>
          <w:szCs w:val="24"/>
        </w:rPr>
        <w:t xml:space="preserve">.  </w:t>
      </w:r>
      <w:r w:rsidRPr="000A7F54">
        <w:rPr>
          <w:sz w:val="24"/>
          <w:szCs w:val="24"/>
        </w:rPr>
        <w:t>SAMHSA, for example, is specifically interested in understanding the training and mentoring strategies utilized by grantees to develop the cultural competency of fellows to address the behavioral health needs of underserved, racially/ethnically diverse, transition age youth (16-25)</w:t>
      </w:r>
      <w:r w:rsidR="007627AB">
        <w:rPr>
          <w:sz w:val="24"/>
          <w:szCs w:val="24"/>
        </w:rPr>
        <w:t xml:space="preserve">.  </w:t>
      </w:r>
      <w:r w:rsidRPr="000A7F54">
        <w:rPr>
          <w:sz w:val="24"/>
          <w:szCs w:val="24"/>
        </w:rPr>
        <w:t>T</w:t>
      </w:r>
      <w:r w:rsidR="002B6BE3" w:rsidRPr="000A7F54">
        <w:rPr>
          <w:sz w:val="24"/>
          <w:szCs w:val="24"/>
        </w:rPr>
        <w:t>he</w:t>
      </w:r>
      <w:r w:rsidRPr="000A7F54">
        <w:rPr>
          <w:sz w:val="24"/>
          <w:szCs w:val="24"/>
        </w:rPr>
        <w:t xml:space="preserve"> interviews will provide information on this and other aspects of the fellowship program that SAMHSA has determined are not addressed by the other surveys.</w:t>
      </w:r>
    </w:p>
    <w:p w14:paraId="3B79B8F1" w14:textId="77777777" w:rsidR="000F51C7" w:rsidRDefault="0003189F" w:rsidP="000F51C7">
      <w:pPr>
        <w:pStyle w:val="Heading2"/>
      </w:pPr>
      <w:r w:rsidRPr="001F42AB">
        <w:t>Involvement of Small Entities</w:t>
      </w:r>
    </w:p>
    <w:p w14:paraId="19DECB26" w14:textId="318539DC" w:rsidR="009963EB" w:rsidRPr="000A7F54" w:rsidRDefault="0004242F" w:rsidP="009F55BD">
      <w:pPr>
        <w:rPr>
          <w:sz w:val="24"/>
          <w:szCs w:val="24"/>
        </w:rPr>
      </w:pPr>
      <w:r w:rsidRPr="000A7F54">
        <w:rPr>
          <w:sz w:val="24"/>
          <w:szCs w:val="24"/>
        </w:rPr>
        <w:t>Participation in this evaluation will not impose a significant impact on small entities</w:t>
      </w:r>
      <w:r w:rsidR="007627AB">
        <w:rPr>
          <w:sz w:val="24"/>
          <w:szCs w:val="24"/>
        </w:rPr>
        <w:t xml:space="preserve">.  </w:t>
      </w:r>
      <w:r w:rsidR="00811261" w:rsidRPr="000A7F54">
        <w:rPr>
          <w:sz w:val="24"/>
          <w:szCs w:val="24"/>
        </w:rPr>
        <w:t>D</w:t>
      </w:r>
      <w:r w:rsidRPr="000A7F54">
        <w:rPr>
          <w:sz w:val="24"/>
          <w:szCs w:val="24"/>
        </w:rPr>
        <w:t xml:space="preserve">ata collection </w:t>
      </w:r>
      <w:r w:rsidR="00811261" w:rsidRPr="000A7F54">
        <w:rPr>
          <w:sz w:val="24"/>
          <w:szCs w:val="24"/>
        </w:rPr>
        <w:t>respondents are fellowship recipients.</w:t>
      </w:r>
    </w:p>
    <w:p w14:paraId="6B9C5AD2" w14:textId="51EBF945" w:rsidR="00E64E81" w:rsidRDefault="0003189F" w:rsidP="00961869">
      <w:pPr>
        <w:pStyle w:val="Heading2"/>
      </w:pPr>
      <w:r w:rsidRPr="002717E2">
        <w:t>Consequences If Information Collected Less Frequently</w:t>
      </w:r>
    </w:p>
    <w:p w14:paraId="685508B2" w14:textId="17145E60" w:rsidR="000F51C7" w:rsidRPr="000A7F54" w:rsidRDefault="00612EE4" w:rsidP="002B6BE3">
      <w:pPr>
        <w:rPr>
          <w:sz w:val="24"/>
          <w:szCs w:val="24"/>
        </w:rPr>
      </w:pPr>
      <w:r w:rsidRPr="000A7F54">
        <w:rPr>
          <w:sz w:val="24"/>
          <w:szCs w:val="24"/>
        </w:rPr>
        <w:t>The interviews</w:t>
      </w:r>
      <w:r w:rsidR="009B3E83" w:rsidRPr="000A7F54">
        <w:rPr>
          <w:sz w:val="24"/>
          <w:szCs w:val="24"/>
        </w:rPr>
        <w:t xml:space="preserve"> will be conducted only one time </w:t>
      </w:r>
      <w:r w:rsidR="002B6BE3" w:rsidRPr="000A7F54">
        <w:rPr>
          <w:sz w:val="24"/>
          <w:szCs w:val="24"/>
        </w:rPr>
        <w:t>with each respondent</w:t>
      </w:r>
      <w:r w:rsidR="00566F20" w:rsidRPr="000A7F54">
        <w:rPr>
          <w:sz w:val="24"/>
          <w:szCs w:val="24"/>
        </w:rPr>
        <w:t>.</w:t>
      </w:r>
    </w:p>
    <w:p w14:paraId="213B8FC6" w14:textId="77777777" w:rsidR="000F51C7" w:rsidRDefault="0003189F" w:rsidP="000F51C7">
      <w:pPr>
        <w:pStyle w:val="Heading2"/>
      </w:pPr>
      <w:r w:rsidRPr="001F42AB">
        <w:t xml:space="preserve">Consistency </w:t>
      </w:r>
      <w:r w:rsidR="008707FD" w:rsidRPr="001F42AB">
        <w:t xml:space="preserve">With </w:t>
      </w:r>
      <w:r w:rsidRPr="001F42AB">
        <w:t xml:space="preserve">the Guidelines in 5 </w:t>
      </w:r>
      <w:r w:rsidRPr="00023C7D">
        <w:t xml:space="preserve">CFR </w:t>
      </w:r>
      <w:r w:rsidRPr="001F42AB">
        <w:t>1320.5(d</w:t>
      </w:r>
      <w:proofErr w:type="gramStart"/>
      <w:r w:rsidRPr="001F42AB">
        <w:t>)(</w:t>
      </w:r>
      <w:proofErr w:type="gramEnd"/>
      <w:r w:rsidRPr="001F42AB">
        <w:t>2)</w:t>
      </w:r>
      <w:bookmarkStart w:id="1" w:name="_GoBack"/>
      <w:bookmarkEnd w:id="1"/>
    </w:p>
    <w:p w14:paraId="0772349E" w14:textId="77777777" w:rsidR="000F51C7" w:rsidRPr="000A7F54" w:rsidRDefault="004D3354" w:rsidP="004D3354">
      <w:pPr>
        <w:rPr>
          <w:sz w:val="24"/>
          <w:szCs w:val="24"/>
        </w:rPr>
      </w:pPr>
      <w:r w:rsidRPr="000A7F54">
        <w:rPr>
          <w:sz w:val="24"/>
          <w:szCs w:val="24"/>
        </w:rPr>
        <w:t>This information collection fully complies with the guidelines in 5 CFR 1320.5(d</w:t>
      </w:r>
      <w:proofErr w:type="gramStart"/>
      <w:r w:rsidRPr="000A7F54">
        <w:rPr>
          <w:sz w:val="24"/>
          <w:szCs w:val="24"/>
        </w:rPr>
        <w:t>)(</w:t>
      </w:r>
      <w:proofErr w:type="gramEnd"/>
      <w:r w:rsidRPr="000A7F54">
        <w:rPr>
          <w:sz w:val="24"/>
          <w:szCs w:val="24"/>
        </w:rPr>
        <w:t>2).</w:t>
      </w:r>
    </w:p>
    <w:p w14:paraId="43594626" w14:textId="77777777" w:rsidR="000F51C7" w:rsidRDefault="0003189F" w:rsidP="000F51C7">
      <w:pPr>
        <w:pStyle w:val="Heading2"/>
      </w:pPr>
      <w:r w:rsidRPr="001F42AB">
        <w:t xml:space="preserve">Consultation </w:t>
      </w:r>
      <w:proofErr w:type="gramStart"/>
      <w:r w:rsidRPr="001F42AB">
        <w:t>Outside</w:t>
      </w:r>
      <w:proofErr w:type="gramEnd"/>
      <w:r w:rsidRPr="001F42AB">
        <w:t xml:space="preserve"> the Agency</w:t>
      </w:r>
    </w:p>
    <w:p w14:paraId="349208E4" w14:textId="438A1232" w:rsidR="000F51C7" w:rsidRPr="000A7F54" w:rsidRDefault="002E1476" w:rsidP="008E4EE3">
      <w:pPr>
        <w:rPr>
          <w:sz w:val="24"/>
          <w:szCs w:val="24"/>
        </w:rPr>
      </w:pPr>
      <w:r w:rsidRPr="000A7F54">
        <w:rPr>
          <w:sz w:val="24"/>
          <w:szCs w:val="24"/>
        </w:rPr>
        <w:t xml:space="preserve">The notice required by 5 CFR 1320.8(d) was published in the </w:t>
      </w:r>
      <w:r w:rsidRPr="000A7F54">
        <w:rPr>
          <w:i/>
          <w:sz w:val="24"/>
          <w:szCs w:val="24"/>
        </w:rPr>
        <w:t>Federal Register</w:t>
      </w:r>
      <w:r w:rsidRPr="000A7F54">
        <w:rPr>
          <w:sz w:val="24"/>
          <w:szCs w:val="24"/>
        </w:rPr>
        <w:t xml:space="preserve"> on </w:t>
      </w:r>
      <w:r w:rsidR="008E4EE3" w:rsidRPr="000A7F54">
        <w:rPr>
          <w:sz w:val="24"/>
          <w:szCs w:val="24"/>
        </w:rPr>
        <w:t xml:space="preserve">December </w:t>
      </w:r>
      <w:r w:rsidR="00C56C6D">
        <w:rPr>
          <w:sz w:val="24"/>
          <w:szCs w:val="24"/>
        </w:rPr>
        <w:t>28</w:t>
      </w:r>
      <w:r w:rsidR="003D2FD2" w:rsidRPr="000A7F54">
        <w:rPr>
          <w:sz w:val="24"/>
          <w:szCs w:val="24"/>
        </w:rPr>
        <w:t>, 201</w:t>
      </w:r>
      <w:r w:rsidR="003D2FD2" w:rsidRPr="007D4208">
        <w:rPr>
          <w:sz w:val="24"/>
          <w:szCs w:val="24"/>
        </w:rPr>
        <w:t>5</w:t>
      </w:r>
      <w:r w:rsidRPr="007D4208">
        <w:rPr>
          <w:sz w:val="24"/>
          <w:szCs w:val="24"/>
        </w:rPr>
        <w:t xml:space="preserve"> (</w:t>
      </w:r>
      <w:r w:rsidR="00A2669E" w:rsidRPr="000A7F54">
        <w:rPr>
          <w:sz w:val="24"/>
          <w:szCs w:val="24"/>
        </w:rPr>
        <w:t>80</w:t>
      </w:r>
      <w:r w:rsidRPr="000A7F54">
        <w:rPr>
          <w:sz w:val="24"/>
          <w:szCs w:val="24"/>
        </w:rPr>
        <w:t xml:space="preserve"> FR </w:t>
      </w:r>
      <w:r w:rsidR="00C56C6D">
        <w:rPr>
          <w:sz w:val="24"/>
          <w:szCs w:val="24"/>
        </w:rPr>
        <w:t>80783</w:t>
      </w:r>
      <w:r w:rsidRPr="000A7F54">
        <w:rPr>
          <w:sz w:val="24"/>
          <w:szCs w:val="24"/>
        </w:rPr>
        <w:t>)</w:t>
      </w:r>
      <w:r w:rsidR="007627AB">
        <w:rPr>
          <w:sz w:val="24"/>
          <w:szCs w:val="24"/>
        </w:rPr>
        <w:t xml:space="preserve">.  </w:t>
      </w:r>
      <w:r w:rsidR="007B6B56" w:rsidRPr="00C56C6D">
        <w:rPr>
          <w:sz w:val="24"/>
          <w:szCs w:val="24"/>
        </w:rPr>
        <w:t>No comments were received</w:t>
      </w:r>
      <w:r w:rsidR="008707FD" w:rsidRPr="00C56C6D">
        <w:rPr>
          <w:sz w:val="24"/>
          <w:szCs w:val="24"/>
        </w:rPr>
        <w:t>.</w:t>
      </w:r>
    </w:p>
    <w:p w14:paraId="6F924DF6" w14:textId="770D073B" w:rsidR="00E51F4B" w:rsidRPr="000A7F54" w:rsidRDefault="00E51F4B" w:rsidP="005C7251">
      <w:pPr>
        <w:rPr>
          <w:sz w:val="24"/>
          <w:szCs w:val="24"/>
        </w:rPr>
      </w:pPr>
      <w:r w:rsidRPr="000A7F54">
        <w:rPr>
          <w:sz w:val="24"/>
          <w:szCs w:val="24"/>
        </w:rPr>
        <w:t>SAMHSA has made extensive use of experts in the area</w:t>
      </w:r>
      <w:r w:rsidR="005C7251" w:rsidRPr="000A7F54">
        <w:rPr>
          <w:sz w:val="24"/>
          <w:szCs w:val="24"/>
        </w:rPr>
        <w:t>s</w:t>
      </w:r>
      <w:r w:rsidRPr="000A7F54">
        <w:rPr>
          <w:sz w:val="24"/>
          <w:szCs w:val="24"/>
        </w:rPr>
        <w:t xml:space="preserve"> of young adult </w:t>
      </w:r>
      <w:r w:rsidR="005C7251" w:rsidRPr="000A7F54">
        <w:rPr>
          <w:sz w:val="24"/>
          <w:szCs w:val="24"/>
        </w:rPr>
        <w:t xml:space="preserve">behavioral </w:t>
      </w:r>
      <w:r w:rsidRPr="000A7F54">
        <w:rPr>
          <w:sz w:val="24"/>
          <w:szCs w:val="24"/>
        </w:rPr>
        <w:t>health</w:t>
      </w:r>
      <w:r w:rsidR="005C7251" w:rsidRPr="000A7F54">
        <w:rPr>
          <w:sz w:val="24"/>
          <w:szCs w:val="24"/>
        </w:rPr>
        <w:t>, workforce development, and health disparities</w:t>
      </w:r>
      <w:r w:rsidRPr="000A7F54">
        <w:rPr>
          <w:sz w:val="24"/>
          <w:szCs w:val="24"/>
        </w:rPr>
        <w:t xml:space="preserve"> research and </w:t>
      </w:r>
      <w:r w:rsidR="00D13DB6" w:rsidRPr="000A7F54">
        <w:rPr>
          <w:sz w:val="24"/>
          <w:szCs w:val="24"/>
        </w:rPr>
        <w:t>current grantee staff</w:t>
      </w:r>
      <w:r w:rsidRPr="000A7F54">
        <w:rPr>
          <w:sz w:val="24"/>
          <w:szCs w:val="24"/>
        </w:rPr>
        <w:t xml:space="preserve"> to provide guidance on the design and analysis of the NITT-MFP evaluation</w:t>
      </w:r>
      <w:r w:rsidR="007627AB">
        <w:rPr>
          <w:sz w:val="24"/>
          <w:szCs w:val="24"/>
        </w:rPr>
        <w:t xml:space="preserve">.  </w:t>
      </w:r>
      <w:r w:rsidRPr="000A7F54">
        <w:rPr>
          <w:sz w:val="24"/>
          <w:szCs w:val="24"/>
        </w:rPr>
        <w:t xml:space="preserve">The following </w:t>
      </w:r>
      <w:r w:rsidR="00C41E18" w:rsidRPr="000A7F54">
        <w:rPr>
          <w:sz w:val="24"/>
          <w:szCs w:val="24"/>
        </w:rPr>
        <w:t>NITT-</w:t>
      </w:r>
      <w:r w:rsidRPr="000A7F54">
        <w:rPr>
          <w:sz w:val="24"/>
          <w:szCs w:val="24"/>
        </w:rPr>
        <w:t>MFP virtual meetings were held to review the various aspects of the NITT-MFP evaluation, including the preliminary evaluation plan and data collection procedures which were distributed prior to each meeting to give participants the opportunity to r</w:t>
      </w:r>
      <w:r w:rsidR="00D13DB6" w:rsidRPr="000A7F54">
        <w:rPr>
          <w:sz w:val="24"/>
          <w:szCs w:val="24"/>
        </w:rPr>
        <w:t>eview in preparation for the meeting</w:t>
      </w:r>
      <w:r w:rsidRPr="000A7F54">
        <w:rPr>
          <w:sz w:val="24"/>
          <w:szCs w:val="24"/>
        </w:rPr>
        <w:t xml:space="preserve">. </w:t>
      </w:r>
    </w:p>
    <w:p w14:paraId="6EB4DF99" w14:textId="53D094B2" w:rsidR="00E51F4B" w:rsidRPr="000A7F54" w:rsidRDefault="00D13DB6" w:rsidP="002B6BE3">
      <w:pPr>
        <w:pStyle w:val="ListParagraph"/>
        <w:keepNext/>
        <w:numPr>
          <w:ilvl w:val="0"/>
          <w:numId w:val="42"/>
        </w:numPr>
        <w:rPr>
          <w:sz w:val="24"/>
          <w:szCs w:val="24"/>
        </w:rPr>
      </w:pPr>
      <w:r w:rsidRPr="000A7F54">
        <w:rPr>
          <w:sz w:val="24"/>
          <w:szCs w:val="24"/>
        </w:rPr>
        <w:t>Introductory Webinar (July</w:t>
      </w:r>
      <w:r w:rsidR="00E51F4B" w:rsidRPr="000A7F54">
        <w:rPr>
          <w:sz w:val="24"/>
          <w:szCs w:val="24"/>
        </w:rPr>
        <w:t xml:space="preserve"> 2015)</w:t>
      </w:r>
    </w:p>
    <w:p w14:paraId="2BF2F2F5" w14:textId="2876E512" w:rsidR="00E51F4B" w:rsidRPr="000A7F54" w:rsidRDefault="00D13DB6" w:rsidP="002B6BE3">
      <w:pPr>
        <w:pStyle w:val="ListParagraph"/>
        <w:keepNext/>
        <w:numPr>
          <w:ilvl w:val="0"/>
          <w:numId w:val="42"/>
        </w:numPr>
        <w:rPr>
          <w:sz w:val="24"/>
          <w:szCs w:val="24"/>
        </w:rPr>
      </w:pPr>
      <w:r w:rsidRPr="000A7F54">
        <w:rPr>
          <w:sz w:val="24"/>
          <w:szCs w:val="24"/>
        </w:rPr>
        <w:t>Grantee</w:t>
      </w:r>
      <w:r w:rsidR="00E51F4B" w:rsidRPr="000A7F54">
        <w:rPr>
          <w:sz w:val="24"/>
          <w:szCs w:val="24"/>
        </w:rPr>
        <w:t xml:space="preserve"> Virtual Meeting (August 2015)</w:t>
      </w:r>
    </w:p>
    <w:p w14:paraId="225F7CF1" w14:textId="77777777" w:rsidR="00E51F4B" w:rsidRPr="000A7F54" w:rsidRDefault="00E51F4B" w:rsidP="00E51F4B">
      <w:pPr>
        <w:pStyle w:val="ListParagraph"/>
        <w:numPr>
          <w:ilvl w:val="0"/>
          <w:numId w:val="42"/>
        </w:numPr>
        <w:rPr>
          <w:sz w:val="24"/>
          <w:szCs w:val="24"/>
        </w:rPr>
      </w:pPr>
      <w:r w:rsidRPr="000A7F54">
        <w:rPr>
          <w:sz w:val="24"/>
          <w:szCs w:val="24"/>
        </w:rPr>
        <w:t xml:space="preserve">Expert Panel Meeting (August 2015) </w:t>
      </w:r>
    </w:p>
    <w:p w14:paraId="4448FE85" w14:textId="565B7CDC" w:rsidR="00E51F4B" w:rsidRPr="000A7F54" w:rsidRDefault="00D13DB6" w:rsidP="00E51F4B">
      <w:pPr>
        <w:rPr>
          <w:sz w:val="24"/>
          <w:szCs w:val="24"/>
        </w:rPr>
      </w:pPr>
      <w:r w:rsidRPr="000A7F54">
        <w:rPr>
          <w:sz w:val="24"/>
          <w:szCs w:val="24"/>
        </w:rPr>
        <w:t>The grantees</w:t>
      </w:r>
      <w:r w:rsidR="00E51F4B" w:rsidRPr="000A7F54">
        <w:rPr>
          <w:sz w:val="24"/>
          <w:szCs w:val="24"/>
        </w:rPr>
        <w:t xml:space="preserve"> have had several opportunities to</w:t>
      </w:r>
      <w:r w:rsidRPr="000A7F54">
        <w:rPr>
          <w:sz w:val="24"/>
          <w:szCs w:val="24"/>
        </w:rPr>
        <w:t xml:space="preserve"> ask questions about and</w:t>
      </w:r>
      <w:r w:rsidR="00E51F4B" w:rsidRPr="000A7F54">
        <w:rPr>
          <w:sz w:val="24"/>
          <w:szCs w:val="24"/>
        </w:rPr>
        <w:t xml:space="preserve"> provide feedback on the preliminary evaluation plan and data collection procedures</w:t>
      </w:r>
      <w:r w:rsidR="007627AB">
        <w:rPr>
          <w:sz w:val="24"/>
          <w:szCs w:val="24"/>
        </w:rPr>
        <w:t xml:space="preserve">.  </w:t>
      </w:r>
      <w:r w:rsidR="00E51F4B" w:rsidRPr="000A7F54">
        <w:rPr>
          <w:sz w:val="24"/>
          <w:szCs w:val="24"/>
        </w:rPr>
        <w:t>Feedback was provided on all aspects of the evaluation and participants’ comments and suggestions were incorporated into the development of the data collection procedures and instruments</w:t>
      </w:r>
      <w:r w:rsidR="007627AB">
        <w:rPr>
          <w:sz w:val="24"/>
          <w:szCs w:val="24"/>
        </w:rPr>
        <w:t xml:space="preserve">.  </w:t>
      </w:r>
      <w:r w:rsidR="00E51F4B" w:rsidRPr="000A7F54">
        <w:rPr>
          <w:sz w:val="24"/>
          <w:szCs w:val="24"/>
        </w:rPr>
        <w:t xml:space="preserve">Feedback included: </w:t>
      </w:r>
    </w:p>
    <w:p w14:paraId="3F590D68" w14:textId="176D03E8" w:rsidR="00E51F4B" w:rsidRPr="000A7F54" w:rsidRDefault="00E51F4B" w:rsidP="00E51F4B">
      <w:pPr>
        <w:pStyle w:val="ListParagraph"/>
        <w:numPr>
          <w:ilvl w:val="0"/>
          <w:numId w:val="43"/>
        </w:numPr>
        <w:rPr>
          <w:sz w:val="24"/>
          <w:szCs w:val="24"/>
        </w:rPr>
      </w:pPr>
      <w:r w:rsidRPr="000A7F54">
        <w:rPr>
          <w:sz w:val="24"/>
          <w:szCs w:val="24"/>
        </w:rPr>
        <w:t xml:space="preserve">Create </w:t>
      </w:r>
      <w:r w:rsidR="00D13DB6" w:rsidRPr="000A7F54">
        <w:rPr>
          <w:sz w:val="24"/>
          <w:szCs w:val="24"/>
        </w:rPr>
        <w:t>opportunities for</w:t>
      </w:r>
      <w:r w:rsidRPr="000A7F54">
        <w:rPr>
          <w:sz w:val="24"/>
          <w:szCs w:val="24"/>
        </w:rPr>
        <w:t xml:space="preserve"> NITT-MFP</w:t>
      </w:r>
      <w:r w:rsidR="00D13DB6" w:rsidRPr="000A7F54">
        <w:rPr>
          <w:sz w:val="24"/>
          <w:szCs w:val="24"/>
        </w:rPr>
        <w:t xml:space="preserve"> grantees to review the interim findings from the evaluation and review data</w:t>
      </w:r>
      <w:r w:rsidRPr="000A7F54">
        <w:rPr>
          <w:sz w:val="24"/>
          <w:szCs w:val="24"/>
        </w:rPr>
        <w:t xml:space="preserve">. </w:t>
      </w:r>
    </w:p>
    <w:p w14:paraId="5B4C0F5F" w14:textId="2C025C6F" w:rsidR="00E51F4B" w:rsidRPr="000A7F54" w:rsidRDefault="009278A4" w:rsidP="00BC3426">
      <w:pPr>
        <w:pStyle w:val="ListParagraph"/>
        <w:numPr>
          <w:ilvl w:val="0"/>
          <w:numId w:val="43"/>
        </w:numPr>
        <w:rPr>
          <w:sz w:val="24"/>
          <w:szCs w:val="24"/>
        </w:rPr>
      </w:pPr>
      <w:r w:rsidRPr="000A7F54">
        <w:rPr>
          <w:sz w:val="24"/>
          <w:szCs w:val="24"/>
        </w:rPr>
        <w:t xml:space="preserve">Coordinate contacts with </w:t>
      </w:r>
      <w:r w:rsidR="00C41E18" w:rsidRPr="000A7F54">
        <w:rPr>
          <w:sz w:val="24"/>
          <w:szCs w:val="24"/>
        </w:rPr>
        <w:t>NITT-</w:t>
      </w:r>
      <w:r w:rsidRPr="000A7F54">
        <w:rPr>
          <w:sz w:val="24"/>
          <w:szCs w:val="24"/>
        </w:rPr>
        <w:t>MFP fellows with the grantees and other entities collecting information from the fellows</w:t>
      </w:r>
      <w:r w:rsidR="00E51F4B" w:rsidRPr="000A7F54">
        <w:rPr>
          <w:sz w:val="24"/>
          <w:szCs w:val="24"/>
        </w:rPr>
        <w:t xml:space="preserve">. </w:t>
      </w:r>
    </w:p>
    <w:p w14:paraId="0FF6A05B" w14:textId="44345362" w:rsidR="00E51F4B" w:rsidRPr="000A7F54" w:rsidRDefault="00E51F4B" w:rsidP="00E51F4B">
      <w:pPr>
        <w:pStyle w:val="ListParagraph"/>
        <w:numPr>
          <w:ilvl w:val="0"/>
          <w:numId w:val="43"/>
        </w:numPr>
        <w:rPr>
          <w:sz w:val="24"/>
          <w:szCs w:val="24"/>
        </w:rPr>
      </w:pPr>
      <w:r w:rsidRPr="000A7F54">
        <w:rPr>
          <w:sz w:val="24"/>
          <w:szCs w:val="24"/>
        </w:rPr>
        <w:t xml:space="preserve">Offer </w:t>
      </w:r>
      <w:r w:rsidR="009278A4" w:rsidRPr="000A7F54">
        <w:rPr>
          <w:sz w:val="24"/>
          <w:szCs w:val="24"/>
        </w:rPr>
        <w:t>grantees the opportunity to review the interview instrument</w:t>
      </w:r>
      <w:r w:rsidRPr="000A7F54">
        <w:rPr>
          <w:sz w:val="24"/>
          <w:szCs w:val="24"/>
        </w:rPr>
        <w:t xml:space="preserve">. </w:t>
      </w:r>
    </w:p>
    <w:p w14:paraId="03728BAB" w14:textId="77777777" w:rsidR="00E51F4B" w:rsidRPr="000A7F54" w:rsidRDefault="00E51F4B" w:rsidP="00E51F4B">
      <w:pPr>
        <w:rPr>
          <w:sz w:val="24"/>
          <w:szCs w:val="24"/>
        </w:rPr>
      </w:pPr>
      <w:r w:rsidRPr="000A7F54">
        <w:rPr>
          <w:sz w:val="24"/>
          <w:szCs w:val="24"/>
        </w:rPr>
        <w:t xml:space="preserve">The list of expert panel members is provided in </w:t>
      </w:r>
      <w:r w:rsidRPr="000A7F54">
        <w:rPr>
          <w:b/>
          <w:bCs/>
          <w:i/>
          <w:sz w:val="24"/>
          <w:szCs w:val="24"/>
        </w:rPr>
        <w:t>Table 4</w:t>
      </w:r>
      <w:r w:rsidRPr="000A7F54">
        <w:rPr>
          <w:sz w:val="24"/>
          <w:szCs w:val="24"/>
        </w:rPr>
        <w:t>.</w:t>
      </w:r>
    </w:p>
    <w:p w14:paraId="5C64D2F8" w14:textId="09D2241E" w:rsidR="00E51F4B" w:rsidRPr="00892D9F" w:rsidRDefault="00E51F4B" w:rsidP="00892D9F">
      <w:pPr>
        <w:pStyle w:val="ExhibitTitle"/>
      </w:pPr>
      <w:r w:rsidRPr="00892D9F">
        <w:t>Table 4.</w:t>
      </w:r>
      <w:r w:rsidRPr="00892D9F">
        <w:tab/>
        <w:t>Now i</w:t>
      </w:r>
      <w:r w:rsidR="00BC3426" w:rsidRPr="00892D9F">
        <w:t>s the Time – Minority Fellowship Program</w:t>
      </w:r>
      <w:r w:rsidRPr="00892D9F">
        <w:t xml:space="preserve"> Evaluation Expert Panel</w:t>
      </w:r>
    </w:p>
    <w:tbl>
      <w:tblPr>
        <w:tblW w:w="951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86" w:type="dxa"/>
          <w:right w:w="86" w:type="dxa"/>
        </w:tblCellMar>
        <w:tblLook w:val="0000" w:firstRow="0" w:lastRow="0" w:firstColumn="0" w:lastColumn="0" w:noHBand="0" w:noVBand="0"/>
      </w:tblPr>
      <w:tblGrid>
        <w:gridCol w:w="2137"/>
        <w:gridCol w:w="3878"/>
        <w:gridCol w:w="3502"/>
      </w:tblGrid>
      <w:tr w:rsidR="00E51F4B" w:rsidRPr="008D6CF8" w14:paraId="38240174" w14:textId="77777777" w:rsidTr="000A7F54">
        <w:trPr>
          <w:cantSplit/>
          <w:tblHeader/>
          <w:jc w:val="center"/>
        </w:trPr>
        <w:tc>
          <w:tcPr>
            <w:tcW w:w="2137" w:type="dxa"/>
            <w:shd w:val="clear" w:color="auto" w:fill="DBE5F1" w:themeFill="accent1" w:themeFillTint="33"/>
            <w:vAlign w:val="bottom"/>
          </w:tcPr>
          <w:p w14:paraId="22FE689C" w14:textId="77777777" w:rsidR="00E51F4B" w:rsidRPr="008D6CF8" w:rsidRDefault="00E51F4B" w:rsidP="0046212F">
            <w:pPr>
              <w:spacing w:after="0"/>
              <w:rPr>
                <w:rFonts w:eastAsia="Times New Roman" w:cs="Times New Roman"/>
              </w:rPr>
            </w:pPr>
            <w:r w:rsidRPr="008D6CF8">
              <w:rPr>
                <w:rFonts w:eastAsia="Times New Roman" w:cs="Times New Roman"/>
                <w:b/>
                <w:bCs/>
              </w:rPr>
              <w:t>Expert</w:t>
            </w:r>
          </w:p>
        </w:tc>
        <w:tc>
          <w:tcPr>
            <w:tcW w:w="3878" w:type="dxa"/>
            <w:shd w:val="clear" w:color="auto" w:fill="DBE5F1" w:themeFill="accent1" w:themeFillTint="33"/>
            <w:vAlign w:val="bottom"/>
          </w:tcPr>
          <w:p w14:paraId="14FFED76" w14:textId="77777777" w:rsidR="00E51F4B" w:rsidRPr="008D6CF8" w:rsidRDefault="00E51F4B" w:rsidP="0046212F">
            <w:pPr>
              <w:spacing w:after="0"/>
              <w:rPr>
                <w:rFonts w:eastAsia="Times New Roman" w:cs="Times New Roman"/>
              </w:rPr>
            </w:pPr>
            <w:r w:rsidRPr="008D6CF8">
              <w:rPr>
                <w:rFonts w:eastAsia="Times New Roman" w:cs="Times New Roman"/>
                <w:b/>
                <w:bCs/>
              </w:rPr>
              <w:t>Affiliation</w:t>
            </w:r>
          </w:p>
        </w:tc>
        <w:tc>
          <w:tcPr>
            <w:tcW w:w="3502" w:type="dxa"/>
            <w:shd w:val="clear" w:color="auto" w:fill="DBE5F1" w:themeFill="accent1" w:themeFillTint="33"/>
            <w:vAlign w:val="bottom"/>
          </w:tcPr>
          <w:p w14:paraId="3945719A" w14:textId="77777777" w:rsidR="00E51F4B" w:rsidRPr="008D6CF8" w:rsidRDefault="00E51F4B" w:rsidP="0046212F">
            <w:pPr>
              <w:spacing w:after="0"/>
              <w:rPr>
                <w:rFonts w:eastAsia="Times New Roman" w:cs="Times New Roman"/>
              </w:rPr>
            </w:pPr>
            <w:r w:rsidRPr="008D6CF8">
              <w:rPr>
                <w:rFonts w:eastAsia="Times New Roman" w:cs="Times New Roman"/>
                <w:b/>
                <w:bCs/>
              </w:rPr>
              <w:t>Contact Information</w:t>
            </w:r>
          </w:p>
        </w:tc>
      </w:tr>
      <w:tr w:rsidR="00E51F4B" w:rsidRPr="008D6CF8" w:rsidDel="00CC7210" w14:paraId="5325CBA3" w14:textId="77777777" w:rsidTr="000A7F54">
        <w:trPr>
          <w:cantSplit/>
          <w:jc w:val="center"/>
        </w:trPr>
        <w:tc>
          <w:tcPr>
            <w:tcW w:w="2137" w:type="dxa"/>
            <w:shd w:val="clear" w:color="auto" w:fill="auto"/>
          </w:tcPr>
          <w:p w14:paraId="5858972E" w14:textId="77777777" w:rsidR="00E51F4B" w:rsidRPr="000A7F54" w:rsidRDefault="00E51F4B" w:rsidP="0046212F">
            <w:pPr>
              <w:spacing w:after="0"/>
              <w:rPr>
                <w:rFonts w:eastAsia="Times New Roman" w:cs="Times New Roman"/>
                <w:b/>
                <w:bCs/>
              </w:rPr>
            </w:pPr>
            <w:proofErr w:type="spellStart"/>
            <w:r w:rsidRPr="000A7F54">
              <w:rPr>
                <w:rFonts w:eastAsia="Times New Roman" w:cs="Times New Roman"/>
                <w:b/>
                <w:bCs/>
              </w:rPr>
              <w:t>MaJosé</w:t>
            </w:r>
            <w:proofErr w:type="spellEnd"/>
            <w:r w:rsidRPr="000A7F54">
              <w:rPr>
                <w:rFonts w:eastAsia="Times New Roman" w:cs="Times New Roman"/>
                <w:b/>
                <w:bCs/>
              </w:rPr>
              <w:t xml:space="preserve"> Carrasco, M.P.A</w:t>
            </w:r>
          </w:p>
        </w:tc>
        <w:tc>
          <w:tcPr>
            <w:tcW w:w="3878" w:type="dxa"/>
            <w:shd w:val="clear" w:color="auto" w:fill="auto"/>
          </w:tcPr>
          <w:p w14:paraId="59ACA9F5" w14:textId="77777777" w:rsidR="00E51F4B" w:rsidRPr="000A7F54" w:rsidRDefault="00E51F4B" w:rsidP="0046212F">
            <w:pPr>
              <w:spacing w:after="0"/>
              <w:rPr>
                <w:rFonts w:eastAsia="Times New Roman" w:cs="Times New Roman"/>
              </w:rPr>
            </w:pPr>
            <w:r w:rsidRPr="000A7F54">
              <w:rPr>
                <w:rFonts w:eastAsia="Times New Roman" w:cs="Times New Roman"/>
                <w:i/>
                <w:iCs/>
              </w:rPr>
              <w:t>Director</w:t>
            </w:r>
            <w:r w:rsidRPr="000A7F54">
              <w:rPr>
                <w:rFonts w:eastAsia="Times New Roman" w:cs="Times New Roman"/>
              </w:rPr>
              <w:br/>
              <w:t>Multicultural Action Center,</w:t>
            </w:r>
            <w:r w:rsidRPr="000A7F54">
              <w:rPr>
                <w:rFonts w:eastAsia="Times New Roman" w:cs="Times New Roman"/>
              </w:rPr>
              <w:br/>
              <w:t>National Alliance on Mental Illness</w:t>
            </w:r>
          </w:p>
        </w:tc>
        <w:tc>
          <w:tcPr>
            <w:tcW w:w="3502" w:type="dxa"/>
          </w:tcPr>
          <w:p w14:paraId="50010B92" w14:textId="77777777" w:rsidR="00E51F4B" w:rsidRPr="000A7F54" w:rsidRDefault="00E51F4B" w:rsidP="000A7F54">
            <w:pPr>
              <w:tabs>
                <w:tab w:val="left" w:pos="724"/>
              </w:tabs>
              <w:spacing w:after="0"/>
              <w:rPr>
                <w:rFonts w:eastAsia="Times New Roman" w:cs="Times New Roman"/>
              </w:rPr>
            </w:pPr>
            <w:r w:rsidRPr="000A7F54">
              <w:rPr>
                <w:rFonts w:eastAsia="Times New Roman" w:cs="Times New Roman"/>
              </w:rPr>
              <w:t>Email:</w:t>
            </w:r>
            <w:r w:rsidRPr="000A7F54">
              <w:rPr>
                <w:rFonts w:eastAsia="Times New Roman" w:cs="Times New Roman"/>
              </w:rPr>
              <w:tab/>
              <w:t>majose@nami.org</w:t>
            </w:r>
          </w:p>
        </w:tc>
      </w:tr>
      <w:tr w:rsidR="00E51F4B" w:rsidRPr="008D6CF8" w:rsidDel="00CC7210" w14:paraId="66F10AE9" w14:textId="77777777" w:rsidTr="000A7F54">
        <w:trPr>
          <w:cantSplit/>
          <w:jc w:val="center"/>
        </w:trPr>
        <w:tc>
          <w:tcPr>
            <w:tcW w:w="2137" w:type="dxa"/>
            <w:shd w:val="clear" w:color="auto" w:fill="auto"/>
          </w:tcPr>
          <w:p w14:paraId="6C01FFC2" w14:textId="77777777" w:rsidR="00E51F4B" w:rsidRPr="000A7F54" w:rsidRDefault="00E51F4B" w:rsidP="0046212F">
            <w:pPr>
              <w:spacing w:after="0"/>
              <w:rPr>
                <w:rFonts w:eastAsia="Times New Roman" w:cs="Times New Roman"/>
                <w:b/>
                <w:bCs/>
              </w:rPr>
            </w:pPr>
            <w:r w:rsidRPr="000A7F54">
              <w:rPr>
                <w:rFonts w:eastAsia="Times New Roman" w:cs="Times New Roman"/>
                <w:b/>
                <w:bCs/>
              </w:rPr>
              <w:t xml:space="preserve">Lynda </w:t>
            </w:r>
            <w:proofErr w:type="spellStart"/>
            <w:r w:rsidRPr="000A7F54">
              <w:rPr>
                <w:rFonts w:eastAsia="Times New Roman" w:cs="Times New Roman"/>
                <w:b/>
                <w:bCs/>
              </w:rPr>
              <w:t>Gargan</w:t>
            </w:r>
            <w:proofErr w:type="spellEnd"/>
            <w:r w:rsidRPr="000A7F54">
              <w:rPr>
                <w:rFonts w:eastAsia="Times New Roman" w:cs="Times New Roman"/>
                <w:b/>
                <w:bCs/>
              </w:rPr>
              <w:t>, Ph.D., M.Ed.</w:t>
            </w:r>
          </w:p>
        </w:tc>
        <w:tc>
          <w:tcPr>
            <w:tcW w:w="3878" w:type="dxa"/>
            <w:shd w:val="clear" w:color="auto" w:fill="auto"/>
          </w:tcPr>
          <w:p w14:paraId="23BDA3A0" w14:textId="77777777" w:rsidR="00E51F4B" w:rsidRPr="000A7F54" w:rsidRDefault="00E51F4B" w:rsidP="0046212F">
            <w:pPr>
              <w:spacing w:after="0"/>
              <w:rPr>
                <w:rFonts w:eastAsia="Times New Roman" w:cs="Times New Roman"/>
              </w:rPr>
            </w:pPr>
            <w:r w:rsidRPr="000A7F54">
              <w:rPr>
                <w:rFonts w:eastAsia="Times New Roman" w:cs="Times New Roman"/>
                <w:i/>
                <w:iCs/>
              </w:rPr>
              <w:t>Interim Executive Director</w:t>
            </w:r>
            <w:r w:rsidRPr="000A7F54">
              <w:rPr>
                <w:rFonts w:eastAsia="Times New Roman" w:cs="Times New Roman"/>
              </w:rPr>
              <w:br/>
              <w:t>Federation of Families for Children’s Mental Health</w:t>
            </w:r>
          </w:p>
        </w:tc>
        <w:tc>
          <w:tcPr>
            <w:tcW w:w="3502" w:type="dxa"/>
            <w:shd w:val="clear" w:color="auto" w:fill="auto"/>
          </w:tcPr>
          <w:p w14:paraId="3D3AE533" w14:textId="77777777" w:rsidR="00E51F4B" w:rsidRPr="000A7F54" w:rsidRDefault="00E51F4B" w:rsidP="0046212F">
            <w:pPr>
              <w:tabs>
                <w:tab w:val="left" w:pos="634"/>
              </w:tabs>
              <w:spacing w:after="0"/>
              <w:rPr>
                <w:rFonts w:eastAsia="Times New Roman" w:cs="Times New Roman"/>
              </w:rPr>
            </w:pPr>
            <w:r w:rsidRPr="000A7F54">
              <w:rPr>
                <w:rFonts w:eastAsia="Times New Roman" w:cs="Times New Roman"/>
              </w:rPr>
              <w:t xml:space="preserve">Phone: </w:t>
            </w:r>
            <w:r w:rsidRPr="000A7F54">
              <w:rPr>
                <w:rFonts w:eastAsia="Times New Roman" w:cs="Times New Roman"/>
              </w:rPr>
              <w:tab/>
              <w:t>240-403-1901</w:t>
            </w:r>
          </w:p>
          <w:p w14:paraId="1777B896" w14:textId="77777777" w:rsidR="00E51F4B" w:rsidRPr="000A7F54" w:rsidRDefault="00E51F4B" w:rsidP="0046212F">
            <w:pPr>
              <w:tabs>
                <w:tab w:val="left" w:pos="634"/>
              </w:tabs>
              <w:spacing w:after="0"/>
              <w:rPr>
                <w:rFonts w:eastAsia="Times New Roman" w:cs="Times New Roman"/>
              </w:rPr>
            </w:pPr>
            <w:r w:rsidRPr="000A7F54">
              <w:rPr>
                <w:rFonts w:eastAsia="Times New Roman" w:cs="Times New Roman"/>
              </w:rPr>
              <w:t xml:space="preserve">Email: </w:t>
            </w:r>
            <w:r w:rsidRPr="000A7F54">
              <w:rPr>
                <w:rFonts w:eastAsia="Times New Roman" w:cs="Times New Roman"/>
              </w:rPr>
              <w:tab/>
              <w:t>lgargan@ffcmh.org</w:t>
            </w:r>
          </w:p>
        </w:tc>
      </w:tr>
      <w:tr w:rsidR="00E51F4B" w:rsidRPr="008D6CF8" w:rsidDel="00CC7210" w14:paraId="5BCDDB6C" w14:textId="77777777" w:rsidTr="000A7F54">
        <w:trPr>
          <w:cantSplit/>
          <w:jc w:val="center"/>
        </w:trPr>
        <w:tc>
          <w:tcPr>
            <w:tcW w:w="2137" w:type="dxa"/>
            <w:shd w:val="clear" w:color="auto" w:fill="auto"/>
          </w:tcPr>
          <w:p w14:paraId="483C843B" w14:textId="77777777" w:rsidR="00E51F4B" w:rsidRPr="000A7F54" w:rsidRDefault="00E51F4B" w:rsidP="0046212F">
            <w:pPr>
              <w:spacing w:after="0"/>
              <w:rPr>
                <w:rFonts w:eastAsia="Times New Roman" w:cs="Times New Roman"/>
                <w:b/>
                <w:bCs/>
              </w:rPr>
            </w:pPr>
            <w:r w:rsidRPr="000A7F54">
              <w:rPr>
                <w:rFonts w:eastAsia="Times New Roman" w:cs="Times New Roman"/>
                <w:b/>
                <w:bCs/>
              </w:rPr>
              <w:t>Susan Keys, Ph.D.</w:t>
            </w:r>
          </w:p>
        </w:tc>
        <w:tc>
          <w:tcPr>
            <w:tcW w:w="3878" w:type="dxa"/>
            <w:shd w:val="clear" w:color="auto" w:fill="auto"/>
          </w:tcPr>
          <w:p w14:paraId="54A9A160" w14:textId="77777777" w:rsidR="00E51F4B" w:rsidRPr="000A7F54" w:rsidRDefault="00E51F4B" w:rsidP="0046212F">
            <w:pPr>
              <w:spacing w:after="0"/>
              <w:rPr>
                <w:rFonts w:eastAsia="Times New Roman" w:cs="Times New Roman"/>
              </w:rPr>
            </w:pPr>
            <w:r w:rsidRPr="000A7F54">
              <w:rPr>
                <w:rFonts w:eastAsia="Times New Roman" w:cs="Times New Roman"/>
                <w:i/>
                <w:iCs/>
              </w:rPr>
              <w:t>Associate Professor and Senior Researcher</w:t>
            </w:r>
            <w:r w:rsidRPr="000A7F54">
              <w:rPr>
                <w:rFonts w:eastAsia="Times New Roman" w:cs="Times New Roman"/>
              </w:rPr>
              <w:br/>
              <w:t>College of Public Health and Human Sciences,</w:t>
            </w:r>
            <w:r w:rsidRPr="000A7F54">
              <w:rPr>
                <w:rFonts w:eastAsia="Times New Roman" w:cs="Times New Roman"/>
              </w:rPr>
              <w:br/>
              <w:t>Oregon State University</w:t>
            </w:r>
          </w:p>
        </w:tc>
        <w:tc>
          <w:tcPr>
            <w:tcW w:w="3502" w:type="dxa"/>
            <w:shd w:val="clear" w:color="auto" w:fill="auto"/>
          </w:tcPr>
          <w:p w14:paraId="0AA0C6D4" w14:textId="77777777" w:rsidR="00E51F4B" w:rsidRPr="000A7F54" w:rsidRDefault="00E51F4B" w:rsidP="0046212F">
            <w:pPr>
              <w:tabs>
                <w:tab w:val="left" w:pos="634"/>
              </w:tabs>
              <w:spacing w:after="0"/>
              <w:rPr>
                <w:rFonts w:eastAsia="Times New Roman" w:cs="Times New Roman"/>
              </w:rPr>
            </w:pPr>
            <w:r w:rsidRPr="000A7F54">
              <w:rPr>
                <w:rFonts w:eastAsia="Times New Roman" w:cs="Times New Roman"/>
              </w:rPr>
              <w:t xml:space="preserve">Phone: </w:t>
            </w:r>
            <w:r w:rsidRPr="000A7F54">
              <w:rPr>
                <w:rFonts w:eastAsia="Times New Roman" w:cs="Times New Roman"/>
              </w:rPr>
              <w:tab/>
              <w:t>541-322-2046</w:t>
            </w:r>
          </w:p>
          <w:p w14:paraId="54F87C85" w14:textId="77777777" w:rsidR="00E51F4B" w:rsidRPr="000A7F54" w:rsidRDefault="00E51F4B" w:rsidP="0046212F">
            <w:pPr>
              <w:tabs>
                <w:tab w:val="left" w:pos="634"/>
              </w:tabs>
              <w:spacing w:after="0"/>
              <w:rPr>
                <w:rFonts w:eastAsia="Times New Roman" w:cs="Times New Roman"/>
              </w:rPr>
            </w:pPr>
            <w:r w:rsidRPr="000A7F54">
              <w:rPr>
                <w:rFonts w:eastAsia="Times New Roman" w:cs="Times New Roman"/>
              </w:rPr>
              <w:t xml:space="preserve">Email: </w:t>
            </w:r>
            <w:r w:rsidRPr="000A7F54">
              <w:rPr>
                <w:rFonts w:eastAsia="Times New Roman" w:cs="Times New Roman"/>
              </w:rPr>
              <w:tab/>
              <w:t>susan.keys@osucascades.edu</w:t>
            </w:r>
          </w:p>
        </w:tc>
      </w:tr>
      <w:tr w:rsidR="00E51F4B" w:rsidRPr="008D6CF8" w14:paraId="4CA617F6" w14:textId="77777777" w:rsidTr="000A7F54">
        <w:trPr>
          <w:cantSplit/>
          <w:jc w:val="center"/>
        </w:trPr>
        <w:tc>
          <w:tcPr>
            <w:tcW w:w="2137" w:type="dxa"/>
            <w:shd w:val="clear" w:color="auto" w:fill="auto"/>
          </w:tcPr>
          <w:p w14:paraId="0367A7AA" w14:textId="77777777" w:rsidR="00E51F4B" w:rsidRPr="000A7F54" w:rsidRDefault="00E51F4B" w:rsidP="0046212F">
            <w:pPr>
              <w:spacing w:after="0"/>
              <w:rPr>
                <w:rFonts w:eastAsia="Times New Roman" w:cs="Times New Roman"/>
                <w:b/>
                <w:bCs/>
              </w:rPr>
            </w:pPr>
            <w:r w:rsidRPr="000A7F54">
              <w:rPr>
                <w:rFonts w:eastAsia="Times New Roman" w:cs="Times New Roman"/>
                <w:b/>
                <w:bCs/>
              </w:rPr>
              <w:t>Benjamin Le Cook, Ph.D., M.P.H.</w:t>
            </w:r>
          </w:p>
        </w:tc>
        <w:tc>
          <w:tcPr>
            <w:tcW w:w="3878" w:type="dxa"/>
            <w:shd w:val="clear" w:color="auto" w:fill="auto"/>
          </w:tcPr>
          <w:p w14:paraId="3A97C7AD" w14:textId="77777777" w:rsidR="00E51F4B" w:rsidRPr="000A7F54" w:rsidRDefault="00E51F4B" w:rsidP="0046212F">
            <w:pPr>
              <w:spacing w:after="0"/>
              <w:rPr>
                <w:rFonts w:eastAsia="Times New Roman" w:cs="Times New Roman"/>
              </w:rPr>
            </w:pPr>
            <w:r w:rsidRPr="000A7F54">
              <w:rPr>
                <w:rFonts w:eastAsia="Times New Roman" w:cs="Times New Roman"/>
                <w:i/>
                <w:iCs/>
              </w:rPr>
              <w:t>Assistant Professor of Psychiatry</w:t>
            </w:r>
            <w:r w:rsidRPr="000A7F54">
              <w:rPr>
                <w:rFonts w:eastAsia="Times New Roman" w:cs="Times New Roman"/>
              </w:rPr>
              <w:br/>
              <w:t>Harvard Medical School;</w:t>
            </w:r>
            <w:r w:rsidRPr="000A7F54">
              <w:rPr>
                <w:rFonts w:eastAsia="Times New Roman" w:cs="Times New Roman"/>
              </w:rPr>
              <w:br/>
            </w:r>
            <w:r w:rsidRPr="000A7F54">
              <w:rPr>
                <w:rFonts w:eastAsia="Times New Roman" w:cs="Times New Roman"/>
                <w:i/>
                <w:iCs/>
              </w:rPr>
              <w:t>Senior Scientist</w:t>
            </w:r>
            <w:r w:rsidRPr="000A7F54">
              <w:rPr>
                <w:rFonts w:eastAsia="Times New Roman" w:cs="Times New Roman"/>
              </w:rPr>
              <w:br/>
              <w:t>Center for Multicultural Mental Health Research</w:t>
            </w:r>
          </w:p>
        </w:tc>
        <w:tc>
          <w:tcPr>
            <w:tcW w:w="3502" w:type="dxa"/>
            <w:shd w:val="clear" w:color="auto" w:fill="auto"/>
          </w:tcPr>
          <w:p w14:paraId="6BD4040C" w14:textId="77777777" w:rsidR="00E51F4B" w:rsidRPr="000A7F54" w:rsidRDefault="00E51F4B" w:rsidP="0046212F">
            <w:pPr>
              <w:tabs>
                <w:tab w:val="left" w:pos="634"/>
              </w:tabs>
              <w:spacing w:after="0"/>
              <w:rPr>
                <w:rFonts w:eastAsia="Times New Roman" w:cs="Times New Roman"/>
              </w:rPr>
            </w:pPr>
            <w:r w:rsidRPr="000A7F54">
              <w:rPr>
                <w:rFonts w:eastAsia="Times New Roman" w:cs="Times New Roman"/>
              </w:rPr>
              <w:t xml:space="preserve">Phone: </w:t>
            </w:r>
            <w:r w:rsidRPr="000A7F54">
              <w:rPr>
                <w:rFonts w:eastAsia="Times New Roman" w:cs="Times New Roman"/>
              </w:rPr>
              <w:tab/>
              <w:t>617-503-8449</w:t>
            </w:r>
          </w:p>
          <w:p w14:paraId="3FAC3626" w14:textId="7861ADD6" w:rsidR="00E51F4B" w:rsidRPr="000A7F54" w:rsidRDefault="00E51F4B" w:rsidP="000A7F54">
            <w:pPr>
              <w:spacing w:after="0"/>
              <w:ind w:left="589" w:hanging="589"/>
              <w:rPr>
                <w:rFonts w:eastAsia="Times New Roman" w:cs="Times New Roman"/>
              </w:rPr>
            </w:pPr>
            <w:r w:rsidRPr="000A7F54">
              <w:rPr>
                <w:rFonts w:eastAsia="Times New Roman" w:cs="Times New Roman"/>
              </w:rPr>
              <w:t xml:space="preserve">Email: </w:t>
            </w:r>
            <w:r w:rsidRPr="000A7F54">
              <w:rPr>
                <w:rFonts w:eastAsia="Times New Roman" w:cs="Times New Roman"/>
              </w:rPr>
              <w:tab/>
              <w:t xml:space="preserve">bcook@cha.harvard.edu; </w:t>
            </w:r>
            <w:r w:rsidRPr="000A7F54">
              <w:rPr>
                <w:rFonts w:eastAsia="Times New Roman" w:cs="Times New Roman"/>
              </w:rPr>
              <w:tab/>
              <w:t>bcook@charesearch.org</w:t>
            </w:r>
          </w:p>
        </w:tc>
      </w:tr>
      <w:tr w:rsidR="00E51F4B" w:rsidRPr="008D6CF8" w14:paraId="4EA600D7" w14:textId="77777777" w:rsidTr="000A7F54">
        <w:trPr>
          <w:cantSplit/>
          <w:jc w:val="center"/>
        </w:trPr>
        <w:tc>
          <w:tcPr>
            <w:tcW w:w="2137" w:type="dxa"/>
            <w:shd w:val="clear" w:color="auto" w:fill="auto"/>
          </w:tcPr>
          <w:p w14:paraId="1AF20F23" w14:textId="77777777" w:rsidR="00E51F4B" w:rsidRPr="000A7F54" w:rsidRDefault="00E51F4B" w:rsidP="0046212F">
            <w:pPr>
              <w:spacing w:after="0"/>
              <w:rPr>
                <w:rFonts w:eastAsia="Times New Roman" w:cs="Times New Roman"/>
                <w:b/>
                <w:bCs/>
              </w:rPr>
            </w:pPr>
            <w:r w:rsidRPr="000A7F54">
              <w:rPr>
                <w:rFonts w:eastAsia="Times New Roman" w:cs="Times New Roman"/>
                <w:b/>
                <w:bCs/>
              </w:rPr>
              <w:t xml:space="preserve">Pamela </w:t>
            </w:r>
            <w:proofErr w:type="spellStart"/>
            <w:r w:rsidRPr="000A7F54">
              <w:rPr>
                <w:rFonts w:eastAsia="Times New Roman" w:cs="Times New Roman"/>
                <w:b/>
                <w:bCs/>
              </w:rPr>
              <w:t>Orpinas</w:t>
            </w:r>
            <w:proofErr w:type="spellEnd"/>
            <w:r w:rsidRPr="000A7F54">
              <w:rPr>
                <w:rFonts w:eastAsia="Times New Roman" w:cs="Times New Roman"/>
                <w:b/>
                <w:bCs/>
              </w:rPr>
              <w:t>, Ph.D.</w:t>
            </w:r>
          </w:p>
        </w:tc>
        <w:tc>
          <w:tcPr>
            <w:tcW w:w="3878" w:type="dxa"/>
            <w:shd w:val="clear" w:color="auto" w:fill="auto"/>
          </w:tcPr>
          <w:p w14:paraId="533B723A" w14:textId="77777777" w:rsidR="00E51F4B" w:rsidRPr="000A7F54" w:rsidRDefault="00E51F4B" w:rsidP="0046212F">
            <w:pPr>
              <w:spacing w:after="0"/>
              <w:rPr>
                <w:rFonts w:eastAsia="Times New Roman" w:cs="Times New Roman"/>
              </w:rPr>
            </w:pPr>
            <w:r w:rsidRPr="000A7F54">
              <w:rPr>
                <w:rFonts w:eastAsia="Times New Roman" w:cs="Times New Roman"/>
                <w:i/>
                <w:iCs/>
              </w:rPr>
              <w:t>Professor</w:t>
            </w:r>
            <w:r w:rsidRPr="000A7F54">
              <w:rPr>
                <w:rFonts w:eastAsia="Times New Roman" w:cs="Times New Roman"/>
              </w:rPr>
              <w:br/>
              <w:t>Department of Health Promotion and Behavior,</w:t>
            </w:r>
            <w:r w:rsidRPr="000A7F54">
              <w:rPr>
                <w:rFonts w:eastAsia="Times New Roman" w:cs="Times New Roman"/>
              </w:rPr>
              <w:br/>
              <w:t>University of Georgia</w:t>
            </w:r>
          </w:p>
        </w:tc>
        <w:tc>
          <w:tcPr>
            <w:tcW w:w="3502" w:type="dxa"/>
          </w:tcPr>
          <w:p w14:paraId="2A9A03F9" w14:textId="77777777" w:rsidR="00E51F4B" w:rsidRPr="000A7F54" w:rsidRDefault="00E51F4B" w:rsidP="0046212F">
            <w:pPr>
              <w:tabs>
                <w:tab w:val="left" w:pos="634"/>
              </w:tabs>
              <w:spacing w:after="0"/>
              <w:rPr>
                <w:rFonts w:eastAsia="Times New Roman" w:cs="Times New Roman"/>
              </w:rPr>
            </w:pPr>
            <w:r w:rsidRPr="000A7F54">
              <w:rPr>
                <w:rFonts w:eastAsia="Times New Roman" w:cs="Times New Roman"/>
              </w:rPr>
              <w:t xml:space="preserve">Phone: </w:t>
            </w:r>
            <w:r w:rsidRPr="000A7F54">
              <w:rPr>
                <w:rFonts w:eastAsia="Times New Roman" w:cs="Times New Roman"/>
              </w:rPr>
              <w:tab/>
              <w:t>706-542-4372</w:t>
            </w:r>
          </w:p>
          <w:p w14:paraId="71972652" w14:textId="07BC9486" w:rsidR="00E51F4B" w:rsidRPr="000A7F54" w:rsidRDefault="00E51F4B" w:rsidP="000A7F54">
            <w:pPr>
              <w:tabs>
                <w:tab w:val="left" w:pos="724"/>
                <w:tab w:val="left" w:pos="990"/>
              </w:tabs>
              <w:spacing w:after="0"/>
              <w:rPr>
                <w:rFonts w:eastAsia="Times New Roman" w:cs="Times New Roman"/>
              </w:rPr>
            </w:pPr>
            <w:r w:rsidRPr="000A7F54">
              <w:rPr>
                <w:rFonts w:eastAsia="Times New Roman" w:cs="Times New Roman"/>
              </w:rPr>
              <w:t xml:space="preserve">Email: </w:t>
            </w:r>
            <w:r w:rsidR="000A7F54">
              <w:rPr>
                <w:rFonts w:eastAsia="Times New Roman" w:cs="Times New Roman"/>
              </w:rPr>
              <w:tab/>
            </w:r>
            <w:r w:rsidRPr="000A7F54">
              <w:rPr>
                <w:rFonts w:eastAsia="Times New Roman" w:cs="Times New Roman"/>
              </w:rPr>
              <w:t>porpinas@uga.edu</w:t>
            </w:r>
          </w:p>
        </w:tc>
      </w:tr>
      <w:tr w:rsidR="00E51F4B" w:rsidRPr="008D6CF8" w:rsidDel="00CC7210" w14:paraId="1D387FAD" w14:textId="77777777" w:rsidTr="000A7F54">
        <w:trPr>
          <w:cantSplit/>
          <w:jc w:val="center"/>
        </w:trPr>
        <w:tc>
          <w:tcPr>
            <w:tcW w:w="2137" w:type="dxa"/>
            <w:shd w:val="clear" w:color="auto" w:fill="auto"/>
          </w:tcPr>
          <w:p w14:paraId="517B050E" w14:textId="77777777" w:rsidR="00E51F4B" w:rsidRPr="000A7F54" w:rsidRDefault="00E51F4B" w:rsidP="0046212F">
            <w:pPr>
              <w:spacing w:after="40"/>
              <w:rPr>
                <w:rFonts w:eastAsia="Times New Roman" w:cs="Times New Roman"/>
                <w:b/>
                <w:bCs/>
              </w:rPr>
            </w:pPr>
            <w:r w:rsidRPr="000A7F54">
              <w:rPr>
                <w:rFonts w:eastAsia="Times New Roman" w:cs="Times New Roman"/>
                <w:b/>
                <w:bCs/>
              </w:rPr>
              <w:t xml:space="preserve">Mark </w:t>
            </w:r>
            <w:proofErr w:type="spellStart"/>
            <w:r w:rsidRPr="000A7F54">
              <w:rPr>
                <w:rFonts w:eastAsia="Times New Roman" w:cs="Times New Roman"/>
                <w:b/>
                <w:bCs/>
              </w:rPr>
              <w:t>Salzer</w:t>
            </w:r>
            <w:proofErr w:type="spellEnd"/>
            <w:r w:rsidRPr="000A7F54">
              <w:rPr>
                <w:rFonts w:eastAsia="Times New Roman" w:cs="Times New Roman"/>
                <w:b/>
                <w:bCs/>
              </w:rPr>
              <w:t>, Ph.D.</w:t>
            </w:r>
          </w:p>
        </w:tc>
        <w:tc>
          <w:tcPr>
            <w:tcW w:w="3878" w:type="dxa"/>
            <w:shd w:val="clear" w:color="auto" w:fill="auto"/>
          </w:tcPr>
          <w:p w14:paraId="777DD8D4" w14:textId="77777777" w:rsidR="00E51F4B" w:rsidRPr="000A7F54" w:rsidRDefault="00E51F4B" w:rsidP="0046212F">
            <w:pPr>
              <w:spacing w:after="40"/>
              <w:rPr>
                <w:rFonts w:eastAsia="Times New Roman" w:cs="Times New Roman"/>
              </w:rPr>
            </w:pPr>
            <w:r w:rsidRPr="000A7F54">
              <w:rPr>
                <w:rFonts w:eastAsia="Times New Roman" w:cs="Times New Roman"/>
                <w:i/>
                <w:iCs/>
              </w:rPr>
              <w:t>Professor and Chair</w:t>
            </w:r>
            <w:r w:rsidRPr="000A7F54">
              <w:rPr>
                <w:rFonts w:eastAsia="Times New Roman" w:cs="Times New Roman"/>
              </w:rPr>
              <w:br/>
              <w:t>Department of Rehabilitation Sciences,</w:t>
            </w:r>
            <w:r w:rsidRPr="000A7F54">
              <w:rPr>
                <w:rFonts w:eastAsia="Times New Roman" w:cs="Times New Roman"/>
              </w:rPr>
              <w:br/>
              <w:t>Temple University;</w:t>
            </w:r>
            <w:r w:rsidRPr="000A7F54">
              <w:rPr>
                <w:rFonts w:eastAsia="Times New Roman" w:cs="Times New Roman"/>
              </w:rPr>
              <w:br/>
            </w:r>
            <w:r w:rsidRPr="000A7F54">
              <w:rPr>
                <w:rFonts w:eastAsia="Times New Roman" w:cs="Times New Roman"/>
                <w:i/>
                <w:iCs/>
              </w:rPr>
              <w:t xml:space="preserve">Director </w:t>
            </w:r>
            <w:r w:rsidRPr="000A7F54">
              <w:rPr>
                <w:rFonts w:eastAsia="Times New Roman" w:cs="Times New Roman"/>
              </w:rPr>
              <w:br/>
              <w:t>Temple University Collaborative on Community Inclusion of Individuals with Psychiatric Disabilities</w:t>
            </w:r>
          </w:p>
        </w:tc>
        <w:tc>
          <w:tcPr>
            <w:tcW w:w="3502" w:type="dxa"/>
          </w:tcPr>
          <w:p w14:paraId="31F428B0" w14:textId="77777777" w:rsidR="00E51F4B" w:rsidRPr="000A7F54" w:rsidRDefault="00E51F4B" w:rsidP="0046212F">
            <w:pPr>
              <w:tabs>
                <w:tab w:val="left" w:pos="634"/>
              </w:tabs>
              <w:spacing w:after="40"/>
              <w:rPr>
                <w:rFonts w:eastAsia="Times New Roman" w:cs="Times New Roman"/>
              </w:rPr>
            </w:pPr>
            <w:r w:rsidRPr="000A7F54">
              <w:rPr>
                <w:rFonts w:eastAsia="Times New Roman" w:cs="Times New Roman"/>
              </w:rPr>
              <w:t xml:space="preserve">Phone: </w:t>
            </w:r>
            <w:r w:rsidRPr="000A7F54">
              <w:rPr>
                <w:rFonts w:eastAsia="Times New Roman" w:cs="Times New Roman"/>
              </w:rPr>
              <w:tab/>
              <w:t>215-204-7879</w:t>
            </w:r>
          </w:p>
          <w:p w14:paraId="7EC9C286" w14:textId="77777777" w:rsidR="00E51F4B" w:rsidRPr="000A7F54" w:rsidRDefault="00E51F4B" w:rsidP="0046212F">
            <w:pPr>
              <w:tabs>
                <w:tab w:val="left" w:pos="634"/>
              </w:tabs>
              <w:spacing w:after="40"/>
              <w:rPr>
                <w:rFonts w:eastAsia="Times New Roman" w:cs="Times New Roman"/>
              </w:rPr>
            </w:pPr>
            <w:r w:rsidRPr="000A7F54">
              <w:rPr>
                <w:rFonts w:eastAsia="Times New Roman" w:cs="Times New Roman"/>
              </w:rPr>
              <w:t xml:space="preserve">Email: </w:t>
            </w:r>
            <w:r w:rsidRPr="000A7F54">
              <w:rPr>
                <w:rFonts w:eastAsia="Times New Roman" w:cs="Times New Roman"/>
              </w:rPr>
              <w:tab/>
              <w:t>mark.salzer@temple.edu</w:t>
            </w:r>
          </w:p>
        </w:tc>
      </w:tr>
    </w:tbl>
    <w:p w14:paraId="616BE76C" w14:textId="77777777" w:rsidR="009963EB" w:rsidRDefault="009963EB" w:rsidP="0003189F"/>
    <w:p w14:paraId="449FA9CA" w14:textId="185A02D6" w:rsidR="00E64E81" w:rsidRPr="00287103" w:rsidRDefault="00043BE1" w:rsidP="00A32616">
      <w:pPr>
        <w:pStyle w:val="Heading2"/>
      </w:pPr>
      <w:r w:rsidRPr="001F42AB">
        <w:t>Payment to Respondents</w:t>
      </w:r>
    </w:p>
    <w:p w14:paraId="00F9B551" w14:textId="639EF66A" w:rsidR="00D77772" w:rsidRPr="000A7F54" w:rsidRDefault="00EB5B57" w:rsidP="00313372">
      <w:pPr>
        <w:rPr>
          <w:sz w:val="24"/>
          <w:szCs w:val="24"/>
        </w:rPr>
      </w:pPr>
      <w:r w:rsidRPr="000A7F54">
        <w:rPr>
          <w:bCs/>
          <w:sz w:val="24"/>
          <w:szCs w:val="24"/>
        </w:rPr>
        <w:t>F</w:t>
      </w:r>
      <w:r w:rsidR="00401B28" w:rsidRPr="000A7F54">
        <w:rPr>
          <w:bCs/>
          <w:sz w:val="24"/>
          <w:szCs w:val="24"/>
        </w:rPr>
        <w:t xml:space="preserve">ellows who agree to be interviewed will receive a </w:t>
      </w:r>
      <w:r w:rsidR="002744AB" w:rsidRPr="000A7F54">
        <w:rPr>
          <w:bCs/>
          <w:sz w:val="24"/>
          <w:szCs w:val="24"/>
        </w:rPr>
        <w:t xml:space="preserve">gift card respondent </w:t>
      </w:r>
      <w:r w:rsidR="00AF581E" w:rsidRPr="000A7F54">
        <w:rPr>
          <w:bCs/>
          <w:sz w:val="24"/>
          <w:szCs w:val="24"/>
        </w:rPr>
        <w:t>incentive</w:t>
      </w:r>
      <w:r w:rsidR="00401B28" w:rsidRPr="000A7F54">
        <w:rPr>
          <w:bCs/>
          <w:sz w:val="24"/>
          <w:szCs w:val="24"/>
        </w:rPr>
        <w:t xml:space="preserve"> worth a $</w:t>
      </w:r>
      <w:r w:rsidR="00E83B75" w:rsidRPr="000A7F54">
        <w:rPr>
          <w:bCs/>
          <w:sz w:val="24"/>
          <w:szCs w:val="24"/>
        </w:rPr>
        <w:t>3</w:t>
      </w:r>
      <w:r w:rsidR="00401B28" w:rsidRPr="000A7F54">
        <w:rPr>
          <w:bCs/>
          <w:sz w:val="24"/>
          <w:szCs w:val="24"/>
        </w:rPr>
        <w:t>0 value</w:t>
      </w:r>
      <w:r w:rsidR="007627AB">
        <w:rPr>
          <w:bCs/>
          <w:sz w:val="24"/>
          <w:szCs w:val="24"/>
        </w:rPr>
        <w:t xml:space="preserve">.  </w:t>
      </w:r>
      <w:r w:rsidR="00FD7400" w:rsidRPr="000A7F54">
        <w:rPr>
          <w:bCs/>
          <w:sz w:val="24"/>
          <w:szCs w:val="24"/>
        </w:rPr>
        <w:t>The fellowship alumni may be difficult to reach because they are</w:t>
      </w:r>
      <w:r w:rsidR="0054168C" w:rsidRPr="000A7F54">
        <w:rPr>
          <w:bCs/>
          <w:sz w:val="24"/>
          <w:szCs w:val="24"/>
        </w:rPr>
        <w:t xml:space="preserve"> new and typically young professionals who are</w:t>
      </w:r>
      <w:r w:rsidR="00FD7400" w:rsidRPr="000A7F54">
        <w:rPr>
          <w:bCs/>
          <w:sz w:val="24"/>
          <w:szCs w:val="24"/>
        </w:rPr>
        <w:t xml:space="preserve"> establishing their professional</w:t>
      </w:r>
      <w:r w:rsidR="0054168C" w:rsidRPr="000A7F54">
        <w:rPr>
          <w:bCs/>
          <w:sz w:val="24"/>
          <w:szCs w:val="24"/>
        </w:rPr>
        <w:t xml:space="preserve"> lives, which may entail frequent changes of workplace and residence</w:t>
      </w:r>
      <w:r w:rsidR="007627AB">
        <w:rPr>
          <w:bCs/>
          <w:sz w:val="24"/>
          <w:szCs w:val="24"/>
        </w:rPr>
        <w:t xml:space="preserve">.  </w:t>
      </w:r>
      <w:r w:rsidR="00313372" w:rsidRPr="000A7F54">
        <w:rPr>
          <w:bCs/>
          <w:sz w:val="24"/>
          <w:szCs w:val="24"/>
        </w:rPr>
        <w:t>Information from the NITT-MFP grantees suggests that the fellows have been a challenging population to reach following program completion</w:t>
      </w:r>
      <w:r w:rsidR="007627AB">
        <w:rPr>
          <w:bCs/>
          <w:sz w:val="24"/>
          <w:szCs w:val="24"/>
        </w:rPr>
        <w:t xml:space="preserve">.  </w:t>
      </w:r>
      <w:r w:rsidR="002744AB" w:rsidRPr="000A7F54">
        <w:rPr>
          <w:bCs/>
          <w:sz w:val="24"/>
          <w:szCs w:val="24"/>
        </w:rPr>
        <w:t>Respondents will not be penalized if they wish to skip questions or stop the interview.</w:t>
      </w:r>
    </w:p>
    <w:p w14:paraId="6BFC03D7" w14:textId="57C84404" w:rsidR="00962D43" w:rsidRPr="000A7F54" w:rsidRDefault="002744AB" w:rsidP="00E032F3">
      <w:pPr>
        <w:rPr>
          <w:sz w:val="24"/>
          <w:szCs w:val="24"/>
        </w:rPr>
      </w:pPr>
      <w:r w:rsidRPr="000A7F54">
        <w:rPr>
          <w:bCs/>
          <w:sz w:val="24"/>
          <w:szCs w:val="24"/>
        </w:rPr>
        <w:t xml:space="preserve"> </w:t>
      </w:r>
      <w:r w:rsidR="00E032F3" w:rsidRPr="000A7F54">
        <w:rPr>
          <w:bCs/>
          <w:sz w:val="24"/>
          <w:szCs w:val="24"/>
        </w:rPr>
        <w:t>R</w:t>
      </w:r>
      <w:r w:rsidRPr="000A7F54">
        <w:rPr>
          <w:bCs/>
          <w:sz w:val="24"/>
          <w:szCs w:val="24"/>
        </w:rPr>
        <w:t xml:space="preserve">esearch suggests that monetary </w:t>
      </w:r>
      <w:r w:rsidR="00AF581E" w:rsidRPr="000A7F54">
        <w:rPr>
          <w:bCs/>
          <w:sz w:val="24"/>
          <w:szCs w:val="24"/>
        </w:rPr>
        <w:t>incentives</w:t>
      </w:r>
      <w:r w:rsidR="00E31756" w:rsidRPr="000A7F54">
        <w:rPr>
          <w:bCs/>
          <w:sz w:val="24"/>
          <w:szCs w:val="24"/>
        </w:rPr>
        <w:t xml:space="preserve"> to respondents</w:t>
      </w:r>
      <w:r w:rsidRPr="000A7F54">
        <w:rPr>
          <w:bCs/>
          <w:sz w:val="24"/>
          <w:szCs w:val="24"/>
        </w:rPr>
        <w:t xml:space="preserve"> have a strong positive effect on response rates and no known adverse effect on reliability</w:t>
      </w:r>
      <w:r w:rsidR="007627AB">
        <w:rPr>
          <w:bCs/>
          <w:sz w:val="24"/>
          <w:szCs w:val="24"/>
        </w:rPr>
        <w:t xml:space="preserve">.  </w:t>
      </w:r>
      <w:r w:rsidRPr="000A7F54">
        <w:rPr>
          <w:bCs/>
          <w:sz w:val="24"/>
          <w:szCs w:val="24"/>
        </w:rPr>
        <w:t>Research has shown improved response rates when remuneration is offered to respondents</w:t>
      </w:r>
      <w:r w:rsidR="008F7255" w:rsidRPr="000A7F54">
        <w:rPr>
          <w:bCs/>
          <w:sz w:val="24"/>
          <w:szCs w:val="24"/>
        </w:rPr>
        <w:t xml:space="preserve"> (</w:t>
      </w:r>
      <w:r w:rsidR="00383B0E" w:rsidRPr="000A7F54">
        <w:rPr>
          <w:bCs/>
          <w:sz w:val="24"/>
          <w:szCs w:val="24"/>
        </w:rPr>
        <w:t>Eyerman</w:t>
      </w:r>
      <w:r w:rsidRPr="000A7F54">
        <w:rPr>
          <w:bCs/>
          <w:sz w:val="24"/>
          <w:szCs w:val="24"/>
        </w:rPr>
        <w:t>, Bowman, Butler, &amp;</w:t>
      </w:r>
      <w:r w:rsidR="00383B0E" w:rsidRPr="000A7F54">
        <w:rPr>
          <w:bCs/>
          <w:sz w:val="24"/>
          <w:szCs w:val="24"/>
        </w:rPr>
        <w:t xml:space="preserve"> Wright</w:t>
      </w:r>
      <w:r w:rsidRPr="000A7F54">
        <w:rPr>
          <w:bCs/>
          <w:sz w:val="24"/>
          <w:szCs w:val="24"/>
        </w:rPr>
        <w:t xml:space="preserve"> 2005)</w:t>
      </w:r>
      <w:r w:rsidR="00313372" w:rsidRPr="000A7F54">
        <w:rPr>
          <w:bCs/>
          <w:sz w:val="24"/>
          <w:szCs w:val="24"/>
        </w:rPr>
        <w:t>.</w:t>
      </w:r>
      <w:r w:rsidRPr="000A7F54">
        <w:rPr>
          <w:bCs/>
          <w:sz w:val="24"/>
          <w:szCs w:val="24"/>
        </w:rPr>
        <w:t xml:space="preserve"> </w:t>
      </w:r>
    </w:p>
    <w:p w14:paraId="4B5757DD" w14:textId="307A9678" w:rsidR="00E64E81" w:rsidRDefault="00043BE1" w:rsidP="00EC0E96">
      <w:pPr>
        <w:pStyle w:val="Heading2"/>
      </w:pPr>
      <w:r w:rsidRPr="001F42AB">
        <w:t>Assurance of Confidentiality</w:t>
      </w:r>
    </w:p>
    <w:p w14:paraId="0822A727" w14:textId="7225EC78" w:rsidR="004A6C35" w:rsidRPr="000A7F54" w:rsidRDefault="004A6C35" w:rsidP="004A6C35">
      <w:pPr>
        <w:rPr>
          <w:bCs/>
          <w:iCs/>
          <w:sz w:val="24"/>
          <w:szCs w:val="24"/>
        </w:rPr>
      </w:pPr>
      <w:r w:rsidRPr="000A7F54">
        <w:rPr>
          <w:bCs/>
          <w:iCs/>
          <w:sz w:val="24"/>
          <w:szCs w:val="24"/>
        </w:rPr>
        <w:t>Concern for privacy and protection of respondents’ rights will play a central part in the implementation of all study components</w:t>
      </w:r>
      <w:r w:rsidR="007627AB">
        <w:rPr>
          <w:bCs/>
          <w:iCs/>
          <w:sz w:val="24"/>
          <w:szCs w:val="24"/>
        </w:rPr>
        <w:t xml:space="preserve">.  </w:t>
      </w:r>
      <w:r w:rsidRPr="000A7F54">
        <w:rPr>
          <w:bCs/>
          <w:iCs/>
          <w:sz w:val="24"/>
          <w:szCs w:val="24"/>
        </w:rPr>
        <w:t>The NITT-MFP evaluation team members developing the instrument, conducting data collection, and analyzing the data have extensive experience protecting and maintaining the privacy of respondent data</w:t>
      </w:r>
      <w:r w:rsidR="007627AB">
        <w:rPr>
          <w:bCs/>
          <w:iCs/>
          <w:sz w:val="24"/>
          <w:szCs w:val="24"/>
        </w:rPr>
        <w:t xml:space="preserve">.  </w:t>
      </w:r>
      <w:r w:rsidRPr="000A7F54">
        <w:rPr>
          <w:bCs/>
          <w:iCs/>
          <w:sz w:val="24"/>
          <w:szCs w:val="24"/>
        </w:rPr>
        <w:t>All NITT-MFP data will be securely stored on a protected server</w:t>
      </w:r>
      <w:r w:rsidR="007627AB">
        <w:rPr>
          <w:bCs/>
          <w:iCs/>
          <w:sz w:val="24"/>
          <w:szCs w:val="24"/>
        </w:rPr>
        <w:t xml:space="preserve">.  </w:t>
      </w:r>
      <w:r w:rsidRPr="000A7F54">
        <w:rPr>
          <w:bCs/>
          <w:iCs/>
          <w:sz w:val="24"/>
          <w:szCs w:val="24"/>
        </w:rPr>
        <w:t xml:space="preserve">A SORN/PIA is currently being sought.  </w:t>
      </w:r>
    </w:p>
    <w:p w14:paraId="09AEFB71" w14:textId="5B3B473F" w:rsidR="002F04F2" w:rsidRPr="000A7F54" w:rsidRDefault="00D001B8" w:rsidP="007A5496">
      <w:pPr>
        <w:rPr>
          <w:sz w:val="24"/>
          <w:szCs w:val="24"/>
        </w:rPr>
      </w:pPr>
      <w:r w:rsidRPr="000A7F54">
        <w:rPr>
          <w:sz w:val="24"/>
          <w:szCs w:val="24"/>
        </w:rPr>
        <w:t>The</w:t>
      </w:r>
      <w:r w:rsidR="009E17CB" w:rsidRPr="000A7F54">
        <w:rPr>
          <w:sz w:val="24"/>
          <w:szCs w:val="24"/>
        </w:rPr>
        <w:t xml:space="preserve"> contractor will obtain </w:t>
      </w:r>
      <w:r w:rsidR="004B14A6" w:rsidRPr="000A7F54">
        <w:rPr>
          <w:sz w:val="24"/>
          <w:szCs w:val="24"/>
        </w:rPr>
        <w:t xml:space="preserve">from each of the NITT-MFP grantees </w:t>
      </w:r>
      <w:r w:rsidRPr="000A7F54">
        <w:rPr>
          <w:sz w:val="24"/>
          <w:szCs w:val="24"/>
        </w:rPr>
        <w:t xml:space="preserve">contact information for the fellows, including full name and e-mail address, to </w:t>
      </w:r>
      <w:r w:rsidR="002F04F2" w:rsidRPr="000A7F54">
        <w:rPr>
          <w:sz w:val="24"/>
          <w:szCs w:val="24"/>
        </w:rPr>
        <w:t xml:space="preserve">recruit </w:t>
      </w:r>
      <w:r w:rsidRPr="000A7F54">
        <w:rPr>
          <w:sz w:val="24"/>
          <w:szCs w:val="24"/>
        </w:rPr>
        <w:t>the fellows</w:t>
      </w:r>
      <w:r w:rsidR="002F04F2" w:rsidRPr="000A7F54">
        <w:rPr>
          <w:sz w:val="24"/>
          <w:szCs w:val="24"/>
        </w:rPr>
        <w:t xml:space="preserve"> for the </w:t>
      </w:r>
      <w:r w:rsidR="00C41E18" w:rsidRPr="000A7F54">
        <w:rPr>
          <w:sz w:val="24"/>
          <w:szCs w:val="24"/>
        </w:rPr>
        <w:t>NITT-</w:t>
      </w:r>
      <w:r w:rsidR="002F04F2" w:rsidRPr="000A7F54">
        <w:rPr>
          <w:sz w:val="24"/>
          <w:szCs w:val="24"/>
        </w:rPr>
        <w:t xml:space="preserve">MFP </w:t>
      </w:r>
      <w:r w:rsidR="00E032F3" w:rsidRPr="000A7F54">
        <w:rPr>
          <w:sz w:val="24"/>
          <w:szCs w:val="24"/>
        </w:rPr>
        <w:t>Interview</w:t>
      </w:r>
      <w:r w:rsidR="007627AB">
        <w:rPr>
          <w:sz w:val="24"/>
          <w:szCs w:val="24"/>
        </w:rPr>
        <w:t xml:space="preserve">.  </w:t>
      </w:r>
      <w:r w:rsidR="00E032F3" w:rsidRPr="000A7F54">
        <w:rPr>
          <w:sz w:val="24"/>
          <w:szCs w:val="24"/>
        </w:rPr>
        <w:t>Randomly selected f</w:t>
      </w:r>
      <w:r w:rsidRPr="000A7F54">
        <w:rPr>
          <w:sz w:val="24"/>
          <w:szCs w:val="24"/>
        </w:rPr>
        <w:t xml:space="preserve">ellows will be contacted through e-mail </w:t>
      </w:r>
      <w:r w:rsidR="00E032F3" w:rsidRPr="000A7F54">
        <w:rPr>
          <w:sz w:val="24"/>
          <w:szCs w:val="24"/>
        </w:rPr>
        <w:t>a</w:t>
      </w:r>
      <w:r w:rsidR="00E83B75" w:rsidRPr="000A7F54">
        <w:rPr>
          <w:sz w:val="24"/>
          <w:szCs w:val="24"/>
        </w:rPr>
        <w:t xml:space="preserve">bout 4 to 5 months after completion of their fellowship to complete the </w:t>
      </w:r>
      <w:r w:rsidR="00C41E18" w:rsidRPr="000A7F54">
        <w:rPr>
          <w:sz w:val="24"/>
          <w:szCs w:val="24"/>
        </w:rPr>
        <w:t>NITT-</w:t>
      </w:r>
      <w:r w:rsidR="00E83B75" w:rsidRPr="000A7F54">
        <w:rPr>
          <w:sz w:val="24"/>
          <w:szCs w:val="24"/>
        </w:rPr>
        <w:t>MFP Fellow Interview</w:t>
      </w:r>
      <w:r w:rsidR="007627AB">
        <w:rPr>
          <w:sz w:val="24"/>
          <w:szCs w:val="24"/>
        </w:rPr>
        <w:t xml:space="preserve">.  </w:t>
      </w:r>
      <w:r w:rsidR="00E83B75" w:rsidRPr="000A7F54">
        <w:rPr>
          <w:sz w:val="24"/>
          <w:szCs w:val="24"/>
        </w:rPr>
        <w:t xml:space="preserve">If the fellow agrees to participate, the </w:t>
      </w:r>
      <w:r w:rsidR="00C41E18" w:rsidRPr="000A7F54">
        <w:rPr>
          <w:sz w:val="24"/>
          <w:szCs w:val="24"/>
        </w:rPr>
        <w:t>NITT-</w:t>
      </w:r>
      <w:r w:rsidR="00E83B75" w:rsidRPr="000A7F54">
        <w:rPr>
          <w:sz w:val="24"/>
          <w:szCs w:val="24"/>
        </w:rPr>
        <w:t>MFP Fellow Interview will be completed by telephone</w:t>
      </w:r>
      <w:r w:rsidR="007627AB">
        <w:rPr>
          <w:sz w:val="24"/>
          <w:szCs w:val="24"/>
        </w:rPr>
        <w:t xml:space="preserve">.  </w:t>
      </w:r>
      <w:r w:rsidR="00E83B75" w:rsidRPr="000A7F54">
        <w:rPr>
          <w:sz w:val="24"/>
          <w:szCs w:val="24"/>
        </w:rPr>
        <w:t>Respondents will be asked for their consent to record the interview</w:t>
      </w:r>
      <w:r w:rsidR="007627AB">
        <w:rPr>
          <w:sz w:val="24"/>
          <w:szCs w:val="24"/>
        </w:rPr>
        <w:t xml:space="preserve">.  </w:t>
      </w:r>
      <w:r w:rsidR="00E83B75" w:rsidRPr="000A7F54">
        <w:rPr>
          <w:sz w:val="24"/>
          <w:szCs w:val="24"/>
        </w:rPr>
        <w:t>Recordings will be used to ensure that information is correctly captured and to correct and clarify brief written notes as needed and as part of data quality assurance procedures</w:t>
      </w:r>
      <w:r w:rsidR="007627AB">
        <w:rPr>
          <w:sz w:val="24"/>
          <w:szCs w:val="24"/>
        </w:rPr>
        <w:t xml:space="preserve">.  </w:t>
      </w:r>
      <w:r w:rsidR="00E83B75" w:rsidRPr="000A7F54">
        <w:rPr>
          <w:sz w:val="24"/>
          <w:szCs w:val="24"/>
        </w:rPr>
        <w:t>Recordings will only be accessible to the contractor and will be stored on password-protected secure servers and destroyed once de-identified notes are completed</w:t>
      </w:r>
      <w:r w:rsidR="007627AB">
        <w:rPr>
          <w:sz w:val="24"/>
          <w:szCs w:val="24"/>
        </w:rPr>
        <w:t xml:space="preserve">.  </w:t>
      </w:r>
      <w:r w:rsidR="007A5496" w:rsidRPr="000A7F54">
        <w:rPr>
          <w:sz w:val="24"/>
          <w:szCs w:val="24"/>
        </w:rPr>
        <w:t>All contact information will be stored separately from other data collected and will be accessible only to select NITT-MFP evaluation staff.</w:t>
      </w:r>
      <w:r w:rsidR="00E83B75" w:rsidRPr="000A7F54">
        <w:rPr>
          <w:sz w:val="24"/>
          <w:szCs w:val="24"/>
        </w:rPr>
        <w:t xml:space="preserve"> </w:t>
      </w:r>
    </w:p>
    <w:p w14:paraId="4FA99049" w14:textId="6DB21981" w:rsidR="00EC715F" w:rsidRPr="000A7F54" w:rsidRDefault="00EC715F" w:rsidP="00210354">
      <w:pPr>
        <w:rPr>
          <w:sz w:val="24"/>
          <w:szCs w:val="24"/>
        </w:rPr>
      </w:pPr>
      <w:r w:rsidRPr="000A7F54">
        <w:rPr>
          <w:sz w:val="24"/>
          <w:szCs w:val="24"/>
        </w:rPr>
        <w:t xml:space="preserve">The </w:t>
      </w:r>
      <w:r w:rsidR="005A36EC" w:rsidRPr="000A7F54">
        <w:rPr>
          <w:sz w:val="24"/>
          <w:szCs w:val="24"/>
        </w:rPr>
        <w:t>evaluation contractor</w:t>
      </w:r>
      <w:r w:rsidR="00DC3D35" w:rsidRPr="000A7F54">
        <w:rPr>
          <w:sz w:val="24"/>
          <w:szCs w:val="24"/>
        </w:rPr>
        <w:t>’s</w:t>
      </w:r>
      <w:r w:rsidR="005A36EC" w:rsidRPr="000A7F54">
        <w:rPr>
          <w:sz w:val="24"/>
          <w:szCs w:val="24"/>
        </w:rPr>
        <w:t xml:space="preserve"> </w:t>
      </w:r>
      <w:r w:rsidRPr="000A7F54">
        <w:rPr>
          <w:sz w:val="24"/>
          <w:szCs w:val="24"/>
        </w:rPr>
        <w:t>NITT-MFP systems development team takes responsibility for ensuring that the data system is properly maintained and monitored</w:t>
      </w:r>
      <w:r w:rsidR="007627AB">
        <w:rPr>
          <w:sz w:val="24"/>
          <w:szCs w:val="24"/>
        </w:rPr>
        <w:t xml:space="preserve">.  </w:t>
      </w:r>
      <w:r w:rsidRPr="000A7F54">
        <w:rPr>
          <w:sz w:val="24"/>
          <w:szCs w:val="24"/>
        </w:rPr>
        <w:t>Server staff will follow standard procedures for applying security patches and conducting routine maintenance for system updates</w:t>
      </w:r>
      <w:r w:rsidR="007627AB">
        <w:rPr>
          <w:sz w:val="24"/>
          <w:szCs w:val="24"/>
        </w:rPr>
        <w:t xml:space="preserve">.  </w:t>
      </w:r>
      <w:r w:rsidRPr="000A7F54">
        <w:rPr>
          <w:sz w:val="24"/>
          <w:szCs w:val="24"/>
        </w:rPr>
        <w:t xml:space="preserve">Data will be stored on a password-protected server, and access to data in the system will be handled by a hierarchy of user roles, with each role conferring only the minimum access to system data needed to perform the necessary functions of the role. </w:t>
      </w:r>
    </w:p>
    <w:p w14:paraId="3EB414FD" w14:textId="050483A2" w:rsidR="00D001B8" w:rsidRPr="000A7F54" w:rsidRDefault="00D001B8" w:rsidP="00DC3D35">
      <w:pPr>
        <w:rPr>
          <w:sz w:val="24"/>
          <w:szCs w:val="24"/>
        </w:rPr>
      </w:pPr>
      <w:r w:rsidRPr="000A7F54">
        <w:rPr>
          <w:sz w:val="24"/>
          <w:szCs w:val="24"/>
        </w:rPr>
        <w:t xml:space="preserve">For all data collection activities, the contractor will use passwords to safeguard all project directories and analysis files containing </w:t>
      </w:r>
      <w:r w:rsidR="00E032F3" w:rsidRPr="000A7F54">
        <w:rPr>
          <w:sz w:val="24"/>
          <w:szCs w:val="24"/>
        </w:rPr>
        <w:t>interview</w:t>
      </w:r>
      <w:r w:rsidRPr="000A7F54">
        <w:rPr>
          <w:sz w:val="24"/>
          <w:szCs w:val="24"/>
        </w:rPr>
        <w:t xml:space="preserve"> data to ensure that there is no inadvertent disclosure of study data</w:t>
      </w:r>
      <w:r w:rsidR="007627AB">
        <w:rPr>
          <w:sz w:val="24"/>
          <w:szCs w:val="24"/>
        </w:rPr>
        <w:t xml:space="preserve">.  </w:t>
      </w:r>
      <w:r w:rsidRPr="000A7F54">
        <w:rPr>
          <w:sz w:val="24"/>
          <w:szCs w:val="24"/>
        </w:rPr>
        <w:t>Contractor staff will also be trained on handling sensitive data and the importance of privacy</w:t>
      </w:r>
      <w:r w:rsidR="007627AB">
        <w:rPr>
          <w:sz w:val="24"/>
          <w:szCs w:val="24"/>
        </w:rPr>
        <w:t xml:space="preserve">.  </w:t>
      </w:r>
      <w:r w:rsidRPr="000A7F54">
        <w:rPr>
          <w:sz w:val="24"/>
          <w:szCs w:val="24"/>
        </w:rPr>
        <w:t>All contractor staff will sign a p</w:t>
      </w:r>
      <w:r w:rsidR="00D41551" w:rsidRPr="000A7F54">
        <w:rPr>
          <w:sz w:val="24"/>
          <w:szCs w:val="24"/>
        </w:rPr>
        <w:t>rivacy pledge</w:t>
      </w:r>
      <w:r w:rsidR="007627AB">
        <w:rPr>
          <w:sz w:val="24"/>
          <w:szCs w:val="24"/>
        </w:rPr>
        <w:t xml:space="preserve">.  </w:t>
      </w:r>
      <w:r w:rsidRPr="000A7F54">
        <w:rPr>
          <w:sz w:val="24"/>
          <w:szCs w:val="24"/>
        </w:rPr>
        <w:t xml:space="preserve">In keeping with 45 CFR 46, Protection </w:t>
      </w:r>
      <w:r w:rsidR="00D41551" w:rsidRPr="000A7F54">
        <w:rPr>
          <w:sz w:val="24"/>
          <w:szCs w:val="24"/>
        </w:rPr>
        <w:t xml:space="preserve">of Human Subjects, </w:t>
      </w:r>
      <w:r w:rsidR="00021F9D" w:rsidRPr="000A7F54">
        <w:rPr>
          <w:sz w:val="24"/>
          <w:szCs w:val="24"/>
        </w:rPr>
        <w:t>N</w:t>
      </w:r>
      <w:r w:rsidR="00D41551" w:rsidRPr="000A7F54">
        <w:rPr>
          <w:sz w:val="24"/>
          <w:szCs w:val="24"/>
        </w:rPr>
        <w:t>ITT-MFP</w:t>
      </w:r>
      <w:r w:rsidRPr="000A7F54">
        <w:rPr>
          <w:sz w:val="24"/>
          <w:szCs w:val="24"/>
        </w:rPr>
        <w:t xml:space="preserve"> procedures for data collection, consent, and data maintenance are formulated to protect respondents’ rights and the privacy of information collected</w:t>
      </w:r>
      <w:r w:rsidR="007627AB">
        <w:rPr>
          <w:sz w:val="24"/>
          <w:szCs w:val="24"/>
        </w:rPr>
        <w:t xml:space="preserve">.  </w:t>
      </w:r>
      <w:r w:rsidRPr="000A7F54">
        <w:rPr>
          <w:sz w:val="24"/>
          <w:szCs w:val="24"/>
        </w:rPr>
        <w:t>Strict procedures will be followed for protecting the privacy of respondents’ information and for obtaining their informed consent.</w:t>
      </w:r>
    </w:p>
    <w:p w14:paraId="15A70E46" w14:textId="776A4F3C" w:rsidR="000F51C7" w:rsidRPr="000A7F54" w:rsidRDefault="00D41551" w:rsidP="00021F9D">
      <w:pPr>
        <w:rPr>
          <w:sz w:val="24"/>
          <w:szCs w:val="24"/>
        </w:rPr>
      </w:pPr>
      <w:r w:rsidRPr="000A7F54">
        <w:rPr>
          <w:sz w:val="24"/>
          <w:szCs w:val="24"/>
        </w:rPr>
        <w:t xml:space="preserve">Data from the </w:t>
      </w:r>
      <w:r w:rsidR="00021F9D" w:rsidRPr="000A7F54">
        <w:rPr>
          <w:sz w:val="24"/>
          <w:szCs w:val="24"/>
        </w:rPr>
        <w:t>N</w:t>
      </w:r>
      <w:r w:rsidRPr="000A7F54">
        <w:rPr>
          <w:sz w:val="24"/>
          <w:szCs w:val="24"/>
        </w:rPr>
        <w:t xml:space="preserve">ITT-MFP </w:t>
      </w:r>
      <w:r w:rsidR="00D001B8" w:rsidRPr="000A7F54">
        <w:rPr>
          <w:sz w:val="24"/>
          <w:szCs w:val="24"/>
        </w:rPr>
        <w:t>interviews will be safeguarded in compliance with the Privacy Act of 1974 (5 U.S.C. 552a)</w:t>
      </w:r>
      <w:r w:rsidR="007627AB">
        <w:rPr>
          <w:sz w:val="24"/>
          <w:szCs w:val="24"/>
        </w:rPr>
        <w:t xml:space="preserve">.  </w:t>
      </w:r>
      <w:r w:rsidR="00D001B8" w:rsidRPr="000A7F54">
        <w:rPr>
          <w:sz w:val="24"/>
          <w:szCs w:val="24"/>
        </w:rPr>
        <w:t>The privacy of data records will be explained to all respondents during the consent process and in the consent forms.</w:t>
      </w:r>
    </w:p>
    <w:p w14:paraId="44DB42A2" w14:textId="77777777" w:rsidR="000F51C7" w:rsidRDefault="00043BE1" w:rsidP="000F51C7">
      <w:pPr>
        <w:pStyle w:val="Heading2"/>
      </w:pPr>
      <w:r w:rsidRPr="001F42AB">
        <w:t>Questions of a Sensitive Nature</w:t>
      </w:r>
    </w:p>
    <w:p w14:paraId="2AC2ED44" w14:textId="0D30F8E9" w:rsidR="000F51C7" w:rsidRPr="000A7F54" w:rsidRDefault="00B76D93" w:rsidP="00C41E18">
      <w:pPr>
        <w:rPr>
          <w:sz w:val="24"/>
          <w:szCs w:val="24"/>
        </w:rPr>
      </w:pPr>
      <w:r w:rsidRPr="000A7F54">
        <w:rPr>
          <w:sz w:val="24"/>
          <w:szCs w:val="24"/>
        </w:rPr>
        <w:t>No questions of a sensitive nature are being asked through</w:t>
      </w:r>
      <w:r w:rsidR="00321A8A" w:rsidRPr="000A7F54">
        <w:rPr>
          <w:sz w:val="24"/>
          <w:szCs w:val="24"/>
        </w:rPr>
        <w:t xml:space="preserve"> the </w:t>
      </w:r>
      <w:r w:rsidR="00C41E18" w:rsidRPr="000A7F54">
        <w:rPr>
          <w:sz w:val="24"/>
          <w:szCs w:val="24"/>
        </w:rPr>
        <w:t>NITT-</w:t>
      </w:r>
      <w:r w:rsidR="00321A8A" w:rsidRPr="000A7F54">
        <w:rPr>
          <w:sz w:val="24"/>
          <w:szCs w:val="24"/>
        </w:rPr>
        <w:t>MFP Fellow Interview</w:t>
      </w:r>
      <w:r w:rsidR="00321A8A" w:rsidRPr="000A7F54">
        <w:rPr>
          <w:i/>
          <w:iCs/>
          <w:sz w:val="24"/>
          <w:szCs w:val="24"/>
        </w:rPr>
        <w:t>.</w:t>
      </w:r>
      <w:r w:rsidR="00C7172B" w:rsidRPr="000A7F54">
        <w:rPr>
          <w:sz w:val="24"/>
          <w:szCs w:val="24"/>
        </w:rPr>
        <w:t xml:space="preserve"> </w:t>
      </w:r>
    </w:p>
    <w:p w14:paraId="13150294" w14:textId="77777777" w:rsidR="000F51C7" w:rsidRDefault="00043BE1" w:rsidP="000F51C7">
      <w:pPr>
        <w:pStyle w:val="Heading2"/>
      </w:pPr>
      <w:r w:rsidRPr="001F42AB">
        <w:t>Estimates of Annualized Hour Burden</w:t>
      </w:r>
    </w:p>
    <w:p w14:paraId="4C544BED" w14:textId="732D1F26" w:rsidR="00342376" w:rsidRPr="00210D3C" w:rsidRDefault="00E06987" w:rsidP="000A7F54">
      <w:pPr>
        <w:rPr>
          <w:sz w:val="24"/>
          <w:szCs w:val="24"/>
        </w:rPr>
      </w:pPr>
      <w:r w:rsidRPr="00210D3C">
        <w:rPr>
          <w:sz w:val="24"/>
          <w:szCs w:val="24"/>
        </w:rPr>
        <w:t xml:space="preserve">For the </w:t>
      </w:r>
      <w:r w:rsidR="00CD06A9" w:rsidRPr="00210D3C">
        <w:rPr>
          <w:sz w:val="24"/>
          <w:szCs w:val="24"/>
        </w:rPr>
        <w:t>NITT-</w:t>
      </w:r>
      <w:r w:rsidR="00D93B4A" w:rsidRPr="00210D3C">
        <w:rPr>
          <w:sz w:val="24"/>
          <w:szCs w:val="24"/>
        </w:rPr>
        <w:t>MFP Fellow Interview</w:t>
      </w:r>
      <w:r w:rsidRPr="00210D3C">
        <w:rPr>
          <w:sz w:val="24"/>
          <w:szCs w:val="24"/>
        </w:rPr>
        <w:t>,</w:t>
      </w:r>
      <w:r w:rsidR="00A757C3" w:rsidRPr="00210D3C">
        <w:rPr>
          <w:sz w:val="24"/>
          <w:szCs w:val="24"/>
        </w:rPr>
        <w:t xml:space="preserve"> </w:t>
      </w:r>
      <w:r w:rsidRPr="00210D3C">
        <w:rPr>
          <w:sz w:val="24"/>
          <w:szCs w:val="24"/>
        </w:rPr>
        <w:t>a</w:t>
      </w:r>
      <w:r w:rsidR="00A757C3" w:rsidRPr="00210D3C">
        <w:rPr>
          <w:sz w:val="24"/>
          <w:szCs w:val="24"/>
        </w:rPr>
        <w:t xml:space="preserve"> maximum of </w:t>
      </w:r>
      <w:r w:rsidR="000A7F54" w:rsidRPr="00210D3C">
        <w:rPr>
          <w:sz w:val="24"/>
          <w:szCs w:val="24"/>
        </w:rPr>
        <w:t>6</w:t>
      </w:r>
      <w:r w:rsidR="00DD1447" w:rsidRPr="00210D3C">
        <w:rPr>
          <w:sz w:val="24"/>
          <w:szCs w:val="24"/>
        </w:rPr>
        <w:t>6</w:t>
      </w:r>
      <w:r w:rsidR="00D93B4A" w:rsidRPr="00210D3C">
        <w:rPr>
          <w:sz w:val="24"/>
          <w:szCs w:val="24"/>
        </w:rPr>
        <w:t xml:space="preserve"> </w:t>
      </w:r>
      <w:r w:rsidR="00A757C3" w:rsidRPr="00210D3C">
        <w:rPr>
          <w:sz w:val="24"/>
          <w:szCs w:val="24"/>
        </w:rPr>
        <w:t>fellows (</w:t>
      </w:r>
      <w:r w:rsidR="007A643E" w:rsidRPr="00210D3C">
        <w:rPr>
          <w:sz w:val="24"/>
          <w:szCs w:val="24"/>
        </w:rPr>
        <w:t>10</w:t>
      </w:r>
      <w:r w:rsidR="002C4418" w:rsidRPr="00210D3C">
        <w:rPr>
          <w:sz w:val="24"/>
          <w:szCs w:val="24"/>
        </w:rPr>
        <w:t xml:space="preserve"> </w:t>
      </w:r>
      <w:r w:rsidR="00D93B4A" w:rsidRPr="00210D3C">
        <w:rPr>
          <w:sz w:val="24"/>
          <w:szCs w:val="24"/>
        </w:rPr>
        <w:t xml:space="preserve">fellows </w:t>
      </w:r>
      <w:r w:rsidR="00374B68" w:rsidRPr="00210D3C">
        <w:rPr>
          <w:sz w:val="24"/>
          <w:szCs w:val="24"/>
        </w:rPr>
        <w:t>per</w:t>
      </w:r>
      <w:r w:rsidR="007A643E" w:rsidRPr="00210D3C">
        <w:rPr>
          <w:sz w:val="24"/>
          <w:szCs w:val="24"/>
        </w:rPr>
        <w:t xml:space="preserve"> 5 MFP-Y grantees and 8</w:t>
      </w:r>
      <w:r w:rsidR="00D93B4A" w:rsidRPr="00210D3C">
        <w:rPr>
          <w:sz w:val="24"/>
          <w:szCs w:val="24"/>
        </w:rPr>
        <w:t xml:space="preserve"> </w:t>
      </w:r>
      <w:r w:rsidR="007A643E" w:rsidRPr="00210D3C">
        <w:rPr>
          <w:sz w:val="24"/>
          <w:szCs w:val="24"/>
        </w:rPr>
        <w:t xml:space="preserve">fellows per 2 MFP-AC </w:t>
      </w:r>
      <w:r w:rsidR="00D93B4A" w:rsidRPr="00210D3C">
        <w:rPr>
          <w:sz w:val="24"/>
          <w:szCs w:val="24"/>
        </w:rPr>
        <w:t>grantees) will</w:t>
      </w:r>
      <w:r w:rsidR="00A757C3" w:rsidRPr="00210D3C">
        <w:rPr>
          <w:sz w:val="24"/>
          <w:szCs w:val="24"/>
        </w:rPr>
        <w:t xml:space="preserve"> be interviewed</w:t>
      </w:r>
      <w:r w:rsidR="00374B68" w:rsidRPr="00210D3C">
        <w:rPr>
          <w:sz w:val="24"/>
          <w:szCs w:val="24"/>
        </w:rPr>
        <w:t xml:space="preserve"> per year</w:t>
      </w:r>
      <w:r w:rsidR="007627AB">
        <w:rPr>
          <w:sz w:val="24"/>
          <w:szCs w:val="24"/>
        </w:rPr>
        <w:t xml:space="preserve">.  </w:t>
      </w:r>
      <w:r w:rsidR="00A757C3" w:rsidRPr="00210D3C">
        <w:rPr>
          <w:sz w:val="24"/>
          <w:szCs w:val="24"/>
        </w:rPr>
        <w:t>The interview</w:t>
      </w:r>
      <w:r w:rsidR="002C4418" w:rsidRPr="00210D3C">
        <w:rPr>
          <w:sz w:val="24"/>
          <w:szCs w:val="24"/>
        </w:rPr>
        <w:t xml:space="preserve"> will be completed one time </w:t>
      </w:r>
      <w:r w:rsidR="00383B0E" w:rsidRPr="00210D3C">
        <w:rPr>
          <w:sz w:val="24"/>
          <w:szCs w:val="24"/>
        </w:rPr>
        <w:t>following fellowship completion</w:t>
      </w:r>
      <w:r w:rsidR="007627AB">
        <w:rPr>
          <w:sz w:val="24"/>
          <w:szCs w:val="24"/>
        </w:rPr>
        <w:t xml:space="preserve">.  </w:t>
      </w:r>
      <w:r w:rsidR="00383B0E" w:rsidRPr="00210D3C">
        <w:rPr>
          <w:sz w:val="24"/>
          <w:szCs w:val="24"/>
        </w:rPr>
        <w:t xml:space="preserve">The interview </w:t>
      </w:r>
      <w:r w:rsidR="002C4418" w:rsidRPr="00210D3C">
        <w:rPr>
          <w:sz w:val="24"/>
          <w:szCs w:val="24"/>
        </w:rPr>
        <w:t>is</w:t>
      </w:r>
      <w:r w:rsidR="00210354" w:rsidRPr="00210D3C">
        <w:rPr>
          <w:sz w:val="24"/>
          <w:szCs w:val="24"/>
        </w:rPr>
        <w:t xml:space="preserve"> estimated</w:t>
      </w:r>
      <w:r w:rsidR="00A757C3" w:rsidRPr="00210D3C">
        <w:rPr>
          <w:sz w:val="24"/>
          <w:szCs w:val="24"/>
        </w:rPr>
        <w:t xml:space="preserve"> to last one hour</w:t>
      </w:r>
      <w:r w:rsidR="003D7343" w:rsidRPr="00210D3C">
        <w:rPr>
          <w:sz w:val="24"/>
          <w:szCs w:val="24"/>
        </w:rPr>
        <w:t>, including time for consent</w:t>
      </w:r>
      <w:r w:rsidR="007627AB">
        <w:rPr>
          <w:sz w:val="24"/>
          <w:szCs w:val="24"/>
        </w:rPr>
        <w:t xml:space="preserve">.  </w:t>
      </w:r>
      <w:r w:rsidR="00210354" w:rsidRPr="00210D3C">
        <w:rPr>
          <w:sz w:val="24"/>
          <w:szCs w:val="24"/>
        </w:rPr>
        <w:t>The estimated burden time is based on the evaluation team’s expectations of the time required to conduct these interviews</w:t>
      </w:r>
      <w:r w:rsidR="007627AB">
        <w:rPr>
          <w:sz w:val="24"/>
          <w:szCs w:val="24"/>
        </w:rPr>
        <w:t xml:space="preserve">.  </w:t>
      </w:r>
      <w:r w:rsidR="00210354" w:rsidRPr="00210D3C">
        <w:rPr>
          <w:sz w:val="24"/>
          <w:szCs w:val="24"/>
        </w:rPr>
        <w:t>Actual interview lengths may vary, but they will not exceed the burden estimate</w:t>
      </w:r>
      <w:r w:rsidR="007627AB">
        <w:rPr>
          <w:sz w:val="24"/>
          <w:szCs w:val="24"/>
        </w:rPr>
        <w:t xml:space="preserve">.  </w:t>
      </w:r>
      <w:r w:rsidRPr="00210D3C">
        <w:rPr>
          <w:sz w:val="24"/>
          <w:szCs w:val="24"/>
        </w:rPr>
        <w:t>There are no direct costs to respondents other than their time to complete the interview</w:t>
      </w:r>
      <w:r w:rsidR="007627AB">
        <w:rPr>
          <w:sz w:val="24"/>
          <w:szCs w:val="24"/>
        </w:rPr>
        <w:t xml:space="preserve">.  </w:t>
      </w:r>
      <w:r w:rsidRPr="00210D3C">
        <w:rPr>
          <w:b/>
          <w:i/>
          <w:sz w:val="24"/>
          <w:szCs w:val="24"/>
        </w:rPr>
        <w:t>Table 5</w:t>
      </w:r>
      <w:r w:rsidRPr="00210D3C">
        <w:rPr>
          <w:sz w:val="24"/>
          <w:szCs w:val="24"/>
        </w:rPr>
        <w:t xml:space="preserve"> provides the number of annual respondents, number of responses, burden, and cost details for the fellow interview</w:t>
      </w:r>
      <w:r w:rsidR="007627AB">
        <w:rPr>
          <w:sz w:val="24"/>
          <w:szCs w:val="24"/>
        </w:rPr>
        <w:t xml:space="preserve">.  </w:t>
      </w:r>
      <w:r w:rsidRPr="00210D3C">
        <w:rPr>
          <w:sz w:val="24"/>
          <w:szCs w:val="24"/>
        </w:rPr>
        <w:t xml:space="preserve">Respondent costs are calculated as total burden hours × the average hourly wage for </w:t>
      </w:r>
      <w:r w:rsidR="00C462EF" w:rsidRPr="00210D3C">
        <w:rPr>
          <w:sz w:val="24"/>
          <w:szCs w:val="24"/>
        </w:rPr>
        <w:t>community and social service occupations</w:t>
      </w:r>
      <w:r w:rsidRPr="00210D3C">
        <w:rPr>
          <w:sz w:val="24"/>
          <w:szCs w:val="24"/>
        </w:rPr>
        <w:t xml:space="preserve"> (as reported in the 2014 Occupational Employment Statistics by the Bureau of Labor Statistics)</w:t>
      </w:r>
      <w:r w:rsidR="00C462EF" w:rsidRPr="00210D3C">
        <w:rPr>
          <w:sz w:val="24"/>
          <w:szCs w:val="24"/>
        </w:rPr>
        <w:t>, which include occupations like substance abuse and behavioral disorder counselors, mental health counselors, mental health and substance abuse social workers, etc</w:t>
      </w:r>
      <w:r w:rsidRPr="00210D3C">
        <w:rPr>
          <w:sz w:val="24"/>
          <w:szCs w:val="24"/>
        </w:rPr>
        <w:t>.</w:t>
      </w:r>
    </w:p>
    <w:p w14:paraId="6DC1CA71" w14:textId="6F670C11" w:rsidR="00B533C1" w:rsidRPr="00892D9F" w:rsidRDefault="009F55BD" w:rsidP="00892D9F">
      <w:pPr>
        <w:pStyle w:val="ExhibitTitle"/>
      </w:pPr>
      <w:r w:rsidRPr="00892D9F">
        <w:t>Table</w:t>
      </w:r>
      <w:r w:rsidR="003D1102" w:rsidRPr="00892D9F">
        <w:t xml:space="preserve"> </w:t>
      </w:r>
      <w:r w:rsidR="005B777C" w:rsidRPr="00892D9F">
        <w:t>5</w:t>
      </w:r>
      <w:r w:rsidR="00F342DF" w:rsidRPr="00892D9F">
        <w:t>.</w:t>
      </w:r>
      <w:r w:rsidR="00F342DF" w:rsidRPr="00892D9F">
        <w:tab/>
      </w:r>
      <w:r w:rsidR="003D1102" w:rsidRPr="00892D9F">
        <w:t>Annual</w:t>
      </w:r>
      <w:r w:rsidR="00576A95" w:rsidRPr="00892D9F">
        <w:t>ized Data Collection</w:t>
      </w:r>
      <w:r w:rsidR="003D1102" w:rsidRPr="00892D9F">
        <w:t xml:space="preserve"> Burden</w:t>
      </w:r>
    </w:p>
    <w:tbl>
      <w:tblPr>
        <w:tblW w:w="9576"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1965"/>
        <w:gridCol w:w="1260"/>
        <w:gridCol w:w="1257"/>
        <w:gridCol w:w="1173"/>
        <w:gridCol w:w="977"/>
        <w:gridCol w:w="820"/>
        <w:gridCol w:w="900"/>
        <w:gridCol w:w="1224"/>
      </w:tblGrid>
      <w:tr w:rsidR="004C7B79" w:rsidRPr="000A7F54" w14:paraId="29D6D4FE" w14:textId="77777777" w:rsidTr="000A7F54">
        <w:trPr>
          <w:cantSplit/>
        </w:trPr>
        <w:tc>
          <w:tcPr>
            <w:tcW w:w="1965" w:type="dxa"/>
            <w:tcBorders>
              <w:top w:val="single" w:sz="12" w:space="0" w:color="auto"/>
              <w:left w:val="single" w:sz="12" w:space="0" w:color="auto"/>
              <w:bottom w:val="single" w:sz="4" w:space="0" w:color="auto"/>
            </w:tcBorders>
            <w:shd w:val="clear" w:color="auto" w:fill="DBE5F1" w:themeFill="accent1" w:themeFillTint="33"/>
            <w:vAlign w:val="bottom"/>
          </w:tcPr>
          <w:p w14:paraId="3E802FFC" w14:textId="77777777" w:rsidR="004C7B79" w:rsidRPr="000A7F54" w:rsidRDefault="004C7B79" w:rsidP="00F342DF">
            <w:pPr>
              <w:keepNext/>
              <w:spacing w:after="0"/>
              <w:rPr>
                <w:rFonts w:cs="Times New Roman"/>
                <w:b/>
              </w:rPr>
            </w:pPr>
            <w:r w:rsidRPr="000A7F54">
              <w:rPr>
                <w:rFonts w:cs="Times New Roman"/>
                <w:b/>
              </w:rPr>
              <w:t>Instrument</w:t>
            </w:r>
          </w:p>
        </w:tc>
        <w:tc>
          <w:tcPr>
            <w:tcW w:w="1260" w:type="dxa"/>
            <w:tcBorders>
              <w:top w:val="single" w:sz="12" w:space="0" w:color="auto"/>
              <w:bottom w:val="single" w:sz="4" w:space="0" w:color="auto"/>
            </w:tcBorders>
            <w:shd w:val="clear" w:color="auto" w:fill="DBE5F1" w:themeFill="accent1" w:themeFillTint="33"/>
            <w:tcMar>
              <w:left w:w="29" w:type="dxa"/>
              <w:right w:w="29" w:type="dxa"/>
            </w:tcMar>
            <w:vAlign w:val="bottom"/>
          </w:tcPr>
          <w:p w14:paraId="56BDB5C8" w14:textId="77777777" w:rsidR="004C7B79" w:rsidRPr="000A7F54" w:rsidRDefault="004C7B79" w:rsidP="00C06473">
            <w:pPr>
              <w:keepNext/>
              <w:spacing w:after="0"/>
              <w:jc w:val="center"/>
              <w:rPr>
                <w:rFonts w:cs="Times New Roman"/>
                <w:b/>
                <w:bCs/>
              </w:rPr>
            </w:pPr>
            <w:r w:rsidRPr="000A7F54">
              <w:rPr>
                <w:rFonts w:cs="Times New Roman"/>
                <w:b/>
                <w:bCs/>
              </w:rPr>
              <w:t>Number of Respondents</w:t>
            </w:r>
          </w:p>
        </w:tc>
        <w:tc>
          <w:tcPr>
            <w:tcW w:w="1257" w:type="dxa"/>
            <w:tcBorders>
              <w:top w:val="single" w:sz="12" w:space="0" w:color="auto"/>
              <w:bottom w:val="single" w:sz="4" w:space="0" w:color="auto"/>
            </w:tcBorders>
            <w:shd w:val="clear" w:color="auto" w:fill="DBE5F1" w:themeFill="accent1" w:themeFillTint="33"/>
            <w:tcMar>
              <w:left w:w="29" w:type="dxa"/>
              <w:right w:w="29" w:type="dxa"/>
            </w:tcMar>
            <w:vAlign w:val="bottom"/>
          </w:tcPr>
          <w:p w14:paraId="46F38E53" w14:textId="77777777" w:rsidR="004C7B79" w:rsidRPr="000A7F54" w:rsidRDefault="004C7B79" w:rsidP="00C06473">
            <w:pPr>
              <w:keepNext/>
              <w:spacing w:after="0"/>
              <w:jc w:val="center"/>
              <w:rPr>
                <w:rFonts w:cs="Times New Roman"/>
                <w:b/>
                <w:bCs/>
              </w:rPr>
            </w:pPr>
            <w:r w:rsidRPr="000A7F54">
              <w:rPr>
                <w:rFonts w:cs="Times New Roman"/>
                <w:b/>
                <w:bCs/>
              </w:rPr>
              <w:t>Responses per Respondent</w:t>
            </w:r>
          </w:p>
        </w:tc>
        <w:tc>
          <w:tcPr>
            <w:tcW w:w="1173" w:type="dxa"/>
            <w:tcBorders>
              <w:top w:val="single" w:sz="12" w:space="0" w:color="auto"/>
              <w:bottom w:val="single" w:sz="4" w:space="0" w:color="auto"/>
            </w:tcBorders>
            <w:shd w:val="clear" w:color="auto" w:fill="DBE5F1" w:themeFill="accent1" w:themeFillTint="33"/>
            <w:tcMar>
              <w:left w:w="29" w:type="dxa"/>
              <w:right w:w="29" w:type="dxa"/>
            </w:tcMar>
            <w:vAlign w:val="bottom"/>
          </w:tcPr>
          <w:p w14:paraId="08A7E9BC" w14:textId="77777777" w:rsidR="004C7B79" w:rsidRPr="000A7F54" w:rsidRDefault="004C7B79" w:rsidP="00C06473">
            <w:pPr>
              <w:keepNext/>
              <w:spacing w:after="0"/>
              <w:jc w:val="center"/>
              <w:rPr>
                <w:rFonts w:cs="Times New Roman"/>
                <w:b/>
                <w:bCs/>
              </w:rPr>
            </w:pPr>
            <w:r w:rsidRPr="000A7F54">
              <w:rPr>
                <w:rFonts w:cs="Times New Roman"/>
                <w:b/>
                <w:bCs/>
              </w:rPr>
              <w:t>Total Number of Responses</w:t>
            </w:r>
          </w:p>
        </w:tc>
        <w:tc>
          <w:tcPr>
            <w:tcW w:w="977" w:type="dxa"/>
            <w:tcBorders>
              <w:top w:val="single" w:sz="12" w:space="0" w:color="auto"/>
              <w:bottom w:val="single" w:sz="4" w:space="0" w:color="auto"/>
            </w:tcBorders>
            <w:shd w:val="clear" w:color="auto" w:fill="DBE5F1" w:themeFill="accent1" w:themeFillTint="33"/>
            <w:tcMar>
              <w:left w:w="29" w:type="dxa"/>
              <w:right w:w="29" w:type="dxa"/>
            </w:tcMar>
            <w:vAlign w:val="bottom"/>
          </w:tcPr>
          <w:p w14:paraId="2CBE9422" w14:textId="77777777" w:rsidR="004C7B79" w:rsidRPr="000A7F54" w:rsidRDefault="004C7B79" w:rsidP="00C06473">
            <w:pPr>
              <w:keepNext/>
              <w:spacing w:after="0"/>
              <w:jc w:val="center"/>
              <w:rPr>
                <w:rFonts w:cs="Times New Roman"/>
                <w:b/>
                <w:bCs/>
              </w:rPr>
            </w:pPr>
            <w:r w:rsidRPr="000A7F54">
              <w:rPr>
                <w:rFonts w:cs="Times New Roman"/>
                <w:b/>
                <w:bCs/>
              </w:rPr>
              <w:t>Hours per Response</w:t>
            </w:r>
          </w:p>
        </w:tc>
        <w:tc>
          <w:tcPr>
            <w:tcW w:w="820" w:type="dxa"/>
            <w:tcBorders>
              <w:top w:val="single" w:sz="12" w:space="0" w:color="auto"/>
              <w:bottom w:val="single" w:sz="4" w:space="0" w:color="auto"/>
            </w:tcBorders>
            <w:shd w:val="clear" w:color="auto" w:fill="DBE5F1" w:themeFill="accent1" w:themeFillTint="33"/>
            <w:tcMar>
              <w:left w:w="29" w:type="dxa"/>
              <w:right w:w="29" w:type="dxa"/>
            </w:tcMar>
            <w:vAlign w:val="bottom"/>
          </w:tcPr>
          <w:p w14:paraId="2645B717" w14:textId="77777777" w:rsidR="004C7B79" w:rsidRPr="000A7F54" w:rsidRDefault="004C7B79" w:rsidP="00C06473">
            <w:pPr>
              <w:keepNext/>
              <w:spacing w:after="0"/>
              <w:jc w:val="center"/>
              <w:rPr>
                <w:rFonts w:cs="Times New Roman"/>
                <w:b/>
                <w:bCs/>
              </w:rPr>
            </w:pPr>
            <w:r w:rsidRPr="000A7F54">
              <w:rPr>
                <w:rFonts w:cs="Times New Roman"/>
                <w:b/>
                <w:bCs/>
              </w:rPr>
              <w:t>Total Burden Hours</w:t>
            </w:r>
          </w:p>
        </w:tc>
        <w:tc>
          <w:tcPr>
            <w:tcW w:w="900" w:type="dxa"/>
            <w:tcBorders>
              <w:top w:val="single" w:sz="12" w:space="0" w:color="auto"/>
              <w:bottom w:val="single" w:sz="4" w:space="0" w:color="auto"/>
            </w:tcBorders>
            <w:shd w:val="clear" w:color="auto" w:fill="DBE5F1" w:themeFill="accent1" w:themeFillTint="33"/>
            <w:tcMar>
              <w:left w:w="29" w:type="dxa"/>
              <w:right w:w="29" w:type="dxa"/>
            </w:tcMar>
            <w:vAlign w:val="bottom"/>
          </w:tcPr>
          <w:p w14:paraId="5B8DC5EB" w14:textId="77777777" w:rsidR="004C7B79" w:rsidRPr="000A7F54" w:rsidRDefault="004C7B79" w:rsidP="00C06473">
            <w:pPr>
              <w:keepNext/>
              <w:spacing w:after="0"/>
              <w:jc w:val="center"/>
              <w:rPr>
                <w:rFonts w:cs="Times New Roman"/>
                <w:b/>
                <w:bCs/>
              </w:rPr>
            </w:pPr>
            <w:r w:rsidRPr="000A7F54">
              <w:rPr>
                <w:rFonts w:cs="Times New Roman"/>
                <w:b/>
                <w:bCs/>
              </w:rPr>
              <w:t>Average Hourly Wage</w:t>
            </w:r>
          </w:p>
        </w:tc>
        <w:tc>
          <w:tcPr>
            <w:tcW w:w="1224" w:type="dxa"/>
            <w:tcBorders>
              <w:top w:val="single" w:sz="12" w:space="0" w:color="auto"/>
              <w:bottom w:val="single" w:sz="4" w:space="0" w:color="auto"/>
              <w:right w:val="single" w:sz="12" w:space="0" w:color="auto"/>
            </w:tcBorders>
            <w:shd w:val="clear" w:color="auto" w:fill="DBE5F1" w:themeFill="accent1" w:themeFillTint="33"/>
            <w:tcMar>
              <w:left w:w="29" w:type="dxa"/>
              <w:right w:w="29" w:type="dxa"/>
            </w:tcMar>
            <w:vAlign w:val="bottom"/>
          </w:tcPr>
          <w:p w14:paraId="68EEBD08" w14:textId="77777777" w:rsidR="004C7B79" w:rsidRPr="000A7F54" w:rsidRDefault="004C7B79" w:rsidP="00C06473">
            <w:pPr>
              <w:keepNext/>
              <w:spacing w:after="0"/>
              <w:jc w:val="center"/>
              <w:rPr>
                <w:rFonts w:cs="Times New Roman"/>
                <w:b/>
                <w:bCs/>
              </w:rPr>
            </w:pPr>
            <w:r w:rsidRPr="000A7F54">
              <w:rPr>
                <w:rFonts w:cs="Times New Roman"/>
                <w:b/>
                <w:bCs/>
              </w:rPr>
              <w:t>Total Respondent Cost</w:t>
            </w:r>
            <w:r w:rsidRPr="000A7F54">
              <w:rPr>
                <w:rFonts w:cs="Times New Roman"/>
                <w:b/>
                <w:bCs/>
                <w:vertAlign w:val="superscript"/>
              </w:rPr>
              <w:t>a</w:t>
            </w:r>
          </w:p>
        </w:tc>
      </w:tr>
      <w:tr w:rsidR="00976794" w:rsidRPr="000A7F54" w14:paraId="603E4787" w14:textId="77777777" w:rsidTr="000A7F54">
        <w:trPr>
          <w:cantSplit/>
        </w:trPr>
        <w:tc>
          <w:tcPr>
            <w:tcW w:w="1965" w:type="dxa"/>
            <w:tcBorders>
              <w:top w:val="single" w:sz="4" w:space="0" w:color="auto"/>
              <w:left w:val="single" w:sz="12" w:space="0" w:color="auto"/>
              <w:bottom w:val="single" w:sz="12" w:space="0" w:color="auto"/>
            </w:tcBorders>
          </w:tcPr>
          <w:p w14:paraId="7280B93A" w14:textId="28452DB7" w:rsidR="00976794" w:rsidRPr="000A7F54" w:rsidRDefault="00C41E18" w:rsidP="00F342DF">
            <w:pPr>
              <w:pStyle w:val="EQ3"/>
              <w:keepNext/>
              <w:rPr>
                <w:sz w:val="22"/>
                <w:szCs w:val="22"/>
              </w:rPr>
            </w:pPr>
            <w:r w:rsidRPr="000A7F54">
              <w:rPr>
                <w:sz w:val="22"/>
                <w:szCs w:val="22"/>
              </w:rPr>
              <w:t>NITT-</w:t>
            </w:r>
            <w:r w:rsidR="00B056A7" w:rsidRPr="000A7F54">
              <w:rPr>
                <w:sz w:val="22"/>
                <w:szCs w:val="22"/>
              </w:rPr>
              <w:t>MFP Fellow Interview</w:t>
            </w:r>
          </w:p>
        </w:tc>
        <w:tc>
          <w:tcPr>
            <w:tcW w:w="1260" w:type="dxa"/>
            <w:tcBorders>
              <w:top w:val="single" w:sz="4" w:space="0" w:color="auto"/>
              <w:bottom w:val="single" w:sz="12" w:space="0" w:color="auto"/>
            </w:tcBorders>
            <w:shd w:val="clear" w:color="auto" w:fill="auto"/>
            <w:vAlign w:val="center"/>
          </w:tcPr>
          <w:p w14:paraId="4F4ECD52" w14:textId="51BC134C" w:rsidR="00976794" w:rsidRPr="000A7F54" w:rsidRDefault="007A643E" w:rsidP="00F342DF">
            <w:pPr>
              <w:pStyle w:val="EQ3"/>
              <w:keepNext/>
              <w:ind w:left="-59"/>
              <w:jc w:val="center"/>
              <w:rPr>
                <w:sz w:val="22"/>
                <w:szCs w:val="22"/>
              </w:rPr>
            </w:pPr>
            <w:r w:rsidRPr="000A7F54">
              <w:rPr>
                <w:sz w:val="22"/>
                <w:szCs w:val="22"/>
              </w:rPr>
              <w:t>6</w:t>
            </w:r>
            <w:r w:rsidR="00DD1447" w:rsidRPr="000A7F54">
              <w:rPr>
                <w:sz w:val="22"/>
                <w:szCs w:val="22"/>
              </w:rPr>
              <w:t>6</w:t>
            </w:r>
          </w:p>
        </w:tc>
        <w:tc>
          <w:tcPr>
            <w:tcW w:w="1257" w:type="dxa"/>
            <w:tcBorders>
              <w:top w:val="single" w:sz="4" w:space="0" w:color="auto"/>
              <w:bottom w:val="single" w:sz="12" w:space="0" w:color="auto"/>
            </w:tcBorders>
            <w:shd w:val="clear" w:color="auto" w:fill="auto"/>
            <w:vAlign w:val="center"/>
          </w:tcPr>
          <w:p w14:paraId="1D27A852" w14:textId="3B6A39E2" w:rsidR="00976794" w:rsidRPr="000A7F54" w:rsidRDefault="00086910" w:rsidP="00F342DF">
            <w:pPr>
              <w:pStyle w:val="EQ3"/>
              <w:keepNext/>
              <w:jc w:val="center"/>
              <w:rPr>
                <w:sz w:val="22"/>
                <w:szCs w:val="22"/>
              </w:rPr>
            </w:pPr>
            <w:r w:rsidRPr="000A7F54">
              <w:rPr>
                <w:sz w:val="22"/>
                <w:szCs w:val="22"/>
              </w:rPr>
              <w:t>1</w:t>
            </w:r>
          </w:p>
        </w:tc>
        <w:tc>
          <w:tcPr>
            <w:tcW w:w="1173" w:type="dxa"/>
            <w:tcBorders>
              <w:top w:val="single" w:sz="4" w:space="0" w:color="auto"/>
              <w:bottom w:val="single" w:sz="12" w:space="0" w:color="auto"/>
            </w:tcBorders>
            <w:shd w:val="clear" w:color="auto" w:fill="auto"/>
            <w:vAlign w:val="center"/>
          </w:tcPr>
          <w:p w14:paraId="157109FD" w14:textId="373D18E9" w:rsidR="00976794" w:rsidRPr="000A7F54" w:rsidRDefault="007A643E" w:rsidP="00F342DF">
            <w:pPr>
              <w:pStyle w:val="EQ3"/>
              <w:keepNext/>
              <w:ind w:left="-59"/>
              <w:jc w:val="center"/>
              <w:rPr>
                <w:sz w:val="22"/>
                <w:szCs w:val="22"/>
              </w:rPr>
            </w:pPr>
            <w:r w:rsidRPr="000A7F54">
              <w:rPr>
                <w:sz w:val="22"/>
                <w:szCs w:val="22"/>
              </w:rPr>
              <w:t>6</w:t>
            </w:r>
            <w:r w:rsidR="00DD1447" w:rsidRPr="000A7F54">
              <w:rPr>
                <w:sz w:val="22"/>
                <w:szCs w:val="22"/>
              </w:rPr>
              <w:t>6</w:t>
            </w:r>
          </w:p>
        </w:tc>
        <w:tc>
          <w:tcPr>
            <w:tcW w:w="977" w:type="dxa"/>
            <w:tcBorders>
              <w:top w:val="single" w:sz="4" w:space="0" w:color="auto"/>
              <w:bottom w:val="single" w:sz="12" w:space="0" w:color="auto"/>
            </w:tcBorders>
            <w:shd w:val="clear" w:color="auto" w:fill="auto"/>
            <w:vAlign w:val="center"/>
          </w:tcPr>
          <w:p w14:paraId="2C98EB3B" w14:textId="46A6F65D" w:rsidR="00976794" w:rsidRPr="000A7F54" w:rsidRDefault="00086910" w:rsidP="00F342DF">
            <w:pPr>
              <w:pStyle w:val="EQ3"/>
              <w:keepNext/>
              <w:jc w:val="center"/>
              <w:rPr>
                <w:sz w:val="22"/>
                <w:szCs w:val="22"/>
              </w:rPr>
            </w:pPr>
            <w:r w:rsidRPr="000A7F54">
              <w:rPr>
                <w:sz w:val="22"/>
                <w:szCs w:val="22"/>
              </w:rPr>
              <w:t>1</w:t>
            </w:r>
          </w:p>
        </w:tc>
        <w:tc>
          <w:tcPr>
            <w:tcW w:w="820" w:type="dxa"/>
            <w:tcBorders>
              <w:top w:val="single" w:sz="4" w:space="0" w:color="auto"/>
              <w:bottom w:val="single" w:sz="12" w:space="0" w:color="auto"/>
            </w:tcBorders>
            <w:shd w:val="clear" w:color="auto" w:fill="auto"/>
            <w:vAlign w:val="center"/>
          </w:tcPr>
          <w:p w14:paraId="0184F261" w14:textId="3DF1755E" w:rsidR="00976794" w:rsidRPr="000A7F54" w:rsidRDefault="007A643E" w:rsidP="00F342DF">
            <w:pPr>
              <w:pStyle w:val="EQ3"/>
              <w:keepNext/>
              <w:jc w:val="center"/>
              <w:rPr>
                <w:sz w:val="22"/>
                <w:szCs w:val="22"/>
              </w:rPr>
            </w:pPr>
            <w:r w:rsidRPr="000A7F54">
              <w:rPr>
                <w:sz w:val="22"/>
                <w:szCs w:val="22"/>
              </w:rPr>
              <w:t>6</w:t>
            </w:r>
            <w:r w:rsidR="00DD1447" w:rsidRPr="000A7F54">
              <w:rPr>
                <w:sz w:val="22"/>
                <w:szCs w:val="22"/>
              </w:rPr>
              <w:t>6</w:t>
            </w:r>
          </w:p>
        </w:tc>
        <w:tc>
          <w:tcPr>
            <w:tcW w:w="900" w:type="dxa"/>
            <w:tcBorders>
              <w:top w:val="single" w:sz="4" w:space="0" w:color="auto"/>
              <w:bottom w:val="single" w:sz="12" w:space="0" w:color="auto"/>
            </w:tcBorders>
            <w:shd w:val="clear" w:color="auto" w:fill="auto"/>
            <w:vAlign w:val="center"/>
          </w:tcPr>
          <w:p w14:paraId="645332B3" w14:textId="72057CFD" w:rsidR="00976794" w:rsidRPr="000A7F54" w:rsidRDefault="007B4AC7" w:rsidP="00F342DF">
            <w:pPr>
              <w:pStyle w:val="EQ3"/>
              <w:keepNext/>
              <w:jc w:val="center"/>
              <w:rPr>
                <w:sz w:val="22"/>
                <w:szCs w:val="22"/>
              </w:rPr>
            </w:pPr>
            <w:r w:rsidRPr="000A7F54">
              <w:rPr>
                <w:sz w:val="22"/>
                <w:szCs w:val="22"/>
              </w:rPr>
              <w:t>$</w:t>
            </w:r>
            <w:r w:rsidR="002C4418" w:rsidRPr="000A7F54">
              <w:rPr>
                <w:sz w:val="22"/>
                <w:szCs w:val="22"/>
              </w:rPr>
              <w:t>21.79</w:t>
            </w:r>
          </w:p>
        </w:tc>
        <w:tc>
          <w:tcPr>
            <w:tcW w:w="1224" w:type="dxa"/>
            <w:tcBorders>
              <w:top w:val="single" w:sz="4" w:space="0" w:color="auto"/>
              <w:bottom w:val="single" w:sz="12" w:space="0" w:color="auto"/>
              <w:right w:val="single" w:sz="12" w:space="0" w:color="auto"/>
            </w:tcBorders>
            <w:shd w:val="clear" w:color="auto" w:fill="auto"/>
            <w:vAlign w:val="center"/>
          </w:tcPr>
          <w:p w14:paraId="66CCF776" w14:textId="75E39C86" w:rsidR="00976794" w:rsidRPr="000A7F54" w:rsidRDefault="002C4418" w:rsidP="00E06987">
            <w:pPr>
              <w:pStyle w:val="EQ3"/>
              <w:keepNext/>
              <w:ind w:left="-194"/>
              <w:jc w:val="center"/>
              <w:rPr>
                <w:sz w:val="22"/>
                <w:szCs w:val="22"/>
              </w:rPr>
            </w:pPr>
            <w:r w:rsidRPr="000A7F54">
              <w:rPr>
                <w:sz w:val="22"/>
                <w:szCs w:val="22"/>
              </w:rPr>
              <w:t>$</w:t>
            </w:r>
            <w:r w:rsidR="00DD1447" w:rsidRPr="000A7F54">
              <w:rPr>
                <w:sz w:val="22"/>
                <w:szCs w:val="22"/>
              </w:rPr>
              <w:t>1</w:t>
            </w:r>
            <w:r w:rsidR="00AE6EA3">
              <w:rPr>
                <w:sz w:val="22"/>
                <w:szCs w:val="22"/>
              </w:rPr>
              <w:t>,</w:t>
            </w:r>
            <w:r w:rsidR="007A643E" w:rsidRPr="000A7F54">
              <w:rPr>
                <w:sz w:val="22"/>
                <w:szCs w:val="22"/>
              </w:rPr>
              <w:t>438</w:t>
            </w:r>
          </w:p>
        </w:tc>
      </w:tr>
    </w:tbl>
    <w:p w14:paraId="61EADAD3" w14:textId="7BD0315E" w:rsidR="000F51C7" w:rsidRPr="000C4ACD" w:rsidRDefault="00F336E1" w:rsidP="0043579C">
      <w:pPr>
        <w:pStyle w:val="ExhibitNote1"/>
        <w:rPr>
          <w:i/>
          <w:iCs/>
        </w:rPr>
      </w:pPr>
      <w:proofErr w:type="gramStart"/>
      <w:r w:rsidRPr="0001203A">
        <w:rPr>
          <w:vertAlign w:val="superscript"/>
        </w:rPr>
        <w:t>a</w:t>
      </w:r>
      <w:proofErr w:type="gramEnd"/>
      <w:r w:rsidRPr="0001203A">
        <w:t xml:space="preserve"> </w:t>
      </w:r>
      <w:r w:rsidRPr="0001203A">
        <w:rPr>
          <w:b/>
          <w:bCs/>
        </w:rPr>
        <w:t>Total respondent cost</w:t>
      </w:r>
      <w:r w:rsidRPr="0001203A">
        <w:t xml:space="preserve"> is calculated as total burden hours x average hourly wage.</w:t>
      </w:r>
    </w:p>
    <w:p w14:paraId="7A1DE1AC" w14:textId="3C040EC9" w:rsidR="00B533C1" w:rsidRDefault="00043BE1" w:rsidP="0003189F">
      <w:pPr>
        <w:pStyle w:val="Heading2"/>
      </w:pPr>
      <w:r w:rsidRPr="001F42AB">
        <w:t>Estimates of Annualized Cost Burden to Respondents</w:t>
      </w:r>
    </w:p>
    <w:p w14:paraId="67676B55" w14:textId="77777777" w:rsidR="000F51C7" w:rsidRPr="00210D3C" w:rsidRDefault="0058668D" w:rsidP="0003189F">
      <w:pPr>
        <w:rPr>
          <w:sz w:val="24"/>
          <w:szCs w:val="24"/>
        </w:rPr>
      </w:pPr>
      <w:r w:rsidRPr="00210D3C">
        <w:rPr>
          <w:sz w:val="24"/>
          <w:szCs w:val="24"/>
        </w:rPr>
        <w:t>There are no respondent costs for capital or start-up or for operation or maintenance.</w:t>
      </w:r>
    </w:p>
    <w:p w14:paraId="058D92CB" w14:textId="77777777" w:rsidR="000F51C7" w:rsidRDefault="00043BE1" w:rsidP="000F51C7">
      <w:pPr>
        <w:pStyle w:val="Heading2"/>
      </w:pPr>
      <w:r w:rsidRPr="001F42AB">
        <w:t>Estimates of Annualized Cost to the Government</w:t>
      </w:r>
    </w:p>
    <w:p w14:paraId="40FC7A04" w14:textId="36E5808F" w:rsidR="001006B9" w:rsidRPr="00210D3C" w:rsidRDefault="009F55BD" w:rsidP="00E06987">
      <w:pPr>
        <w:rPr>
          <w:sz w:val="24"/>
          <w:szCs w:val="24"/>
        </w:rPr>
      </w:pPr>
      <w:r w:rsidRPr="00210D3C">
        <w:rPr>
          <w:sz w:val="24"/>
          <w:szCs w:val="24"/>
        </w:rPr>
        <w:t>The annualized cost to the government is approximately $</w:t>
      </w:r>
      <w:r w:rsidR="00583BF8" w:rsidRPr="00210D3C">
        <w:rPr>
          <w:sz w:val="24"/>
          <w:szCs w:val="24"/>
        </w:rPr>
        <w:t>233</w:t>
      </w:r>
      <w:r w:rsidRPr="00210D3C">
        <w:rPr>
          <w:sz w:val="24"/>
          <w:szCs w:val="24"/>
        </w:rPr>
        <w:t>,</w:t>
      </w:r>
      <w:r w:rsidR="00583BF8" w:rsidRPr="00210D3C">
        <w:rPr>
          <w:sz w:val="24"/>
          <w:szCs w:val="24"/>
        </w:rPr>
        <w:t>372</w:t>
      </w:r>
      <w:r w:rsidR="007627AB">
        <w:rPr>
          <w:sz w:val="24"/>
          <w:szCs w:val="24"/>
        </w:rPr>
        <w:t xml:space="preserve">.  </w:t>
      </w:r>
      <w:r w:rsidRPr="00210D3C">
        <w:rPr>
          <w:sz w:val="24"/>
          <w:szCs w:val="24"/>
        </w:rPr>
        <w:t>The estimated 5-year total cost to the government for the data collection is $</w:t>
      </w:r>
      <w:r w:rsidR="00583BF8" w:rsidRPr="00210D3C">
        <w:rPr>
          <w:sz w:val="24"/>
          <w:szCs w:val="24"/>
        </w:rPr>
        <w:t>1</w:t>
      </w:r>
      <w:r w:rsidRPr="00210D3C">
        <w:rPr>
          <w:sz w:val="24"/>
          <w:szCs w:val="24"/>
        </w:rPr>
        <w:t>,</w:t>
      </w:r>
      <w:r w:rsidR="00583BF8" w:rsidRPr="00210D3C">
        <w:rPr>
          <w:sz w:val="24"/>
          <w:szCs w:val="24"/>
        </w:rPr>
        <w:t>166</w:t>
      </w:r>
      <w:r w:rsidRPr="00210D3C">
        <w:rPr>
          <w:sz w:val="24"/>
          <w:szCs w:val="24"/>
        </w:rPr>
        <w:t>,</w:t>
      </w:r>
      <w:r w:rsidR="00583BF8" w:rsidRPr="00210D3C">
        <w:rPr>
          <w:sz w:val="24"/>
          <w:szCs w:val="24"/>
        </w:rPr>
        <w:t>860</w:t>
      </w:r>
      <w:r w:rsidR="007627AB">
        <w:rPr>
          <w:sz w:val="24"/>
          <w:szCs w:val="24"/>
        </w:rPr>
        <w:t xml:space="preserve">.  </w:t>
      </w:r>
      <w:r w:rsidRPr="00210D3C">
        <w:rPr>
          <w:sz w:val="24"/>
          <w:szCs w:val="24"/>
        </w:rPr>
        <w:t>This includes approximately $</w:t>
      </w:r>
      <w:r w:rsidR="00583BF8" w:rsidRPr="00210D3C">
        <w:rPr>
          <w:sz w:val="24"/>
          <w:szCs w:val="24"/>
        </w:rPr>
        <w:t>221</w:t>
      </w:r>
      <w:r w:rsidRPr="00210D3C">
        <w:rPr>
          <w:sz w:val="24"/>
          <w:szCs w:val="24"/>
        </w:rPr>
        <w:t>,</w:t>
      </w:r>
      <w:r w:rsidR="00583BF8" w:rsidRPr="00210D3C">
        <w:rPr>
          <w:sz w:val="24"/>
          <w:szCs w:val="24"/>
        </w:rPr>
        <w:t>515</w:t>
      </w:r>
      <w:r w:rsidRPr="00210D3C">
        <w:rPr>
          <w:sz w:val="24"/>
          <w:szCs w:val="24"/>
        </w:rPr>
        <w:t xml:space="preserve"> per year</w:t>
      </w:r>
      <w:r w:rsidRPr="00210D3C">
        <w:rPr>
          <w:color w:val="000000"/>
          <w:sz w:val="24"/>
          <w:szCs w:val="24"/>
        </w:rPr>
        <w:t xml:space="preserve"> (or $1,107,57</w:t>
      </w:r>
      <w:r w:rsidR="00583BF8" w:rsidRPr="00210D3C">
        <w:rPr>
          <w:color w:val="000000"/>
          <w:sz w:val="24"/>
          <w:szCs w:val="24"/>
        </w:rPr>
        <w:t>5</w:t>
      </w:r>
      <w:r w:rsidRPr="00210D3C">
        <w:rPr>
          <w:color w:val="000000"/>
          <w:sz w:val="24"/>
          <w:szCs w:val="24"/>
        </w:rPr>
        <w:t xml:space="preserve"> </w:t>
      </w:r>
      <w:r w:rsidRPr="00210D3C">
        <w:rPr>
          <w:sz w:val="24"/>
          <w:szCs w:val="24"/>
        </w:rPr>
        <w:t xml:space="preserve">total) for developing the instruments; managing </w:t>
      </w:r>
      <w:r w:rsidR="00DC3D35" w:rsidRPr="00210D3C">
        <w:rPr>
          <w:sz w:val="24"/>
          <w:szCs w:val="24"/>
        </w:rPr>
        <w:t xml:space="preserve">and conducting </w:t>
      </w:r>
      <w:r w:rsidRPr="00210D3C">
        <w:rPr>
          <w:sz w:val="24"/>
          <w:szCs w:val="24"/>
        </w:rPr>
        <w:t>data collection</w:t>
      </w:r>
      <w:r w:rsidRPr="00210D3C">
        <w:rPr>
          <w:iCs/>
          <w:sz w:val="24"/>
          <w:szCs w:val="24"/>
        </w:rPr>
        <w:t xml:space="preserve">; </w:t>
      </w:r>
      <w:r w:rsidR="00E06987" w:rsidRPr="00210D3C">
        <w:rPr>
          <w:iCs/>
          <w:sz w:val="24"/>
          <w:szCs w:val="24"/>
        </w:rPr>
        <w:t xml:space="preserve">respondent incentives; </w:t>
      </w:r>
      <w:r w:rsidRPr="00210D3C">
        <w:rPr>
          <w:sz w:val="24"/>
          <w:szCs w:val="24"/>
        </w:rPr>
        <w:t xml:space="preserve">processing, cleaning, and housing data; </w:t>
      </w:r>
      <w:r w:rsidRPr="00210D3C">
        <w:rPr>
          <w:iCs/>
          <w:sz w:val="24"/>
          <w:szCs w:val="24"/>
        </w:rPr>
        <w:t>and</w:t>
      </w:r>
      <w:r w:rsidRPr="00210D3C">
        <w:rPr>
          <w:sz w:val="24"/>
          <w:szCs w:val="24"/>
        </w:rPr>
        <w:t xml:space="preserve"> analyzing and reporting data</w:t>
      </w:r>
      <w:r w:rsidR="007627AB">
        <w:rPr>
          <w:sz w:val="24"/>
          <w:szCs w:val="24"/>
        </w:rPr>
        <w:t xml:space="preserve">.  </w:t>
      </w:r>
      <w:r w:rsidRPr="00210D3C">
        <w:rPr>
          <w:sz w:val="24"/>
          <w:szCs w:val="24"/>
        </w:rPr>
        <w:t>Approximately $11,857 per year (or $59,285 total) represents SAMHSA costs to manage/administer the data collection and analysis for 10% of one employee (GS-14-4, $118,570 annual salary).</w:t>
      </w:r>
    </w:p>
    <w:p w14:paraId="1C39D6DF" w14:textId="77777777" w:rsidR="000F51C7" w:rsidRDefault="00043BE1" w:rsidP="000F51C7">
      <w:pPr>
        <w:pStyle w:val="Heading2"/>
      </w:pPr>
      <w:r w:rsidRPr="001F42AB">
        <w:t>Changes in Burden</w:t>
      </w:r>
    </w:p>
    <w:p w14:paraId="71F4DD16" w14:textId="77777777" w:rsidR="000F51C7" w:rsidRPr="00210D3C" w:rsidRDefault="0058668D" w:rsidP="00477E14">
      <w:pPr>
        <w:rPr>
          <w:sz w:val="24"/>
          <w:szCs w:val="24"/>
        </w:rPr>
      </w:pPr>
      <w:r w:rsidRPr="00210D3C">
        <w:rPr>
          <w:sz w:val="24"/>
          <w:szCs w:val="24"/>
        </w:rPr>
        <w:t xml:space="preserve">This is a new </w:t>
      </w:r>
      <w:r w:rsidR="00477E14" w:rsidRPr="00210D3C">
        <w:rPr>
          <w:sz w:val="24"/>
          <w:szCs w:val="24"/>
        </w:rPr>
        <w:t xml:space="preserve">data </w:t>
      </w:r>
      <w:r w:rsidRPr="00210D3C">
        <w:rPr>
          <w:sz w:val="24"/>
          <w:szCs w:val="24"/>
        </w:rPr>
        <w:t>collection.</w:t>
      </w:r>
    </w:p>
    <w:p w14:paraId="59D2780C" w14:textId="77777777" w:rsidR="000F51C7" w:rsidRDefault="00043BE1" w:rsidP="000F51C7">
      <w:pPr>
        <w:pStyle w:val="Heading2"/>
      </w:pPr>
      <w:r w:rsidRPr="001F42AB">
        <w:t>Time Schedule, Publications, and Analysis Plan</w:t>
      </w:r>
    </w:p>
    <w:p w14:paraId="0DA67369" w14:textId="101AD49F" w:rsidR="00A12F9C" w:rsidRPr="00210D3C" w:rsidRDefault="004245A5" w:rsidP="0088259F">
      <w:pPr>
        <w:pStyle w:val="Heading5"/>
        <w:rPr>
          <w:sz w:val="24"/>
          <w:szCs w:val="24"/>
        </w:rPr>
      </w:pPr>
      <w:r w:rsidRPr="00210D3C">
        <w:rPr>
          <w:sz w:val="24"/>
          <w:szCs w:val="24"/>
        </w:rPr>
        <w:t>Time Schedule</w:t>
      </w:r>
    </w:p>
    <w:p w14:paraId="45A62AA2" w14:textId="4DCB10F6" w:rsidR="000F51C7" w:rsidRPr="00210D3C" w:rsidRDefault="00F477AF" w:rsidP="00484CD4">
      <w:pPr>
        <w:rPr>
          <w:sz w:val="24"/>
          <w:szCs w:val="24"/>
        </w:rPr>
      </w:pPr>
      <w:r w:rsidRPr="00210D3C">
        <w:rPr>
          <w:b/>
          <w:bCs/>
          <w:i/>
          <w:sz w:val="24"/>
          <w:szCs w:val="24"/>
        </w:rPr>
        <w:t xml:space="preserve">Table </w:t>
      </w:r>
      <w:r w:rsidR="00484CD4" w:rsidRPr="00210D3C">
        <w:rPr>
          <w:b/>
          <w:bCs/>
          <w:i/>
          <w:sz w:val="24"/>
          <w:szCs w:val="24"/>
        </w:rPr>
        <w:t>6</w:t>
      </w:r>
      <w:r w:rsidR="004245A5" w:rsidRPr="00210D3C">
        <w:rPr>
          <w:sz w:val="24"/>
          <w:szCs w:val="24"/>
        </w:rPr>
        <w:t xml:space="preserve"> outlines the key time points for the study and for the collection of information.</w:t>
      </w:r>
    </w:p>
    <w:p w14:paraId="12BE5821" w14:textId="02569BBE" w:rsidR="004245A5" w:rsidRPr="00892D9F" w:rsidRDefault="00F477AF" w:rsidP="00892D9F">
      <w:pPr>
        <w:pStyle w:val="ExhibitTitle"/>
      </w:pPr>
      <w:bookmarkStart w:id="2" w:name="_Toc46162795"/>
      <w:bookmarkStart w:id="3" w:name="_Toc54502997"/>
      <w:bookmarkStart w:id="4" w:name="_Toc93987697"/>
      <w:bookmarkStart w:id="5" w:name="_Toc131566258"/>
      <w:r w:rsidRPr="00892D9F">
        <w:t xml:space="preserve">Table </w:t>
      </w:r>
      <w:r w:rsidR="00484CD4" w:rsidRPr="00892D9F">
        <w:t>6</w:t>
      </w:r>
      <w:r w:rsidR="004245A5" w:rsidRPr="00892D9F">
        <w:t xml:space="preserve">. </w:t>
      </w:r>
      <w:r w:rsidR="00484CD4" w:rsidRPr="00892D9F">
        <w:tab/>
      </w:r>
      <w:r w:rsidR="004245A5" w:rsidRPr="00892D9F">
        <w:t xml:space="preserve">Time Schedule for </w:t>
      </w:r>
      <w:bookmarkEnd w:id="2"/>
      <w:bookmarkEnd w:id="3"/>
      <w:bookmarkEnd w:id="4"/>
      <w:bookmarkEnd w:id="5"/>
      <w:r w:rsidR="004245A5" w:rsidRPr="00892D9F">
        <w:t xml:space="preserve">Data Collection </w:t>
      </w:r>
    </w:p>
    <w:tbl>
      <w:tblPr>
        <w:tblW w:w="9630" w:type="dxa"/>
        <w:tblInd w:w="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6" w:type="dxa"/>
          <w:right w:w="86" w:type="dxa"/>
        </w:tblCellMar>
        <w:tblLook w:val="01E0" w:firstRow="1" w:lastRow="1" w:firstColumn="1" w:lastColumn="1" w:noHBand="0" w:noVBand="0"/>
      </w:tblPr>
      <w:tblGrid>
        <w:gridCol w:w="6746"/>
        <w:gridCol w:w="2884"/>
      </w:tblGrid>
      <w:tr w:rsidR="004245A5" w:rsidRPr="00C06473" w14:paraId="43DA4478" w14:textId="77777777" w:rsidTr="00C06473">
        <w:trPr>
          <w:cantSplit/>
        </w:trPr>
        <w:tc>
          <w:tcPr>
            <w:tcW w:w="6746" w:type="dxa"/>
            <w:shd w:val="clear" w:color="auto" w:fill="DBE5F1" w:themeFill="accent1" w:themeFillTint="33"/>
            <w:vAlign w:val="bottom"/>
          </w:tcPr>
          <w:p w14:paraId="2B47A436" w14:textId="77777777" w:rsidR="004245A5" w:rsidRPr="00210D3C" w:rsidRDefault="004245A5" w:rsidP="003A1B56">
            <w:pPr>
              <w:pStyle w:val="EQ3"/>
              <w:keepNext/>
              <w:rPr>
                <w:b/>
                <w:bCs/>
                <w:sz w:val="22"/>
                <w:szCs w:val="22"/>
              </w:rPr>
            </w:pPr>
            <w:r w:rsidRPr="00210D3C">
              <w:rPr>
                <w:b/>
                <w:bCs/>
                <w:sz w:val="22"/>
                <w:szCs w:val="22"/>
              </w:rPr>
              <w:t>Activity</w:t>
            </w:r>
          </w:p>
        </w:tc>
        <w:tc>
          <w:tcPr>
            <w:tcW w:w="2884" w:type="dxa"/>
            <w:shd w:val="clear" w:color="auto" w:fill="DBE5F1" w:themeFill="accent1" w:themeFillTint="33"/>
            <w:vAlign w:val="bottom"/>
          </w:tcPr>
          <w:p w14:paraId="76736443" w14:textId="77777777" w:rsidR="004245A5" w:rsidRPr="00210D3C" w:rsidRDefault="004245A5" w:rsidP="003A1B56">
            <w:pPr>
              <w:pStyle w:val="EQ3"/>
              <w:keepNext/>
              <w:rPr>
                <w:b/>
                <w:bCs/>
                <w:sz w:val="22"/>
                <w:szCs w:val="22"/>
              </w:rPr>
            </w:pPr>
            <w:r w:rsidRPr="00210D3C">
              <w:rPr>
                <w:b/>
                <w:bCs/>
                <w:sz w:val="22"/>
                <w:szCs w:val="22"/>
              </w:rPr>
              <w:t>Time Schedule</w:t>
            </w:r>
          </w:p>
        </w:tc>
      </w:tr>
      <w:tr w:rsidR="004245A5" w:rsidRPr="004245A5" w14:paraId="26680FA5" w14:textId="77777777" w:rsidTr="00C06473">
        <w:trPr>
          <w:cantSplit/>
        </w:trPr>
        <w:tc>
          <w:tcPr>
            <w:tcW w:w="6746" w:type="dxa"/>
          </w:tcPr>
          <w:p w14:paraId="27817940" w14:textId="392A138B" w:rsidR="004245A5" w:rsidRPr="00210D3C" w:rsidRDefault="004245A5" w:rsidP="00C63CA6">
            <w:pPr>
              <w:pStyle w:val="EQ3"/>
              <w:keepNext/>
              <w:spacing w:before="20" w:after="20"/>
              <w:rPr>
                <w:sz w:val="22"/>
                <w:szCs w:val="22"/>
              </w:rPr>
            </w:pPr>
            <w:r w:rsidRPr="00210D3C">
              <w:rPr>
                <w:sz w:val="22"/>
                <w:szCs w:val="22"/>
              </w:rPr>
              <w:t>Prepare for data collection</w:t>
            </w:r>
          </w:p>
        </w:tc>
        <w:tc>
          <w:tcPr>
            <w:tcW w:w="2884" w:type="dxa"/>
          </w:tcPr>
          <w:p w14:paraId="2D1554EF" w14:textId="29AF85D1" w:rsidR="004245A5" w:rsidRPr="00210D3C" w:rsidRDefault="00DC1FC0" w:rsidP="003A1B56">
            <w:pPr>
              <w:pStyle w:val="EQ3"/>
              <w:keepNext/>
              <w:spacing w:before="20" w:after="20"/>
              <w:rPr>
                <w:sz w:val="22"/>
                <w:szCs w:val="22"/>
              </w:rPr>
            </w:pPr>
            <w:r w:rsidRPr="00210D3C">
              <w:rPr>
                <w:sz w:val="22"/>
                <w:szCs w:val="22"/>
              </w:rPr>
              <w:t>August</w:t>
            </w:r>
            <w:r w:rsidR="007B1B01" w:rsidRPr="00210D3C">
              <w:rPr>
                <w:sz w:val="22"/>
                <w:szCs w:val="22"/>
              </w:rPr>
              <w:t>–</w:t>
            </w:r>
            <w:r w:rsidRPr="00210D3C">
              <w:rPr>
                <w:sz w:val="22"/>
                <w:szCs w:val="22"/>
              </w:rPr>
              <w:t>November</w:t>
            </w:r>
            <w:r w:rsidR="00C20AB7" w:rsidRPr="00210D3C">
              <w:rPr>
                <w:sz w:val="22"/>
                <w:szCs w:val="22"/>
              </w:rPr>
              <w:t xml:space="preserve"> 201</w:t>
            </w:r>
            <w:r w:rsidR="00415F6F" w:rsidRPr="00210D3C">
              <w:rPr>
                <w:sz w:val="22"/>
                <w:szCs w:val="22"/>
              </w:rPr>
              <w:t>5</w:t>
            </w:r>
          </w:p>
        </w:tc>
      </w:tr>
      <w:tr w:rsidR="004245A5" w:rsidRPr="004245A5" w14:paraId="135F40FB" w14:textId="77777777" w:rsidTr="00C06473">
        <w:trPr>
          <w:cantSplit/>
        </w:trPr>
        <w:tc>
          <w:tcPr>
            <w:tcW w:w="6746" w:type="dxa"/>
          </w:tcPr>
          <w:p w14:paraId="012CF6FA" w14:textId="77777777" w:rsidR="004245A5" w:rsidRPr="00210D3C" w:rsidRDefault="004245A5" w:rsidP="003A1B56">
            <w:pPr>
              <w:pStyle w:val="EQ3"/>
              <w:keepNext/>
              <w:spacing w:before="20" w:after="20"/>
              <w:rPr>
                <w:sz w:val="22"/>
                <w:szCs w:val="22"/>
              </w:rPr>
            </w:pPr>
            <w:r w:rsidRPr="00210D3C">
              <w:rPr>
                <w:sz w:val="22"/>
                <w:szCs w:val="22"/>
              </w:rPr>
              <w:t>Obtain OMB approval for data collection</w:t>
            </w:r>
          </w:p>
        </w:tc>
        <w:tc>
          <w:tcPr>
            <w:tcW w:w="2884" w:type="dxa"/>
          </w:tcPr>
          <w:p w14:paraId="350B739E" w14:textId="563755B8" w:rsidR="004245A5" w:rsidRPr="00210D3C" w:rsidRDefault="0034022D" w:rsidP="003A1B56">
            <w:pPr>
              <w:pStyle w:val="EQ3"/>
              <w:keepNext/>
              <w:spacing w:before="20" w:after="20"/>
              <w:rPr>
                <w:sz w:val="22"/>
                <w:szCs w:val="22"/>
              </w:rPr>
            </w:pPr>
            <w:r w:rsidRPr="00210D3C">
              <w:rPr>
                <w:sz w:val="22"/>
                <w:szCs w:val="22"/>
              </w:rPr>
              <w:t>April</w:t>
            </w:r>
            <w:r w:rsidR="00C20AB7" w:rsidRPr="00210D3C">
              <w:rPr>
                <w:sz w:val="22"/>
                <w:szCs w:val="22"/>
              </w:rPr>
              <w:t xml:space="preserve"> 201</w:t>
            </w:r>
            <w:r w:rsidR="00DC1FC0" w:rsidRPr="00210D3C">
              <w:rPr>
                <w:sz w:val="22"/>
                <w:szCs w:val="22"/>
              </w:rPr>
              <w:t>6</w:t>
            </w:r>
          </w:p>
        </w:tc>
      </w:tr>
      <w:tr w:rsidR="003A1B56" w:rsidRPr="004245A5" w14:paraId="582CE4E7" w14:textId="77777777" w:rsidTr="00DB7606">
        <w:trPr>
          <w:cantSplit/>
        </w:trPr>
        <w:tc>
          <w:tcPr>
            <w:tcW w:w="6746" w:type="dxa"/>
          </w:tcPr>
          <w:p w14:paraId="73497B83" w14:textId="77777777" w:rsidR="003A1B56" w:rsidRPr="00210D3C" w:rsidRDefault="003A1B56" w:rsidP="003A1B56">
            <w:pPr>
              <w:pStyle w:val="EQ3"/>
              <w:keepNext/>
              <w:spacing w:before="20" w:after="20"/>
              <w:rPr>
                <w:sz w:val="22"/>
                <w:szCs w:val="22"/>
              </w:rPr>
            </w:pPr>
            <w:r w:rsidRPr="00210D3C">
              <w:rPr>
                <w:sz w:val="22"/>
                <w:szCs w:val="22"/>
              </w:rPr>
              <w:t xml:space="preserve">Collect data </w:t>
            </w:r>
          </w:p>
        </w:tc>
        <w:tc>
          <w:tcPr>
            <w:tcW w:w="2884" w:type="dxa"/>
          </w:tcPr>
          <w:p w14:paraId="651455CF" w14:textId="77777777" w:rsidR="003A1B56" w:rsidRPr="00210D3C" w:rsidRDefault="003A1B56" w:rsidP="003A1B56">
            <w:pPr>
              <w:pStyle w:val="EQ3"/>
              <w:keepNext/>
              <w:spacing w:before="20" w:after="20"/>
              <w:rPr>
                <w:sz w:val="22"/>
                <w:szCs w:val="22"/>
              </w:rPr>
            </w:pPr>
            <w:r w:rsidRPr="00210D3C">
              <w:rPr>
                <w:sz w:val="22"/>
                <w:szCs w:val="22"/>
              </w:rPr>
              <w:t>April 2016–October 2019</w:t>
            </w:r>
          </w:p>
        </w:tc>
      </w:tr>
      <w:tr w:rsidR="003A1B56" w:rsidRPr="004245A5" w14:paraId="6D4D3536" w14:textId="77777777" w:rsidTr="00DB7606">
        <w:trPr>
          <w:cantSplit/>
        </w:trPr>
        <w:tc>
          <w:tcPr>
            <w:tcW w:w="6746" w:type="dxa"/>
          </w:tcPr>
          <w:p w14:paraId="517F0668" w14:textId="77777777" w:rsidR="003A1B56" w:rsidRPr="00210D3C" w:rsidRDefault="003A1B56" w:rsidP="003A1B56">
            <w:pPr>
              <w:pStyle w:val="EQ3"/>
              <w:keepNext/>
              <w:spacing w:before="20" w:after="20"/>
              <w:ind w:left="443"/>
              <w:rPr>
                <w:i/>
                <w:sz w:val="22"/>
                <w:szCs w:val="22"/>
              </w:rPr>
            </w:pPr>
            <w:r w:rsidRPr="00210D3C">
              <w:rPr>
                <w:sz w:val="22"/>
                <w:szCs w:val="22"/>
              </w:rPr>
              <w:t xml:space="preserve">Collect first round of </w:t>
            </w:r>
            <w:r w:rsidRPr="00210D3C">
              <w:rPr>
                <w:i/>
                <w:iCs/>
                <w:sz w:val="22"/>
                <w:szCs w:val="22"/>
              </w:rPr>
              <w:t>NITT-</w:t>
            </w:r>
            <w:r w:rsidRPr="00210D3C">
              <w:rPr>
                <w:i/>
                <w:sz w:val="22"/>
                <w:szCs w:val="22"/>
              </w:rPr>
              <w:t>MFP Fellow Interviews (Cohort 1)</w:t>
            </w:r>
          </w:p>
        </w:tc>
        <w:tc>
          <w:tcPr>
            <w:tcW w:w="2884" w:type="dxa"/>
          </w:tcPr>
          <w:p w14:paraId="1125AC3C" w14:textId="77777777" w:rsidR="003A1B56" w:rsidRPr="00210D3C" w:rsidDel="001F5FB0" w:rsidRDefault="003A1B56" w:rsidP="003A1B56">
            <w:pPr>
              <w:pStyle w:val="EQ3"/>
              <w:keepNext/>
              <w:spacing w:before="20" w:after="20"/>
              <w:rPr>
                <w:sz w:val="22"/>
                <w:szCs w:val="22"/>
              </w:rPr>
            </w:pPr>
            <w:r w:rsidRPr="00210D3C">
              <w:rPr>
                <w:sz w:val="22"/>
                <w:szCs w:val="22"/>
              </w:rPr>
              <w:t>April–May 2016</w:t>
            </w:r>
          </w:p>
        </w:tc>
      </w:tr>
      <w:tr w:rsidR="00484CD4" w:rsidRPr="004245A5" w14:paraId="4D13F3E6" w14:textId="77777777" w:rsidTr="00C06473">
        <w:trPr>
          <w:cantSplit/>
        </w:trPr>
        <w:tc>
          <w:tcPr>
            <w:tcW w:w="6746" w:type="dxa"/>
          </w:tcPr>
          <w:p w14:paraId="02E28A9C" w14:textId="29E246F9" w:rsidR="00484CD4" w:rsidRPr="00210D3C" w:rsidRDefault="00484CD4" w:rsidP="003A1B56">
            <w:pPr>
              <w:pStyle w:val="EQ3"/>
              <w:keepNext/>
              <w:spacing w:before="20" w:after="20"/>
              <w:ind w:left="443"/>
              <w:rPr>
                <w:sz w:val="22"/>
                <w:szCs w:val="22"/>
              </w:rPr>
            </w:pPr>
            <w:r w:rsidRPr="00210D3C">
              <w:rPr>
                <w:sz w:val="22"/>
                <w:szCs w:val="22"/>
              </w:rPr>
              <w:t xml:space="preserve">Collect second round of </w:t>
            </w:r>
            <w:r w:rsidR="00C41E18" w:rsidRPr="00210D3C">
              <w:rPr>
                <w:i/>
                <w:iCs/>
                <w:sz w:val="22"/>
                <w:szCs w:val="22"/>
              </w:rPr>
              <w:t>NITT-</w:t>
            </w:r>
            <w:r w:rsidRPr="00210D3C">
              <w:rPr>
                <w:i/>
                <w:sz w:val="22"/>
                <w:szCs w:val="22"/>
              </w:rPr>
              <w:t>MFP Fellow Interviews (Cohort 2)</w:t>
            </w:r>
          </w:p>
        </w:tc>
        <w:tc>
          <w:tcPr>
            <w:tcW w:w="2884" w:type="dxa"/>
          </w:tcPr>
          <w:p w14:paraId="47EC3E04" w14:textId="77777777" w:rsidR="00484CD4" w:rsidRPr="00210D3C" w:rsidRDefault="00484CD4" w:rsidP="003A1B56">
            <w:pPr>
              <w:pStyle w:val="EQ3"/>
              <w:keepNext/>
              <w:spacing w:before="20" w:after="20"/>
              <w:rPr>
                <w:sz w:val="22"/>
                <w:szCs w:val="22"/>
              </w:rPr>
            </w:pPr>
            <w:r w:rsidRPr="00210D3C">
              <w:rPr>
                <w:sz w:val="22"/>
                <w:szCs w:val="22"/>
              </w:rPr>
              <w:t>January–February 2017</w:t>
            </w:r>
          </w:p>
        </w:tc>
      </w:tr>
      <w:tr w:rsidR="00484CD4" w:rsidRPr="004245A5" w14:paraId="1BB1AF35" w14:textId="77777777" w:rsidTr="00C06473">
        <w:trPr>
          <w:cantSplit/>
        </w:trPr>
        <w:tc>
          <w:tcPr>
            <w:tcW w:w="6746" w:type="dxa"/>
          </w:tcPr>
          <w:p w14:paraId="583F6E03" w14:textId="256CF208" w:rsidR="00484CD4" w:rsidRPr="00210D3C" w:rsidRDefault="00484CD4" w:rsidP="003A1B56">
            <w:pPr>
              <w:pStyle w:val="EQ3"/>
              <w:keepNext/>
              <w:spacing w:before="20" w:after="20"/>
              <w:ind w:left="443"/>
              <w:rPr>
                <w:sz w:val="22"/>
                <w:szCs w:val="22"/>
              </w:rPr>
            </w:pPr>
            <w:r w:rsidRPr="00210D3C">
              <w:rPr>
                <w:sz w:val="22"/>
                <w:szCs w:val="22"/>
              </w:rPr>
              <w:t xml:space="preserve">Collect third round of </w:t>
            </w:r>
            <w:r w:rsidR="00C41E18" w:rsidRPr="00210D3C">
              <w:rPr>
                <w:i/>
                <w:iCs/>
                <w:sz w:val="22"/>
                <w:szCs w:val="22"/>
              </w:rPr>
              <w:t>NITT-</w:t>
            </w:r>
            <w:r w:rsidRPr="00210D3C">
              <w:rPr>
                <w:i/>
                <w:sz w:val="22"/>
                <w:szCs w:val="22"/>
              </w:rPr>
              <w:t>MFP Fellow Interviews (Cohort 3)</w:t>
            </w:r>
          </w:p>
        </w:tc>
        <w:tc>
          <w:tcPr>
            <w:tcW w:w="2884" w:type="dxa"/>
          </w:tcPr>
          <w:p w14:paraId="146C597C" w14:textId="77777777" w:rsidR="00484CD4" w:rsidRPr="00210D3C" w:rsidRDefault="00484CD4" w:rsidP="003A1B56">
            <w:pPr>
              <w:pStyle w:val="EQ3"/>
              <w:keepNext/>
              <w:spacing w:before="20" w:after="20"/>
              <w:rPr>
                <w:sz w:val="22"/>
                <w:szCs w:val="22"/>
              </w:rPr>
            </w:pPr>
            <w:r w:rsidRPr="00210D3C">
              <w:rPr>
                <w:sz w:val="22"/>
                <w:szCs w:val="22"/>
              </w:rPr>
              <w:t>January–February 2018</w:t>
            </w:r>
          </w:p>
        </w:tc>
      </w:tr>
      <w:tr w:rsidR="00484CD4" w:rsidRPr="004245A5" w14:paraId="1B9AD4EC" w14:textId="77777777" w:rsidTr="00C06473">
        <w:trPr>
          <w:cantSplit/>
        </w:trPr>
        <w:tc>
          <w:tcPr>
            <w:tcW w:w="6746" w:type="dxa"/>
          </w:tcPr>
          <w:p w14:paraId="4F4DE506" w14:textId="50710EB3" w:rsidR="00484CD4" w:rsidRPr="00210D3C" w:rsidRDefault="00484CD4" w:rsidP="000634D2">
            <w:pPr>
              <w:pStyle w:val="EQ3"/>
              <w:spacing w:before="20" w:after="20"/>
              <w:ind w:left="443"/>
              <w:rPr>
                <w:sz w:val="22"/>
                <w:szCs w:val="22"/>
              </w:rPr>
            </w:pPr>
            <w:r w:rsidRPr="00210D3C">
              <w:rPr>
                <w:sz w:val="22"/>
                <w:szCs w:val="22"/>
              </w:rPr>
              <w:t xml:space="preserve">Collect fourth round of </w:t>
            </w:r>
            <w:r w:rsidR="00C41E18" w:rsidRPr="00210D3C">
              <w:rPr>
                <w:i/>
                <w:iCs/>
                <w:sz w:val="22"/>
                <w:szCs w:val="22"/>
              </w:rPr>
              <w:t>NITT-</w:t>
            </w:r>
            <w:r w:rsidRPr="00210D3C">
              <w:rPr>
                <w:i/>
                <w:sz w:val="22"/>
                <w:szCs w:val="22"/>
              </w:rPr>
              <w:t>MFP Fellow Interviews (Cohort 4)</w:t>
            </w:r>
          </w:p>
        </w:tc>
        <w:tc>
          <w:tcPr>
            <w:tcW w:w="2884" w:type="dxa"/>
          </w:tcPr>
          <w:p w14:paraId="7A57F68F" w14:textId="77777777" w:rsidR="00484CD4" w:rsidRPr="00210D3C" w:rsidRDefault="00484CD4" w:rsidP="000634D2">
            <w:pPr>
              <w:pStyle w:val="EQ3"/>
              <w:spacing w:before="20" w:after="20"/>
              <w:rPr>
                <w:sz w:val="22"/>
                <w:szCs w:val="22"/>
              </w:rPr>
            </w:pPr>
            <w:r w:rsidRPr="00210D3C">
              <w:rPr>
                <w:sz w:val="22"/>
                <w:szCs w:val="22"/>
              </w:rPr>
              <w:t>January–February 2019</w:t>
            </w:r>
          </w:p>
        </w:tc>
      </w:tr>
      <w:tr w:rsidR="00DC1FC0" w:rsidRPr="004245A5" w14:paraId="6F863FBF" w14:textId="77777777" w:rsidTr="00C06473">
        <w:trPr>
          <w:cantSplit/>
        </w:trPr>
        <w:tc>
          <w:tcPr>
            <w:tcW w:w="6746" w:type="dxa"/>
          </w:tcPr>
          <w:p w14:paraId="35B1CD63" w14:textId="77777777" w:rsidR="00DC1FC0" w:rsidRPr="00210D3C" w:rsidRDefault="00DC1FC0" w:rsidP="000634D2">
            <w:pPr>
              <w:pStyle w:val="EQ3"/>
              <w:spacing w:before="20" w:after="20"/>
              <w:rPr>
                <w:sz w:val="22"/>
                <w:szCs w:val="22"/>
              </w:rPr>
            </w:pPr>
            <w:r w:rsidRPr="00210D3C">
              <w:rPr>
                <w:sz w:val="22"/>
                <w:szCs w:val="22"/>
              </w:rPr>
              <w:t xml:space="preserve">Analyze data </w:t>
            </w:r>
          </w:p>
        </w:tc>
        <w:tc>
          <w:tcPr>
            <w:tcW w:w="2884" w:type="dxa"/>
          </w:tcPr>
          <w:p w14:paraId="0121249D" w14:textId="6F80C7D5" w:rsidR="00DC1FC0" w:rsidRPr="00210D3C" w:rsidRDefault="00DC1FC0" w:rsidP="000634D2">
            <w:pPr>
              <w:pStyle w:val="EQ3"/>
              <w:spacing w:before="20" w:after="20"/>
              <w:rPr>
                <w:sz w:val="22"/>
                <w:szCs w:val="22"/>
              </w:rPr>
            </w:pPr>
            <w:r w:rsidRPr="00210D3C">
              <w:rPr>
                <w:sz w:val="22"/>
                <w:szCs w:val="22"/>
              </w:rPr>
              <w:t>April 2016– November 2019</w:t>
            </w:r>
          </w:p>
        </w:tc>
      </w:tr>
      <w:tr w:rsidR="00DC1FC0" w:rsidRPr="004245A5" w14:paraId="431FF02B" w14:textId="77777777" w:rsidTr="00C06473">
        <w:trPr>
          <w:cantSplit/>
        </w:trPr>
        <w:tc>
          <w:tcPr>
            <w:tcW w:w="6746" w:type="dxa"/>
          </w:tcPr>
          <w:p w14:paraId="0C4882BE" w14:textId="77777777" w:rsidR="00DC1FC0" w:rsidRPr="00210D3C" w:rsidRDefault="00DC1FC0" w:rsidP="000634D2">
            <w:pPr>
              <w:pStyle w:val="EQ3"/>
              <w:spacing w:before="20" w:after="20"/>
              <w:rPr>
                <w:sz w:val="22"/>
                <w:szCs w:val="22"/>
              </w:rPr>
            </w:pPr>
            <w:r w:rsidRPr="00210D3C">
              <w:rPr>
                <w:sz w:val="22"/>
                <w:szCs w:val="22"/>
              </w:rPr>
              <w:t>Disseminate findings</w:t>
            </w:r>
            <w:r w:rsidRPr="00210D3C">
              <w:rPr>
                <w:sz w:val="22"/>
                <w:szCs w:val="22"/>
              </w:rPr>
              <w:br/>
              <w:t>Interim reports, presentations, manuscripts, final report</w:t>
            </w:r>
          </w:p>
        </w:tc>
        <w:tc>
          <w:tcPr>
            <w:tcW w:w="2884" w:type="dxa"/>
          </w:tcPr>
          <w:p w14:paraId="54CC77E2" w14:textId="6580752E" w:rsidR="00DC1FC0" w:rsidRPr="00210D3C" w:rsidRDefault="00DC1FC0" w:rsidP="000634D2">
            <w:pPr>
              <w:pStyle w:val="EQ3"/>
              <w:spacing w:before="20" w:after="20"/>
              <w:rPr>
                <w:sz w:val="22"/>
                <w:szCs w:val="22"/>
              </w:rPr>
            </w:pPr>
            <w:r w:rsidRPr="00210D3C">
              <w:rPr>
                <w:sz w:val="22"/>
                <w:szCs w:val="22"/>
              </w:rPr>
              <w:t>April 2016–February 20</w:t>
            </w:r>
            <w:r w:rsidR="0034022D" w:rsidRPr="00210D3C">
              <w:rPr>
                <w:sz w:val="22"/>
                <w:szCs w:val="22"/>
              </w:rPr>
              <w:t>20</w:t>
            </w:r>
          </w:p>
        </w:tc>
      </w:tr>
    </w:tbl>
    <w:p w14:paraId="3B4D7E02" w14:textId="4CC12CF2" w:rsidR="004245A5" w:rsidRPr="00651087" w:rsidRDefault="004245A5" w:rsidP="0001203A">
      <w:pPr>
        <w:pStyle w:val="ExhibitNote2"/>
      </w:pPr>
    </w:p>
    <w:p w14:paraId="382B7C96" w14:textId="77777777" w:rsidR="009B11BE" w:rsidRPr="00210D3C" w:rsidRDefault="009B11BE" w:rsidP="0043579C">
      <w:pPr>
        <w:pStyle w:val="Heading5"/>
        <w:rPr>
          <w:sz w:val="24"/>
          <w:szCs w:val="24"/>
        </w:rPr>
      </w:pPr>
      <w:r w:rsidRPr="00210D3C">
        <w:rPr>
          <w:sz w:val="24"/>
          <w:szCs w:val="24"/>
        </w:rPr>
        <w:t>Publications</w:t>
      </w:r>
    </w:p>
    <w:p w14:paraId="41897BCD" w14:textId="726D213C" w:rsidR="000F51C7" w:rsidRPr="00210D3C" w:rsidRDefault="009B11BE" w:rsidP="00F477AF">
      <w:pPr>
        <w:rPr>
          <w:sz w:val="24"/>
          <w:szCs w:val="24"/>
        </w:rPr>
      </w:pPr>
      <w:r w:rsidRPr="00210D3C">
        <w:rPr>
          <w:sz w:val="24"/>
          <w:szCs w:val="24"/>
        </w:rPr>
        <w:t>The NITT-MFP evaluation will help SAMHSA reach its diverse stakeholders through targeted products and innovative dissemination venues</w:t>
      </w:r>
      <w:r w:rsidR="007627AB">
        <w:rPr>
          <w:sz w:val="24"/>
          <w:szCs w:val="24"/>
        </w:rPr>
        <w:t xml:space="preserve">.  </w:t>
      </w:r>
      <w:r w:rsidRPr="00210D3C">
        <w:rPr>
          <w:sz w:val="24"/>
          <w:szCs w:val="24"/>
        </w:rPr>
        <w:t>The evaluation’s objective for all reports and dissemination products is to provide user-friendly documents and presentations that help SAMHSA successfully disseminate and explain the findings</w:t>
      </w:r>
      <w:r w:rsidR="007627AB">
        <w:rPr>
          <w:sz w:val="24"/>
          <w:szCs w:val="24"/>
        </w:rPr>
        <w:t xml:space="preserve">.  </w:t>
      </w:r>
      <w:r w:rsidRPr="00210D3C">
        <w:rPr>
          <w:sz w:val="24"/>
          <w:szCs w:val="24"/>
        </w:rPr>
        <w:t>The dissemination plan includes products in a variety of formats for a variety of target audiences</w:t>
      </w:r>
      <w:r w:rsidR="007627AB">
        <w:rPr>
          <w:sz w:val="24"/>
          <w:szCs w:val="24"/>
        </w:rPr>
        <w:t xml:space="preserve">.  </w:t>
      </w:r>
      <w:r w:rsidRPr="00210D3C">
        <w:rPr>
          <w:sz w:val="24"/>
          <w:szCs w:val="24"/>
        </w:rPr>
        <w:t>Audiences for these reports will include Congress, SAMHSA Centers, the evaluation’s SAMHSA Contracting Officer’s Representatives (CORs), NITT-MFP grantees and participants, and the broader mental health and substance abuse fields (e.g., academia, researchers, policy-makers, providers)</w:t>
      </w:r>
      <w:r w:rsidR="007627AB">
        <w:rPr>
          <w:sz w:val="24"/>
          <w:szCs w:val="24"/>
        </w:rPr>
        <w:t xml:space="preserve">.  </w:t>
      </w:r>
      <w:r w:rsidRPr="00210D3C">
        <w:rPr>
          <w:sz w:val="24"/>
          <w:szCs w:val="24"/>
        </w:rPr>
        <w:t>The NITT-MFP evaluation recognizes that different audiences are best reached by different types of report formats</w:t>
      </w:r>
      <w:r w:rsidR="007627AB">
        <w:rPr>
          <w:sz w:val="24"/>
          <w:szCs w:val="24"/>
        </w:rPr>
        <w:t xml:space="preserve">.  </w:t>
      </w:r>
      <w:r w:rsidRPr="00210D3C">
        <w:rPr>
          <w:sz w:val="24"/>
          <w:szCs w:val="24"/>
        </w:rPr>
        <w:t>For example, reports to Congress will require materials that are concise but offer policy-relevant recommendations</w:t>
      </w:r>
      <w:r w:rsidR="007627AB">
        <w:rPr>
          <w:sz w:val="24"/>
          <w:szCs w:val="24"/>
        </w:rPr>
        <w:t xml:space="preserve">.  </w:t>
      </w:r>
      <w:r w:rsidRPr="00210D3C">
        <w:rPr>
          <w:sz w:val="24"/>
          <w:szCs w:val="24"/>
        </w:rPr>
        <w:t>Reports created for SAMHSA Centers and the CORs will require more in-depth information, such as substantive background and discussion sections, to supplement the analytic approach</w:t>
      </w:r>
      <w:r w:rsidR="007627AB">
        <w:rPr>
          <w:sz w:val="24"/>
          <w:szCs w:val="24"/>
        </w:rPr>
        <w:t xml:space="preserve">.  </w:t>
      </w:r>
      <w:r w:rsidRPr="00210D3C">
        <w:rPr>
          <w:sz w:val="24"/>
          <w:szCs w:val="24"/>
        </w:rPr>
        <w:t>Reports created for NITT-MFP grantees will be concise handouts with helpful and easy-to-read graphics on performance data rather than lengthy text</w:t>
      </w:r>
      <w:r w:rsidR="007627AB">
        <w:rPr>
          <w:sz w:val="24"/>
          <w:szCs w:val="24"/>
        </w:rPr>
        <w:t xml:space="preserve">.  </w:t>
      </w:r>
      <w:r w:rsidRPr="00210D3C">
        <w:rPr>
          <w:sz w:val="24"/>
          <w:szCs w:val="24"/>
        </w:rPr>
        <w:t xml:space="preserve">The NITT-MFP evaluation will develop an assortment of disseminations products, including short and long analytic reports, congressional briefings, annual evaluation reports, research and policy briefs, ad hoc analytic reports, journal articles, best practice summaries, and conference or other presentations. </w:t>
      </w:r>
      <w:r w:rsidR="0088591B" w:rsidRPr="00210D3C">
        <w:rPr>
          <w:sz w:val="24"/>
          <w:szCs w:val="24"/>
        </w:rPr>
        <w:t xml:space="preserve"> </w:t>
      </w:r>
    </w:p>
    <w:p w14:paraId="793FE1B2" w14:textId="77777777" w:rsidR="00A76A47" w:rsidRPr="00210D3C" w:rsidRDefault="00A76A47" w:rsidP="0043579C">
      <w:pPr>
        <w:pStyle w:val="Heading5"/>
        <w:rPr>
          <w:sz w:val="24"/>
          <w:szCs w:val="24"/>
        </w:rPr>
      </w:pPr>
      <w:bookmarkStart w:id="6" w:name="_Toc376525625"/>
      <w:bookmarkStart w:id="7" w:name="_Toc376526169"/>
      <w:r w:rsidRPr="00210D3C">
        <w:rPr>
          <w:sz w:val="24"/>
          <w:szCs w:val="24"/>
        </w:rPr>
        <w:t>Analysis</w:t>
      </w:r>
      <w:bookmarkEnd w:id="6"/>
      <w:bookmarkEnd w:id="7"/>
    </w:p>
    <w:p w14:paraId="18782EFC" w14:textId="3EC6F55E" w:rsidR="00A76A47" w:rsidRPr="00210D3C" w:rsidRDefault="00A76A47" w:rsidP="00C63CA6">
      <w:pPr>
        <w:keepNext/>
        <w:tabs>
          <w:tab w:val="num" w:pos="720"/>
        </w:tabs>
        <w:rPr>
          <w:bCs/>
          <w:iCs/>
          <w:sz w:val="24"/>
          <w:szCs w:val="24"/>
        </w:rPr>
      </w:pPr>
      <w:r w:rsidRPr="00210D3C">
        <w:rPr>
          <w:bCs/>
          <w:iCs/>
          <w:sz w:val="24"/>
          <w:szCs w:val="24"/>
        </w:rPr>
        <w:t>The process evaluation analyses will be conducted in each program year to provide ongoing information on the implementation and management of the fellowship programs and fellows’ experiences</w:t>
      </w:r>
      <w:r w:rsidR="007627AB">
        <w:rPr>
          <w:bCs/>
          <w:iCs/>
          <w:sz w:val="24"/>
          <w:szCs w:val="24"/>
        </w:rPr>
        <w:t xml:space="preserve">.  </w:t>
      </w:r>
      <w:r w:rsidRPr="00210D3C">
        <w:rPr>
          <w:bCs/>
          <w:iCs/>
          <w:sz w:val="24"/>
          <w:szCs w:val="24"/>
        </w:rPr>
        <w:t>Initial interview data will be used to develop themes or constructs that will be used to code the fellow interviews to identify commonalities and differences in their experiences using qualitative coding software.</w:t>
      </w:r>
    </w:p>
    <w:p w14:paraId="6FC37C05" w14:textId="2B5E45FF" w:rsidR="00722721" w:rsidRPr="00210D3C" w:rsidRDefault="00A76A47" w:rsidP="00A76A47">
      <w:pPr>
        <w:keepNext/>
        <w:tabs>
          <w:tab w:val="num" w:pos="720"/>
        </w:tabs>
        <w:rPr>
          <w:bCs/>
          <w:iCs/>
          <w:sz w:val="24"/>
          <w:szCs w:val="24"/>
        </w:rPr>
      </w:pPr>
      <w:r w:rsidRPr="00210D3C">
        <w:rPr>
          <w:bCs/>
          <w:iCs/>
          <w:sz w:val="24"/>
          <w:szCs w:val="24"/>
        </w:rPr>
        <w:t xml:space="preserve">The qualitative data drawn from the fellow interviews </w:t>
      </w:r>
      <w:r w:rsidR="0043579C" w:rsidRPr="00210D3C">
        <w:rPr>
          <w:bCs/>
          <w:iCs/>
          <w:sz w:val="24"/>
          <w:szCs w:val="24"/>
        </w:rPr>
        <w:t>will provide</w:t>
      </w:r>
      <w:r w:rsidRPr="00210D3C">
        <w:rPr>
          <w:bCs/>
          <w:iCs/>
          <w:sz w:val="24"/>
          <w:szCs w:val="24"/>
        </w:rPr>
        <w:t xml:space="preserve"> evidence regarding any observed differences between grantees in terms of program outcomes</w:t>
      </w:r>
      <w:r w:rsidR="007627AB">
        <w:rPr>
          <w:bCs/>
          <w:iCs/>
          <w:sz w:val="24"/>
          <w:szCs w:val="24"/>
        </w:rPr>
        <w:t xml:space="preserve">.  </w:t>
      </w:r>
      <w:r w:rsidRPr="00210D3C">
        <w:rPr>
          <w:bCs/>
          <w:iCs/>
          <w:sz w:val="24"/>
          <w:szCs w:val="24"/>
        </w:rPr>
        <w:t>The analysis will include cross-grantee analyses that will examine shared and distinguishing strategies and process-outcome analyses, through comparisons of fellow outcomes by grantee, and examining relationships between the grantees and their program partners</w:t>
      </w:r>
      <w:r w:rsidR="007627AB">
        <w:rPr>
          <w:bCs/>
          <w:iCs/>
          <w:sz w:val="24"/>
          <w:szCs w:val="24"/>
        </w:rPr>
        <w:t xml:space="preserve">.  </w:t>
      </w:r>
      <w:r w:rsidRPr="00210D3C">
        <w:rPr>
          <w:bCs/>
          <w:iCs/>
          <w:sz w:val="24"/>
          <w:szCs w:val="24"/>
        </w:rPr>
        <w:t xml:space="preserve">The analysis will be guided by qualitative comparative analysis (QCA), a method designed for use with small sample and population sizes (Longest &amp; </w:t>
      </w:r>
      <w:proofErr w:type="spellStart"/>
      <w:r w:rsidRPr="00210D3C">
        <w:rPr>
          <w:bCs/>
          <w:iCs/>
          <w:sz w:val="24"/>
          <w:szCs w:val="24"/>
        </w:rPr>
        <w:t>Thoits</w:t>
      </w:r>
      <w:proofErr w:type="spellEnd"/>
      <w:r w:rsidRPr="00210D3C">
        <w:rPr>
          <w:bCs/>
          <w:iCs/>
          <w:sz w:val="24"/>
          <w:szCs w:val="24"/>
        </w:rPr>
        <w:t xml:space="preserve">, 2012; </w:t>
      </w:r>
      <w:proofErr w:type="spellStart"/>
      <w:r w:rsidRPr="00210D3C">
        <w:rPr>
          <w:bCs/>
          <w:iCs/>
          <w:sz w:val="24"/>
          <w:szCs w:val="24"/>
        </w:rPr>
        <w:t>Rihoux</w:t>
      </w:r>
      <w:proofErr w:type="spellEnd"/>
      <w:r w:rsidRPr="00210D3C">
        <w:rPr>
          <w:bCs/>
          <w:iCs/>
          <w:sz w:val="24"/>
          <w:szCs w:val="24"/>
        </w:rPr>
        <w:t xml:space="preserve"> &amp; Ragin, 2008)</w:t>
      </w:r>
      <w:r w:rsidR="007627AB">
        <w:rPr>
          <w:bCs/>
          <w:iCs/>
          <w:sz w:val="24"/>
          <w:szCs w:val="24"/>
        </w:rPr>
        <w:t xml:space="preserve">.  </w:t>
      </w:r>
      <w:r w:rsidRPr="00210D3C">
        <w:rPr>
          <w:bCs/>
          <w:iCs/>
          <w:sz w:val="24"/>
          <w:szCs w:val="24"/>
        </w:rPr>
        <w:t>QCA assists in the identification of cross-case patterns, using a comparative approach that respects the diversity of cases and their heterogeneity while identifying configurations of relevant conditions and contexts related to project outcomes.</w:t>
      </w:r>
    </w:p>
    <w:p w14:paraId="3979AF79" w14:textId="77777777" w:rsidR="000F51C7" w:rsidRDefault="00043BE1" w:rsidP="000F51C7">
      <w:pPr>
        <w:pStyle w:val="Heading2"/>
      </w:pPr>
      <w:r w:rsidRPr="001F42AB">
        <w:t>Display of Expiration Date</w:t>
      </w:r>
    </w:p>
    <w:p w14:paraId="140A9534" w14:textId="262877D7" w:rsidR="00A12F9C" w:rsidRPr="00210D3C" w:rsidRDefault="0058668D" w:rsidP="0003189F">
      <w:pPr>
        <w:rPr>
          <w:sz w:val="24"/>
          <w:szCs w:val="24"/>
        </w:rPr>
      </w:pPr>
      <w:r w:rsidRPr="00210D3C">
        <w:rPr>
          <w:sz w:val="24"/>
          <w:szCs w:val="24"/>
        </w:rPr>
        <w:t>OMB approval expiration dates will be displayed.</w:t>
      </w:r>
    </w:p>
    <w:p w14:paraId="750A9639" w14:textId="77777777" w:rsidR="000F51C7" w:rsidRDefault="00043BE1" w:rsidP="000F51C7">
      <w:pPr>
        <w:pStyle w:val="Heading2"/>
      </w:pPr>
      <w:r w:rsidRPr="001F42AB">
        <w:t>Exceptions to Certification for Statement</w:t>
      </w:r>
    </w:p>
    <w:p w14:paraId="42679D05" w14:textId="32125638" w:rsidR="00A12F9C" w:rsidRPr="00210D3C" w:rsidRDefault="0058668D" w:rsidP="0003189F">
      <w:pPr>
        <w:rPr>
          <w:sz w:val="24"/>
          <w:szCs w:val="24"/>
        </w:rPr>
      </w:pPr>
      <w:r w:rsidRPr="00210D3C">
        <w:rPr>
          <w:sz w:val="24"/>
          <w:szCs w:val="24"/>
        </w:rPr>
        <w:t>There are no exceptions to the certification statement</w:t>
      </w:r>
      <w:r w:rsidR="007627AB">
        <w:rPr>
          <w:sz w:val="24"/>
          <w:szCs w:val="24"/>
        </w:rPr>
        <w:t xml:space="preserve">.  </w:t>
      </w:r>
      <w:r w:rsidRPr="00210D3C">
        <w:rPr>
          <w:sz w:val="24"/>
          <w:szCs w:val="24"/>
        </w:rPr>
        <w:t>The certifications are included in this submission.</w:t>
      </w:r>
    </w:p>
    <w:sectPr w:rsidR="00A12F9C" w:rsidRPr="00210D3C" w:rsidSect="00350A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B2D1D" w14:textId="77777777" w:rsidR="00995310" w:rsidRDefault="00995310" w:rsidP="0001203A">
      <w:pPr>
        <w:spacing w:after="0"/>
      </w:pPr>
      <w:r>
        <w:separator/>
      </w:r>
    </w:p>
  </w:endnote>
  <w:endnote w:type="continuationSeparator" w:id="0">
    <w:p w14:paraId="5A58E89D" w14:textId="77777777" w:rsidR="00995310" w:rsidRDefault="00995310" w:rsidP="00012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183617"/>
      <w:docPartObj>
        <w:docPartGallery w:val="Page Numbers (Bottom of Page)"/>
        <w:docPartUnique/>
      </w:docPartObj>
    </w:sdtPr>
    <w:sdtEndPr>
      <w:rPr>
        <w:noProof/>
      </w:rPr>
    </w:sdtEndPr>
    <w:sdtContent>
      <w:p w14:paraId="5359011A" w14:textId="554AC9FB" w:rsidR="00DB7606" w:rsidRDefault="00DB7606">
        <w:pPr>
          <w:pStyle w:val="Footer"/>
          <w:jc w:val="center"/>
        </w:pPr>
        <w:r>
          <w:fldChar w:fldCharType="begin"/>
        </w:r>
        <w:r>
          <w:instrText xml:space="preserve"> PAGE   \* MERGEFORMAT </w:instrText>
        </w:r>
        <w:r>
          <w:fldChar w:fldCharType="separate"/>
        </w:r>
        <w:r w:rsidR="00C56C6D">
          <w:rPr>
            <w:noProof/>
          </w:rPr>
          <w:t>7</w:t>
        </w:r>
        <w:r>
          <w:rPr>
            <w:noProof/>
          </w:rPr>
          <w:fldChar w:fldCharType="end"/>
        </w:r>
      </w:p>
    </w:sdtContent>
  </w:sdt>
  <w:p w14:paraId="1F4319A1" w14:textId="77777777" w:rsidR="00DB7606" w:rsidRDefault="00DB7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08DC8" w14:textId="77777777" w:rsidR="00995310" w:rsidRDefault="00995310" w:rsidP="0001203A">
      <w:pPr>
        <w:spacing w:after="0"/>
      </w:pPr>
      <w:r>
        <w:separator/>
      </w:r>
    </w:p>
  </w:footnote>
  <w:footnote w:type="continuationSeparator" w:id="0">
    <w:p w14:paraId="42D80460" w14:textId="77777777" w:rsidR="00995310" w:rsidRDefault="00995310" w:rsidP="000120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DCAB24"/>
    <w:lvl w:ilvl="0">
      <w:start w:val="1"/>
      <w:numFmt w:val="decimal"/>
      <w:lvlText w:val="%1."/>
      <w:lvlJc w:val="left"/>
      <w:pPr>
        <w:tabs>
          <w:tab w:val="num" w:pos="1800"/>
        </w:tabs>
        <w:ind w:left="1800" w:hanging="360"/>
      </w:pPr>
    </w:lvl>
  </w:abstractNum>
  <w:abstractNum w:abstractNumId="1">
    <w:nsid w:val="FFFFFF7D"/>
    <w:multiLevelType w:val="singleLevel"/>
    <w:tmpl w:val="FD86C64A"/>
    <w:lvl w:ilvl="0">
      <w:start w:val="1"/>
      <w:numFmt w:val="decimal"/>
      <w:lvlText w:val="%1."/>
      <w:lvlJc w:val="left"/>
      <w:pPr>
        <w:tabs>
          <w:tab w:val="num" w:pos="1440"/>
        </w:tabs>
        <w:ind w:left="1440" w:hanging="360"/>
      </w:pPr>
    </w:lvl>
  </w:abstractNum>
  <w:abstractNum w:abstractNumId="2">
    <w:nsid w:val="FFFFFF7E"/>
    <w:multiLevelType w:val="singleLevel"/>
    <w:tmpl w:val="17D6B616"/>
    <w:lvl w:ilvl="0">
      <w:start w:val="1"/>
      <w:numFmt w:val="decimal"/>
      <w:lvlText w:val="%1."/>
      <w:lvlJc w:val="left"/>
      <w:pPr>
        <w:tabs>
          <w:tab w:val="num" w:pos="1080"/>
        </w:tabs>
        <w:ind w:left="1080" w:hanging="360"/>
      </w:pPr>
    </w:lvl>
  </w:abstractNum>
  <w:abstractNum w:abstractNumId="3">
    <w:nsid w:val="FFFFFF7F"/>
    <w:multiLevelType w:val="singleLevel"/>
    <w:tmpl w:val="948E7E9A"/>
    <w:lvl w:ilvl="0">
      <w:start w:val="1"/>
      <w:numFmt w:val="decimal"/>
      <w:lvlText w:val="%1."/>
      <w:lvlJc w:val="left"/>
      <w:pPr>
        <w:tabs>
          <w:tab w:val="num" w:pos="720"/>
        </w:tabs>
        <w:ind w:left="720" w:hanging="360"/>
      </w:pPr>
    </w:lvl>
  </w:abstractNum>
  <w:abstractNum w:abstractNumId="4">
    <w:nsid w:val="FFFFFF80"/>
    <w:multiLevelType w:val="singleLevel"/>
    <w:tmpl w:val="1CF8A7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B672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3CFD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1CBF7C"/>
    <w:lvl w:ilvl="0">
      <w:start w:val="1"/>
      <w:numFmt w:val="bullet"/>
      <w:pStyle w:val="ListBullet2"/>
      <w:lvlText w:val=""/>
      <w:lvlJc w:val="left"/>
      <w:pPr>
        <w:ind w:left="1080" w:hanging="360"/>
      </w:pPr>
      <w:rPr>
        <w:rFonts w:ascii="Symbol" w:hAnsi="Symbol" w:hint="default"/>
      </w:rPr>
    </w:lvl>
  </w:abstractNum>
  <w:abstractNum w:abstractNumId="8">
    <w:nsid w:val="FFFFFF88"/>
    <w:multiLevelType w:val="singleLevel"/>
    <w:tmpl w:val="8EE449B4"/>
    <w:lvl w:ilvl="0">
      <w:start w:val="1"/>
      <w:numFmt w:val="decimal"/>
      <w:lvlText w:val="%1."/>
      <w:lvlJc w:val="left"/>
      <w:pPr>
        <w:tabs>
          <w:tab w:val="num" w:pos="360"/>
        </w:tabs>
        <w:ind w:left="360" w:hanging="360"/>
      </w:pPr>
    </w:lvl>
  </w:abstractNum>
  <w:abstractNum w:abstractNumId="9">
    <w:nsid w:val="FFFFFF89"/>
    <w:multiLevelType w:val="singleLevel"/>
    <w:tmpl w:val="A044CF54"/>
    <w:lvl w:ilvl="0">
      <w:start w:val="1"/>
      <w:numFmt w:val="bullet"/>
      <w:lvlText w:val=""/>
      <w:lvlJc w:val="left"/>
      <w:pPr>
        <w:tabs>
          <w:tab w:val="num" w:pos="360"/>
        </w:tabs>
        <w:ind w:left="360" w:hanging="360"/>
      </w:pPr>
      <w:rPr>
        <w:rFonts w:ascii="Symbol" w:hAnsi="Symbol" w:hint="default"/>
      </w:rPr>
    </w:lvl>
  </w:abstractNum>
  <w:abstractNum w:abstractNumId="10">
    <w:nsid w:val="0605177E"/>
    <w:multiLevelType w:val="hybridMultilevel"/>
    <w:tmpl w:val="D58602CE"/>
    <w:lvl w:ilvl="0" w:tplc="43AC71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6D3E16"/>
    <w:multiLevelType w:val="hybridMultilevel"/>
    <w:tmpl w:val="F1387D98"/>
    <w:lvl w:ilvl="0" w:tplc="780E2044">
      <w:start w:val="1"/>
      <w:numFmt w:val="decimal"/>
      <w:lvlText w:val="A.%1."/>
      <w:lvlJc w:val="left"/>
      <w:pPr>
        <w:ind w:left="6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8213E7"/>
    <w:multiLevelType w:val="hybridMultilevel"/>
    <w:tmpl w:val="8432F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87E6B"/>
    <w:multiLevelType w:val="hybridMultilevel"/>
    <w:tmpl w:val="2C88B85C"/>
    <w:lvl w:ilvl="0" w:tplc="523E774C">
      <w:start w:val="1"/>
      <w:numFmt w:val="decimal"/>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F0D32"/>
    <w:multiLevelType w:val="hybridMultilevel"/>
    <w:tmpl w:val="D2743DE2"/>
    <w:lvl w:ilvl="0" w:tplc="A198BFF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563306A"/>
    <w:multiLevelType w:val="hybridMultilevel"/>
    <w:tmpl w:val="43E4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6D6C58"/>
    <w:multiLevelType w:val="hybridMultilevel"/>
    <w:tmpl w:val="79B8282A"/>
    <w:lvl w:ilvl="0" w:tplc="647EBF8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855FF4"/>
    <w:multiLevelType w:val="hybridMultilevel"/>
    <w:tmpl w:val="98B8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EC1185"/>
    <w:multiLevelType w:val="multilevel"/>
    <w:tmpl w:val="B65C784C"/>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2763C74"/>
    <w:multiLevelType w:val="hybridMultilevel"/>
    <w:tmpl w:val="C7B4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687ABB"/>
    <w:multiLevelType w:val="hybridMultilevel"/>
    <w:tmpl w:val="6AB62F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8CC4C87"/>
    <w:multiLevelType w:val="hybridMultilevel"/>
    <w:tmpl w:val="53C42076"/>
    <w:lvl w:ilvl="0" w:tplc="BDD8BFDC">
      <w:start w:val="1"/>
      <w:numFmt w:val="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E23921"/>
    <w:multiLevelType w:val="hybridMultilevel"/>
    <w:tmpl w:val="DA404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842E7E"/>
    <w:multiLevelType w:val="hybridMultilevel"/>
    <w:tmpl w:val="C8A29EDA"/>
    <w:lvl w:ilvl="0" w:tplc="7A745444">
      <w:start w:val="1"/>
      <w:numFmt w:val="bullet"/>
      <w:pStyle w:val="List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8927E5"/>
    <w:multiLevelType w:val="hybridMultilevel"/>
    <w:tmpl w:val="909C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1322E9"/>
    <w:multiLevelType w:val="hybridMultilevel"/>
    <w:tmpl w:val="DB3E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2F0603"/>
    <w:multiLevelType w:val="hybridMultilevel"/>
    <w:tmpl w:val="BE043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8A2F3B"/>
    <w:multiLevelType w:val="hybridMultilevel"/>
    <w:tmpl w:val="95C2C682"/>
    <w:lvl w:ilvl="0" w:tplc="9E20CE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E9403E"/>
    <w:multiLevelType w:val="hybridMultilevel"/>
    <w:tmpl w:val="BD66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A76799"/>
    <w:multiLevelType w:val="hybridMultilevel"/>
    <w:tmpl w:val="A1CA4A62"/>
    <w:lvl w:ilvl="0" w:tplc="E70C5AB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DF57E0"/>
    <w:multiLevelType w:val="hybridMultilevel"/>
    <w:tmpl w:val="F0FC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EC45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00F5180"/>
    <w:multiLevelType w:val="hybridMultilevel"/>
    <w:tmpl w:val="CD28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5D2BAA"/>
    <w:multiLevelType w:val="hybridMultilevel"/>
    <w:tmpl w:val="92381052"/>
    <w:lvl w:ilvl="0" w:tplc="04090001">
      <w:start w:val="1"/>
      <w:numFmt w:val="bullet"/>
      <w:lvlText w:val=""/>
      <w:lvlJc w:val="left"/>
      <w:pPr>
        <w:tabs>
          <w:tab w:val="num" w:pos="720"/>
        </w:tabs>
        <w:ind w:left="720" w:hanging="360"/>
      </w:pPr>
      <w:rPr>
        <w:rFonts w:ascii="Symbol" w:hAnsi="Symbol" w:hint="default"/>
      </w:rPr>
    </w:lvl>
    <w:lvl w:ilvl="1" w:tplc="A198BFF6">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E3F1F21"/>
    <w:multiLevelType w:val="hybridMultilevel"/>
    <w:tmpl w:val="B6C88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74635F"/>
    <w:multiLevelType w:val="hybridMultilevel"/>
    <w:tmpl w:val="6AA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C01224"/>
    <w:multiLevelType w:val="multilevel"/>
    <w:tmpl w:val="7F0EA1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3754486"/>
    <w:multiLevelType w:val="hybridMultilevel"/>
    <w:tmpl w:val="3B581B0E"/>
    <w:lvl w:ilvl="0" w:tplc="ADF4E63A">
      <w:start w:val="1"/>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A946C47"/>
    <w:multiLevelType w:val="hybridMultilevel"/>
    <w:tmpl w:val="827C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CB4648"/>
    <w:multiLevelType w:val="hybridMultilevel"/>
    <w:tmpl w:val="2360A496"/>
    <w:lvl w:ilvl="0" w:tplc="5F20A8FE">
      <w:start w:val="1"/>
      <w:numFmt w:val="bullet"/>
      <w:lvlText w:val=""/>
      <w:lvlJc w:val="left"/>
      <w:pPr>
        <w:tabs>
          <w:tab w:val="num" w:pos="720"/>
        </w:tabs>
        <w:ind w:left="720" w:hanging="360"/>
      </w:pPr>
      <w:rPr>
        <w:rFonts w:ascii="Symbol" w:hAnsi="Symbol" w:hint="default"/>
      </w:rPr>
    </w:lvl>
    <w:lvl w:ilvl="1" w:tplc="5F20A8F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E468A3"/>
    <w:multiLevelType w:val="hybridMultilevel"/>
    <w:tmpl w:val="DF4E764C"/>
    <w:lvl w:ilvl="0" w:tplc="453803A2">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C355DD"/>
    <w:multiLevelType w:val="hybridMultilevel"/>
    <w:tmpl w:val="866084D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694CA6"/>
    <w:multiLevelType w:val="hybridMultilevel"/>
    <w:tmpl w:val="89B6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566896"/>
    <w:multiLevelType w:val="multilevel"/>
    <w:tmpl w:val="44E4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4"/>
  </w:num>
  <w:num w:numId="3">
    <w:abstractNumId w:val="39"/>
  </w:num>
  <w:num w:numId="4">
    <w:abstractNumId w:val="25"/>
  </w:num>
  <w:num w:numId="5">
    <w:abstractNumId w:val="32"/>
  </w:num>
  <w:num w:numId="6">
    <w:abstractNumId w:val="41"/>
  </w:num>
  <w:num w:numId="7">
    <w:abstractNumId w:val="38"/>
  </w:num>
  <w:num w:numId="8">
    <w:abstractNumId w:val="28"/>
  </w:num>
  <w:num w:numId="9">
    <w:abstractNumId w:val="10"/>
  </w:num>
  <w:num w:numId="10">
    <w:abstractNumId w:val="23"/>
  </w:num>
  <w:num w:numId="11">
    <w:abstractNumId w:val="40"/>
  </w:num>
  <w:num w:numId="12">
    <w:abstractNumId w:val="22"/>
  </w:num>
  <w:num w:numId="13">
    <w:abstractNumId w:val="12"/>
  </w:num>
  <w:num w:numId="14">
    <w:abstractNumId w:val="34"/>
  </w:num>
  <w:num w:numId="15">
    <w:abstractNumId w:val="43"/>
  </w:num>
  <w:num w:numId="16">
    <w:abstractNumId w:val="36"/>
  </w:num>
  <w:num w:numId="17">
    <w:abstractNumId w:val="42"/>
  </w:num>
  <w:num w:numId="18">
    <w:abstractNumId w:val="27"/>
  </w:num>
  <w:num w:numId="19">
    <w:abstractNumId w:val="30"/>
  </w:num>
  <w:num w:numId="20">
    <w:abstractNumId w:val="31"/>
  </w:num>
  <w:num w:numId="21">
    <w:abstractNumId w:val="44"/>
  </w:num>
  <w:num w:numId="22">
    <w:abstractNumId w:val="21"/>
  </w:num>
  <w:num w:numId="23">
    <w:abstractNumId w:val="11"/>
  </w:num>
  <w:num w:numId="24">
    <w:abstractNumId w:val="16"/>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7"/>
  </w:num>
  <w:num w:numId="35">
    <w:abstractNumId w:val="18"/>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720" w:hanging="720"/>
        </w:pPr>
        <w:rPr>
          <w:rFonts w:hint="default"/>
          <w:color w:val="auto"/>
        </w:rPr>
      </w:lvl>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num>
  <w:num w:numId="38">
    <w:abstractNumId w:val="7"/>
    <w:lvlOverride w:ilvl="0">
      <w:startOverride w:val="1"/>
    </w:lvlOverride>
  </w:num>
  <w:num w:numId="39">
    <w:abstractNumId w:val="13"/>
  </w:num>
  <w:num w:numId="40">
    <w:abstractNumId w:val="9"/>
  </w:num>
  <w:num w:numId="41">
    <w:abstractNumId w:val="26"/>
  </w:num>
  <w:num w:numId="42">
    <w:abstractNumId w:val="15"/>
  </w:num>
  <w:num w:numId="43">
    <w:abstractNumId w:val="29"/>
  </w:num>
  <w:num w:numId="44">
    <w:abstractNumId w:val="35"/>
  </w:num>
  <w:num w:numId="45">
    <w:abstractNumId w:val="19"/>
  </w:num>
  <w:num w:numId="46">
    <w:abstractNumId w:val="18"/>
  </w:num>
  <w:num w:numId="47">
    <w:abstractNumId w:val="33"/>
  </w:num>
  <w:num w:numId="48">
    <w:abstractNumId w:val="2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61"/>
    <w:rsid w:val="00003F19"/>
    <w:rsid w:val="00005E40"/>
    <w:rsid w:val="000063FB"/>
    <w:rsid w:val="00010C73"/>
    <w:rsid w:val="0001172F"/>
    <w:rsid w:val="0001203A"/>
    <w:rsid w:val="00012297"/>
    <w:rsid w:val="000140F7"/>
    <w:rsid w:val="00014582"/>
    <w:rsid w:val="0001570C"/>
    <w:rsid w:val="00015C8F"/>
    <w:rsid w:val="00016B12"/>
    <w:rsid w:val="000207FA"/>
    <w:rsid w:val="00021F9D"/>
    <w:rsid w:val="00023C7D"/>
    <w:rsid w:val="00024893"/>
    <w:rsid w:val="000248D0"/>
    <w:rsid w:val="00027179"/>
    <w:rsid w:val="000278B1"/>
    <w:rsid w:val="0003189F"/>
    <w:rsid w:val="00032D99"/>
    <w:rsid w:val="00032F77"/>
    <w:rsid w:val="0003303D"/>
    <w:rsid w:val="00033D97"/>
    <w:rsid w:val="00033F61"/>
    <w:rsid w:val="0004242F"/>
    <w:rsid w:val="00042529"/>
    <w:rsid w:val="00043BE1"/>
    <w:rsid w:val="00044B51"/>
    <w:rsid w:val="000506A8"/>
    <w:rsid w:val="000523A2"/>
    <w:rsid w:val="0005251A"/>
    <w:rsid w:val="000565D4"/>
    <w:rsid w:val="00056CCB"/>
    <w:rsid w:val="0005719D"/>
    <w:rsid w:val="0005734E"/>
    <w:rsid w:val="00061036"/>
    <w:rsid w:val="000634D2"/>
    <w:rsid w:val="00063F0A"/>
    <w:rsid w:val="000663ED"/>
    <w:rsid w:val="000705C9"/>
    <w:rsid w:val="00073C37"/>
    <w:rsid w:val="00076648"/>
    <w:rsid w:val="00076D0D"/>
    <w:rsid w:val="00077540"/>
    <w:rsid w:val="00080F92"/>
    <w:rsid w:val="00081875"/>
    <w:rsid w:val="000832FC"/>
    <w:rsid w:val="00084C53"/>
    <w:rsid w:val="00085B7E"/>
    <w:rsid w:val="00086910"/>
    <w:rsid w:val="00090230"/>
    <w:rsid w:val="000941E7"/>
    <w:rsid w:val="0009536A"/>
    <w:rsid w:val="000A00B9"/>
    <w:rsid w:val="000A469B"/>
    <w:rsid w:val="000A52E2"/>
    <w:rsid w:val="000A6A55"/>
    <w:rsid w:val="000A6A86"/>
    <w:rsid w:val="000A6BCD"/>
    <w:rsid w:val="000A7314"/>
    <w:rsid w:val="000A73ED"/>
    <w:rsid w:val="000A7E23"/>
    <w:rsid w:val="000A7F54"/>
    <w:rsid w:val="000B0AE6"/>
    <w:rsid w:val="000B236C"/>
    <w:rsid w:val="000B369A"/>
    <w:rsid w:val="000B3DFD"/>
    <w:rsid w:val="000B509D"/>
    <w:rsid w:val="000B5AEC"/>
    <w:rsid w:val="000C0469"/>
    <w:rsid w:val="000C075B"/>
    <w:rsid w:val="000C2E50"/>
    <w:rsid w:val="000C4628"/>
    <w:rsid w:val="000C4ACD"/>
    <w:rsid w:val="000C4B66"/>
    <w:rsid w:val="000C4CD6"/>
    <w:rsid w:val="000C6794"/>
    <w:rsid w:val="000D2581"/>
    <w:rsid w:val="000D4599"/>
    <w:rsid w:val="000D66BB"/>
    <w:rsid w:val="000E055F"/>
    <w:rsid w:val="000E2643"/>
    <w:rsid w:val="000E3BD1"/>
    <w:rsid w:val="000E3C44"/>
    <w:rsid w:val="000E4A41"/>
    <w:rsid w:val="000E4B8B"/>
    <w:rsid w:val="000E5C66"/>
    <w:rsid w:val="000E645F"/>
    <w:rsid w:val="000E68E3"/>
    <w:rsid w:val="000F423F"/>
    <w:rsid w:val="000F51C7"/>
    <w:rsid w:val="000F5412"/>
    <w:rsid w:val="000F6E10"/>
    <w:rsid w:val="001006B9"/>
    <w:rsid w:val="001033AF"/>
    <w:rsid w:val="001037F1"/>
    <w:rsid w:val="00103901"/>
    <w:rsid w:val="00103BEB"/>
    <w:rsid w:val="00104737"/>
    <w:rsid w:val="00106389"/>
    <w:rsid w:val="001072E2"/>
    <w:rsid w:val="001073D3"/>
    <w:rsid w:val="00110BDF"/>
    <w:rsid w:val="00111491"/>
    <w:rsid w:val="00112995"/>
    <w:rsid w:val="00115706"/>
    <w:rsid w:val="0011766E"/>
    <w:rsid w:val="001215EB"/>
    <w:rsid w:val="00121731"/>
    <w:rsid w:val="001236AF"/>
    <w:rsid w:val="001255B4"/>
    <w:rsid w:val="0012767E"/>
    <w:rsid w:val="001304DA"/>
    <w:rsid w:val="0013266F"/>
    <w:rsid w:val="0013329C"/>
    <w:rsid w:val="00133858"/>
    <w:rsid w:val="001356C6"/>
    <w:rsid w:val="00143740"/>
    <w:rsid w:val="00144B4E"/>
    <w:rsid w:val="00146465"/>
    <w:rsid w:val="00150085"/>
    <w:rsid w:val="00153893"/>
    <w:rsid w:val="001539F6"/>
    <w:rsid w:val="00154561"/>
    <w:rsid w:val="00154BAF"/>
    <w:rsid w:val="0016149F"/>
    <w:rsid w:val="0016281F"/>
    <w:rsid w:val="00165B9C"/>
    <w:rsid w:val="00167F94"/>
    <w:rsid w:val="0017185C"/>
    <w:rsid w:val="0017380B"/>
    <w:rsid w:val="001757B4"/>
    <w:rsid w:val="001765AC"/>
    <w:rsid w:val="00177885"/>
    <w:rsid w:val="0018062A"/>
    <w:rsid w:val="0018247D"/>
    <w:rsid w:val="0018506A"/>
    <w:rsid w:val="0018545A"/>
    <w:rsid w:val="00186613"/>
    <w:rsid w:val="001866E7"/>
    <w:rsid w:val="00196163"/>
    <w:rsid w:val="001968BD"/>
    <w:rsid w:val="001A1B19"/>
    <w:rsid w:val="001A5AE7"/>
    <w:rsid w:val="001A60CF"/>
    <w:rsid w:val="001B11CD"/>
    <w:rsid w:val="001B1622"/>
    <w:rsid w:val="001B3318"/>
    <w:rsid w:val="001B6974"/>
    <w:rsid w:val="001C076E"/>
    <w:rsid w:val="001C18FA"/>
    <w:rsid w:val="001C237E"/>
    <w:rsid w:val="001C388D"/>
    <w:rsid w:val="001C553F"/>
    <w:rsid w:val="001D3432"/>
    <w:rsid w:val="001D48BD"/>
    <w:rsid w:val="001D6647"/>
    <w:rsid w:val="001D6CA5"/>
    <w:rsid w:val="001D7578"/>
    <w:rsid w:val="001D79DC"/>
    <w:rsid w:val="001E0304"/>
    <w:rsid w:val="001E0E1C"/>
    <w:rsid w:val="001E3E50"/>
    <w:rsid w:val="001E445C"/>
    <w:rsid w:val="001E6BC9"/>
    <w:rsid w:val="001E7A04"/>
    <w:rsid w:val="001F2130"/>
    <w:rsid w:val="001F2965"/>
    <w:rsid w:val="001F379D"/>
    <w:rsid w:val="001F42AB"/>
    <w:rsid w:val="001F4938"/>
    <w:rsid w:val="001F4F64"/>
    <w:rsid w:val="001F5FB0"/>
    <w:rsid w:val="0020386A"/>
    <w:rsid w:val="00207A63"/>
    <w:rsid w:val="00210354"/>
    <w:rsid w:val="00210D3C"/>
    <w:rsid w:val="0021239C"/>
    <w:rsid w:val="002126BB"/>
    <w:rsid w:val="0021550D"/>
    <w:rsid w:val="00217452"/>
    <w:rsid w:val="002209D0"/>
    <w:rsid w:val="00222081"/>
    <w:rsid w:val="00222333"/>
    <w:rsid w:val="00223183"/>
    <w:rsid w:val="00223247"/>
    <w:rsid w:val="00224548"/>
    <w:rsid w:val="00226B2E"/>
    <w:rsid w:val="00233718"/>
    <w:rsid w:val="00240E70"/>
    <w:rsid w:val="00241CBF"/>
    <w:rsid w:val="00243F5F"/>
    <w:rsid w:val="00243F7A"/>
    <w:rsid w:val="00246108"/>
    <w:rsid w:val="00247DDE"/>
    <w:rsid w:val="00253B07"/>
    <w:rsid w:val="00255902"/>
    <w:rsid w:val="00256D31"/>
    <w:rsid w:val="0026025B"/>
    <w:rsid w:val="002632D6"/>
    <w:rsid w:val="002643B4"/>
    <w:rsid w:val="00264433"/>
    <w:rsid w:val="00264F72"/>
    <w:rsid w:val="00266E8D"/>
    <w:rsid w:val="002717E2"/>
    <w:rsid w:val="002744AB"/>
    <w:rsid w:val="002745D2"/>
    <w:rsid w:val="00275F5C"/>
    <w:rsid w:val="002761E5"/>
    <w:rsid w:val="00280039"/>
    <w:rsid w:val="002807C3"/>
    <w:rsid w:val="002808BA"/>
    <w:rsid w:val="00281C96"/>
    <w:rsid w:val="00283369"/>
    <w:rsid w:val="00283C2C"/>
    <w:rsid w:val="002854CE"/>
    <w:rsid w:val="00287103"/>
    <w:rsid w:val="002873B8"/>
    <w:rsid w:val="0028778F"/>
    <w:rsid w:val="00287FEF"/>
    <w:rsid w:val="00290081"/>
    <w:rsid w:val="0029045F"/>
    <w:rsid w:val="002A09D6"/>
    <w:rsid w:val="002A5C2C"/>
    <w:rsid w:val="002A5D13"/>
    <w:rsid w:val="002A5D9B"/>
    <w:rsid w:val="002A6846"/>
    <w:rsid w:val="002A6E89"/>
    <w:rsid w:val="002A7E65"/>
    <w:rsid w:val="002B0563"/>
    <w:rsid w:val="002B67F6"/>
    <w:rsid w:val="002B6BE3"/>
    <w:rsid w:val="002B6E1F"/>
    <w:rsid w:val="002C4418"/>
    <w:rsid w:val="002C7FE5"/>
    <w:rsid w:val="002D08A2"/>
    <w:rsid w:val="002D2C16"/>
    <w:rsid w:val="002D3ADE"/>
    <w:rsid w:val="002D5066"/>
    <w:rsid w:val="002D628F"/>
    <w:rsid w:val="002E1476"/>
    <w:rsid w:val="002E238A"/>
    <w:rsid w:val="002E2835"/>
    <w:rsid w:val="002F04F2"/>
    <w:rsid w:val="002F56CF"/>
    <w:rsid w:val="002F76D0"/>
    <w:rsid w:val="002F7787"/>
    <w:rsid w:val="003004DF"/>
    <w:rsid w:val="00301545"/>
    <w:rsid w:val="00301845"/>
    <w:rsid w:val="00301ABB"/>
    <w:rsid w:val="00304A98"/>
    <w:rsid w:val="00305F77"/>
    <w:rsid w:val="00306994"/>
    <w:rsid w:val="003129D6"/>
    <w:rsid w:val="00313372"/>
    <w:rsid w:val="00313A13"/>
    <w:rsid w:val="00313D91"/>
    <w:rsid w:val="003141EC"/>
    <w:rsid w:val="003142B5"/>
    <w:rsid w:val="003153C9"/>
    <w:rsid w:val="0031569A"/>
    <w:rsid w:val="00317E30"/>
    <w:rsid w:val="00317FC4"/>
    <w:rsid w:val="003200DF"/>
    <w:rsid w:val="003201C7"/>
    <w:rsid w:val="00320B0F"/>
    <w:rsid w:val="00321A8A"/>
    <w:rsid w:val="003243F6"/>
    <w:rsid w:val="00324500"/>
    <w:rsid w:val="00324D24"/>
    <w:rsid w:val="003254EB"/>
    <w:rsid w:val="00326372"/>
    <w:rsid w:val="00326EE7"/>
    <w:rsid w:val="00330AE8"/>
    <w:rsid w:val="00336438"/>
    <w:rsid w:val="00336C71"/>
    <w:rsid w:val="0034022D"/>
    <w:rsid w:val="003411E1"/>
    <w:rsid w:val="003420B1"/>
    <w:rsid w:val="0034213D"/>
    <w:rsid w:val="00342376"/>
    <w:rsid w:val="00342590"/>
    <w:rsid w:val="00342FD2"/>
    <w:rsid w:val="003459C1"/>
    <w:rsid w:val="0034756E"/>
    <w:rsid w:val="00350ACA"/>
    <w:rsid w:val="00355832"/>
    <w:rsid w:val="00356F9F"/>
    <w:rsid w:val="00357D8E"/>
    <w:rsid w:val="003600F3"/>
    <w:rsid w:val="00362A5E"/>
    <w:rsid w:val="00365047"/>
    <w:rsid w:val="0037243E"/>
    <w:rsid w:val="00372E60"/>
    <w:rsid w:val="00374176"/>
    <w:rsid w:val="00374B68"/>
    <w:rsid w:val="003816E1"/>
    <w:rsid w:val="00381BA0"/>
    <w:rsid w:val="00383B0E"/>
    <w:rsid w:val="003849ED"/>
    <w:rsid w:val="00391791"/>
    <w:rsid w:val="0039468A"/>
    <w:rsid w:val="0039642A"/>
    <w:rsid w:val="003976CC"/>
    <w:rsid w:val="003A00E7"/>
    <w:rsid w:val="003A1B56"/>
    <w:rsid w:val="003A2428"/>
    <w:rsid w:val="003A2ACD"/>
    <w:rsid w:val="003A5792"/>
    <w:rsid w:val="003B1C43"/>
    <w:rsid w:val="003B1CC7"/>
    <w:rsid w:val="003B1DA1"/>
    <w:rsid w:val="003B3976"/>
    <w:rsid w:val="003B5477"/>
    <w:rsid w:val="003B65C3"/>
    <w:rsid w:val="003B69C7"/>
    <w:rsid w:val="003B6C7D"/>
    <w:rsid w:val="003C243B"/>
    <w:rsid w:val="003C5096"/>
    <w:rsid w:val="003C6E56"/>
    <w:rsid w:val="003D0E47"/>
    <w:rsid w:val="003D1102"/>
    <w:rsid w:val="003D1205"/>
    <w:rsid w:val="003D2FD2"/>
    <w:rsid w:val="003D7343"/>
    <w:rsid w:val="003E2D70"/>
    <w:rsid w:val="003E5DA6"/>
    <w:rsid w:val="003E6EF2"/>
    <w:rsid w:val="003E73DE"/>
    <w:rsid w:val="003E7D29"/>
    <w:rsid w:val="003F0DC0"/>
    <w:rsid w:val="003F1285"/>
    <w:rsid w:val="003F257E"/>
    <w:rsid w:val="003F468B"/>
    <w:rsid w:val="00400438"/>
    <w:rsid w:val="00401B28"/>
    <w:rsid w:val="00401BD7"/>
    <w:rsid w:val="00403D81"/>
    <w:rsid w:val="00404AC1"/>
    <w:rsid w:val="00411E0C"/>
    <w:rsid w:val="004123F5"/>
    <w:rsid w:val="00412425"/>
    <w:rsid w:val="00415F6F"/>
    <w:rsid w:val="0041695A"/>
    <w:rsid w:val="004202F4"/>
    <w:rsid w:val="00422A8C"/>
    <w:rsid w:val="00423E7D"/>
    <w:rsid w:val="0042422A"/>
    <w:rsid w:val="004245A5"/>
    <w:rsid w:val="00425F6C"/>
    <w:rsid w:val="00427CAA"/>
    <w:rsid w:val="00431188"/>
    <w:rsid w:val="0043184E"/>
    <w:rsid w:val="00431AE6"/>
    <w:rsid w:val="00432E6A"/>
    <w:rsid w:val="0043419A"/>
    <w:rsid w:val="00434D8E"/>
    <w:rsid w:val="0043579C"/>
    <w:rsid w:val="00442090"/>
    <w:rsid w:val="004447D0"/>
    <w:rsid w:val="0044575F"/>
    <w:rsid w:val="00446A18"/>
    <w:rsid w:val="00446B78"/>
    <w:rsid w:val="00447561"/>
    <w:rsid w:val="00450635"/>
    <w:rsid w:val="00454B51"/>
    <w:rsid w:val="00455823"/>
    <w:rsid w:val="0046212F"/>
    <w:rsid w:val="00462D59"/>
    <w:rsid w:val="00467E8A"/>
    <w:rsid w:val="0047300D"/>
    <w:rsid w:val="0047518B"/>
    <w:rsid w:val="00477120"/>
    <w:rsid w:val="00477B7D"/>
    <w:rsid w:val="00477E14"/>
    <w:rsid w:val="00480DEC"/>
    <w:rsid w:val="0048145C"/>
    <w:rsid w:val="0048304B"/>
    <w:rsid w:val="00484830"/>
    <w:rsid w:val="004849A7"/>
    <w:rsid w:val="00484CD4"/>
    <w:rsid w:val="0048626D"/>
    <w:rsid w:val="00491F23"/>
    <w:rsid w:val="004A0130"/>
    <w:rsid w:val="004A5402"/>
    <w:rsid w:val="004A6C35"/>
    <w:rsid w:val="004A700A"/>
    <w:rsid w:val="004A7515"/>
    <w:rsid w:val="004B14A6"/>
    <w:rsid w:val="004B2DB7"/>
    <w:rsid w:val="004B4D4C"/>
    <w:rsid w:val="004B6035"/>
    <w:rsid w:val="004B6BEB"/>
    <w:rsid w:val="004B70F4"/>
    <w:rsid w:val="004C1732"/>
    <w:rsid w:val="004C4965"/>
    <w:rsid w:val="004C4C03"/>
    <w:rsid w:val="004C7B79"/>
    <w:rsid w:val="004D244D"/>
    <w:rsid w:val="004D24A0"/>
    <w:rsid w:val="004D3354"/>
    <w:rsid w:val="004D403A"/>
    <w:rsid w:val="004D416B"/>
    <w:rsid w:val="004D51C9"/>
    <w:rsid w:val="004E4297"/>
    <w:rsid w:val="004E5510"/>
    <w:rsid w:val="004F16F8"/>
    <w:rsid w:val="004F31F0"/>
    <w:rsid w:val="004F3DE4"/>
    <w:rsid w:val="004F6B77"/>
    <w:rsid w:val="0050098F"/>
    <w:rsid w:val="00505AE4"/>
    <w:rsid w:val="005062F5"/>
    <w:rsid w:val="005101A7"/>
    <w:rsid w:val="00512BA1"/>
    <w:rsid w:val="00513DBD"/>
    <w:rsid w:val="00514EEA"/>
    <w:rsid w:val="00515BB6"/>
    <w:rsid w:val="00516E76"/>
    <w:rsid w:val="005269D8"/>
    <w:rsid w:val="00527930"/>
    <w:rsid w:val="00527E3C"/>
    <w:rsid w:val="00527E9A"/>
    <w:rsid w:val="00532DF0"/>
    <w:rsid w:val="0053314B"/>
    <w:rsid w:val="00537DFA"/>
    <w:rsid w:val="0054168C"/>
    <w:rsid w:val="005465B6"/>
    <w:rsid w:val="00546E35"/>
    <w:rsid w:val="005470FA"/>
    <w:rsid w:val="00547698"/>
    <w:rsid w:val="005477F2"/>
    <w:rsid w:val="005479E7"/>
    <w:rsid w:val="005555F4"/>
    <w:rsid w:val="00557A77"/>
    <w:rsid w:val="00560F50"/>
    <w:rsid w:val="00563E57"/>
    <w:rsid w:val="0056684A"/>
    <w:rsid w:val="005668EE"/>
    <w:rsid w:val="00566F20"/>
    <w:rsid w:val="00566FA0"/>
    <w:rsid w:val="00567492"/>
    <w:rsid w:val="00570AB9"/>
    <w:rsid w:val="00573D3E"/>
    <w:rsid w:val="00573EF5"/>
    <w:rsid w:val="00574453"/>
    <w:rsid w:val="00576A95"/>
    <w:rsid w:val="00581E9B"/>
    <w:rsid w:val="00583BF8"/>
    <w:rsid w:val="00583F93"/>
    <w:rsid w:val="00584869"/>
    <w:rsid w:val="0058668D"/>
    <w:rsid w:val="00591D1B"/>
    <w:rsid w:val="00594B80"/>
    <w:rsid w:val="005952EB"/>
    <w:rsid w:val="00597919"/>
    <w:rsid w:val="005A36EC"/>
    <w:rsid w:val="005A3EDC"/>
    <w:rsid w:val="005A5EB1"/>
    <w:rsid w:val="005B0205"/>
    <w:rsid w:val="005B777C"/>
    <w:rsid w:val="005B7D2C"/>
    <w:rsid w:val="005C425C"/>
    <w:rsid w:val="005C7251"/>
    <w:rsid w:val="005C7B5B"/>
    <w:rsid w:val="005D1AEA"/>
    <w:rsid w:val="005D215D"/>
    <w:rsid w:val="005D2470"/>
    <w:rsid w:val="005D43B2"/>
    <w:rsid w:val="005D48AC"/>
    <w:rsid w:val="005D523B"/>
    <w:rsid w:val="005D56D6"/>
    <w:rsid w:val="005D6E35"/>
    <w:rsid w:val="005E427D"/>
    <w:rsid w:val="005E5384"/>
    <w:rsid w:val="005E5527"/>
    <w:rsid w:val="005F13D1"/>
    <w:rsid w:val="005F2E7B"/>
    <w:rsid w:val="00604D03"/>
    <w:rsid w:val="00606615"/>
    <w:rsid w:val="006108BB"/>
    <w:rsid w:val="006126DB"/>
    <w:rsid w:val="00612EE4"/>
    <w:rsid w:val="0061414A"/>
    <w:rsid w:val="0061495F"/>
    <w:rsid w:val="00614F5C"/>
    <w:rsid w:val="00616F59"/>
    <w:rsid w:val="0061776D"/>
    <w:rsid w:val="00620342"/>
    <w:rsid w:val="00622246"/>
    <w:rsid w:val="00623300"/>
    <w:rsid w:val="00624532"/>
    <w:rsid w:val="0063241B"/>
    <w:rsid w:val="00633438"/>
    <w:rsid w:val="006343FB"/>
    <w:rsid w:val="00635115"/>
    <w:rsid w:val="0064407D"/>
    <w:rsid w:val="00644268"/>
    <w:rsid w:val="00651019"/>
    <w:rsid w:val="00651087"/>
    <w:rsid w:val="00651B34"/>
    <w:rsid w:val="00653821"/>
    <w:rsid w:val="006540C8"/>
    <w:rsid w:val="00654A04"/>
    <w:rsid w:val="00657EEB"/>
    <w:rsid w:val="00660D74"/>
    <w:rsid w:val="006632F0"/>
    <w:rsid w:val="00667BDE"/>
    <w:rsid w:val="00670FDB"/>
    <w:rsid w:val="00674BCF"/>
    <w:rsid w:val="00676D6E"/>
    <w:rsid w:val="00682182"/>
    <w:rsid w:val="006842F5"/>
    <w:rsid w:val="00690248"/>
    <w:rsid w:val="00692F2A"/>
    <w:rsid w:val="006A2BFE"/>
    <w:rsid w:val="006A2E22"/>
    <w:rsid w:val="006A5DE0"/>
    <w:rsid w:val="006A6C6C"/>
    <w:rsid w:val="006B222C"/>
    <w:rsid w:val="006B2992"/>
    <w:rsid w:val="006B3884"/>
    <w:rsid w:val="006B5C2E"/>
    <w:rsid w:val="006B7D9A"/>
    <w:rsid w:val="006C0743"/>
    <w:rsid w:val="006C0769"/>
    <w:rsid w:val="006C197B"/>
    <w:rsid w:val="006C502B"/>
    <w:rsid w:val="006D0431"/>
    <w:rsid w:val="006D2284"/>
    <w:rsid w:val="006D2291"/>
    <w:rsid w:val="006D61D6"/>
    <w:rsid w:val="006D700E"/>
    <w:rsid w:val="006E138E"/>
    <w:rsid w:val="006E1BF8"/>
    <w:rsid w:val="006E3AC1"/>
    <w:rsid w:val="006E4012"/>
    <w:rsid w:val="006E4558"/>
    <w:rsid w:val="006E467E"/>
    <w:rsid w:val="006E5260"/>
    <w:rsid w:val="006F2DAC"/>
    <w:rsid w:val="006F3499"/>
    <w:rsid w:val="006F50C1"/>
    <w:rsid w:val="006F511E"/>
    <w:rsid w:val="006F6108"/>
    <w:rsid w:val="00700893"/>
    <w:rsid w:val="00701468"/>
    <w:rsid w:val="00702095"/>
    <w:rsid w:val="00712661"/>
    <w:rsid w:val="00713A17"/>
    <w:rsid w:val="00713F71"/>
    <w:rsid w:val="00714B2A"/>
    <w:rsid w:val="00716ABF"/>
    <w:rsid w:val="00720AC7"/>
    <w:rsid w:val="00722721"/>
    <w:rsid w:val="00730F47"/>
    <w:rsid w:val="00731C1C"/>
    <w:rsid w:val="00732D7D"/>
    <w:rsid w:val="00733FD3"/>
    <w:rsid w:val="007350E1"/>
    <w:rsid w:val="007355E3"/>
    <w:rsid w:val="007407DD"/>
    <w:rsid w:val="007433A1"/>
    <w:rsid w:val="007438BA"/>
    <w:rsid w:val="0074443E"/>
    <w:rsid w:val="00744C89"/>
    <w:rsid w:val="00747D7B"/>
    <w:rsid w:val="00753500"/>
    <w:rsid w:val="00754798"/>
    <w:rsid w:val="007555E5"/>
    <w:rsid w:val="007566B0"/>
    <w:rsid w:val="0076133C"/>
    <w:rsid w:val="007627AB"/>
    <w:rsid w:val="00764A0D"/>
    <w:rsid w:val="00765E2B"/>
    <w:rsid w:val="00771316"/>
    <w:rsid w:val="00771B66"/>
    <w:rsid w:val="00771C81"/>
    <w:rsid w:val="00772C9E"/>
    <w:rsid w:val="007740DE"/>
    <w:rsid w:val="00775FF6"/>
    <w:rsid w:val="00776813"/>
    <w:rsid w:val="0078523C"/>
    <w:rsid w:val="00785A47"/>
    <w:rsid w:val="00787B4D"/>
    <w:rsid w:val="00791CB4"/>
    <w:rsid w:val="007928DB"/>
    <w:rsid w:val="00792958"/>
    <w:rsid w:val="00793C08"/>
    <w:rsid w:val="00795CD0"/>
    <w:rsid w:val="0079768E"/>
    <w:rsid w:val="007A0056"/>
    <w:rsid w:val="007A2278"/>
    <w:rsid w:val="007A3434"/>
    <w:rsid w:val="007A5496"/>
    <w:rsid w:val="007A5DA5"/>
    <w:rsid w:val="007A643E"/>
    <w:rsid w:val="007A6D44"/>
    <w:rsid w:val="007A6D46"/>
    <w:rsid w:val="007B0DDA"/>
    <w:rsid w:val="007B1775"/>
    <w:rsid w:val="007B1B01"/>
    <w:rsid w:val="007B2EDA"/>
    <w:rsid w:val="007B395E"/>
    <w:rsid w:val="007B4AC7"/>
    <w:rsid w:val="007B643B"/>
    <w:rsid w:val="007B66BD"/>
    <w:rsid w:val="007B6B56"/>
    <w:rsid w:val="007B7AD9"/>
    <w:rsid w:val="007C1067"/>
    <w:rsid w:val="007C12FE"/>
    <w:rsid w:val="007C18CF"/>
    <w:rsid w:val="007C1FF3"/>
    <w:rsid w:val="007C2572"/>
    <w:rsid w:val="007C644F"/>
    <w:rsid w:val="007C7B41"/>
    <w:rsid w:val="007C7FAA"/>
    <w:rsid w:val="007D2F8D"/>
    <w:rsid w:val="007D4208"/>
    <w:rsid w:val="007D5B08"/>
    <w:rsid w:val="007E6B7E"/>
    <w:rsid w:val="007F12B6"/>
    <w:rsid w:val="007F3AA4"/>
    <w:rsid w:val="007F5E50"/>
    <w:rsid w:val="008021DA"/>
    <w:rsid w:val="00802AAC"/>
    <w:rsid w:val="00803BFE"/>
    <w:rsid w:val="00810198"/>
    <w:rsid w:val="00811261"/>
    <w:rsid w:val="008224D5"/>
    <w:rsid w:val="00825A4A"/>
    <w:rsid w:val="008274C1"/>
    <w:rsid w:val="00833579"/>
    <w:rsid w:val="008346C1"/>
    <w:rsid w:val="00836625"/>
    <w:rsid w:val="00840B31"/>
    <w:rsid w:val="008447D1"/>
    <w:rsid w:val="0084492F"/>
    <w:rsid w:val="00844E7E"/>
    <w:rsid w:val="0084584A"/>
    <w:rsid w:val="008464BD"/>
    <w:rsid w:val="00847710"/>
    <w:rsid w:val="00847AAB"/>
    <w:rsid w:val="0085197F"/>
    <w:rsid w:val="00853B11"/>
    <w:rsid w:val="00854BBE"/>
    <w:rsid w:val="00856950"/>
    <w:rsid w:val="0086060A"/>
    <w:rsid w:val="00863BE5"/>
    <w:rsid w:val="00864731"/>
    <w:rsid w:val="00864778"/>
    <w:rsid w:val="008707FD"/>
    <w:rsid w:val="00870BB7"/>
    <w:rsid w:val="00871162"/>
    <w:rsid w:val="00873016"/>
    <w:rsid w:val="008744BC"/>
    <w:rsid w:val="008754E7"/>
    <w:rsid w:val="00875A0F"/>
    <w:rsid w:val="00877738"/>
    <w:rsid w:val="00880C26"/>
    <w:rsid w:val="0088259F"/>
    <w:rsid w:val="0088575E"/>
    <w:rsid w:val="0088591B"/>
    <w:rsid w:val="00885A46"/>
    <w:rsid w:val="008861FC"/>
    <w:rsid w:val="00890380"/>
    <w:rsid w:val="00892D9F"/>
    <w:rsid w:val="008963AA"/>
    <w:rsid w:val="008A049F"/>
    <w:rsid w:val="008A20B0"/>
    <w:rsid w:val="008A3889"/>
    <w:rsid w:val="008A4291"/>
    <w:rsid w:val="008A5692"/>
    <w:rsid w:val="008B0DF6"/>
    <w:rsid w:val="008B0ED2"/>
    <w:rsid w:val="008B143C"/>
    <w:rsid w:val="008B24EF"/>
    <w:rsid w:val="008B2C2B"/>
    <w:rsid w:val="008B3172"/>
    <w:rsid w:val="008B679A"/>
    <w:rsid w:val="008C075A"/>
    <w:rsid w:val="008C0D97"/>
    <w:rsid w:val="008C0F82"/>
    <w:rsid w:val="008C1098"/>
    <w:rsid w:val="008C1F31"/>
    <w:rsid w:val="008C3270"/>
    <w:rsid w:val="008C3F69"/>
    <w:rsid w:val="008C58DC"/>
    <w:rsid w:val="008C7CEA"/>
    <w:rsid w:val="008C7D63"/>
    <w:rsid w:val="008C7E1E"/>
    <w:rsid w:val="008D367C"/>
    <w:rsid w:val="008D36B9"/>
    <w:rsid w:val="008D5251"/>
    <w:rsid w:val="008D6550"/>
    <w:rsid w:val="008E0CCB"/>
    <w:rsid w:val="008E39D6"/>
    <w:rsid w:val="008E4EE3"/>
    <w:rsid w:val="008E533A"/>
    <w:rsid w:val="008F0067"/>
    <w:rsid w:val="008F26CF"/>
    <w:rsid w:val="008F317E"/>
    <w:rsid w:val="008F5ABE"/>
    <w:rsid w:val="008F70BA"/>
    <w:rsid w:val="008F7255"/>
    <w:rsid w:val="008F7428"/>
    <w:rsid w:val="008F774B"/>
    <w:rsid w:val="009008DD"/>
    <w:rsid w:val="00903946"/>
    <w:rsid w:val="00903CA4"/>
    <w:rsid w:val="00904363"/>
    <w:rsid w:val="00904786"/>
    <w:rsid w:val="0090504A"/>
    <w:rsid w:val="009053DD"/>
    <w:rsid w:val="0090560D"/>
    <w:rsid w:val="0090570A"/>
    <w:rsid w:val="00907C19"/>
    <w:rsid w:val="00911512"/>
    <w:rsid w:val="00912D5A"/>
    <w:rsid w:val="009139DD"/>
    <w:rsid w:val="00915A48"/>
    <w:rsid w:val="00916A1C"/>
    <w:rsid w:val="00920754"/>
    <w:rsid w:val="00921B0E"/>
    <w:rsid w:val="00922F94"/>
    <w:rsid w:val="009230A7"/>
    <w:rsid w:val="00923E20"/>
    <w:rsid w:val="00923EA0"/>
    <w:rsid w:val="00924B81"/>
    <w:rsid w:val="009262D4"/>
    <w:rsid w:val="009278A4"/>
    <w:rsid w:val="009301B2"/>
    <w:rsid w:val="009331BB"/>
    <w:rsid w:val="0093577C"/>
    <w:rsid w:val="00940E05"/>
    <w:rsid w:val="00941798"/>
    <w:rsid w:val="00941D8F"/>
    <w:rsid w:val="009448DC"/>
    <w:rsid w:val="009470A4"/>
    <w:rsid w:val="0095246F"/>
    <w:rsid w:val="00953313"/>
    <w:rsid w:val="009533F3"/>
    <w:rsid w:val="009536C5"/>
    <w:rsid w:val="009543AE"/>
    <w:rsid w:val="0095490D"/>
    <w:rsid w:val="0095528E"/>
    <w:rsid w:val="009569EF"/>
    <w:rsid w:val="009572EF"/>
    <w:rsid w:val="00957365"/>
    <w:rsid w:val="00957440"/>
    <w:rsid w:val="0095783E"/>
    <w:rsid w:val="00957966"/>
    <w:rsid w:val="00961216"/>
    <w:rsid w:val="009612E0"/>
    <w:rsid w:val="00961869"/>
    <w:rsid w:val="00961BA5"/>
    <w:rsid w:val="00961BE8"/>
    <w:rsid w:val="00961E24"/>
    <w:rsid w:val="00962D43"/>
    <w:rsid w:val="00962E29"/>
    <w:rsid w:val="0096399D"/>
    <w:rsid w:val="00965443"/>
    <w:rsid w:val="00967D06"/>
    <w:rsid w:val="009707F3"/>
    <w:rsid w:val="00970D5B"/>
    <w:rsid w:val="00971A87"/>
    <w:rsid w:val="00973FF0"/>
    <w:rsid w:val="009755E4"/>
    <w:rsid w:val="00976794"/>
    <w:rsid w:val="00976F25"/>
    <w:rsid w:val="00977FAC"/>
    <w:rsid w:val="00977FD6"/>
    <w:rsid w:val="00981B36"/>
    <w:rsid w:val="00981D04"/>
    <w:rsid w:val="0098316D"/>
    <w:rsid w:val="009848F1"/>
    <w:rsid w:val="00984A45"/>
    <w:rsid w:val="00985E11"/>
    <w:rsid w:val="0099205E"/>
    <w:rsid w:val="00992C7D"/>
    <w:rsid w:val="00995310"/>
    <w:rsid w:val="009963EB"/>
    <w:rsid w:val="00996BB3"/>
    <w:rsid w:val="00997512"/>
    <w:rsid w:val="009A38F0"/>
    <w:rsid w:val="009A527F"/>
    <w:rsid w:val="009A78B7"/>
    <w:rsid w:val="009B11BE"/>
    <w:rsid w:val="009B3E83"/>
    <w:rsid w:val="009B4489"/>
    <w:rsid w:val="009C3B1A"/>
    <w:rsid w:val="009C5B1C"/>
    <w:rsid w:val="009C62FF"/>
    <w:rsid w:val="009C66F7"/>
    <w:rsid w:val="009C7303"/>
    <w:rsid w:val="009C7BCC"/>
    <w:rsid w:val="009D165D"/>
    <w:rsid w:val="009D48C8"/>
    <w:rsid w:val="009D539D"/>
    <w:rsid w:val="009D55BD"/>
    <w:rsid w:val="009D6BE2"/>
    <w:rsid w:val="009D74A9"/>
    <w:rsid w:val="009E17CB"/>
    <w:rsid w:val="009E515D"/>
    <w:rsid w:val="009E601D"/>
    <w:rsid w:val="009E7ADC"/>
    <w:rsid w:val="009F0361"/>
    <w:rsid w:val="009F55BD"/>
    <w:rsid w:val="009F6084"/>
    <w:rsid w:val="00A0036B"/>
    <w:rsid w:val="00A02527"/>
    <w:rsid w:val="00A034D3"/>
    <w:rsid w:val="00A04A02"/>
    <w:rsid w:val="00A0654E"/>
    <w:rsid w:val="00A12F9C"/>
    <w:rsid w:val="00A17D0A"/>
    <w:rsid w:val="00A20129"/>
    <w:rsid w:val="00A23C88"/>
    <w:rsid w:val="00A2669E"/>
    <w:rsid w:val="00A32616"/>
    <w:rsid w:val="00A36876"/>
    <w:rsid w:val="00A3777B"/>
    <w:rsid w:val="00A40AC4"/>
    <w:rsid w:val="00A42466"/>
    <w:rsid w:val="00A428E8"/>
    <w:rsid w:val="00A43481"/>
    <w:rsid w:val="00A436C6"/>
    <w:rsid w:val="00A44DAC"/>
    <w:rsid w:val="00A47488"/>
    <w:rsid w:val="00A50B84"/>
    <w:rsid w:val="00A52A72"/>
    <w:rsid w:val="00A5420C"/>
    <w:rsid w:val="00A5527F"/>
    <w:rsid w:val="00A55DEE"/>
    <w:rsid w:val="00A57CC5"/>
    <w:rsid w:val="00A62236"/>
    <w:rsid w:val="00A725A4"/>
    <w:rsid w:val="00A742FB"/>
    <w:rsid w:val="00A757C3"/>
    <w:rsid w:val="00A75EFA"/>
    <w:rsid w:val="00A76655"/>
    <w:rsid w:val="00A76A47"/>
    <w:rsid w:val="00A80029"/>
    <w:rsid w:val="00A8492F"/>
    <w:rsid w:val="00A84DDB"/>
    <w:rsid w:val="00A90A1D"/>
    <w:rsid w:val="00A91B83"/>
    <w:rsid w:val="00A935FB"/>
    <w:rsid w:val="00A93BF6"/>
    <w:rsid w:val="00A95284"/>
    <w:rsid w:val="00A959DB"/>
    <w:rsid w:val="00A95FF2"/>
    <w:rsid w:val="00AA01C7"/>
    <w:rsid w:val="00AA09CB"/>
    <w:rsid w:val="00AA2702"/>
    <w:rsid w:val="00AB0DE2"/>
    <w:rsid w:val="00AB4469"/>
    <w:rsid w:val="00AB66AF"/>
    <w:rsid w:val="00AC25B7"/>
    <w:rsid w:val="00AC3F62"/>
    <w:rsid w:val="00AC4F9F"/>
    <w:rsid w:val="00AC5089"/>
    <w:rsid w:val="00AC6349"/>
    <w:rsid w:val="00AD2CB1"/>
    <w:rsid w:val="00AD4D64"/>
    <w:rsid w:val="00AD502F"/>
    <w:rsid w:val="00AD6DBF"/>
    <w:rsid w:val="00AE13C2"/>
    <w:rsid w:val="00AE24BB"/>
    <w:rsid w:val="00AE34C7"/>
    <w:rsid w:val="00AE3943"/>
    <w:rsid w:val="00AE401B"/>
    <w:rsid w:val="00AE59F2"/>
    <w:rsid w:val="00AE5C06"/>
    <w:rsid w:val="00AE6EA3"/>
    <w:rsid w:val="00AE7D74"/>
    <w:rsid w:val="00AF077D"/>
    <w:rsid w:val="00AF18E1"/>
    <w:rsid w:val="00AF41AB"/>
    <w:rsid w:val="00AF475D"/>
    <w:rsid w:val="00AF4B19"/>
    <w:rsid w:val="00AF581E"/>
    <w:rsid w:val="00B00D02"/>
    <w:rsid w:val="00B021C3"/>
    <w:rsid w:val="00B03DE8"/>
    <w:rsid w:val="00B04AB3"/>
    <w:rsid w:val="00B056A7"/>
    <w:rsid w:val="00B11089"/>
    <w:rsid w:val="00B12A8B"/>
    <w:rsid w:val="00B130BE"/>
    <w:rsid w:val="00B13D03"/>
    <w:rsid w:val="00B20068"/>
    <w:rsid w:val="00B20643"/>
    <w:rsid w:val="00B2296F"/>
    <w:rsid w:val="00B232EF"/>
    <w:rsid w:val="00B23F90"/>
    <w:rsid w:val="00B26186"/>
    <w:rsid w:val="00B270F6"/>
    <w:rsid w:val="00B27DD6"/>
    <w:rsid w:val="00B310AA"/>
    <w:rsid w:val="00B31990"/>
    <w:rsid w:val="00B32C1E"/>
    <w:rsid w:val="00B33618"/>
    <w:rsid w:val="00B338E2"/>
    <w:rsid w:val="00B37D8D"/>
    <w:rsid w:val="00B4125F"/>
    <w:rsid w:val="00B444DD"/>
    <w:rsid w:val="00B46F07"/>
    <w:rsid w:val="00B47DA7"/>
    <w:rsid w:val="00B51220"/>
    <w:rsid w:val="00B51A86"/>
    <w:rsid w:val="00B51CE1"/>
    <w:rsid w:val="00B52E85"/>
    <w:rsid w:val="00B533C1"/>
    <w:rsid w:val="00B558A4"/>
    <w:rsid w:val="00B55EBB"/>
    <w:rsid w:val="00B61ED8"/>
    <w:rsid w:val="00B62576"/>
    <w:rsid w:val="00B64D56"/>
    <w:rsid w:val="00B66086"/>
    <w:rsid w:val="00B66C92"/>
    <w:rsid w:val="00B677D4"/>
    <w:rsid w:val="00B70426"/>
    <w:rsid w:val="00B71C71"/>
    <w:rsid w:val="00B7211E"/>
    <w:rsid w:val="00B7457C"/>
    <w:rsid w:val="00B76D93"/>
    <w:rsid w:val="00B80643"/>
    <w:rsid w:val="00B80A87"/>
    <w:rsid w:val="00B82D3B"/>
    <w:rsid w:val="00B82F76"/>
    <w:rsid w:val="00B83AA6"/>
    <w:rsid w:val="00B85580"/>
    <w:rsid w:val="00B95D86"/>
    <w:rsid w:val="00BA12CA"/>
    <w:rsid w:val="00BA1FED"/>
    <w:rsid w:val="00BA28E8"/>
    <w:rsid w:val="00BA2CD1"/>
    <w:rsid w:val="00BA37B3"/>
    <w:rsid w:val="00BA6422"/>
    <w:rsid w:val="00BB00AA"/>
    <w:rsid w:val="00BB18D4"/>
    <w:rsid w:val="00BB553B"/>
    <w:rsid w:val="00BB58E9"/>
    <w:rsid w:val="00BC1F61"/>
    <w:rsid w:val="00BC2367"/>
    <w:rsid w:val="00BC3426"/>
    <w:rsid w:val="00BC4CF5"/>
    <w:rsid w:val="00BC6506"/>
    <w:rsid w:val="00BC771D"/>
    <w:rsid w:val="00BC7884"/>
    <w:rsid w:val="00BD65F7"/>
    <w:rsid w:val="00BE0649"/>
    <w:rsid w:val="00BE0DE4"/>
    <w:rsid w:val="00BE0F83"/>
    <w:rsid w:val="00BE1741"/>
    <w:rsid w:val="00BE253C"/>
    <w:rsid w:val="00BE3863"/>
    <w:rsid w:val="00BE60CD"/>
    <w:rsid w:val="00BE7275"/>
    <w:rsid w:val="00BF36C6"/>
    <w:rsid w:val="00BF48CA"/>
    <w:rsid w:val="00BF7441"/>
    <w:rsid w:val="00C00694"/>
    <w:rsid w:val="00C0419E"/>
    <w:rsid w:val="00C05339"/>
    <w:rsid w:val="00C056B0"/>
    <w:rsid w:val="00C06473"/>
    <w:rsid w:val="00C067C3"/>
    <w:rsid w:val="00C12A95"/>
    <w:rsid w:val="00C14596"/>
    <w:rsid w:val="00C14A48"/>
    <w:rsid w:val="00C16EF9"/>
    <w:rsid w:val="00C17329"/>
    <w:rsid w:val="00C20AB7"/>
    <w:rsid w:val="00C21763"/>
    <w:rsid w:val="00C22787"/>
    <w:rsid w:val="00C2362E"/>
    <w:rsid w:val="00C2711C"/>
    <w:rsid w:val="00C35763"/>
    <w:rsid w:val="00C37735"/>
    <w:rsid w:val="00C40A88"/>
    <w:rsid w:val="00C41E18"/>
    <w:rsid w:val="00C4456D"/>
    <w:rsid w:val="00C45536"/>
    <w:rsid w:val="00C462EF"/>
    <w:rsid w:val="00C502A8"/>
    <w:rsid w:val="00C524CC"/>
    <w:rsid w:val="00C53768"/>
    <w:rsid w:val="00C54132"/>
    <w:rsid w:val="00C547B7"/>
    <w:rsid w:val="00C55463"/>
    <w:rsid w:val="00C56C6D"/>
    <w:rsid w:val="00C57B53"/>
    <w:rsid w:val="00C60810"/>
    <w:rsid w:val="00C61686"/>
    <w:rsid w:val="00C61BD2"/>
    <w:rsid w:val="00C63CA6"/>
    <w:rsid w:val="00C64509"/>
    <w:rsid w:val="00C7172B"/>
    <w:rsid w:val="00C71806"/>
    <w:rsid w:val="00C72FBD"/>
    <w:rsid w:val="00C73595"/>
    <w:rsid w:val="00C73970"/>
    <w:rsid w:val="00C7404E"/>
    <w:rsid w:val="00C74ADC"/>
    <w:rsid w:val="00C74B9D"/>
    <w:rsid w:val="00C75006"/>
    <w:rsid w:val="00C750AD"/>
    <w:rsid w:val="00C76488"/>
    <w:rsid w:val="00C82E2A"/>
    <w:rsid w:val="00C83E03"/>
    <w:rsid w:val="00C874CF"/>
    <w:rsid w:val="00C879EF"/>
    <w:rsid w:val="00C936C0"/>
    <w:rsid w:val="00C963BD"/>
    <w:rsid w:val="00CA06DD"/>
    <w:rsid w:val="00CA3EA5"/>
    <w:rsid w:val="00CA62E8"/>
    <w:rsid w:val="00CB1152"/>
    <w:rsid w:val="00CB41DA"/>
    <w:rsid w:val="00CB44E5"/>
    <w:rsid w:val="00CB44FA"/>
    <w:rsid w:val="00CB6ACF"/>
    <w:rsid w:val="00CC048B"/>
    <w:rsid w:val="00CC4B0E"/>
    <w:rsid w:val="00CC519C"/>
    <w:rsid w:val="00CD06A9"/>
    <w:rsid w:val="00CD40A5"/>
    <w:rsid w:val="00CE2D31"/>
    <w:rsid w:val="00CE35D9"/>
    <w:rsid w:val="00CF0C50"/>
    <w:rsid w:val="00CF7A78"/>
    <w:rsid w:val="00D001B8"/>
    <w:rsid w:val="00D02E32"/>
    <w:rsid w:val="00D03918"/>
    <w:rsid w:val="00D03ED5"/>
    <w:rsid w:val="00D04751"/>
    <w:rsid w:val="00D10D1E"/>
    <w:rsid w:val="00D12793"/>
    <w:rsid w:val="00D13DB6"/>
    <w:rsid w:val="00D1429F"/>
    <w:rsid w:val="00D14B4B"/>
    <w:rsid w:val="00D154BA"/>
    <w:rsid w:val="00D17182"/>
    <w:rsid w:val="00D2285D"/>
    <w:rsid w:val="00D22CB9"/>
    <w:rsid w:val="00D2335B"/>
    <w:rsid w:val="00D23406"/>
    <w:rsid w:val="00D25642"/>
    <w:rsid w:val="00D270A7"/>
    <w:rsid w:val="00D30714"/>
    <w:rsid w:val="00D3210D"/>
    <w:rsid w:val="00D3233B"/>
    <w:rsid w:val="00D33912"/>
    <w:rsid w:val="00D33B42"/>
    <w:rsid w:val="00D34996"/>
    <w:rsid w:val="00D35DE7"/>
    <w:rsid w:val="00D40A0A"/>
    <w:rsid w:val="00D41551"/>
    <w:rsid w:val="00D41DC6"/>
    <w:rsid w:val="00D4565E"/>
    <w:rsid w:val="00D45D64"/>
    <w:rsid w:val="00D45E62"/>
    <w:rsid w:val="00D45F9F"/>
    <w:rsid w:val="00D46979"/>
    <w:rsid w:val="00D47504"/>
    <w:rsid w:val="00D50FFE"/>
    <w:rsid w:val="00D5184C"/>
    <w:rsid w:val="00D5258A"/>
    <w:rsid w:val="00D533AB"/>
    <w:rsid w:val="00D53812"/>
    <w:rsid w:val="00D53C78"/>
    <w:rsid w:val="00D542B2"/>
    <w:rsid w:val="00D55075"/>
    <w:rsid w:val="00D55410"/>
    <w:rsid w:val="00D575F9"/>
    <w:rsid w:val="00D62E48"/>
    <w:rsid w:val="00D63B70"/>
    <w:rsid w:val="00D65B9F"/>
    <w:rsid w:val="00D74043"/>
    <w:rsid w:val="00D77772"/>
    <w:rsid w:val="00D8041C"/>
    <w:rsid w:val="00D80583"/>
    <w:rsid w:val="00D81A8F"/>
    <w:rsid w:val="00D82D5D"/>
    <w:rsid w:val="00D85ED4"/>
    <w:rsid w:val="00D86830"/>
    <w:rsid w:val="00D87408"/>
    <w:rsid w:val="00D87C55"/>
    <w:rsid w:val="00D904C5"/>
    <w:rsid w:val="00D91D20"/>
    <w:rsid w:val="00D93B4A"/>
    <w:rsid w:val="00D93D68"/>
    <w:rsid w:val="00D94C28"/>
    <w:rsid w:val="00D97632"/>
    <w:rsid w:val="00D97B74"/>
    <w:rsid w:val="00DA0AB4"/>
    <w:rsid w:val="00DA2D45"/>
    <w:rsid w:val="00DB0348"/>
    <w:rsid w:val="00DB0F7A"/>
    <w:rsid w:val="00DB1656"/>
    <w:rsid w:val="00DB3825"/>
    <w:rsid w:val="00DB3B93"/>
    <w:rsid w:val="00DB4365"/>
    <w:rsid w:val="00DB4F0D"/>
    <w:rsid w:val="00DB7034"/>
    <w:rsid w:val="00DB7606"/>
    <w:rsid w:val="00DB7CA4"/>
    <w:rsid w:val="00DC09A3"/>
    <w:rsid w:val="00DC1FC0"/>
    <w:rsid w:val="00DC3D35"/>
    <w:rsid w:val="00DC4EE8"/>
    <w:rsid w:val="00DD0568"/>
    <w:rsid w:val="00DD0CBD"/>
    <w:rsid w:val="00DD1447"/>
    <w:rsid w:val="00DD37B7"/>
    <w:rsid w:val="00DD547C"/>
    <w:rsid w:val="00DD592D"/>
    <w:rsid w:val="00DD60E9"/>
    <w:rsid w:val="00DE0248"/>
    <w:rsid w:val="00DE0604"/>
    <w:rsid w:val="00DE132A"/>
    <w:rsid w:val="00DE2C0F"/>
    <w:rsid w:val="00DE3152"/>
    <w:rsid w:val="00DE6F57"/>
    <w:rsid w:val="00DE7D32"/>
    <w:rsid w:val="00DF0203"/>
    <w:rsid w:val="00DF0AFB"/>
    <w:rsid w:val="00DF0F1E"/>
    <w:rsid w:val="00DF27BF"/>
    <w:rsid w:val="00DF2AE2"/>
    <w:rsid w:val="00DF5872"/>
    <w:rsid w:val="00DF60EC"/>
    <w:rsid w:val="00DF74C8"/>
    <w:rsid w:val="00E002F3"/>
    <w:rsid w:val="00E006D9"/>
    <w:rsid w:val="00E02458"/>
    <w:rsid w:val="00E0306B"/>
    <w:rsid w:val="00E032F3"/>
    <w:rsid w:val="00E06987"/>
    <w:rsid w:val="00E06D6D"/>
    <w:rsid w:val="00E10E7A"/>
    <w:rsid w:val="00E12128"/>
    <w:rsid w:val="00E144C1"/>
    <w:rsid w:val="00E14B94"/>
    <w:rsid w:val="00E154E3"/>
    <w:rsid w:val="00E1595F"/>
    <w:rsid w:val="00E171EF"/>
    <w:rsid w:val="00E17ECA"/>
    <w:rsid w:val="00E20A32"/>
    <w:rsid w:val="00E21266"/>
    <w:rsid w:val="00E2297D"/>
    <w:rsid w:val="00E23CAC"/>
    <w:rsid w:val="00E24077"/>
    <w:rsid w:val="00E3063C"/>
    <w:rsid w:val="00E315B7"/>
    <w:rsid w:val="00E31756"/>
    <w:rsid w:val="00E34439"/>
    <w:rsid w:val="00E34473"/>
    <w:rsid w:val="00E35C16"/>
    <w:rsid w:val="00E37AA1"/>
    <w:rsid w:val="00E45773"/>
    <w:rsid w:val="00E46D0D"/>
    <w:rsid w:val="00E476B5"/>
    <w:rsid w:val="00E51F4B"/>
    <w:rsid w:val="00E544D8"/>
    <w:rsid w:val="00E54F7D"/>
    <w:rsid w:val="00E57640"/>
    <w:rsid w:val="00E577CD"/>
    <w:rsid w:val="00E625BE"/>
    <w:rsid w:val="00E62803"/>
    <w:rsid w:val="00E64E81"/>
    <w:rsid w:val="00E6645C"/>
    <w:rsid w:val="00E67BE4"/>
    <w:rsid w:val="00E71820"/>
    <w:rsid w:val="00E725C8"/>
    <w:rsid w:val="00E739CF"/>
    <w:rsid w:val="00E74251"/>
    <w:rsid w:val="00E746F9"/>
    <w:rsid w:val="00E756E2"/>
    <w:rsid w:val="00E8126D"/>
    <w:rsid w:val="00E81FFE"/>
    <w:rsid w:val="00E83B75"/>
    <w:rsid w:val="00E85281"/>
    <w:rsid w:val="00E860DE"/>
    <w:rsid w:val="00E94467"/>
    <w:rsid w:val="00E967D0"/>
    <w:rsid w:val="00E971CE"/>
    <w:rsid w:val="00E97811"/>
    <w:rsid w:val="00EA0CC9"/>
    <w:rsid w:val="00EA1E86"/>
    <w:rsid w:val="00EA2110"/>
    <w:rsid w:val="00EA2CE7"/>
    <w:rsid w:val="00EA3760"/>
    <w:rsid w:val="00EA48DF"/>
    <w:rsid w:val="00EA6691"/>
    <w:rsid w:val="00EB0249"/>
    <w:rsid w:val="00EB07DA"/>
    <w:rsid w:val="00EB4679"/>
    <w:rsid w:val="00EB5B57"/>
    <w:rsid w:val="00EB5EEB"/>
    <w:rsid w:val="00EB7668"/>
    <w:rsid w:val="00EC0E96"/>
    <w:rsid w:val="00EC715F"/>
    <w:rsid w:val="00EC72FA"/>
    <w:rsid w:val="00EC75F1"/>
    <w:rsid w:val="00EC7BE2"/>
    <w:rsid w:val="00ED0285"/>
    <w:rsid w:val="00ED4A12"/>
    <w:rsid w:val="00ED529B"/>
    <w:rsid w:val="00ED661F"/>
    <w:rsid w:val="00ED6A45"/>
    <w:rsid w:val="00ED6DBE"/>
    <w:rsid w:val="00EE05C8"/>
    <w:rsid w:val="00EE448B"/>
    <w:rsid w:val="00EF126B"/>
    <w:rsid w:val="00EF183A"/>
    <w:rsid w:val="00EF19DA"/>
    <w:rsid w:val="00EF39E6"/>
    <w:rsid w:val="00EF41C2"/>
    <w:rsid w:val="00EF4BEE"/>
    <w:rsid w:val="00F0088D"/>
    <w:rsid w:val="00F0148E"/>
    <w:rsid w:val="00F01C93"/>
    <w:rsid w:val="00F0208E"/>
    <w:rsid w:val="00F024DD"/>
    <w:rsid w:val="00F06256"/>
    <w:rsid w:val="00F11FF0"/>
    <w:rsid w:val="00F133C7"/>
    <w:rsid w:val="00F143F6"/>
    <w:rsid w:val="00F14E66"/>
    <w:rsid w:val="00F15A8D"/>
    <w:rsid w:val="00F1628D"/>
    <w:rsid w:val="00F165C1"/>
    <w:rsid w:val="00F20949"/>
    <w:rsid w:val="00F209D2"/>
    <w:rsid w:val="00F22DFF"/>
    <w:rsid w:val="00F23D65"/>
    <w:rsid w:val="00F251CD"/>
    <w:rsid w:val="00F335DD"/>
    <w:rsid w:val="00F336E1"/>
    <w:rsid w:val="00F342DF"/>
    <w:rsid w:val="00F34671"/>
    <w:rsid w:val="00F36EBB"/>
    <w:rsid w:val="00F4123C"/>
    <w:rsid w:val="00F445B8"/>
    <w:rsid w:val="00F4650E"/>
    <w:rsid w:val="00F465F9"/>
    <w:rsid w:val="00F477AF"/>
    <w:rsid w:val="00F52086"/>
    <w:rsid w:val="00F566AB"/>
    <w:rsid w:val="00F56D7A"/>
    <w:rsid w:val="00F61961"/>
    <w:rsid w:val="00F62041"/>
    <w:rsid w:val="00F62BEA"/>
    <w:rsid w:val="00F7176E"/>
    <w:rsid w:val="00F72FD5"/>
    <w:rsid w:val="00F76941"/>
    <w:rsid w:val="00F83E18"/>
    <w:rsid w:val="00F84327"/>
    <w:rsid w:val="00F84A4B"/>
    <w:rsid w:val="00F868A4"/>
    <w:rsid w:val="00F92FEE"/>
    <w:rsid w:val="00F94F76"/>
    <w:rsid w:val="00F953BB"/>
    <w:rsid w:val="00F956A7"/>
    <w:rsid w:val="00F95A2F"/>
    <w:rsid w:val="00FA03E6"/>
    <w:rsid w:val="00FA1266"/>
    <w:rsid w:val="00FA1DC0"/>
    <w:rsid w:val="00FA3E1E"/>
    <w:rsid w:val="00FA688B"/>
    <w:rsid w:val="00FA79F4"/>
    <w:rsid w:val="00FA7A0F"/>
    <w:rsid w:val="00FB0269"/>
    <w:rsid w:val="00FB0F7D"/>
    <w:rsid w:val="00FB4852"/>
    <w:rsid w:val="00FB582F"/>
    <w:rsid w:val="00FB62E1"/>
    <w:rsid w:val="00FB6F5F"/>
    <w:rsid w:val="00FC06AB"/>
    <w:rsid w:val="00FC1B6C"/>
    <w:rsid w:val="00FC20CC"/>
    <w:rsid w:val="00FC2738"/>
    <w:rsid w:val="00FC59C2"/>
    <w:rsid w:val="00FD0931"/>
    <w:rsid w:val="00FD3E82"/>
    <w:rsid w:val="00FD6809"/>
    <w:rsid w:val="00FD7266"/>
    <w:rsid w:val="00FD7400"/>
    <w:rsid w:val="00FE0EEB"/>
    <w:rsid w:val="00FE503A"/>
    <w:rsid w:val="00FE67DB"/>
    <w:rsid w:val="00FE713E"/>
    <w:rsid w:val="00FE7ECF"/>
    <w:rsid w:val="00FF136E"/>
    <w:rsid w:val="00FF3465"/>
    <w:rsid w:val="00FF7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85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autoRedefine/>
    <w:uiPriority w:val="9"/>
    <w:qFormat/>
    <w:rsid w:val="00110BDF"/>
    <w:pPr>
      <w:keepNext/>
      <w:keepLines/>
      <w:numPr>
        <w:numId w:val="35"/>
      </w:numPr>
      <w:spacing w:before="480"/>
      <w:outlineLvl w:val="0"/>
    </w:pPr>
    <w:rPr>
      <w:rFonts w:ascii="Calibri" w:eastAsiaTheme="majorEastAsia" w:hAnsi="Calibri" w:cstheme="majorBidi"/>
      <w:b/>
      <w:bCs/>
      <w:sz w:val="28"/>
      <w:szCs w:val="28"/>
    </w:rPr>
  </w:style>
  <w:style w:type="paragraph" w:styleId="Heading2">
    <w:name w:val="heading 2"/>
    <w:basedOn w:val="Normal"/>
    <w:next w:val="Normal"/>
    <w:link w:val="Heading2Char"/>
    <w:autoRedefine/>
    <w:uiPriority w:val="9"/>
    <w:unhideWhenUsed/>
    <w:qFormat/>
    <w:rsid w:val="00110BDF"/>
    <w:pPr>
      <w:keepNext/>
      <w:keepLines/>
      <w:numPr>
        <w:ilvl w:val="1"/>
        <w:numId w:val="35"/>
      </w:numPr>
      <w:spacing w:before="200"/>
      <w:outlineLvl w:val="1"/>
    </w:pPr>
    <w:rPr>
      <w:rFonts w:ascii="Calibri" w:eastAsiaTheme="majorEastAsia" w:hAnsi="Calibri" w:cstheme="majorBidi"/>
      <w:b/>
      <w:bCs/>
      <w:sz w:val="26"/>
      <w:szCs w:val="26"/>
    </w:rPr>
  </w:style>
  <w:style w:type="paragraph" w:styleId="Heading3">
    <w:name w:val="heading 3"/>
    <w:basedOn w:val="Normal"/>
    <w:next w:val="Normal"/>
    <w:link w:val="Heading3Char"/>
    <w:uiPriority w:val="9"/>
    <w:unhideWhenUsed/>
    <w:qFormat/>
    <w:rsid w:val="005D21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semiHidden/>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3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32D99"/>
    <w:pPr>
      <w:spacing w:after="120"/>
    </w:pPr>
  </w:style>
  <w:style w:type="character" w:customStyle="1" w:styleId="BodyTextChar">
    <w:name w:val="Body Text Char"/>
    <w:basedOn w:val="DefaultParagraphFont"/>
    <w:link w:val="BodyText"/>
    <w:uiPriority w:val="99"/>
    <w:semiHidden/>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25"/>
      </w:numPr>
      <w:contextualSpacing/>
    </w:pPr>
  </w:style>
  <w:style w:type="paragraph" w:styleId="ListBullet">
    <w:name w:val="List Bullet"/>
    <w:basedOn w:val="ListParagraph"/>
    <w:rsid w:val="0001203A"/>
    <w:pPr>
      <w:numPr>
        <w:numId w:val="10"/>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110BDF"/>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110BDF"/>
    <w:rPr>
      <w:rFonts w:ascii="Calibri" w:eastAsiaTheme="majorEastAsia" w:hAnsi="Calibri" w:cstheme="majorBidi"/>
      <w:b/>
      <w:bCs/>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8"/>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autoRedefine/>
    <w:qFormat/>
    <w:rsid w:val="00892D9F"/>
    <w:pPr>
      <w:ind w:left="1008" w:hanging="1008"/>
    </w:pPr>
    <w:rPr>
      <w:sz w:val="24"/>
    </w:rPr>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46"/>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character" w:styleId="Emphasis">
    <w:name w:val="Emphasis"/>
    <w:basedOn w:val="DefaultParagraphFont"/>
    <w:uiPriority w:val="20"/>
    <w:qFormat/>
    <w:rsid w:val="00301ABB"/>
    <w:rPr>
      <w:i/>
      <w:iCs/>
    </w:rPr>
  </w:style>
  <w:style w:type="table" w:styleId="LightShading">
    <w:name w:val="Light Shading"/>
    <w:basedOn w:val="TableNormal"/>
    <w:uiPriority w:val="60"/>
    <w:rsid w:val="009963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figsource">
    <w:name w:val="tab/fig source"/>
    <w:basedOn w:val="Normal"/>
    <w:rsid w:val="00E51F4B"/>
    <w:pPr>
      <w:keepLines/>
      <w:spacing w:before="120"/>
      <w:ind w:left="187" w:hanging="187"/>
    </w:pPr>
    <w:rPr>
      <w:rFonts w:eastAsia="Times New Roman" w:cs="Times New Roman"/>
      <w:sz w:val="20"/>
      <w:szCs w:val="20"/>
    </w:rPr>
  </w:style>
  <w:style w:type="paragraph" w:customStyle="1" w:styleId="EQ">
    <w:name w:val="EQ"/>
    <w:basedOn w:val="Normal"/>
    <w:autoRedefine/>
    <w:qFormat/>
    <w:rsid w:val="00C83E03"/>
    <w:pPr>
      <w:keepNext/>
      <w:spacing w:after="0"/>
      <w:ind w:left="648" w:hanging="648"/>
    </w:pPr>
    <w:rPr>
      <w:rFonts w:cs="Times New Roman"/>
      <w:b/>
      <w:szCs w:val="20"/>
    </w:rPr>
  </w:style>
  <w:style w:type="paragraph" w:customStyle="1" w:styleId="EQ2">
    <w:name w:val="EQ2"/>
    <w:basedOn w:val="Normal"/>
    <w:autoRedefine/>
    <w:qFormat/>
    <w:rsid w:val="00C83E03"/>
    <w:pPr>
      <w:keepNext/>
      <w:spacing w:after="0"/>
    </w:pPr>
    <w:rPr>
      <w:rFonts w:cs="Times New Roman"/>
      <w:i/>
      <w:iCs/>
      <w:sz w:val="20"/>
      <w:szCs w:val="20"/>
    </w:rPr>
  </w:style>
  <w:style w:type="paragraph" w:customStyle="1" w:styleId="EQ3">
    <w:name w:val="EQ3"/>
    <w:basedOn w:val="Normal"/>
    <w:qFormat/>
    <w:rsid w:val="00C83E03"/>
    <w:pPr>
      <w:spacing w:after="0"/>
    </w:pPr>
    <w:rPr>
      <w:rFonts w:cs="Times New Roman"/>
      <w:sz w:val="20"/>
      <w:szCs w:val="20"/>
    </w:rPr>
  </w:style>
  <w:style w:type="paragraph" w:customStyle="1" w:styleId="TableHeaders">
    <w:name w:val="Table Headers"/>
    <w:basedOn w:val="Normal"/>
    <w:rsid w:val="002D08A2"/>
    <w:pPr>
      <w:keepNext/>
      <w:spacing w:before="80" w:after="80" w:line="240" w:lineRule="exact"/>
      <w:jc w:val="center"/>
    </w:pPr>
    <w:rPr>
      <w:rFonts w:ascii="Arial" w:eastAsia="Times New Roman" w:hAnsi="Arial" w:cs="Times New Roman"/>
      <w:b/>
      <w:snapToGrid w:val="0"/>
      <w:sz w:val="20"/>
      <w:szCs w:val="20"/>
    </w:rPr>
  </w:style>
  <w:style w:type="paragraph" w:customStyle="1" w:styleId="TableText">
    <w:name w:val="Table Text"/>
    <w:basedOn w:val="Normal"/>
    <w:qFormat/>
    <w:rsid w:val="002D08A2"/>
    <w:pPr>
      <w:spacing w:before="80" w:after="80" w:line="240" w:lineRule="exact"/>
    </w:pPr>
    <w:rPr>
      <w:rFonts w:eastAsia="Times New Roman" w:cs="Times New Roman"/>
      <w:b/>
      <w:bCs/>
      <w:snapToGrid w:val="0"/>
      <w:sz w:val="20"/>
      <w:szCs w:val="20"/>
    </w:rPr>
  </w:style>
  <w:style w:type="character" w:customStyle="1" w:styleId="Heading3Char">
    <w:name w:val="Heading 3 Char"/>
    <w:basedOn w:val="DefaultParagraphFont"/>
    <w:link w:val="Heading3"/>
    <w:uiPriority w:val="9"/>
    <w:rsid w:val="005D215D"/>
    <w:rPr>
      <w:rFonts w:asciiTheme="majorHAnsi" w:eastAsiaTheme="majorEastAsia" w:hAnsiTheme="majorHAnsi" w:cstheme="majorBidi"/>
      <w:color w:val="243F60" w:themeColor="accent1" w:themeShade="7F"/>
      <w:sz w:val="24"/>
      <w:szCs w:val="24"/>
    </w:rPr>
  </w:style>
  <w:style w:type="paragraph" w:customStyle="1" w:styleId="biblio">
    <w:name w:val="biblio"/>
    <w:basedOn w:val="Normal"/>
    <w:rsid w:val="003D7343"/>
    <w:pPr>
      <w:keepLines/>
      <w:spacing w:after="120"/>
      <w:ind w:left="720" w:hanging="720"/>
    </w:pPr>
    <w:rPr>
      <w:rFonts w:ascii="Garamond" w:eastAsia="Times New Roman" w:hAnsi="Garamond" w:cs="Times New Roman"/>
      <w:sz w:val="24"/>
      <w:szCs w:val="20"/>
    </w:rPr>
  </w:style>
  <w:style w:type="character" w:styleId="HTMLCite">
    <w:name w:val="HTML Cite"/>
    <w:basedOn w:val="DefaultParagraphFont"/>
    <w:uiPriority w:val="99"/>
    <w:unhideWhenUsed/>
    <w:rsid w:val="003D73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autoRedefine/>
    <w:uiPriority w:val="9"/>
    <w:qFormat/>
    <w:rsid w:val="00110BDF"/>
    <w:pPr>
      <w:keepNext/>
      <w:keepLines/>
      <w:numPr>
        <w:numId w:val="35"/>
      </w:numPr>
      <w:spacing w:before="480"/>
      <w:outlineLvl w:val="0"/>
    </w:pPr>
    <w:rPr>
      <w:rFonts w:ascii="Calibri" w:eastAsiaTheme="majorEastAsia" w:hAnsi="Calibri" w:cstheme="majorBidi"/>
      <w:b/>
      <w:bCs/>
      <w:sz w:val="28"/>
      <w:szCs w:val="28"/>
    </w:rPr>
  </w:style>
  <w:style w:type="paragraph" w:styleId="Heading2">
    <w:name w:val="heading 2"/>
    <w:basedOn w:val="Normal"/>
    <w:next w:val="Normal"/>
    <w:link w:val="Heading2Char"/>
    <w:autoRedefine/>
    <w:uiPriority w:val="9"/>
    <w:unhideWhenUsed/>
    <w:qFormat/>
    <w:rsid w:val="00110BDF"/>
    <w:pPr>
      <w:keepNext/>
      <w:keepLines/>
      <w:numPr>
        <w:ilvl w:val="1"/>
        <w:numId w:val="35"/>
      </w:numPr>
      <w:spacing w:before="200"/>
      <w:outlineLvl w:val="1"/>
    </w:pPr>
    <w:rPr>
      <w:rFonts w:ascii="Calibri" w:eastAsiaTheme="majorEastAsia" w:hAnsi="Calibri" w:cstheme="majorBidi"/>
      <w:b/>
      <w:bCs/>
      <w:sz w:val="26"/>
      <w:szCs w:val="26"/>
    </w:rPr>
  </w:style>
  <w:style w:type="paragraph" w:styleId="Heading3">
    <w:name w:val="heading 3"/>
    <w:basedOn w:val="Normal"/>
    <w:next w:val="Normal"/>
    <w:link w:val="Heading3Char"/>
    <w:uiPriority w:val="9"/>
    <w:unhideWhenUsed/>
    <w:qFormat/>
    <w:rsid w:val="005D21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semiHidden/>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3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32D99"/>
    <w:pPr>
      <w:spacing w:after="120"/>
    </w:pPr>
  </w:style>
  <w:style w:type="character" w:customStyle="1" w:styleId="BodyTextChar">
    <w:name w:val="Body Text Char"/>
    <w:basedOn w:val="DefaultParagraphFont"/>
    <w:link w:val="BodyText"/>
    <w:uiPriority w:val="99"/>
    <w:semiHidden/>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25"/>
      </w:numPr>
      <w:contextualSpacing/>
    </w:pPr>
  </w:style>
  <w:style w:type="paragraph" w:styleId="ListBullet">
    <w:name w:val="List Bullet"/>
    <w:basedOn w:val="ListParagraph"/>
    <w:rsid w:val="0001203A"/>
    <w:pPr>
      <w:numPr>
        <w:numId w:val="10"/>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110BDF"/>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110BDF"/>
    <w:rPr>
      <w:rFonts w:ascii="Calibri" w:eastAsiaTheme="majorEastAsia" w:hAnsi="Calibri" w:cstheme="majorBidi"/>
      <w:b/>
      <w:bCs/>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8"/>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autoRedefine/>
    <w:qFormat/>
    <w:rsid w:val="00892D9F"/>
    <w:pPr>
      <w:ind w:left="1008" w:hanging="1008"/>
    </w:pPr>
    <w:rPr>
      <w:sz w:val="24"/>
    </w:rPr>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46"/>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character" w:styleId="Emphasis">
    <w:name w:val="Emphasis"/>
    <w:basedOn w:val="DefaultParagraphFont"/>
    <w:uiPriority w:val="20"/>
    <w:qFormat/>
    <w:rsid w:val="00301ABB"/>
    <w:rPr>
      <w:i/>
      <w:iCs/>
    </w:rPr>
  </w:style>
  <w:style w:type="table" w:styleId="LightShading">
    <w:name w:val="Light Shading"/>
    <w:basedOn w:val="TableNormal"/>
    <w:uiPriority w:val="60"/>
    <w:rsid w:val="009963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figsource">
    <w:name w:val="tab/fig source"/>
    <w:basedOn w:val="Normal"/>
    <w:rsid w:val="00E51F4B"/>
    <w:pPr>
      <w:keepLines/>
      <w:spacing w:before="120"/>
      <w:ind w:left="187" w:hanging="187"/>
    </w:pPr>
    <w:rPr>
      <w:rFonts w:eastAsia="Times New Roman" w:cs="Times New Roman"/>
      <w:sz w:val="20"/>
      <w:szCs w:val="20"/>
    </w:rPr>
  </w:style>
  <w:style w:type="paragraph" w:customStyle="1" w:styleId="EQ">
    <w:name w:val="EQ"/>
    <w:basedOn w:val="Normal"/>
    <w:autoRedefine/>
    <w:qFormat/>
    <w:rsid w:val="00C83E03"/>
    <w:pPr>
      <w:keepNext/>
      <w:spacing w:after="0"/>
      <w:ind w:left="648" w:hanging="648"/>
    </w:pPr>
    <w:rPr>
      <w:rFonts w:cs="Times New Roman"/>
      <w:b/>
      <w:szCs w:val="20"/>
    </w:rPr>
  </w:style>
  <w:style w:type="paragraph" w:customStyle="1" w:styleId="EQ2">
    <w:name w:val="EQ2"/>
    <w:basedOn w:val="Normal"/>
    <w:autoRedefine/>
    <w:qFormat/>
    <w:rsid w:val="00C83E03"/>
    <w:pPr>
      <w:keepNext/>
      <w:spacing w:after="0"/>
    </w:pPr>
    <w:rPr>
      <w:rFonts w:cs="Times New Roman"/>
      <w:i/>
      <w:iCs/>
      <w:sz w:val="20"/>
      <w:szCs w:val="20"/>
    </w:rPr>
  </w:style>
  <w:style w:type="paragraph" w:customStyle="1" w:styleId="EQ3">
    <w:name w:val="EQ3"/>
    <w:basedOn w:val="Normal"/>
    <w:qFormat/>
    <w:rsid w:val="00C83E03"/>
    <w:pPr>
      <w:spacing w:after="0"/>
    </w:pPr>
    <w:rPr>
      <w:rFonts w:cs="Times New Roman"/>
      <w:sz w:val="20"/>
      <w:szCs w:val="20"/>
    </w:rPr>
  </w:style>
  <w:style w:type="paragraph" w:customStyle="1" w:styleId="TableHeaders">
    <w:name w:val="Table Headers"/>
    <w:basedOn w:val="Normal"/>
    <w:rsid w:val="002D08A2"/>
    <w:pPr>
      <w:keepNext/>
      <w:spacing w:before="80" w:after="80" w:line="240" w:lineRule="exact"/>
      <w:jc w:val="center"/>
    </w:pPr>
    <w:rPr>
      <w:rFonts w:ascii="Arial" w:eastAsia="Times New Roman" w:hAnsi="Arial" w:cs="Times New Roman"/>
      <w:b/>
      <w:snapToGrid w:val="0"/>
      <w:sz w:val="20"/>
      <w:szCs w:val="20"/>
    </w:rPr>
  </w:style>
  <w:style w:type="paragraph" w:customStyle="1" w:styleId="TableText">
    <w:name w:val="Table Text"/>
    <w:basedOn w:val="Normal"/>
    <w:qFormat/>
    <w:rsid w:val="002D08A2"/>
    <w:pPr>
      <w:spacing w:before="80" w:after="80" w:line="240" w:lineRule="exact"/>
    </w:pPr>
    <w:rPr>
      <w:rFonts w:eastAsia="Times New Roman" w:cs="Times New Roman"/>
      <w:b/>
      <w:bCs/>
      <w:snapToGrid w:val="0"/>
      <w:sz w:val="20"/>
      <w:szCs w:val="20"/>
    </w:rPr>
  </w:style>
  <w:style w:type="character" w:customStyle="1" w:styleId="Heading3Char">
    <w:name w:val="Heading 3 Char"/>
    <w:basedOn w:val="DefaultParagraphFont"/>
    <w:link w:val="Heading3"/>
    <w:uiPriority w:val="9"/>
    <w:rsid w:val="005D215D"/>
    <w:rPr>
      <w:rFonts w:asciiTheme="majorHAnsi" w:eastAsiaTheme="majorEastAsia" w:hAnsiTheme="majorHAnsi" w:cstheme="majorBidi"/>
      <w:color w:val="243F60" w:themeColor="accent1" w:themeShade="7F"/>
      <w:sz w:val="24"/>
      <w:szCs w:val="24"/>
    </w:rPr>
  </w:style>
  <w:style w:type="paragraph" w:customStyle="1" w:styleId="biblio">
    <w:name w:val="biblio"/>
    <w:basedOn w:val="Normal"/>
    <w:rsid w:val="003D7343"/>
    <w:pPr>
      <w:keepLines/>
      <w:spacing w:after="120"/>
      <w:ind w:left="720" w:hanging="720"/>
    </w:pPr>
    <w:rPr>
      <w:rFonts w:ascii="Garamond" w:eastAsia="Times New Roman" w:hAnsi="Garamond" w:cs="Times New Roman"/>
      <w:sz w:val="24"/>
      <w:szCs w:val="20"/>
    </w:rPr>
  </w:style>
  <w:style w:type="character" w:styleId="HTMLCite">
    <w:name w:val="HTML Cite"/>
    <w:basedOn w:val="DefaultParagraphFont"/>
    <w:uiPriority w:val="99"/>
    <w:unhideWhenUsed/>
    <w:rsid w:val="003D7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6177">
      <w:bodyDiv w:val="1"/>
      <w:marLeft w:val="0"/>
      <w:marRight w:val="0"/>
      <w:marTop w:val="0"/>
      <w:marBottom w:val="0"/>
      <w:divBdr>
        <w:top w:val="none" w:sz="0" w:space="0" w:color="auto"/>
        <w:left w:val="none" w:sz="0" w:space="0" w:color="auto"/>
        <w:bottom w:val="none" w:sz="0" w:space="0" w:color="auto"/>
        <w:right w:val="none" w:sz="0" w:space="0" w:color="auto"/>
      </w:divBdr>
      <w:divsChild>
        <w:div w:id="2117673116">
          <w:marLeft w:val="0"/>
          <w:marRight w:val="0"/>
          <w:marTop w:val="480"/>
          <w:marBottom w:val="0"/>
          <w:divBdr>
            <w:top w:val="none" w:sz="0" w:space="0" w:color="auto"/>
            <w:left w:val="none" w:sz="0" w:space="0" w:color="auto"/>
            <w:bottom w:val="none" w:sz="0" w:space="0" w:color="auto"/>
            <w:right w:val="none" w:sz="0" w:space="0" w:color="auto"/>
          </w:divBdr>
        </w:div>
      </w:divsChild>
    </w:div>
    <w:div w:id="452136332">
      <w:bodyDiv w:val="1"/>
      <w:marLeft w:val="0"/>
      <w:marRight w:val="0"/>
      <w:marTop w:val="0"/>
      <w:marBottom w:val="0"/>
      <w:divBdr>
        <w:top w:val="none" w:sz="0" w:space="0" w:color="auto"/>
        <w:left w:val="none" w:sz="0" w:space="0" w:color="auto"/>
        <w:bottom w:val="none" w:sz="0" w:space="0" w:color="auto"/>
        <w:right w:val="none" w:sz="0" w:space="0" w:color="auto"/>
      </w:divBdr>
    </w:div>
    <w:div w:id="1400249394">
      <w:bodyDiv w:val="1"/>
      <w:marLeft w:val="0"/>
      <w:marRight w:val="0"/>
      <w:marTop w:val="0"/>
      <w:marBottom w:val="0"/>
      <w:divBdr>
        <w:top w:val="none" w:sz="0" w:space="0" w:color="auto"/>
        <w:left w:val="none" w:sz="0" w:space="0" w:color="auto"/>
        <w:bottom w:val="none" w:sz="0" w:space="0" w:color="auto"/>
        <w:right w:val="none" w:sz="0" w:space="0" w:color="auto"/>
      </w:divBdr>
    </w:div>
    <w:div w:id="1490517304">
      <w:bodyDiv w:val="1"/>
      <w:marLeft w:val="0"/>
      <w:marRight w:val="0"/>
      <w:marTop w:val="0"/>
      <w:marBottom w:val="0"/>
      <w:divBdr>
        <w:top w:val="none" w:sz="0" w:space="0" w:color="auto"/>
        <w:left w:val="none" w:sz="0" w:space="0" w:color="auto"/>
        <w:bottom w:val="none" w:sz="0" w:space="0" w:color="auto"/>
        <w:right w:val="none" w:sz="0" w:space="0" w:color="auto"/>
      </w:divBdr>
      <w:divsChild>
        <w:div w:id="952975120">
          <w:marLeft w:val="0"/>
          <w:marRight w:val="0"/>
          <w:marTop w:val="0"/>
          <w:marBottom w:val="0"/>
          <w:divBdr>
            <w:top w:val="none" w:sz="0" w:space="0" w:color="auto"/>
            <w:left w:val="none" w:sz="0" w:space="0" w:color="auto"/>
            <w:bottom w:val="none" w:sz="0" w:space="0" w:color="auto"/>
            <w:right w:val="none" w:sz="0" w:space="0" w:color="auto"/>
          </w:divBdr>
          <w:divsChild>
            <w:div w:id="1829319568">
              <w:marLeft w:val="0"/>
              <w:marRight w:val="0"/>
              <w:marTop w:val="0"/>
              <w:marBottom w:val="0"/>
              <w:divBdr>
                <w:top w:val="none" w:sz="0" w:space="0" w:color="auto"/>
                <w:left w:val="single" w:sz="6" w:space="0" w:color="E2E2E2"/>
                <w:bottom w:val="none" w:sz="0" w:space="0" w:color="auto"/>
                <w:right w:val="single" w:sz="6" w:space="0" w:color="E2E2E2"/>
              </w:divBdr>
              <w:divsChild>
                <w:div w:id="1790005730">
                  <w:marLeft w:val="0"/>
                  <w:marRight w:val="0"/>
                  <w:marTop w:val="0"/>
                  <w:marBottom w:val="0"/>
                  <w:divBdr>
                    <w:top w:val="none" w:sz="0" w:space="0" w:color="auto"/>
                    <w:left w:val="none" w:sz="0" w:space="0" w:color="auto"/>
                    <w:bottom w:val="none" w:sz="0" w:space="0" w:color="auto"/>
                    <w:right w:val="none" w:sz="0" w:space="0" w:color="auto"/>
                  </w:divBdr>
                  <w:divsChild>
                    <w:div w:id="1937638282">
                      <w:marLeft w:val="0"/>
                      <w:marRight w:val="0"/>
                      <w:marTop w:val="0"/>
                      <w:marBottom w:val="0"/>
                      <w:divBdr>
                        <w:top w:val="none" w:sz="0" w:space="0" w:color="auto"/>
                        <w:left w:val="none" w:sz="0" w:space="0" w:color="auto"/>
                        <w:bottom w:val="none" w:sz="0" w:space="0" w:color="auto"/>
                        <w:right w:val="none" w:sz="0" w:space="0" w:color="auto"/>
                      </w:divBdr>
                      <w:divsChild>
                        <w:div w:id="39374135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252414">
      <w:bodyDiv w:val="1"/>
      <w:marLeft w:val="0"/>
      <w:marRight w:val="0"/>
      <w:marTop w:val="0"/>
      <w:marBottom w:val="0"/>
      <w:divBdr>
        <w:top w:val="none" w:sz="0" w:space="0" w:color="auto"/>
        <w:left w:val="none" w:sz="0" w:space="0" w:color="auto"/>
        <w:bottom w:val="none" w:sz="0" w:space="0" w:color="auto"/>
        <w:right w:val="none" w:sz="0" w:space="0" w:color="auto"/>
      </w:divBdr>
      <w:divsChild>
        <w:div w:id="1578516834">
          <w:marLeft w:val="0"/>
          <w:marRight w:val="0"/>
          <w:marTop w:val="480"/>
          <w:marBottom w:val="0"/>
          <w:divBdr>
            <w:top w:val="none" w:sz="0" w:space="0" w:color="auto"/>
            <w:left w:val="none" w:sz="0" w:space="0" w:color="auto"/>
            <w:bottom w:val="none" w:sz="0" w:space="0" w:color="auto"/>
            <w:right w:val="none" w:sz="0" w:space="0" w:color="auto"/>
          </w:divBdr>
        </w:div>
      </w:divsChild>
    </w:div>
    <w:div w:id="1665663020">
      <w:bodyDiv w:val="1"/>
      <w:marLeft w:val="0"/>
      <w:marRight w:val="0"/>
      <w:marTop w:val="0"/>
      <w:marBottom w:val="0"/>
      <w:divBdr>
        <w:top w:val="none" w:sz="0" w:space="0" w:color="auto"/>
        <w:left w:val="none" w:sz="0" w:space="0" w:color="auto"/>
        <w:bottom w:val="none" w:sz="0" w:space="0" w:color="auto"/>
        <w:right w:val="none" w:sz="0" w:space="0" w:color="auto"/>
      </w:divBdr>
    </w:div>
    <w:div w:id="18504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4F4E2-92A9-4A51-8D6D-2FDF0FB9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4866</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Snaauw, Roxanne</dc:creator>
  <cp:lastModifiedBy>Windows User</cp:lastModifiedBy>
  <cp:revision>4</cp:revision>
  <cp:lastPrinted>2015-09-25T23:06:00Z</cp:lastPrinted>
  <dcterms:created xsi:type="dcterms:W3CDTF">2015-12-01T14:28:00Z</dcterms:created>
  <dcterms:modified xsi:type="dcterms:W3CDTF">2015-12-28T15:38:00Z</dcterms:modified>
</cp:coreProperties>
</file>