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7EF" w:rsidRDefault="00FC27EF" w:rsidP="00FC27EF">
      <w:pPr>
        <w:pStyle w:val="CM9"/>
        <w:spacing w:after="0" w:line="360" w:lineRule="atLeast"/>
        <w:jc w:val="center"/>
        <w:rPr>
          <w:b/>
          <w:bCs/>
          <w:color w:val="000000"/>
          <w:sz w:val="32"/>
          <w:szCs w:val="32"/>
        </w:rPr>
      </w:pPr>
    </w:p>
    <w:p w:rsidR="00FC27EF" w:rsidRDefault="00FC27EF" w:rsidP="00FC27EF">
      <w:pPr>
        <w:pStyle w:val="CM9"/>
        <w:spacing w:after="0" w:line="360" w:lineRule="atLeast"/>
        <w:jc w:val="center"/>
        <w:rPr>
          <w:b/>
          <w:bCs/>
          <w:color w:val="000000"/>
          <w:sz w:val="32"/>
          <w:szCs w:val="32"/>
        </w:rPr>
      </w:pPr>
    </w:p>
    <w:p w:rsidR="00FC27EF" w:rsidRDefault="00FC27EF" w:rsidP="00FC27EF">
      <w:pPr>
        <w:pStyle w:val="CM9"/>
        <w:spacing w:after="0" w:line="360" w:lineRule="atLeast"/>
        <w:jc w:val="center"/>
        <w:rPr>
          <w:b/>
          <w:bCs/>
          <w:color w:val="000000"/>
          <w:sz w:val="32"/>
          <w:szCs w:val="32"/>
        </w:rPr>
      </w:pPr>
    </w:p>
    <w:p w:rsidR="00FC27EF" w:rsidRDefault="00FC27EF" w:rsidP="00FC27EF">
      <w:pPr>
        <w:pStyle w:val="CM9"/>
        <w:spacing w:after="0" w:line="360" w:lineRule="atLeast"/>
        <w:jc w:val="center"/>
        <w:rPr>
          <w:b/>
          <w:bCs/>
          <w:color w:val="000000"/>
          <w:sz w:val="32"/>
          <w:szCs w:val="32"/>
        </w:rPr>
      </w:pPr>
    </w:p>
    <w:p w:rsidR="00FC27EF" w:rsidRDefault="00FC27EF" w:rsidP="00FC27EF">
      <w:pPr>
        <w:pStyle w:val="CM9"/>
        <w:spacing w:after="0" w:line="360" w:lineRule="atLeast"/>
        <w:jc w:val="center"/>
        <w:rPr>
          <w:b/>
          <w:bCs/>
          <w:color w:val="000000"/>
          <w:sz w:val="32"/>
          <w:szCs w:val="32"/>
        </w:rPr>
      </w:pPr>
    </w:p>
    <w:p w:rsidR="00FC27EF" w:rsidRPr="004160FA" w:rsidRDefault="00FC27EF" w:rsidP="00FC27EF">
      <w:pPr>
        <w:pStyle w:val="CM9"/>
        <w:spacing w:after="0" w:line="360" w:lineRule="atLeast"/>
        <w:jc w:val="center"/>
        <w:rPr>
          <w:color w:val="000000"/>
        </w:rPr>
      </w:pPr>
      <w:r w:rsidRPr="004160FA">
        <w:rPr>
          <w:b/>
          <w:bCs/>
          <w:color w:val="000000"/>
          <w:sz w:val="32"/>
          <w:szCs w:val="32"/>
        </w:rPr>
        <w:t xml:space="preserve">Supporting Statement </w:t>
      </w:r>
      <w:r w:rsidRPr="004160FA">
        <w:rPr>
          <w:b/>
          <w:bCs/>
          <w:color w:val="000000"/>
          <w:sz w:val="32"/>
          <w:szCs w:val="32"/>
        </w:rPr>
        <w:br/>
      </w:r>
      <w:r w:rsidRPr="004160FA">
        <w:rPr>
          <w:b/>
          <w:bCs/>
          <w:color w:val="000000"/>
        </w:rPr>
        <w:t xml:space="preserve">for </w:t>
      </w:r>
    </w:p>
    <w:p w:rsidR="00FC27EF" w:rsidRDefault="00FC27EF" w:rsidP="00FC27EF">
      <w:pPr>
        <w:pStyle w:val="Default"/>
        <w:ind w:left="720" w:firstLine="720"/>
        <w:rPr>
          <w:b/>
          <w:bCs/>
          <w:sz w:val="32"/>
          <w:szCs w:val="32"/>
        </w:rPr>
      </w:pPr>
      <w:r>
        <w:rPr>
          <w:b/>
          <w:bCs/>
          <w:sz w:val="32"/>
          <w:szCs w:val="32"/>
        </w:rPr>
        <w:tab/>
      </w:r>
      <w:r>
        <w:rPr>
          <w:b/>
          <w:bCs/>
          <w:sz w:val="32"/>
          <w:szCs w:val="32"/>
        </w:rPr>
        <w:tab/>
      </w:r>
      <w:r>
        <w:rPr>
          <w:b/>
          <w:bCs/>
          <w:sz w:val="32"/>
          <w:szCs w:val="32"/>
        </w:rPr>
        <w:tab/>
        <w:t xml:space="preserve">    </w:t>
      </w:r>
      <w:r w:rsidRPr="00676DFD">
        <w:rPr>
          <w:b/>
          <w:bCs/>
          <w:sz w:val="32"/>
          <w:szCs w:val="32"/>
        </w:rPr>
        <w:t>CareerTrac</w:t>
      </w:r>
      <w:r>
        <w:rPr>
          <w:b/>
          <w:bCs/>
          <w:sz w:val="32"/>
          <w:szCs w:val="32"/>
        </w:rPr>
        <w:t xml:space="preserve"> </w:t>
      </w:r>
    </w:p>
    <w:p w:rsidR="00FC27EF" w:rsidRDefault="00FC27EF" w:rsidP="00FC27EF">
      <w:pPr>
        <w:pStyle w:val="Default"/>
        <w:ind w:left="720" w:firstLine="720"/>
        <w:rPr>
          <w:color w:val="auto"/>
        </w:rPr>
      </w:pPr>
    </w:p>
    <w:p w:rsidR="00FC27EF" w:rsidRDefault="00FC27EF" w:rsidP="00FC27EF">
      <w:pPr>
        <w:pStyle w:val="CM1"/>
        <w:jc w:val="center"/>
      </w:pPr>
      <w:r>
        <w:rPr>
          <w:b/>
          <w:bCs/>
        </w:rPr>
        <w:t xml:space="preserve">Paperwork Reduction Act Submission </w:t>
      </w:r>
    </w:p>
    <w:p w:rsidR="00FC27EF" w:rsidRDefault="00FC27EF" w:rsidP="00FC27EF">
      <w:pPr>
        <w:jc w:val="center"/>
      </w:pPr>
    </w:p>
    <w:p w:rsidR="00FC27EF" w:rsidRDefault="00FC27EF" w:rsidP="00FC27EF">
      <w:pPr>
        <w:jc w:val="center"/>
      </w:pPr>
      <w:r w:rsidRPr="00660F70">
        <w:t xml:space="preserve">OMB NO.: 0925-0568 </w:t>
      </w:r>
    </w:p>
    <w:p w:rsidR="00FC27EF" w:rsidRDefault="00FC27EF" w:rsidP="00FC27EF">
      <w:pPr>
        <w:jc w:val="center"/>
        <w:rPr>
          <w:b/>
          <w:bCs/>
          <w:color w:val="000000"/>
          <w:sz w:val="32"/>
          <w:szCs w:val="32"/>
        </w:rPr>
      </w:pPr>
      <w:r w:rsidRPr="00660F70">
        <w:t xml:space="preserve">Expiration: </w:t>
      </w:r>
      <w:r>
        <w:t>February 29, 2016</w:t>
      </w:r>
    </w:p>
    <w:p w:rsidR="00FC27EF" w:rsidRDefault="00FC27EF">
      <w:pPr>
        <w:rPr>
          <w:b/>
          <w:bCs/>
          <w:color w:val="000000"/>
          <w:sz w:val="32"/>
          <w:szCs w:val="32"/>
        </w:rPr>
      </w:pPr>
    </w:p>
    <w:p w:rsidR="00FC27EF" w:rsidRDefault="00FC27EF" w:rsidP="00FC27EF">
      <w:pPr>
        <w:ind w:left="2610"/>
        <w:rPr>
          <w:bCs/>
          <w:color w:val="000000"/>
        </w:rPr>
      </w:pPr>
    </w:p>
    <w:p w:rsidR="00FC27EF" w:rsidRPr="00FC27EF" w:rsidRDefault="00FC27EF" w:rsidP="00FC27EF">
      <w:pPr>
        <w:ind w:left="2610"/>
        <w:rPr>
          <w:bCs/>
          <w:color w:val="000000"/>
        </w:rPr>
      </w:pPr>
      <w:r w:rsidRPr="00FC27EF">
        <w:rPr>
          <w:bCs/>
          <w:color w:val="000000"/>
        </w:rPr>
        <w:t xml:space="preserve">Contact: </w:t>
      </w:r>
      <w:r w:rsidRPr="00FC27EF">
        <w:rPr>
          <w:bCs/>
          <w:color w:val="000000"/>
        </w:rPr>
        <w:tab/>
        <w:t>Rachel Sturke, Fogarty International Center</w:t>
      </w:r>
    </w:p>
    <w:p w:rsidR="00FC27EF" w:rsidRPr="00FC27EF" w:rsidRDefault="00FC27EF" w:rsidP="00FC27EF">
      <w:pPr>
        <w:ind w:left="2610"/>
        <w:rPr>
          <w:bCs/>
          <w:color w:val="000000"/>
        </w:rPr>
      </w:pPr>
      <w:r w:rsidRPr="00FC27EF">
        <w:rPr>
          <w:bCs/>
          <w:color w:val="000000"/>
        </w:rPr>
        <w:t>Phone:</w:t>
      </w:r>
      <w:r w:rsidRPr="00FC27EF">
        <w:rPr>
          <w:bCs/>
          <w:color w:val="000000"/>
        </w:rPr>
        <w:tab/>
        <w:t>301.496.1491</w:t>
      </w:r>
    </w:p>
    <w:p w:rsidR="00FC27EF" w:rsidRPr="00FC27EF" w:rsidRDefault="00FC27EF" w:rsidP="00FC27EF">
      <w:pPr>
        <w:ind w:left="2610"/>
        <w:rPr>
          <w:bCs/>
          <w:color w:val="000000"/>
        </w:rPr>
      </w:pPr>
      <w:r w:rsidRPr="00FC27EF">
        <w:rPr>
          <w:bCs/>
          <w:color w:val="000000"/>
        </w:rPr>
        <w:t>Email:</w:t>
      </w:r>
      <w:r w:rsidRPr="00FC27EF">
        <w:rPr>
          <w:bCs/>
          <w:color w:val="000000"/>
        </w:rPr>
        <w:tab/>
        <w:t>sturkerachel@mail.nih.gov</w:t>
      </w:r>
    </w:p>
    <w:p w:rsidR="00FC27EF" w:rsidRDefault="00FC27EF">
      <w:pPr>
        <w:rPr>
          <w:b/>
          <w:bCs/>
          <w:color w:val="000000"/>
          <w:sz w:val="32"/>
          <w:szCs w:val="32"/>
        </w:rPr>
      </w:pPr>
    </w:p>
    <w:p w:rsidR="00FC27EF" w:rsidRDefault="00FC27EF">
      <w:pPr>
        <w:rPr>
          <w:b/>
          <w:bCs/>
          <w:color w:val="000000"/>
          <w:sz w:val="32"/>
          <w:szCs w:val="32"/>
        </w:rPr>
      </w:pPr>
    </w:p>
    <w:p w:rsidR="00FC27EF" w:rsidRDefault="00FC27EF">
      <w:pPr>
        <w:rPr>
          <w:b/>
          <w:bCs/>
          <w:color w:val="000000"/>
          <w:sz w:val="32"/>
          <w:szCs w:val="32"/>
        </w:rPr>
      </w:pPr>
      <w:r>
        <w:rPr>
          <w:b/>
          <w:bCs/>
          <w:color w:val="000000"/>
          <w:sz w:val="32"/>
          <w:szCs w:val="32"/>
        </w:rPr>
        <w:br w:type="page"/>
      </w:r>
    </w:p>
    <w:p w:rsidR="0068204D" w:rsidRDefault="0068204D" w:rsidP="00C231BB">
      <w:pPr>
        <w:pStyle w:val="Default"/>
        <w:jc w:val="center"/>
        <w:rPr>
          <w:b/>
          <w:sz w:val="32"/>
        </w:rPr>
      </w:pPr>
      <w:r w:rsidRPr="00C231BB">
        <w:rPr>
          <w:b/>
          <w:sz w:val="32"/>
        </w:rPr>
        <w:lastRenderedPageBreak/>
        <w:t>Attachments</w:t>
      </w:r>
    </w:p>
    <w:p w:rsidR="0068204D" w:rsidRPr="00C231BB" w:rsidRDefault="0068204D" w:rsidP="00C231BB">
      <w:pPr>
        <w:pStyle w:val="Default"/>
        <w:jc w:val="center"/>
        <w:rPr>
          <w:b/>
          <w:sz w:val="32"/>
        </w:rPr>
      </w:pPr>
    </w:p>
    <w:p w:rsidR="0068204D" w:rsidRDefault="0068204D" w:rsidP="0068204D">
      <w:pPr>
        <w:pStyle w:val="Default"/>
      </w:pPr>
      <w:proofErr w:type="gramStart"/>
      <w:r>
        <w:t>Attachment 1.</w:t>
      </w:r>
      <w:proofErr w:type="gramEnd"/>
      <w:r>
        <w:tab/>
        <w:t>Screenshots of Data Collection forms used for Trainee Review/Updates</w:t>
      </w:r>
    </w:p>
    <w:p w:rsidR="0068204D" w:rsidRDefault="0068204D" w:rsidP="0068204D">
      <w:pPr>
        <w:pStyle w:val="Default"/>
      </w:pPr>
      <w:proofErr w:type="gramStart"/>
      <w:r>
        <w:t>Attachment 2.</w:t>
      </w:r>
      <w:proofErr w:type="gramEnd"/>
      <w:r>
        <w:t xml:space="preserve"> Screenshots of the FIC CareerTrac database</w:t>
      </w:r>
    </w:p>
    <w:p w:rsidR="0068204D" w:rsidRDefault="0068204D" w:rsidP="0068204D">
      <w:pPr>
        <w:pStyle w:val="Default"/>
      </w:pPr>
      <w:proofErr w:type="gramStart"/>
      <w:r>
        <w:t>Attachment 3.</w:t>
      </w:r>
      <w:proofErr w:type="gramEnd"/>
      <w:r>
        <w:t xml:space="preserve"> Screenshots of the NIEHS CareerTrac database</w:t>
      </w:r>
    </w:p>
    <w:p w:rsidR="0068204D" w:rsidRDefault="0068204D" w:rsidP="0068204D">
      <w:pPr>
        <w:pStyle w:val="Default"/>
      </w:pPr>
      <w:proofErr w:type="gramStart"/>
      <w:r>
        <w:t>Attachment 4.</w:t>
      </w:r>
      <w:proofErr w:type="gramEnd"/>
      <w:r>
        <w:t xml:space="preserve"> Screenshots of the NIEHS Superfund </w:t>
      </w:r>
      <w:r w:rsidR="00C231BB">
        <w:t xml:space="preserve">(SRP) </w:t>
      </w:r>
      <w:r>
        <w:t>CareerTrac database</w:t>
      </w:r>
    </w:p>
    <w:p w:rsidR="0068204D" w:rsidRDefault="0068204D" w:rsidP="0068204D">
      <w:pPr>
        <w:pStyle w:val="Default"/>
      </w:pPr>
      <w:proofErr w:type="gramStart"/>
      <w:r>
        <w:t>Attachment 5.</w:t>
      </w:r>
      <w:proofErr w:type="gramEnd"/>
      <w:r>
        <w:t xml:space="preserve"> Screenshots of the NLM CareerTrac database</w:t>
      </w:r>
    </w:p>
    <w:p w:rsidR="0068204D" w:rsidRDefault="0068204D" w:rsidP="0068204D">
      <w:pPr>
        <w:pStyle w:val="Default"/>
      </w:pPr>
      <w:proofErr w:type="gramStart"/>
      <w:r>
        <w:t>Attachment 6.</w:t>
      </w:r>
      <w:proofErr w:type="gramEnd"/>
      <w:r>
        <w:t xml:space="preserve"> Screenshots of the NIGMS CareerTrac database</w:t>
      </w:r>
    </w:p>
    <w:p w:rsidR="0068204D" w:rsidRDefault="0068204D" w:rsidP="0068204D">
      <w:pPr>
        <w:pStyle w:val="Default"/>
      </w:pPr>
      <w:proofErr w:type="gramStart"/>
      <w:r>
        <w:t>Attachment 7.</w:t>
      </w:r>
      <w:proofErr w:type="gramEnd"/>
      <w:r>
        <w:t xml:space="preserve"> Screenshots of the NCI CRCHD Program CareerTrac database</w:t>
      </w:r>
    </w:p>
    <w:p w:rsidR="0068204D" w:rsidRDefault="0068204D">
      <w:pPr>
        <w:rPr>
          <w:b/>
          <w:bCs/>
          <w:color w:val="000000"/>
          <w:sz w:val="32"/>
          <w:szCs w:val="32"/>
        </w:rPr>
      </w:pPr>
      <w:r>
        <w:rPr>
          <w:b/>
          <w:bCs/>
          <w:color w:val="000000"/>
          <w:sz w:val="32"/>
          <w:szCs w:val="32"/>
        </w:rPr>
        <w:br w:type="page"/>
      </w:r>
    </w:p>
    <w:p w:rsidR="00AA3632" w:rsidRPr="004160FA" w:rsidRDefault="00AA3632" w:rsidP="00D60B5B">
      <w:pPr>
        <w:pStyle w:val="CM9"/>
        <w:spacing w:after="0" w:line="360" w:lineRule="atLeast"/>
        <w:jc w:val="center"/>
        <w:rPr>
          <w:color w:val="000000"/>
        </w:rPr>
      </w:pPr>
      <w:r w:rsidRPr="004160FA">
        <w:rPr>
          <w:b/>
          <w:bCs/>
          <w:color w:val="000000"/>
          <w:sz w:val="32"/>
          <w:szCs w:val="32"/>
        </w:rPr>
        <w:lastRenderedPageBreak/>
        <w:t xml:space="preserve">Supporting Statement </w:t>
      </w:r>
      <w:r w:rsidRPr="004160FA">
        <w:rPr>
          <w:b/>
          <w:bCs/>
          <w:color w:val="000000"/>
          <w:sz w:val="32"/>
          <w:szCs w:val="32"/>
        </w:rPr>
        <w:br/>
      </w:r>
      <w:r w:rsidRPr="004160FA">
        <w:rPr>
          <w:b/>
          <w:bCs/>
          <w:color w:val="000000"/>
        </w:rPr>
        <w:t xml:space="preserve">for </w:t>
      </w:r>
    </w:p>
    <w:p w:rsidR="00AA3632" w:rsidRDefault="00922C25" w:rsidP="00D60B5B">
      <w:pPr>
        <w:pStyle w:val="Default"/>
        <w:ind w:left="720" w:firstLine="720"/>
        <w:rPr>
          <w:b/>
          <w:bCs/>
          <w:sz w:val="32"/>
          <w:szCs w:val="32"/>
        </w:rPr>
      </w:pPr>
      <w:r>
        <w:rPr>
          <w:b/>
          <w:bCs/>
          <w:sz w:val="32"/>
          <w:szCs w:val="32"/>
        </w:rPr>
        <w:tab/>
      </w:r>
      <w:r>
        <w:rPr>
          <w:b/>
          <w:bCs/>
          <w:sz w:val="32"/>
          <w:szCs w:val="32"/>
        </w:rPr>
        <w:tab/>
      </w:r>
      <w:r>
        <w:rPr>
          <w:b/>
          <w:bCs/>
          <w:sz w:val="32"/>
          <w:szCs w:val="32"/>
        </w:rPr>
        <w:tab/>
        <w:t xml:space="preserve">    </w:t>
      </w:r>
      <w:r w:rsidR="00AA3632" w:rsidRPr="00676DFD">
        <w:rPr>
          <w:b/>
          <w:bCs/>
          <w:sz w:val="32"/>
          <w:szCs w:val="32"/>
        </w:rPr>
        <w:t>CareerTrac</w:t>
      </w:r>
      <w:r w:rsidR="00AA3632">
        <w:rPr>
          <w:b/>
          <w:bCs/>
          <w:sz w:val="32"/>
          <w:szCs w:val="32"/>
        </w:rPr>
        <w:t xml:space="preserve"> </w:t>
      </w:r>
    </w:p>
    <w:p w:rsidR="004160FA" w:rsidRDefault="004160FA" w:rsidP="00D60B5B">
      <w:pPr>
        <w:pStyle w:val="Default"/>
        <w:ind w:left="720" w:firstLine="720"/>
        <w:rPr>
          <w:color w:val="auto"/>
        </w:rPr>
      </w:pPr>
    </w:p>
    <w:p w:rsidR="00AA3632" w:rsidRDefault="00AA3632" w:rsidP="00D60B5B">
      <w:pPr>
        <w:pStyle w:val="CM1"/>
        <w:jc w:val="center"/>
      </w:pPr>
      <w:r>
        <w:rPr>
          <w:b/>
          <w:bCs/>
        </w:rPr>
        <w:t xml:space="preserve">Paperwork Reduction Act Submission </w:t>
      </w:r>
    </w:p>
    <w:p w:rsidR="00D60B5B" w:rsidRDefault="00D60B5B">
      <w:pPr>
        <w:pStyle w:val="CM9"/>
        <w:rPr>
          <w:b/>
          <w:bCs/>
        </w:rPr>
      </w:pPr>
    </w:p>
    <w:p w:rsidR="00AA3632" w:rsidRDefault="00AA3632">
      <w:pPr>
        <w:pStyle w:val="CM9"/>
      </w:pPr>
      <w:r>
        <w:rPr>
          <w:b/>
          <w:bCs/>
        </w:rPr>
        <w:t xml:space="preserve">Section A </w:t>
      </w:r>
    </w:p>
    <w:p w:rsidR="00AA3632" w:rsidRDefault="00AA3632" w:rsidP="00D60B5B">
      <w:pPr>
        <w:pStyle w:val="CM10"/>
        <w:spacing w:after="100" w:afterAutospacing="1"/>
      </w:pPr>
      <w:r>
        <w:rPr>
          <w:b/>
          <w:bCs/>
        </w:rPr>
        <w:t xml:space="preserve">Introduction </w:t>
      </w:r>
    </w:p>
    <w:p w:rsidR="00FC27EF" w:rsidRDefault="00AA3632" w:rsidP="00FC27EF">
      <w:r w:rsidRPr="00676DFD">
        <w:t xml:space="preserve">This </w:t>
      </w:r>
      <w:r w:rsidR="00FC27EF">
        <w:t xml:space="preserve">is a revision request that </w:t>
      </w:r>
      <w:r w:rsidRPr="00676DFD">
        <w:t xml:space="preserve">seeks </w:t>
      </w:r>
      <w:r w:rsidR="00FC27EF">
        <w:t xml:space="preserve">renewal of </w:t>
      </w:r>
      <w:r w:rsidRPr="00676DFD">
        <w:t xml:space="preserve">clearance </w:t>
      </w:r>
      <w:r w:rsidR="00FC27EF">
        <w:t>(</w:t>
      </w:r>
      <w:r w:rsidR="00FC27EF" w:rsidRPr="00660F70">
        <w:t xml:space="preserve">OMB NO.: 0925-0568 </w:t>
      </w:r>
    </w:p>
    <w:p w:rsidR="00AA3632" w:rsidRPr="00FC27EF" w:rsidRDefault="00FC27EF" w:rsidP="00FC27EF">
      <w:pPr>
        <w:rPr>
          <w:b/>
          <w:bCs/>
          <w:color w:val="000000"/>
          <w:sz w:val="32"/>
          <w:szCs w:val="32"/>
        </w:rPr>
      </w:pPr>
      <w:r w:rsidRPr="00660F70">
        <w:t xml:space="preserve">Expiration: </w:t>
      </w:r>
      <w:r>
        <w:t xml:space="preserve">February 29, 2016) </w:t>
      </w:r>
      <w:r w:rsidR="00AA3632" w:rsidRPr="00676DFD">
        <w:t xml:space="preserve">for collecting career-related data for trainees funded </w:t>
      </w:r>
      <w:r w:rsidR="00E0528C" w:rsidRPr="00676DFD">
        <w:t>or co-funded</w:t>
      </w:r>
      <w:r w:rsidR="00C86367" w:rsidRPr="00676DFD">
        <w:t xml:space="preserve"> </w:t>
      </w:r>
      <w:r w:rsidR="00AC3B69" w:rsidRPr="00676DFD">
        <w:t xml:space="preserve">by the </w:t>
      </w:r>
      <w:r w:rsidR="00107B1A" w:rsidRPr="00676DFD">
        <w:t xml:space="preserve">Fogarty International Center (FIC), </w:t>
      </w:r>
      <w:r w:rsidR="00542916" w:rsidRPr="00676DFD">
        <w:t>National Institute of Environmental Health Sciences (NIEHS)</w:t>
      </w:r>
      <w:r w:rsidR="00107B1A" w:rsidRPr="00676DFD">
        <w:t xml:space="preserve">, National Institute of General Medical Science (NIGMS), </w:t>
      </w:r>
      <w:r w:rsidR="001043A0" w:rsidRPr="00676DFD">
        <w:t xml:space="preserve">National Library of Medicine (NLM) </w:t>
      </w:r>
      <w:r w:rsidR="00542916" w:rsidRPr="00676DFD">
        <w:t xml:space="preserve">and </w:t>
      </w:r>
      <w:r w:rsidR="00107B1A" w:rsidRPr="00676DFD">
        <w:t>National Cancer Institute (NCI)</w:t>
      </w:r>
      <w:r w:rsidR="00542916" w:rsidRPr="00676DFD">
        <w:t>.</w:t>
      </w:r>
      <w:r w:rsidR="00107B1A" w:rsidRPr="00676DFD">
        <w:t xml:space="preserve"> </w:t>
      </w:r>
      <w:r w:rsidR="00AA3632" w:rsidRPr="00676DFD">
        <w:t xml:space="preserve">The data collection system provides a streamlined, web-based application permitting principal investigators </w:t>
      </w:r>
      <w:r w:rsidR="00EF23FB" w:rsidRPr="00676DFD">
        <w:t xml:space="preserve">and their administrators </w:t>
      </w:r>
      <w:r w:rsidR="00AA3632" w:rsidRPr="00676DFD">
        <w:t xml:space="preserve">to record career achievement progress by trainee on a voluntary basis.  </w:t>
      </w:r>
      <w:r w:rsidR="00107B1A" w:rsidRPr="00676DFD">
        <w:t>FIC</w:t>
      </w:r>
      <w:r w:rsidR="00542916" w:rsidRPr="00676DFD">
        <w:t xml:space="preserve">, NIEHS, </w:t>
      </w:r>
      <w:r w:rsidR="00107B1A" w:rsidRPr="00676DFD">
        <w:t xml:space="preserve">NIGMS, </w:t>
      </w:r>
      <w:r w:rsidR="00C83A58" w:rsidRPr="00676DFD">
        <w:t xml:space="preserve">NLM </w:t>
      </w:r>
      <w:r w:rsidR="00542916" w:rsidRPr="00676DFD">
        <w:t xml:space="preserve">and </w:t>
      </w:r>
      <w:r w:rsidR="00107B1A" w:rsidRPr="00676DFD">
        <w:t>NCI</w:t>
      </w:r>
      <w:r w:rsidR="00186CAC" w:rsidRPr="00676DFD">
        <w:t xml:space="preserve"> </w:t>
      </w:r>
      <w:r w:rsidR="00AA3632" w:rsidRPr="00676DFD">
        <w:t>Program Officers will use this data</w:t>
      </w:r>
      <w:r w:rsidR="00AA3632">
        <w:t xml:space="preserve"> to monitor, evaluate and adjust grants to ensure desired outcomes are achieved, respond to congressional inquiries, and inform future strategic and management decisions regarding the grants program.  </w:t>
      </w:r>
    </w:p>
    <w:p w:rsidR="00FC27EF" w:rsidRDefault="00FC27EF">
      <w:pPr>
        <w:pStyle w:val="CM9"/>
        <w:spacing w:line="278" w:lineRule="atLeast"/>
        <w:rPr>
          <w:b/>
          <w:bCs/>
        </w:rPr>
      </w:pPr>
    </w:p>
    <w:p w:rsidR="00AA3632" w:rsidRDefault="00AA3632">
      <w:pPr>
        <w:pStyle w:val="CM9"/>
        <w:spacing w:line="278" w:lineRule="atLeast"/>
      </w:pPr>
      <w:r>
        <w:rPr>
          <w:b/>
          <w:bCs/>
        </w:rPr>
        <w:t xml:space="preserve">A.1.Circumstances Requiring the Collection of Data </w:t>
      </w:r>
    </w:p>
    <w:p w:rsidR="0062717B" w:rsidRDefault="0062717B" w:rsidP="00103948">
      <w:pPr>
        <w:pStyle w:val="CM9"/>
        <w:spacing w:line="276" w:lineRule="atLeast"/>
        <w:ind w:right="208"/>
      </w:pPr>
      <w:r w:rsidRPr="00676DFD">
        <w:t>The request for information is authorized</w:t>
      </w:r>
      <w:r>
        <w:t xml:space="preserve"> by 42 U.S.C 287b, </w:t>
      </w:r>
      <w:proofErr w:type="gramStart"/>
      <w:r>
        <w:t>42 U.S.C 286b-3, 42</w:t>
      </w:r>
      <w:proofErr w:type="gramEnd"/>
      <w:r>
        <w:t xml:space="preserve">. </w:t>
      </w:r>
      <w:proofErr w:type="gramStart"/>
      <w:r>
        <w:t xml:space="preserve">U.S.C 285k, </w:t>
      </w:r>
      <w:r w:rsidRPr="00107B1A">
        <w:t>and by 42 U.S.C 2851.</w:t>
      </w:r>
      <w:proofErr w:type="gramEnd"/>
      <w:r>
        <w:t xml:space="preserve"> </w:t>
      </w:r>
    </w:p>
    <w:p w:rsidR="00103948" w:rsidRPr="00676DFD" w:rsidRDefault="00C86367" w:rsidP="00103948">
      <w:pPr>
        <w:pStyle w:val="CM9"/>
        <w:spacing w:line="276" w:lineRule="atLeast"/>
        <w:ind w:right="208"/>
      </w:pPr>
      <w:r w:rsidRPr="00676DFD">
        <w:t>CareerTrac</w:t>
      </w:r>
      <w:r w:rsidR="00012310">
        <w:t>, first cleared for data collection by OMB in 2006,</w:t>
      </w:r>
      <w:r w:rsidRPr="00676DFD">
        <w:t xml:space="preserve"> </w:t>
      </w:r>
      <w:r w:rsidR="000A4394" w:rsidRPr="00676DFD">
        <w:t xml:space="preserve">was </w:t>
      </w:r>
      <w:r w:rsidRPr="00676DFD">
        <w:t xml:space="preserve">the first system at NIH to provide a system </w:t>
      </w:r>
      <w:r w:rsidR="003C3A5B" w:rsidRPr="00676DFD">
        <w:t xml:space="preserve">for </w:t>
      </w:r>
      <w:r w:rsidR="00AA3632" w:rsidRPr="00676DFD">
        <w:t>track</w:t>
      </w:r>
      <w:r w:rsidRPr="00676DFD">
        <w:t>ing</w:t>
      </w:r>
      <w:r w:rsidR="00AA3632" w:rsidRPr="00676DFD">
        <w:t xml:space="preserve"> </w:t>
      </w:r>
      <w:r w:rsidR="000A4394" w:rsidRPr="00676DFD">
        <w:t>international trainees, and is more comprehensive in its approach to tracking outcomes than IMPACII</w:t>
      </w:r>
      <w:r w:rsidR="004E08E8">
        <w:t>, NIH’s main data system related to grants</w:t>
      </w:r>
      <w:r w:rsidR="00AA3632" w:rsidRPr="00676DFD">
        <w:t xml:space="preserve">. The primary purpose of designing a </w:t>
      </w:r>
      <w:r w:rsidR="002046D6">
        <w:t xml:space="preserve">robust </w:t>
      </w:r>
      <w:r w:rsidR="00AA3632" w:rsidRPr="00676DFD">
        <w:t>trainee tracking system is to track and report short and long-term outputs, outcomes, and impacts of FIC</w:t>
      </w:r>
      <w:r w:rsidR="00107B1A" w:rsidRPr="00676DFD">
        <w:t>,</w:t>
      </w:r>
      <w:r w:rsidR="00494076" w:rsidRPr="00676DFD">
        <w:t xml:space="preserve"> </w:t>
      </w:r>
      <w:r w:rsidRPr="00676DFD">
        <w:t xml:space="preserve">NIEHS, </w:t>
      </w:r>
      <w:r w:rsidR="00107B1A" w:rsidRPr="00676DFD">
        <w:t>NIGMS,</w:t>
      </w:r>
      <w:r w:rsidR="001043A0" w:rsidRPr="00676DFD">
        <w:t xml:space="preserve"> NLM</w:t>
      </w:r>
      <w:r w:rsidR="003C3A5B" w:rsidRPr="00676DFD">
        <w:t xml:space="preserve"> and</w:t>
      </w:r>
      <w:r w:rsidR="00107B1A" w:rsidRPr="00676DFD">
        <w:t xml:space="preserve"> NCI, </w:t>
      </w:r>
      <w:r w:rsidR="00AA3632" w:rsidRPr="00676DFD">
        <w:t xml:space="preserve">thereby making informed management decisions about health research training programs. </w:t>
      </w:r>
      <w:r w:rsidR="007D4DF6" w:rsidRPr="00676DFD">
        <w:t xml:space="preserve">Trainee tracking and evaluation are </w:t>
      </w:r>
      <w:r w:rsidR="00103948" w:rsidRPr="00676DFD">
        <w:t xml:space="preserve">specific and </w:t>
      </w:r>
      <w:r w:rsidR="007D4DF6" w:rsidRPr="00676DFD">
        <w:t xml:space="preserve">critical components of the </w:t>
      </w:r>
      <w:r w:rsidR="00EC55F8">
        <w:t xml:space="preserve">NIH and Institute-specific </w:t>
      </w:r>
      <w:r w:rsidR="007D4DF6" w:rsidRPr="00676DFD">
        <w:t>strategic plans.</w:t>
      </w:r>
      <w:r w:rsidR="007D4DF6" w:rsidRPr="00676DFD">
        <w:rPr>
          <w:rStyle w:val="FootnoteReference"/>
        </w:rPr>
        <w:footnoteReference w:id="1"/>
      </w:r>
      <w:r w:rsidR="007D4DF6" w:rsidRPr="00676DFD">
        <w:t xml:space="preserve">  </w:t>
      </w:r>
      <w:r w:rsidR="00107B1A" w:rsidRPr="00676DFD">
        <w:t xml:space="preserve">FIC, </w:t>
      </w:r>
      <w:r w:rsidR="00542916" w:rsidRPr="00676DFD">
        <w:t xml:space="preserve">NIEHS </w:t>
      </w:r>
      <w:r w:rsidR="00107B1A" w:rsidRPr="00676DFD">
        <w:t xml:space="preserve">NIGMS, </w:t>
      </w:r>
      <w:r w:rsidR="001043A0" w:rsidRPr="00676DFD">
        <w:t xml:space="preserve">NLM </w:t>
      </w:r>
      <w:r w:rsidR="00542916" w:rsidRPr="00676DFD">
        <w:t xml:space="preserve">and </w:t>
      </w:r>
      <w:r w:rsidR="00107B1A" w:rsidRPr="00676DFD">
        <w:t>NCI</w:t>
      </w:r>
      <w:r w:rsidR="00AC3B69" w:rsidRPr="00676DFD">
        <w:t xml:space="preserve"> train </w:t>
      </w:r>
      <w:r w:rsidR="001043A0" w:rsidRPr="00676DFD">
        <w:t xml:space="preserve">many </w:t>
      </w:r>
      <w:r w:rsidR="00AC3B69" w:rsidRPr="00676DFD">
        <w:t xml:space="preserve">different types of </w:t>
      </w:r>
      <w:r w:rsidR="003C3A5B" w:rsidRPr="00676DFD">
        <w:t xml:space="preserve">individuals </w:t>
      </w:r>
      <w:r w:rsidR="00AC3B69" w:rsidRPr="00676DFD">
        <w:t xml:space="preserve">but have similar tracking needs. </w:t>
      </w:r>
    </w:p>
    <w:p w:rsidR="00AA3632" w:rsidRPr="00103948" w:rsidRDefault="00103948" w:rsidP="00EC55F8">
      <w:pPr>
        <w:pStyle w:val="CM9"/>
        <w:spacing w:line="278" w:lineRule="atLeast"/>
        <w:ind w:left="360"/>
        <w:rPr>
          <w:b/>
        </w:rPr>
      </w:pPr>
      <w:r w:rsidRPr="00676DFD">
        <w:rPr>
          <w:b/>
          <w:i/>
        </w:rPr>
        <w:t xml:space="preserve">The Fogarty International Center </w:t>
      </w:r>
      <w:r w:rsidR="00EC55F8">
        <w:rPr>
          <w:b/>
          <w:i/>
        </w:rPr>
        <w:t xml:space="preserve">(FIC) </w:t>
      </w:r>
      <w:r w:rsidRPr="00676DFD">
        <w:rPr>
          <w:b/>
          <w:i/>
        </w:rPr>
        <w:t>and the National Cancer Institute</w:t>
      </w:r>
      <w:r w:rsidR="00EC55F8">
        <w:rPr>
          <w:b/>
          <w:i/>
        </w:rPr>
        <w:t xml:space="preserve"> (NCI</w:t>
      </w:r>
      <w:proofErr w:type="gramStart"/>
      <w:r w:rsidR="00EC55F8">
        <w:rPr>
          <w:b/>
          <w:i/>
        </w:rPr>
        <w:t>)</w:t>
      </w:r>
      <w:proofErr w:type="gramEnd"/>
      <w:r w:rsidRPr="00676DFD">
        <w:rPr>
          <w:b/>
          <w:i/>
        </w:rPr>
        <w:br/>
      </w:r>
      <w:r w:rsidR="00AC3B69" w:rsidRPr="00676DFD">
        <w:t xml:space="preserve">FIC </w:t>
      </w:r>
      <w:r w:rsidR="007159AF" w:rsidRPr="00676DFD">
        <w:t xml:space="preserve">and NCI </w:t>
      </w:r>
      <w:r w:rsidR="00AC3B69" w:rsidRPr="00676DFD">
        <w:t>ha</w:t>
      </w:r>
      <w:r w:rsidR="007159AF" w:rsidRPr="00676DFD">
        <w:t>ve</w:t>
      </w:r>
      <w:r w:rsidR="00AC3B69" w:rsidRPr="00676DFD">
        <w:t xml:space="preserve"> a specific need to track international trainees</w:t>
      </w:r>
      <w:r w:rsidR="003C3A5B" w:rsidRPr="00676DFD">
        <w:t xml:space="preserve"> funded in their extramural </w:t>
      </w:r>
      <w:r w:rsidR="003C3A5B" w:rsidRPr="00676DFD">
        <w:lastRenderedPageBreak/>
        <w:t>program</w:t>
      </w:r>
      <w:r w:rsidR="00AC3B69" w:rsidRPr="00676DFD">
        <w:t xml:space="preserve">. </w:t>
      </w:r>
      <w:r w:rsidR="00AA3632" w:rsidRPr="00676DFD">
        <w:t>International trainees differ greatly from U.S.-trainees</w:t>
      </w:r>
      <w:r w:rsidR="001D2576">
        <w:t xml:space="preserve"> and this creates additional data requirements to support appropriate analyses</w:t>
      </w:r>
      <w:r w:rsidR="00AA3632" w:rsidRPr="00676DFD">
        <w:t>.  International trainees conduct</w:t>
      </w:r>
      <w:r w:rsidR="00AA3632">
        <w:t xml:space="preserve"> their research in institutions abroad but can be trained in the United States </w:t>
      </w:r>
      <w:r w:rsidR="00AA3632" w:rsidRPr="00F90814">
        <w:t>and</w:t>
      </w:r>
      <w:r w:rsidR="00494076" w:rsidRPr="00F90814">
        <w:t>/or</w:t>
      </w:r>
      <w:r w:rsidR="00AA3632">
        <w:t xml:space="preserve"> abroad. The degree, certificate, or training they are granted can be from an overseas or domestic institution and the degree or certificate earned may or may not differ from those granted in the United States. International trainees may participate</w:t>
      </w:r>
      <w:r w:rsidR="00494076">
        <w:t xml:space="preserve"> </w:t>
      </w:r>
      <w:r w:rsidR="00494076" w:rsidRPr="00F90814">
        <w:t>with</w:t>
      </w:r>
      <w:r w:rsidR="00AA3632" w:rsidRPr="00F90814">
        <w:t xml:space="preserve"> several different mentors</w:t>
      </w:r>
      <w:r w:rsidR="00494076" w:rsidRPr="00F90814">
        <w:t>, both domestic and international</w:t>
      </w:r>
      <w:r w:rsidR="00AA3632" w:rsidRPr="00F90814">
        <w:t>.  Frequently, international</w:t>
      </w:r>
      <w:r w:rsidR="00AA3632">
        <w:t xml:space="preserve"> trainees publish their results in important national, regional, or international journals that may or may not be familiar to U.S scientists or be listed in U.S.</w:t>
      </w:r>
      <w:r w:rsidR="0058040B">
        <w:t xml:space="preserve"> </w:t>
      </w:r>
      <w:r w:rsidR="00AA3632">
        <w:t xml:space="preserve">databases such as PubMed.  International trainees may lack social security numbers, which are often used to track U.S. trainees.    </w:t>
      </w:r>
    </w:p>
    <w:p w:rsidR="00AA3632" w:rsidRDefault="00AA3632" w:rsidP="00EC55F8">
      <w:pPr>
        <w:pStyle w:val="Default"/>
        <w:ind w:left="360"/>
      </w:pPr>
      <w:r>
        <w:t>International research training programs are structured to build research capacity by training individual researchers.  This structure requires a database that track</w:t>
      </w:r>
      <w:r w:rsidR="003C3A5B">
        <w:t>s</w:t>
      </w:r>
      <w:r>
        <w:t xml:space="preserve"> complex metrics that indicate progress towards </w:t>
      </w:r>
      <w:r w:rsidR="0005334C">
        <w:t xml:space="preserve">these </w:t>
      </w:r>
      <w:r>
        <w:t>program goals.  Currently, several of FIC's international training programs focus on</w:t>
      </w:r>
      <w:r w:rsidR="00494076">
        <w:t xml:space="preserve"> </w:t>
      </w:r>
      <w:r w:rsidR="00494076" w:rsidRPr="00F90814">
        <w:t>both traditional (chronic and infectious diseases) and</w:t>
      </w:r>
      <w:r w:rsidRPr="00F90814">
        <w:t xml:space="preserve"> non-traditional areas </w:t>
      </w:r>
      <w:r w:rsidR="0005334C" w:rsidRPr="00F90814">
        <w:t>(bioethics</w:t>
      </w:r>
      <w:r w:rsidR="00EF23FB">
        <w:t xml:space="preserve"> and</w:t>
      </w:r>
      <w:r w:rsidR="0005334C" w:rsidRPr="00F90814">
        <w:t xml:space="preserve"> bioinformatics)</w:t>
      </w:r>
      <w:r w:rsidR="003C3A5B">
        <w:t xml:space="preserve"> </w:t>
      </w:r>
      <w:r w:rsidRPr="00F90814">
        <w:t>of research important to developing countries</w:t>
      </w:r>
      <w:r w:rsidR="0005334C" w:rsidRPr="00F90814">
        <w:t>.</w:t>
      </w:r>
      <w:r w:rsidR="000109E3" w:rsidRPr="00F90814">
        <w:t xml:space="preserve"> </w:t>
      </w:r>
      <w:r w:rsidRPr="00F90814">
        <w:t xml:space="preserve">The </w:t>
      </w:r>
      <w:r w:rsidRPr="00676DFD">
        <w:t xml:space="preserve">focus of these </w:t>
      </w:r>
      <w:r w:rsidR="00670483" w:rsidRPr="00676DFD">
        <w:t xml:space="preserve">NCI and FIC </w:t>
      </w:r>
      <w:r w:rsidRPr="00676DFD">
        <w:t>programs</w:t>
      </w:r>
      <w:r w:rsidRPr="00F90814">
        <w:t xml:space="preserve"> necessitates tracking traditional </w:t>
      </w:r>
      <w:r w:rsidR="005C0251" w:rsidRPr="00F90814">
        <w:t>and non</w:t>
      </w:r>
      <w:r w:rsidRPr="00F90814">
        <w:t>-traditional metrics su</w:t>
      </w:r>
      <w:r>
        <w:t xml:space="preserve">ch as publications, awarded degree, Institutional Review Boards (IRBs) formed, new databases developed, new curriculum initiated, new departments started, new career paths forged and new networks created. </w:t>
      </w:r>
      <w:r w:rsidRPr="005C0251">
        <w:t xml:space="preserve">The Fogarty International Center's mission </w:t>
      </w:r>
      <w:r w:rsidRPr="00107B1A">
        <w:t xml:space="preserve">is </w:t>
      </w:r>
      <w:r w:rsidR="006068D3" w:rsidRPr="00107B1A">
        <w:t>“to</w:t>
      </w:r>
      <w:r w:rsidR="006068D3" w:rsidRPr="00107B1A">
        <w:rPr>
          <w:color w:val="211E1E"/>
        </w:rPr>
        <w:t xml:space="preserve"> advance the mission of the National Institutes of Health by supporting and facilitating global health research conducted by U.S. and international investigators, building partnerships between health research institutions in the U.S. and abroad, and training the next generation of scientists to address global health needs.”  </w:t>
      </w:r>
      <w:r w:rsidRPr="00107B1A">
        <w:t xml:space="preserve">Operationally FIC accomplishes its mission through both research and research-training programs.  In order to make informed management decisions </w:t>
      </w:r>
      <w:r w:rsidRPr="00676DFD">
        <w:t>about its training programs and to demonstrate the outputs,</w:t>
      </w:r>
      <w:r w:rsidR="005C0251" w:rsidRPr="00676DFD">
        <w:t xml:space="preserve"> </w:t>
      </w:r>
      <w:r w:rsidRPr="00676DFD">
        <w:t>outcomes and impacts of its training programs FIC</w:t>
      </w:r>
      <w:r w:rsidR="00F665DD" w:rsidRPr="00676DFD">
        <w:t xml:space="preserve"> </w:t>
      </w:r>
      <w:r w:rsidRPr="00676DFD">
        <w:t xml:space="preserve">must be able to track its trainees using an accurate and up-to-date system. </w:t>
      </w:r>
      <w:r w:rsidR="00E62E40" w:rsidRPr="00676DFD">
        <w:t xml:space="preserve">CareerTrac was initially developed by FIC after concluding that the NIH’s primary administrative and reporting database, IMPAC II, would not fit its needs. </w:t>
      </w:r>
    </w:p>
    <w:p w:rsidR="007A0853" w:rsidRDefault="007A0853" w:rsidP="00EC55F8">
      <w:pPr>
        <w:pStyle w:val="Default"/>
        <w:ind w:left="360"/>
      </w:pPr>
    </w:p>
    <w:p w:rsidR="00BE67C4" w:rsidRPr="00EC55F8" w:rsidRDefault="00EC55F8" w:rsidP="00EC55F8">
      <w:pPr>
        <w:ind w:left="360"/>
        <w:rPr>
          <w:highlight w:val="yellow"/>
        </w:rPr>
      </w:pPr>
      <w:r>
        <w:rPr>
          <w:highlight w:val="yellow"/>
        </w:rPr>
        <w:t>Since the last</w:t>
      </w:r>
      <w:r w:rsidR="001D03B8">
        <w:rPr>
          <w:highlight w:val="yellow"/>
        </w:rPr>
        <w:t xml:space="preserve"> OMB clearance</w:t>
      </w:r>
      <w:r>
        <w:rPr>
          <w:highlight w:val="yellow"/>
        </w:rPr>
        <w:t xml:space="preserve"> review</w:t>
      </w:r>
      <w:r w:rsidR="001D03B8">
        <w:rPr>
          <w:highlight w:val="yellow"/>
        </w:rPr>
        <w:t xml:space="preserve"> for CareerTrac in 2013</w:t>
      </w:r>
      <w:r>
        <w:rPr>
          <w:highlight w:val="yellow"/>
        </w:rPr>
        <w:t xml:space="preserve">, NCI identified an additional tracking need. </w:t>
      </w:r>
      <w:r w:rsidR="00BE67C4" w:rsidRPr="00EC55F8">
        <w:rPr>
          <w:highlight w:val="yellow"/>
        </w:rPr>
        <w:t xml:space="preserve">In alignment with both the HHS Action Plan and the Trans-NIH priorities, </w:t>
      </w:r>
      <w:r w:rsidRPr="00EC55F8">
        <w:rPr>
          <w:highlight w:val="yellow"/>
        </w:rPr>
        <w:t>National Cancer Institute Center to Reduce Cancer Health Disparities (NCI CRCHD)</w:t>
      </w:r>
      <w:r w:rsidR="00BE67C4" w:rsidRPr="00EC55F8">
        <w:rPr>
          <w:highlight w:val="yellow"/>
        </w:rPr>
        <w:t xml:space="preserve"> strives to improve the recruitment and retention of individuals from diverse backgrounds underrepresented in cancer and cancer health disparities research, including persons from underrepresented racial and ethnic groups, people with disabilities, and people from disadvantaged backgrounds. NCI CRCHD supports a number of funding mechanisms that promote effective training of students and scientists from high school level through investigator level. In order to ensure that these programs achieve the intended goals, tracking and monitoring of the candidates’ career and research progress are necessary and critical, and represent a key component of CRCHD’s Strategic Plan. </w:t>
      </w:r>
    </w:p>
    <w:p w:rsidR="00BE67C4" w:rsidRPr="00EC55F8" w:rsidRDefault="00BE67C4" w:rsidP="00EC55F8">
      <w:pPr>
        <w:ind w:left="360"/>
        <w:rPr>
          <w:highlight w:val="yellow"/>
        </w:rPr>
      </w:pPr>
    </w:p>
    <w:p w:rsidR="00BE67C4" w:rsidRPr="00871ED6" w:rsidRDefault="00BE67C4" w:rsidP="00EC55F8">
      <w:pPr>
        <w:ind w:left="360"/>
      </w:pPr>
      <w:r w:rsidRPr="00EC55F8">
        <w:rPr>
          <w:highlight w:val="yellow"/>
        </w:rPr>
        <w:t>One major set of funding mechanisms are the Administrative Supplements</w:t>
      </w:r>
      <w:r w:rsidR="009A4F24">
        <w:rPr>
          <w:highlight w:val="yellow"/>
        </w:rPr>
        <w:t xml:space="preserve"> which support one candidate per supplement</w:t>
      </w:r>
      <w:r w:rsidRPr="00EC55F8">
        <w:rPr>
          <w:highlight w:val="yellow"/>
        </w:rPr>
        <w:t xml:space="preserve">, including Diversity, Re-entry and CRCHD-specific </w:t>
      </w:r>
      <w:r w:rsidR="00CC7CF7">
        <w:rPr>
          <w:highlight w:val="yellow"/>
        </w:rPr>
        <w:t>Continuing Umbrella of Research Experiences (</w:t>
      </w:r>
      <w:r w:rsidRPr="00EC55F8">
        <w:rPr>
          <w:highlight w:val="yellow"/>
        </w:rPr>
        <w:t>CURE</w:t>
      </w:r>
      <w:r w:rsidR="00CC7CF7">
        <w:rPr>
          <w:highlight w:val="yellow"/>
        </w:rPr>
        <w:t>)</w:t>
      </w:r>
      <w:r w:rsidRPr="00EC55F8">
        <w:rPr>
          <w:highlight w:val="yellow"/>
        </w:rPr>
        <w:t xml:space="preserve"> Supplements. Currently the RPPR </w:t>
      </w:r>
      <w:r w:rsidRPr="00EC55F8">
        <w:rPr>
          <w:highlight w:val="yellow"/>
        </w:rPr>
        <w:lastRenderedPageBreak/>
        <w:t>Section B3 titled “Competitive Revisions/Administrative Supplements” only collects very limited information including supplement number, title, specific aims and an open text box accomplishment section limited to 700 characters. CareerTrac will help CRCHD collect structured information that is specific to the requirements of CRCHD programs and reflect the outcome metrics used to assess the effectiveness of the programs. This information is currently not available within IMPAC II database. Additional programs may be added later to CareerTrac.</w:t>
      </w:r>
    </w:p>
    <w:p w:rsidR="00BE67C4" w:rsidRDefault="00BE67C4" w:rsidP="00EC55F8">
      <w:pPr>
        <w:ind w:left="360"/>
      </w:pPr>
    </w:p>
    <w:p w:rsidR="00103948" w:rsidRPr="00103948" w:rsidRDefault="00103948" w:rsidP="00EC55F8">
      <w:pPr>
        <w:pStyle w:val="Default"/>
        <w:ind w:left="360"/>
        <w:rPr>
          <w:b/>
          <w:i/>
        </w:rPr>
      </w:pPr>
      <w:r w:rsidRPr="00103948">
        <w:rPr>
          <w:b/>
          <w:i/>
        </w:rPr>
        <w:t>The National Institute of Environmental Health Sciences</w:t>
      </w:r>
      <w:r w:rsidR="00DF5FA7">
        <w:rPr>
          <w:b/>
          <w:i/>
        </w:rPr>
        <w:t xml:space="preserve"> (NIEHS)</w:t>
      </w:r>
    </w:p>
    <w:p w:rsidR="00726C13" w:rsidRPr="00676DFD" w:rsidRDefault="00542916" w:rsidP="00EC55F8">
      <w:pPr>
        <w:pStyle w:val="Default"/>
        <w:ind w:left="360"/>
      </w:pPr>
      <w:r w:rsidRPr="006A34B8">
        <w:t xml:space="preserve">NIEHS </w:t>
      </w:r>
      <w:r w:rsidR="00AC3B69" w:rsidRPr="00107B1A">
        <w:t xml:space="preserve">needs to track outputs, activities and outcomes of trainees funded through its individual and institutional trainee grant </w:t>
      </w:r>
      <w:r w:rsidR="00F665DD">
        <w:t xml:space="preserve">and contract </w:t>
      </w:r>
      <w:r w:rsidR="00AC3B69" w:rsidRPr="00676DFD">
        <w:t xml:space="preserve">programs. </w:t>
      </w:r>
      <w:r w:rsidR="003C3A5B" w:rsidRPr="00676DFD">
        <w:t xml:space="preserve">NIEHS trainees are a range of intramural and extramural </w:t>
      </w:r>
      <w:r w:rsidR="001D03B8">
        <w:t xml:space="preserve">training </w:t>
      </w:r>
      <w:r w:rsidR="003C3A5B" w:rsidRPr="00676DFD">
        <w:t>programs, such as the</w:t>
      </w:r>
      <w:r w:rsidR="001D03B8">
        <w:t xml:space="preserve"> </w:t>
      </w:r>
      <w:r w:rsidR="001D03B8" w:rsidRPr="001D03B8">
        <w:t xml:space="preserve">Ruth L. </w:t>
      </w:r>
      <w:proofErr w:type="spellStart"/>
      <w:r w:rsidR="001D03B8" w:rsidRPr="001D03B8">
        <w:t>Kirschstein</w:t>
      </w:r>
      <w:proofErr w:type="spellEnd"/>
      <w:r w:rsidR="001D03B8" w:rsidRPr="001D03B8">
        <w:t xml:space="preserve"> National Research Service Award (NRSA)</w:t>
      </w:r>
      <w:r w:rsidR="001D03B8">
        <w:t xml:space="preserve"> Institutional Training Grant program (known as the T32 program), undergraduate research education programs, </w:t>
      </w:r>
      <w:r w:rsidR="003C3A5B" w:rsidRPr="00676DFD">
        <w:t>Intramural Research and Training Award (IRTA) and Superfund Research Program (SRP)</w:t>
      </w:r>
      <w:r w:rsidR="006C1698" w:rsidRPr="00676DFD">
        <w:t xml:space="preserve">. CareerTrac </w:t>
      </w:r>
      <w:r w:rsidR="001D03B8">
        <w:t>can</w:t>
      </w:r>
      <w:r w:rsidR="001D03B8" w:rsidRPr="00676DFD">
        <w:t xml:space="preserve"> </w:t>
      </w:r>
      <w:r w:rsidR="006C1698" w:rsidRPr="00676DFD">
        <w:t xml:space="preserve">provide NIEHS with an integrated database of all trainees supported by both intramural and extramural programs. Our Director will </w:t>
      </w:r>
      <w:r w:rsidR="001D2576">
        <w:t xml:space="preserve">have </w:t>
      </w:r>
      <w:r w:rsidR="006C1698" w:rsidRPr="00676DFD">
        <w:t xml:space="preserve">the “big picture” of training, which is a critical component of the Institute’s Strategic Plan (2012).  </w:t>
      </w:r>
    </w:p>
    <w:p w:rsidR="00726C13" w:rsidRPr="00676DFD" w:rsidRDefault="00726C13" w:rsidP="00EC55F8">
      <w:pPr>
        <w:pStyle w:val="Default"/>
        <w:ind w:left="360"/>
      </w:pPr>
    </w:p>
    <w:p w:rsidR="00585BF8" w:rsidRDefault="00726C13" w:rsidP="00EC55F8">
      <w:pPr>
        <w:pStyle w:val="Default"/>
        <w:ind w:left="360"/>
        <w:rPr>
          <w:highlight w:val="yellow"/>
        </w:rPr>
      </w:pPr>
      <w:r w:rsidRPr="00676DFD">
        <w:t xml:space="preserve">For extramural trainees, </w:t>
      </w:r>
      <w:r w:rsidR="00D96028" w:rsidRPr="00676DFD">
        <w:t>NIH captures pertinent data about trainees during their training process using trainee appointment forms (form PHS</w:t>
      </w:r>
      <w:r w:rsidR="006C1698" w:rsidRPr="00676DFD">
        <w:t xml:space="preserve"> </w:t>
      </w:r>
      <w:r w:rsidR="00D96028" w:rsidRPr="00676DFD">
        <w:t>2271</w:t>
      </w:r>
      <w:r w:rsidR="006C1698" w:rsidRPr="00676DFD">
        <w:t>)</w:t>
      </w:r>
      <w:r w:rsidR="003C3A5B" w:rsidRPr="00676DFD">
        <w:t xml:space="preserve">. This information is captured electronically through the </w:t>
      </w:r>
      <w:r w:rsidR="00075A32">
        <w:t xml:space="preserve">NIH’s </w:t>
      </w:r>
      <w:proofErr w:type="spellStart"/>
      <w:r w:rsidR="001D03B8">
        <w:t>xTrain</w:t>
      </w:r>
      <w:proofErr w:type="spellEnd"/>
      <w:r w:rsidR="003C3A5B" w:rsidRPr="00676DFD">
        <w:t xml:space="preserve"> interface. </w:t>
      </w:r>
      <w:r w:rsidR="00D96028" w:rsidRPr="00676DFD">
        <w:t xml:space="preserve"> However, </w:t>
      </w:r>
      <w:r w:rsidR="00CA4BEE">
        <w:t xml:space="preserve">until recently, </w:t>
      </w:r>
      <w:r w:rsidRPr="00676DFD">
        <w:t xml:space="preserve">limited </w:t>
      </w:r>
      <w:r w:rsidR="00D96028" w:rsidRPr="00676DFD">
        <w:t>output</w:t>
      </w:r>
      <w:r w:rsidR="00AD7C82" w:rsidRPr="00676DFD">
        <w:t xml:space="preserve">, outcomes, </w:t>
      </w:r>
      <w:r w:rsidR="00D96028" w:rsidRPr="00676DFD">
        <w:t xml:space="preserve">and long term job information </w:t>
      </w:r>
      <w:r w:rsidR="001D03B8">
        <w:t>were</w:t>
      </w:r>
      <w:r w:rsidR="00D96028" w:rsidRPr="00676DFD">
        <w:t xml:space="preserve"> captured by NIH data systems</w:t>
      </w:r>
      <w:r w:rsidRPr="00676DFD">
        <w:t>.</w:t>
      </w:r>
      <w:r w:rsidR="00D96028" w:rsidRPr="00676DFD">
        <w:t xml:space="preserve"> </w:t>
      </w:r>
      <w:r w:rsidRPr="00676DFD">
        <w:t xml:space="preserve">At the same time, however, </w:t>
      </w:r>
      <w:r w:rsidR="00D96028" w:rsidRPr="00676DFD">
        <w:t xml:space="preserve">institutional training grant programs </w:t>
      </w:r>
      <w:r w:rsidR="001D03B8">
        <w:t>have been</w:t>
      </w:r>
      <w:r w:rsidR="00D96028" w:rsidRPr="00676DFD">
        <w:t xml:space="preserve"> required to track trainees for 1</w:t>
      </w:r>
      <w:r w:rsidR="00DF7E14">
        <w:t>5</w:t>
      </w:r>
      <w:r w:rsidR="00D96028" w:rsidRPr="00676DFD">
        <w:t xml:space="preserve"> years after </w:t>
      </w:r>
      <w:r w:rsidR="00B64A5B" w:rsidRPr="00676DFD">
        <w:t xml:space="preserve">their appointment to a training grant. </w:t>
      </w:r>
      <w:r w:rsidR="000A3601">
        <w:t xml:space="preserve">Until very recently, </w:t>
      </w:r>
      <w:r w:rsidR="00B64A5B" w:rsidRPr="00676DFD">
        <w:t xml:space="preserve">outcomes information provided by </w:t>
      </w:r>
      <w:r w:rsidR="006C1698" w:rsidRPr="00676DFD">
        <w:t>principal investigators</w:t>
      </w:r>
      <w:r w:rsidR="00B64A5B" w:rsidRPr="00676DFD">
        <w:t xml:space="preserve"> in progress reports</w:t>
      </w:r>
      <w:r w:rsidR="000D4FAF" w:rsidRPr="00676DFD">
        <w:t xml:space="preserve"> </w:t>
      </w:r>
      <w:r w:rsidR="000A3601">
        <w:t xml:space="preserve">was only </w:t>
      </w:r>
      <w:r w:rsidR="00D96028" w:rsidRPr="00676DFD">
        <w:t xml:space="preserve">submitted as a PDF, and </w:t>
      </w:r>
      <w:r w:rsidR="00796B81" w:rsidRPr="00676DFD">
        <w:t xml:space="preserve">thus </w:t>
      </w:r>
      <w:r w:rsidR="000A3601">
        <w:t xml:space="preserve">could not </w:t>
      </w:r>
      <w:r w:rsidR="00D96028" w:rsidRPr="00676DFD">
        <w:t>be used for evaluation purposes</w:t>
      </w:r>
      <w:r w:rsidR="00796B81" w:rsidRPr="00676DFD">
        <w:t xml:space="preserve"> because it </w:t>
      </w:r>
      <w:r w:rsidR="000A3601">
        <w:t>wa</w:t>
      </w:r>
      <w:r w:rsidR="000A3601" w:rsidRPr="00676DFD">
        <w:t xml:space="preserve">s </w:t>
      </w:r>
      <w:r w:rsidR="00796B81" w:rsidRPr="00676DFD">
        <w:t>not captured as structured d</w:t>
      </w:r>
      <w:r w:rsidR="00796B81" w:rsidRPr="00107B1A">
        <w:t>ata</w:t>
      </w:r>
      <w:r w:rsidR="00D96028" w:rsidRPr="00C17053">
        <w:rPr>
          <w:highlight w:val="yellow"/>
        </w:rPr>
        <w:t>.</w:t>
      </w:r>
      <w:r w:rsidR="000A3601" w:rsidRPr="00C17053">
        <w:rPr>
          <w:highlight w:val="yellow"/>
        </w:rPr>
        <w:t xml:space="preserve"> </w:t>
      </w:r>
      <w:r w:rsidR="001D03B8">
        <w:rPr>
          <w:highlight w:val="yellow"/>
        </w:rPr>
        <w:t xml:space="preserve">In October 2016, </w:t>
      </w:r>
      <w:r w:rsidR="000A3601" w:rsidRPr="00C17053">
        <w:rPr>
          <w:highlight w:val="yellow"/>
        </w:rPr>
        <w:t xml:space="preserve">NIH </w:t>
      </w:r>
      <w:r w:rsidR="001D03B8">
        <w:rPr>
          <w:highlight w:val="yellow"/>
        </w:rPr>
        <w:t xml:space="preserve">released </w:t>
      </w:r>
      <w:r w:rsidR="000A3601" w:rsidRPr="00C17053">
        <w:rPr>
          <w:highlight w:val="yellow"/>
        </w:rPr>
        <w:t xml:space="preserve">new </w:t>
      </w:r>
      <w:r w:rsidR="001D03B8">
        <w:rPr>
          <w:highlight w:val="yellow"/>
        </w:rPr>
        <w:t xml:space="preserve">reporting </w:t>
      </w:r>
      <w:r w:rsidR="000A3601" w:rsidRPr="00C17053">
        <w:rPr>
          <w:highlight w:val="yellow"/>
        </w:rPr>
        <w:t xml:space="preserve">requirements </w:t>
      </w:r>
      <w:r w:rsidR="001D03B8">
        <w:rPr>
          <w:highlight w:val="yellow"/>
        </w:rPr>
        <w:t xml:space="preserve">for T32 grants and progress reports </w:t>
      </w:r>
      <w:r w:rsidR="000A3601" w:rsidRPr="00C17053">
        <w:rPr>
          <w:highlight w:val="yellow"/>
        </w:rPr>
        <w:t>and a new electronic interface</w:t>
      </w:r>
      <w:r w:rsidR="001D03B8">
        <w:rPr>
          <w:highlight w:val="yellow"/>
        </w:rPr>
        <w:t xml:space="preserve"> (called </w:t>
      </w:r>
      <w:proofErr w:type="spellStart"/>
      <w:r w:rsidR="001D03B8">
        <w:rPr>
          <w:highlight w:val="yellow"/>
        </w:rPr>
        <w:t>xTRACT</w:t>
      </w:r>
      <w:proofErr w:type="spellEnd"/>
      <w:r w:rsidR="001D03B8">
        <w:rPr>
          <w:highlight w:val="yellow"/>
        </w:rPr>
        <w:t xml:space="preserve">). The new requirements are required for competing applications due in May 2016. </w:t>
      </w:r>
      <w:proofErr w:type="spellStart"/>
      <w:proofErr w:type="gramStart"/>
      <w:r w:rsidR="00585BF8">
        <w:rPr>
          <w:highlight w:val="yellow"/>
        </w:rPr>
        <w:t>xTRACT</w:t>
      </w:r>
      <w:proofErr w:type="spellEnd"/>
      <w:proofErr w:type="gramEnd"/>
      <w:r w:rsidR="00585BF8">
        <w:rPr>
          <w:highlight w:val="yellow"/>
        </w:rPr>
        <w:t xml:space="preserve"> is currently an optional interface that collects some outcome data. NIH anticipates that </w:t>
      </w:r>
      <w:proofErr w:type="spellStart"/>
      <w:r w:rsidR="00585BF8">
        <w:rPr>
          <w:highlight w:val="yellow"/>
        </w:rPr>
        <w:t>xTRACT</w:t>
      </w:r>
      <w:proofErr w:type="spellEnd"/>
      <w:r w:rsidR="00585BF8">
        <w:rPr>
          <w:highlight w:val="yellow"/>
        </w:rPr>
        <w:t xml:space="preserve"> will be required in the future but has not said when. </w:t>
      </w:r>
    </w:p>
    <w:p w:rsidR="00585BF8" w:rsidRDefault="00585BF8" w:rsidP="00EC55F8">
      <w:pPr>
        <w:pStyle w:val="Default"/>
        <w:ind w:left="360"/>
        <w:rPr>
          <w:highlight w:val="yellow"/>
        </w:rPr>
      </w:pPr>
    </w:p>
    <w:p w:rsidR="003C3A5B" w:rsidRDefault="00585BF8" w:rsidP="00EC55F8">
      <w:pPr>
        <w:pStyle w:val="Default"/>
        <w:ind w:left="360"/>
      </w:pPr>
      <w:r>
        <w:rPr>
          <w:highlight w:val="yellow"/>
        </w:rPr>
        <w:t xml:space="preserve">Prior to these new requirements from NIH, CareerTrac allowed principal investigators to use CareerTrac to complete three of twelve required reports. </w:t>
      </w:r>
      <w:r w:rsidRPr="00C17053">
        <w:rPr>
          <w:highlight w:val="yellow"/>
        </w:rPr>
        <w:t xml:space="preserve">CareerTrac is </w:t>
      </w:r>
      <w:r>
        <w:rPr>
          <w:highlight w:val="yellow"/>
        </w:rPr>
        <w:t xml:space="preserve">now </w:t>
      </w:r>
      <w:r w:rsidRPr="00C17053">
        <w:rPr>
          <w:highlight w:val="yellow"/>
        </w:rPr>
        <w:t xml:space="preserve">working with NIH to </w:t>
      </w:r>
      <w:r>
        <w:rPr>
          <w:highlight w:val="yellow"/>
        </w:rPr>
        <w:t xml:space="preserve">transfer </w:t>
      </w:r>
      <w:r w:rsidR="00C32EC7">
        <w:rPr>
          <w:highlight w:val="yellow"/>
        </w:rPr>
        <w:t>relevant</w:t>
      </w:r>
      <w:r>
        <w:rPr>
          <w:highlight w:val="yellow"/>
        </w:rPr>
        <w:t xml:space="preserve"> data from </w:t>
      </w:r>
      <w:proofErr w:type="spellStart"/>
      <w:r>
        <w:rPr>
          <w:highlight w:val="yellow"/>
        </w:rPr>
        <w:t>CareerTrac</w:t>
      </w:r>
      <w:proofErr w:type="spellEnd"/>
      <w:r>
        <w:rPr>
          <w:highlight w:val="yellow"/>
        </w:rPr>
        <w:t xml:space="preserve"> to </w:t>
      </w:r>
      <w:proofErr w:type="spellStart"/>
      <w:r>
        <w:rPr>
          <w:highlight w:val="yellow"/>
        </w:rPr>
        <w:t>xTRACT</w:t>
      </w:r>
      <w:proofErr w:type="spellEnd"/>
      <w:r>
        <w:rPr>
          <w:highlight w:val="yellow"/>
        </w:rPr>
        <w:t xml:space="preserve">, update our reports to remove the now outdated report formats, </w:t>
      </w:r>
      <w:r w:rsidRPr="00C17053">
        <w:rPr>
          <w:highlight w:val="yellow"/>
        </w:rPr>
        <w:t xml:space="preserve">and maintain </w:t>
      </w:r>
      <w:r w:rsidRPr="00585BF8">
        <w:rPr>
          <w:highlight w:val="yellow"/>
          <w:u w:val="single"/>
        </w:rPr>
        <w:t>only unique data</w:t>
      </w:r>
      <w:r w:rsidRPr="00C17053">
        <w:rPr>
          <w:highlight w:val="yellow"/>
        </w:rPr>
        <w:t xml:space="preserve"> in CareerTrac. </w:t>
      </w:r>
      <w:r>
        <w:rPr>
          <w:highlight w:val="yellow"/>
        </w:rPr>
        <w:t xml:space="preserve">A more detailed discussion of the potential overlap between </w:t>
      </w:r>
      <w:proofErr w:type="spellStart"/>
      <w:r>
        <w:rPr>
          <w:highlight w:val="yellow"/>
        </w:rPr>
        <w:t>CareerTrac</w:t>
      </w:r>
      <w:proofErr w:type="spellEnd"/>
      <w:r>
        <w:rPr>
          <w:highlight w:val="yellow"/>
        </w:rPr>
        <w:t xml:space="preserve"> and </w:t>
      </w:r>
      <w:proofErr w:type="spellStart"/>
      <w:r>
        <w:rPr>
          <w:highlight w:val="yellow"/>
        </w:rPr>
        <w:t>xTRACT</w:t>
      </w:r>
      <w:proofErr w:type="spellEnd"/>
      <w:r w:rsidR="00075A32">
        <w:rPr>
          <w:highlight w:val="yellow"/>
        </w:rPr>
        <w:t xml:space="preserve"> for T32 programs</w:t>
      </w:r>
      <w:r>
        <w:rPr>
          <w:highlight w:val="yellow"/>
        </w:rPr>
        <w:t xml:space="preserve"> is provided in section A.4 below, (Table 2).</w:t>
      </w:r>
      <w:r w:rsidR="00D96028" w:rsidRPr="00107B1A">
        <w:t xml:space="preserve"> </w:t>
      </w:r>
      <w:r w:rsidR="006E5F79" w:rsidRPr="00406AFA">
        <w:rPr>
          <w:highlight w:val="yellow"/>
        </w:rPr>
        <w:t xml:space="preserve">NIEHS also supports several R25 programs, focused on undergraduate education. </w:t>
      </w:r>
      <w:r>
        <w:rPr>
          <w:highlight w:val="yellow"/>
        </w:rPr>
        <w:t xml:space="preserve">We intend to add these </w:t>
      </w:r>
      <w:r w:rsidR="006E5F79" w:rsidRPr="00406AFA">
        <w:rPr>
          <w:highlight w:val="yellow"/>
        </w:rPr>
        <w:t>grants and trainees to CareerTrac</w:t>
      </w:r>
      <w:r>
        <w:rPr>
          <w:highlight w:val="yellow"/>
        </w:rPr>
        <w:t xml:space="preserve"> in 2016</w:t>
      </w:r>
      <w:r w:rsidR="006E5F79" w:rsidRPr="00406AFA">
        <w:rPr>
          <w:highlight w:val="yellow"/>
        </w:rPr>
        <w:t>.</w:t>
      </w:r>
      <w:r w:rsidR="006E5F79">
        <w:t xml:space="preserve"> </w:t>
      </w:r>
    </w:p>
    <w:p w:rsidR="00726C13" w:rsidRDefault="00585BF8" w:rsidP="00237D6C">
      <w:pPr>
        <w:pStyle w:val="Default"/>
        <w:tabs>
          <w:tab w:val="left" w:pos="2114"/>
        </w:tabs>
        <w:ind w:left="360"/>
      </w:pPr>
      <w:r>
        <w:t xml:space="preserve"> </w:t>
      </w:r>
      <w:r w:rsidR="00237D6C">
        <w:tab/>
      </w:r>
    </w:p>
    <w:p w:rsidR="0001720F" w:rsidRPr="00676DFD" w:rsidRDefault="006C1698" w:rsidP="00EC55F8">
      <w:pPr>
        <w:pStyle w:val="Default"/>
        <w:ind w:left="360"/>
      </w:pPr>
      <w:r w:rsidRPr="00676DFD">
        <w:t xml:space="preserve">The NIEHS Intramural program is interested in tracking its trainees so that they can understand broad programmatic accomplishments, alongside extramural trainee accomplishments. </w:t>
      </w:r>
      <w:r w:rsidR="0001720F" w:rsidRPr="00676DFD">
        <w:t xml:space="preserve">CareerTrac provides a robust interface for Intramural PIs to record trainee achievements both during and after training. Having this information readily available will be particularly helpful for PIs to demonstrate their mentorship of trainees </w:t>
      </w:r>
      <w:r w:rsidR="0001720F" w:rsidRPr="00676DFD">
        <w:lastRenderedPageBreak/>
        <w:t xml:space="preserve">during Board of Scientific Counselor Reviews. Intramural PI’s and program staff are interested in in using the data both to evaluate training programs, and to expand the trainee network. </w:t>
      </w:r>
    </w:p>
    <w:p w:rsidR="006C1698" w:rsidRPr="00676DFD" w:rsidRDefault="006C1698" w:rsidP="00EC55F8">
      <w:pPr>
        <w:pStyle w:val="Default"/>
        <w:ind w:left="360"/>
      </w:pPr>
    </w:p>
    <w:p w:rsidR="00EF4D18" w:rsidRPr="00676DFD" w:rsidRDefault="00B64A5B" w:rsidP="00EC55F8">
      <w:pPr>
        <w:pStyle w:val="Default"/>
        <w:ind w:left="360"/>
      </w:pPr>
      <w:r w:rsidRPr="00676DFD">
        <w:t xml:space="preserve">The NIEHS Superfund Research Program </w:t>
      </w:r>
      <w:r w:rsidR="006E5F79">
        <w:t xml:space="preserve">(SRP) </w:t>
      </w:r>
      <w:r w:rsidRPr="00676DFD">
        <w:t>has supported nearly 1400 trainees throughout its 25 year history. Appointment forms are not used in this program, so there was no systematic way to track SRP trainees prior to CareerTrac. Training outcome data in CareerTrac will help SRP improve their training programs and demonstrate an important component of their training mandate (as authorized in the Superfund Amendments and Reauthorization Act of 1986).</w:t>
      </w:r>
      <w:r w:rsidR="00C6486C" w:rsidRPr="00676DFD">
        <w:t xml:space="preserve"> </w:t>
      </w:r>
    </w:p>
    <w:p w:rsidR="003C3A5B" w:rsidRPr="00676DFD" w:rsidRDefault="003C3A5B" w:rsidP="00EC55F8">
      <w:pPr>
        <w:pStyle w:val="Default"/>
        <w:ind w:left="360"/>
      </w:pPr>
    </w:p>
    <w:p w:rsidR="00103948" w:rsidRPr="00676DFD" w:rsidRDefault="00103948" w:rsidP="00EC55F8">
      <w:pPr>
        <w:pStyle w:val="Default"/>
        <w:ind w:left="360"/>
        <w:rPr>
          <w:b/>
          <w:i/>
        </w:rPr>
      </w:pPr>
      <w:r w:rsidRPr="00676DFD">
        <w:rPr>
          <w:b/>
          <w:i/>
        </w:rPr>
        <w:t>The National Institute of General Medical Sciences</w:t>
      </w:r>
      <w:r w:rsidR="00DF5FA7" w:rsidRPr="00676DFD">
        <w:rPr>
          <w:b/>
          <w:i/>
        </w:rPr>
        <w:t xml:space="preserve"> (NIGMS)</w:t>
      </w:r>
    </w:p>
    <w:p w:rsidR="00AC3B69" w:rsidRPr="00676DFD" w:rsidRDefault="003C3A5B" w:rsidP="00EC55F8">
      <w:pPr>
        <w:pStyle w:val="Default"/>
        <w:ind w:left="360"/>
      </w:pPr>
      <w:r w:rsidRPr="00676DFD">
        <w:t xml:space="preserve">NIGMS, the NIH Institute responsible for the most trainees, </w:t>
      </w:r>
      <w:r w:rsidR="006E5F79">
        <w:t>joined the CareerTrac team. T</w:t>
      </w:r>
      <w:r w:rsidR="001043A0" w:rsidRPr="00676DFD">
        <w:t>he Bridges to Baccalaureate and Bridges to Doctorate programs</w:t>
      </w:r>
      <w:r w:rsidR="006E5F79">
        <w:t xml:space="preserve"> have been added</w:t>
      </w:r>
      <w:r w:rsidR="006E5F79" w:rsidRPr="00406AFA">
        <w:rPr>
          <w:highlight w:val="yellow"/>
        </w:rPr>
        <w:t>, and NIGMS plans to add the Research Initiative for Scientific Enhancement (RISE) Program as well</w:t>
      </w:r>
      <w:r w:rsidR="001043A0" w:rsidRPr="00676DFD">
        <w:t>.</w:t>
      </w:r>
      <w:r w:rsidR="00EC55F8">
        <w:t xml:space="preserve"> Initially, some of the trainees were appointed using </w:t>
      </w:r>
      <w:proofErr w:type="spellStart"/>
      <w:r w:rsidR="00EC55F8">
        <w:t>xTrain</w:t>
      </w:r>
      <w:proofErr w:type="spellEnd"/>
      <w:r w:rsidR="00EC55F8">
        <w:t xml:space="preserve">, and now all trainees are </w:t>
      </w:r>
      <w:r w:rsidR="001043A0" w:rsidRPr="00676DFD">
        <w:t xml:space="preserve">appointed </w:t>
      </w:r>
      <w:r w:rsidR="006E5F79">
        <w:t>using CareerTrac</w:t>
      </w:r>
      <w:r w:rsidR="001043A0" w:rsidRPr="00676DFD">
        <w:t xml:space="preserve">. </w:t>
      </w:r>
      <w:r w:rsidR="006E5F79">
        <w:t xml:space="preserve">Additional programs may be added in the future. </w:t>
      </w:r>
    </w:p>
    <w:p w:rsidR="00AC3B69" w:rsidRPr="00676DFD" w:rsidRDefault="00AC3B69" w:rsidP="00EC55F8">
      <w:pPr>
        <w:pStyle w:val="Default"/>
        <w:ind w:left="360"/>
      </w:pPr>
    </w:p>
    <w:p w:rsidR="00103948" w:rsidRPr="00676DFD" w:rsidRDefault="00103948" w:rsidP="00EC55F8">
      <w:pPr>
        <w:pStyle w:val="Default"/>
        <w:ind w:left="360"/>
        <w:rPr>
          <w:b/>
          <w:i/>
        </w:rPr>
      </w:pPr>
      <w:r w:rsidRPr="00676DFD">
        <w:rPr>
          <w:b/>
          <w:i/>
        </w:rPr>
        <w:t>The National Library of Medicine</w:t>
      </w:r>
      <w:r w:rsidR="00DF5FA7" w:rsidRPr="00676DFD">
        <w:rPr>
          <w:b/>
          <w:i/>
        </w:rPr>
        <w:t xml:space="preserve"> (NLM)</w:t>
      </w:r>
    </w:p>
    <w:p w:rsidR="001043A0" w:rsidRPr="00676DFD" w:rsidRDefault="00B64A5B" w:rsidP="00EC55F8">
      <w:pPr>
        <w:pStyle w:val="Default"/>
        <w:ind w:left="360"/>
      </w:pPr>
      <w:r w:rsidRPr="00676DFD">
        <w:t>NLM is tracking biomedi</w:t>
      </w:r>
      <w:r w:rsidR="00237D6C">
        <w:t>c</w:t>
      </w:r>
      <w:r w:rsidRPr="00676DFD">
        <w:t xml:space="preserve">al informatics trainees funded on the T15 mechanism (who are </w:t>
      </w:r>
      <w:r w:rsidR="006E5F79">
        <w:t xml:space="preserve">appointed </w:t>
      </w:r>
      <w:r w:rsidRPr="00676DFD">
        <w:t>in X-Train).</w:t>
      </w:r>
      <w:r w:rsidR="0097798B" w:rsidRPr="00676DFD">
        <w:t xml:space="preserve"> </w:t>
      </w:r>
    </w:p>
    <w:p w:rsidR="001043A0" w:rsidRPr="00676DFD" w:rsidRDefault="001043A0" w:rsidP="00023E60">
      <w:pPr>
        <w:pStyle w:val="Default"/>
      </w:pPr>
    </w:p>
    <w:p w:rsidR="00AA3632" w:rsidRDefault="00AC3B69" w:rsidP="00C231BB">
      <w:pPr>
        <w:pStyle w:val="Default"/>
      </w:pPr>
      <w:r w:rsidRPr="00676DFD">
        <w:t xml:space="preserve">In the long term, </w:t>
      </w:r>
      <w:r w:rsidR="0081779F" w:rsidRPr="00676DFD">
        <w:t xml:space="preserve">FIC, </w:t>
      </w:r>
      <w:r w:rsidR="00542916" w:rsidRPr="00676DFD">
        <w:t xml:space="preserve">NIEHS, </w:t>
      </w:r>
      <w:r w:rsidR="0081779F" w:rsidRPr="00676DFD">
        <w:t xml:space="preserve">NIGMS, </w:t>
      </w:r>
      <w:r w:rsidR="000A4394" w:rsidRPr="00676DFD">
        <w:t xml:space="preserve">NLM </w:t>
      </w:r>
      <w:r w:rsidR="00542916" w:rsidRPr="00676DFD">
        <w:t xml:space="preserve">and </w:t>
      </w:r>
      <w:r w:rsidR="0081779F" w:rsidRPr="00676DFD">
        <w:t>NCI</w:t>
      </w:r>
      <w:r w:rsidRPr="00676DFD">
        <w:t xml:space="preserve"> would </w:t>
      </w:r>
      <w:r w:rsidR="0058040B" w:rsidRPr="00676DFD">
        <w:t xml:space="preserve">also </w:t>
      </w:r>
      <w:r w:rsidRPr="00676DFD">
        <w:t>like to track trainees f</w:t>
      </w:r>
      <w:r w:rsidR="005B30F5" w:rsidRPr="00676DFD">
        <w:t xml:space="preserve">unded through other mechanisms (e.g. Superfund Program Trainees) </w:t>
      </w:r>
      <w:r w:rsidRPr="00676DFD">
        <w:t xml:space="preserve">that are not included in the IMPAC II database. Additionally, other NIH Institutes and Centers have trainees that follow both “models” (i.e. those tracked in IMPAC II and those that are not.) Therefore, a single system that allows </w:t>
      </w:r>
      <w:r w:rsidR="0081779F" w:rsidRPr="00676DFD">
        <w:t xml:space="preserve">FIC, </w:t>
      </w:r>
      <w:r w:rsidR="00542916" w:rsidRPr="00676DFD">
        <w:t xml:space="preserve">NIEHS, </w:t>
      </w:r>
      <w:r w:rsidR="0081779F" w:rsidRPr="00676DFD">
        <w:t xml:space="preserve">NIGMS, </w:t>
      </w:r>
      <w:r w:rsidR="00C83A58" w:rsidRPr="00676DFD">
        <w:t xml:space="preserve">NLM, </w:t>
      </w:r>
      <w:r w:rsidR="0081779F" w:rsidRPr="00676DFD">
        <w:t>NCI</w:t>
      </w:r>
      <w:r w:rsidRPr="00676DFD">
        <w:t xml:space="preserve">, </w:t>
      </w:r>
      <w:r w:rsidR="0081779F" w:rsidRPr="00676DFD">
        <w:t xml:space="preserve">and </w:t>
      </w:r>
      <w:r w:rsidRPr="00676DFD">
        <w:t xml:space="preserve">eventually other </w:t>
      </w:r>
      <w:r w:rsidR="00AD7C82" w:rsidRPr="00676DFD">
        <w:t xml:space="preserve">NIH </w:t>
      </w:r>
      <w:r w:rsidRPr="00676DFD">
        <w:t>Institutes</w:t>
      </w:r>
      <w:r w:rsidR="00AD7C82" w:rsidRPr="00676DFD">
        <w:t xml:space="preserve"> and Centers</w:t>
      </w:r>
      <w:r w:rsidRPr="00676DFD">
        <w:t xml:space="preserve">, to track </w:t>
      </w:r>
      <w:r w:rsidR="00AD7C82" w:rsidRPr="00676DFD">
        <w:t>multiple types</w:t>
      </w:r>
      <w:r w:rsidRPr="00676DFD">
        <w:t xml:space="preserve"> of trainees is desirable. </w:t>
      </w:r>
    </w:p>
    <w:p w:rsidR="00C231BB" w:rsidRDefault="00C231BB" w:rsidP="00C231BB">
      <w:pPr>
        <w:pStyle w:val="Default"/>
      </w:pPr>
    </w:p>
    <w:p w:rsidR="00AA3632" w:rsidRDefault="00AA3632" w:rsidP="000E37D1">
      <w:pPr>
        <w:spacing w:after="200" w:line="276" w:lineRule="auto"/>
      </w:pPr>
      <w:r>
        <w:rPr>
          <w:b/>
          <w:bCs/>
        </w:rPr>
        <w:t xml:space="preserve">A.2.Purposes and Uses of the Data </w:t>
      </w:r>
    </w:p>
    <w:p w:rsidR="006068D3" w:rsidRDefault="006068D3" w:rsidP="00107B1A">
      <w:pPr>
        <w:pStyle w:val="CM2"/>
      </w:pPr>
      <w:r w:rsidRPr="00676DFD">
        <w:t xml:space="preserve">NIH needs to understand the long term outcomes of its substantial investment in trainee development. The system will collect and facilitate analysis of the career achievements of trainees funded by </w:t>
      </w:r>
      <w:r w:rsidR="00542916" w:rsidRPr="00676DFD">
        <w:t xml:space="preserve">FIC, NIEHS, NIGMS, </w:t>
      </w:r>
      <w:r w:rsidR="00C83A58" w:rsidRPr="00676DFD">
        <w:t xml:space="preserve">NLM, </w:t>
      </w:r>
      <w:r w:rsidR="00542916" w:rsidRPr="00676DFD">
        <w:t>and NCI</w:t>
      </w:r>
      <w:r w:rsidR="00107B1A" w:rsidRPr="00676DFD">
        <w:t xml:space="preserve"> </w:t>
      </w:r>
      <w:r w:rsidRPr="00676DFD">
        <w:t xml:space="preserve">grants, including career accomplishments achieved during or post training. Program officers will use the data to report on, analyze, and modify training programs; </w:t>
      </w:r>
      <w:r w:rsidR="00542916" w:rsidRPr="00676DFD">
        <w:t xml:space="preserve">FIC, NIEHS, NIGMS, </w:t>
      </w:r>
      <w:r w:rsidR="00C83A58" w:rsidRPr="00676DFD">
        <w:t xml:space="preserve">NLM, </w:t>
      </w:r>
      <w:r w:rsidR="00542916" w:rsidRPr="00676DFD">
        <w:t>and NCI</w:t>
      </w:r>
      <w:r w:rsidRPr="00676DFD">
        <w:t xml:space="preserve"> will use this data to inform management decisions about its health research training programs and to report on the outputs, outcomes and impacts of its programs; Evaluation and Policy officers will use the data to report to NIH and HHS administration</w:t>
      </w:r>
      <w:r w:rsidR="00817848" w:rsidRPr="00676DFD">
        <w:t>.</w:t>
      </w:r>
      <w:r w:rsidRPr="00676DFD">
        <w:t xml:space="preserve"> Additionally, the evaluation officer</w:t>
      </w:r>
      <w:r w:rsidR="003C3A5B" w:rsidRPr="00676DFD">
        <w:t>s</w:t>
      </w:r>
      <w:r w:rsidR="007159AF" w:rsidRPr="00676DFD">
        <w:t xml:space="preserve"> and staff</w:t>
      </w:r>
      <w:r w:rsidRPr="00676DFD">
        <w:t xml:space="preserve"> will use the collected data t</w:t>
      </w:r>
      <w:r w:rsidRPr="00D36224">
        <w:t>o help analyze and evaluate programs.  Trainee data</w:t>
      </w:r>
      <w:r w:rsidRPr="00107B1A">
        <w:t xml:space="preserve"> may be used for bench marking and comparisons across programs or ICs. Su</w:t>
      </w:r>
      <w:r>
        <w:t xml:space="preserve">bmission of this data is voluntary. </w:t>
      </w:r>
    </w:p>
    <w:p w:rsidR="00107B1A" w:rsidRPr="00107B1A" w:rsidRDefault="00107B1A" w:rsidP="00107B1A">
      <w:pPr>
        <w:pStyle w:val="Default"/>
      </w:pPr>
    </w:p>
    <w:p w:rsidR="00AA3632" w:rsidRDefault="006068D3" w:rsidP="001C0009">
      <w:pPr>
        <w:pStyle w:val="Default"/>
      </w:pPr>
      <w:r w:rsidRPr="00107B1A">
        <w:t>In addition, it is envisioned that b</w:t>
      </w:r>
      <w:r w:rsidR="00AD7C82" w:rsidRPr="00107B1A">
        <w:t>y developing a database of international traine</w:t>
      </w:r>
      <w:r w:rsidR="004160FA" w:rsidRPr="00107B1A">
        <w:t>e</w:t>
      </w:r>
      <w:r w:rsidR="00AD7C82" w:rsidRPr="00107B1A">
        <w:t xml:space="preserve">s </w:t>
      </w:r>
      <w:r w:rsidR="004160FA" w:rsidRPr="00107B1A">
        <w:t>accessible</w:t>
      </w:r>
      <w:r w:rsidR="00AD7C82" w:rsidRPr="00107B1A">
        <w:t xml:space="preserve"> to NIH program officers, t</w:t>
      </w:r>
      <w:r w:rsidR="00AA3632" w:rsidRPr="00107B1A">
        <w:t xml:space="preserve">he system </w:t>
      </w:r>
      <w:r w:rsidRPr="00107B1A">
        <w:t>may</w:t>
      </w:r>
      <w:r w:rsidR="00AA3632" w:rsidRPr="00107B1A">
        <w:t xml:space="preserve"> also facilitate </w:t>
      </w:r>
      <w:r w:rsidR="00AD7C82" w:rsidRPr="00107B1A">
        <w:t xml:space="preserve">implementation of </w:t>
      </w:r>
      <w:r w:rsidR="00AA3632" w:rsidRPr="00107B1A">
        <w:t xml:space="preserve">global scientific projects by </w:t>
      </w:r>
      <w:r w:rsidR="00AD7C82" w:rsidRPr="00676DFD">
        <w:t xml:space="preserve">allowing Program Officers to </w:t>
      </w:r>
      <w:r w:rsidR="00AA3632" w:rsidRPr="00676DFD">
        <w:t>identify international partnership opportunities, particularly for U.S. PIs or program alumni who desire</w:t>
      </w:r>
      <w:r w:rsidRPr="00676DFD">
        <w:t>s</w:t>
      </w:r>
      <w:r w:rsidR="00AA3632" w:rsidRPr="00676DFD">
        <w:t xml:space="preserve"> collaboration with a</w:t>
      </w:r>
      <w:r w:rsidRPr="00676DFD">
        <w:t>n</w:t>
      </w:r>
      <w:r w:rsidR="00AA3632" w:rsidRPr="00676DFD">
        <w:t xml:space="preserve"> </w:t>
      </w:r>
      <w:r w:rsidRPr="00676DFD">
        <w:t xml:space="preserve">individual </w:t>
      </w:r>
      <w:r w:rsidR="00AD7C82" w:rsidRPr="00676DFD">
        <w:t xml:space="preserve">who </w:t>
      </w:r>
      <w:r w:rsidR="00AD7C82" w:rsidRPr="00676DFD">
        <w:lastRenderedPageBreak/>
        <w:t>has expertise in a specific scientific area</w:t>
      </w:r>
      <w:r w:rsidR="00D60B5B" w:rsidRPr="00676DFD">
        <w:t>,</w:t>
      </w:r>
      <w:r w:rsidR="00AA3632" w:rsidRPr="00676DFD">
        <w:t xml:space="preserve"> international site or institution.   </w:t>
      </w:r>
      <w:r w:rsidR="00D36224" w:rsidRPr="00676DFD">
        <w:t xml:space="preserve">CareerTrac users are also interested in facilitating </w:t>
      </w:r>
      <w:proofErr w:type="gramStart"/>
      <w:r w:rsidR="00D36224" w:rsidRPr="00676DFD">
        <w:t>partnerships,</w:t>
      </w:r>
      <w:proofErr w:type="gramEnd"/>
      <w:r w:rsidR="00D36224" w:rsidRPr="00676DFD">
        <w:t xml:space="preserve"> further training opportunities, and other network</w:t>
      </w:r>
      <w:r w:rsidR="001C0009">
        <w:t xml:space="preserve">ing. </w:t>
      </w:r>
    </w:p>
    <w:p w:rsidR="001C0009" w:rsidRDefault="001C0009" w:rsidP="001C0009">
      <w:pPr>
        <w:pStyle w:val="Default"/>
      </w:pPr>
    </w:p>
    <w:p w:rsidR="00722F52" w:rsidRPr="001C0009" w:rsidRDefault="00722F52" w:rsidP="00DF32A8">
      <w:pPr>
        <w:pStyle w:val="Default"/>
        <w:rPr>
          <w:b/>
          <w:highlight w:val="yellow"/>
        </w:rPr>
      </w:pPr>
      <w:r w:rsidRPr="001C0009">
        <w:rPr>
          <w:b/>
          <w:highlight w:val="yellow"/>
        </w:rPr>
        <w:t xml:space="preserve">Major changes to </w:t>
      </w:r>
      <w:r w:rsidR="001104C1">
        <w:rPr>
          <w:b/>
          <w:highlight w:val="yellow"/>
        </w:rPr>
        <w:t xml:space="preserve">the </w:t>
      </w:r>
      <w:r w:rsidR="00EC55F8">
        <w:rPr>
          <w:b/>
          <w:highlight w:val="yellow"/>
        </w:rPr>
        <w:t>CareerTrac</w:t>
      </w:r>
      <w:r w:rsidR="001104C1">
        <w:rPr>
          <w:b/>
          <w:highlight w:val="yellow"/>
        </w:rPr>
        <w:t xml:space="preserve"> system</w:t>
      </w:r>
      <w:r w:rsidRPr="001C0009">
        <w:rPr>
          <w:b/>
          <w:highlight w:val="yellow"/>
        </w:rPr>
        <w:t xml:space="preserve"> since last OMB submission</w:t>
      </w:r>
      <w:r w:rsidR="001104C1">
        <w:rPr>
          <w:b/>
          <w:highlight w:val="yellow"/>
        </w:rPr>
        <w:t xml:space="preserve"> </w:t>
      </w:r>
      <w:r w:rsidR="001104C1" w:rsidRPr="00075A32">
        <w:rPr>
          <w:highlight w:val="yellow"/>
        </w:rPr>
        <w:t>(</w:t>
      </w:r>
      <w:r w:rsidR="00075A32">
        <w:rPr>
          <w:highlight w:val="yellow"/>
        </w:rPr>
        <w:t>Note: A</w:t>
      </w:r>
      <w:r w:rsidR="001104C1" w:rsidRPr="00075A32">
        <w:rPr>
          <w:highlight w:val="yellow"/>
        </w:rPr>
        <w:t xml:space="preserve">ll </w:t>
      </w:r>
      <w:r w:rsidR="00075A32">
        <w:rPr>
          <w:highlight w:val="yellow"/>
        </w:rPr>
        <w:t xml:space="preserve">these </w:t>
      </w:r>
      <w:r w:rsidR="001104C1" w:rsidRPr="00075A32">
        <w:rPr>
          <w:highlight w:val="yellow"/>
        </w:rPr>
        <w:t xml:space="preserve">changes were to administrative features, response options for previously approved questions or reports based on </w:t>
      </w:r>
      <w:r w:rsidR="00075A32">
        <w:rPr>
          <w:highlight w:val="yellow"/>
        </w:rPr>
        <w:t xml:space="preserve">data already </w:t>
      </w:r>
      <w:r w:rsidR="001104C1" w:rsidRPr="00075A32">
        <w:rPr>
          <w:highlight w:val="yellow"/>
        </w:rPr>
        <w:t>collected)</w:t>
      </w:r>
      <w:r w:rsidRPr="00075A32">
        <w:rPr>
          <w:highlight w:val="yellow"/>
        </w:rPr>
        <w:t>:</w:t>
      </w:r>
    </w:p>
    <w:p w:rsidR="00676DFD" w:rsidRPr="00855A5E" w:rsidRDefault="00075A32" w:rsidP="00DF32A8">
      <w:pPr>
        <w:numPr>
          <w:ilvl w:val="0"/>
          <w:numId w:val="13"/>
        </w:numPr>
        <w:rPr>
          <w:highlight w:val="yellow"/>
        </w:rPr>
      </w:pPr>
      <w:r>
        <w:rPr>
          <w:highlight w:val="yellow"/>
        </w:rPr>
        <w:t xml:space="preserve">Per a request from the NIH Office of Extramural research, we altered the </w:t>
      </w:r>
      <w:r w:rsidR="005863B4" w:rsidRPr="00855A5E">
        <w:rPr>
          <w:highlight w:val="yellow"/>
        </w:rPr>
        <w:t>appointment process for trainees</w:t>
      </w:r>
      <w:r>
        <w:rPr>
          <w:highlight w:val="yellow"/>
        </w:rPr>
        <w:t xml:space="preserve">. We now take advantage of the new NIH requirement for each trainee to have an NIH Commons ID and were able to reduce burden on PIs. </w:t>
      </w:r>
    </w:p>
    <w:p w:rsidR="00676DFD" w:rsidRPr="00855A5E" w:rsidRDefault="00075A32" w:rsidP="00DF32A8">
      <w:pPr>
        <w:numPr>
          <w:ilvl w:val="1"/>
          <w:numId w:val="13"/>
        </w:numPr>
        <w:rPr>
          <w:highlight w:val="yellow"/>
        </w:rPr>
      </w:pPr>
      <w:r>
        <w:rPr>
          <w:highlight w:val="yellow"/>
        </w:rPr>
        <w:t>We no longer collect</w:t>
      </w:r>
      <w:r w:rsidR="000F436D" w:rsidRPr="00855A5E">
        <w:rPr>
          <w:highlight w:val="yellow"/>
        </w:rPr>
        <w:t xml:space="preserve"> </w:t>
      </w:r>
      <w:r w:rsidR="00676DFD" w:rsidRPr="00855A5E">
        <w:rPr>
          <w:highlight w:val="yellow"/>
        </w:rPr>
        <w:t xml:space="preserve">gender, race and ethnicity fields </w:t>
      </w:r>
      <w:r w:rsidR="000F436D" w:rsidRPr="00855A5E">
        <w:rPr>
          <w:highlight w:val="yellow"/>
        </w:rPr>
        <w:t xml:space="preserve">for new trainees appointed in CareerTrac because that information now comes from IMPAC II Commons account data. </w:t>
      </w:r>
    </w:p>
    <w:p w:rsidR="00C32EC7" w:rsidRPr="00855A5E" w:rsidRDefault="00C32EC7" w:rsidP="00C32EC7">
      <w:pPr>
        <w:numPr>
          <w:ilvl w:val="1"/>
          <w:numId w:val="13"/>
        </w:numPr>
        <w:rPr>
          <w:highlight w:val="yellow"/>
        </w:rPr>
      </w:pPr>
      <w:r>
        <w:rPr>
          <w:highlight w:val="yellow"/>
        </w:rPr>
        <w:t xml:space="preserve">We allow </w:t>
      </w:r>
      <w:r w:rsidRPr="00855A5E">
        <w:rPr>
          <w:highlight w:val="yellow"/>
        </w:rPr>
        <w:t>user</w:t>
      </w:r>
      <w:r>
        <w:rPr>
          <w:highlight w:val="yellow"/>
        </w:rPr>
        <w:t>s</w:t>
      </w:r>
      <w:r w:rsidRPr="00855A5E">
        <w:rPr>
          <w:highlight w:val="yellow"/>
        </w:rPr>
        <w:t xml:space="preserve"> to search </w:t>
      </w:r>
      <w:proofErr w:type="spellStart"/>
      <w:r w:rsidRPr="00855A5E">
        <w:rPr>
          <w:highlight w:val="yellow"/>
        </w:rPr>
        <w:t>eRA</w:t>
      </w:r>
      <w:proofErr w:type="spellEnd"/>
      <w:r w:rsidRPr="00855A5E">
        <w:rPr>
          <w:highlight w:val="yellow"/>
        </w:rPr>
        <w:t xml:space="preserve"> Commons and import relevant education and employment records for a given trainee.</w:t>
      </w:r>
    </w:p>
    <w:p w:rsidR="00676DFD" w:rsidRPr="00855A5E" w:rsidRDefault="00075A32" w:rsidP="00DF32A8">
      <w:pPr>
        <w:numPr>
          <w:ilvl w:val="1"/>
          <w:numId w:val="13"/>
        </w:numPr>
        <w:rPr>
          <w:highlight w:val="yellow"/>
        </w:rPr>
      </w:pPr>
      <w:r>
        <w:rPr>
          <w:highlight w:val="yellow"/>
        </w:rPr>
        <w:t xml:space="preserve">We allow PI’s to </w:t>
      </w:r>
      <w:r w:rsidR="00C32EC7">
        <w:rPr>
          <w:highlight w:val="yellow"/>
        </w:rPr>
        <w:t>link</w:t>
      </w:r>
      <w:r>
        <w:rPr>
          <w:highlight w:val="yellow"/>
        </w:rPr>
        <w:t xml:space="preserve"> a NIH Commons ID </w:t>
      </w:r>
      <w:r w:rsidR="00C32EC7">
        <w:rPr>
          <w:highlight w:val="yellow"/>
        </w:rPr>
        <w:t xml:space="preserve">to </w:t>
      </w:r>
      <w:r>
        <w:rPr>
          <w:highlight w:val="yellow"/>
        </w:rPr>
        <w:t xml:space="preserve">all </w:t>
      </w:r>
      <w:r w:rsidR="00C32EC7">
        <w:rPr>
          <w:highlight w:val="yellow"/>
        </w:rPr>
        <w:t>pre-</w:t>
      </w:r>
      <w:r w:rsidR="000F436D" w:rsidRPr="00855A5E">
        <w:rPr>
          <w:highlight w:val="yellow"/>
        </w:rPr>
        <w:t>existing trainees</w:t>
      </w:r>
      <w:r w:rsidR="00676DFD" w:rsidRPr="00855A5E">
        <w:rPr>
          <w:highlight w:val="yellow"/>
        </w:rPr>
        <w:t>.</w:t>
      </w:r>
    </w:p>
    <w:p w:rsidR="000F436D" w:rsidRPr="00855A5E" w:rsidRDefault="00075A32" w:rsidP="00DF32A8">
      <w:pPr>
        <w:numPr>
          <w:ilvl w:val="0"/>
          <w:numId w:val="13"/>
        </w:numPr>
        <w:rPr>
          <w:highlight w:val="yellow"/>
        </w:rPr>
      </w:pPr>
      <w:r>
        <w:rPr>
          <w:highlight w:val="yellow"/>
        </w:rPr>
        <w:t>We c</w:t>
      </w:r>
      <w:r w:rsidR="00DF32A8">
        <w:rPr>
          <w:highlight w:val="yellow"/>
        </w:rPr>
        <w:t xml:space="preserve">ompleted </w:t>
      </w:r>
      <w:r>
        <w:rPr>
          <w:highlight w:val="yellow"/>
        </w:rPr>
        <w:t xml:space="preserve">an </w:t>
      </w:r>
      <w:r w:rsidR="006E5F79" w:rsidRPr="00855A5E">
        <w:rPr>
          <w:highlight w:val="yellow"/>
        </w:rPr>
        <w:t xml:space="preserve">overhaul of the reporting infrastructure in CareerTrac, which led to </w:t>
      </w:r>
      <w:r w:rsidR="00AF5A1E">
        <w:rPr>
          <w:highlight w:val="yellow"/>
        </w:rPr>
        <w:t xml:space="preserve">the development of </w:t>
      </w:r>
      <w:r w:rsidR="006E5F79" w:rsidRPr="00855A5E">
        <w:rPr>
          <w:highlight w:val="yellow"/>
        </w:rPr>
        <w:t>more than 2</w:t>
      </w:r>
      <w:r w:rsidR="00406AFA">
        <w:rPr>
          <w:highlight w:val="yellow"/>
        </w:rPr>
        <w:t>5</w:t>
      </w:r>
      <w:r w:rsidR="006E5F79" w:rsidRPr="00855A5E">
        <w:rPr>
          <w:highlight w:val="yellow"/>
        </w:rPr>
        <w:t xml:space="preserve"> reports. </w:t>
      </w:r>
      <w:r>
        <w:rPr>
          <w:highlight w:val="yellow"/>
        </w:rPr>
        <w:t xml:space="preserve">Before this change, the user had to use a cumbersome and non-intuitive search tool. The canned reports that we developed are much more responsive to user needs. </w:t>
      </w:r>
    </w:p>
    <w:p w:rsidR="000F436D" w:rsidRPr="00855A5E" w:rsidRDefault="00075A32" w:rsidP="00DF32A8">
      <w:pPr>
        <w:numPr>
          <w:ilvl w:val="0"/>
          <w:numId w:val="15"/>
        </w:numPr>
        <w:textAlignment w:val="baseline"/>
        <w:rPr>
          <w:color w:val="000000"/>
          <w:highlight w:val="yellow"/>
        </w:rPr>
      </w:pPr>
      <w:r>
        <w:rPr>
          <w:highlight w:val="yellow"/>
        </w:rPr>
        <w:t>We i</w:t>
      </w:r>
      <w:r w:rsidR="006E5F79" w:rsidRPr="00855A5E">
        <w:rPr>
          <w:highlight w:val="yellow"/>
        </w:rPr>
        <w:t xml:space="preserve">mproved data collection forms </w:t>
      </w:r>
      <w:r w:rsidR="001D2576">
        <w:rPr>
          <w:highlight w:val="yellow"/>
        </w:rPr>
        <w:t>to allow trainee entry of data and to reduce burden for PIs</w:t>
      </w:r>
      <w:r w:rsidR="000F436D" w:rsidRPr="00855A5E">
        <w:rPr>
          <w:highlight w:val="yellow"/>
        </w:rPr>
        <w:t xml:space="preserve"> (</w:t>
      </w:r>
      <w:r w:rsidR="00404D72">
        <w:rPr>
          <w:highlight w:val="yellow"/>
        </w:rPr>
        <w:t xml:space="preserve">See Attachment </w:t>
      </w:r>
      <w:r w:rsidR="0062717B">
        <w:rPr>
          <w:highlight w:val="yellow"/>
        </w:rPr>
        <w:t>1</w:t>
      </w:r>
      <w:r w:rsidR="000F436D" w:rsidRPr="00855A5E">
        <w:rPr>
          <w:highlight w:val="yellow"/>
        </w:rPr>
        <w:t xml:space="preserve">). These forms allow </w:t>
      </w:r>
      <w:r w:rsidR="000F436D" w:rsidRPr="00855A5E">
        <w:rPr>
          <w:color w:val="000000"/>
          <w:highlight w:val="yellow"/>
        </w:rPr>
        <w:t xml:space="preserve">a user to send the trainee an excel spreadsheet that displays information from the CareerTrac database (easing right of review burden for PIs). </w:t>
      </w:r>
    </w:p>
    <w:p w:rsidR="00855A5E" w:rsidRPr="00855A5E" w:rsidRDefault="00F25C5B" w:rsidP="00DF32A8">
      <w:pPr>
        <w:numPr>
          <w:ilvl w:val="0"/>
          <w:numId w:val="13"/>
        </w:numPr>
        <w:rPr>
          <w:highlight w:val="yellow"/>
        </w:rPr>
      </w:pPr>
      <w:r>
        <w:rPr>
          <w:highlight w:val="yellow"/>
        </w:rPr>
        <w:t>We a</w:t>
      </w:r>
      <w:r w:rsidR="00855A5E" w:rsidRPr="00855A5E">
        <w:rPr>
          <w:highlight w:val="yellow"/>
        </w:rPr>
        <w:t>dded several administrative functions</w:t>
      </w:r>
      <w:r w:rsidR="00C32EC7">
        <w:rPr>
          <w:highlight w:val="yellow"/>
        </w:rPr>
        <w:t xml:space="preserve"> that do not change burden on respondents</w:t>
      </w:r>
      <w:r w:rsidR="00855A5E" w:rsidRPr="00855A5E">
        <w:rPr>
          <w:highlight w:val="yellow"/>
        </w:rPr>
        <w:t>:</w:t>
      </w:r>
    </w:p>
    <w:p w:rsidR="00676DFD" w:rsidRPr="00855A5E" w:rsidRDefault="00676DFD" w:rsidP="00DF32A8">
      <w:pPr>
        <w:numPr>
          <w:ilvl w:val="1"/>
          <w:numId w:val="13"/>
        </w:numPr>
        <w:rPr>
          <w:highlight w:val="yellow"/>
        </w:rPr>
      </w:pPr>
      <w:r w:rsidRPr="00855A5E">
        <w:rPr>
          <w:highlight w:val="yellow"/>
        </w:rPr>
        <w:t>Administrators can now add institutions into CareerTrac</w:t>
      </w:r>
      <w:r w:rsidR="000F436D" w:rsidRPr="00855A5E">
        <w:rPr>
          <w:highlight w:val="yellow"/>
        </w:rPr>
        <w:t xml:space="preserve"> </w:t>
      </w:r>
      <w:r w:rsidR="00855A5E" w:rsidRPr="00855A5E">
        <w:rPr>
          <w:highlight w:val="yellow"/>
        </w:rPr>
        <w:t>(developers not required to make changes)</w:t>
      </w:r>
    </w:p>
    <w:p w:rsidR="00855A5E" w:rsidRPr="00855A5E" w:rsidRDefault="00855A5E" w:rsidP="00DF32A8">
      <w:pPr>
        <w:numPr>
          <w:ilvl w:val="1"/>
          <w:numId w:val="13"/>
        </w:numPr>
        <w:rPr>
          <w:highlight w:val="yellow"/>
        </w:rPr>
      </w:pPr>
      <w:r w:rsidRPr="00855A5E">
        <w:rPr>
          <w:highlight w:val="yellow"/>
        </w:rPr>
        <w:t>Administrators can view and edit import rules for grants included the system</w:t>
      </w:r>
    </w:p>
    <w:p w:rsidR="000F436D" w:rsidRPr="00855A5E" w:rsidRDefault="00F25C5B" w:rsidP="00DF32A8">
      <w:pPr>
        <w:numPr>
          <w:ilvl w:val="0"/>
          <w:numId w:val="13"/>
        </w:numPr>
        <w:rPr>
          <w:highlight w:val="yellow"/>
        </w:rPr>
      </w:pPr>
      <w:r>
        <w:rPr>
          <w:highlight w:val="yellow"/>
        </w:rPr>
        <w:t>We a</w:t>
      </w:r>
      <w:r w:rsidR="000F436D" w:rsidRPr="00855A5E">
        <w:rPr>
          <w:highlight w:val="yellow"/>
        </w:rPr>
        <w:t>dded visual cues to signal different types of data sources in the system</w:t>
      </w:r>
    </w:p>
    <w:p w:rsidR="00676DFD" w:rsidRPr="00855A5E" w:rsidRDefault="00676DFD" w:rsidP="00DF32A8">
      <w:pPr>
        <w:pStyle w:val="Default"/>
        <w:rPr>
          <w:highlight w:val="yellow"/>
        </w:rPr>
      </w:pPr>
    </w:p>
    <w:p w:rsidR="007879B8" w:rsidRDefault="007879B8" w:rsidP="00107B1A">
      <w:pPr>
        <w:pStyle w:val="ListParagraph"/>
      </w:pPr>
    </w:p>
    <w:p w:rsidR="00AA3632" w:rsidRDefault="00AA3632">
      <w:pPr>
        <w:pStyle w:val="CM9"/>
        <w:spacing w:line="278" w:lineRule="atLeast"/>
      </w:pPr>
      <w:r>
        <w:rPr>
          <w:b/>
          <w:bCs/>
        </w:rPr>
        <w:t xml:space="preserve">A.3.Use of Information Technology </w:t>
      </w:r>
      <w:r w:rsidR="001438F7">
        <w:rPr>
          <w:b/>
          <w:bCs/>
        </w:rPr>
        <w:t>to</w:t>
      </w:r>
      <w:r>
        <w:rPr>
          <w:b/>
          <w:bCs/>
        </w:rPr>
        <w:t xml:space="preserve"> Reduce Burden </w:t>
      </w:r>
    </w:p>
    <w:p w:rsidR="00C32EC7" w:rsidRDefault="006A5D71" w:rsidP="001A43B3">
      <w:pPr>
        <w:pStyle w:val="CM9"/>
        <w:spacing w:line="278" w:lineRule="atLeast"/>
        <w:ind w:right="88"/>
        <w:rPr>
          <w:color w:val="000000"/>
          <w:highlight w:val="yellow"/>
        </w:rPr>
      </w:pPr>
      <w:r w:rsidRPr="00C231BB">
        <w:rPr>
          <w:highlight w:val="yellow"/>
        </w:rPr>
        <w:t>CareerTrac,</w:t>
      </w:r>
      <w:r>
        <w:t xml:space="preserve"> a </w:t>
      </w:r>
      <w:r w:rsidR="00AA3632">
        <w:t>web-based application</w:t>
      </w:r>
      <w:r>
        <w:t>,</w:t>
      </w:r>
      <w:r w:rsidR="00AA3632">
        <w:t xml:space="preserve"> is </w:t>
      </w:r>
      <w:r w:rsidR="00290698" w:rsidRPr="00F90814">
        <w:t xml:space="preserve">in production </w:t>
      </w:r>
      <w:r w:rsidR="00542916">
        <w:t>and being used by FIC</w:t>
      </w:r>
      <w:r w:rsidR="001A49C0">
        <w:t>,</w:t>
      </w:r>
      <w:r w:rsidR="00542916">
        <w:t xml:space="preserve"> NIEHS</w:t>
      </w:r>
      <w:r w:rsidR="001A49C0">
        <w:t>, NIGMS, NLM and NCI</w:t>
      </w:r>
      <w:r w:rsidR="00290698" w:rsidRPr="00F90814">
        <w:t xml:space="preserve">. The system </w:t>
      </w:r>
      <w:r w:rsidR="00AA3632" w:rsidRPr="00F90814">
        <w:t>support</w:t>
      </w:r>
      <w:r w:rsidR="00290698" w:rsidRPr="00F90814">
        <w:t>s</w:t>
      </w:r>
      <w:r w:rsidR="00AA3632">
        <w:t xml:space="preserve"> the collection and reporting of this data, significantly reducing the burden of maintaining paper-based files and manually collating data for reporting.  All PIs with access to the Internet </w:t>
      </w:r>
      <w:r w:rsidR="00290698">
        <w:t xml:space="preserve">are </w:t>
      </w:r>
      <w:r w:rsidR="00AA3632">
        <w:t>able to access the system from anywhere at any time. Drop-down selection list and radio button selections are leveraged to streamline</w:t>
      </w:r>
      <w:r w:rsidR="006068D3">
        <w:t xml:space="preserve"> </w:t>
      </w:r>
      <w:r w:rsidR="006068D3" w:rsidRPr="00F90814">
        <w:t>and standardize</w:t>
      </w:r>
      <w:r w:rsidR="00AA3632" w:rsidRPr="00F90814">
        <w:t xml:space="preserve"> t</w:t>
      </w:r>
      <w:r w:rsidR="00AA3632">
        <w:t xml:space="preserve">he data collection. </w:t>
      </w:r>
      <w:r w:rsidR="001A49C0" w:rsidRPr="00406AFA">
        <w:rPr>
          <w:highlight w:val="yellow"/>
        </w:rPr>
        <w:t>Extensive help files, tool tips and Frequently Asked Question pages provide clear instructions for providing information</w:t>
      </w:r>
      <w:r w:rsidR="004F3D41">
        <w:rPr>
          <w:highlight w:val="yellow"/>
        </w:rPr>
        <w:t>.</w:t>
      </w:r>
      <w:r w:rsidR="004F3D41" w:rsidRPr="004F3D41">
        <w:rPr>
          <w:color w:val="000000"/>
          <w:highlight w:val="yellow"/>
        </w:rPr>
        <w:t xml:space="preserve"> </w:t>
      </w:r>
    </w:p>
    <w:p w:rsidR="000E37D1" w:rsidRDefault="004F3D41" w:rsidP="001A43B3">
      <w:pPr>
        <w:pStyle w:val="CM9"/>
        <w:spacing w:line="278" w:lineRule="atLeast"/>
        <w:ind w:right="88"/>
      </w:pPr>
      <w:r>
        <w:rPr>
          <w:color w:val="000000"/>
          <w:highlight w:val="yellow"/>
        </w:rPr>
        <w:t xml:space="preserve">Optional data collection forms allow PIs to share what data are stored </w:t>
      </w:r>
      <w:r w:rsidR="00F25C5B">
        <w:rPr>
          <w:color w:val="000000"/>
          <w:highlight w:val="yellow"/>
        </w:rPr>
        <w:t xml:space="preserve">in CareerTrac </w:t>
      </w:r>
      <w:r>
        <w:rPr>
          <w:color w:val="000000"/>
          <w:highlight w:val="yellow"/>
        </w:rPr>
        <w:t>for a</w:t>
      </w:r>
      <w:r w:rsidR="00F25C5B">
        <w:rPr>
          <w:color w:val="000000"/>
          <w:highlight w:val="yellow"/>
        </w:rPr>
        <w:t>n</w:t>
      </w:r>
      <w:r>
        <w:rPr>
          <w:color w:val="000000"/>
          <w:highlight w:val="yellow"/>
        </w:rPr>
        <w:t xml:space="preserve"> </w:t>
      </w:r>
      <w:r w:rsidR="00F25C5B">
        <w:rPr>
          <w:color w:val="000000"/>
          <w:highlight w:val="yellow"/>
        </w:rPr>
        <w:t xml:space="preserve">individual </w:t>
      </w:r>
      <w:r>
        <w:rPr>
          <w:color w:val="000000"/>
          <w:highlight w:val="yellow"/>
        </w:rPr>
        <w:t>trainee</w:t>
      </w:r>
      <w:r w:rsidR="00F25C5B">
        <w:rPr>
          <w:color w:val="000000"/>
          <w:highlight w:val="yellow"/>
        </w:rPr>
        <w:t>, and prompt the trainee to make updates that can easily be added to the system by the PI or his/her administrator</w:t>
      </w:r>
      <w:r w:rsidR="00404D72">
        <w:rPr>
          <w:color w:val="000000"/>
          <w:highlight w:val="yellow"/>
        </w:rPr>
        <w:t xml:space="preserve"> (see Attachment </w:t>
      </w:r>
      <w:r w:rsidR="0062717B">
        <w:rPr>
          <w:color w:val="000000"/>
          <w:highlight w:val="yellow"/>
        </w:rPr>
        <w:t>1</w:t>
      </w:r>
      <w:r w:rsidR="00404D72">
        <w:rPr>
          <w:color w:val="000000"/>
          <w:highlight w:val="yellow"/>
        </w:rPr>
        <w:t>)</w:t>
      </w:r>
      <w:r w:rsidR="00F25C5B">
        <w:rPr>
          <w:color w:val="000000"/>
          <w:highlight w:val="yellow"/>
        </w:rPr>
        <w:t xml:space="preserve">. This is intended to </w:t>
      </w:r>
      <w:r>
        <w:rPr>
          <w:color w:val="000000"/>
          <w:highlight w:val="yellow"/>
        </w:rPr>
        <w:t xml:space="preserve">promote </w:t>
      </w:r>
      <w:r w:rsidRPr="00855A5E">
        <w:rPr>
          <w:color w:val="000000"/>
          <w:highlight w:val="yellow"/>
        </w:rPr>
        <w:t>data quality and completeness</w:t>
      </w:r>
      <w:r w:rsidR="00F25C5B">
        <w:rPr>
          <w:color w:val="000000"/>
          <w:highlight w:val="yellow"/>
        </w:rPr>
        <w:t xml:space="preserve"> and also makes it much easier for the PI to give the trainee his/her right to review the data</w:t>
      </w:r>
      <w:r w:rsidR="001A49C0" w:rsidRPr="00406AFA">
        <w:rPr>
          <w:highlight w:val="yellow"/>
        </w:rPr>
        <w:t>.</w:t>
      </w:r>
      <w:r w:rsidR="001A49C0">
        <w:t xml:space="preserve"> </w:t>
      </w:r>
    </w:p>
    <w:p w:rsidR="00DC2074" w:rsidRPr="00BF1F13" w:rsidRDefault="00DC2074" w:rsidP="006E7BA2">
      <w:pPr>
        <w:pStyle w:val="Default"/>
      </w:pPr>
      <w:r w:rsidRPr="00107B1A">
        <w:rPr>
          <w:color w:val="auto"/>
        </w:rPr>
        <w:lastRenderedPageBreak/>
        <w:t xml:space="preserve">In addition, </w:t>
      </w:r>
      <w:r w:rsidR="00107B1A" w:rsidRPr="00107B1A">
        <w:rPr>
          <w:color w:val="auto"/>
        </w:rPr>
        <w:t xml:space="preserve">a </w:t>
      </w:r>
      <w:r w:rsidRPr="00107B1A">
        <w:rPr>
          <w:color w:val="auto"/>
        </w:rPr>
        <w:t xml:space="preserve">PIA was completed for </w:t>
      </w:r>
      <w:r w:rsidR="006E7BA2" w:rsidRPr="00D36224">
        <w:rPr>
          <w:color w:val="auto"/>
        </w:rPr>
        <w:t xml:space="preserve">the </w:t>
      </w:r>
      <w:r w:rsidR="00EC0C44" w:rsidRPr="00D36224">
        <w:rPr>
          <w:color w:val="auto"/>
        </w:rPr>
        <w:t>joint</w:t>
      </w:r>
      <w:r w:rsidR="00EC0C44">
        <w:rPr>
          <w:color w:val="auto"/>
        </w:rPr>
        <w:t xml:space="preserve"> </w:t>
      </w:r>
      <w:r w:rsidRPr="00107B1A">
        <w:rPr>
          <w:color w:val="auto"/>
        </w:rPr>
        <w:t>CareerTrac application</w:t>
      </w:r>
      <w:r w:rsidR="006E7BA2">
        <w:rPr>
          <w:color w:val="auto"/>
        </w:rPr>
        <w:t xml:space="preserve"> </w:t>
      </w:r>
      <w:r w:rsidR="006E7BA2" w:rsidRPr="001C0009">
        <w:rPr>
          <w:color w:val="auto"/>
        </w:rPr>
        <w:t>(NIEHS and FIC)</w:t>
      </w:r>
      <w:r w:rsidRPr="001C0009">
        <w:rPr>
          <w:color w:val="auto"/>
        </w:rPr>
        <w:t xml:space="preserve">. </w:t>
      </w:r>
      <w:r w:rsidR="00107B1A" w:rsidRPr="001C0009">
        <w:rPr>
          <w:color w:val="auto"/>
        </w:rPr>
        <w:t xml:space="preserve">The </w:t>
      </w:r>
      <w:r w:rsidRPr="001C0009">
        <w:rPr>
          <w:rStyle w:val="Strong"/>
          <w:b w:val="0"/>
          <w:bCs w:val="0"/>
        </w:rPr>
        <w:t>SORN</w:t>
      </w:r>
      <w:r w:rsidR="00107B1A" w:rsidRPr="001C0009">
        <w:rPr>
          <w:rStyle w:val="Strong"/>
          <w:b w:val="0"/>
          <w:bCs w:val="0"/>
        </w:rPr>
        <w:t xml:space="preserve"> is</w:t>
      </w:r>
      <w:r w:rsidRPr="001C0009">
        <w:rPr>
          <w:rStyle w:val="Strong"/>
          <w:b w:val="0"/>
          <w:bCs w:val="0"/>
        </w:rPr>
        <w:t xml:space="preserve"> </w:t>
      </w:r>
      <w:r w:rsidR="00542916" w:rsidRPr="001C0009">
        <w:t>09-25-0014</w:t>
      </w:r>
      <w:r w:rsidR="00127C24">
        <w:t xml:space="preserve"> and the</w:t>
      </w:r>
      <w:r w:rsidR="006E7BA2" w:rsidRPr="001C0009">
        <w:t xml:space="preserve"> </w:t>
      </w:r>
      <w:r w:rsidRPr="001C0009">
        <w:rPr>
          <w:rStyle w:val="Strong"/>
          <w:b w:val="0"/>
          <w:bCs w:val="0"/>
        </w:rPr>
        <w:t>NIH Seni</w:t>
      </w:r>
      <w:r w:rsidR="00127C24">
        <w:rPr>
          <w:rStyle w:val="Strong"/>
          <w:b w:val="0"/>
          <w:bCs w:val="0"/>
        </w:rPr>
        <w:t>or Official for Privacy last approved the</w:t>
      </w:r>
      <w:r w:rsidR="008931BD">
        <w:rPr>
          <w:rStyle w:val="Strong"/>
          <w:b w:val="0"/>
          <w:bCs w:val="0"/>
        </w:rPr>
        <w:t> PIA</w:t>
      </w:r>
      <w:r w:rsidRPr="001C0009">
        <w:rPr>
          <w:rStyle w:val="Strong"/>
          <w:b w:val="0"/>
          <w:bCs w:val="0"/>
        </w:rPr>
        <w:t xml:space="preserve"> </w:t>
      </w:r>
      <w:r w:rsidR="00127C24">
        <w:rPr>
          <w:rStyle w:val="Strong"/>
          <w:b w:val="0"/>
          <w:bCs w:val="0"/>
        </w:rPr>
        <w:t>in February 2012 (at the time of the last OMB Clearance)</w:t>
      </w:r>
      <w:r w:rsidR="00107B1A" w:rsidRPr="001C0009">
        <w:rPr>
          <w:rStyle w:val="Strong"/>
          <w:b w:val="0"/>
          <w:bCs w:val="0"/>
        </w:rPr>
        <w:t>.</w:t>
      </w:r>
      <w:r w:rsidR="00127C24">
        <w:rPr>
          <w:rStyle w:val="Strong"/>
          <w:b w:val="0"/>
          <w:bCs w:val="0"/>
        </w:rPr>
        <w:t xml:space="preserve"> A</w:t>
      </w:r>
      <w:r w:rsidR="00C32EC7">
        <w:rPr>
          <w:rStyle w:val="Strong"/>
          <w:b w:val="0"/>
          <w:bCs w:val="0"/>
        </w:rPr>
        <w:t>n</w:t>
      </w:r>
      <w:r w:rsidR="00127C24">
        <w:rPr>
          <w:rStyle w:val="Strong"/>
          <w:b w:val="0"/>
          <w:bCs w:val="0"/>
        </w:rPr>
        <w:t xml:space="preserve"> </w:t>
      </w:r>
      <w:r w:rsidR="008931BD">
        <w:rPr>
          <w:rStyle w:val="Strong"/>
          <w:b w:val="0"/>
          <w:bCs w:val="0"/>
        </w:rPr>
        <w:t xml:space="preserve">updated </w:t>
      </w:r>
      <w:r w:rsidR="00127C24">
        <w:rPr>
          <w:rStyle w:val="Strong"/>
          <w:b w:val="0"/>
          <w:bCs w:val="0"/>
        </w:rPr>
        <w:t xml:space="preserve">PIA </w:t>
      </w:r>
      <w:r w:rsidR="008931BD">
        <w:rPr>
          <w:rStyle w:val="Strong"/>
          <w:b w:val="0"/>
          <w:bCs w:val="0"/>
        </w:rPr>
        <w:t>was</w:t>
      </w:r>
      <w:r w:rsidR="00F827B1" w:rsidRPr="001C0009">
        <w:rPr>
          <w:rStyle w:val="Strong"/>
          <w:b w:val="0"/>
          <w:bCs w:val="0"/>
        </w:rPr>
        <w:t xml:space="preserve"> </w:t>
      </w:r>
      <w:r w:rsidR="008E5442">
        <w:rPr>
          <w:rStyle w:val="Strong"/>
          <w:b w:val="0"/>
          <w:bCs w:val="0"/>
        </w:rPr>
        <w:t>submitted and in the process of being approved as of February 2016</w:t>
      </w:r>
      <w:r w:rsidR="00F827B1" w:rsidRPr="001C0009">
        <w:rPr>
          <w:rStyle w:val="Strong"/>
          <w:b w:val="0"/>
          <w:bCs w:val="0"/>
        </w:rPr>
        <w:t xml:space="preserve">. </w:t>
      </w:r>
    </w:p>
    <w:p w:rsidR="00DC2074" w:rsidRDefault="00DC2074" w:rsidP="00DC2074">
      <w:pPr>
        <w:pStyle w:val="Default"/>
      </w:pPr>
    </w:p>
    <w:p w:rsidR="00AF58F3" w:rsidRPr="00DC2074" w:rsidRDefault="00AF58F3" w:rsidP="00DC2074">
      <w:pPr>
        <w:pStyle w:val="Default"/>
      </w:pPr>
    </w:p>
    <w:p w:rsidR="00AA3632" w:rsidRDefault="00AA3632">
      <w:pPr>
        <w:pStyle w:val="CM9"/>
        <w:spacing w:line="278" w:lineRule="atLeast"/>
      </w:pPr>
      <w:r>
        <w:rPr>
          <w:b/>
          <w:bCs/>
        </w:rPr>
        <w:t xml:space="preserve">A.4.Efforts </w:t>
      </w:r>
      <w:r w:rsidR="00113C77">
        <w:rPr>
          <w:b/>
          <w:bCs/>
        </w:rPr>
        <w:t>to</w:t>
      </w:r>
      <w:r>
        <w:rPr>
          <w:b/>
          <w:bCs/>
        </w:rPr>
        <w:t xml:space="preserve"> Identify Duplication </w:t>
      </w:r>
    </w:p>
    <w:p w:rsidR="00D11398" w:rsidRDefault="00D11398">
      <w:pPr>
        <w:pStyle w:val="CM9"/>
        <w:spacing w:line="278" w:lineRule="atLeast"/>
      </w:pPr>
      <w:r>
        <w:t>The initial OMB and renewal applications for CareerTrac (2006</w:t>
      </w:r>
      <w:r w:rsidR="001A49C0">
        <w:t>,</w:t>
      </w:r>
      <w:r>
        <w:t xml:space="preserve"> 2009) did not identify any duplicate efforts. The initial system was developed for FIC’s international programs. </w:t>
      </w:r>
      <w:r w:rsidR="00AA3632">
        <w:t xml:space="preserve">International trainees are </w:t>
      </w:r>
      <w:r>
        <w:t xml:space="preserve">still </w:t>
      </w:r>
      <w:r w:rsidR="00AA3632">
        <w:t xml:space="preserve">not tracked in any other system at the NIH. </w:t>
      </w:r>
      <w:r w:rsidR="00AD7C82">
        <w:t xml:space="preserve"> </w:t>
      </w:r>
      <w:r w:rsidR="00AD7C82" w:rsidRPr="00107B1A">
        <w:t xml:space="preserve">Further, the </w:t>
      </w:r>
      <w:r>
        <w:t xml:space="preserve">diverse range of </w:t>
      </w:r>
      <w:r w:rsidR="00AD7C82" w:rsidRPr="00107B1A">
        <w:t xml:space="preserve">long-term </w:t>
      </w:r>
      <w:r>
        <w:t xml:space="preserve">trainee </w:t>
      </w:r>
      <w:r w:rsidR="00E266A1">
        <w:t>outcomes</w:t>
      </w:r>
      <w:r w:rsidR="00AD7C82" w:rsidRPr="00107B1A">
        <w:t>, both domestic and international, are not tracked in any other system at the NIH.</w:t>
      </w:r>
      <w:r w:rsidR="00AD7C82">
        <w:t xml:space="preserve"> </w:t>
      </w:r>
      <w:r w:rsidR="00AF5A1E">
        <w:t xml:space="preserve">Subsequently, databases with overlap have been identified, as described below. </w:t>
      </w:r>
      <w:r w:rsidR="00AD7C82">
        <w:t xml:space="preserve"> </w:t>
      </w:r>
      <w:r w:rsidR="00AA3632">
        <w:t xml:space="preserve"> </w:t>
      </w:r>
    </w:p>
    <w:p w:rsidR="00AA3632" w:rsidRDefault="00454081">
      <w:pPr>
        <w:pStyle w:val="CM9"/>
        <w:spacing w:line="278" w:lineRule="atLeast"/>
      </w:pPr>
      <w:r>
        <w:t xml:space="preserve">Prior to </w:t>
      </w:r>
      <w:r w:rsidR="00D11398">
        <w:t xml:space="preserve">developing CareerTrac, FIC </w:t>
      </w:r>
      <w:r>
        <w:t>found a trainee tracking system at the</w:t>
      </w:r>
      <w:r w:rsidR="00AA3632">
        <w:t xml:space="preserve"> US Agency for International Development (USAID).  </w:t>
      </w:r>
      <w:r>
        <w:t xml:space="preserve">That system served as a model for the original CareerTrac design. </w:t>
      </w:r>
    </w:p>
    <w:p w:rsidR="006E7BA2" w:rsidRPr="00676DFD" w:rsidRDefault="00D11398" w:rsidP="00290698">
      <w:pPr>
        <w:pStyle w:val="Default"/>
      </w:pPr>
      <w:r>
        <w:t>Some NIH</w:t>
      </w:r>
      <w:r w:rsidR="00290698" w:rsidRPr="0024175C">
        <w:t xml:space="preserve"> trainees</w:t>
      </w:r>
      <w:r w:rsidR="006A34B8">
        <w:t xml:space="preserve"> </w:t>
      </w:r>
      <w:r w:rsidR="00290698" w:rsidRPr="0024175C">
        <w:t xml:space="preserve">are tracked during their training </w:t>
      </w:r>
      <w:r>
        <w:t xml:space="preserve">experiences </w:t>
      </w:r>
      <w:r w:rsidR="00290698" w:rsidRPr="0024175C">
        <w:t xml:space="preserve">in IMPAC II. However, very little information about the trainee is maintained in IMPAC II during their training. </w:t>
      </w:r>
      <w:r>
        <w:t>In 2008</w:t>
      </w:r>
      <w:r w:rsidR="00290698" w:rsidRPr="0024175C">
        <w:t>,</w:t>
      </w:r>
      <w:r w:rsidR="00100F18" w:rsidRPr="0024175C">
        <w:t xml:space="preserve"> a </w:t>
      </w:r>
      <w:r w:rsidR="001438F7" w:rsidRPr="0024175C">
        <w:t>t</w:t>
      </w:r>
      <w:r w:rsidR="00100F18" w:rsidRPr="0024175C">
        <w:t xml:space="preserve">raining reporting module was created in IMPAC II to provide reports of trainees during their training (counts, degree type, grant, tuition costs and stipend information is tracked.) Additionally, links to any </w:t>
      </w:r>
      <w:r w:rsidR="00100F18" w:rsidRPr="00676DFD">
        <w:t xml:space="preserve">subsequent grant applications </w:t>
      </w:r>
      <w:r w:rsidR="006E7BA2" w:rsidRPr="00676DFD">
        <w:t xml:space="preserve">and awards </w:t>
      </w:r>
      <w:r w:rsidR="00100F18" w:rsidRPr="00676DFD">
        <w:t xml:space="preserve">are provided, allowing analysis of </w:t>
      </w:r>
      <w:r w:rsidR="006E7BA2" w:rsidRPr="00676DFD">
        <w:t xml:space="preserve">two </w:t>
      </w:r>
      <w:r w:rsidR="00100F18" w:rsidRPr="00676DFD">
        <w:t>measure</w:t>
      </w:r>
      <w:r w:rsidR="00CF6CF2" w:rsidRPr="00676DFD">
        <w:t>s</w:t>
      </w:r>
      <w:r w:rsidR="00100F18" w:rsidRPr="00676DFD">
        <w:t xml:space="preserve"> of trainee success.</w:t>
      </w:r>
      <w:r w:rsidR="00F827B1" w:rsidRPr="00676DFD" w:rsidDel="00F827B1">
        <w:t xml:space="preserve"> </w:t>
      </w:r>
      <w:r w:rsidR="006E7BA2" w:rsidRPr="00676DFD">
        <w:t xml:space="preserve"> </w:t>
      </w:r>
      <w:r w:rsidR="00F827B1" w:rsidRPr="00676DFD">
        <w:t xml:space="preserve">Since the 1970s the IMPAC II system has captured </w:t>
      </w:r>
      <w:r w:rsidR="006E7BA2" w:rsidRPr="00676DFD">
        <w:t>previous education; race, ethnicity; gender; disability; Ph.D. completion</w:t>
      </w:r>
      <w:r w:rsidR="00F827B1" w:rsidRPr="00676DFD">
        <w:t xml:space="preserve">. More recently NIH has begun tracking </w:t>
      </w:r>
      <w:r w:rsidR="006E7BA2" w:rsidRPr="00676DFD">
        <w:t xml:space="preserve">non-PI roles on NIH and other PHS grants. </w:t>
      </w:r>
    </w:p>
    <w:p w:rsidR="00774832" w:rsidRPr="00676DFD" w:rsidRDefault="00774832" w:rsidP="00290698">
      <w:pPr>
        <w:pStyle w:val="Default"/>
      </w:pPr>
    </w:p>
    <w:p w:rsidR="00611925" w:rsidRDefault="00611925" w:rsidP="00290698">
      <w:pPr>
        <w:pStyle w:val="Default"/>
      </w:pPr>
      <w:r w:rsidRPr="00676DFD">
        <w:t xml:space="preserve">PI’s of institutional training grants (T32s) are required to track trainees for the previous </w:t>
      </w:r>
      <w:r>
        <w:t>15</w:t>
      </w:r>
      <w:r w:rsidRPr="00676DFD">
        <w:t xml:space="preserve"> years</w:t>
      </w:r>
      <w:r w:rsidR="00454081">
        <w:t xml:space="preserve"> (this policy was recently increased from 10 years)</w:t>
      </w:r>
      <w:r>
        <w:t>.</w:t>
      </w:r>
      <w:r w:rsidRPr="00676DFD">
        <w:t xml:space="preserve"> </w:t>
      </w:r>
      <w:r>
        <w:t xml:space="preserve">When CareerTrac was created, PIs submitted required data </w:t>
      </w:r>
      <w:r w:rsidRPr="00676DFD">
        <w:t xml:space="preserve">as a </w:t>
      </w:r>
      <w:r>
        <w:t xml:space="preserve">table embedded in a </w:t>
      </w:r>
      <w:r w:rsidRPr="00676DFD">
        <w:t>PDF</w:t>
      </w:r>
      <w:r>
        <w:t xml:space="preserve">, which did not allow any systematic analysis or facilitate evaluation. </w:t>
      </w:r>
      <w:r w:rsidRPr="00676DFD">
        <w:t>CareerTrac provide</w:t>
      </w:r>
      <w:r>
        <w:t>d</w:t>
      </w:r>
      <w:r w:rsidRPr="00676DFD">
        <w:t xml:space="preserve"> PI</w:t>
      </w:r>
      <w:r>
        <w:t>’s with a system that tracked</w:t>
      </w:r>
      <w:r w:rsidRPr="00676DFD">
        <w:t xml:space="preserve"> their trainees in a way that </w:t>
      </w:r>
      <w:r>
        <w:t xml:space="preserve">we could </w:t>
      </w:r>
      <w:r w:rsidRPr="00676DFD">
        <w:t xml:space="preserve">analyze the data much more efficiently. CareerTrac allows NIH to track </w:t>
      </w:r>
      <w:r w:rsidR="001D2576">
        <w:t>an expanded set of outcomes beyond research faculty appointment</w:t>
      </w:r>
      <w:r w:rsidRPr="00676DFD">
        <w:t>, such as working in a non PI capacity in academia, in a government science, health or regulatory agency, or in a related industry. Other outcome metrics related to non-NIH fellowships, patents, policies and publications can be captured easily in CareerTrac</w:t>
      </w:r>
      <w:r>
        <w:t>.</w:t>
      </w:r>
    </w:p>
    <w:p w:rsidR="00611925" w:rsidRDefault="00611925" w:rsidP="00290698">
      <w:pPr>
        <w:pStyle w:val="Default"/>
      </w:pPr>
    </w:p>
    <w:p w:rsidR="00290698" w:rsidRDefault="00100F18" w:rsidP="00290698">
      <w:pPr>
        <w:pStyle w:val="Default"/>
      </w:pPr>
      <w:r w:rsidRPr="00676DFD">
        <w:t xml:space="preserve">CareerTrac is designed to integrate with existing IMPAC II </w:t>
      </w:r>
      <w:r w:rsidR="00B26BC2" w:rsidRPr="00676DFD">
        <w:t xml:space="preserve">data </w:t>
      </w:r>
      <w:r w:rsidRPr="00676DFD">
        <w:t>as much as possible, and provide an opportunity to collect new, relevant trainee outcome data.</w:t>
      </w:r>
      <w:r w:rsidR="00774832" w:rsidRPr="00676DFD">
        <w:t xml:space="preserve"> </w:t>
      </w:r>
      <w:r w:rsidR="005802FB" w:rsidRPr="00676DFD">
        <w:t xml:space="preserve">CareerTrac </w:t>
      </w:r>
      <w:proofErr w:type="gramStart"/>
      <w:r w:rsidR="005802FB" w:rsidRPr="00676DFD">
        <w:t>staff are</w:t>
      </w:r>
      <w:proofErr w:type="gramEnd"/>
      <w:r w:rsidR="005802FB" w:rsidRPr="00676DFD">
        <w:t xml:space="preserve"> making every effort to ensure that any </w:t>
      </w:r>
      <w:r w:rsidR="00774832" w:rsidRPr="00676DFD">
        <w:t xml:space="preserve">existing data stored in IMPAC II are automatically populated into CareerTrac. </w:t>
      </w:r>
      <w:r w:rsidR="001D2576" w:rsidRPr="00676DFD">
        <w:t xml:space="preserve">CareerTrac substantially reduces effort on the part of NRSA PIs, who currently have to maintain data that can be readily extracted from IMPAC II in external spreadsheets that require cumbersome manual updates.  </w:t>
      </w:r>
      <w:r w:rsidR="005802FB" w:rsidRPr="00676DFD">
        <w:t xml:space="preserve">The goal is to reduce duplication of effort as much as possible, without sharing data inappropriately across platforms. </w:t>
      </w:r>
    </w:p>
    <w:p w:rsidR="009403FF" w:rsidRDefault="009403FF" w:rsidP="00290698">
      <w:pPr>
        <w:pStyle w:val="Default"/>
      </w:pPr>
    </w:p>
    <w:p w:rsidR="000A6E98" w:rsidRDefault="0040533D">
      <w:r w:rsidRPr="0040533D">
        <w:rPr>
          <w:highlight w:val="yellow"/>
        </w:rPr>
        <w:lastRenderedPageBreak/>
        <w:t>CareerTrac has overlap with three different databases, as described below</w:t>
      </w:r>
      <w:r w:rsidR="00237D6C">
        <w:rPr>
          <w:highlight w:val="yellow"/>
        </w:rPr>
        <w:t xml:space="preserve"> (see Exhibit 1)</w:t>
      </w:r>
      <w:r w:rsidRPr="0040533D">
        <w:rPr>
          <w:highlight w:val="yellow"/>
        </w:rPr>
        <w:t>:</w:t>
      </w:r>
      <w:r>
        <w:t xml:space="preserve"> </w:t>
      </w:r>
    </w:p>
    <w:p w:rsidR="00611925" w:rsidRDefault="00611925">
      <w:pPr>
        <w:rPr>
          <w:color w:val="000000"/>
        </w:rPr>
      </w:pPr>
    </w:p>
    <w:p w:rsidR="00052486" w:rsidRPr="00676DFD" w:rsidRDefault="0040533D" w:rsidP="00290698">
      <w:pPr>
        <w:pStyle w:val="Default"/>
      </w:pPr>
      <w:r>
        <w:t xml:space="preserve">In roughly 2010, </w:t>
      </w:r>
      <w:r w:rsidR="00611925">
        <w:t>t</w:t>
      </w:r>
      <w:r w:rsidR="00052486" w:rsidRPr="00676DFD">
        <w:t xml:space="preserve">he National Institute of Neurological Disorders and Stroke (NINDS) developed a data collection tool that assists Institutional Training Grant Directors (the “T32 program”) in collecting and storing the data needed to complete Tables required for applications, progress reports and competitive renewals. </w:t>
      </w:r>
      <w:r w:rsidR="0023236F" w:rsidRPr="0023236F">
        <w:rPr>
          <w:highlight w:val="yellow"/>
        </w:rPr>
        <w:t>TTS has been retired.</w:t>
      </w:r>
      <w:r w:rsidR="0023236F">
        <w:t xml:space="preserve"> </w:t>
      </w:r>
    </w:p>
    <w:p w:rsidR="00275AB4" w:rsidRPr="00676DFD" w:rsidRDefault="00275AB4" w:rsidP="00290698">
      <w:pPr>
        <w:pStyle w:val="Default"/>
      </w:pPr>
    </w:p>
    <w:p w:rsidR="005802FB" w:rsidRPr="00676DFD" w:rsidRDefault="000A6E98" w:rsidP="005802FB">
      <w:pPr>
        <w:pStyle w:val="Default"/>
      </w:pPr>
      <w:r w:rsidRPr="00611925">
        <w:t>In 2011</w:t>
      </w:r>
      <w:r w:rsidR="005802FB" w:rsidRPr="00611925">
        <w:t xml:space="preserve">, a </w:t>
      </w:r>
      <w:r w:rsidR="0001720F" w:rsidRPr="00611925">
        <w:t xml:space="preserve">database </w:t>
      </w:r>
      <w:r w:rsidRPr="00611925">
        <w:t>was</w:t>
      </w:r>
      <w:r w:rsidR="0001720F" w:rsidRPr="00611925">
        <w:t xml:space="preserve"> developed by the NIH Office of Intramural Training and Education</w:t>
      </w:r>
      <w:r w:rsidR="005802FB" w:rsidRPr="00611925">
        <w:t xml:space="preserve"> to track NIH trainees from multiple Institutes and Centers</w:t>
      </w:r>
      <w:r w:rsidR="0001720F" w:rsidRPr="00611925">
        <w:t>. This Trainee Alumni Database (OMB No. 0925-0299, Expiration Date 0</w:t>
      </w:r>
      <w:r w:rsidRPr="00611925">
        <w:t>8</w:t>
      </w:r>
      <w:r w:rsidR="0001720F" w:rsidRPr="00611925">
        <w:t>/31/201</w:t>
      </w:r>
      <w:r w:rsidRPr="00611925">
        <w:t>6</w:t>
      </w:r>
      <w:r w:rsidR="0001720F" w:rsidRPr="00611925">
        <w:t>) encourages</w:t>
      </w:r>
      <w:r w:rsidR="0001720F" w:rsidRPr="00676DFD">
        <w:t xml:space="preserve"> trainees to </w:t>
      </w:r>
      <w:r w:rsidR="005802FB" w:rsidRPr="00676DFD">
        <w:t xml:space="preserve">voluntarily </w:t>
      </w:r>
      <w:r w:rsidR="0001720F" w:rsidRPr="00676DFD">
        <w:t xml:space="preserve">provide contact information, NIH training history, education and employment information. </w:t>
      </w:r>
      <w:r w:rsidR="0040533D" w:rsidRPr="0040533D">
        <w:rPr>
          <w:highlight w:val="yellow"/>
        </w:rPr>
        <w:t>As of 2015, the alumni database is still operational and remains substantially different from CareerTrac.</w:t>
      </w:r>
      <w:r w:rsidR="0040533D">
        <w:t xml:space="preserve"> </w:t>
      </w:r>
    </w:p>
    <w:p w:rsidR="00D36224" w:rsidRDefault="00D36224" w:rsidP="005802FB">
      <w:pPr>
        <w:pStyle w:val="Default"/>
      </w:pPr>
    </w:p>
    <w:p w:rsidR="00611925" w:rsidRDefault="00611925" w:rsidP="005802FB">
      <w:pPr>
        <w:pStyle w:val="Default"/>
      </w:pPr>
    </w:p>
    <w:p w:rsidR="00611925" w:rsidRPr="001D061A" w:rsidRDefault="00EB2FE0" w:rsidP="005802FB">
      <w:pPr>
        <w:pStyle w:val="Default"/>
        <w:rPr>
          <w:b/>
        </w:rPr>
      </w:pPr>
      <w:proofErr w:type="gramStart"/>
      <w:r w:rsidRPr="001D061A">
        <w:rPr>
          <w:b/>
        </w:rPr>
        <w:t>Ex</w:t>
      </w:r>
      <w:r w:rsidR="00237D6C" w:rsidRPr="001D061A">
        <w:rPr>
          <w:b/>
        </w:rPr>
        <w:t>hibit</w:t>
      </w:r>
      <w:r w:rsidR="001D061A">
        <w:rPr>
          <w:b/>
        </w:rPr>
        <w:t xml:space="preserve"> </w:t>
      </w:r>
      <w:r w:rsidRPr="001D061A">
        <w:rPr>
          <w:b/>
        </w:rPr>
        <w:t>1</w:t>
      </w:r>
      <w:r w:rsidR="00237D6C" w:rsidRPr="001D061A">
        <w:rPr>
          <w:b/>
        </w:rPr>
        <w:t>.</w:t>
      </w:r>
      <w:proofErr w:type="gramEnd"/>
    </w:p>
    <w:tbl>
      <w:tblPr>
        <w:tblW w:w="0" w:type="auto"/>
        <w:tblCellMar>
          <w:left w:w="0" w:type="dxa"/>
          <w:right w:w="0" w:type="dxa"/>
        </w:tblCellMar>
        <w:tblLook w:val="04A0" w:firstRow="1" w:lastRow="0" w:firstColumn="1" w:lastColumn="0" w:noHBand="0" w:noVBand="1"/>
      </w:tblPr>
      <w:tblGrid>
        <w:gridCol w:w="2538"/>
        <w:gridCol w:w="2880"/>
        <w:gridCol w:w="3978"/>
      </w:tblGrid>
      <w:tr w:rsidR="005802FB" w:rsidRPr="00676DFD" w:rsidTr="00E418FF">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b/>
                <w:bCs/>
                <w:sz w:val="22"/>
              </w:rPr>
            </w:pPr>
            <w:r w:rsidRPr="00676DFD">
              <w:rPr>
                <w:b/>
                <w:bCs/>
                <w:sz w:val="22"/>
              </w:rPr>
              <w:t>Difference</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b/>
                <w:bCs/>
                <w:sz w:val="22"/>
              </w:rPr>
            </w:pPr>
            <w:r w:rsidRPr="00676DFD">
              <w:rPr>
                <w:b/>
                <w:bCs/>
                <w:sz w:val="22"/>
              </w:rPr>
              <w:t>NIH Alumni Database</w:t>
            </w:r>
          </w:p>
        </w:tc>
        <w:tc>
          <w:tcPr>
            <w:tcW w:w="3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b/>
                <w:bCs/>
                <w:sz w:val="22"/>
              </w:rPr>
            </w:pPr>
            <w:r w:rsidRPr="00676DFD">
              <w:rPr>
                <w:b/>
                <w:bCs/>
                <w:sz w:val="22"/>
              </w:rPr>
              <w:t>CareerTrac</w:t>
            </w:r>
          </w:p>
        </w:tc>
      </w:tr>
      <w:tr w:rsidR="005802FB" w:rsidRPr="00676DFD" w:rsidTr="00E418F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bCs/>
                <w:sz w:val="22"/>
              </w:rPr>
            </w:pPr>
            <w:r w:rsidRPr="00676DFD">
              <w:rPr>
                <w:bCs/>
                <w:sz w:val="22"/>
              </w:rPr>
              <w:t>Data source</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sz w:val="22"/>
              </w:rPr>
            </w:pPr>
            <w:r w:rsidRPr="00676DFD">
              <w:rPr>
                <w:sz w:val="22"/>
              </w:rPr>
              <w:t>Former/Current Trainees enter data into database (voluntary)</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sz w:val="22"/>
              </w:rPr>
            </w:pPr>
            <w:r w:rsidRPr="00676DFD">
              <w:rPr>
                <w:sz w:val="22"/>
              </w:rPr>
              <w:t xml:space="preserve">Pulls data from existing personnel records. Intramural PIs enter information on behalf of trainees. </w:t>
            </w:r>
          </w:p>
        </w:tc>
      </w:tr>
      <w:tr w:rsidR="005802FB" w:rsidRPr="00676DFD" w:rsidTr="00E418F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bCs/>
                <w:sz w:val="22"/>
              </w:rPr>
            </w:pPr>
            <w:r w:rsidRPr="00676DFD">
              <w:rPr>
                <w:bCs/>
                <w:sz w:val="22"/>
              </w:rPr>
              <w:t>Outcome/Achievements</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802FB" w:rsidRPr="00676DFD" w:rsidRDefault="005802FB" w:rsidP="00D36224">
            <w:pPr>
              <w:spacing w:line="276" w:lineRule="auto"/>
              <w:rPr>
                <w:rFonts w:eastAsia="Calibri"/>
                <w:sz w:val="22"/>
              </w:rPr>
            </w:pPr>
            <w:r w:rsidRPr="00676DFD">
              <w:rPr>
                <w:sz w:val="22"/>
              </w:rPr>
              <w:t>Captures employment, subsequent education and networking contact information</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5802FB" w:rsidRPr="00676DFD" w:rsidRDefault="00D36224" w:rsidP="00D36224">
            <w:pPr>
              <w:spacing w:line="276" w:lineRule="auto"/>
              <w:rPr>
                <w:rFonts w:eastAsia="Calibri"/>
                <w:sz w:val="22"/>
              </w:rPr>
            </w:pPr>
            <w:r w:rsidRPr="00676DFD">
              <w:rPr>
                <w:sz w:val="22"/>
              </w:rPr>
              <w:t xml:space="preserve">Additionally captures other outcomes such as publications, fellowships, and narrative accounts of training impacts. CareerTrac is also hoping to link trainees to subsequent applications and awards sought by linking them to data in IMPAC II. </w:t>
            </w:r>
          </w:p>
        </w:tc>
      </w:tr>
      <w:tr w:rsidR="005802FB" w:rsidRPr="00676DFD" w:rsidTr="00E418F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02FB" w:rsidRPr="00676DFD" w:rsidRDefault="00D36224" w:rsidP="00D36224">
            <w:pPr>
              <w:spacing w:line="276" w:lineRule="auto"/>
              <w:rPr>
                <w:rFonts w:eastAsia="Calibri"/>
                <w:bCs/>
                <w:sz w:val="22"/>
              </w:rPr>
            </w:pPr>
            <w:r w:rsidRPr="00676DFD">
              <w:rPr>
                <w:bCs/>
                <w:sz w:val="22"/>
              </w:rPr>
              <w:t>Scope</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5802FB" w:rsidRPr="00676DFD" w:rsidRDefault="00D36224" w:rsidP="00D36224">
            <w:pPr>
              <w:pStyle w:val="Default"/>
              <w:rPr>
                <w:rFonts w:eastAsia="Calibri"/>
                <w:color w:val="auto"/>
                <w:sz w:val="22"/>
              </w:rPr>
            </w:pPr>
            <w:r w:rsidRPr="00676DFD">
              <w:rPr>
                <w:rFonts w:eastAsia="Calibri"/>
                <w:color w:val="auto"/>
                <w:sz w:val="22"/>
              </w:rPr>
              <w:t xml:space="preserve">Is designed for intramural fellows, no extramural training alumni captured. </w:t>
            </w:r>
          </w:p>
          <w:p w:rsidR="005802FB" w:rsidRPr="00676DFD" w:rsidRDefault="005802FB" w:rsidP="00D36224">
            <w:pPr>
              <w:spacing w:line="276" w:lineRule="auto"/>
              <w:rPr>
                <w:rFonts w:eastAsia="Calibri"/>
                <w:sz w:val="22"/>
              </w:rPr>
            </w:pP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5802FB" w:rsidRPr="00676DFD" w:rsidRDefault="00D36224" w:rsidP="00D36224">
            <w:pPr>
              <w:spacing w:line="276" w:lineRule="auto"/>
              <w:rPr>
                <w:rFonts w:eastAsia="Calibri"/>
                <w:sz w:val="22"/>
              </w:rPr>
            </w:pPr>
            <w:r w:rsidRPr="00676DFD">
              <w:rPr>
                <w:sz w:val="22"/>
              </w:rPr>
              <w:t xml:space="preserve">Allows NIEHS to analyze and report achievements across all its trainee programs in a single integrated database, giving us unprecedented information to evaluate our training programs as a whole. </w:t>
            </w:r>
          </w:p>
        </w:tc>
      </w:tr>
    </w:tbl>
    <w:p w:rsidR="005802FB" w:rsidRDefault="005802FB" w:rsidP="005802FB">
      <w:pPr>
        <w:pStyle w:val="Default"/>
      </w:pPr>
    </w:p>
    <w:p w:rsidR="000A6E98" w:rsidRPr="00676DFD" w:rsidRDefault="000A6E98" w:rsidP="005802FB">
      <w:pPr>
        <w:pStyle w:val="Default"/>
      </w:pPr>
    </w:p>
    <w:p w:rsidR="000A6E98" w:rsidRDefault="000A6E98" w:rsidP="000A6E98">
      <w:pPr>
        <w:rPr>
          <w:color w:val="000000" w:themeColor="text1"/>
        </w:rPr>
      </w:pPr>
      <w:r>
        <w:rPr>
          <w:highlight w:val="yellow"/>
        </w:rPr>
        <w:t>In 2014, t</w:t>
      </w:r>
      <w:r w:rsidRPr="009403FF">
        <w:rPr>
          <w:highlight w:val="yellow"/>
        </w:rPr>
        <w:t xml:space="preserve">he </w:t>
      </w:r>
      <w:r>
        <w:rPr>
          <w:highlight w:val="yellow"/>
        </w:rPr>
        <w:t xml:space="preserve">NIH </w:t>
      </w:r>
      <w:r w:rsidRPr="009403FF">
        <w:rPr>
          <w:highlight w:val="yellow"/>
        </w:rPr>
        <w:t xml:space="preserve">Office of Extramural Research (OER) </w:t>
      </w:r>
      <w:r>
        <w:rPr>
          <w:highlight w:val="yellow"/>
        </w:rPr>
        <w:t xml:space="preserve">initiated an OMB renewal request for </w:t>
      </w:r>
      <w:r w:rsidR="00AF5816">
        <w:rPr>
          <w:highlight w:val="yellow"/>
        </w:rPr>
        <w:t xml:space="preserve">applications and </w:t>
      </w:r>
      <w:r>
        <w:rPr>
          <w:highlight w:val="yellow"/>
        </w:rPr>
        <w:t xml:space="preserve">progress reports </w:t>
      </w:r>
      <w:r w:rsidRPr="0001182E">
        <w:rPr>
          <w:highlight w:val="yellow"/>
        </w:rPr>
        <w:t>(</w:t>
      </w:r>
      <w:r w:rsidR="00454081" w:rsidRPr="0001182E">
        <w:rPr>
          <w:highlight w:val="yellow"/>
        </w:rPr>
        <w:t xml:space="preserve">OMB </w:t>
      </w:r>
      <w:r w:rsidR="0001182E" w:rsidRPr="0001182E">
        <w:rPr>
          <w:highlight w:val="yellow"/>
        </w:rPr>
        <w:t xml:space="preserve">0925-0001 and </w:t>
      </w:r>
      <w:r w:rsidR="00454081" w:rsidRPr="0001182E">
        <w:rPr>
          <w:highlight w:val="yellow"/>
        </w:rPr>
        <w:t>0925-0002</w:t>
      </w:r>
      <w:r w:rsidR="0001182E" w:rsidRPr="0001182E">
        <w:rPr>
          <w:highlight w:val="yellow"/>
        </w:rPr>
        <w:t xml:space="preserve">, expiring </w:t>
      </w:r>
      <w:r w:rsidR="00454081" w:rsidRPr="0001182E">
        <w:rPr>
          <w:highlight w:val="yellow"/>
        </w:rPr>
        <w:t>10/31/2018</w:t>
      </w:r>
      <w:r w:rsidR="0001182E" w:rsidRPr="0001182E">
        <w:rPr>
          <w:highlight w:val="yellow"/>
        </w:rPr>
        <w:t>).</w:t>
      </w:r>
      <w:r>
        <w:rPr>
          <w:highlight w:val="yellow"/>
        </w:rPr>
        <w:t xml:space="preserve"> The request covers revised data tables that applicants and grantees need to submit</w:t>
      </w:r>
      <w:r w:rsidRPr="00DE1AFA">
        <w:rPr>
          <w:highlight w:val="yellow"/>
        </w:rPr>
        <w:t xml:space="preserve"> </w:t>
      </w:r>
      <w:r>
        <w:rPr>
          <w:highlight w:val="yellow"/>
        </w:rPr>
        <w:t>for certain kinds of trainees</w:t>
      </w:r>
      <w:r w:rsidR="00611925">
        <w:rPr>
          <w:highlight w:val="yellow"/>
        </w:rPr>
        <w:t xml:space="preserve"> supported by NIH</w:t>
      </w:r>
      <w:r>
        <w:rPr>
          <w:highlight w:val="yellow"/>
        </w:rPr>
        <w:t xml:space="preserve">. Included in the request is a new system called </w:t>
      </w:r>
      <w:proofErr w:type="spellStart"/>
      <w:r>
        <w:rPr>
          <w:highlight w:val="yellow"/>
        </w:rPr>
        <w:t>xTRACT</w:t>
      </w:r>
      <w:proofErr w:type="spellEnd"/>
      <w:r w:rsidRPr="009403FF">
        <w:rPr>
          <w:highlight w:val="yellow"/>
        </w:rPr>
        <w:t xml:space="preserve">, </w:t>
      </w:r>
      <w:r>
        <w:rPr>
          <w:highlight w:val="yellow"/>
        </w:rPr>
        <w:t>which provides the option of collecting training</w:t>
      </w:r>
      <w:r w:rsidR="0040533D">
        <w:rPr>
          <w:highlight w:val="yellow"/>
        </w:rPr>
        <w:t>-related</w:t>
      </w:r>
      <w:r>
        <w:rPr>
          <w:highlight w:val="yellow"/>
        </w:rPr>
        <w:t xml:space="preserve"> </w:t>
      </w:r>
      <w:r w:rsidR="0040533D">
        <w:rPr>
          <w:highlight w:val="yellow"/>
        </w:rPr>
        <w:t xml:space="preserve">data </w:t>
      </w:r>
      <w:r>
        <w:rPr>
          <w:highlight w:val="yellow"/>
        </w:rPr>
        <w:t xml:space="preserve">for applications and progress reports electronically. </w:t>
      </w:r>
      <w:proofErr w:type="spellStart"/>
      <w:proofErr w:type="gramStart"/>
      <w:r>
        <w:rPr>
          <w:highlight w:val="yellow"/>
        </w:rPr>
        <w:t>xTRACT</w:t>
      </w:r>
      <w:proofErr w:type="spellEnd"/>
      <w:proofErr w:type="gramEnd"/>
      <w:r>
        <w:rPr>
          <w:highlight w:val="yellow"/>
        </w:rPr>
        <w:t xml:space="preserve"> primarily </w:t>
      </w:r>
      <w:r w:rsidRPr="009403FF">
        <w:rPr>
          <w:color w:val="000000" w:themeColor="text1"/>
          <w:highlight w:val="yellow"/>
        </w:rPr>
        <w:t>facilitate</w:t>
      </w:r>
      <w:r>
        <w:rPr>
          <w:color w:val="000000" w:themeColor="text1"/>
          <w:highlight w:val="yellow"/>
        </w:rPr>
        <w:t>s completion of</w:t>
      </w:r>
      <w:r w:rsidRPr="009403FF">
        <w:rPr>
          <w:color w:val="000000" w:themeColor="text1"/>
          <w:highlight w:val="yellow"/>
        </w:rPr>
        <w:t xml:space="preserve"> the training grant application</w:t>
      </w:r>
      <w:r>
        <w:rPr>
          <w:color w:val="000000" w:themeColor="text1"/>
          <w:highlight w:val="yellow"/>
        </w:rPr>
        <w:t>/progress report</w:t>
      </w:r>
      <w:r w:rsidRPr="009403FF">
        <w:rPr>
          <w:color w:val="000000" w:themeColor="text1"/>
          <w:highlight w:val="yellow"/>
        </w:rPr>
        <w:t xml:space="preserve"> tables</w:t>
      </w:r>
      <w:r w:rsidRPr="009403FF">
        <w:rPr>
          <w:highlight w:val="yellow"/>
        </w:rPr>
        <w:t xml:space="preserve">. </w:t>
      </w:r>
      <w:r w:rsidR="00E418FF">
        <w:rPr>
          <w:highlight w:val="yellow"/>
        </w:rPr>
        <w:t xml:space="preserve">The CareerTrac partners </w:t>
      </w:r>
      <w:r w:rsidR="00611925">
        <w:rPr>
          <w:highlight w:val="yellow"/>
        </w:rPr>
        <w:t xml:space="preserve">participated in the design of </w:t>
      </w:r>
      <w:proofErr w:type="spellStart"/>
      <w:r w:rsidR="00611925">
        <w:rPr>
          <w:highlight w:val="yellow"/>
        </w:rPr>
        <w:t>xTRACT</w:t>
      </w:r>
      <w:proofErr w:type="spellEnd"/>
      <w:r w:rsidR="00611925">
        <w:rPr>
          <w:highlight w:val="yellow"/>
        </w:rPr>
        <w:t xml:space="preserve"> and </w:t>
      </w:r>
      <w:r w:rsidR="00E418FF">
        <w:rPr>
          <w:highlight w:val="yellow"/>
        </w:rPr>
        <w:t xml:space="preserve">are </w:t>
      </w:r>
      <w:r w:rsidRPr="009403FF">
        <w:rPr>
          <w:highlight w:val="yellow"/>
        </w:rPr>
        <w:t xml:space="preserve">working closely with OER to ensure that there is no duplicate data collection. Any data that the new </w:t>
      </w:r>
      <w:proofErr w:type="spellStart"/>
      <w:r w:rsidR="00E418FF">
        <w:rPr>
          <w:highlight w:val="yellow"/>
        </w:rPr>
        <w:t>xTRACT</w:t>
      </w:r>
      <w:proofErr w:type="spellEnd"/>
      <w:r w:rsidR="00E418FF">
        <w:rPr>
          <w:highlight w:val="yellow"/>
        </w:rPr>
        <w:t xml:space="preserve"> </w:t>
      </w:r>
      <w:r w:rsidRPr="009403FF">
        <w:rPr>
          <w:highlight w:val="yellow"/>
        </w:rPr>
        <w:t xml:space="preserve">system </w:t>
      </w:r>
      <w:r w:rsidR="0040533D">
        <w:rPr>
          <w:highlight w:val="yellow"/>
        </w:rPr>
        <w:t xml:space="preserve">will </w:t>
      </w:r>
      <w:r w:rsidR="00611925">
        <w:rPr>
          <w:highlight w:val="yellow"/>
        </w:rPr>
        <w:t>collect</w:t>
      </w:r>
      <w:r w:rsidRPr="009403FF">
        <w:rPr>
          <w:highlight w:val="yellow"/>
        </w:rPr>
        <w:t xml:space="preserve"> that is </w:t>
      </w:r>
      <w:r w:rsidR="0040533D">
        <w:rPr>
          <w:highlight w:val="yellow"/>
        </w:rPr>
        <w:t xml:space="preserve">currently </w:t>
      </w:r>
      <w:r w:rsidRPr="009403FF">
        <w:rPr>
          <w:highlight w:val="yellow"/>
        </w:rPr>
        <w:t>collected in CareerTrac</w:t>
      </w:r>
      <w:r w:rsidR="00611925">
        <w:rPr>
          <w:highlight w:val="yellow"/>
        </w:rPr>
        <w:t>,</w:t>
      </w:r>
      <w:r w:rsidRPr="009403FF">
        <w:rPr>
          <w:highlight w:val="yellow"/>
        </w:rPr>
        <w:t xml:space="preserve"> will be phased out of the CareerTrac data collection system </w:t>
      </w:r>
      <w:r w:rsidR="0040533D">
        <w:rPr>
          <w:highlight w:val="yellow"/>
        </w:rPr>
        <w:t xml:space="preserve">after </w:t>
      </w:r>
      <w:proofErr w:type="spellStart"/>
      <w:r w:rsidR="00E418FF">
        <w:rPr>
          <w:highlight w:val="yellow"/>
        </w:rPr>
        <w:t>xTRACT</w:t>
      </w:r>
      <w:proofErr w:type="spellEnd"/>
      <w:r w:rsidR="00E418FF">
        <w:rPr>
          <w:highlight w:val="yellow"/>
        </w:rPr>
        <w:t xml:space="preserve"> </w:t>
      </w:r>
      <w:r w:rsidRPr="009403FF">
        <w:rPr>
          <w:highlight w:val="yellow"/>
        </w:rPr>
        <w:t xml:space="preserve">is fully launched. These data will include information on </w:t>
      </w:r>
      <w:r w:rsidRPr="009403FF">
        <w:rPr>
          <w:color w:val="000000" w:themeColor="text1"/>
          <w:highlight w:val="yellow"/>
        </w:rPr>
        <w:t xml:space="preserve">Publications, Mentor, Project Title, Employment, </w:t>
      </w:r>
      <w:r w:rsidRPr="009403FF">
        <w:rPr>
          <w:color w:val="000000" w:themeColor="text1"/>
          <w:highlight w:val="yellow"/>
        </w:rPr>
        <w:lastRenderedPageBreak/>
        <w:t xml:space="preserve">Education/Prior Degree Info, and Source of </w:t>
      </w:r>
      <w:r w:rsidRPr="0040533D">
        <w:rPr>
          <w:color w:val="000000" w:themeColor="text1"/>
          <w:highlight w:val="yellow"/>
        </w:rPr>
        <w:t>support.</w:t>
      </w:r>
      <w:r w:rsidR="0040533D" w:rsidRPr="0040533D">
        <w:rPr>
          <w:color w:val="000000" w:themeColor="text1"/>
          <w:highlight w:val="yellow"/>
        </w:rPr>
        <w:t xml:space="preserve"> Unique outcome data will continue to be collected in CareerTrac.</w:t>
      </w:r>
      <w:r w:rsidR="0040533D">
        <w:rPr>
          <w:color w:val="000000" w:themeColor="text1"/>
        </w:rPr>
        <w:t xml:space="preserve"> </w:t>
      </w:r>
    </w:p>
    <w:p w:rsidR="006777E0" w:rsidRDefault="006777E0" w:rsidP="000A6E98">
      <w:pPr>
        <w:rPr>
          <w:color w:val="000000" w:themeColor="text1"/>
        </w:rPr>
      </w:pPr>
    </w:p>
    <w:p w:rsidR="006777E0" w:rsidRDefault="006777E0" w:rsidP="000A6E98">
      <w:pPr>
        <w:rPr>
          <w:color w:val="000000" w:themeColor="text1"/>
        </w:rPr>
      </w:pPr>
      <w:r w:rsidRPr="006777E0">
        <w:rPr>
          <w:color w:val="000000" w:themeColor="text1"/>
          <w:highlight w:val="yellow"/>
        </w:rPr>
        <w:t>Key system differences are described in below</w:t>
      </w:r>
      <w:r w:rsidR="001D061A">
        <w:rPr>
          <w:color w:val="000000" w:themeColor="text1"/>
          <w:highlight w:val="yellow"/>
        </w:rPr>
        <w:t xml:space="preserve"> (see Exhibit 2)</w:t>
      </w:r>
      <w:r w:rsidRPr="006777E0">
        <w:rPr>
          <w:color w:val="000000" w:themeColor="text1"/>
          <w:highlight w:val="yellow"/>
        </w:rPr>
        <w:t>:</w:t>
      </w:r>
      <w:r>
        <w:rPr>
          <w:color w:val="000000" w:themeColor="text1"/>
        </w:rPr>
        <w:t xml:space="preserve"> </w:t>
      </w:r>
    </w:p>
    <w:p w:rsidR="00EB2FE0" w:rsidRDefault="00EB2FE0" w:rsidP="000A6E98"/>
    <w:p w:rsidR="00EB2FE0" w:rsidRPr="001D061A" w:rsidRDefault="00EB2FE0" w:rsidP="000A6E98">
      <w:pPr>
        <w:rPr>
          <w:b/>
        </w:rPr>
      </w:pPr>
      <w:proofErr w:type="gramStart"/>
      <w:r w:rsidRPr="001D061A">
        <w:rPr>
          <w:b/>
        </w:rPr>
        <w:t>Exhibit 2</w:t>
      </w:r>
      <w:r w:rsidR="001D061A" w:rsidRPr="001D061A">
        <w:rPr>
          <w:b/>
        </w:rPr>
        <w:t>.</w:t>
      </w:r>
      <w:proofErr w:type="gramEnd"/>
    </w:p>
    <w:tbl>
      <w:tblPr>
        <w:tblW w:w="0" w:type="auto"/>
        <w:tblCellMar>
          <w:left w:w="0" w:type="dxa"/>
          <w:right w:w="0" w:type="dxa"/>
        </w:tblCellMar>
        <w:tblLook w:val="04A0" w:firstRow="1" w:lastRow="0" w:firstColumn="1" w:lastColumn="0" w:noHBand="0" w:noVBand="1"/>
      </w:tblPr>
      <w:tblGrid>
        <w:gridCol w:w="2342"/>
        <w:gridCol w:w="2947"/>
        <w:gridCol w:w="4107"/>
      </w:tblGrid>
      <w:tr w:rsidR="00E418FF" w:rsidRPr="00676DFD" w:rsidTr="0001182E">
        <w:trPr>
          <w:tblHeader/>
        </w:trPr>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18FF" w:rsidRPr="006777E0" w:rsidRDefault="00E418FF" w:rsidP="00585BF8">
            <w:pPr>
              <w:spacing w:line="276" w:lineRule="auto"/>
              <w:rPr>
                <w:rFonts w:eastAsia="Calibri"/>
                <w:b/>
                <w:bCs/>
                <w:sz w:val="22"/>
                <w:highlight w:val="yellow"/>
              </w:rPr>
            </w:pPr>
            <w:r w:rsidRPr="006777E0">
              <w:rPr>
                <w:b/>
                <w:bCs/>
                <w:sz w:val="22"/>
                <w:highlight w:val="yellow"/>
              </w:rPr>
              <w:t>Difference</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FF" w:rsidRPr="006777E0" w:rsidRDefault="00E418FF" w:rsidP="00585BF8">
            <w:pPr>
              <w:spacing w:line="276" w:lineRule="auto"/>
              <w:rPr>
                <w:rFonts w:eastAsia="Calibri"/>
                <w:b/>
                <w:bCs/>
                <w:sz w:val="22"/>
                <w:highlight w:val="yellow"/>
              </w:rPr>
            </w:pPr>
            <w:proofErr w:type="spellStart"/>
            <w:r w:rsidRPr="006777E0">
              <w:rPr>
                <w:b/>
                <w:bCs/>
                <w:sz w:val="22"/>
                <w:highlight w:val="yellow"/>
              </w:rPr>
              <w:t>xTRACT</w:t>
            </w:r>
            <w:proofErr w:type="spellEnd"/>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18FF" w:rsidRPr="006777E0" w:rsidRDefault="00E418FF" w:rsidP="00585BF8">
            <w:pPr>
              <w:spacing w:line="276" w:lineRule="auto"/>
              <w:rPr>
                <w:rFonts w:eastAsia="Calibri"/>
                <w:b/>
                <w:bCs/>
                <w:sz w:val="22"/>
                <w:highlight w:val="yellow"/>
              </w:rPr>
            </w:pPr>
            <w:r w:rsidRPr="006777E0">
              <w:rPr>
                <w:b/>
                <w:bCs/>
                <w:sz w:val="22"/>
                <w:highlight w:val="yellow"/>
              </w:rPr>
              <w:t>CareerTrac</w:t>
            </w:r>
          </w:p>
        </w:tc>
      </w:tr>
      <w:tr w:rsidR="0040533D" w:rsidRPr="00676DFD"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533D" w:rsidRPr="006777E0" w:rsidRDefault="0040533D" w:rsidP="00585BF8">
            <w:pPr>
              <w:spacing w:line="276" w:lineRule="auto"/>
              <w:rPr>
                <w:bCs/>
                <w:sz w:val="22"/>
                <w:highlight w:val="yellow"/>
              </w:rPr>
            </w:pPr>
            <w:r w:rsidRPr="006777E0">
              <w:rPr>
                <w:bCs/>
                <w:sz w:val="22"/>
                <w:highlight w:val="yellow"/>
              </w:rPr>
              <w:t>Purpose</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533D" w:rsidRPr="006777E0" w:rsidRDefault="0040533D" w:rsidP="00454081">
            <w:pPr>
              <w:spacing w:line="276" w:lineRule="auto"/>
              <w:rPr>
                <w:bCs/>
                <w:sz w:val="22"/>
                <w:highlight w:val="yellow"/>
              </w:rPr>
            </w:pPr>
            <w:r w:rsidRPr="006777E0">
              <w:rPr>
                <w:bCs/>
                <w:sz w:val="22"/>
                <w:highlight w:val="yellow"/>
              </w:rPr>
              <w:t>Provide electronic data entry for the new training data tables required for applications and progress reports.</w:t>
            </w:r>
            <w:r w:rsidR="00454081">
              <w:rPr>
                <w:bCs/>
                <w:sz w:val="22"/>
                <w:highlight w:val="yellow"/>
              </w:rPr>
              <w:t xml:space="preserve">  </w:t>
            </w:r>
            <w:r w:rsidR="00454081" w:rsidRPr="00454081">
              <w:rPr>
                <w:bCs/>
                <w:sz w:val="22"/>
                <w:highlight w:val="yellow"/>
              </w:rPr>
              <w:t>Captures only the data needed for the grant application and progress report</w:t>
            </w:r>
            <w:r w:rsidR="00454081">
              <w:rPr>
                <w:bCs/>
                <w:sz w:val="22"/>
                <w:highlight w:val="yellow"/>
              </w:rPr>
              <w:t xml:space="preserve"> tables. </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533D" w:rsidRPr="006777E0" w:rsidRDefault="0040533D" w:rsidP="00585BF8">
            <w:pPr>
              <w:spacing w:line="276" w:lineRule="auto"/>
              <w:rPr>
                <w:bCs/>
                <w:sz w:val="22"/>
                <w:highlight w:val="yellow"/>
              </w:rPr>
            </w:pPr>
            <w:r w:rsidRPr="006777E0">
              <w:rPr>
                <w:bCs/>
                <w:sz w:val="22"/>
                <w:highlight w:val="yellow"/>
              </w:rPr>
              <w:t xml:space="preserve">Provide electronic data entry for a range of trainee outcomes and impacts to allow for program evaluation and improvement. Does not duplicate data entry for information collected in NIH Commons or the </w:t>
            </w:r>
            <w:proofErr w:type="spellStart"/>
            <w:r w:rsidRPr="006777E0">
              <w:rPr>
                <w:bCs/>
                <w:sz w:val="22"/>
                <w:highlight w:val="yellow"/>
              </w:rPr>
              <w:t>xTRACT</w:t>
            </w:r>
            <w:proofErr w:type="spellEnd"/>
            <w:r w:rsidRPr="006777E0">
              <w:rPr>
                <w:bCs/>
                <w:sz w:val="22"/>
                <w:highlight w:val="yellow"/>
              </w:rPr>
              <w:t xml:space="preserve"> module.</w:t>
            </w:r>
            <w:r w:rsidR="00454081" w:rsidRPr="00454081">
              <w:rPr>
                <w:bCs/>
                <w:sz w:val="22"/>
                <w:highlight w:val="yellow"/>
              </w:rPr>
              <w:t xml:space="preserve"> Provides robust, structured framework for grantees to track trainee outcomes and achievements. Focuses on</w:t>
            </w:r>
            <w:r w:rsidR="00454081">
              <w:rPr>
                <w:bCs/>
                <w:sz w:val="22"/>
                <w:highlight w:val="yellow"/>
              </w:rPr>
              <w:t xml:space="preserve"> long term outcomes.</w:t>
            </w:r>
          </w:p>
        </w:tc>
      </w:tr>
      <w:tr w:rsidR="00E418FF" w:rsidRPr="00676DFD" w:rsidTr="00454081">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18FF" w:rsidRPr="006777E0" w:rsidRDefault="00E418FF" w:rsidP="00585BF8">
            <w:pPr>
              <w:spacing w:line="276" w:lineRule="auto"/>
              <w:rPr>
                <w:bCs/>
                <w:sz w:val="22"/>
                <w:highlight w:val="yellow"/>
              </w:rPr>
            </w:pPr>
            <w:r w:rsidRPr="006777E0">
              <w:rPr>
                <w:bCs/>
                <w:sz w:val="22"/>
                <w:highlight w:val="yellow"/>
              </w:rPr>
              <w:t>User base</w:t>
            </w:r>
          </w:p>
        </w:tc>
        <w:tc>
          <w:tcPr>
            <w:tcW w:w="2947" w:type="dxa"/>
            <w:tcBorders>
              <w:top w:val="nil"/>
              <w:left w:val="nil"/>
              <w:bottom w:val="single" w:sz="8" w:space="0" w:color="auto"/>
              <w:right w:val="single" w:sz="8" w:space="0" w:color="auto"/>
            </w:tcBorders>
            <w:tcMar>
              <w:top w:w="0" w:type="dxa"/>
              <w:left w:w="108" w:type="dxa"/>
              <w:bottom w:w="0" w:type="dxa"/>
              <w:right w:w="108" w:type="dxa"/>
            </w:tcMar>
          </w:tcPr>
          <w:p w:rsidR="00E418FF" w:rsidRPr="006777E0" w:rsidRDefault="00AF5816" w:rsidP="00AF5816">
            <w:pPr>
              <w:spacing w:line="276" w:lineRule="auto"/>
              <w:rPr>
                <w:sz w:val="22"/>
                <w:highlight w:val="yellow"/>
              </w:rPr>
            </w:pPr>
            <w:r>
              <w:rPr>
                <w:sz w:val="22"/>
                <w:highlight w:val="yellow"/>
              </w:rPr>
              <w:t>Currently</w:t>
            </w:r>
            <w:r w:rsidR="00E418FF" w:rsidRPr="006777E0">
              <w:rPr>
                <w:sz w:val="22"/>
                <w:highlight w:val="yellow"/>
              </w:rPr>
              <w:t xml:space="preserve"> relevant for certain types of NIH training grant mechanisms: T32, TL1, T90, R90, and T15</w:t>
            </w:r>
          </w:p>
        </w:tc>
        <w:tc>
          <w:tcPr>
            <w:tcW w:w="4107" w:type="dxa"/>
            <w:tcBorders>
              <w:top w:val="nil"/>
              <w:left w:val="nil"/>
              <w:bottom w:val="single" w:sz="8" w:space="0" w:color="auto"/>
              <w:right w:val="single" w:sz="8" w:space="0" w:color="auto"/>
            </w:tcBorders>
            <w:tcMar>
              <w:top w:w="0" w:type="dxa"/>
              <w:left w:w="108" w:type="dxa"/>
              <w:bottom w:w="0" w:type="dxa"/>
              <w:right w:w="108" w:type="dxa"/>
            </w:tcMar>
          </w:tcPr>
          <w:p w:rsidR="00E418FF" w:rsidRPr="006777E0" w:rsidRDefault="00E418FF" w:rsidP="00611925">
            <w:pPr>
              <w:spacing w:line="276" w:lineRule="auto"/>
              <w:rPr>
                <w:sz w:val="22"/>
                <w:highlight w:val="yellow"/>
              </w:rPr>
            </w:pPr>
            <w:r w:rsidRPr="006777E0">
              <w:rPr>
                <w:sz w:val="22"/>
                <w:highlight w:val="yellow"/>
              </w:rPr>
              <w:t xml:space="preserve">Only some </w:t>
            </w:r>
            <w:r w:rsidR="00611925">
              <w:rPr>
                <w:sz w:val="22"/>
                <w:highlight w:val="yellow"/>
              </w:rPr>
              <w:t>CareerTrac tenants</w:t>
            </w:r>
            <w:r w:rsidRPr="006777E0">
              <w:rPr>
                <w:sz w:val="22"/>
                <w:highlight w:val="yellow"/>
              </w:rPr>
              <w:t xml:space="preserve"> (NIEHS-T32 program and NLM T15 program</w:t>
            </w:r>
            <w:r w:rsidR="00611925">
              <w:rPr>
                <w:sz w:val="22"/>
                <w:highlight w:val="yellow"/>
              </w:rPr>
              <w:t>s</w:t>
            </w:r>
            <w:r w:rsidRPr="006777E0">
              <w:rPr>
                <w:sz w:val="22"/>
                <w:highlight w:val="yellow"/>
              </w:rPr>
              <w:t xml:space="preserve">) have any overlap with </w:t>
            </w:r>
            <w:proofErr w:type="spellStart"/>
            <w:r w:rsidRPr="006777E0">
              <w:rPr>
                <w:sz w:val="22"/>
                <w:highlight w:val="yellow"/>
              </w:rPr>
              <w:t>xTRACT</w:t>
            </w:r>
            <w:proofErr w:type="spellEnd"/>
            <w:r w:rsidRPr="006777E0">
              <w:rPr>
                <w:sz w:val="22"/>
                <w:highlight w:val="yellow"/>
              </w:rPr>
              <w:t>.</w:t>
            </w:r>
          </w:p>
        </w:tc>
      </w:tr>
      <w:tr w:rsidR="00454081" w:rsidRPr="00676DFD" w:rsidTr="00585BF8">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4081" w:rsidRPr="00454081" w:rsidRDefault="00454081" w:rsidP="00585BF8">
            <w:pPr>
              <w:spacing w:line="276" w:lineRule="auto"/>
              <w:rPr>
                <w:bCs/>
                <w:sz w:val="22"/>
                <w:highlight w:val="yellow"/>
              </w:rPr>
            </w:pPr>
            <w:r w:rsidRPr="00454081">
              <w:rPr>
                <w:bCs/>
                <w:sz w:val="22"/>
                <w:highlight w:val="yellow"/>
              </w:rPr>
              <w:t>Data sources</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4081" w:rsidRPr="00454081" w:rsidRDefault="00454081" w:rsidP="00585BF8">
            <w:pPr>
              <w:pStyle w:val="ListParagraph"/>
              <w:ind w:left="432" w:hanging="360"/>
              <w:rPr>
                <w:rFonts w:ascii="Times New Roman" w:hAnsi="Times New Roman" w:cs="Times New Roman"/>
                <w:bCs/>
                <w:highlight w:val="yellow"/>
              </w:rPr>
            </w:pPr>
            <w:r w:rsidRPr="00454081">
              <w:rPr>
                <w:rFonts w:ascii="Times New Roman" w:hAnsi="Times New Roman" w:cs="Times New Roman"/>
                <w:bCs/>
                <w:highlight w:val="yellow"/>
              </w:rPr>
              <w:t>Pulls data from IMPAC II whenever possible; Users add other data required for NRSA Tables</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4081" w:rsidRDefault="00454081" w:rsidP="00585BF8">
            <w:pPr>
              <w:pStyle w:val="ListParagraph"/>
              <w:ind w:left="432" w:hanging="360"/>
              <w:rPr>
                <w:rFonts w:ascii="Times New Roman" w:hAnsi="Times New Roman" w:cs="Times New Roman"/>
                <w:bCs/>
                <w:highlight w:val="yellow"/>
              </w:rPr>
            </w:pPr>
            <w:r w:rsidRPr="00454081">
              <w:rPr>
                <w:rFonts w:ascii="Times New Roman" w:hAnsi="Times New Roman" w:cs="Times New Roman"/>
                <w:bCs/>
                <w:highlight w:val="yellow"/>
              </w:rPr>
              <w:t>Pulls data from IMPAC II whenever possible; users add long term outcome information</w:t>
            </w:r>
            <w:r>
              <w:rPr>
                <w:rFonts w:ascii="Times New Roman" w:hAnsi="Times New Roman" w:cs="Times New Roman"/>
                <w:bCs/>
                <w:highlight w:val="yellow"/>
              </w:rPr>
              <w:t xml:space="preserve">. </w:t>
            </w:r>
          </w:p>
          <w:p w:rsidR="00454081" w:rsidRPr="00454081" w:rsidRDefault="00454081" w:rsidP="00585BF8">
            <w:pPr>
              <w:pStyle w:val="ListParagraph"/>
              <w:ind w:left="432" w:hanging="360"/>
              <w:rPr>
                <w:rFonts w:ascii="Times New Roman" w:hAnsi="Times New Roman" w:cs="Times New Roman"/>
                <w:bCs/>
                <w:highlight w:val="yellow"/>
              </w:rPr>
            </w:pPr>
            <w:r>
              <w:rPr>
                <w:rFonts w:ascii="Times New Roman" w:hAnsi="Times New Roman" w:cs="Times New Roman"/>
                <w:bCs/>
                <w:highlight w:val="yellow"/>
              </w:rPr>
              <w:t xml:space="preserve">When new data is available from </w:t>
            </w:r>
            <w:proofErr w:type="spellStart"/>
            <w:r>
              <w:rPr>
                <w:rFonts w:ascii="Times New Roman" w:hAnsi="Times New Roman" w:cs="Times New Roman"/>
                <w:bCs/>
                <w:highlight w:val="yellow"/>
              </w:rPr>
              <w:t>xTRACT</w:t>
            </w:r>
            <w:proofErr w:type="spellEnd"/>
            <w:r>
              <w:rPr>
                <w:rFonts w:ascii="Times New Roman" w:hAnsi="Times New Roman" w:cs="Times New Roman"/>
                <w:bCs/>
                <w:highlight w:val="yellow"/>
              </w:rPr>
              <w:t xml:space="preserve"> in IMPAC II databases, it will be leveraged and any duplicated data entry in CareerTrac will be removed</w:t>
            </w:r>
          </w:p>
        </w:tc>
      </w:tr>
      <w:tr w:rsidR="00E418FF" w:rsidRPr="00676DFD"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18FF" w:rsidRPr="006777E0" w:rsidRDefault="0040533D" w:rsidP="00585BF8">
            <w:pPr>
              <w:spacing w:line="276" w:lineRule="auto"/>
              <w:rPr>
                <w:bCs/>
                <w:sz w:val="22"/>
                <w:highlight w:val="yellow"/>
              </w:rPr>
            </w:pPr>
            <w:r w:rsidRPr="006777E0">
              <w:rPr>
                <w:bCs/>
                <w:sz w:val="22"/>
                <w:highlight w:val="yellow"/>
              </w:rPr>
              <w:t>Unique outcome data</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18FF" w:rsidRPr="006777E0" w:rsidRDefault="006777E0" w:rsidP="006777E0">
            <w:pPr>
              <w:pStyle w:val="ListParagraph"/>
              <w:numPr>
                <w:ilvl w:val="0"/>
                <w:numId w:val="17"/>
              </w:numPr>
              <w:spacing w:line="276" w:lineRule="auto"/>
              <w:ind w:left="432"/>
              <w:rPr>
                <w:rFonts w:ascii="Times New Roman" w:hAnsi="Times New Roman" w:cs="Times New Roman"/>
                <w:bCs/>
                <w:highlight w:val="yellow"/>
              </w:rPr>
            </w:pPr>
            <w:r w:rsidRPr="006777E0">
              <w:rPr>
                <w:rFonts w:ascii="Times New Roman" w:hAnsi="Times New Roman" w:cs="Times New Roman"/>
                <w:bCs/>
                <w:highlight w:val="yellow"/>
              </w:rPr>
              <w:t>Single Employment classification:  research-intensive, research-related, additional training, other</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18FF" w:rsidRPr="006777E0" w:rsidRDefault="006777E0" w:rsidP="006777E0">
            <w:pPr>
              <w:pStyle w:val="ListParagraph"/>
              <w:numPr>
                <w:ilvl w:val="0"/>
                <w:numId w:val="17"/>
              </w:numPr>
              <w:spacing w:line="276" w:lineRule="auto"/>
              <w:ind w:left="432"/>
              <w:rPr>
                <w:rFonts w:ascii="Times New Roman" w:hAnsi="Times New Roman" w:cs="Times New Roman"/>
                <w:bCs/>
                <w:highlight w:val="yellow"/>
              </w:rPr>
            </w:pPr>
            <w:r w:rsidRPr="006777E0">
              <w:rPr>
                <w:rFonts w:ascii="Times New Roman" w:hAnsi="Times New Roman" w:cs="Times New Roman"/>
                <w:bCs/>
                <w:highlight w:val="yellow"/>
              </w:rPr>
              <w:t>Multiple Employment classifications: Sector (</w:t>
            </w:r>
            <w:r w:rsidR="003D5233">
              <w:rPr>
                <w:rFonts w:ascii="Times New Roman" w:hAnsi="Times New Roman" w:cs="Times New Roman"/>
                <w:bCs/>
                <w:highlight w:val="yellow"/>
              </w:rPr>
              <w:t>Government, Academia, Industry</w:t>
            </w:r>
            <w:r w:rsidRPr="006777E0">
              <w:rPr>
                <w:rFonts w:ascii="Times New Roman" w:hAnsi="Times New Roman" w:cs="Times New Roman"/>
                <w:bCs/>
                <w:highlight w:val="yellow"/>
              </w:rPr>
              <w:t xml:space="preserve">); Tenure status, Postdoc (yes/no); Research Emphasis (Research, Teaching, Clinical, </w:t>
            </w:r>
            <w:proofErr w:type="spellStart"/>
            <w:r w:rsidRPr="006777E0">
              <w:rPr>
                <w:rFonts w:ascii="Times New Roman" w:hAnsi="Times New Roman" w:cs="Times New Roman"/>
                <w:bCs/>
                <w:highlight w:val="yellow"/>
              </w:rPr>
              <w:t>etc</w:t>
            </w:r>
            <w:proofErr w:type="spellEnd"/>
            <w:r w:rsidRPr="006777E0">
              <w:rPr>
                <w:rFonts w:ascii="Times New Roman" w:hAnsi="Times New Roman" w:cs="Times New Roman"/>
                <w:bCs/>
                <w:highlight w:val="yellow"/>
              </w:rPr>
              <w:t xml:space="preserve">). </w:t>
            </w:r>
          </w:p>
          <w:p w:rsidR="006777E0" w:rsidRPr="006777E0" w:rsidRDefault="006777E0" w:rsidP="006777E0">
            <w:pPr>
              <w:pStyle w:val="ListParagraph"/>
              <w:numPr>
                <w:ilvl w:val="0"/>
                <w:numId w:val="17"/>
              </w:numPr>
              <w:spacing w:line="276" w:lineRule="auto"/>
              <w:ind w:left="432"/>
              <w:rPr>
                <w:rFonts w:ascii="Times New Roman" w:hAnsi="Times New Roman" w:cs="Times New Roman"/>
                <w:bCs/>
                <w:highlight w:val="yellow"/>
              </w:rPr>
            </w:pPr>
            <w:r w:rsidRPr="006777E0">
              <w:rPr>
                <w:rFonts w:ascii="Times New Roman" w:eastAsia="Times New Roman" w:hAnsi="Times New Roman" w:cs="Times New Roman"/>
                <w:bCs/>
                <w:highlight w:val="yellow"/>
              </w:rPr>
              <w:t>Scientific &amp; Technical Emphasis</w:t>
            </w:r>
            <w:r w:rsidRPr="006777E0">
              <w:rPr>
                <w:rFonts w:ascii="Times New Roman" w:hAnsi="Times New Roman" w:cs="Times New Roman"/>
                <w:bCs/>
                <w:highlight w:val="yellow"/>
              </w:rPr>
              <w:t xml:space="preserve"> (tenant specific fields to characterize research more deeply than trans-NIH method</w:t>
            </w:r>
          </w:p>
          <w:p w:rsidR="006777E0" w:rsidRPr="006777E0" w:rsidRDefault="006777E0" w:rsidP="006777E0">
            <w:pPr>
              <w:pStyle w:val="ListParagraph"/>
              <w:numPr>
                <w:ilvl w:val="0"/>
                <w:numId w:val="17"/>
              </w:numPr>
              <w:spacing w:line="276" w:lineRule="auto"/>
              <w:ind w:left="432"/>
              <w:rPr>
                <w:rFonts w:ascii="Times New Roman" w:hAnsi="Times New Roman" w:cs="Times New Roman"/>
                <w:bCs/>
                <w:highlight w:val="yellow"/>
              </w:rPr>
            </w:pPr>
            <w:proofErr w:type="spellStart"/>
            <w:r w:rsidRPr="006777E0">
              <w:rPr>
                <w:rFonts w:ascii="Times New Roman" w:hAnsi="Times New Roman" w:cs="Times New Roman"/>
                <w:bCs/>
                <w:highlight w:val="yellow"/>
              </w:rPr>
              <w:t>CareerHighlight</w:t>
            </w:r>
            <w:proofErr w:type="spellEnd"/>
            <w:r w:rsidRPr="006777E0">
              <w:rPr>
                <w:rFonts w:ascii="Times New Roman" w:hAnsi="Times New Roman" w:cs="Times New Roman"/>
                <w:bCs/>
                <w:highlight w:val="yellow"/>
              </w:rPr>
              <w:t xml:space="preserve"> (narrative)</w:t>
            </w:r>
          </w:p>
          <w:p w:rsidR="006777E0" w:rsidRPr="006777E0" w:rsidRDefault="006777E0" w:rsidP="006777E0">
            <w:pPr>
              <w:pStyle w:val="ListParagraph"/>
              <w:numPr>
                <w:ilvl w:val="0"/>
                <w:numId w:val="17"/>
              </w:numPr>
              <w:spacing w:line="276" w:lineRule="auto"/>
              <w:ind w:left="432"/>
              <w:rPr>
                <w:rFonts w:ascii="Times New Roman" w:hAnsi="Times New Roman" w:cs="Times New Roman"/>
                <w:bCs/>
                <w:highlight w:val="yellow"/>
              </w:rPr>
            </w:pPr>
            <w:r w:rsidRPr="006777E0">
              <w:rPr>
                <w:rFonts w:ascii="Times New Roman" w:hAnsi="Times New Roman" w:cs="Times New Roman"/>
                <w:bCs/>
                <w:highlight w:val="yellow"/>
              </w:rPr>
              <w:t xml:space="preserve">Policies &amp; Products </w:t>
            </w:r>
          </w:p>
          <w:p w:rsidR="006777E0" w:rsidRPr="006777E0" w:rsidRDefault="006777E0" w:rsidP="006777E0">
            <w:pPr>
              <w:pStyle w:val="ListParagraph"/>
              <w:numPr>
                <w:ilvl w:val="0"/>
                <w:numId w:val="17"/>
              </w:numPr>
              <w:spacing w:line="276" w:lineRule="auto"/>
              <w:ind w:left="432"/>
              <w:rPr>
                <w:rFonts w:ascii="Times New Roman" w:hAnsi="Times New Roman" w:cs="Times New Roman"/>
                <w:bCs/>
                <w:highlight w:val="yellow"/>
              </w:rPr>
            </w:pPr>
            <w:r w:rsidRPr="006777E0">
              <w:rPr>
                <w:rFonts w:ascii="Times New Roman" w:hAnsi="Times New Roman" w:cs="Times New Roman"/>
                <w:bCs/>
                <w:highlight w:val="yellow"/>
              </w:rPr>
              <w:t>Honors</w:t>
            </w:r>
          </w:p>
          <w:p w:rsidR="006777E0" w:rsidRPr="006777E0" w:rsidRDefault="006777E0" w:rsidP="006777E0">
            <w:pPr>
              <w:pStyle w:val="ListParagraph"/>
              <w:numPr>
                <w:ilvl w:val="0"/>
                <w:numId w:val="17"/>
              </w:numPr>
              <w:spacing w:line="276" w:lineRule="auto"/>
              <w:ind w:left="432"/>
              <w:rPr>
                <w:rFonts w:ascii="Times New Roman" w:hAnsi="Times New Roman" w:cs="Times New Roman"/>
                <w:bCs/>
                <w:highlight w:val="yellow"/>
              </w:rPr>
            </w:pPr>
            <w:r w:rsidRPr="006777E0">
              <w:rPr>
                <w:rFonts w:ascii="Times New Roman" w:hAnsi="Times New Roman" w:cs="Times New Roman"/>
                <w:bCs/>
                <w:highlight w:val="yellow"/>
              </w:rPr>
              <w:t>Posters</w:t>
            </w:r>
          </w:p>
          <w:p w:rsidR="006777E0" w:rsidRPr="003D5233" w:rsidRDefault="006777E0" w:rsidP="003D5233">
            <w:pPr>
              <w:pStyle w:val="ListParagraph"/>
              <w:numPr>
                <w:ilvl w:val="0"/>
                <w:numId w:val="17"/>
              </w:numPr>
              <w:spacing w:line="276" w:lineRule="auto"/>
              <w:ind w:left="432"/>
              <w:rPr>
                <w:rFonts w:ascii="Times New Roman" w:hAnsi="Times New Roman" w:cs="Times New Roman"/>
                <w:bCs/>
                <w:highlight w:val="yellow"/>
              </w:rPr>
            </w:pPr>
            <w:r w:rsidRPr="006777E0">
              <w:rPr>
                <w:rFonts w:ascii="Times New Roman" w:hAnsi="Times New Roman" w:cs="Times New Roman"/>
                <w:bCs/>
                <w:highlight w:val="yellow"/>
              </w:rPr>
              <w:t>Students</w:t>
            </w:r>
            <w:r w:rsidR="00B2052F">
              <w:rPr>
                <w:rFonts w:ascii="Times New Roman" w:hAnsi="Times New Roman" w:cs="Times New Roman"/>
                <w:bCs/>
                <w:highlight w:val="yellow"/>
              </w:rPr>
              <w:t xml:space="preserve"> of former trainees</w:t>
            </w:r>
          </w:p>
        </w:tc>
      </w:tr>
      <w:tr w:rsidR="00454081" w:rsidRPr="00676DFD"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4081" w:rsidRPr="00454081" w:rsidRDefault="00454081" w:rsidP="00585BF8">
            <w:pPr>
              <w:spacing w:line="276" w:lineRule="auto"/>
              <w:rPr>
                <w:bCs/>
                <w:sz w:val="22"/>
                <w:highlight w:val="yellow"/>
              </w:rPr>
            </w:pPr>
            <w:r w:rsidRPr="00454081">
              <w:rPr>
                <w:bCs/>
                <w:sz w:val="22"/>
                <w:highlight w:val="yellow"/>
              </w:rPr>
              <w:t>Data Analysis</w:t>
            </w:r>
            <w:r>
              <w:rPr>
                <w:bCs/>
                <w:sz w:val="22"/>
                <w:highlight w:val="yellow"/>
              </w:rPr>
              <w:t xml:space="preserve"> Capability</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4081" w:rsidRPr="00454081" w:rsidRDefault="00454081" w:rsidP="00454081">
            <w:pPr>
              <w:pStyle w:val="ListParagraph"/>
              <w:spacing w:line="276" w:lineRule="auto"/>
              <w:ind w:left="432" w:hanging="360"/>
              <w:rPr>
                <w:rFonts w:ascii="Times New Roman" w:hAnsi="Times New Roman" w:cs="Times New Roman"/>
                <w:bCs/>
                <w:highlight w:val="yellow"/>
              </w:rPr>
            </w:pPr>
            <w:r w:rsidRPr="00454081">
              <w:rPr>
                <w:rFonts w:ascii="Times New Roman" w:hAnsi="Times New Roman" w:cs="Times New Roman"/>
                <w:bCs/>
                <w:highlight w:val="yellow"/>
              </w:rPr>
              <w:t>No data analysis capability in system</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4081" w:rsidRPr="00454081" w:rsidRDefault="00454081" w:rsidP="00454081">
            <w:pPr>
              <w:pStyle w:val="ListParagraph"/>
              <w:ind w:left="432" w:hanging="360"/>
              <w:rPr>
                <w:rFonts w:ascii="Times New Roman" w:hAnsi="Times New Roman" w:cs="Times New Roman"/>
                <w:bCs/>
                <w:highlight w:val="yellow"/>
              </w:rPr>
            </w:pPr>
            <w:r w:rsidRPr="00454081">
              <w:rPr>
                <w:rFonts w:ascii="Times New Roman" w:hAnsi="Times New Roman" w:cs="Times New Roman"/>
                <w:bCs/>
                <w:highlight w:val="yellow"/>
              </w:rPr>
              <w:t>Provides ability to query and filter data, as well as export all data into excel files for easy data analysis by all users</w:t>
            </w:r>
          </w:p>
        </w:tc>
      </w:tr>
      <w:tr w:rsidR="00454081" w:rsidRPr="00676DFD"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4081" w:rsidRPr="00454081" w:rsidRDefault="00454081" w:rsidP="00585BF8">
            <w:pPr>
              <w:spacing w:line="276" w:lineRule="auto"/>
              <w:rPr>
                <w:bCs/>
                <w:sz w:val="22"/>
                <w:highlight w:val="yellow"/>
              </w:rPr>
            </w:pPr>
            <w:r w:rsidRPr="00454081">
              <w:rPr>
                <w:bCs/>
                <w:sz w:val="22"/>
                <w:highlight w:val="yellow"/>
              </w:rPr>
              <w:t>Reporting</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4081" w:rsidRPr="00454081" w:rsidRDefault="00454081" w:rsidP="00454081">
            <w:pPr>
              <w:pStyle w:val="ListParagraph"/>
              <w:spacing w:line="276" w:lineRule="auto"/>
              <w:ind w:left="432" w:hanging="360"/>
              <w:rPr>
                <w:rFonts w:ascii="Times New Roman" w:hAnsi="Times New Roman" w:cs="Times New Roman"/>
                <w:bCs/>
                <w:highlight w:val="yellow"/>
              </w:rPr>
            </w:pPr>
            <w:r w:rsidRPr="00454081">
              <w:rPr>
                <w:rFonts w:ascii="Times New Roman" w:hAnsi="Times New Roman" w:cs="Times New Roman"/>
                <w:bCs/>
                <w:highlight w:val="yellow"/>
              </w:rPr>
              <w:t xml:space="preserve">In its first iteration, only a </w:t>
            </w:r>
            <w:r w:rsidRPr="00454081">
              <w:rPr>
                <w:rFonts w:ascii="Times New Roman" w:hAnsi="Times New Roman" w:cs="Times New Roman"/>
                <w:bCs/>
                <w:highlight w:val="yellow"/>
              </w:rPr>
              <w:lastRenderedPageBreak/>
              <w:t>limited number of</w:t>
            </w:r>
            <w:r>
              <w:rPr>
                <w:rFonts w:ascii="Times New Roman" w:hAnsi="Times New Roman" w:cs="Times New Roman"/>
                <w:bCs/>
                <w:highlight w:val="yellow"/>
              </w:rPr>
              <w:t xml:space="preserve"> specific</w:t>
            </w:r>
            <w:r w:rsidRPr="00454081">
              <w:rPr>
                <w:rFonts w:ascii="Times New Roman" w:hAnsi="Times New Roman" w:cs="Times New Roman"/>
                <w:bCs/>
                <w:highlight w:val="yellow"/>
              </w:rPr>
              <w:t xml:space="preserve"> table outputs are available</w:t>
            </w:r>
            <w:r>
              <w:rPr>
                <w:rFonts w:ascii="Times New Roman" w:hAnsi="Times New Roman" w:cs="Times New Roman"/>
                <w:bCs/>
                <w:highlight w:val="yellow"/>
              </w:rPr>
              <w:t xml:space="preserve"> – designed mainly for grant review and progress report purposes</w:t>
            </w:r>
            <w:r w:rsidRPr="00454081">
              <w:rPr>
                <w:rFonts w:ascii="Times New Roman" w:hAnsi="Times New Roman" w:cs="Times New Roman"/>
                <w:bCs/>
                <w:highlight w:val="yellow"/>
              </w:rPr>
              <w:t xml:space="preserve">. </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4081" w:rsidRPr="00454081" w:rsidRDefault="00454081" w:rsidP="00454081">
            <w:pPr>
              <w:pStyle w:val="ListParagraph"/>
              <w:ind w:left="432" w:hanging="360"/>
              <w:rPr>
                <w:rFonts w:ascii="Times New Roman" w:hAnsi="Times New Roman" w:cs="Times New Roman"/>
                <w:bCs/>
                <w:highlight w:val="yellow"/>
              </w:rPr>
            </w:pPr>
            <w:r w:rsidRPr="00454081">
              <w:rPr>
                <w:rFonts w:ascii="Times New Roman" w:hAnsi="Times New Roman" w:cs="Times New Roman"/>
                <w:bCs/>
                <w:highlight w:val="yellow"/>
              </w:rPr>
              <w:lastRenderedPageBreak/>
              <w:t xml:space="preserve">Provides versatile and robust </w:t>
            </w:r>
            <w:r w:rsidRPr="00454081">
              <w:rPr>
                <w:rFonts w:ascii="Times New Roman" w:hAnsi="Times New Roman" w:cs="Times New Roman"/>
                <w:bCs/>
                <w:highlight w:val="yellow"/>
              </w:rPr>
              <w:lastRenderedPageBreak/>
              <w:t xml:space="preserve">reporting/exporting functionality for </w:t>
            </w:r>
            <w:r>
              <w:rPr>
                <w:rFonts w:ascii="Times New Roman" w:hAnsi="Times New Roman" w:cs="Times New Roman"/>
                <w:bCs/>
                <w:highlight w:val="yellow"/>
              </w:rPr>
              <w:t>all data elements in the system.</w:t>
            </w:r>
            <w:r w:rsidRPr="00454081">
              <w:rPr>
                <w:rFonts w:ascii="Times New Roman" w:hAnsi="Times New Roman" w:cs="Times New Roman"/>
                <w:bCs/>
                <w:highlight w:val="yellow"/>
              </w:rPr>
              <w:t xml:space="preserve"> </w:t>
            </w:r>
          </w:p>
        </w:tc>
      </w:tr>
    </w:tbl>
    <w:p w:rsidR="000A6E98" w:rsidRDefault="000A6E98" w:rsidP="005802FB">
      <w:pPr>
        <w:pStyle w:val="Default"/>
      </w:pPr>
    </w:p>
    <w:p w:rsidR="007D4DF6" w:rsidRDefault="007D4DF6" w:rsidP="005802FB">
      <w:pPr>
        <w:pStyle w:val="Default"/>
      </w:pPr>
      <w:r w:rsidRPr="00676DFD">
        <w:t>In summary, some data that CareerTrac collects are collected in other systems, but we are making every effort to leverage these data as appropriate.</w:t>
      </w:r>
      <w:r w:rsidR="003D5233">
        <w:t xml:space="preserve"> </w:t>
      </w:r>
      <w:r w:rsidR="003D5233" w:rsidRPr="00A410D7">
        <w:rPr>
          <w:highlight w:val="yellow"/>
        </w:rPr>
        <w:t xml:space="preserve">For example, in the past year we have worked to link to and incorporate more data from individuals’ </w:t>
      </w:r>
      <w:proofErr w:type="gramStart"/>
      <w:r w:rsidR="003D5233" w:rsidRPr="00A410D7">
        <w:rPr>
          <w:highlight w:val="yellow"/>
        </w:rPr>
        <w:t>NIH Commons</w:t>
      </w:r>
      <w:proofErr w:type="gramEnd"/>
      <w:r w:rsidR="003D5233" w:rsidRPr="00A410D7">
        <w:rPr>
          <w:highlight w:val="yellow"/>
        </w:rPr>
        <w:t xml:space="preserve"> accounts into CareerTrac.</w:t>
      </w:r>
      <w:r w:rsidR="0001182E">
        <w:rPr>
          <w:highlight w:val="yellow"/>
        </w:rPr>
        <w:t xml:space="preserve"> We will continue to do this as </w:t>
      </w:r>
      <w:proofErr w:type="spellStart"/>
      <w:r w:rsidR="0001182E">
        <w:rPr>
          <w:highlight w:val="yellow"/>
        </w:rPr>
        <w:t>xTRACT</w:t>
      </w:r>
      <w:proofErr w:type="spellEnd"/>
      <w:r w:rsidR="0001182E">
        <w:rPr>
          <w:highlight w:val="yellow"/>
        </w:rPr>
        <w:t xml:space="preserve"> data becomes available.</w:t>
      </w:r>
      <w:r w:rsidR="003D5233" w:rsidRPr="00A410D7">
        <w:rPr>
          <w:highlight w:val="yellow"/>
        </w:rPr>
        <w:t xml:space="preserve"> This reduce</w:t>
      </w:r>
      <w:r w:rsidR="00A410D7">
        <w:rPr>
          <w:highlight w:val="yellow"/>
        </w:rPr>
        <w:t>s</w:t>
      </w:r>
      <w:r w:rsidR="003D5233" w:rsidRPr="00A410D7">
        <w:rPr>
          <w:highlight w:val="yellow"/>
        </w:rPr>
        <w:t xml:space="preserve"> data entry burden for our PI users</w:t>
      </w:r>
      <w:r w:rsidR="00A410D7">
        <w:t>.</w:t>
      </w:r>
    </w:p>
    <w:p w:rsidR="0001182E" w:rsidRDefault="0001182E" w:rsidP="005802FB">
      <w:pPr>
        <w:pStyle w:val="Default"/>
      </w:pPr>
    </w:p>
    <w:p w:rsidR="0001182E" w:rsidRDefault="0001182E" w:rsidP="005802FB">
      <w:pPr>
        <w:pStyle w:val="Default"/>
      </w:pPr>
    </w:p>
    <w:p w:rsidR="00A410D7" w:rsidRPr="00676DFD" w:rsidRDefault="00A410D7" w:rsidP="005802FB">
      <w:pPr>
        <w:pStyle w:val="Default"/>
      </w:pPr>
    </w:p>
    <w:p w:rsidR="00AA3632" w:rsidRDefault="00AA3632">
      <w:pPr>
        <w:pStyle w:val="CM9"/>
        <w:spacing w:line="278" w:lineRule="atLeast"/>
      </w:pPr>
      <w:r>
        <w:rPr>
          <w:b/>
          <w:bCs/>
        </w:rPr>
        <w:t xml:space="preserve">A.5.Small Business </w:t>
      </w:r>
    </w:p>
    <w:p w:rsidR="00AA3632" w:rsidRDefault="00AA3632">
      <w:pPr>
        <w:pStyle w:val="CM9"/>
        <w:spacing w:line="278" w:lineRule="atLeast"/>
      </w:pPr>
      <w:r>
        <w:t xml:space="preserve">No small businesses will be involved in this collection.   </w:t>
      </w:r>
    </w:p>
    <w:p w:rsidR="00AA3632" w:rsidRDefault="00AA3632">
      <w:pPr>
        <w:pStyle w:val="CM9"/>
        <w:spacing w:line="278" w:lineRule="atLeast"/>
      </w:pPr>
      <w:r>
        <w:rPr>
          <w:b/>
          <w:bCs/>
        </w:rPr>
        <w:t xml:space="preserve">A.6.Consequences of Not Collecting the Information </w:t>
      </w:r>
    </w:p>
    <w:p w:rsidR="00AA3632" w:rsidRDefault="00AA3632">
      <w:pPr>
        <w:pStyle w:val="CM9"/>
        <w:spacing w:line="276" w:lineRule="atLeast"/>
        <w:ind w:right="148"/>
      </w:pPr>
      <w:r>
        <w:t xml:space="preserve">Without regular, periodic updates to trainee data, NIH will </w:t>
      </w:r>
      <w:r w:rsidR="0083214B">
        <w:t xml:space="preserve">not </w:t>
      </w:r>
      <w:r>
        <w:t xml:space="preserve">be able to document the impacts and </w:t>
      </w:r>
      <w:r w:rsidRPr="00676DFD">
        <w:t xml:space="preserve">outcomes of awarded grants. Meeting regulatory compliance requirements and responding to Congress in an accurate and timely manner will be difficult. Ultimately, </w:t>
      </w:r>
      <w:r w:rsidR="00542916" w:rsidRPr="00676DFD">
        <w:t>FIC, NIEHS, NIGMS,</w:t>
      </w:r>
      <w:r w:rsidR="0018090D" w:rsidRPr="00676DFD">
        <w:t xml:space="preserve"> NLM</w:t>
      </w:r>
      <w:r w:rsidR="00542916" w:rsidRPr="00676DFD">
        <w:t xml:space="preserve"> and NCI</w:t>
      </w:r>
      <w:r w:rsidR="00107B1A" w:rsidRPr="00676DFD">
        <w:t xml:space="preserve"> </w:t>
      </w:r>
      <w:r w:rsidRPr="00676DFD">
        <w:t>will be unable</w:t>
      </w:r>
      <w:r>
        <w:t xml:space="preserve"> to make informed management decisions about its grants programs without this data. </w:t>
      </w:r>
    </w:p>
    <w:p w:rsidR="00AA3632" w:rsidRDefault="00AA3632" w:rsidP="000E37D1">
      <w:pPr>
        <w:spacing w:after="200" w:line="276" w:lineRule="auto"/>
      </w:pPr>
      <w:r>
        <w:rPr>
          <w:b/>
          <w:bCs/>
        </w:rPr>
        <w:t xml:space="preserve">A.7.Special Circumstances Justifying Inconsistencies with Guidelines in 5 CFR 1320.6 </w:t>
      </w:r>
    </w:p>
    <w:p w:rsidR="00AA3632" w:rsidRDefault="00AA3632">
      <w:pPr>
        <w:pStyle w:val="CM9"/>
        <w:spacing w:line="276" w:lineRule="atLeast"/>
        <w:ind w:right="208"/>
      </w:pPr>
      <w:r>
        <w:t xml:space="preserve">This project fully complies with all guidelines of 5 CFR 1320.5 (Controlling Paperwork Burdens on the Public General Information Collection Guidelines).  There are no circumstances that require deviation from these guidelines.  </w:t>
      </w:r>
    </w:p>
    <w:p w:rsidR="00AA3632" w:rsidRDefault="00AA3632">
      <w:pPr>
        <w:pStyle w:val="CM9"/>
        <w:spacing w:line="278" w:lineRule="atLeast"/>
      </w:pPr>
      <w:r>
        <w:rPr>
          <w:b/>
          <w:bCs/>
        </w:rPr>
        <w:t xml:space="preserve">A.8.Consultation </w:t>
      </w:r>
      <w:proofErr w:type="gramStart"/>
      <w:r>
        <w:rPr>
          <w:b/>
          <w:bCs/>
        </w:rPr>
        <w:t>Outside</w:t>
      </w:r>
      <w:proofErr w:type="gramEnd"/>
      <w:r>
        <w:rPr>
          <w:b/>
          <w:bCs/>
        </w:rPr>
        <w:t xml:space="preserve"> the Agency </w:t>
      </w:r>
    </w:p>
    <w:p w:rsidR="000B20C5" w:rsidRDefault="001657CE" w:rsidP="000B20C5">
      <w:pPr>
        <w:pStyle w:val="CM6"/>
        <w:ind w:right="400"/>
      </w:pPr>
      <w:r>
        <w:t xml:space="preserve">This proposed information collection was previously published in the </w:t>
      </w:r>
      <w:r w:rsidRPr="001D061A">
        <w:rPr>
          <w:b/>
          <w:highlight w:val="yellow"/>
        </w:rPr>
        <w:t>Federal Register, Vol. 80, No. 241,</w:t>
      </w:r>
      <w:r w:rsidRPr="001D061A">
        <w:rPr>
          <w:highlight w:val="yellow"/>
        </w:rPr>
        <w:t xml:space="preserve"> on December 16, 2015, page 78243 -78244</w:t>
      </w:r>
      <w:r w:rsidR="009C0006" w:rsidRPr="001D061A">
        <w:rPr>
          <w:highlight w:val="yellow"/>
        </w:rPr>
        <w:t>.</w:t>
      </w:r>
      <w:r w:rsidR="009C0006">
        <w:t xml:space="preserve"> </w:t>
      </w:r>
    </w:p>
    <w:p w:rsidR="000B20C5" w:rsidRPr="000B20C5" w:rsidRDefault="000B20C5" w:rsidP="000B20C5">
      <w:pPr>
        <w:pStyle w:val="Default"/>
      </w:pPr>
    </w:p>
    <w:p w:rsidR="00AA3632" w:rsidRPr="00107B1A" w:rsidRDefault="00EB2FE0">
      <w:pPr>
        <w:pStyle w:val="CM9"/>
        <w:spacing w:line="276" w:lineRule="atLeast"/>
        <w:ind w:right="400"/>
      </w:pPr>
      <w:r>
        <w:rPr>
          <w:highlight w:val="yellow"/>
        </w:rPr>
        <w:t>No</w:t>
      </w:r>
      <w:r w:rsidRPr="009C0006">
        <w:rPr>
          <w:highlight w:val="yellow"/>
        </w:rPr>
        <w:t xml:space="preserve"> </w:t>
      </w:r>
      <w:r w:rsidR="00CD3745" w:rsidRPr="009C0006">
        <w:rPr>
          <w:highlight w:val="yellow"/>
        </w:rPr>
        <w:t>comment</w:t>
      </w:r>
      <w:r>
        <w:rPr>
          <w:highlight w:val="yellow"/>
        </w:rPr>
        <w:t>s</w:t>
      </w:r>
      <w:r w:rsidR="00CD3745" w:rsidRPr="009C0006">
        <w:rPr>
          <w:highlight w:val="yellow"/>
        </w:rPr>
        <w:t xml:space="preserve"> </w:t>
      </w:r>
      <w:r>
        <w:t xml:space="preserve">have been </w:t>
      </w:r>
      <w:r w:rsidR="00AA3632" w:rsidRPr="00107B1A">
        <w:t>received from this notification regarding the cost and hour burden estimates.</w:t>
      </w:r>
    </w:p>
    <w:p w:rsidR="00AA3632" w:rsidRDefault="006068D3" w:rsidP="0045217C">
      <w:pPr>
        <w:pStyle w:val="CM11"/>
        <w:spacing w:line="276" w:lineRule="atLeast"/>
        <w:ind w:right="163"/>
      </w:pPr>
      <w:r w:rsidRPr="00107B1A">
        <w:t xml:space="preserve">The system has been </w:t>
      </w:r>
      <w:r w:rsidR="008E0025" w:rsidRPr="00103948">
        <w:t>in full production with</w:t>
      </w:r>
      <w:r w:rsidR="008E0025">
        <w:t xml:space="preserve"> </w:t>
      </w:r>
      <w:r w:rsidRPr="00107B1A">
        <w:t>FIC PIs</w:t>
      </w:r>
      <w:r w:rsidR="00AA3632" w:rsidRPr="00107B1A">
        <w:t xml:space="preserve"> </w:t>
      </w:r>
      <w:r w:rsidRPr="00107B1A">
        <w:t>since December 2008</w:t>
      </w:r>
      <w:r w:rsidR="00AA3632" w:rsidRPr="00107B1A">
        <w:t xml:space="preserve">. </w:t>
      </w:r>
      <w:r w:rsidRPr="00107B1A">
        <w:t xml:space="preserve"> The PIs have been asked to comment on the system several times.  </w:t>
      </w:r>
      <w:r w:rsidR="00AA3632" w:rsidRPr="00107B1A">
        <w:t xml:space="preserve">Their comments regarding the </w:t>
      </w:r>
      <w:r w:rsidRPr="00107B1A">
        <w:t xml:space="preserve">ease of use of the system and </w:t>
      </w:r>
      <w:r w:rsidR="00AA3632" w:rsidRPr="00107B1A">
        <w:t xml:space="preserve">the type of data being </w:t>
      </w:r>
      <w:r w:rsidRPr="00107B1A">
        <w:t>collected have</w:t>
      </w:r>
      <w:r w:rsidR="00AA3632" w:rsidRPr="00107B1A">
        <w:t xml:space="preserve"> been incorporated into </w:t>
      </w:r>
      <w:r w:rsidRPr="00107B1A">
        <w:t>enhancements of the application</w:t>
      </w:r>
      <w:r w:rsidR="00AA3632" w:rsidRPr="00107B1A">
        <w:t>.</w:t>
      </w:r>
      <w:r w:rsidR="00AA3632">
        <w:t xml:space="preserve">  </w:t>
      </w:r>
      <w:r w:rsidR="003D5233" w:rsidRPr="00B0735D">
        <w:rPr>
          <w:highlight w:val="yellow"/>
        </w:rPr>
        <w:t xml:space="preserve">Our strategy has been to continually involve users from all </w:t>
      </w:r>
      <w:r w:rsidR="003D5233" w:rsidRPr="00B0735D">
        <w:rPr>
          <w:highlight w:val="yellow"/>
        </w:rPr>
        <w:lastRenderedPageBreak/>
        <w:t>tenants to provide feedback and help improve the system. Tenant administrators at each IC work with users to provide updates to help files, FAQs and collect ideas for improvement.</w:t>
      </w:r>
      <w:r w:rsidR="003D5233">
        <w:t xml:space="preserve"> </w:t>
      </w:r>
      <w:r w:rsidR="000B20C5" w:rsidRPr="00676DFD">
        <w:t xml:space="preserve">Feedback from these grantees </w:t>
      </w:r>
      <w:r w:rsidR="003D5233" w:rsidRPr="00A410D7">
        <w:t>is regularly</w:t>
      </w:r>
      <w:r w:rsidR="003D5233" w:rsidRPr="00676DFD">
        <w:t xml:space="preserve"> </w:t>
      </w:r>
      <w:r w:rsidR="000B20C5" w:rsidRPr="00676DFD">
        <w:t>incorporated into the system as well.</w:t>
      </w:r>
      <w:r w:rsidR="003D5233">
        <w:t xml:space="preserve"> </w:t>
      </w:r>
    </w:p>
    <w:p w:rsidR="00AA3632" w:rsidRDefault="00AA3632">
      <w:pPr>
        <w:pStyle w:val="CM9"/>
        <w:spacing w:line="278" w:lineRule="atLeast"/>
      </w:pPr>
      <w:r>
        <w:rPr>
          <w:b/>
          <w:bCs/>
        </w:rPr>
        <w:t xml:space="preserve">A.9.Payments or Gifts to Respondents </w:t>
      </w:r>
    </w:p>
    <w:p w:rsidR="00AA3632" w:rsidRDefault="00AA3632" w:rsidP="00107B1A">
      <w:pPr>
        <w:pStyle w:val="CM3"/>
        <w:ind w:right="202"/>
      </w:pPr>
      <w:r>
        <w:t xml:space="preserve">Respondents will not be paid for participating in this collection and will not receive any gifts in return for participation. Participation is completely voluntary. </w:t>
      </w:r>
    </w:p>
    <w:p w:rsidR="00107B1A" w:rsidRDefault="00107B1A">
      <w:pPr>
        <w:pStyle w:val="CM9"/>
        <w:spacing w:line="278" w:lineRule="atLeast"/>
        <w:rPr>
          <w:b/>
          <w:bCs/>
        </w:rPr>
      </w:pPr>
    </w:p>
    <w:p w:rsidR="00AA3632" w:rsidRDefault="00AA3632">
      <w:pPr>
        <w:pStyle w:val="CM9"/>
        <w:spacing w:line="278" w:lineRule="atLeast"/>
      </w:pPr>
      <w:r>
        <w:rPr>
          <w:b/>
          <w:bCs/>
        </w:rPr>
        <w:t>A.10.Assurance</w:t>
      </w:r>
      <w:r w:rsidR="00512D1D">
        <w:rPr>
          <w:b/>
          <w:bCs/>
        </w:rPr>
        <w:t xml:space="preserve">s </w:t>
      </w:r>
      <w:r w:rsidR="00BF2EB4">
        <w:rPr>
          <w:b/>
          <w:bCs/>
        </w:rPr>
        <w:t>of Privacy</w:t>
      </w:r>
    </w:p>
    <w:p w:rsidR="00071843" w:rsidRPr="00071843" w:rsidRDefault="00984256" w:rsidP="00071843">
      <w:pPr>
        <w:pStyle w:val="Default"/>
      </w:pPr>
      <w:r w:rsidRPr="00A410D7">
        <w:t xml:space="preserve">The </w:t>
      </w:r>
      <w:r w:rsidR="00512D1D" w:rsidRPr="00A410D7">
        <w:t>NIH Privacy Officer has reviewed</w:t>
      </w:r>
      <w:r w:rsidRPr="00A410D7">
        <w:t xml:space="preserve"> CareerTrac and determined that </w:t>
      </w:r>
      <w:r w:rsidR="00512D1D" w:rsidRPr="00A410D7">
        <w:t>the system is subject to the Privacy Act</w:t>
      </w:r>
      <w:r w:rsidRPr="00A410D7">
        <w:t xml:space="preserve">. </w:t>
      </w:r>
    </w:p>
    <w:p w:rsidR="00984256" w:rsidRPr="002717AF" w:rsidRDefault="00984256" w:rsidP="00984256">
      <w:pPr>
        <w:autoSpaceDE w:val="0"/>
        <w:autoSpaceDN w:val="0"/>
        <w:adjustRightInd w:val="0"/>
        <w:rPr>
          <w:color w:val="000000"/>
          <w:highlight w:val="yellow"/>
        </w:rPr>
      </w:pPr>
    </w:p>
    <w:p w:rsidR="00ED5301" w:rsidRDefault="00512D1D">
      <w:pPr>
        <w:pStyle w:val="Default"/>
      </w:pPr>
      <w:r w:rsidRPr="00A410D7">
        <w:t xml:space="preserve">CareerTrac falls under the NIH </w:t>
      </w:r>
      <w:r w:rsidR="006E7BA2" w:rsidRPr="00A410D7">
        <w:rPr>
          <w:rStyle w:val="Strong"/>
          <w:b w:val="0"/>
          <w:bCs w:val="0"/>
        </w:rPr>
        <w:t>System of Records Notice (SORN)</w:t>
      </w:r>
      <w:r w:rsidR="00EC0C44" w:rsidRPr="00A410D7">
        <w:rPr>
          <w:rStyle w:val="Strong"/>
          <w:b w:val="0"/>
          <w:bCs w:val="0"/>
        </w:rPr>
        <w:t xml:space="preserve"> </w:t>
      </w:r>
      <w:r w:rsidR="00EC0C44" w:rsidRPr="00A410D7">
        <w:t>09-25-0014</w:t>
      </w:r>
      <w:r w:rsidR="00CF7167" w:rsidRPr="00A410D7">
        <w:t>, Federal Register Notice Vol. 67, No. 187, September 26, 2002</w:t>
      </w:r>
      <w:r w:rsidR="00AA3632" w:rsidRPr="00A410D7">
        <w:t>.</w:t>
      </w:r>
      <w:r w:rsidR="00AA3632">
        <w:t xml:space="preserve"> </w:t>
      </w:r>
      <w:r w:rsidR="007D2B2D" w:rsidRPr="003F6E49">
        <w:t xml:space="preserve">The trainees are informed about the nature and usage of the data collected.  </w:t>
      </w:r>
      <w:r w:rsidR="000D181E">
        <w:t>While PIs enter the data into CareerTrac, they may contact t</w:t>
      </w:r>
      <w:r w:rsidR="007D2B2D" w:rsidRPr="003F6E49">
        <w:t>rainees</w:t>
      </w:r>
      <w:r w:rsidR="000D181E">
        <w:t xml:space="preserve"> to obtain information about their professional accomplishments. Trainees</w:t>
      </w:r>
      <w:r w:rsidR="007D2B2D" w:rsidRPr="003F6E49">
        <w:t xml:space="preserve"> provide the data voluntarily and can </w:t>
      </w:r>
      <w:r w:rsidR="00DB6E01" w:rsidRPr="003F6E49">
        <w:t xml:space="preserve">opt to </w:t>
      </w:r>
      <w:r w:rsidR="007D2B2D" w:rsidRPr="003F6E49">
        <w:t>d</w:t>
      </w:r>
      <w:r w:rsidR="007D2B2D" w:rsidRPr="00CC4E97">
        <w:t xml:space="preserve">ecline </w:t>
      </w:r>
      <w:r w:rsidR="00DB6E01" w:rsidRPr="00CC4E97">
        <w:t>to provide</w:t>
      </w:r>
      <w:r w:rsidR="007D2B2D" w:rsidRPr="00CC4E97">
        <w:t xml:space="preserve"> the requested</w:t>
      </w:r>
      <w:r w:rsidR="00655DAB" w:rsidRPr="00CC4E97">
        <w:t xml:space="preserve"> information</w:t>
      </w:r>
      <w:r w:rsidR="007D2B2D" w:rsidRPr="00CC4E97">
        <w:t xml:space="preserve">.  </w:t>
      </w:r>
    </w:p>
    <w:p w:rsidR="00512D1D" w:rsidRDefault="00512D1D">
      <w:pPr>
        <w:pStyle w:val="Default"/>
      </w:pPr>
    </w:p>
    <w:p w:rsidR="00917CBA" w:rsidRDefault="00CC4E97" w:rsidP="00CC4E97">
      <w:pPr>
        <w:pStyle w:val="CM4"/>
        <w:ind w:right="148"/>
        <w:rPr>
          <w:color w:val="000000"/>
        </w:rPr>
      </w:pPr>
      <w:bookmarkStart w:id="0" w:name="OLE_LINK1"/>
      <w:bookmarkStart w:id="1" w:name="OLE_LINK2"/>
      <w:r w:rsidRPr="00676DFD">
        <w:t xml:space="preserve">CareerTrac data is available to PIs, Principal Investigator Administrators (PIA), Project Officers (PO), and other NIH staff, such as Evaluation Officers. </w:t>
      </w:r>
      <w:r w:rsidR="00917CBA" w:rsidRPr="00676DFD">
        <w:rPr>
          <w:color w:val="000000"/>
        </w:rPr>
        <w:t>The following information may</w:t>
      </w:r>
      <w:r w:rsidR="000B20C5" w:rsidRPr="00676DFD">
        <w:rPr>
          <w:color w:val="000000"/>
        </w:rPr>
        <w:t xml:space="preserve"> </w:t>
      </w:r>
      <w:r w:rsidR="00917CBA" w:rsidRPr="00676DFD">
        <w:rPr>
          <w:color w:val="000000"/>
        </w:rPr>
        <w:t xml:space="preserve">be disclosed individually or in aggregate for "routine uses": current training </w:t>
      </w:r>
      <w:proofErr w:type="gramStart"/>
      <w:r w:rsidR="00917CBA" w:rsidRPr="00676DFD">
        <w:rPr>
          <w:color w:val="000000"/>
        </w:rPr>
        <w:t>status,</w:t>
      </w:r>
      <w:proofErr w:type="gramEnd"/>
      <w:r w:rsidR="00917CBA" w:rsidRPr="00676DFD">
        <w:rPr>
          <w:color w:val="000000"/>
        </w:rPr>
        <w:t xml:space="preserve"> returned to home country, area of training, country of origin, work e-mail, degrees earned through </w:t>
      </w:r>
      <w:r w:rsidR="000B20C5" w:rsidRPr="00676DFD">
        <w:rPr>
          <w:color w:val="000000"/>
        </w:rPr>
        <w:t>NIH</w:t>
      </w:r>
      <w:r w:rsidR="00917CBA" w:rsidRPr="00676DFD">
        <w:rPr>
          <w:color w:val="000000"/>
        </w:rPr>
        <w:t xml:space="preserve"> funded programs, accomplishments that are public products, and trainee career highlights. </w:t>
      </w:r>
      <w:r w:rsidR="00B83F37" w:rsidRPr="00676DFD">
        <w:rPr>
          <w:color w:val="000000"/>
        </w:rPr>
        <w:t xml:space="preserve">Datasets stripped of personal identifiers may be created for NIH evaluation purposes (similar to the concept of “public use datasets” for hospitalization data). </w:t>
      </w:r>
      <w:r w:rsidR="008E0025" w:rsidRPr="00676DFD">
        <w:rPr>
          <w:color w:val="000000"/>
        </w:rPr>
        <w:t xml:space="preserve">Gender and minority status will not be disclosed on an individual basis. </w:t>
      </w:r>
      <w:r w:rsidR="00AD7C82" w:rsidRPr="00676DFD">
        <w:rPr>
          <w:color w:val="000000"/>
        </w:rPr>
        <w:t xml:space="preserve">Trainees </w:t>
      </w:r>
      <w:r w:rsidR="00C24384" w:rsidRPr="00676DFD">
        <w:rPr>
          <w:color w:val="000000"/>
        </w:rPr>
        <w:t xml:space="preserve">who are not appointed using the X-Train data interface </w:t>
      </w:r>
      <w:r w:rsidR="00AD7C82" w:rsidRPr="00676DFD">
        <w:rPr>
          <w:color w:val="000000"/>
        </w:rPr>
        <w:t xml:space="preserve">may elect to </w:t>
      </w:r>
      <w:r w:rsidR="00CA6A99" w:rsidRPr="00676DFD">
        <w:rPr>
          <w:color w:val="000000"/>
        </w:rPr>
        <w:t>“not agree” to be tracked in the database.  In that case, their information will be filed as “anonymous” and they will not be tracked as an individual.</w:t>
      </w:r>
      <w:r w:rsidR="003F6E49" w:rsidRPr="00676DFD">
        <w:rPr>
          <w:color w:val="000000"/>
        </w:rPr>
        <w:t xml:space="preserve"> The following CareerTrac information will not be made publicly available: employment </w:t>
      </w:r>
      <w:r w:rsidR="009F44FA" w:rsidRPr="00676DFD">
        <w:rPr>
          <w:color w:val="000000"/>
        </w:rPr>
        <w:t>status</w:t>
      </w:r>
      <w:r w:rsidR="003F6E49" w:rsidRPr="00676DFD">
        <w:rPr>
          <w:color w:val="000000"/>
        </w:rPr>
        <w:t>, phone, fax, year of birth, or biographical data.</w:t>
      </w:r>
    </w:p>
    <w:p w:rsidR="00071843" w:rsidRDefault="00071843" w:rsidP="00071843">
      <w:pPr>
        <w:pStyle w:val="Default"/>
      </w:pPr>
    </w:p>
    <w:p w:rsidR="00917CBA" w:rsidRDefault="00917CBA" w:rsidP="00917CBA">
      <w:pPr>
        <w:autoSpaceDE w:val="0"/>
        <w:autoSpaceDN w:val="0"/>
        <w:adjustRightInd w:val="0"/>
        <w:rPr>
          <w:color w:val="000000"/>
        </w:rPr>
      </w:pPr>
    </w:p>
    <w:p w:rsidR="00917CBA" w:rsidRDefault="00917CBA" w:rsidP="00917CBA">
      <w:pPr>
        <w:autoSpaceDE w:val="0"/>
        <w:autoSpaceDN w:val="0"/>
        <w:adjustRightInd w:val="0"/>
        <w:rPr>
          <w:b/>
          <w:bCs/>
          <w:color w:val="000000"/>
        </w:rPr>
      </w:pPr>
      <w:r w:rsidRPr="0024175C">
        <w:rPr>
          <w:b/>
          <w:bCs/>
          <w:color w:val="000000"/>
        </w:rPr>
        <w:t>Routine uses of records maintained in the system include, but are not restricted to the following categories of users and purposes:</w:t>
      </w:r>
    </w:p>
    <w:p w:rsidR="00071843" w:rsidRPr="0024175C" w:rsidRDefault="00071843" w:rsidP="00917CBA">
      <w:pPr>
        <w:autoSpaceDE w:val="0"/>
        <w:autoSpaceDN w:val="0"/>
        <w:adjustRightInd w:val="0"/>
        <w:rPr>
          <w:b/>
          <w:bCs/>
          <w:color w:val="000000"/>
        </w:rPr>
      </w:pPr>
    </w:p>
    <w:p w:rsidR="00917CBA" w:rsidRPr="00676DFD" w:rsidRDefault="00542916" w:rsidP="00071843">
      <w:pPr>
        <w:pStyle w:val="ListParagraph"/>
        <w:numPr>
          <w:ilvl w:val="0"/>
          <w:numId w:val="12"/>
        </w:numPr>
        <w:autoSpaceDE w:val="0"/>
        <w:autoSpaceDN w:val="0"/>
        <w:adjustRightInd w:val="0"/>
        <w:rPr>
          <w:rFonts w:ascii="Times New Roman" w:hAnsi="Times New Roman" w:cs="Times New Roman"/>
          <w:color w:val="000000"/>
          <w:sz w:val="24"/>
        </w:rPr>
      </w:pPr>
      <w:r w:rsidRPr="00071843">
        <w:rPr>
          <w:rFonts w:ascii="Times New Roman" w:hAnsi="Times New Roman" w:cs="Times New Roman"/>
          <w:sz w:val="24"/>
        </w:rPr>
        <w:t xml:space="preserve">FIC, </w:t>
      </w:r>
      <w:r w:rsidRPr="00676DFD">
        <w:rPr>
          <w:rFonts w:ascii="Times New Roman" w:hAnsi="Times New Roman" w:cs="Times New Roman"/>
          <w:sz w:val="24"/>
        </w:rPr>
        <w:t>NIEHS, NIGMS,</w:t>
      </w:r>
      <w:r w:rsidR="008E0025" w:rsidRPr="00676DFD">
        <w:rPr>
          <w:rFonts w:ascii="Times New Roman" w:hAnsi="Times New Roman" w:cs="Times New Roman"/>
          <w:sz w:val="24"/>
        </w:rPr>
        <w:t xml:space="preserve"> NLM</w:t>
      </w:r>
      <w:r w:rsidRPr="00676DFD">
        <w:rPr>
          <w:rFonts w:ascii="Times New Roman" w:hAnsi="Times New Roman" w:cs="Times New Roman"/>
          <w:sz w:val="24"/>
        </w:rPr>
        <w:t xml:space="preserve"> and NCI</w:t>
      </w:r>
      <w:r w:rsidR="00917CBA" w:rsidRPr="00676DFD">
        <w:rPr>
          <w:rFonts w:ascii="Times New Roman" w:hAnsi="Times New Roman" w:cs="Times New Roman"/>
          <w:color w:val="000000"/>
          <w:sz w:val="24"/>
        </w:rPr>
        <w:t>, HHS and Congress for reporting and evaluation purposes;</w:t>
      </w:r>
    </w:p>
    <w:p w:rsidR="00917CBA" w:rsidRPr="00676DFD" w:rsidRDefault="00917CBA" w:rsidP="00071843">
      <w:pPr>
        <w:pStyle w:val="ListParagraph"/>
        <w:numPr>
          <w:ilvl w:val="0"/>
          <w:numId w:val="12"/>
        </w:numPr>
        <w:autoSpaceDE w:val="0"/>
        <w:autoSpaceDN w:val="0"/>
        <w:adjustRightInd w:val="0"/>
        <w:rPr>
          <w:rFonts w:ascii="Times New Roman" w:hAnsi="Times New Roman" w:cs="Times New Roman"/>
          <w:color w:val="000000"/>
          <w:sz w:val="24"/>
        </w:rPr>
      </w:pPr>
      <w:r w:rsidRPr="00676DFD">
        <w:rPr>
          <w:rFonts w:ascii="Times New Roman" w:hAnsi="Times New Roman" w:cs="Times New Roman"/>
          <w:color w:val="000000"/>
          <w:sz w:val="24"/>
        </w:rPr>
        <w:t>The PI and Collaborators for the purpose of monitoring the program, submitting progress reports and grant applications</w:t>
      </w:r>
      <w:r w:rsidR="00B83F37" w:rsidRPr="00676DFD">
        <w:rPr>
          <w:rFonts w:ascii="Times New Roman" w:hAnsi="Times New Roman" w:cs="Times New Roman"/>
          <w:color w:val="000000"/>
          <w:sz w:val="24"/>
        </w:rPr>
        <w:t>,</w:t>
      </w:r>
      <w:r w:rsidRPr="00676DFD">
        <w:rPr>
          <w:rFonts w:ascii="Times New Roman" w:hAnsi="Times New Roman" w:cs="Times New Roman"/>
          <w:color w:val="000000"/>
          <w:sz w:val="24"/>
        </w:rPr>
        <w:t xml:space="preserve"> and writing journal articles describing the programs;</w:t>
      </w:r>
    </w:p>
    <w:p w:rsidR="00917CBA" w:rsidRPr="00676DFD" w:rsidRDefault="00E80C13" w:rsidP="00071843">
      <w:pPr>
        <w:pStyle w:val="ListParagraph"/>
        <w:numPr>
          <w:ilvl w:val="0"/>
          <w:numId w:val="12"/>
        </w:numPr>
        <w:autoSpaceDE w:val="0"/>
        <w:autoSpaceDN w:val="0"/>
        <w:adjustRightInd w:val="0"/>
        <w:rPr>
          <w:rFonts w:ascii="Times New Roman" w:hAnsi="Times New Roman" w:cs="Times New Roman"/>
          <w:color w:val="000000"/>
          <w:sz w:val="24"/>
        </w:rPr>
      </w:pPr>
      <w:r w:rsidRPr="00676DFD">
        <w:rPr>
          <w:rFonts w:ascii="Times New Roman" w:hAnsi="Times New Roman" w:cs="Times New Roman"/>
          <w:color w:val="000000"/>
          <w:sz w:val="24"/>
        </w:rPr>
        <w:t xml:space="preserve">FIC and NIEHS </w:t>
      </w:r>
      <w:r w:rsidR="00917CBA" w:rsidRPr="00676DFD">
        <w:rPr>
          <w:rFonts w:ascii="Times New Roman" w:hAnsi="Times New Roman" w:cs="Times New Roman"/>
          <w:color w:val="000000"/>
          <w:sz w:val="24"/>
        </w:rPr>
        <w:t>co-</w:t>
      </w:r>
      <w:proofErr w:type="spellStart"/>
      <w:r w:rsidR="00917CBA" w:rsidRPr="00676DFD">
        <w:rPr>
          <w:rFonts w:ascii="Times New Roman" w:hAnsi="Times New Roman" w:cs="Times New Roman"/>
          <w:color w:val="000000"/>
          <w:sz w:val="24"/>
        </w:rPr>
        <w:t>funding</w:t>
      </w:r>
      <w:proofErr w:type="spellEnd"/>
      <w:r w:rsidR="00917CBA" w:rsidRPr="00676DFD">
        <w:rPr>
          <w:rFonts w:ascii="Times New Roman" w:hAnsi="Times New Roman" w:cs="Times New Roman"/>
          <w:color w:val="000000"/>
          <w:sz w:val="24"/>
        </w:rPr>
        <w:t xml:space="preserve"> partners and co-sponsors of </w:t>
      </w:r>
      <w:r w:rsidRPr="00676DFD">
        <w:rPr>
          <w:rFonts w:ascii="Times New Roman" w:hAnsi="Times New Roman" w:cs="Times New Roman"/>
          <w:color w:val="000000"/>
          <w:sz w:val="24"/>
        </w:rPr>
        <w:t xml:space="preserve">FIC and NIEHS </w:t>
      </w:r>
      <w:r w:rsidR="00917CBA" w:rsidRPr="00676DFD">
        <w:rPr>
          <w:rFonts w:ascii="Times New Roman" w:hAnsi="Times New Roman" w:cs="Times New Roman"/>
          <w:color w:val="000000"/>
          <w:sz w:val="24"/>
        </w:rPr>
        <w:t>programs for the purpose of reporting progress and conducting evaluations of the programs; and</w:t>
      </w:r>
    </w:p>
    <w:p w:rsidR="00917CBA" w:rsidRPr="00676DFD" w:rsidRDefault="00917CBA" w:rsidP="00071843">
      <w:pPr>
        <w:pStyle w:val="ListParagraph"/>
        <w:numPr>
          <w:ilvl w:val="0"/>
          <w:numId w:val="12"/>
        </w:numPr>
        <w:autoSpaceDE w:val="0"/>
        <w:autoSpaceDN w:val="0"/>
        <w:adjustRightInd w:val="0"/>
        <w:rPr>
          <w:rFonts w:ascii="Times New Roman" w:hAnsi="Times New Roman" w:cs="Times New Roman"/>
          <w:color w:val="000000"/>
          <w:sz w:val="24"/>
        </w:rPr>
      </w:pPr>
      <w:r w:rsidRPr="00676DFD">
        <w:rPr>
          <w:rFonts w:ascii="Times New Roman" w:hAnsi="Times New Roman" w:cs="Times New Roman"/>
          <w:color w:val="000000"/>
          <w:sz w:val="24"/>
        </w:rPr>
        <w:lastRenderedPageBreak/>
        <w:t>Interested public, for example, for the purpose of convening a scientific meeting in a particular country to which former trainees will be invited.</w:t>
      </w:r>
    </w:p>
    <w:p w:rsidR="00AD7C82" w:rsidRPr="00676DFD" w:rsidRDefault="00AD7C82" w:rsidP="00917CBA">
      <w:pPr>
        <w:autoSpaceDE w:val="0"/>
        <w:autoSpaceDN w:val="0"/>
        <w:adjustRightInd w:val="0"/>
        <w:rPr>
          <w:color w:val="000000"/>
        </w:rPr>
      </w:pPr>
    </w:p>
    <w:p w:rsidR="00E63579" w:rsidRPr="00676DFD" w:rsidRDefault="00E63579" w:rsidP="00E63579">
      <w:pPr>
        <w:autoSpaceDE w:val="0"/>
        <w:autoSpaceDN w:val="0"/>
        <w:adjustRightInd w:val="0"/>
      </w:pPr>
      <w:r w:rsidRPr="00676DFD">
        <w:t xml:space="preserve">The application </w:t>
      </w:r>
      <w:r w:rsidR="00C24384" w:rsidRPr="00676DFD">
        <w:t xml:space="preserve">is </w:t>
      </w:r>
      <w:r w:rsidRPr="00676DFD">
        <w:t>hosted in NIEHS's data center</w:t>
      </w:r>
      <w:r w:rsidR="00C24384" w:rsidRPr="00676DFD">
        <w:t xml:space="preserve">, which </w:t>
      </w:r>
      <w:r w:rsidRPr="00676DFD">
        <w:t xml:space="preserve">is certified and accredited for moderate risk applications and includes </w:t>
      </w:r>
      <w:r w:rsidR="00C24384" w:rsidRPr="00676DFD">
        <w:t>several</w:t>
      </w:r>
      <w:r w:rsidRPr="00676DFD">
        <w:t xml:space="preserve"> processes for securing and protecting the </w:t>
      </w:r>
      <w:r w:rsidR="008E0025" w:rsidRPr="00676DFD">
        <w:t>individually identifiable data</w:t>
      </w:r>
      <w:r w:rsidR="00C24384" w:rsidRPr="00676DFD">
        <w:t>.</w:t>
      </w:r>
      <w:r w:rsidRPr="00676DFD">
        <w:t xml:space="preserve"> Due to the long-term, on-going nature of this program, records may be maintained indefinitely.  All existing NIH guidelines for retention and destruction of </w:t>
      </w:r>
      <w:r w:rsidR="00512D1D" w:rsidRPr="00676DFD">
        <w:t xml:space="preserve">Individually Identifiable Data </w:t>
      </w:r>
      <w:r w:rsidRPr="00676DFD">
        <w:t>will be adhered to. All confidentiality controls for Moderate Risk systems from the NIST 800-53 are followed.  The system has a current and active accreditation.  Information on specific IT security controls may be obtained from the IT Security Plan for the NIEHS General Support System. Listed below are some of the key security controls employed:</w:t>
      </w:r>
    </w:p>
    <w:p w:rsidR="00E63579" w:rsidRPr="00676DFD" w:rsidRDefault="00E63579" w:rsidP="00E63579">
      <w:pPr>
        <w:autoSpaceDE w:val="0"/>
        <w:autoSpaceDN w:val="0"/>
        <w:adjustRightInd w:val="0"/>
        <w:rPr>
          <w:color w:val="000000"/>
        </w:rPr>
      </w:pPr>
    </w:p>
    <w:tbl>
      <w:tblPr>
        <w:tblW w:w="8748" w:type="dxa"/>
        <w:tblLook w:val="04A0" w:firstRow="1" w:lastRow="0" w:firstColumn="1" w:lastColumn="0" w:noHBand="0" w:noVBand="1"/>
      </w:tblPr>
      <w:tblGrid>
        <w:gridCol w:w="8748"/>
      </w:tblGrid>
      <w:tr w:rsidR="00E63579" w:rsidRPr="00676DFD" w:rsidTr="00EB2FE0">
        <w:trPr>
          <w:cantSplit/>
        </w:trPr>
        <w:tc>
          <w:tcPr>
            <w:tcW w:w="8748" w:type="dxa"/>
            <w:tcBorders>
              <w:left w:val="nil"/>
              <w:bottom w:val="nil"/>
              <w:right w:val="nil"/>
            </w:tcBorders>
            <w:hideMark/>
          </w:tcPr>
          <w:p w:rsidR="00E63579" w:rsidRPr="00676DFD" w:rsidRDefault="00E63579" w:rsidP="00E63579">
            <w:pPr>
              <w:pStyle w:val="Default"/>
              <w:numPr>
                <w:ilvl w:val="0"/>
                <w:numId w:val="7"/>
              </w:numPr>
              <w:spacing w:line="276" w:lineRule="auto"/>
            </w:pPr>
            <w:r w:rsidRPr="00676DFD">
              <w:t xml:space="preserve">Card reader access is required for access to the NIEHS Data Center.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All doors are alarmed for breakage or tampering.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The data center is monitored 24x7.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Visitors are logged and escorted at all times by an authorized person while in the data center.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Procedures are in place to renew all data center access on a quarterly basis.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Procedures are in place for deactivating card reader access for terminated employees/contractors.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Procedures are in place to remove terminated employee/contractor IDs on all systems.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Virus scanning software is installed on all servers and is continuously executed.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File system access control lists are restrictive to prevent unauthorized access.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Firewalls restrict access to servers.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Strong password controls are enforced.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Procedures are in place to apply patches when vulnerabilities and fixes are published. </w:t>
            </w:r>
          </w:p>
        </w:tc>
      </w:tr>
      <w:tr w:rsidR="00E63579" w:rsidRPr="00676DFD"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Routers and firewalls on the data center network detect and defend against Denial of Service (</w:t>
            </w:r>
            <w:proofErr w:type="spellStart"/>
            <w:r w:rsidRPr="00676DFD">
              <w:t>DoS</w:t>
            </w:r>
            <w:proofErr w:type="spellEnd"/>
            <w:r w:rsidRPr="00676DFD">
              <w:t xml:space="preserve">) </w:t>
            </w:r>
          </w:p>
        </w:tc>
      </w:tr>
      <w:tr w:rsidR="00E63579" w:rsidRPr="00C24384" w:rsidTr="007D4DF6">
        <w:trPr>
          <w:cantSplit/>
        </w:trPr>
        <w:tc>
          <w:tcPr>
            <w:tcW w:w="8748" w:type="dxa"/>
            <w:vAlign w:val="center"/>
            <w:hideMark/>
          </w:tcPr>
          <w:p w:rsidR="00E63579" w:rsidRPr="00676DFD" w:rsidRDefault="00E63579" w:rsidP="00E63579">
            <w:pPr>
              <w:pStyle w:val="Default"/>
              <w:numPr>
                <w:ilvl w:val="0"/>
                <w:numId w:val="7"/>
              </w:numPr>
              <w:spacing w:line="276" w:lineRule="auto"/>
            </w:pPr>
            <w:r w:rsidRPr="00676DFD">
              <w:t xml:space="preserve">A combination of incremental backups and snapshots of data foremost systems with an identified need are made daily. </w:t>
            </w:r>
          </w:p>
        </w:tc>
      </w:tr>
      <w:tr w:rsidR="00E63579" w:rsidTr="007D4DF6">
        <w:trPr>
          <w:cantSplit/>
        </w:trPr>
        <w:tc>
          <w:tcPr>
            <w:tcW w:w="8748" w:type="dxa"/>
            <w:vAlign w:val="bottom"/>
            <w:hideMark/>
          </w:tcPr>
          <w:p w:rsidR="00E63579" w:rsidRPr="00C24384" w:rsidRDefault="00E63579" w:rsidP="00E63579">
            <w:pPr>
              <w:pStyle w:val="Default"/>
              <w:numPr>
                <w:ilvl w:val="0"/>
                <w:numId w:val="7"/>
              </w:numPr>
              <w:spacing w:line="276" w:lineRule="auto"/>
            </w:pPr>
            <w:r w:rsidRPr="00C24384">
              <w:t xml:space="preserve">Server configuration standards, general operating procedures, maintenance procedures, software/hardware change control procedures are documented online. </w:t>
            </w:r>
          </w:p>
        </w:tc>
      </w:tr>
    </w:tbl>
    <w:p w:rsidR="00E63579" w:rsidRDefault="00E63579" w:rsidP="00E63579"/>
    <w:bookmarkEnd w:id="0"/>
    <w:bookmarkEnd w:id="1"/>
    <w:p w:rsidR="00AA3632" w:rsidRDefault="00AA3632">
      <w:pPr>
        <w:pStyle w:val="CM9"/>
        <w:spacing w:line="278" w:lineRule="atLeast"/>
      </w:pPr>
      <w:r>
        <w:rPr>
          <w:b/>
          <w:bCs/>
        </w:rPr>
        <w:t xml:space="preserve">A.11.Questions of a Sensitive Nature </w:t>
      </w:r>
    </w:p>
    <w:p w:rsidR="00AA3632" w:rsidRDefault="00DC2074">
      <w:pPr>
        <w:pStyle w:val="CM9"/>
        <w:spacing w:line="278" w:lineRule="atLeast"/>
      </w:pPr>
      <w:r w:rsidRPr="0024175C">
        <w:t xml:space="preserve">CareerTrac </w:t>
      </w:r>
      <w:r w:rsidR="009D3C93">
        <w:t>no longer</w:t>
      </w:r>
      <w:r w:rsidR="00B2052F">
        <w:t xml:space="preserve"> </w:t>
      </w:r>
      <w:r w:rsidRPr="0024175C">
        <w:t>collect</w:t>
      </w:r>
      <w:r w:rsidR="009D3C93">
        <w:t xml:space="preserve">s sensitive data. </w:t>
      </w:r>
      <w:r w:rsidRPr="0024175C">
        <w:t xml:space="preserve"> </w:t>
      </w:r>
      <w:r w:rsidR="009C5AC1">
        <w:t xml:space="preserve"> </w:t>
      </w:r>
    </w:p>
    <w:p w:rsidR="00AA3632" w:rsidRDefault="00AA3632">
      <w:pPr>
        <w:pStyle w:val="CM9"/>
        <w:spacing w:line="278" w:lineRule="atLeast"/>
      </w:pPr>
      <w:r>
        <w:rPr>
          <w:b/>
          <w:bCs/>
        </w:rPr>
        <w:t>A.12</w:t>
      </w:r>
      <w:r w:rsidR="00621485">
        <w:rPr>
          <w:b/>
          <w:bCs/>
        </w:rPr>
        <w:t xml:space="preserve"> </w:t>
      </w:r>
      <w:r>
        <w:rPr>
          <w:b/>
          <w:bCs/>
        </w:rPr>
        <w:t xml:space="preserve">Estimates of Response Burden </w:t>
      </w:r>
    </w:p>
    <w:p w:rsidR="00AA3632" w:rsidRDefault="00AA3632">
      <w:pPr>
        <w:pStyle w:val="CM9"/>
        <w:spacing w:line="278" w:lineRule="atLeast"/>
      </w:pPr>
      <w:r>
        <w:lastRenderedPageBreak/>
        <w:t xml:space="preserve">Hour burden estimates are based </w:t>
      </w:r>
      <w:r w:rsidR="0085647F">
        <w:t>on feedback from users</w:t>
      </w:r>
      <w:r>
        <w:t xml:space="preserve">.  </w:t>
      </w:r>
      <w:r w:rsidR="00BF2EB4" w:rsidRPr="007570CA">
        <w:rPr>
          <w:highlight w:val="yellow"/>
        </w:rPr>
        <w:t xml:space="preserve">Respondents are expected to enter data for </w:t>
      </w:r>
      <w:r w:rsidR="0085647F">
        <w:rPr>
          <w:highlight w:val="yellow"/>
        </w:rPr>
        <w:t>various numbers of</w:t>
      </w:r>
      <w:r w:rsidR="00BF2EB4" w:rsidRPr="007570CA">
        <w:rPr>
          <w:highlight w:val="yellow"/>
        </w:rPr>
        <w:t xml:space="preserve"> trainees.</w:t>
      </w:r>
      <w:r w:rsidR="00BF2EB4">
        <w:t xml:space="preserve"> </w:t>
      </w:r>
      <w:r>
        <w:t xml:space="preserve">Typical users can complete a record entry in 30 minutes or less, including time to gather the required data.  A few records are more complex and require additional time.  </w:t>
      </w:r>
    </w:p>
    <w:p w:rsidR="00AA3632" w:rsidRPr="00AF5A1E" w:rsidRDefault="00AA3632" w:rsidP="00E63579">
      <w:pPr>
        <w:spacing w:after="200" w:line="276" w:lineRule="auto"/>
      </w:pPr>
      <w:r w:rsidRPr="00AF5A1E">
        <w:rPr>
          <w:b/>
          <w:bCs/>
        </w:rPr>
        <w:t xml:space="preserve">A.12.1.Number of Respondents, Frequency of Response, and Annual Hour Burden </w:t>
      </w:r>
    </w:p>
    <w:tbl>
      <w:tblPr>
        <w:tblW w:w="7334" w:type="dxa"/>
        <w:tblInd w:w="-72" w:type="dxa"/>
        <w:tblLook w:val="0000" w:firstRow="0" w:lastRow="0" w:firstColumn="0" w:lastColumn="0" w:noHBand="0" w:noVBand="0"/>
      </w:tblPr>
      <w:tblGrid>
        <w:gridCol w:w="1579"/>
        <w:gridCol w:w="176"/>
        <w:gridCol w:w="1347"/>
        <w:gridCol w:w="1430"/>
        <w:gridCol w:w="1596"/>
        <w:gridCol w:w="1206"/>
      </w:tblGrid>
      <w:tr w:rsidR="003938AD" w:rsidRPr="00AF5A1E" w:rsidTr="00DA7D23">
        <w:trPr>
          <w:trHeight w:val="225"/>
        </w:trPr>
        <w:tc>
          <w:tcPr>
            <w:tcW w:w="1755" w:type="dxa"/>
            <w:gridSpan w:val="2"/>
            <w:tcBorders>
              <w:top w:val="single" w:sz="8" w:space="0" w:color="000000"/>
              <w:left w:val="double" w:sz="4" w:space="0" w:color="000000"/>
              <w:bottom w:val="single" w:sz="8" w:space="0" w:color="000000"/>
            </w:tcBorders>
          </w:tcPr>
          <w:p w:rsidR="003938AD" w:rsidRPr="00AF5A1E" w:rsidRDefault="003938AD">
            <w:pPr>
              <w:pStyle w:val="Default"/>
              <w:rPr>
                <w:color w:val="auto"/>
              </w:rPr>
            </w:pPr>
          </w:p>
        </w:tc>
        <w:tc>
          <w:tcPr>
            <w:tcW w:w="5579" w:type="dxa"/>
            <w:gridSpan w:val="4"/>
            <w:tcBorders>
              <w:top w:val="single" w:sz="8" w:space="0" w:color="000000"/>
              <w:bottom w:val="single" w:sz="8" w:space="0" w:color="000000"/>
              <w:right w:val="double" w:sz="4" w:space="0" w:color="000000"/>
            </w:tcBorders>
          </w:tcPr>
          <w:p w:rsidR="003938AD" w:rsidRPr="00AF5A1E" w:rsidRDefault="00DA7D23">
            <w:pPr>
              <w:pStyle w:val="Default"/>
              <w:rPr>
                <w:color w:val="auto"/>
              </w:rPr>
            </w:pPr>
            <w:r>
              <w:rPr>
                <w:color w:val="auto"/>
              </w:rPr>
              <w:t>Estimated Annualized Burden Hours</w:t>
            </w:r>
          </w:p>
        </w:tc>
      </w:tr>
      <w:tr w:rsidR="003938AD" w:rsidTr="003938AD">
        <w:tblPrEx>
          <w:tblLook w:val="04A0" w:firstRow="1" w:lastRow="0" w:firstColumn="1" w:lastColumn="0" w:noHBand="0" w:noVBand="1"/>
        </w:tblPrEx>
        <w:trPr>
          <w:trHeight w:val="804"/>
        </w:trPr>
        <w:tc>
          <w:tcPr>
            <w:tcW w:w="1579"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pPr>
              <w:jc w:val="center"/>
              <w:rPr>
                <w:b/>
                <w:color w:val="000000"/>
              </w:rPr>
            </w:pPr>
            <w:r w:rsidRPr="007D5D69">
              <w:rPr>
                <w:b/>
                <w:color w:val="000000"/>
              </w:rPr>
              <w:t xml:space="preserve">Type of Respondents </w:t>
            </w:r>
          </w:p>
        </w:tc>
        <w:tc>
          <w:tcPr>
            <w:tcW w:w="1523"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rsidR="003938AD" w:rsidRPr="007D5D69" w:rsidRDefault="003938AD">
            <w:pPr>
              <w:jc w:val="center"/>
              <w:rPr>
                <w:b/>
                <w:color w:val="000000"/>
              </w:rPr>
            </w:pPr>
            <w:r w:rsidRPr="007D5D69">
              <w:rPr>
                <w:b/>
                <w:color w:val="000000"/>
              </w:rPr>
              <w:t xml:space="preserve">Number of Respondents </w:t>
            </w:r>
          </w:p>
        </w:tc>
        <w:tc>
          <w:tcPr>
            <w:tcW w:w="143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3938AD" w:rsidRPr="00C231BB" w:rsidRDefault="003938AD">
            <w:pPr>
              <w:jc w:val="center"/>
              <w:rPr>
                <w:b/>
                <w:color w:val="000000"/>
              </w:rPr>
            </w:pPr>
            <w:r w:rsidRPr="00C231BB">
              <w:rPr>
                <w:b/>
                <w:color w:val="000000"/>
              </w:rPr>
              <w:t>Number of Responses per Respondent</w:t>
            </w:r>
          </w:p>
        </w:tc>
        <w:tc>
          <w:tcPr>
            <w:tcW w:w="1596"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3938AD" w:rsidRPr="007D5D69" w:rsidRDefault="003938AD">
            <w:pPr>
              <w:jc w:val="center"/>
              <w:rPr>
                <w:b/>
                <w:color w:val="000000"/>
              </w:rPr>
            </w:pPr>
            <w:r w:rsidRPr="007D5D69">
              <w:rPr>
                <w:b/>
                <w:color w:val="000000"/>
              </w:rPr>
              <w:t xml:space="preserve">Average Time per Response (in </w:t>
            </w:r>
            <w:proofErr w:type="spellStart"/>
            <w:r w:rsidRPr="007D5D69">
              <w:rPr>
                <w:b/>
                <w:color w:val="000000"/>
              </w:rPr>
              <w:t>Hrs</w:t>
            </w:r>
            <w:proofErr w:type="spellEnd"/>
            <w:r w:rsidRPr="007D5D69">
              <w:rPr>
                <w:b/>
                <w:color w:val="000000"/>
              </w:rPr>
              <w:t>)</w:t>
            </w:r>
          </w:p>
        </w:tc>
        <w:tc>
          <w:tcPr>
            <w:tcW w:w="1206" w:type="dxa"/>
            <w:tcBorders>
              <w:top w:val="double" w:sz="4" w:space="0" w:color="auto"/>
              <w:left w:val="single" w:sz="4" w:space="0" w:color="auto"/>
              <w:bottom w:val="single" w:sz="4" w:space="0" w:color="auto"/>
              <w:right w:val="double" w:sz="4" w:space="0" w:color="auto"/>
            </w:tcBorders>
            <w:shd w:val="clear" w:color="auto" w:fill="auto"/>
            <w:vAlign w:val="center"/>
            <w:hideMark/>
          </w:tcPr>
          <w:p w:rsidR="003938AD" w:rsidRPr="007D5D69" w:rsidRDefault="003938AD">
            <w:pPr>
              <w:jc w:val="center"/>
              <w:rPr>
                <w:b/>
                <w:color w:val="000000"/>
              </w:rPr>
            </w:pPr>
            <w:r w:rsidRPr="007D5D69">
              <w:rPr>
                <w:b/>
                <w:color w:val="000000"/>
              </w:rPr>
              <w:t xml:space="preserve">Annual Hour Burden </w:t>
            </w:r>
          </w:p>
        </w:tc>
      </w:tr>
      <w:tr w:rsidR="003938AD" w:rsidTr="003938AD">
        <w:tblPrEx>
          <w:tblLook w:val="04A0" w:firstRow="1" w:lastRow="0" w:firstColumn="1" w:lastColumn="0" w:noHBand="0" w:noVBand="1"/>
        </w:tblPrEx>
        <w:trPr>
          <w:trHeight w:val="288"/>
        </w:trPr>
        <w:tc>
          <w:tcPr>
            <w:tcW w:w="1579" w:type="dxa"/>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pPr>
              <w:rPr>
                <w:color w:val="000000"/>
              </w:rPr>
            </w:pPr>
            <w:r w:rsidRPr="007D5D69">
              <w:rPr>
                <w:color w:val="000000"/>
              </w:rPr>
              <w:t>FIC Grantee</w:t>
            </w:r>
          </w:p>
        </w:tc>
        <w:tc>
          <w:tcPr>
            <w:tcW w:w="15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50</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90</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30/60</w:t>
            </w:r>
          </w:p>
        </w:tc>
        <w:tc>
          <w:tcPr>
            <w:tcW w:w="1206"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3938AD" w:rsidRPr="003938AD" w:rsidRDefault="008E4D3C">
            <w:pPr>
              <w:jc w:val="center"/>
            </w:pPr>
            <w:r>
              <w:t>2250</w:t>
            </w:r>
          </w:p>
        </w:tc>
      </w:tr>
      <w:tr w:rsidR="003938AD" w:rsidTr="003938AD">
        <w:tblPrEx>
          <w:tblLook w:val="04A0" w:firstRow="1" w:lastRow="0" w:firstColumn="1" w:lastColumn="0" w:noHBand="0" w:noVBand="1"/>
        </w:tblPrEx>
        <w:trPr>
          <w:trHeight w:val="288"/>
        </w:trPr>
        <w:tc>
          <w:tcPr>
            <w:tcW w:w="1579" w:type="dxa"/>
            <w:vMerge/>
            <w:tcBorders>
              <w:top w:val="single" w:sz="4" w:space="0" w:color="auto"/>
              <w:left w:val="double" w:sz="4" w:space="0" w:color="auto"/>
              <w:bottom w:val="single" w:sz="4" w:space="0" w:color="auto"/>
              <w:right w:val="single" w:sz="4" w:space="0" w:color="auto"/>
            </w:tcBorders>
            <w:vAlign w:val="center"/>
            <w:hideMark/>
          </w:tcPr>
          <w:p w:rsidR="003938AD" w:rsidRPr="007D5D69" w:rsidRDefault="003938AD">
            <w:pPr>
              <w:rPr>
                <w:color w:val="000000"/>
              </w:rPr>
            </w:pPr>
          </w:p>
        </w:tc>
        <w:tc>
          <w:tcPr>
            <w:tcW w:w="1523" w:type="dxa"/>
            <w:gridSpan w:val="2"/>
            <w:vMerge/>
            <w:tcBorders>
              <w:top w:val="single" w:sz="4" w:space="0" w:color="auto"/>
              <w:left w:val="single" w:sz="4" w:space="0" w:color="auto"/>
              <w:bottom w:val="single" w:sz="4" w:space="0" w:color="auto"/>
              <w:right w:val="single" w:sz="4" w:space="0" w:color="auto"/>
            </w:tcBorders>
            <w:vAlign w:val="center"/>
            <w:hideMark/>
          </w:tcPr>
          <w:p w:rsidR="003938AD" w:rsidRPr="003938AD" w:rsidRDefault="003938AD"/>
        </w:tc>
        <w:tc>
          <w:tcPr>
            <w:tcW w:w="1430" w:type="dxa"/>
            <w:vMerge/>
            <w:tcBorders>
              <w:top w:val="single" w:sz="4" w:space="0" w:color="auto"/>
              <w:left w:val="single" w:sz="4" w:space="0" w:color="auto"/>
              <w:bottom w:val="single" w:sz="4" w:space="0" w:color="auto"/>
              <w:right w:val="single" w:sz="4" w:space="0" w:color="auto"/>
            </w:tcBorders>
            <w:vAlign w:val="center"/>
            <w:hideMark/>
          </w:tcPr>
          <w:p w:rsidR="003938AD" w:rsidRPr="003938AD" w:rsidRDefault="003938AD"/>
        </w:tc>
        <w:tc>
          <w:tcPr>
            <w:tcW w:w="1596" w:type="dxa"/>
            <w:vMerge/>
            <w:tcBorders>
              <w:top w:val="single" w:sz="4" w:space="0" w:color="auto"/>
              <w:left w:val="single" w:sz="4" w:space="0" w:color="auto"/>
              <w:bottom w:val="single" w:sz="4" w:space="0" w:color="auto"/>
              <w:right w:val="single" w:sz="4" w:space="0" w:color="auto"/>
            </w:tcBorders>
            <w:vAlign w:val="center"/>
            <w:hideMark/>
          </w:tcPr>
          <w:p w:rsidR="003938AD" w:rsidRPr="003938AD" w:rsidRDefault="003938AD"/>
        </w:tc>
        <w:tc>
          <w:tcPr>
            <w:tcW w:w="1206" w:type="dxa"/>
            <w:vMerge/>
            <w:tcBorders>
              <w:top w:val="single" w:sz="4" w:space="0" w:color="auto"/>
              <w:left w:val="single" w:sz="4" w:space="0" w:color="auto"/>
              <w:bottom w:val="single" w:sz="4" w:space="0" w:color="auto"/>
              <w:right w:val="double" w:sz="4" w:space="0" w:color="auto"/>
            </w:tcBorders>
            <w:vAlign w:val="center"/>
            <w:hideMark/>
          </w:tcPr>
          <w:p w:rsidR="003938AD" w:rsidRPr="003938AD" w:rsidRDefault="003938AD"/>
        </w:tc>
      </w:tr>
      <w:tr w:rsidR="003938AD" w:rsidTr="003938AD">
        <w:tblPrEx>
          <w:tblLook w:val="04A0" w:firstRow="1" w:lastRow="0" w:firstColumn="1" w:lastColumn="0" w:noHBand="0" w:noVBand="1"/>
        </w:tblPrEx>
        <w:trPr>
          <w:trHeight w:val="288"/>
        </w:trPr>
        <w:tc>
          <w:tcPr>
            <w:tcW w:w="1579" w:type="dxa"/>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pPr>
              <w:rPr>
                <w:color w:val="000000"/>
              </w:rPr>
            </w:pPr>
            <w:r w:rsidRPr="007D5D69">
              <w:rPr>
                <w:color w:val="000000"/>
              </w:rPr>
              <w:t>NIEHS Grantee</w:t>
            </w:r>
          </w:p>
        </w:tc>
        <w:tc>
          <w:tcPr>
            <w:tcW w:w="15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60</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45</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30/60</w:t>
            </w:r>
          </w:p>
        </w:tc>
        <w:tc>
          <w:tcPr>
            <w:tcW w:w="1206"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3938AD" w:rsidRPr="003938AD" w:rsidRDefault="003938AD">
            <w:pPr>
              <w:jc w:val="center"/>
            </w:pPr>
            <w:r w:rsidRPr="003938AD">
              <w:t>1350</w:t>
            </w:r>
          </w:p>
        </w:tc>
      </w:tr>
      <w:tr w:rsidR="003938AD" w:rsidTr="003938AD">
        <w:tblPrEx>
          <w:tblLook w:val="04A0" w:firstRow="1" w:lastRow="0" w:firstColumn="1" w:lastColumn="0" w:noHBand="0" w:noVBand="1"/>
        </w:tblPrEx>
        <w:trPr>
          <w:trHeight w:val="288"/>
        </w:trPr>
        <w:tc>
          <w:tcPr>
            <w:tcW w:w="1579" w:type="dxa"/>
            <w:vMerge/>
            <w:tcBorders>
              <w:top w:val="single" w:sz="4" w:space="0" w:color="auto"/>
              <w:left w:val="double" w:sz="4" w:space="0" w:color="auto"/>
              <w:bottom w:val="single" w:sz="4" w:space="0" w:color="auto"/>
              <w:right w:val="single" w:sz="4" w:space="0" w:color="auto"/>
            </w:tcBorders>
            <w:vAlign w:val="center"/>
            <w:hideMark/>
          </w:tcPr>
          <w:p w:rsidR="003938AD" w:rsidRPr="007D5D69" w:rsidRDefault="003938AD">
            <w:pPr>
              <w:rPr>
                <w:color w:val="000000"/>
              </w:rPr>
            </w:pPr>
          </w:p>
        </w:tc>
        <w:tc>
          <w:tcPr>
            <w:tcW w:w="1523" w:type="dxa"/>
            <w:gridSpan w:val="2"/>
            <w:vMerge/>
            <w:tcBorders>
              <w:top w:val="single" w:sz="4" w:space="0" w:color="auto"/>
              <w:left w:val="single" w:sz="4" w:space="0" w:color="auto"/>
              <w:bottom w:val="single" w:sz="4" w:space="0" w:color="auto"/>
              <w:right w:val="single" w:sz="4" w:space="0" w:color="auto"/>
            </w:tcBorders>
            <w:vAlign w:val="center"/>
            <w:hideMark/>
          </w:tcPr>
          <w:p w:rsidR="003938AD" w:rsidRPr="003938AD" w:rsidRDefault="003938AD"/>
        </w:tc>
        <w:tc>
          <w:tcPr>
            <w:tcW w:w="1430" w:type="dxa"/>
            <w:vMerge/>
            <w:tcBorders>
              <w:top w:val="single" w:sz="4" w:space="0" w:color="auto"/>
              <w:left w:val="single" w:sz="4" w:space="0" w:color="auto"/>
              <w:bottom w:val="single" w:sz="4" w:space="0" w:color="auto"/>
              <w:right w:val="single" w:sz="4" w:space="0" w:color="auto"/>
            </w:tcBorders>
            <w:vAlign w:val="center"/>
            <w:hideMark/>
          </w:tcPr>
          <w:p w:rsidR="003938AD" w:rsidRPr="003938AD" w:rsidRDefault="003938AD"/>
        </w:tc>
        <w:tc>
          <w:tcPr>
            <w:tcW w:w="1596" w:type="dxa"/>
            <w:vMerge/>
            <w:tcBorders>
              <w:top w:val="single" w:sz="4" w:space="0" w:color="auto"/>
              <w:left w:val="single" w:sz="4" w:space="0" w:color="auto"/>
              <w:bottom w:val="single" w:sz="4" w:space="0" w:color="auto"/>
              <w:right w:val="single" w:sz="4" w:space="0" w:color="auto"/>
            </w:tcBorders>
            <w:vAlign w:val="center"/>
            <w:hideMark/>
          </w:tcPr>
          <w:p w:rsidR="003938AD" w:rsidRPr="003938AD" w:rsidRDefault="003938AD"/>
        </w:tc>
        <w:tc>
          <w:tcPr>
            <w:tcW w:w="1206" w:type="dxa"/>
            <w:vMerge/>
            <w:tcBorders>
              <w:top w:val="single" w:sz="4" w:space="0" w:color="auto"/>
              <w:left w:val="single" w:sz="4" w:space="0" w:color="auto"/>
              <w:bottom w:val="single" w:sz="4" w:space="0" w:color="auto"/>
              <w:right w:val="double" w:sz="4" w:space="0" w:color="auto"/>
            </w:tcBorders>
            <w:vAlign w:val="center"/>
            <w:hideMark/>
          </w:tcPr>
          <w:p w:rsidR="003938AD" w:rsidRPr="003938AD" w:rsidRDefault="003938AD"/>
        </w:tc>
      </w:tr>
      <w:tr w:rsidR="003938AD" w:rsidTr="003938AD">
        <w:tblPrEx>
          <w:tblLook w:val="04A0" w:firstRow="1" w:lastRow="0" w:firstColumn="1" w:lastColumn="0" w:noHBand="0" w:noVBand="1"/>
        </w:tblPrEx>
        <w:trPr>
          <w:trHeight w:val="528"/>
        </w:trPr>
        <w:tc>
          <w:tcPr>
            <w:tcW w:w="1579"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rsidP="00E40DD4">
            <w:pPr>
              <w:rPr>
                <w:color w:val="000000"/>
              </w:rPr>
            </w:pPr>
            <w:r>
              <w:rPr>
                <w:color w:val="000000"/>
              </w:rPr>
              <w:t>NCI</w:t>
            </w:r>
            <w:r w:rsidRPr="007D5D69">
              <w:rPr>
                <w:color w:val="000000"/>
              </w:rPr>
              <w:t xml:space="preserve"> Grantee</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240 </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22</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30/60</w:t>
            </w:r>
          </w:p>
        </w:tc>
        <w:tc>
          <w:tcPr>
            <w:tcW w:w="1206"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3938AD" w:rsidRPr="003938AD" w:rsidRDefault="003938AD">
            <w:pPr>
              <w:jc w:val="center"/>
            </w:pPr>
            <w:r w:rsidRPr="003938AD">
              <w:t>2640</w:t>
            </w:r>
          </w:p>
        </w:tc>
      </w:tr>
      <w:tr w:rsidR="003938AD" w:rsidTr="003938AD">
        <w:tblPrEx>
          <w:tblLook w:val="04A0" w:firstRow="1" w:lastRow="0" w:firstColumn="1" w:lastColumn="0" w:noHBand="0" w:noVBand="1"/>
        </w:tblPrEx>
        <w:trPr>
          <w:trHeight w:val="528"/>
        </w:trPr>
        <w:tc>
          <w:tcPr>
            <w:tcW w:w="1579"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pPr>
              <w:rPr>
                <w:color w:val="000000"/>
              </w:rPr>
            </w:pPr>
            <w:r w:rsidRPr="007D5D69">
              <w:rPr>
                <w:color w:val="000000"/>
              </w:rPr>
              <w:t>NIGMS Grantee</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50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150</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30/60</w:t>
            </w:r>
          </w:p>
        </w:tc>
        <w:tc>
          <w:tcPr>
            <w:tcW w:w="1206"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3938AD" w:rsidRPr="003938AD" w:rsidRDefault="003938AD">
            <w:pPr>
              <w:jc w:val="center"/>
            </w:pPr>
            <w:r w:rsidRPr="003938AD">
              <w:t>3750</w:t>
            </w:r>
          </w:p>
        </w:tc>
      </w:tr>
      <w:tr w:rsidR="003938AD" w:rsidTr="003938AD">
        <w:tblPrEx>
          <w:tblLook w:val="04A0" w:firstRow="1" w:lastRow="0" w:firstColumn="1" w:lastColumn="0" w:noHBand="0" w:noVBand="1"/>
        </w:tblPrEx>
        <w:trPr>
          <w:trHeight w:val="528"/>
        </w:trPr>
        <w:tc>
          <w:tcPr>
            <w:tcW w:w="1579"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pPr>
              <w:rPr>
                <w:color w:val="000000"/>
              </w:rPr>
            </w:pPr>
            <w:r w:rsidRPr="007D5D69">
              <w:rPr>
                <w:color w:val="000000"/>
              </w:rPr>
              <w:t>Superfund Grantee</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20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105</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30/60</w:t>
            </w:r>
          </w:p>
        </w:tc>
        <w:tc>
          <w:tcPr>
            <w:tcW w:w="1206"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3938AD" w:rsidRPr="003938AD" w:rsidRDefault="003938AD">
            <w:pPr>
              <w:jc w:val="center"/>
            </w:pPr>
            <w:r w:rsidRPr="003938AD">
              <w:t>1050</w:t>
            </w:r>
          </w:p>
        </w:tc>
      </w:tr>
      <w:tr w:rsidR="003938AD" w:rsidTr="003938AD">
        <w:tblPrEx>
          <w:tblLook w:val="04A0" w:firstRow="1" w:lastRow="0" w:firstColumn="1" w:lastColumn="0" w:noHBand="0" w:noVBand="1"/>
        </w:tblPrEx>
        <w:trPr>
          <w:trHeight w:val="288"/>
        </w:trPr>
        <w:tc>
          <w:tcPr>
            <w:tcW w:w="1579"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pPr>
              <w:rPr>
                <w:color w:val="000000"/>
              </w:rPr>
            </w:pPr>
            <w:r w:rsidRPr="007D5D69">
              <w:rPr>
                <w:color w:val="000000"/>
              </w:rPr>
              <w:t>NLM Grantee</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16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135</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30/60</w:t>
            </w:r>
          </w:p>
        </w:tc>
        <w:tc>
          <w:tcPr>
            <w:tcW w:w="1206"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3938AD" w:rsidRPr="003938AD" w:rsidRDefault="003938AD">
            <w:pPr>
              <w:jc w:val="center"/>
            </w:pPr>
            <w:r w:rsidRPr="003938AD">
              <w:t>1080</w:t>
            </w:r>
          </w:p>
        </w:tc>
      </w:tr>
      <w:tr w:rsidR="003938AD" w:rsidTr="003938AD">
        <w:tblPrEx>
          <w:tblLook w:val="04A0" w:firstRow="1" w:lastRow="0" w:firstColumn="1" w:lastColumn="0" w:noHBand="0" w:noVBand="1"/>
        </w:tblPrEx>
        <w:trPr>
          <w:trHeight w:val="288"/>
        </w:trPr>
        <w:tc>
          <w:tcPr>
            <w:tcW w:w="1579" w:type="dxa"/>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rsidR="003938AD" w:rsidRPr="007D5D69" w:rsidRDefault="003938AD">
            <w:pPr>
              <w:rPr>
                <w:b/>
                <w:bCs/>
                <w:color w:val="000000"/>
              </w:rPr>
            </w:pPr>
            <w:r w:rsidRPr="007D5D69">
              <w:rPr>
                <w:b/>
                <w:bCs/>
                <w:color w:val="000000"/>
              </w:rPr>
              <w:t xml:space="preserve">Total </w:t>
            </w:r>
          </w:p>
        </w:tc>
        <w:tc>
          <w:tcPr>
            <w:tcW w:w="15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3938AD">
            <w:pPr>
              <w:jc w:val="center"/>
            </w:pPr>
            <w:r w:rsidRPr="003938AD">
              <w:t>196</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8AD" w:rsidRPr="003938AD" w:rsidRDefault="000A7B59">
            <w:pPr>
              <w:jc w:val="center"/>
            </w:pPr>
            <w:r>
              <w:t>24,240</w:t>
            </w:r>
          </w:p>
        </w:tc>
        <w:tc>
          <w:tcPr>
            <w:tcW w:w="1596" w:type="dxa"/>
            <w:vMerge w:val="restart"/>
            <w:tcBorders>
              <w:top w:val="single" w:sz="4" w:space="0" w:color="auto"/>
              <w:left w:val="single" w:sz="4" w:space="0" w:color="auto"/>
              <w:bottom w:val="single" w:sz="4" w:space="0" w:color="auto"/>
              <w:right w:val="single" w:sz="4" w:space="0" w:color="auto"/>
            </w:tcBorders>
            <w:shd w:val="pct25" w:color="auto" w:fill="auto"/>
            <w:vAlign w:val="center"/>
            <w:hideMark/>
          </w:tcPr>
          <w:p w:rsidR="003938AD" w:rsidRPr="003938AD" w:rsidRDefault="003938AD">
            <w:pPr>
              <w:jc w:val="center"/>
            </w:pPr>
          </w:p>
        </w:tc>
        <w:tc>
          <w:tcPr>
            <w:tcW w:w="1206"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3938AD" w:rsidRPr="003938AD" w:rsidRDefault="008E4D3C">
            <w:pPr>
              <w:jc w:val="center"/>
            </w:pPr>
            <w:r>
              <w:t>12,120</w:t>
            </w:r>
          </w:p>
        </w:tc>
      </w:tr>
      <w:tr w:rsidR="003938AD" w:rsidTr="003938AD">
        <w:tblPrEx>
          <w:tblLook w:val="04A0" w:firstRow="1" w:lastRow="0" w:firstColumn="1" w:lastColumn="0" w:noHBand="0" w:noVBand="1"/>
        </w:tblPrEx>
        <w:trPr>
          <w:trHeight w:val="300"/>
        </w:trPr>
        <w:tc>
          <w:tcPr>
            <w:tcW w:w="1579" w:type="dxa"/>
            <w:vMerge/>
            <w:tcBorders>
              <w:top w:val="single" w:sz="4" w:space="0" w:color="auto"/>
              <w:left w:val="double" w:sz="4" w:space="0" w:color="auto"/>
              <w:bottom w:val="single" w:sz="4" w:space="0" w:color="auto"/>
              <w:right w:val="single" w:sz="4" w:space="0" w:color="auto"/>
            </w:tcBorders>
            <w:vAlign w:val="center"/>
            <w:hideMark/>
          </w:tcPr>
          <w:p w:rsidR="003938AD" w:rsidRDefault="003938AD">
            <w:pPr>
              <w:rPr>
                <w:b/>
                <w:bCs/>
                <w:color w:val="000000"/>
                <w:sz w:val="20"/>
                <w:szCs w:val="20"/>
              </w:rPr>
            </w:pPr>
          </w:p>
        </w:tc>
        <w:tc>
          <w:tcPr>
            <w:tcW w:w="1523" w:type="dxa"/>
            <w:gridSpan w:val="2"/>
            <w:vMerge/>
            <w:tcBorders>
              <w:top w:val="single" w:sz="4" w:space="0" w:color="auto"/>
              <w:left w:val="single" w:sz="4" w:space="0" w:color="auto"/>
              <w:bottom w:val="single" w:sz="4" w:space="0" w:color="auto"/>
              <w:right w:val="single" w:sz="4" w:space="0" w:color="auto"/>
            </w:tcBorders>
            <w:vAlign w:val="center"/>
            <w:hideMark/>
          </w:tcPr>
          <w:p w:rsidR="003938AD" w:rsidRDefault="003938AD">
            <w:pPr>
              <w:rPr>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3938AD" w:rsidRDefault="003938AD"/>
        </w:tc>
        <w:tc>
          <w:tcPr>
            <w:tcW w:w="1596" w:type="dxa"/>
            <w:vMerge/>
            <w:tcBorders>
              <w:top w:val="single" w:sz="4" w:space="0" w:color="auto"/>
              <w:left w:val="single" w:sz="4" w:space="0" w:color="auto"/>
              <w:bottom w:val="single" w:sz="4" w:space="0" w:color="auto"/>
              <w:right w:val="single" w:sz="4" w:space="0" w:color="auto"/>
            </w:tcBorders>
            <w:shd w:val="pct25" w:color="auto" w:fill="auto"/>
            <w:vAlign w:val="center"/>
            <w:hideMark/>
          </w:tcPr>
          <w:p w:rsidR="003938AD" w:rsidRDefault="003938AD"/>
        </w:tc>
        <w:tc>
          <w:tcPr>
            <w:tcW w:w="1206" w:type="dxa"/>
            <w:vMerge/>
            <w:tcBorders>
              <w:top w:val="single" w:sz="4" w:space="0" w:color="auto"/>
              <w:left w:val="single" w:sz="4" w:space="0" w:color="auto"/>
              <w:bottom w:val="single" w:sz="4" w:space="0" w:color="auto"/>
              <w:right w:val="double" w:sz="4" w:space="0" w:color="auto"/>
            </w:tcBorders>
            <w:vAlign w:val="center"/>
            <w:hideMark/>
          </w:tcPr>
          <w:p w:rsidR="003938AD" w:rsidRDefault="003938AD">
            <w:pPr>
              <w:rPr>
                <w:sz w:val="20"/>
                <w:szCs w:val="20"/>
              </w:rPr>
            </w:pPr>
          </w:p>
        </w:tc>
      </w:tr>
    </w:tbl>
    <w:p w:rsidR="000E37D1" w:rsidRPr="000E37D1" w:rsidRDefault="000E37D1" w:rsidP="00AF0417">
      <w:pPr>
        <w:pStyle w:val="CommentText"/>
        <w:ind w:left="720"/>
        <w:rPr>
          <w:sz w:val="24"/>
          <w:szCs w:val="24"/>
        </w:rPr>
      </w:pPr>
    </w:p>
    <w:p w:rsidR="001C0009" w:rsidRPr="001C0009" w:rsidRDefault="001C0009" w:rsidP="001C0009">
      <w:pPr>
        <w:pStyle w:val="Default"/>
      </w:pPr>
    </w:p>
    <w:p w:rsidR="00E80C13" w:rsidRDefault="00AA3632" w:rsidP="009134EE">
      <w:pPr>
        <w:pStyle w:val="CM12"/>
        <w:rPr>
          <w:b/>
          <w:bCs/>
        </w:rPr>
      </w:pPr>
      <w:r>
        <w:rPr>
          <w:b/>
          <w:bCs/>
        </w:rPr>
        <w:t>A.12.</w:t>
      </w:r>
      <w:r w:rsidR="00984256">
        <w:rPr>
          <w:b/>
          <w:bCs/>
        </w:rPr>
        <w:t>2</w:t>
      </w:r>
      <w:r>
        <w:rPr>
          <w:b/>
          <w:bCs/>
        </w:rPr>
        <w:t xml:space="preserve">.Estimates of Annualized Cost to Respondents for the Hour Burdens </w:t>
      </w:r>
    </w:p>
    <w:p w:rsidR="009134EE" w:rsidRDefault="009134EE" w:rsidP="009134EE">
      <w:pPr>
        <w:pStyle w:val="CM9"/>
        <w:spacing w:line="278" w:lineRule="atLeast"/>
      </w:pPr>
      <w:r w:rsidRPr="00AF0417">
        <w:t>The CareerTrac team has determined that</w:t>
      </w:r>
      <w:r w:rsidR="00AF0417">
        <w:t xml:space="preserve"> in most cases,</w:t>
      </w:r>
      <w:r w:rsidRPr="00AF0417">
        <w:t xml:space="preserve"> administrators, not PIs, are responsible for entering the majority of data into the system. Therefore, the $</w:t>
      </w:r>
      <w:r w:rsidR="003156D6">
        <w:t>40</w:t>
      </w:r>
      <w:r w:rsidRPr="00AF0417">
        <w:t xml:space="preserve"> hourly wage rate reflects the wage estimate for administrative staff rather than scientific staff.</w:t>
      </w:r>
      <w:r w:rsidR="00984256" w:rsidRPr="00AF0417">
        <w:t xml:space="preserve"> </w:t>
      </w:r>
      <w:r w:rsidR="003156D6" w:rsidRPr="00557538">
        <w:rPr>
          <w:highlight w:val="yellow"/>
        </w:rPr>
        <w:t xml:space="preserve">We used the median annual salary for a Large Department Business Manager from </w:t>
      </w:r>
      <w:proofErr w:type="spellStart"/>
      <w:r w:rsidR="003156D6" w:rsidRPr="00557538">
        <w:rPr>
          <w:highlight w:val="yellow"/>
        </w:rPr>
        <w:t>HigherEdJobs</w:t>
      </w:r>
      <w:proofErr w:type="spellEnd"/>
      <w:r w:rsidR="003156D6" w:rsidRPr="00557538">
        <w:rPr>
          <w:highlight w:val="yellow"/>
        </w:rPr>
        <w:t>.</w:t>
      </w:r>
      <w:r w:rsidR="00ED6647" w:rsidRPr="00557538">
        <w:rPr>
          <w:rStyle w:val="FootnoteReference"/>
          <w:highlight w:val="yellow"/>
        </w:rPr>
        <w:footnoteReference w:id="2"/>
      </w:r>
      <w:r w:rsidR="00ED6647">
        <w:t xml:space="preserve"> </w:t>
      </w:r>
    </w:p>
    <w:p w:rsidR="00A7280B" w:rsidRDefault="00A7280B">
      <w:r>
        <w:br w:type="page"/>
      </w:r>
    </w:p>
    <w:tbl>
      <w:tblPr>
        <w:tblW w:w="9468" w:type="dxa"/>
        <w:tblLayout w:type="fixed"/>
        <w:tblLook w:val="0000" w:firstRow="0" w:lastRow="0" w:firstColumn="0" w:lastColumn="0" w:noHBand="0" w:noVBand="0"/>
      </w:tblPr>
      <w:tblGrid>
        <w:gridCol w:w="1548"/>
        <w:gridCol w:w="1530"/>
        <w:gridCol w:w="1530"/>
        <w:gridCol w:w="1440"/>
        <w:gridCol w:w="990"/>
        <w:gridCol w:w="990"/>
        <w:gridCol w:w="1440"/>
      </w:tblGrid>
      <w:tr w:rsidR="007D5D69" w:rsidTr="007D5D69">
        <w:trPr>
          <w:trHeight w:val="225"/>
        </w:trPr>
        <w:tc>
          <w:tcPr>
            <w:tcW w:w="9468" w:type="dxa"/>
            <w:gridSpan w:val="7"/>
            <w:tcBorders>
              <w:bottom w:val="single" w:sz="4" w:space="0" w:color="auto"/>
            </w:tcBorders>
          </w:tcPr>
          <w:p w:rsidR="007D5D69" w:rsidRDefault="007D5D69" w:rsidP="007D5D69">
            <w:pPr>
              <w:pStyle w:val="Default"/>
              <w:jc w:val="both"/>
              <w:rPr>
                <w:b/>
                <w:bCs/>
                <w:sz w:val="20"/>
                <w:szCs w:val="20"/>
              </w:rPr>
            </w:pPr>
            <w:r>
              <w:rPr>
                <w:b/>
                <w:bCs/>
                <w:sz w:val="20"/>
                <w:szCs w:val="20"/>
              </w:rPr>
              <w:lastRenderedPageBreak/>
              <w:t>A.12-2 Annualized Cost to Respondents</w:t>
            </w:r>
          </w:p>
          <w:p w:rsidR="007D5D69" w:rsidRDefault="007D5D69" w:rsidP="002048FF">
            <w:pPr>
              <w:pStyle w:val="Default"/>
              <w:jc w:val="center"/>
              <w:rPr>
                <w:color w:val="auto"/>
              </w:rPr>
            </w:pPr>
          </w:p>
        </w:tc>
      </w:tr>
      <w:tr w:rsidR="007D5D69" w:rsidTr="005D4A93">
        <w:trPr>
          <w:trHeight w:val="455"/>
        </w:trPr>
        <w:tc>
          <w:tcPr>
            <w:tcW w:w="1548" w:type="dxa"/>
            <w:tcBorders>
              <w:top w:val="single" w:sz="4" w:space="0" w:color="auto"/>
              <w:left w:val="double" w:sz="4" w:space="0" w:color="auto"/>
              <w:bottom w:val="single" w:sz="4" w:space="0" w:color="auto"/>
              <w:right w:val="single" w:sz="4" w:space="0" w:color="auto"/>
            </w:tcBorders>
          </w:tcPr>
          <w:p w:rsidR="007D5D69" w:rsidRPr="007D5D69" w:rsidRDefault="007D5D69" w:rsidP="007D5D69">
            <w:pPr>
              <w:pStyle w:val="Default"/>
              <w:jc w:val="center"/>
              <w:rPr>
                <w:b/>
              </w:rPr>
            </w:pPr>
            <w:r w:rsidRPr="007D5D69">
              <w:rPr>
                <w:b/>
              </w:rPr>
              <w:t>Type of Respondents</w:t>
            </w:r>
          </w:p>
        </w:tc>
        <w:tc>
          <w:tcPr>
            <w:tcW w:w="1530" w:type="dxa"/>
            <w:tcBorders>
              <w:top w:val="single" w:sz="4" w:space="0" w:color="auto"/>
              <w:left w:val="single" w:sz="4" w:space="0" w:color="auto"/>
              <w:bottom w:val="single" w:sz="4" w:space="0" w:color="auto"/>
              <w:right w:val="single" w:sz="4" w:space="0" w:color="auto"/>
            </w:tcBorders>
          </w:tcPr>
          <w:p w:rsidR="007D5D69" w:rsidRPr="007D5D69" w:rsidRDefault="007D5D69" w:rsidP="007D5D69">
            <w:pPr>
              <w:pStyle w:val="Default"/>
              <w:jc w:val="center"/>
              <w:rPr>
                <w:b/>
              </w:rPr>
            </w:pPr>
            <w:r w:rsidRPr="007D5D69">
              <w:rPr>
                <w:b/>
              </w:rPr>
              <w:t>Number of Respondents</w:t>
            </w:r>
          </w:p>
        </w:tc>
        <w:tc>
          <w:tcPr>
            <w:tcW w:w="1530" w:type="dxa"/>
            <w:tcBorders>
              <w:top w:val="single" w:sz="4" w:space="0" w:color="auto"/>
              <w:left w:val="single" w:sz="4" w:space="0" w:color="auto"/>
              <w:bottom w:val="single" w:sz="4" w:space="0" w:color="auto"/>
              <w:right w:val="single" w:sz="4" w:space="0" w:color="auto"/>
            </w:tcBorders>
          </w:tcPr>
          <w:p w:rsidR="007D5D69" w:rsidRPr="007D5D69" w:rsidRDefault="005D4A93" w:rsidP="007D5D69">
            <w:pPr>
              <w:pStyle w:val="Default"/>
              <w:jc w:val="center"/>
              <w:rPr>
                <w:b/>
              </w:rPr>
            </w:pPr>
            <w:r>
              <w:rPr>
                <w:b/>
              </w:rPr>
              <w:t>Number of Responses per Respondent</w:t>
            </w:r>
          </w:p>
        </w:tc>
        <w:tc>
          <w:tcPr>
            <w:tcW w:w="1440" w:type="dxa"/>
            <w:tcBorders>
              <w:top w:val="single" w:sz="4" w:space="0" w:color="auto"/>
              <w:left w:val="single" w:sz="4" w:space="0" w:color="auto"/>
              <w:bottom w:val="single" w:sz="4" w:space="0" w:color="auto"/>
              <w:right w:val="single" w:sz="4" w:space="0" w:color="auto"/>
            </w:tcBorders>
          </w:tcPr>
          <w:p w:rsidR="007D5D69" w:rsidRPr="007D5D69" w:rsidRDefault="007D5D69" w:rsidP="007D5D69">
            <w:pPr>
              <w:pStyle w:val="Default"/>
              <w:jc w:val="center"/>
              <w:rPr>
                <w:b/>
              </w:rPr>
            </w:pPr>
            <w:r w:rsidRPr="007D5D69">
              <w:rPr>
                <w:b/>
              </w:rPr>
              <w:t>Average Time per respondent</w:t>
            </w:r>
          </w:p>
        </w:tc>
        <w:tc>
          <w:tcPr>
            <w:tcW w:w="990" w:type="dxa"/>
            <w:tcBorders>
              <w:top w:val="single" w:sz="4" w:space="0" w:color="auto"/>
              <w:left w:val="single" w:sz="4" w:space="0" w:color="auto"/>
              <w:bottom w:val="single" w:sz="4" w:space="0" w:color="auto"/>
              <w:right w:val="single" w:sz="4" w:space="0" w:color="auto"/>
            </w:tcBorders>
          </w:tcPr>
          <w:p w:rsidR="007D5D69" w:rsidRPr="007D5D69" w:rsidRDefault="007D5D69" w:rsidP="007D5D69">
            <w:pPr>
              <w:pStyle w:val="Default"/>
              <w:jc w:val="center"/>
              <w:rPr>
                <w:b/>
              </w:rPr>
            </w:pPr>
            <w:r w:rsidRPr="007D5D69">
              <w:rPr>
                <w:b/>
              </w:rPr>
              <w:t>Hourly Wage Rate</w:t>
            </w: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7D5D69" w:rsidRDefault="007D5D69" w:rsidP="007D5D69">
            <w:pPr>
              <w:jc w:val="center"/>
              <w:rPr>
                <w:b/>
                <w:color w:val="000000"/>
              </w:rPr>
            </w:pPr>
            <w:r w:rsidRPr="007D5D69">
              <w:rPr>
                <w:b/>
                <w:color w:val="000000"/>
              </w:rPr>
              <w:t>Annual Hour Burden</w:t>
            </w:r>
          </w:p>
        </w:tc>
        <w:tc>
          <w:tcPr>
            <w:tcW w:w="1440" w:type="dxa"/>
            <w:tcBorders>
              <w:top w:val="single" w:sz="4" w:space="0" w:color="auto"/>
              <w:left w:val="single" w:sz="4" w:space="0" w:color="auto"/>
              <w:bottom w:val="single" w:sz="4" w:space="0" w:color="auto"/>
              <w:right w:val="double" w:sz="4" w:space="0" w:color="auto"/>
            </w:tcBorders>
          </w:tcPr>
          <w:p w:rsidR="007D5D69" w:rsidRPr="007D5D69" w:rsidRDefault="007D5D69" w:rsidP="007D5D69">
            <w:pPr>
              <w:pStyle w:val="Default"/>
              <w:jc w:val="center"/>
              <w:rPr>
                <w:b/>
              </w:rPr>
            </w:pPr>
            <w:r w:rsidRPr="007D5D69">
              <w:rPr>
                <w:b/>
              </w:rPr>
              <w:t>Respondent Cost</w:t>
            </w:r>
          </w:p>
        </w:tc>
      </w:tr>
      <w:tr w:rsidR="007D5D69" w:rsidRPr="004D343D" w:rsidTr="005D4A93">
        <w:trPr>
          <w:trHeight w:val="455"/>
        </w:trPr>
        <w:tc>
          <w:tcPr>
            <w:tcW w:w="1548" w:type="dxa"/>
            <w:tcBorders>
              <w:top w:val="single" w:sz="4" w:space="0" w:color="auto"/>
              <w:left w:val="double" w:sz="4" w:space="0" w:color="auto"/>
              <w:bottom w:val="single" w:sz="4" w:space="0" w:color="auto"/>
              <w:right w:val="single" w:sz="4" w:space="0" w:color="auto"/>
            </w:tcBorders>
            <w:vAlign w:val="center"/>
          </w:tcPr>
          <w:p w:rsidR="007D5D69" w:rsidRPr="001C20D6" w:rsidRDefault="007D5D69" w:rsidP="007D5D69">
            <w:pPr>
              <w:rPr>
                <w:color w:val="000000"/>
              </w:rPr>
            </w:pPr>
            <w:r w:rsidRPr="001C20D6">
              <w:rPr>
                <w:color w:val="000000"/>
              </w:rPr>
              <w:t>FIC Grantee</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50</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90</w:t>
            </w:r>
          </w:p>
        </w:tc>
        <w:tc>
          <w:tcPr>
            <w:tcW w:w="1440" w:type="dxa"/>
            <w:tcBorders>
              <w:top w:val="single" w:sz="4" w:space="0" w:color="auto"/>
              <w:left w:val="single" w:sz="4" w:space="0" w:color="auto"/>
              <w:bottom w:val="single" w:sz="4" w:space="0" w:color="auto"/>
              <w:right w:val="single" w:sz="4" w:space="0" w:color="auto"/>
            </w:tcBorders>
          </w:tcPr>
          <w:p w:rsidR="007D5D69" w:rsidRPr="005D4A93" w:rsidRDefault="007D5D69" w:rsidP="007D5D69">
            <w:pPr>
              <w:pStyle w:val="Default"/>
              <w:jc w:val="center"/>
            </w:pPr>
            <w:r w:rsidRPr="005D4A93">
              <w:t>30/60</w:t>
            </w:r>
          </w:p>
        </w:tc>
        <w:tc>
          <w:tcPr>
            <w:tcW w:w="990" w:type="dxa"/>
            <w:tcBorders>
              <w:top w:val="single" w:sz="4" w:space="0" w:color="auto"/>
              <w:left w:val="single" w:sz="4" w:space="0" w:color="auto"/>
              <w:bottom w:val="single" w:sz="4" w:space="0" w:color="auto"/>
              <w:right w:val="single" w:sz="4" w:space="0" w:color="auto"/>
            </w:tcBorders>
          </w:tcPr>
          <w:p w:rsidR="007D5D69" w:rsidRPr="005D4A93" w:rsidRDefault="005D4A93" w:rsidP="007D5D69">
            <w:pPr>
              <w:pStyle w:val="Default"/>
              <w:jc w:val="center"/>
            </w:pPr>
            <w:r>
              <w:t>$</w:t>
            </w:r>
            <w:r w:rsidR="007D5D69" w:rsidRPr="005D4A93">
              <w:t>40</w:t>
            </w: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5D4A93" w:rsidRDefault="00E674DD" w:rsidP="00E674DD">
            <w:pPr>
              <w:jc w:val="center"/>
            </w:pPr>
            <w:r w:rsidRPr="005D4A93">
              <w:t>2250</w:t>
            </w:r>
          </w:p>
        </w:tc>
        <w:tc>
          <w:tcPr>
            <w:tcW w:w="1440" w:type="dxa"/>
            <w:tcBorders>
              <w:top w:val="single" w:sz="4" w:space="0" w:color="auto"/>
              <w:left w:val="single" w:sz="4" w:space="0" w:color="auto"/>
              <w:bottom w:val="single" w:sz="4" w:space="0" w:color="auto"/>
              <w:right w:val="double" w:sz="4" w:space="0" w:color="auto"/>
            </w:tcBorders>
          </w:tcPr>
          <w:p w:rsidR="007D5D69" w:rsidRPr="005D4A93" w:rsidRDefault="007D5D69" w:rsidP="00E674DD">
            <w:pPr>
              <w:pStyle w:val="Default"/>
              <w:jc w:val="center"/>
            </w:pPr>
            <w:r w:rsidRPr="005D4A93">
              <w:t>$</w:t>
            </w:r>
            <w:r w:rsidR="00E674DD" w:rsidRPr="005D4A93">
              <w:t>90</w:t>
            </w:r>
            <w:r w:rsidRPr="005D4A93">
              <w:t>,000</w:t>
            </w:r>
          </w:p>
        </w:tc>
      </w:tr>
      <w:tr w:rsidR="007D5D69" w:rsidRPr="004D343D" w:rsidTr="005D4A93">
        <w:trPr>
          <w:trHeight w:val="455"/>
        </w:trPr>
        <w:tc>
          <w:tcPr>
            <w:tcW w:w="1548" w:type="dxa"/>
            <w:tcBorders>
              <w:top w:val="single" w:sz="4" w:space="0" w:color="auto"/>
              <w:left w:val="double" w:sz="4" w:space="0" w:color="auto"/>
              <w:bottom w:val="single" w:sz="4" w:space="0" w:color="auto"/>
              <w:right w:val="single" w:sz="4" w:space="0" w:color="auto"/>
            </w:tcBorders>
            <w:vAlign w:val="center"/>
          </w:tcPr>
          <w:p w:rsidR="007D5D69" w:rsidRPr="001C20D6" w:rsidRDefault="007D5D69" w:rsidP="007D5D69">
            <w:pPr>
              <w:rPr>
                <w:color w:val="000000"/>
              </w:rPr>
            </w:pPr>
            <w:r w:rsidRPr="001C20D6">
              <w:rPr>
                <w:color w:val="000000"/>
              </w:rPr>
              <w:t>NIEHS Grantee</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60</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45</w:t>
            </w:r>
          </w:p>
        </w:tc>
        <w:tc>
          <w:tcPr>
            <w:tcW w:w="1440" w:type="dxa"/>
            <w:tcBorders>
              <w:top w:val="single" w:sz="4" w:space="0" w:color="auto"/>
              <w:left w:val="single" w:sz="4" w:space="0" w:color="auto"/>
              <w:bottom w:val="single" w:sz="4" w:space="0" w:color="auto"/>
              <w:right w:val="single" w:sz="4" w:space="0" w:color="auto"/>
            </w:tcBorders>
          </w:tcPr>
          <w:p w:rsidR="007D5D69" w:rsidRPr="005D4A93" w:rsidRDefault="007D5D69" w:rsidP="007D5D69">
            <w:pPr>
              <w:pStyle w:val="Default"/>
              <w:jc w:val="center"/>
            </w:pPr>
            <w:r w:rsidRPr="005D4A93">
              <w:t>30/60</w:t>
            </w:r>
          </w:p>
        </w:tc>
        <w:tc>
          <w:tcPr>
            <w:tcW w:w="990" w:type="dxa"/>
            <w:tcBorders>
              <w:top w:val="single" w:sz="4" w:space="0" w:color="auto"/>
              <w:left w:val="single" w:sz="4" w:space="0" w:color="auto"/>
              <w:bottom w:val="single" w:sz="4" w:space="0" w:color="auto"/>
              <w:right w:val="single" w:sz="4" w:space="0" w:color="auto"/>
            </w:tcBorders>
          </w:tcPr>
          <w:p w:rsidR="007D5D69" w:rsidRPr="005D4A93" w:rsidRDefault="005D4A93" w:rsidP="007D5D69">
            <w:pPr>
              <w:jc w:val="center"/>
            </w:pPr>
            <w:r>
              <w:t>$</w:t>
            </w:r>
            <w:r w:rsidR="007D5D69" w:rsidRPr="005D4A93">
              <w:t>40</w:t>
            </w: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1350</w:t>
            </w:r>
          </w:p>
        </w:tc>
        <w:tc>
          <w:tcPr>
            <w:tcW w:w="1440" w:type="dxa"/>
            <w:tcBorders>
              <w:top w:val="single" w:sz="4" w:space="0" w:color="auto"/>
              <w:left w:val="single" w:sz="4" w:space="0" w:color="auto"/>
              <w:bottom w:val="single" w:sz="4" w:space="0" w:color="auto"/>
              <w:right w:val="double" w:sz="4" w:space="0" w:color="auto"/>
            </w:tcBorders>
          </w:tcPr>
          <w:p w:rsidR="007D5D69" w:rsidRPr="005D4A93" w:rsidRDefault="008E4D3C" w:rsidP="007D5D69">
            <w:pPr>
              <w:pStyle w:val="Default"/>
              <w:jc w:val="center"/>
            </w:pPr>
            <w:r>
              <w:t>$</w:t>
            </w:r>
            <w:r w:rsidR="007D5D69" w:rsidRPr="005D4A93">
              <w:t>54,000</w:t>
            </w:r>
          </w:p>
        </w:tc>
      </w:tr>
      <w:tr w:rsidR="007D5D69" w:rsidRPr="004D343D" w:rsidTr="005D4A93">
        <w:trPr>
          <w:trHeight w:val="455"/>
        </w:trPr>
        <w:tc>
          <w:tcPr>
            <w:tcW w:w="1548" w:type="dxa"/>
            <w:tcBorders>
              <w:top w:val="single" w:sz="4" w:space="0" w:color="auto"/>
              <w:left w:val="double" w:sz="4" w:space="0" w:color="auto"/>
              <w:bottom w:val="single" w:sz="4" w:space="0" w:color="auto"/>
              <w:right w:val="single" w:sz="4" w:space="0" w:color="auto"/>
            </w:tcBorders>
            <w:vAlign w:val="center"/>
          </w:tcPr>
          <w:p w:rsidR="007D5D69" w:rsidRPr="001C20D6" w:rsidRDefault="00E40DD4" w:rsidP="00E40DD4">
            <w:pPr>
              <w:rPr>
                <w:color w:val="000000"/>
              </w:rPr>
            </w:pPr>
            <w:r>
              <w:rPr>
                <w:color w:val="000000"/>
              </w:rPr>
              <w:t>NCI</w:t>
            </w:r>
            <w:r w:rsidR="007D5D69" w:rsidRPr="001C20D6">
              <w:rPr>
                <w:color w:val="000000"/>
              </w:rPr>
              <w:t xml:space="preserve"> Grantee</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240</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22</w:t>
            </w:r>
          </w:p>
        </w:tc>
        <w:tc>
          <w:tcPr>
            <w:tcW w:w="1440" w:type="dxa"/>
            <w:tcBorders>
              <w:top w:val="single" w:sz="4" w:space="0" w:color="auto"/>
              <w:left w:val="single" w:sz="4" w:space="0" w:color="auto"/>
              <w:bottom w:val="single" w:sz="4" w:space="0" w:color="auto"/>
              <w:right w:val="single" w:sz="4" w:space="0" w:color="auto"/>
            </w:tcBorders>
          </w:tcPr>
          <w:p w:rsidR="007D5D69" w:rsidRPr="005D4A93" w:rsidRDefault="007D5D69" w:rsidP="007D5D69">
            <w:pPr>
              <w:pStyle w:val="Default"/>
              <w:jc w:val="center"/>
            </w:pPr>
            <w:r w:rsidRPr="005D4A93">
              <w:t>30/60</w:t>
            </w:r>
          </w:p>
        </w:tc>
        <w:tc>
          <w:tcPr>
            <w:tcW w:w="990" w:type="dxa"/>
            <w:tcBorders>
              <w:top w:val="single" w:sz="4" w:space="0" w:color="auto"/>
              <w:left w:val="single" w:sz="4" w:space="0" w:color="auto"/>
              <w:bottom w:val="single" w:sz="4" w:space="0" w:color="auto"/>
              <w:right w:val="single" w:sz="4" w:space="0" w:color="auto"/>
            </w:tcBorders>
          </w:tcPr>
          <w:p w:rsidR="007D5D69" w:rsidRPr="005D4A93" w:rsidRDefault="005D4A93" w:rsidP="007D5D69">
            <w:pPr>
              <w:jc w:val="center"/>
            </w:pPr>
            <w:r>
              <w:t>$</w:t>
            </w:r>
            <w:r w:rsidR="007D5D69" w:rsidRPr="005D4A93">
              <w:t>40</w:t>
            </w: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2640</w:t>
            </w:r>
          </w:p>
        </w:tc>
        <w:tc>
          <w:tcPr>
            <w:tcW w:w="1440" w:type="dxa"/>
            <w:tcBorders>
              <w:top w:val="single" w:sz="4" w:space="0" w:color="auto"/>
              <w:left w:val="single" w:sz="4" w:space="0" w:color="auto"/>
              <w:bottom w:val="single" w:sz="4" w:space="0" w:color="auto"/>
              <w:right w:val="double" w:sz="4" w:space="0" w:color="auto"/>
            </w:tcBorders>
          </w:tcPr>
          <w:p w:rsidR="007D5D69" w:rsidRPr="005D4A93" w:rsidRDefault="008E4D3C" w:rsidP="007D5D69">
            <w:pPr>
              <w:pStyle w:val="Default"/>
              <w:jc w:val="center"/>
            </w:pPr>
            <w:r>
              <w:t>$</w:t>
            </w:r>
            <w:r w:rsidR="007D5D69" w:rsidRPr="005D4A93">
              <w:t>105,600</w:t>
            </w:r>
          </w:p>
        </w:tc>
      </w:tr>
      <w:tr w:rsidR="007D5D69" w:rsidRPr="004D343D" w:rsidTr="005D4A93">
        <w:trPr>
          <w:trHeight w:val="455"/>
        </w:trPr>
        <w:tc>
          <w:tcPr>
            <w:tcW w:w="1548" w:type="dxa"/>
            <w:tcBorders>
              <w:top w:val="single" w:sz="4" w:space="0" w:color="auto"/>
              <w:left w:val="double" w:sz="4" w:space="0" w:color="auto"/>
              <w:bottom w:val="single" w:sz="4" w:space="0" w:color="auto"/>
              <w:right w:val="single" w:sz="4" w:space="0" w:color="auto"/>
            </w:tcBorders>
            <w:vAlign w:val="center"/>
          </w:tcPr>
          <w:p w:rsidR="007D5D69" w:rsidRPr="001C20D6" w:rsidRDefault="007D5D69" w:rsidP="007D5D69">
            <w:pPr>
              <w:rPr>
                <w:color w:val="000000"/>
              </w:rPr>
            </w:pPr>
            <w:r w:rsidRPr="001C20D6">
              <w:rPr>
                <w:color w:val="000000"/>
              </w:rPr>
              <w:t>NIGMS Grantee</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50</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150</w:t>
            </w:r>
          </w:p>
        </w:tc>
        <w:tc>
          <w:tcPr>
            <w:tcW w:w="1440" w:type="dxa"/>
            <w:tcBorders>
              <w:top w:val="single" w:sz="4" w:space="0" w:color="auto"/>
              <w:left w:val="single" w:sz="4" w:space="0" w:color="auto"/>
              <w:bottom w:val="single" w:sz="4" w:space="0" w:color="auto"/>
              <w:right w:val="single" w:sz="4" w:space="0" w:color="auto"/>
            </w:tcBorders>
          </w:tcPr>
          <w:p w:rsidR="007D5D69" w:rsidRPr="005D4A93" w:rsidRDefault="007D5D69" w:rsidP="007D5D69">
            <w:pPr>
              <w:pStyle w:val="Default"/>
              <w:jc w:val="center"/>
            </w:pPr>
            <w:r w:rsidRPr="005D4A93">
              <w:t>30/60</w:t>
            </w:r>
          </w:p>
        </w:tc>
        <w:tc>
          <w:tcPr>
            <w:tcW w:w="990" w:type="dxa"/>
            <w:tcBorders>
              <w:top w:val="single" w:sz="4" w:space="0" w:color="auto"/>
              <w:left w:val="single" w:sz="4" w:space="0" w:color="auto"/>
              <w:bottom w:val="single" w:sz="4" w:space="0" w:color="auto"/>
              <w:right w:val="single" w:sz="4" w:space="0" w:color="auto"/>
            </w:tcBorders>
          </w:tcPr>
          <w:p w:rsidR="007D5D69" w:rsidRPr="005D4A93" w:rsidRDefault="005D4A93" w:rsidP="007D5D69">
            <w:pPr>
              <w:jc w:val="center"/>
            </w:pPr>
            <w:r>
              <w:t>$</w:t>
            </w:r>
            <w:r w:rsidR="007D5D69" w:rsidRPr="005D4A93">
              <w:t>40</w:t>
            </w: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3750</w:t>
            </w:r>
          </w:p>
        </w:tc>
        <w:tc>
          <w:tcPr>
            <w:tcW w:w="1440" w:type="dxa"/>
            <w:tcBorders>
              <w:top w:val="single" w:sz="4" w:space="0" w:color="auto"/>
              <w:left w:val="single" w:sz="4" w:space="0" w:color="auto"/>
              <w:bottom w:val="single" w:sz="4" w:space="0" w:color="auto"/>
              <w:right w:val="double" w:sz="4" w:space="0" w:color="auto"/>
            </w:tcBorders>
          </w:tcPr>
          <w:p w:rsidR="007D5D69" w:rsidRPr="005D4A93" w:rsidRDefault="007D5D69" w:rsidP="007D5D69">
            <w:pPr>
              <w:pStyle w:val="Default"/>
              <w:jc w:val="center"/>
            </w:pPr>
            <w:r w:rsidRPr="005D4A93">
              <w:t>$150,0</w:t>
            </w:r>
            <w:r w:rsidR="00E674DD" w:rsidRPr="005D4A93">
              <w:t>0</w:t>
            </w:r>
            <w:r w:rsidRPr="005D4A93">
              <w:t>0</w:t>
            </w:r>
          </w:p>
        </w:tc>
      </w:tr>
      <w:tr w:rsidR="007D5D69" w:rsidRPr="004D343D" w:rsidTr="005D4A93">
        <w:trPr>
          <w:trHeight w:val="455"/>
        </w:trPr>
        <w:tc>
          <w:tcPr>
            <w:tcW w:w="1548" w:type="dxa"/>
            <w:tcBorders>
              <w:top w:val="single" w:sz="4" w:space="0" w:color="auto"/>
              <w:left w:val="double" w:sz="4" w:space="0" w:color="auto"/>
              <w:bottom w:val="single" w:sz="4" w:space="0" w:color="auto"/>
              <w:right w:val="single" w:sz="4" w:space="0" w:color="auto"/>
            </w:tcBorders>
            <w:vAlign w:val="center"/>
          </w:tcPr>
          <w:p w:rsidR="007D5D69" w:rsidRPr="001C20D6" w:rsidRDefault="007D5D69" w:rsidP="007D5D69">
            <w:pPr>
              <w:rPr>
                <w:color w:val="000000"/>
              </w:rPr>
            </w:pPr>
            <w:r w:rsidRPr="001C20D6">
              <w:rPr>
                <w:color w:val="000000"/>
              </w:rPr>
              <w:t>Superfund Grantee</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20</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105</w:t>
            </w:r>
          </w:p>
        </w:tc>
        <w:tc>
          <w:tcPr>
            <w:tcW w:w="1440" w:type="dxa"/>
            <w:tcBorders>
              <w:top w:val="single" w:sz="4" w:space="0" w:color="auto"/>
              <w:left w:val="single" w:sz="4" w:space="0" w:color="auto"/>
              <w:bottom w:val="single" w:sz="4" w:space="0" w:color="auto"/>
              <w:right w:val="single" w:sz="4" w:space="0" w:color="auto"/>
            </w:tcBorders>
          </w:tcPr>
          <w:p w:rsidR="007D5D69" w:rsidRPr="005D4A93" w:rsidRDefault="007D5D69" w:rsidP="007D5D69">
            <w:pPr>
              <w:pStyle w:val="Default"/>
              <w:jc w:val="center"/>
            </w:pPr>
            <w:r w:rsidRPr="005D4A93">
              <w:t>30/60</w:t>
            </w:r>
          </w:p>
        </w:tc>
        <w:tc>
          <w:tcPr>
            <w:tcW w:w="990" w:type="dxa"/>
            <w:tcBorders>
              <w:top w:val="single" w:sz="4" w:space="0" w:color="auto"/>
              <w:left w:val="single" w:sz="4" w:space="0" w:color="auto"/>
              <w:bottom w:val="single" w:sz="4" w:space="0" w:color="auto"/>
              <w:right w:val="single" w:sz="4" w:space="0" w:color="auto"/>
            </w:tcBorders>
          </w:tcPr>
          <w:p w:rsidR="007D5D69" w:rsidRPr="005D4A93" w:rsidRDefault="005D4A93" w:rsidP="007D5D69">
            <w:pPr>
              <w:jc w:val="center"/>
            </w:pPr>
            <w:r>
              <w:t>$</w:t>
            </w:r>
            <w:r w:rsidR="007D5D69" w:rsidRPr="005D4A93">
              <w:t>40</w:t>
            </w: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1050</w:t>
            </w:r>
          </w:p>
        </w:tc>
        <w:tc>
          <w:tcPr>
            <w:tcW w:w="1440" w:type="dxa"/>
            <w:tcBorders>
              <w:top w:val="single" w:sz="4" w:space="0" w:color="auto"/>
              <w:left w:val="single" w:sz="4" w:space="0" w:color="auto"/>
              <w:bottom w:val="single" w:sz="4" w:space="0" w:color="auto"/>
              <w:right w:val="double" w:sz="4" w:space="0" w:color="auto"/>
            </w:tcBorders>
          </w:tcPr>
          <w:p w:rsidR="007D5D69" w:rsidRPr="005D4A93" w:rsidRDefault="007D5D69" w:rsidP="007D5D69">
            <w:pPr>
              <w:tabs>
                <w:tab w:val="left" w:pos="780"/>
              </w:tabs>
              <w:jc w:val="center"/>
            </w:pPr>
            <w:r w:rsidRPr="005D4A93">
              <w:t>$42,000</w:t>
            </w:r>
          </w:p>
        </w:tc>
      </w:tr>
      <w:tr w:rsidR="007D5D69" w:rsidRPr="004D343D" w:rsidTr="005D4A93">
        <w:trPr>
          <w:trHeight w:val="455"/>
        </w:trPr>
        <w:tc>
          <w:tcPr>
            <w:tcW w:w="1548" w:type="dxa"/>
            <w:tcBorders>
              <w:top w:val="single" w:sz="4" w:space="0" w:color="auto"/>
              <w:left w:val="double" w:sz="4" w:space="0" w:color="auto"/>
              <w:bottom w:val="single" w:sz="4" w:space="0" w:color="auto"/>
              <w:right w:val="single" w:sz="4" w:space="0" w:color="auto"/>
            </w:tcBorders>
            <w:vAlign w:val="center"/>
          </w:tcPr>
          <w:p w:rsidR="007D5D69" w:rsidRPr="001C20D6" w:rsidRDefault="007D5D69" w:rsidP="007D5D69">
            <w:pPr>
              <w:rPr>
                <w:color w:val="000000"/>
              </w:rPr>
            </w:pPr>
            <w:r w:rsidRPr="001C20D6">
              <w:rPr>
                <w:color w:val="000000"/>
              </w:rPr>
              <w:t>NLM Grantee</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16</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135</w:t>
            </w:r>
          </w:p>
        </w:tc>
        <w:tc>
          <w:tcPr>
            <w:tcW w:w="1440" w:type="dxa"/>
            <w:tcBorders>
              <w:top w:val="single" w:sz="4" w:space="0" w:color="auto"/>
              <w:left w:val="single" w:sz="4" w:space="0" w:color="auto"/>
              <w:bottom w:val="single" w:sz="4" w:space="0" w:color="auto"/>
              <w:right w:val="single" w:sz="4" w:space="0" w:color="auto"/>
            </w:tcBorders>
          </w:tcPr>
          <w:p w:rsidR="007D5D69" w:rsidRPr="005D4A93" w:rsidRDefault="007D5D69" w:rsidP="007D5D69">
            <w:pPr>
              <w:pStyle w:val="Default"/>
              <w:jc w:val="center"/>
            </w:pPr>
            <w:r w:rsidRPr="005D4A93">
              <w:t>30/60</w:t>
            </w:r>
          </w:p>
        </w:tc>
        <w:tc>
          <w:tcPr>
            <w:tcW w:w="990" w:type="dxa"/>
            <w:tcBorders>
              <w:top w:val="single" w:sz="4" w:space="0" w:color="auto"/>
              <w:left w:val="single" w:sz="4" w:space="0" w:color="auto"/>
              <w:bottom w:val="single" w:sz="4" w:space="0" w:color="auto"/>
              <w:right w:val="single" w:sz="4" w:space="0" w:color="auto"/>
            </w:tcBorders>
          </w:tcPr>
          <w:p w:rsidR="007D5D69" w:rsidRPr="005D4A93" w:rsidRDefault="005D4A93" w:rsidP="007D5D69">
            <w:pPr>
              <w:jc w:val="center"/>
            </w:pPr>
            <w:r>
              <w:t>$</w:t>
            </w:r>
            <w:r w:rsidR="007D5D69" w:rsidRPr="005D4A93">
              <w:t>40</w:t>
            </w: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1080</w:t>
            </w:r>
          </w:p>
        </w:tc>
        <w:tc>
          <w:tcPr>
            <w:tcW w:w="1440" w:type="dxa"/>
            <w:tcBorders>
              <w:top w:val="single" w:sz="4" w:space="0" w:color="auto"/>
              <w:left w:val="single" w:sz="4" w:space="0" w:color="auto"/>
              <w:bottom w:val="single" w:sz="4" w:space="0" w:color="auto"/>
              <w:right w:val="double" w:sz="4" w:space="0" w:color="auto"/>
            </w:tcBorders>
          </w:tcPr>
          <w:p w:rsidR="007D5D69" w:rsidRPr="005D4A93" w:rsidRDefault="007D5D69" w:rsidP="007D5D69">
            <w:pPr>
              <w:pStyle w:val="Default"/>
              <w:jc w:val="center"/>
            </w:pPr>
            <w:r w:rsidRPr="005D4A93">
              <w:t>$43,200</w:t>
            </w:r>
          </w:p>
        </w:tc>
      </w:tr>
      <w:tr w:rsidR="007D5D69" w:rsidTr="005D4A93">
        <w:trPr>
          <w:trHeight w:val="270"/>
        </w:trPr>
        <w:tc>
          <w:tcPr>
            <w:tcW w:w="1548" w:type="dxa"/>
            <w:tcBorders>
              <w:top w:val="single" w:sz="4" w:space="0" w:color="auto"/>
              <w:left w:val="double" w:sz="4" w:space="0" w:color="auto"/>
              <w:bottom w:val="single" w:sz="4" w:space="0" w:color="auto"/>
              <w:right w:val="single" w:sz="4" w:space="0" w:color="auto"/>
            </w:tcBorders>
            <w:vAlign w:val="center"/>
          </w:tcPr>
          <w:p w:rsidR="007D5D69" w:rsidRPr="001C20D6" w:rsidRDefault="007D5D69" w:rsidP="007D5D69">
            <w:pPr>
              <w:rPr>
                <w:b/>
                <w:bCs/>
                <w:color w:val="000000"/>
              </w:rPr>
            </w:pPr>
            <w:r w:rsidRPr="001C20D6">
              <w:rPr>
                <w:b/>
                <w:bCs/>
                <w:color w:val="000000"/>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7D5D69" w:rsidRPr="005D4A93" w:rsidRDefault="007D5D69" w:rsidP="007D5D69">
            <w:pPr>
              <w:jc w:val="center"/>
            </w:pPr>
            <w:r w:rsidRPr="005D4A93">
              <w:t>196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D5D69" w:rsidRPr="005D4A93" w:rsidRDefault="000A7B59" w:rsidP="007D5D69">
            <w:pPr>
              <w:jc w:val="center"/>
            </w:pPr>
            <w:r>
              <w:t>24,240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5D69" w:rsidRPr="005D4A93" w:rsidRDefault="007D5D69" w:rsidP="007D5D69">
            <w:pPr>
              <w:pStyle w:val="Default"/>
              <w:jc w:val="center"/>
              <w:rPr>
                <w:b/>
                <w:color w:val="auto"/>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5D69" w:rsidRPr="005D4A93" w:rsidRDefault="007D5D69" w:rsidP="007D5D69">
            <w:pPr>
              <w:pStyle w:val="Default"/>
              <w:jc w:val="center"/>
              <w:rPr>
                <w:b/>
                <w:color w:val="auto"/>
              </w:rPr>
            </w:pPr>
          </w:p>
        </w:tc>
        <w:tc>
          <w:tcPr>
            <w:tcW w:w="990" w:type="dxa"/>
            <w:tcBorders>
              <w:top w:val="single" w:sz="4" w:space="0" w:color="auto"/>
              <w:left w:val="single" w:sz="4" w:space="0" w:color="auto"/>
              <w:bottom w:val="single" w:sz="4" w:space="0" w:color="auto"/>
              <w:right w:val="single" w:sz="4" w:space="0" w:color="auto"/>
            </w:tcBorders>
            <w:vAlign w:val="center"/>
          </w:tcPr>
          <w:p w:rsidR="007D5D69" w:rsidRPr="005D4A93" w:rsidRDefault="008E4D3C" w:rsidP="007D5D69">
            <w:pPr>
              <w:jc w:val="center"/>
            </w:pPr>
            <w:r>
              <w:t>12,120</w:t>
            </w:r>
          </w:p>
        </w:tc>
        <w:tc>
          <w:tcPr>
            <w:tcW w:w="1440" w:type="dxa"/>
            <w:tcBorders>
              <w:top w:val="single" w:sz="4" w:space="0" w:color="auto"/>
              <w:left w:val="single" w:sz="4" w:space="0" w:color="auto"/>
              <w:bottom w:val="single" w:sz="4" w:space="0" w:color="auto"/>
              <w:right w:val="double" w:sz="4" w:space="0" w:color="auto"/>
            </w:tcBorders>
          </w:tcPr>
          <w:p w:rsidR="007D5D69" w:rsidRPr="005D4A93" w:rsidRDefault="007D5D69" w:rsidP="00E674DD">
            <w:pPr>
              <w:pStyle w:val="Default"/>
              <w:jc w:val="center"/>
              <w:rPr>
                <w:b/>
              </w:rPr>
            </w:pPr>
            <w:r w:rsidRPr="005D4A93">
              <w:rPr>
                <w:b/>
                <w:bCs/>
              </w:rPr>
              <w:t>$</w:t>
            </w:r>
            <w:r w:rsidR="00E674DD" w:rsidRPr="005D4A93">
              <w:rPr>
                <w:b/>
                <w:bCs/>
              </w:rPr>
              <w:t>484</w:t>
            </w:r>
            <w:r w:rsidRPr="005D4A93">
              <w:rPr>
                <w:b/>
                <w:bCs/>
              </w:rPr>
              <w:t>,</w:t>
            </w:r>
            <w:r w:rsidR="00E674DD" w:rsidRPr="005D4A93">
              <w:rPr>
                <w:b/>
                <w:bCs/>
              </w:rPr>
              <w:t>8</w:t>
            </w:r>
            <w:r w:rsidRPr="005D4A93">
              <w:rPr>
                <w:b/>
                <w:bCs/>
              </w:rPr>
              <w:t>00</w:t>
            </w:r>
          </w:p>
        </w:tc>
      </w:tr>
    </w:tbl>
    <w:p w:rsidR="002048FF" w:rsidRPr="002048FF" w:rsidRDefault="001C20D6" w:rsidP="001C20D6">
      <w:pPr>
        <w:pStyle w:val="Default"/>
        <w:tabs>
          <w:tab w:val="left" w:pos="7620"/>
        </w:tabs>
      </w:pPr>
      <w:r>
        <w:tab/>
      </w:r>
    </w:p>
    <w:p w:rsidR="00AA3632" w:rsidRDefault="00AA3632">
      <w:pPr>
        <w:pStyle w:val="CM9"/>
        <w:spacing w:line="278" w:lineRule="atLeast"/>
      </w:pPr>
      <w:r>
        <w:rPr>
          <w:b/>
          <w:bCs/>
        </w:rPr>
        <w:t xml:space="preserve">A.13.Estimate of Total Capital and Startup Costs/Operation and Maintenance Costs to Respondents or Record Keepers </w:t>
      </w:r>
    </w:p>
    <w:p w:rsidR="00AA3632" w:rsidRDefault="00AA3632">
      <w:pPr>
        <w:pStyle w:val="CM9"/>
        <w:spacing w:line="276" w:lineRule="atLeast"/>
        <w:ind w:right="400"/>
      </w:pPr>
      <w:r>
        <w:t xml:space="preserve">There are no Capital Costs or Operating and Maintenance Costs to report.  The data collection system is a web-based application available to respondents at no cost using their existing desktop hardware and software. </w:t>
      </w:r>
    </w:p>
    <w:p w:rsidR="00AA3632" w:rsidRDefault="00AA3632" w:rsidP="00CC49ED">
      <w:pPr>
        <w:spacing w:after="200" w:line="276" w:lineRule="auto"/>
      </w:pPr>
      <w:r>
        <w:rPr>
          <w:b/>
          <w:bCs/>
        </w:rPr>
        <w:t xml:space="preserve">A.14.Estimates of Costs to the Federal Government </w:t>
      </w:r>
    </w:p>
    <w:p w:rsidR="00CC49ED" w:rsidRDefault="00AA3632">
      <w:pPr>
        <w:pStyle w:val="CM2"/>
        <w:spacing w:after="100"/>
      </w:pPr>
      <w:r>
        <w:t xml:space="preserve">The costs below are the additional costs required supporting this data collection. Existing computer facilities and equipment are being utilized at no additional cost to NIH.  The estimated cost to develop, test and implement the data collection system assumes a minimum ten-year life expectancy for the application, with technology refreshes accounted for in the annual cost to maintain the data collection system.  </w:t>
      </w:r>
    </w:p>
    <w:p w:rsidR="00AA3632" w:rsidRDefault="00AA3632" w:rsidP="000E37D1">
      <w:pPr>
        <w:pStyle w:val="Default"/>
      </w:pPr>
    </w:p>
    <w:tbl>
      <w:tblPr>
        <w:tblW w:w="8578" w:type="dxa"/>
        <w:tblLook w:val="0000" w:firstRow="0" w:lastRow="0" w:firstColumn="0" w:lastColumn="0" w:noHBand="0" w:noVBand="0"/>
      </w:tblPr>
      <w:tblGrid>
        <w:gridCol w:w="5510"/>
        <w:gridCol w:w="3068"/>
      </w:tblGrid>
      <w:tr w:rsidR="00AA3632">
        <w:trPr>
          <w:trHeight w:val="225"/>
        </w:trPr>
        <w:tc>
          <w:tcPr>
            <w:tcW w:w="8578" w:type="dxa"/>
            <w:gridSpan w:val="2"/>
            <w:tcBorders>
              <w:top w:val="single" w:sz="8" w:space="0" w:color="000000"/>
              <w:left w:val="double" w:sz="4" w:space="0" w:color="000000"/>
              <w:bottom w:val="single" w:sz="8" w:space="0" w:color="000000"/>
              <w:right w:val="double" w:sz="4" w:space="0" w:color="000000"/>
            </w:tcBorders>
            <w:vAlign w:val="center"/>
          </w:tcPr>
          <w:p w:rsidR="00AA3632" w:rsidRDefault="00AA3632">
            <w:pPr>
              <w:pStyle w:val="Default"/>
              <w:rPr>
                <w:sz w:val="20"/>
                <w:szCs w:val="20"/>
              </w:rPr>
            </w:pPr>
            <w:r>
              <w:rPr>
                <w:b/>
                <w:bCs/>
                <w:sz w:val="20"/>
                <w:szCs w:val="20"/>
              </w:rPr>
              <w:t xml:space="preserve">A.14 Annualized Cost to the Federal Government </w:t>
            </w:r>
          </w:p>
        </w:tc>
      </w:tr>
      <w:tr w:rsidR="00AA3632">
        <w:trPr>
          <w:trHeight w:val="455"/>
        </w:trPr>
        <w:tc>
          <w:tcPr>
            <w:tcW w:w="5510" w:type="dxa"/>
            <w:tcBorders>
              <w:top w:val="single" w:sz="8" w:space="0" w:color="000000"/>
              <w:left w:val="double" w:sz="4" w:space="0" w:color="000000"/>
              <w:bottom w:val="single" w:sz="8" w:space="0" w:color="000000"/>
              <w:right w:val="single" w:sz="8" w:space="0" w:color="000000"/>
            </w:tcBorders>
          </w:tcPr>
          <w:p w:rsidR="00AA3632" w:rsidRDefault="00AA3632">
            <w:pPr>
              <w:pStyle w:val="Default"/>
              <w:rPr>
                <w:sz w:val="20"/>
                <w:szCs w:val="20"/>
              </w:rPr>
            </w:pPr>
            <w:r>
              <w:rPr>
                <w:sz w:val="20"/>
                <w:szCs w:val="20"/>
              </w:rPr>
              <w:t>Cost to develop, test and implement the data collection system (Annualized over an estimated 10-year life</w:t>
            </w:r>
            <w:r w:rsidR="00356066">
              <w:rPr>
                <w:sz w:val="20"/>
                <w:szCs w:val="20"/>
              </w:rPr>
              <w:t>)</w:t>
            </w:r>
            <w:r>
              <w:rPr>
                <w:sz w:val="20"/>
                <w:szCs w:val="20"/>
              </w:rPr>
              <w:t xml:space="preserve"> </w:t>
            </w:r>
          </w:p>
        </w:tc>
        <w:tc>
          <w:tcPr>
            <w:tcW w:w="3068" w:type="dxa"/>
            <w:tcBorders>
              <w:top w:val="single" w:sz="8" w:space="0" w:color="000000"/>
              <w:left w:val="single" w:sz="8" w:space="0" w:color="000000"/>
              <w:bottom w:val="single" w:sz="8" w:space="0" w:color="000000"/>
              <w:right w:val="double" w:sz="4" w:space="0" w:color="000000"/>
            </w:tcBorders>
          </w:tcPr>
          <w:p w:rsidR="00AA3632" w:rsidRDefault="00AA3632" w:rsidP="001C0009">
            <w:pPr>
              <w:pStyle w:val="Default"/>
              <w:ind w:right="802"/>
              <w:jc w:val="right"/>
              <w:rPr>
                <w:sz w:val="20"/>
                <w:szCs w:val="20"/>
              </w:rPr>
            </w:pPr>
            <w:r w:rsidRPr="0085647F">
              <w:rPr>
                <w:sz w:val="20"/>
                <w:szCs w:val="20"/>
                <w:highlight w:val="yellow"/>
              </w:rPr>
              <w:t>$</w:t>
            </w:r>
            <w:r w:rsidR="0085647F" w:rsidRPr="0085647F">
              <w:rPr>
                <w:sz w:val="20"/>
                <w:szCs w:val="20"/>
                <w:highlight w:val="yellow"/>
              </w:rPr>
              <w:t>125</w:t>
            </w:r>
            <w:r w:rsidRPr="0085647F">
              <w:rPr>
                <w:sz w:val="20"/>
                <w:szCs w:val="20"/>
                <w:highlight w:val="yellow"/>
              </w:rPr>
              <w:t>,000</w:t>
            </w:r>
            <w:r>
              <w:rPr>
                <w:sz w:val="20"/>
                <w:szCs w:val="20"/>
              </w:rPr>
              <w:t xml:space="preserve"> </w:t>
            </w:r>
          </w:p>
        </w:tc>
      </w:tr>
      <w:tr w:rsidR="00AA3632">
        <w:trPr>
          <w:trHeight w:val="225"/>
        </w:trPr>
        <w:tc>
          <w:tcPr>
            <w:tcW w:w="5510" w:type="dxa"/>
            <w:tcBorders>
              <w:top w:val="single" w:sz="8" w:space="0" w:color="000000"/>
              <w:left w:val="double" w:sz="4" w:space="0" w:color="000000"/>
              <w:bottom w:val="single" w:sz="8" w:space="0" w:color="000000"/>
              <w:right w:val="single" w:sz="8" w:space="0" w:color="000000"/>
            </w:tcBorders>
            <w:vAlign w:val="center"/>
          </w:tcPr>
          <w:p w:rsidR="00AA3632" w:rsidRDefault="00AA3632">
            <w:pPr>
              <w:pStyle w:val="Default"/>
              <w:rPr>
                <w:sz w:val="20"/>
                <w:szCs w:val="20"/>
              </w:rPr>
            </w:pPr>
            <w:r>
              <w:rPr>
                <w:sz w:val="20"/>
                <w:szCs w:val="20"/>
              </w:rPr>
              <w:t xml:space="preserve">Annual cost to maintain the data collection system. </w:t>
            </w:r>
          </w:p>
        </w:tc>
        <w:tc>
          <w:tcPr>
            <w:tcW w:w="3068" w:type="dxa"/>
            <w:tcBorders>
              <w:top w:val="single" w:sz="8" w:space="0" w:color="000000"/>
              <w:left w:val="single" w:sz="8" w:space="0" w:color="000000"/>
              <w:bottom w:val="single" w:sz="8" w:space="0" w:color="000000"/>
              <w:right w:val="double" w:sz="4" w:space="0" w:color="000000"/>
            </w:tcBorders>
            <w:vAlign w:val="center"/>
          </w:tcPr>
          <w:p w:rsidR="00AA3632" w:rsidRDefault="00AA3632" w:rsidP="001C0009">
            <w:pPr>
              <w:pStyle w:val="Default"/>
              <w:ind w:right="802"/>
              <w:jc w:val="right"/>
              <w:rPr>
                <w:sz w:val="20"/>
                <w:szCs w:val="20"/>
              </w:rPr>
            </w:pPr>
            <w:r w:rsidRPr="004D343D">
              <w:rPr>
                <w:sz w:val="20"/>
                <w:szCs w:val="20"/>
                <w:highlight w:val="yellow"/>
              </w:rPr>
              <w:t>$</w:t>
            </w:r>
            <w:r w:rsidR="0085647F">
              <w:rPr>
                <w:sz w:val="20"/>
                <w:szCs w:val="20"/>
                <w:highlight w:val="yellow"/>
              </w:rPr>
              <w:t>75</w:t>
            </w:r>
            <w:r w:rsidRPr="004D343D">
              <w:rPr>
                <w:sz w:val="20"/>
                <w:szCs w:val="20"/>
                <w:highlight w:val="yellow"/>
              </w:rPr>
              <w:t>,000</w:t>
            </w:r>
            <w:r>
              <w:rPr>
                <w:sz w:val="20"/>
                <w:szCs w:val="20"/>
              </w:rPr>
              <w:t xml:space="preserve"> </w:t>
            </w:r>
          </w:p>
        </w:tc>
      </w:tr>
      <w:tr w:rsidR="00AA3632">
        <w:trPr>
          <w:trHeight w:val="225"/>
        </w:trPr>
        <w:tc>
          <w:tcPr>
            <w:tcW w:w="5510" w:type="dxa"/>
            <w:tcBorders>
              <w:top w:val="single" w:sz="8" w:space="0" w:color="000000"/>
              <w:left w:val="double" w:sz="4" w:space="0" w:color="000000"/>
              <w:bottom w:val="single" w:sz="8" w:space="0" w:color="000000"/>
              <w:right w:val="single" w:sz="8" w:space="0" w:color="000000"/>
            </w:tcBorders>
          </w:tcPr>
          <w:p w:rsidR="00AA3632" w:rsidRDefault="00AA3632">
            <w:pPr>
              <w:pStyle w:val="Default"/>
              <w:rPr>
                <w:sz w:val="20"/>
                <w:szCs w:val="20"/>
              </w:rPr>
            </w:pPr>
            <w:r>
              <w:rPr>
                <w:b/>
                <w:bCs/>
                <w:sz w:val="20"/>
                <w:szCs w:val="20"/>
              </w:rPr>
              <w:t xml:space="preserve">Total Annualized Cost </w:t>
            </w:r>
          </w:p>
        </w:tc>
        <w:tc>
          <w:tcPr>
            <w:tcW w:w="3068" w:type="dxa"/>
            <w:tcBorders>
              <w:top w:val="single" w:sz="8" w:space="0" w:color="000000"/>
              <w:left w:val="single" w:sz="8" w:space="0" w:color="000000"/>
              <w:bottom w:val="single" w:sz="8" w:space="0" w:color="000000"/>
              <w:right w:val="double" w:sz="4" w:space="0" w:color="000000"/>
            </w:tcBorders>
            <w:vAlign w:val="center"/>
          </w:tcPr>
          <w:p w:rsidR="00AA3632" w:rsidRDefault="00AA3632" w:rsidP="001C0009">
            <w:pPr>
              <w:pStyle w:val="Default"/>
              <w:ind w:right="802"/>
              <w:jc w:val="right"/>
              <w:rPr>
                <w:sz w:val="20"/>
                <w:szCs w:val="20"/>
              </w:rPr>
            </w:pPr>
            <w:r w:rsidRPr="004D343D">
              <w:rPr>
                <w:b/>
                <w:bCs/>
                <w:sz w:val="20"/>
                <w:szCs w:val="20"/>
                <w:highlight w:val="yellow"/>
              </w:rPr>
              <w:t>$</w:t>
            </w:r>
            <w:r w:rsidR="0085647F">
              <w:rPr>
                <w:b/>
                <w:bCs/>
                <w:sz w:val="20"/>
                <w:szCs w:val="20"/>
                <w:highlight w:val="yellow"/>
              </w:rPr>
              <w:t>200</w:t>
            </w:r>
            <w:r w:rsidRPr="004D343D">
              <w:rPr>
                <w:b/>
                <w:bCs/>
                <w:sz w:val="20"/>
                <w:szCs w:val="20"/>
                <w:highlight w:val="yellow"/>
              </w:rPr>
              <w:t>,000</w:t>
            </w:r>
            <w:r>
              <w:rPr>
                <w:b/>
                <w:bCs/>
                <w:sz w:val="20"/>
                <w:szCs w:val="20"/>
              </w:rPr>
              <w:t xml:space="preserve"> </w:t>
            </w:r>
          </w:p>
        </w:tc>
      </w:tr>
    </w:tbl>
    <w:p w:rsidR="00AA3632" w:rsidRDefault="00AA3632">
      <w:pPr>
        <w:pStyle w:val="Default"/>
        <w:rPr>
          <w:color w:val="auto"/>
        </w:rPr>
      </w:pPr>
    </w:p>
    <w:p w:rsidR="002D676D" w:rsidRDefault="002D676D">
      <w:pPr>
        <w:rPr>
          <w:b/>
        </w:rPr>
      </w:pPr>
      <w:bookmarkStart w:id="2" w:name="_Toc359938803"/>
    </w:p>
    <w:p w:rsidR="00404D72" w:rsidRDefault="00404D72">
      <w:pPr>
        <w:rPr>
          <w:b/>
        </w:rPr>
      </w:pPr>
      <w:r>
        <w:rPr>
          <w:b/>
        </w:rPr>
        <w:br w:type="page"/>
      </w:r>
      <w:bookmarkStart w:id="3" w:name="_GoBack"/>
      <w:bookmarkEnd w:id="3"/>
    </w:p>
    <w:p w:rsidR="002D676D" w:rsidRPr="00A55880" w:rsidRDefault="002D676D" w:rsidP="002D676D">
      <w:pPr>
        <w:pStyle w:val="E-mailSignature"/>
        <w:widowControl w:val="0"/>
        <w:adjustRightInd w:val="0"/>
        <w:snapToGrid w:val="0"/>
        <w:rPr>
          <w:b/>
        </w:rPr>
      </w:pPr>
      <w:r w:rsidRPr="00A55880">
        <w:rPr>
          <w:b/>
        </w:rPr>
        <w:lastRenderedPageBreak/>
        <w:t>A.14.</w:t>
      </w:r>
      <w:r w:rsidRPr="00A55880">
        <w:rPr>
          <w:b/>
        </w:rPr>
        <w:tab/>
        <w:t>Annualized Cost to the Federal Government</w:t>
      </w:r>
      <w:bookmarkEnd w:id="2"/>
    </w:p>
    <w:p w:rsidR="002D676D" w:rsidRDefault="002D676D" w:rsidP="002D676D">
      <w:pPr>
        <w:widowControl w:val="0"/>
        <w:adjustRightInd w:val="0"/>
        <w:snapToGrid w:val="0"/>
        <w:jc w:val="both"/>
      </w:pPr>
    </w:p>
    <w:tbl>
      <w:tblPr>
        <w:tblW w:w="9663"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504"/>
      </w:tblGrid>
      <w:tr w:rsidR="00404D72" w:rsidRPr="008E5442" w:rsidTr="00404D72">
        <w:trPr>
          <w:trHeight w:val="900"/>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jc w:val="center"/>
              <w:rPr>
                <w:rFonts w:eastAsia="Calibri"/>
                <w:b/>
                <w:bCs/>
                <w:color w:val="000000"/>
                <w:sz w:val="22"/>
                <w:szCs w:val="22"/>
              </w:rPr>
            </w:pPr>
            <w:r w:rsidRPr="008E5442">
              <w:rPr>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vAlign w:val="bottom"/>
          </w:tcPr>
          <w:p w:rsidR="00404D72" w:rsidRPr="008E5442" w:rsidRDefault="00404D72">
            <w:pPr>
              <w:spacing w:line="276" w:lineRule="auto"/>
              <w:jc w:val="center"/>
              <w:rPr>
                <w:rFonts w:eastAsia="Calibri"/>
                <w:b/>
                <w:bCs/>
                <w:color w:val="1F497D"/>
                <w:sz w:val="22"/>
                <w:szCs w:val="22"/>
              </w:rPr>
            </w:pPr>
          </w:p>
          <w:p w:rsidR="00404D72" w:rsidRPr="008E5442" w:rsidRDefault="00404D72">
            <w:pPr>
              <w:spacing w:line="276" w:lineRule="auto"/>
              <w:jc w:val="center"/>
              <w:rPr>
                <w:rFonts w:eastAsia="Calibri"/>
                <w:b/>
                <w:bCs/>
                <w:color w:val="000000"/>
                <w:sz w:val="22"/>
                <w:szCs w:val="22"/>
              </w:rPr>
            </w:pPr>
            <w:r w:rsidRPr="008E5442">
              <w:rPr>
                <w:b/>
                <w:bCs/>
                <w:color w:val="000000"/>
                <w:sz w:val="22"/>
                <w:szCs w:val="22"/>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D72" w:rsidRPr="008E5442" w:rsidRDefault="00404D72">
            <w:pPr>
              <w:spacing w:line="276" w:lineRule="auto"/>
              <w:jc w:val="center"/>
              <w:rPr>
                <w:rFonts w:eastAsia="Calibri"/>
                <w:b/>
                <w:bCs/>
                <w:sz w:val="22"/>
                <w:szCs w:val="22"/>
              </w:rPr>
            </w:pPr>
            <w:r w:rsidRPr="008E5442">
              <w:rPr>
                <w:b/>
                <w:bCs/>
                <w:sz w:val="22"/>
                <w:szCs w:val="22"/>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4D72" w:rsidRPr="008E5442" w:rsidRDefault="00404D72">
            <w:pPr>
              <w:spacing w:line="276" w:lineRule="auto"/>
              <w:jc w:val="center"/>
              <w:rPr>
                <w:rFonts w:eastAsia="Calibri"/>
                <w:b/>
                <w:bCs/>
                <w:sz w:val="22"/>
                <w:szCs w:val="22"/>
              </w:rPr>
            </w:pPr>
            <w:r w:rsidRPr="008E5442">
              <w:rPr>
                <w:b/>
                <w:bCs/>
                <w:sz w:val="22"/>
                <w:szCs w:val="22"/>
              </w:rPr>
              <w:t>% of Effort</w:t>
            </w:r>
          </w:p>
        </w:tc>
        <w:tc>
          <w:tcPr>
            <w:tcW w:w="1363" w:type="dxa"/>
            <w:tcBorders>
              <w:top w:val="single" w:sz="8" w:space="0" w:color="auto"/>
              <w:left w:val="nil"/>
              <w:bottom w:val="single" w:sz="8" w:space="0" w:color="auto"/>
              <w:right w:val="single" w:sz="8" w:space="0" w:color="auto"/>
            </w:tcBorders>
            <w:hideMark/>
          </w:tcPr>
          <w:p w:rsidR="00404D72" w:rsidRPr="008E5442" w:rsidRDefault="00404D72">
            <w:pPr>
              <w:spacing w:line="276" w:lineRule="auto"/>
              <w:jc w:val="center"/>
              <w:rPr>
                <w:b/>
                <w:bCs/>
                <w:sz w:val="22"/>
                <w:szCs w:val="22"/>
              </w:rPr>
            </w:pPr>
            <w:r w:rsidRPr="008E5442">
              <w:rPr>
                <w:b/>
                <w:bCs/>
                <w:sz w:val="22"/>
                <w:szCs w:val="22"/>
              </w:rPr>
              <w:t>Fringe (if applicable)</w:t>
            </w:r>
          </w:p>
        </w:tc>
        <w:tc>
          <w:tcPr>
            <w:tcW w:w="1504" w:type="dxa"/>
            <w:tcBorders>
              <w:top w:val="single" w:sz="8" w:space="0" w:color="auto"/>
              <w:left w:val="nil"/>
              <w:bottom w:val="single" w:sz="8" w:space="0" w:color="auto"/>
              <w:right w:val="single" w:sz="8" w:space="0" w:color="auto"/>
            </w:tcBorders>
            <w:hideMark/>
          </w:tcPr>
          <w:p w:rsidR="00404D72" w:rsidRPr="008E5442" w:rsidRDefault="00404D72">
            <w:pPr>
              <w:spacing w:line="276" w:lineRule="auto"/>
              <w:jc w:val="center"/>
              <w:rPr>
                <w:b/>
                <w:bCs/>
                <w:sz w:val="22"/>
                <w:szCs w:val="22"/>
              </w:rPr>
            </w:pPr>
            <w:r w:rsidRPr="008E5442">
              <w:rPr>
                <w:b/>
                <w:bCs/>
                <w:sz w:val="22"/>
                <w:szCs w:val="22"/>
              </w:rPr>
              <w:t>Total Cost to Gov’t</w:t>
            </w: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rPr>
                <w:rFonts w:eastAsia="Calibri"/>
                <w:b/>
                <w:color w:val="000000"/>
                <w:sz w:val="22"/>
                <w:szCs w:val="22"/>
              </w:rPr>
            </w:pPr>
            <w:r w:rsidRPr="008E5442">
              <w:rPr>
                <w:rFonts w:eastAsia="Calibr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rsidR="00404D72" w:rsidRPr="008E5442" w:rsidRDefault="00404D72">
            <w:pPr>
              <w:spacing w:line="276" w:lineRule="auto"/>
              <w:rPr>
                <w:rFonts w:eastAsia="Calibri"/>
                <w:color w:val="000000"/>
                <w:sz w:val="22"/>
                <w:szCs w:val="22"/>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tcPr>
          <w:p w:rsidR="00404D72" w:rsidRPr="008E5442" w:rsidRDefault="00404D72">
            <w:pPr>
              <w:spacing w:line="276" w:lineRule="auto"/>
              <w:rPr>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tcPr>
          <w:p w:rsidR="00404D72" w:rsidRPr="008E5442" w:rsidRDefault="00404D72">
            <w:pPr>
              <w:spacing w:line="276" w:lineRule="auto"/>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sz w:val="22"/>
                <w:szCs w:val="22"/>
              </w:rPr>
            </w:pPr>
          </w:p>
        </w:tc>
        <w:tc>
          <w:tcPr>
            <w:tcW w:w="1504" w:type="dxa"/>
            <w:tcBorders>
              <w:top w:val="nil"/>
              <w:left w:val="nil"/>
              <w:bottom w:val="single" w:sz="8" w:space="0" w:color="auto"/>
              <w:right w:val="single" w:sz="8" w:space="0" w:color="auto"/>
            </w:tcBorders>
            <w:shd w:val="pct20" w:color="auto" w:fill="auto"/>
          </w:tcPr>
          <w:p w:rsidR="00404D72" w:rsidRPr="008E5442" w:rsidRDefault="00404D72">
            <w:pPr>
              <w:spacing w:line="276" w:lineRule="auto"/>
              <w:ind w:right="219"/>
              <w:jc w:val="right"/>
              <w:rPr>
                <w:sz w:val="22"/>
                <w:szCs w:val="22"/>
              </w:rPr>
            </w:pP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Project Director</w:t>
            </w:r>
          </w:p>
        </w:tc>
        <w:tc>
          <w:tcPr>
            <w:tcW w:w="1440" w:type="dxa"/>
            <w:tcBorders>
              <w:top w:val="nil"/>
              <w:left w:val="nil"/>
              <w:bottom w:val="single" w:sz="8" w:space="0" w:color="auto"/>
              <w:right w:val="single" w:sz="8" w:space="0" w:color="auto"/>
            </w:tcBorders>
            <w:vAlign w:val="center"/>
            <w:hideMark/>
          </w:tcPr>
          <w:p w:rsidR="008D6D90" w:rsidRPr="008E5442" w:rsidRDefault="008D6D90" w:rsidP="008D6D90">
            <w:pPr>
              <w:ind w:left="270" w:right="270"/>
              <w:rPr>
                <w:color w:val="000000"/>
                <w:sz w:val="22"/>
                <w:szCs w:val="22"/>
              </w:rPr>
            </w:pPr>
            <w:r w:rsidRPr="008E5442">
              <w:rPr>
                <w:color w:val="000000"/>
                <w:sz w:val="22"/>
                <w:szCs w:val="22"/>
              </w:rPr>
              <w:t>GS15-6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141,240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15%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rsidR="008D6D90" w:rsidRPr="008E5442" w:rsidRDefault="008D6D90" w:rsidP="008D6D90">
            <w:pPr>
              <w:ind w:right="270"/>
              <w:jc w:val="right"/>
              <w:rPr>
                <w:color w:val="000000"/>
                <w:sz w:val="22"/>
                <w:szCs w:val="22"/>
              </w:rPr>
            </w:pPr>
            <w:r w:rsidRPr="008E5442">
              <w:rPr>
                <w:color w:val="000000"/>
                <w:sz w:val="22"/>
                <w:szCs w:val="22"/>
              </w:rPr>
              <w:t>21,186</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NIEHS Support Staff</w:t>
            </w:r>
          </w:p>
        </w:tc>
        <w:tc>
          <w:tcPr>
            <w:tcW w:w="1440" w:type="dxa"/>
            <w:tcBorders>
              <w:top w:val="nil"/>
              <w:left w:val="nil"/>
              <w:bottom w:val="single" w:sz="8" w:space="0" w:color="auto"/>
              <w:right w:val="single" w:sz="8" w:space="0" w:color="auto"/>
            </w:tcBorders>
            <w:vAlign w:val="center"/>
            <w:hideMark/>
          </w:tcPr>
          <w:p w:rsidR="008D6D90" w:rsidRPr="008E5442" w:rsidRDefault="008D6D90" w:rsidP="008D6D90">
            <w:pPr>
              <w:ind w:left="270" w:right="270"/>
              <w:rPr>
                <w:color w:val="000000"/>
                <w:sz w:val="22"/>
                <w:szCs w:val="22"/>
              </w:rPr>
            </w:pPr>
            <w:r w:rsidRPr="008E5442">
              <w:rPr>
                <w:color w:val="000000"/>
                <w:sz w:val="22"/>
                <w:szCs w:val="22"/>
              </w:rPr>
              <w:t>GS7-4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29,193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10%</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rsidR="008D6D90" w:rsidRPr="008E5442" w:rsidRDefault="008D6D90" w:rsidP="008D6D90">
            <w:pPr>
              <w:ind w:right="270"/>
              <w:jc w:val="right"/>
              <w:rPr>
                <w:color w:val="000000"/>
                <w:sz w:val="22"/>
                <w:szCs w:val="22"/>
              </w:rPr>
            </w:pPr>
            <w:r w:rsidRPr="008E5442">
              <w:rPr>
                <w:color w:val="000000"/>
                <w:sz w:val="22"/>
                <w:szCs w:val="22"/>
              </w:rPr>
              <w:t>2,919</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NIEHS Tenant Admin</w:t>
            </w:r>
          </w:p>
        </w:tc>
        <w:tc>
          <w:tcPr>
            <w:tcW w:w="1440" w:type="dxa"/>
            <w:tcBorders>
              <w:top w:val="nil"/>
              <w:left w:val="nil"/>
              <w:bottom w:val="single" w:sz="8" w:space="0" w:color="auto"/>
              <w:right w:val="single" w:sz="8" w:space="0" w:color="auto"/>
            </w:tcBorders>
            <w:vAlign w:val="center"/>
            <w:hideMark/>
          </w:tcPr>
          <w:p w:rsidR="008D6D90" w:rsidRPr="008E5442" w:rsidRDefault="008D6D90" w:rsidP="008D6D90">
            <w:pPr>
              <w:ind w:left="270" w:right="270"/>
              <w:rPr>
                <w:color w:val="000000"/>
                <w:sz w:val="22"/>
                <w:szCs w:val="22"/>
              </w:rPr>
            </w:pPr>
            <w:r w:rsidRPr="008E5442">
              <w:rPr>
                <w:color w:val="000000"/>
                <w:sz w:val="22"/>
                <w:szCs w:val="22"/>
              </w:rPr>
              <w:t>GS12-2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75,683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rsidR="008D6D90" w:rsidRPr="008E5442" w:rsidRDefault="008D6D90" w:rsidP="008D6D90">
            <w:pPr>
              <w:ind w:right="270"/>
              <w:jc w:val="right"/>
              <w:rPr>
                <w:color w:val="000000"/>
                <w:sz w:val="22"/>
                <w:szCs w:val="22"/>
              </w:rPr>
            </w:pPr>
            <w:r w:rsidRPr="008E5442">
              <w:rPr>
                <w:color w:val="000000"/>
                <w:sz w:val="22"/>
                <w:szCs w:val="22"/>
              </w:rPr>
              <w:t>3,784</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NIEHS PO</w:t>
            </w:r>
          </w:p>
        </w:tc>
        <w:tc>
          <w:tcPr>
            <w:tcW w:w="1440" w:type="dxa"/>
            <w:tcBorders>
              <w:top w:val="nil"/>
              <w:left w:val="nil"/>
              <w:bottom w:val="single" w:sz="8" w:space="0" w:color="auto"/>
              <w:right w:val="single" w:sz="8" w:space="0" w:color="auto"/>
            </w:tcBorders>
            <w:vAlign w:val="center"/>
            <w:hideMark/>
          </w:tcPr>
          <w:p w:rsidR="008D6D90" w:rsidRPr="008E5442" w:rsidRDefault="008D6D90" w:rsidP="008D6D90">
            <w:pPr>
              <w:ind w:left="270" w:right="270"/>
              <w:rPr>
                <w:color w:val="000000"/>
                <w:sz w:val="22"/>
                <w:szCs w:val="22"/>
              </w:rPr>
            </w:pPr>
            <w:r w:rsidRPr="008E5442">
              <w:rPr>
                <w:color w:val="000000"/>
                <w:sz w:val="22"/>
                <w:szCs w:val="22"/>
              </w:rPr>
              <w:t>GS14-10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133,796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2%</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rsidR="008D6D90" w:rsidRPr="008E5442" w:rsidRDefault="008D6D90" w:rsidP="008D6D90">
            <w:pPr>
              <w:ind w:right="270"/>
              <w:jc w:val="right"/>
              <w:rPr>
                <w:color w:val="000000"/>
                <w:sz w:val="22"/>
                <w:szCs w:val="22"/>
              </w:rPr>
            </w:pPr>
            <w:r w:rsidRPr="008E5442">
              <w:rPr>
                <w:color w:val="000000"/>
                <w:sz w:val="22"/>
                <w:szCs w:val="22"/>
              </w:rPr>
              <w:t>2,676</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NIEHS PO</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GS14-6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120,072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2%</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2,401</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NIEHS PO</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116,641</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5,832</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FIC Business Owner</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123,406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3,702</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FIC CT Admin</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77,490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11%</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8,524</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FIC PO</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141,555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4,247</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NIGMS CT Admin</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123,406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10%</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12,341</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NIGMS Business Owner</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160,300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2%</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3,206</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NIGMS PO</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123,406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3,702</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CRCHD CT Admin</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GS14-1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108,887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8%</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8,711</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SRP Admin</w:t>
            </w:r>
          </w:p>
        </w:tc>
        <w:tc>
          <w:tcPr>
            <w:tcW w:w="1440" w:type="dxa"/>
            <w:tcBorders>
              <w:top w:val="nil"/>
              <w:left w:val="nil"/>
              <w:bottom w:val="single" w:sz="8" w:space="0" w:color="auto"/>
              <w:right w:val="single" w:sz="8" w:space="0" w:color="auto"/>
            </w:tcBorders>
            <w:vAlign w:val="center"/>
          </w:tcPr>
          <w:p w:rsidR="008D6D90" w:rsidRPr="008E5442" w:rsidRDefault="008D6D90" w:rsidP="008D6D90">
            <w:pPr>
              <w:ind w:left="270" w:right="270"/>
              <w:rPr>
                <w:color w:val="000000"/>
                <w:sz w:val="22"/>
                <w:szCs w:val="22"/>
              </w:rPr>
            </w:pPr>
            <w:r w:rsidRPr="008E5442">
              <w:rPr>
                <w:color w:val="000000"/>
                <w:sz w:val="22"/>
                <w:szCs w:val="22"/>
              </w:rPr>
              <w:t>GS12-9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92,773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D6D90" w:rsidRPr="008E5442" w:rsidRDefault="008D6D90">
            <w:pPr>
              <w:jc w:val="right"/>
              <w:rPr>
                <w:color w:val="000000"/>
                <w:sz w:val="22"/>
                <w:szCs w:val="22"/>
              </w:rPr>
            </w:pPr>
            <w:r w:rsidRPr="008E5442">
              <w:rPr>
                <w:color w:val="000000"/>
                <w:sz w:val="22"/>
                <w:szCs w:val="22"/>
              </w:rPr>
              <w:t>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rsidR="008D6D90" w:rsidRPr="008E5442" w:rsidRDefault="008D6D90" w:rsidP="008D6D90">
            <w:pPr>
              <w:ind w:right="270"/>
              <w:jc w:val="right"/>
              <w:rPr>
                <w:color w:val="000000"/>
                <w:sz w:val="22"/>
                <w:szCs w:val="22"/>
              </w:rPr>
            </w:pPr>
            <w:r w:rsidRPr="008E5442">
              <w:rPr>
                <w:color w:val="000000"/>
                <w:sz w:val="22"/>
                <w:szCs w:val="22"/>
              </w:rPr>
              <w:t>4,639</w:t>
            </w:r>
          </w:p>
        </w:tc>
      </w:tr>
      <w:tr w:rsidR="008D6D90" w:rsidRPr="008E5442" w:rsidTr="003938A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SRP PO</w:t>
            </w:r>
          </w:p>
        </w:tc>
        <w:tc>
          <w:tcPr>
            <w:tcW w:w="1440" w:type="dxa"/>
            <w:tcBorders>
              <w:top w:val="nil"/>
              <w:left w:val="nil"/>
              <w:bottom w:val="single" w:sz="8" w:space="0" w:color="auto"/>
              <w:right w:val="single" w:sz="8" w:space="0" w:color="auto"/>
            </w:tcBorders>
            <w:vAlign w:val="center"/>
            <w:hideMark/>
          </w:tcPr>
          <w:p w:rsidR="008D6D90" w:rsidRPr="008E5442" w:rsidRDefault="008D6D90" w:rsidP="008D6D90">
            <w:pPr>
              <w:ind w:left="270" w:right="270"/>
              <w:rPr>
                <w:color w:val="000000"/>
                <w:sz w:val="22"/>
                <w:szCs w:val="22"/>
              </w:rPr>
            </w:pPr>
            <w:r w:rsidRPr="008E5442">
              <w:rPr>
                <w:color w:val="000000"/>
                <w:sz w:val="22"/>
                <w:szCs w:val="22"/>
              </w:rPr>
              <w:t>GS13-5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98,709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rsidR="008D6D90" w:rsidRPr="008E5442" w:rsidRDefault="008D6D90" w:rsidP="008D6D90">
            <w:pPr>
              <w:ind w:right="270"/>
              <w:jc w:val="right"/>
              <w:rPr>
                <w:color w:val="000000"/>
                <w:sz w:val="22"/>
                <w:szCs w:val="22"/>
              </w:rPr>
            </w:pPr>
            <w:r w:rsidRPr="008E5442">
              <w:rPr>
                <w:color w:val="000000"/>
                <w:sz w:val="22"/>
                <w:szCs w:val="22"/>
              </w:rPr>
              <w:t>2,961</w:t>
            </w: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rPr>
                <w:color w:val="000000"/>
                <w:sz w:val="22"/>
                <w:szCs w:val="22"/>
              </w:rPr>
            </w:pPr>
          </w:p>
        </w:tc>
        <w:tc>
          <w:tcPr>
            <w:tcW w:w="1440" w:type="dxa"/>
            <w:tcBorders>
              <w:top w:val="nil"/>
              <w:left w:val="nil"/>
              <w:bottom w:val="single" w:sz="8" w:space="0" w:color="auto"/>
              <w:right w:val="single" w:sz="8" w:space="0" w:color="auto"/>
            </w:tcBorders>
            <w:vAlign w:val="bottom"/>
          </w:tcPr>
          <w:p w:rsidR="00404D72" w:rsidRPr="008E5442" w:rsidRDefault="00404D72">
            <w:pPr>
              <w:spacing w:line="276" w:lineRule="auto"/>
              <w:rPr>
                <w:color w:val="000000"/>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hideMark/>
          </w:tcPr>
          <w:p w:rsidR="00404D72" w:rsidRPr="008E5442" w:rsidRDefault="00404D72">
            <w:pPr>
              <w:spacing w:line="276" w:lineRule="auto"/>
              <w:jc w:val="right"/>
              <w:rPr>
                <w:sz w:val="22"/>
                <w:szCs w:val="22"/>
              </w:rPr>
            </w:pPr>
            <w:r w:rsidRPr="008E5442">
              <w:rPr>
                <w:rFonts w:eastAsia="Calibri"/>
                <w:b/>
                <w:color w:val="000000"/>
                <w:sz w:val="22"/>
                <w:szCs w:val="22"/>
              </w:rPr>
              <w:t>Total</w:t>
            </w:r>
          </w:p>
        </w:tc>
        <w:tc>
          <w:tcPr>
            <w:tcW w:w="1504" w:type="dxa"/>
            <w:tcBorders>
              <w:top w:val="nil"/>
              <w:left w:val="nil"/>
              <w:bottom w:val="single" w:sz="8" w:space="0" w:color="auto"/>
              <w:right w:val="single" w:sz="8" w:space="0" w:color="auto"/>
            </w:tcBorders>
            <w:vAlign w:val="bottom"/>
            <w:hideMark/>
          </w:tcPr>
          <w:p w:rsidR="00404D72" w:rsidRPr="008E5442" w:rsidRDefault="00404D72" w:rsidP="008D6D90">
            <w:pPr>
              <w:spacing w:line="276" w:lineRule="auto"/>
              <w:ind w:right="270"/>
              <w:jc w:val="right"/>
              <w:rPr>
                <w:b/>
                <w:color w:val="000000"/>
                <w:sz w:val="22"/>
                <w:szCs w:val="22"/>
              </w:rPr>
            </w:pPr>
            <w:r w:rsidRPr="008E5442">
              <w:rPr>
                <w:b/>
                <w:color w:val="000000"/>
                <w:sz w:val="22"/>
                <w:szCs w:val="22"/>
              </w:rPr>
              <w:t xml:space="preserve">         </w:t>
            </w:r>
            <w:r w:rsidR="008D6D90" w:rsidRPr="008E5442">
              <w:rPr>
                <w:b/>
                <w:color w:val="000000"/>
                <w:sz w:val="22"/>
                <w:szCs w:val="22"/>
              </w:rPr>
              <w:t>90,831</w:t>
            </w: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rPr>
                <w:rFonts w:eastAsia="Calibri"/>
                <w:b/>
                <w:sz w:val="22"/>
                <w:szCs w:val="22"/>
              </w:rPr>
            </w:pPr>
            <w:r w:rsidRPr="008E5442">
              <w:rPr>
                <w:rFonts w:eastAsia="Calibri"/>
                <w:b/>
                <w:sz w:val="22"/>
                <w:szCs w:val="22"/>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tcPr>
          <w:p w:rsidR="00404D72" w:rsidRPr="008E5442" w:rsidRDefault="00404D72">
            <w:pPr>
              <w:spacing w:line="276" w:lineRule="auto"/>
              <w:rPr>
                <w:sz w:val="22"/>
                <w:szCs w:val="22"/>
              </w:rPr>
            </w:pPr>
          </w:p>
        </w:tc>
        <w:tc>
          <w:tcPr>
            <w:tcW w:w="1504" w:type="dxa"/>
            <w:tcBorders>
              <w:top w:val="nil"/>
              <w:left w:val="nil"/>
              <w:bottom w:val="single" w:sz="8" w:space="0" w:color="auto"/>
              <w:right w:val="single" w:sz="8" w:space="0" w:color="auto"/>
            </w:tcBorders>
          </w:tcPr>
          <w:p w:rsidR="00404D72" w:rsidRPr="008E5442" w:rsidRDefault="00404D72">
            <w:pPr>
              <w:spacing w:line="276" w:lineRule="auto"/>
              <w:rPr>
                <w:sz w:val="22"/>
                <w:szCs w:val="22"/>
              </w:rPr>
            </w:pP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jc w:val="right"/>
              <w:rPr>
                <w:color w:val="000000"/>
                <w:sz w:val="22"/>
                <w:szCs w:val="22"/>
              </w:rPr>
            </w:pPr>
            <w:r w:rsidRPr="008E5442">
              <w:rPr>
                <w:color w:val="000000"/>
                <w:sz w:val="22"/>
                <w:szCs w:val="22"/>
              </w:rPr>
              <w:t>Project manager</w:t>
            </w:r>
          </w:p>
        </w:tc>
        <w:tc>
          <w:tcPr>
            <w:tcW w:w="1440" w:type="dxa"/>
            <w:tcBorders>
              <w:top w:val="nil"/>
              <w:left w:val="nil"/>
              <w:bottom w:val="single" w:sz="8" w:space="0" w:color="auto"/>
              <w:right w:val="single" w:sz="8" w:space="0" w:color="auto"/>
            </w:tcBorders>
          </w:tcPr>
          <w:p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jc w:val="right"/>
              <w:rPr>
                <w:color w:val="000000"/>
                <w:sz w:val="22"/>
                <w:szCs w:val="22"/>
              </w:rPr>
            </w:pPr>
            <w:r w:rsidRPr="008E5442">
              <w:rPr>
                <w:color w:val="000000"/>
                <w:sz w:val="22"/>
                <w:szCs w:val="22"/>
              </w:rPr>
              <w:t>100,000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jc w:val="right"/>
              <w:rPr>
                <w:color w:val="000000"/>
                <w:sz w:val="22"/>
                <w:szCs w:val="22"/>
              </w:rPr>
            </w:pPr>
            <w:r w:rsidRPr="008E5442">
              <w:rPr>
                <w:color w:val="000000"/>
                <w:sz w:val="22"/>
                <w:szCs w:val="22"/>
              </w:rPr>
              <w:t>100</w:t>
            </w:r>
          </w:p>
        </w:tc>
        <w:tc>
          <w:tcPr>
            <w:tcW w:w="1363" w:type="dxa"/>
            <w:tcBorders>
              <w:top w:val="nil"/>
              <w:left w:val="nil"/>
              <w:bottom w:val="single" w:sz="8" w:space="0" w:color="auto"/>
              <w:right w:val="single" w:sz="8" w:space="0" w:color="auto"/>
            </w:tcBorders>
            <w:vAlign w:val="bottom"/>
          </w:tcPr>
          <w:p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hideMark/>
          </w:tcPr>
          <w:p w:rsidR="00404D72" w:rsidRPr="008E5442" w:rsidRDefault="00404D72">
            <w:pPr>
              <w:spacing w:line="276" w:lineRule="auto"/>
              <w:ind w:right="219"/>
              <w:jc w:val="right"/>
              <w:rPr>
                <w:color w:val="000000"/>
                <w:sz w:val="22"/>
                <w:szCs w:val="22"/>
              </w:rPr>
            </w:pPr>
            <w:r w:rsidRPr="008E5442">
              <w:rPr>
                <w:color w:val="000000"/>
                <w:sz w:val="22"/>
                <w:szCs w:val="22"/>
              </w:rPr>
              <w:t xml:space="preserve">         100,000 </w:t>
            </w: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jc w:val="right"/>
              <w:rPr>
                <w:color w:val="000000"/>
                <w:sz w:val="22"/>
                <w:szCs w:val="22"/>
              </w:rPr>
            </w:pPr>
            <w:r w:rsidRPr="008E5442">
              <w:rPr>
                <w:color w:val="000000"/>
                <w:sz w:val="22"/>
                <w:szCs w:val="22"/>
              </w:rPr>
              <w:t xml:space="preserve">Developers </w:t>
            </w:r>
            <w:r w:rsidRPr="008E5442">
              <w:rPr>
                <w:color w:val="000000"/>
                <w:sz w:val="22"/>
                <w:szCs w:val="22"/>
              </w:rPr>
              <w:br/>
              <w:t>(1 at 80% 1 at 20%)</w:t>
            </w:r>
          </w:p>
        </w:tc>
        <w:tc>
          <w:tcPr>
            <w:tcW w:w="1440" w:type="dxa"/>
            <w:tcBorders>
              <w:top w:val="nil"/>
              <w:left w:val="nil"/>
              <w:bottom w:val="single" w:sz="8" w:space="0" w:color="auto"/>
              <w:right w:val="single" w:sz="8" w:space="0" w:color="auto"/>
            </w:tcBorders>
          </w:tcPr>
          <w:p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jc w:val="right"/>
              <w:rPr>
                <w:rFonts w:eastAsia="Calibri"/>
                <w:sz w:val="22"/>
                <w:szCs w:val="22"/>
              </w:rPr>
            </w:pPr>
            <w:r w:rsidRPr="008E5442">
              <w:rPr>
                <w:color w:val="000000"/>
                <w:sz w:val="22"/>
                <w:szCs w:val="22"/>
              </w:rPr>
              <w:t>200,000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jc w:val="right"/>
              <w:rPr>
                <w:color w:val="000000"/>
                <w:sz w:val="22"/>
                <w:szCs w:val="22"/>
              </w:rPr>
            </w:pPr>
            <w:r w:rsidRPr="008E5442">
              <w:rPr>
                <w:color w:val="000000"/>
                <w:sz w:val="22"/>
                <w:szCs w:val="22"/>
              </w:rPr>
              <w:t>100</w:t>
            </w:r>
          </w:p>
        </w:tc>
        <w:tc>
          <w:tcPr>
            <w:tcW w:w="1363" w:type="dxa"/>
            <w:tcBorders>
              <w:top w:val="nil"/>
              <w:left w:val="nil"/>
              <w:bottom w:val="single" w:sz="8" w:space="0" w:color="auto"/>
              <w:right w:val="single" w:sz="8" w:space="0" w:color="auto"/>
            </w:tcBorders>
            <w:vAlign w:val="bottom"/>
          </w:tcPr>
          <w:p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hideMark/>
          </w:tcPr>
          <w:p w:rsidR="00404D72" w:rsidRPr="008E5442" w:rsidRDefault="00404D72">
            <w:pPr>
              <w:spacing w:line="276" w:lineRule="auto"/>
              <w:ind w:right="219"/>
              <w:jc w:val="right"/>
              <w:rPr>
                <w:color w:val="000000"/>
                <w:sz w:val="22"/>
                <w:szCs w:val="22"/>
              </w:rPr>
            </w:pPr>
            <w:r w:rsidRPr="008E5442">
              <w:rPr>
                <w:color w:val="000000"/>
                <w:sz w:val="22"/>
                <w:szCs w:val="22"/>
              </w:rPr>
              <w:t xml:space="preserve">         200,000 </w:t>
            </w: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rPr>
                <w:rFonts w:eastAsia="Calibri"/>
                <w:sz w:val="22"/>
                <w:szCs w:val="22"/>
              </w:rPr>
            </w:pPr>
          </w:p>
        </w:tc>
        <w:tc>
          <w:tcPr>
            <w:tcW w:w="1440" w:type="dxa"/>
            <w:tcBorders>
              <w:top w:val="nil"/>
              <w:left w:val="nil"/>
              <w:bottom w:val="single" w:sz="8" w:space="0" w:color="auto"/>
              <w:right w:val="single" w:sz="8" w:space="0" w:color="auto"/>
            </w:tcBorders>
          </w:tcPr>
          <w:p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jc w:val="right"/>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vAlign w:val="bottom"/>
          </w:tcPr>
          <w:p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hideMark/>
          </w:tcPr>
          <w:p w:rsidR="00404D72" w:rsidRPr="008E5442" w:rsidRDefault="00404D72">
            <w:pPr>
              <w:spacing w:line="276" w:lineRule="auto"/>
              <w:ind w:right="219"/>
              <w:jc w:val="right"/>
              <w:rPr>
                <w:b/>
                <w:color w:val="000000"/>
                <w:sz w:val="22"/>
                <w:szCs w:val="22"/>
              </w:rPr>
            </w:pPr>
            <w:r w:rsidRPr="008E5442">
              <w:rPr>
                <w:b/>
                <w:color w:val="000000"/>
                <w:sz w:val="22"/>
                <w:szCs w:val="22"/>
              </w:rPr>
              <w:t xml:space="preserve">         300,000 </w:t>
            </w: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rPr>
                <w:rFonts w:eastAsia="Calibri"/>
                <w:sz w:val="22"/>
                <w:szCs w:val="22"/>
              </w:rPr>
            </w:pPr>
          </w:p>
        </w:tc>
        <w:tc>
          <w:tcPr>
            <w:tcW w:w="1440" w:type="dxa"/>
            <w:tcBorders>
              <w:top w:val="nil"/>
              <w:left w:val="nil"/>
              <w:bottom w:val="single" w:sz="8" w:space="0" w:color="auto"/>
              <w:right w:val="single" w:sz="8" w:space="0" w:color="auto"/>
            </w:tcBorders>
          </w:tcPr>
          <w:p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jc w:val="right"/>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vAlign w:val="bottom"/>
          </w:tcPr>
          <w:p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tcPr>
          <w:p w:rsidR="00404D72" w:rsidRPr="008E5442" w:rsidRDefault="00404D72">
            <w:pPr>
              <w:spacing w:line="276" w:lineRule="auto"/>
              <w:jc w:val="right"/>
              <w:rPr>
                <w:color w:val="000000"/>
                <w:sz w:val="22"/>
                <w:szCs w:val="22"/>
              </w:rPr>
            </w:pP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rPr>
                <w:rFonts w:eastAsia="Calibri"/>
                <w:sz w:val="22"/>
                <w:szCs w:val="22"/>
              </w:rPr>
            </w:pPr>
            <w:r w:rsidRPr="008E5442">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sz w:val="22"/>
                <w:szCs w:val="22"/>
              </w:rPr>
            </w:pPr>
          </w:p>
        </w:tc>
        <w:tc>
          <w:tcPr>
            <w:tcW w:w="1504" w:type="dxa"/>
            <w:tcBorders>
              <w:top w:val="nil"/>
              <w:left w:val="nil"/>
              <w:bottom w:val="single" w:sz="8" w:space="0" w:color="auto"/>
              <w:right w:val="single" w:sz="8" w:space="0" w:color="auto"/>
            </w:tcBorders>
            <w:hideMark/>
          </w:tcPr>
          <w:p w:rsidR="00404D72" w:rsidRPr="008E5442" w:rsidRDefault="00404D72">
            <w:pPr>
              <w:spacing w:line="276" w:lineRule="auto"/>
              <w:ind w:right="219"/>
              <w:jc w:val="right"/>
              <w:rPr>
                <w:b/>
                <w:color w:val="000000"/>
                <w:sz w:val="22"/>
                <w:szCs w:val="22"/>
              </w:rPr>
            </w:pPr>
            <w:r w:rsidRPr="008E5442">
              <w:rPr>
                <w:b/>
                <w:color w:val="000000"/>
                <w:sz w:val="22"/>
                <w:szCs w:val="22"/>
              </w:rPr>
              <w:t>2,500</w:t>
            </w: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rPr>
                <w:rFonts w:eastAsia="Calibri"/>
                <w:color w:val="1F497D"/>
                <w:sz w:val="22"/>
                <w:szCs w:val="22"/>
              </w:rPr>
            </w:pPr>
            <w:r w:rsidRPr="008E5442">
              <w:rPr>
                <w:rFonts w:eastAsia="Calibri"/>
                <w:sz w:val="22"/>
                <w:szCs w:val="22"/>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rFonts w:eastAsia="Calibri"/>
                <w:sz w:val="22"/>
                <w:szCs w:val="22"/>
              </w:rPr>
            </w:pPr>
          </w:p>
        </w:tc>
        <w:tc>
          <w:tcPr>
            <w:tcW w:w="1504" w:type="dxa"/>
            <w:tcBorders>
              <w:top w:val="nil"/>
              <w:left w:val="nil"/>
              <w:bottom w:val="single" w:sz="8" w:space="0" w:color="auto"/>
              <w:right w:val="single" w:sz="8" w:space="0" w:color="auto"/>
            </w:tcBorders>
          </w:tcPr>
          <w:p w:rsidR="00404D72" w:rsidRPr="008E5442" w:rsidRDefault="00404D72">
            <w:pPr>
              <w:spacing w:line="276" w:lineRule="auto"/>
              <w:ind w:right="219"/>
              <w:jc w:val="right"/>
              <w:rPr>
                <w:b/>
                <w:color w:val="000000"/>
                <w:sz w:val="22"/>
                <w:szCs w:val="22"/>
              </w:rPr>
            </w:pPr>
          </w:p>
        </w:tc>
      </w:tr>
      <w:tr w:rsidR="00404D72" w:rsidRPr="008E544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rPr>
                <w:rFonts w:eastAsiaTheme="minorHAnsi"/>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404D72" w:rsidRPr="008E5442" w:rsidRDefault="00404D72">
            <w:pPr>
              <w:spacing w:line="276" w:lineRule="auto"/>
              <w:rPr>
                <w:rFonts w:eastAsiaTheme="minorHAns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rsidR="00404D72" w:rsidRPr="008E5442" w:rsidRDefault="00404D72">
            <w:pPr>
              <w:spacing w:line="276" w:lineRule="auto"/>
              <w:rPr>
                <w:rFonts w:eastAsia="Calibri"/>
                <w:b/>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rsidR="00404D72" w:rsidRPr="008E5442" w:rsidRDefault="00404D72">
            <w:pPr>
              <w:spacing w:line="276" w:lineRule="auto"/>
              <w:rPr>
                <w:b/>
                <w:sz w:val="22"/>
                <w:szCs w:val="22"/>
              </w:rPr>
            </w:pPr>
          </w:p>
        </w:tc>
        <w:tc>
          <w:tcPr>
            <w:tcW w:w="1504" w:type="dxa"/>
            <w:tcBorders>
              <w:top w:val="nil"/>
              <w:left w:val="nil"/>
              <w:bottom w:val="single" w:sz="8" w:space="0" w:color="auto"/>
              <w:right w:val="single" w:sz="8" w:space="0" w:color="auto"/>
            </w:tcBorders>
          </w:tcPr>
          <w:p w:rsidR="00404D72" w:rsidRPr="008E5442" w:rsidRDefault="00404D72">
            <w:pPr>
              <w:spacing w:line="276" w:lineRule="auto"/>
              <w:ind w:right="219"/>
              <w:jc w:val="right"/>
              <w:rPr>
                <w:b/>
                <w:color w:val="000000"/>
                <w:sz w:val="22"/>
                <w:szCs w:val="22"/>
              </w:rPr>
            </w:pPr>
          </w:p>
        </w:tc>
      </w:tr>
      <w:tr w:rsidR="00404D72"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4D72" w:rsidRPr="008E5442" w:rsidRDefault="00404D72">
            <w:pPr>
              <w:spacing w:line="276" w:lineRule="auto"/>
              <w:rPr>
                <w:rFonts w:eastAsiaTheme="minorHAnsi"/>
                <w:sz w:val="22"/>
                <w:szCs w:val="22"/>
              </w:rPr>
            </w:pPr>
          </w:p>
        </w:tc>
        <w:tc>
          <w:tcPr>
            <w:tcW w:w="1440" w:type="dxa"/>
            <w:tcBorders>
              <w:top w:val="nil"/>
              <w:left w:val="nil"/>
              <w:bottom w:val="single" w:sz="8" w:space="0" w:color="auto"/>
              <w:right w:val="single" w:sz="8" w:space="0" w:color="auto"/>
            </w:tcBorders>
          </w:tcPr>
          <w:p w:rsidR="00404D72" w:rsidRPr="008E5442" w:rsidRDefault="00404D72">
            <w:pPr>
              <w:spacing w:line="276" w:lineRule="auto"/>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404D72" w:rsidRPr="008E5442" w:rsidRDefault="00404D72">
            <w:pPr>
              <w:spacing w:line="276" w:lineRule="auto"/>
              <w:rPr>
                <w:rFonts w:eastAsia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rsidR="00404D72" w:rsidRPr="008E5442" w:rsidRDefault="00404D72">
            <w:pPr>
              <w:spacing w:line="276" w:lineRule="auto"/>
              <w:rPr>
                <w:rFonts w:eastAsiaTheme="minorHAnsi"/>
                <w:sz w:val="22"/>
                <w:szCs w:val="22"/>
              </w:rPr>
            </w:pPr>
          </w:p>
        </w:tc>
        <w:tc>
          <w:tcPr>
            <w:tcW w:w="1363" w:type="dxa"/>
            <w:tcBorders>
              <w:top w:val="nil"/>
              <w:left w:val="nil"/>
              <w:bottom w:val="single" w:sz="8" w:space="0" w:color="auto"/>
              <w:right w:val="single" w:sz="8" w:space="0" w:color="auto"/>
            </w:tcBorders>
          </w:tcPr>
          <w:p w:rsidR="00404D72" w:rsidRPr="008E5442" w:rsidRDefault="00404D72">
            <w:pPr>
              <w:spacing w:line="276" w:lineRule="auto"/>
              <w:rPr>
                <w:sz w:val="20"/>
                <w:szCs w:val="20"/>
              </w:rPr>
            </w:pPr>
          </w:p>
        </w:tc>
        <w:tc>
          <w:tcPr>
            <w:tcW w:w="1504" w:type="dxa"/>
            <w:tcBorders>
              <w:top w:val="nil"/>
              <w:left w:val="nil"/>
              <w:bottom w:val="single" w:sz="8" w:space="0" w:color="auto"/>
              <w:right w:val="single" w:sz="8" w:space="0" w:color="auto"/>
            </w:tcBorders>
            <w:hideMark/>
          </w:tcPr>
          <w:p w:rsidR="00404D72" w:rsidRPr="008E5442" w:rsidRDefault="00404D72">
            <w:pPr>
              <w:spacing w:line="276" w:lineRule="auto"/>
              <w:ind w:right="219"/>
              <w:jc w:val="right"/>
              <w:rPr>
                <w:b/>
                <w:color w:val="000000"/>
                <w:sz w:val="22"/>
                <w:szCs w:val="22"/>
              </w:rPr>
            </w:pPr>
            <w:r w:rsidRPr="008E5442">
              <w:rPr>
                <w:b/>
                <w:color w:val="000000"/>
                <w:sz w:val="22"/>
                <w:szCs w:val="22"/>
              </w:rPr>
              <w:t>478,500</w:t>
            </w:r>
          </w:p>
        </w:tc>
      </w:tr>
    </w:tbl>
    <w:p w:rsidR="00404D72" w:rsidRDefault="00404D72" w:rsidP="002D676D">
      <w:pPr>
        <w:widowControl w:val="0"/>
        <w:adjustRightInd w:val="0"/>
        <w:snapToGrid w:val="0"/>
        <w:jc w:val="both"/>
      </w:pPr>
    </w:p>
    <w:p w:rsidR="002D676D" w:rsidRDefault="002D676D" w:rsidP="002D676D"/>
    <w:p w:rsidR="002D676D" w:rsidRDefault="002D676D" w:rsidP="002D676D">
      <w:r>
        <w:t>At a minimum there should be federal oversight costs. Fill others as applicable.</w:t>
      </w:r>
    </w:p>
    <w:p w:rsidR="002D676D" w:rsidRDefault="002D676D" w:rsidP="002D676D">
      <w:r>
        <w:t>Highlighted shaded areas are exempt from data entry.</w:t>
      </w:r>
    </w:p>
    <w:p w:rsidR="002D676D" w:rsidRDefault="002D676D">
      <w:pPr>
        <w:pStyle w:val="CM9"/>
        <w:rPr>
          <w:b/>
          <w:bCs/>
        </w:rPr>
      </w:pPr>
    </w:p>
    <w:p w:rsidR="00AA3632" w:rsidRDefault="00AA3632">
      <w:pPr>
        <w:pStyle w:val="CM9"/>
      </w:pPr>
      <w:r>
        <w:rPr>
          <w:b/>
          <w:bCs/>
        </w:rPr>
        <w:t xml:space="preserve">A.15.Changes in Burden </w:t>
      </w:r>
    </w:p>
    <w:p w:rsidR="00AA3632" w:rsidRDefault="00E80C13">
      <w:pPr>
        <w:pStyle w:val="CM9"/>
        <w:ind w:left="60"/>
      </w:pPr>
      <w:r w:rsidRPr="00E24E60">
        <w:t xml:space="preserve">FIC </w:t>
      </w:r>
      <w:r w:rsidR="006A34B8" w:rsidRPr="00E24E60">
        <w:t xml:space="preserve">and NIEHS are </w:t>
      </w:r>
      <w:r w:rsidR="00200C5A" w:rsidRPr="00E24E60">
        <w:t xml:space="preserve">partnering with </w:t>
      </w:r>
      <w:r w:rsidR="007A007F" w:rsidRPr="00E24E60">
        <w:t>NIGMS</w:t>
      </w:r>
      <w:r w:rsidR="00984256" w:rsidRPr="00E24E60">
        <w:t>, NLM</w:t>
      </w:r>
      <w:r w:rsidR="006A34B8" w:rsidRPr="00E24E60">
        <w:t xml:space="preserve"> and </w:t>
      </w:r>
      <w:r w:rsidR="007A007F" w:rsidRPr="00E24E60">
        <w:t>NCI</w:t>
      </w:r>
      <w:r w:rsidRPr="00E24E60">
        <w:t xml:space="preserve"> </w:t>
      </w:r>
      <w:r w:rsidR="00200C5A" w:rsidRPr="00E24E60">
        <w:t xml:space="preserve">to develop a unified CareerTrac system. </w:t>
      </w:r>
      <w:r w:rsidR="00452154" w:rsidRPr="00E24E60">
        <w:t xml:space="preserve">Since the system </w:t>
      </w:r>
      <w:r w:rsidR="007A007F" w:rsidRPr="00E24E60">
        <w:t xml:space="preserve">will now serve </w:t>
      </w:r>
      <w:r w:rsidR="006A1E0A">
        <w:t>five</w:t>
      </w:r>
      <w:r w:rsidR="006A34B8" w:rsidRPr="00E24E60">
        <w:t xml:space="preserve"> </w:t>
      </w:r>
      <w:r w:rsidR="00452154" w:rsidRPr="00E24E60">
        <w:t>ICs, t</w:t>
      </w:r>
      <w:r w:rsidR="00200C5A" w:rsidRPr="00E24E60">
        <w:t xml:space="preserve">he number of respondents has increased. </w:t>
      </w:r>
      <w:r w:rsidR="00557538" w:rsidRPr="00A445D8">
        <w:rPr>
          <w:highlight w:val="yellow"/>
        </w:rPr>
        <w:lastRenderedPageBreak/>
        <w:t xml:space="preserve">The previous number of burden hours approved was </w:t>
      </w:r>
      <w:r w:rsidR="00A445D8" w:rsidRPr="00A445D8">
        <w:rPr>
          <w:highlight w:val="yellow"/>
        </w:rPr>
        <w:t>365 respondents with a total of 5,460 burden hours. The current request is for 683 respondents with a total of 8,714 burden hours, reflecting the addition of the new ICs who are using the system.</w:t>
      </w:r>
    </w:p>
    <w:p w:rsidR="00EC0982" w:rsidRDefault="00EC0982" w:rsidP="0054422C">
      <w:pPr>
        <w:pStyle w:val="Default"/>
        <w:rPr>
          <w:highlight w:val="yellow"/>
        </w:rPr>
      </w:pPr>
      <w:r>
        <w:rPr>
          <w:highlight w:val="yellow"/>
        </w:rPr>
        <w:t>Changes also reflect a new requirement from NIH OER to collect data for 15 years not 10.</w:t>
      </w:r>
    </w:p>
    <w:p w:rsidR="00EC0982" w:rsidRDefault="00EC0982" w:rsidP="0054422C">
      <w:pPr>
        <w:pStyle w:val="Default"/>
        <w:rPr>
          <w:highlight w:val="yellow"/>
        </w:rPr>
      </w:pPr>
    </w:p>
    <w:p w:rsidR="0054422C" w:rsidRDefault="00CC3BD5" w:rsidP="0054422C">
      <w:pPr>
        <w:pStyle w:val="Default"/>
        <w:rPr>
          <w:highlight w:val="yellow"/>
        </w:rPr>
      </w:pPr>
      <w:r>
        <w:rPr>
          <w:highlight w:val="yellow"/>
        </w:rPr>
        <w:t>C</w:t>
      </w:r>
      <w:r w:rsidR="0054422C" w:rsidRPr="0054422C">
        <w:rPr>
          <w:highlight w:val="yellow"/>
        </w:rPr>
        <w:t xml:space="preserve">hanges proposed for the system </w:t>
      </w:r>
      <w:r w:rsidR="00557538">
        <w:rPr>
          <w:highlight w:val="yellow"/>
        </w:rPr>
        <w:t xml:space="preserve">during the next approval period (2016-2019) </w:t>
      </w:r>
      <w:r w:rsidR="0054422C" w:rsidRPr="0054422C">
        <w:rPr>
          <w:highlight w:val="yellow"/>
        </w:rPr>
        <w:t>include:</w:t>
      </w:r>
    </w:p>
    <w:p w:rsidR="00557538" w:rsidRDefault="00557538" w:rsidP="0054422C">
      <w:pPr>
        <w:pStyle w:val="Default"/>
        <w:rPr>
          <w:highlight w:val="yellow"/>
        </w:rPr>
      </w:pPr>
    </w:p>
    <w:p w:rsidR="00CC3BD5" w:rsidRDefault="00CC3BD5" w:rsidP="0054422C">
      <w:pPr>
        <w:pStyle w:val="Default"/>
        <w:rPr>
          <w:highlight w:val="yellow"/>
        </w:rPr>
      </w:pPr>
      <w:r>
        <w:rPr>
          <w:highlight w:val="yellow"/>
        </w:rPr>
        <w:t>Changes to the overall CareerTrac system, applicable to all tenants:</w:t>
      </w:r>
    </w:p>
    <w:p w:rsidR="00CC3BD5" w:rsidRPr="00CC3BD5" w:rsidRDefault="00CC3BD5" w:rsidP="00CC3BD5">
      <w:pPr>
        <w:pStyle w:val="ListParagraph"/>
        <w:numPr>
          <w:ilvl w:val="0"/>
          <w:numId w:val="18"/>
        </w:numPr>
        <w:rPr>
          <w:rFonts w:ascii="Times New Roman" w:hAnsi="Times New Roman" w:cs="Times New Roman"/>
          <w:sz w:val="24"/>
          <w:szCs w:val="24"/>
          <w:highlight w:val="yellow"/>
        </w:rPr>
      </w:pPr>
      <w:r w:rsidRPr="00CC3BD5">
        <w:rPr>
          <w:rFonts w:ascii="Times New Roman" w:hAnsi="Times New Roman" w:cs="Times New Roman"/>
          <w:sz w:val="24"/>
          <w:szCs w:val="24"/>
          <w:highlight w:val="yellow"/>
        </w:rPr>
        <w:t xml:space="preserve">With the advent of the trans-NIH Trainee system called </w:t>
      </w:r>
      <w:proofErr w:type="spellStart"/>
      <w:r w:rsidRPr="00CC3BD5">
        <w:rPr>
          <w:rFonts w:ascii="Times New Roman" w:hAnsi="Times New Roman" w:cs="Times New Roman"/>
          <w:sz w:val="24"/>
          <w:szCs w:val="24"/>
          <w:highlight w:val="yellow"/>
        </w:rPr>
        <w:t>xTRACT</w:t>
      </w:r>
      <w:proofErr w:type="spellEnd"/>
      <w:r w:rsidRPr="00CC3BD5">
        <w:rPr>
          <w:rFonts w:ascii="Times New Roman" w:hAnsi="Times New Roman" w:cs="Times New Roman"/>
          <w:sz w:val="24"/>
          <w:szCs w:val="24"/>
          <w:highlight w:val="yellow"/>
        </w:rPr>
        <w:t xml:space="preserve"> and an anticipated change in the tables required for progress reports and applications, the NRSA tables will also likely be removed in the next 6-12 months. </w:t>
      </w:r>
    </w:p>
    <w:p w:rsidR="00CC3BD5" w:rsidRPr="00855A5E" w:rsidRDefault="00CC3BD5" w:rsidP="00CC3BD5">
      <w:pPr>
        <w:numPr>
          <w:ilvl w:val="0"/>
          <w:numId w:val="18"/>
        </w:numPr>
        <w:rPr>
          <w:highlight w:val="yellow"/>
        </w:rPr>
      </w:pPr>
      <w:r w:rsidRPr="00855A5E">
        <w:rPr>
          <w:highlight w:val="yellow"/>
        </w:rPr>
        <w:t>Expanding database links to records NIH grants applied to or obtained after training for reporting purposes and to reduce duplication of effort.</w:t>
      </w:r>
    </w:p>
    <w:p w:rsidR="00CC3BD5" w:rsidRPr="00855A5E" w:rsidRDefault="00CC3BD5" w:rsidP="00CC3BD5">
      <w:pPr>
        <w:numPr>
          <w:ilvl w:val="0"/>
          <w:numId w:val="18"/>
        </w:numPr>
        <w:rPr>
          <w:highlight w:val="yellow"/>
        </w:rPr>
      </w:pPr>
      <w:r w:rsidRPr="00855A5E">
        <w:rPr>
          <w:highlight w:val="yellow"/>
        </w:rPr>
        <w:t xml:space="preserve">Considering ways to leverage sensitive </w:t>
      </w:r>
      <w:proofErr w:type="spellStart"/>
      <w:r w:rsidRPr="00855A5E">
        <w:rPr>
          <w:highlight w:val="yellow"/>
        </w:rPr>
        <w:t>CommonsID</w:t>
      </w:r>
      <w:proofErr w:type="spellEnd"/>
      <w:r w:rsidRPr="00855A5E">
        <w:rPr>
          <w:highlight w:val="yellow"/>
        </w:rPr>
        <w:t xml:space="preserve"> data to evaluate outcomes for underrepresented sectors (or by race, gender, ethnicity) (will require major discussion with the NIH Office of Extramural Research and a potentially a modification to this OMB Clearance.</w:t>
      </w:r>
    </w:p>
    <w:p w:rsidR="00CC3BD5" w:rsidRDefault="00CC3BD5" w:rsidP="00CC3BD5">
      <w:pPr>
        <w:numPr>
          <w:ilvl w:val="0"/>
          <w:numId w:val="18"/>
        </w:numPr>
        <w:rPr>
          <w:highlight w:val="yellow"/>
        </w:rPr>
      </w:pPr>
      <w:r w:rsidRPr="00855A5E">
        <w:rPr>
          <w:highlight w:val="yellow"/>
        </w:rPr>
        <w:t>Incorporating new CareerTrac tenants: other NIH Institutes and Centers have expressed interest in developing pilot projects. As they come on board, this clearance will be modified accordingly.</w:t>
      </w:r>
      <w:r w:rsidRPr="00DF32A8">
        <w:rPr>
          <w:highlight w:val="yellow"/>
        </w:rPr>
        <w:t xml:space="preserve"> </w:t>
      </w:r>
    </w:p>
    <w:p w:rsidR="00CC3BD5" w:rsidRDefault="00CC3BD5" w:rsidP="00CC3BD5">
      <w:pPr>
        <w:numPr>
          <w:ilvl w:val="0"/>
          <w:numId w:val="18"/>
        </w:numPr>
        <w:rPr>
          <w:highlight w:val="yellow"/>
        </w:rPr>
      </w:pPr>
      <w:r>
        <w:rPr>
          <w:highlight w:val="yellow"/>
        </w:rPr>
        <w:t xml:space="preserve">Exploring the potential for developing greater interoperability and data exchange with the new </w:t>
      </w:r>
      <w:proofErr w:type="spellStart"/>
      <w:r>
        <w:rPr>
          <w:highlight w:val="yellow"/>
        </w:rPr>
        <w:t>xTRACT</w:t>
      </w:r>
      <w:proofErr w:type="spellEnd"/>
      <w:r>
        <w:rPr>
          <w:highlight w:val="yellow"/>
        </w:rPr>
        <w:t xml:space="preserve"> data system, in development at NIH. </w:t>
      </w:r>
    </w:p>
    <w:p w:rsidR="00DA0A50" w:rsidRPr="00855A5E" w:rsidRDefault="00DA0A50" w:rsidP="00DA0A50">
      <w:pPr>
        <w:numPr>
          <w:ilvl w:val="0"/>
          <w:numId w:val="18"/>
        </w:numPr>
        <w:rPr>
          <w:highlight w:val="yellow"/>
        </w:rPr>
      </w:pPr>
      <w:r w:rsidRPr="00855A5E">
        <w:rPr>
          <w:highlight w:val="yellow"/>
        </w:rPr>
        <w:t>Added</w:t>
      </w:r>
      <w:r>
        <w:rPr>
          <w:highlight w:val="yellow"/>
        </w:rPr>
        <w:t xml:space="preserve"> (or adding?)</w:t>
      </w:r>
      <w:r w:rsidRPr="00855A5E">
        <w:rPr>
          <w:highlight w:val="yellow"/>
        </w:rPr>
        <w:t xml:space="preserve"> </w:t>
      </w:r>
      <w:r>
        <w:rPr>
          <w:highlight w:val="yellow"/>
        </w:rPr>
        <w:t xml:space="preserve">several new </w:t>
      </w:r>
      <w:r w:rsidRPr="00855A5E">
        <w:rPr>
          <w:highlight w:val="yellow"/>
        </w:rPr>
        <w:t>data fields</w:t>
      </w:r>
      <w:r>
        <w:rPr>
          <w:highlight w:val="yellow"/>
        </w:rPr>
        <w:t xml:space="preserve"> to the accomplishments collected for trainees. Data fields are applicable to </w:t>
      </w:r>
      <w:r w:rsidRPr="00406AFA">
        <w:rPr>
          <w:highlight w:val="yellow"/>
          <w:u w:val="single"/>
        </w:rPr>
        <w:t>all</w:t>
      </w:r>
      <w:r>
        <w:rPr>
          <w:highlight w:val="yellow"/>
        </w:rPr>
        <w:t xml:space="preserve"> tenant data entry screens. New data fields are as follows: </w:t>
      </w:r>
    </w:p>
    <w:p w:rsidR="00DA0A50" w:rsidRPr="00855A5E" w:rsidRDefault="00DA0A50" w:rsidP="00DA0A50">
      <w:pPr>
        <w:numPr>
          <w:ilvl w:val="1"/>
          <w:numId w:val="18"/>
        </w:numPr>
        <w:rPr>
          <w:highlight w:val="yellow"/>
        </w:rPr>
      </w:pPr>
      <w:r w:rsidRPr="00406AFA">
        <w:rPr>
          <w:i/>
          <w:highlight w:val="yellow"/>
        </w:rPr>
        <w:t>Mentor Role</w:t>
      </w:r>
      <w:r w:rsidRPr="00855A5E">
        <w:rPr>
          <w:highlight w:val="yellow"/>
        </w:rPr>
        <w:t xml:space="preserve"> added (dropdown options: Primary Mentor, Co-Mentor, Consultant) (optional)</w:t>
      </w:r>
    </w:p>
    <w:p w:rsidR="00DA0A50" w:rsidRPr="00855A5E" w:rsidRDefault="00DA0A50" w:rsidP="00DA0A50">
      <w:pPr>
        <w:numPr>
          <w:ilvl w:val="1"/>
          <w:numId w:val="18"/>
        </w:numPr>
        <w:rPr>
          <w:highlight w:val="yellow"/>
        </w:rPr>
      </w:pPr>
      <w:r w:rsidRPr="00406AFA">
        <w:rPr>
          <w:i/>
          <w:highlight w:val="yellow"/>
        </w:rPr>
        <w:t>Mentor Degree</w:t>
      </w:r>
      <w:r w:rsidRPr="00855A5E">
        <w:rPr>
          <w:highlight w:val="yellow"/>
        </w:rPr>
        <w:t xml:space="preserve"> added (dropdown contains a list of ~20 different degree types, ranging from Associates Degree, to MPH, to MD to Ph.D.) (optional)</w:t>
      </w:r>
    </w:p>
    <w:p w:rsidR="00DA0A50" w:rsidRPr="00855A5E" w:rsidRDefault="00DA0A50" w:rsidP="00DA0A50">
      <w:pPr>
        <w:numPr>
          <w:ilvl w:val="1"/>
          <w:numId w:val="18"/>
        </w:numPr>
        <w:rPr>
          <w:highlight w:val="yellow"/>
        </w:rPr>
      </w:pPr>
      <w:proofErr w:type="spellStart"/>
      <w:r w:rsidRPr="00406AFA">
        <w:rPr>
          <w:i/>
          <w:highlight w:val="yellow"/>
        </w:rPr>
        <w:t>CareerHighlights</w:t>
      </w:r>
      <w:proofErr w:type="spellEnd"/>
      <w:r w:rsidRPr="00406AFA">
        <w:rPr>
          <w:i/>
          <w:highlight w:val="yellow"/>
        </w:rPr>
        <w:t>/Leadership Accomplishment Type</w:t>
      </w:r>
      <w:r w:rsidRPr="00855A5E">
        <w:rPr>
          <w:highlight w:val="yellow"/>
        </w:rPr>
        <w:t xml:space="preserve"> added. Dropdown box includes Peer Review, Committees, Boards, Professional Membership, Other. (optional)</w:t>
      </w:r>
    </w:p>
    <w:p w:rsidR="00DA0A50" w:rsidRPr="00855A5E" w:rsidRDefault="00DA0A50" w:rsidP="00DA0A50">
      <w:pPr>
        <w:numPr>
          <w:ilvl w:val="1"/>
          <w:numId w:val="18"/>
        </w:numPr>
        <w:rPr>
          <w:highlight w:val="yellow"/>
        </w:rPr>
      </w:pPr>
      <w:r w:rsidRPr="00406AFA">
        <w:rPr>
          <w:i/>
          <w:highlight w:val="yellow"/>
        </w:rPr>
        <w:t xml:space="preserve">Fellowship </w:t>
      </w:r>
      <w:r>
        <w:rPr>
          <w:i/>
          <w:highlight w:val="yellow"/>
        </w:rPr>
        <w:t>N</w:t>
      </w:r>
      <w:r w:rsidRPr="00406AFA">
        <w:rPr>
          <w:i/>
          <w:highlight w:val="yellow"/>
        </w:rPr>
        <w:t>ame</w:t>
      </w:r>
      <w:r w:rsidRPr="00855A5E">
        <w:rPr>
          <w:highlight w:val="yellow"/>
        </w:rPr>
        <w:t xml:space="preserve"> added. Tenants can provide dropdown list, e.g. Diversity Supplement, Re-entry supplement, CURE Supplement, etc. (optional)</w:t>
      </w:r>
    </w:p>
    <w:p w:rsidR="00DA0A50" w:rsidRPr="00855A5E" w:rsidRDefault="00DA0A50" w:rsidP="00DA0A50">
      <w:pPr>
        <w:numPr>
          <w:ilvl w:val="1"/>
          <w:numId w:val="18"/>
        </w:numPr>
        <w:rPr>
          <w:highlight w:val="yellow"/>
        </w:rPr>
      </w:pPr>
      <w:r w:rsidRPr="00406AFA">
        <w:rPr>
          <w:i/>
          <w:highlight w:val="yellow"/>
        </w:rPr>
        <w:t>New Competitive Funding Applied to Type</w:t>
      </w:r>
      <w:r w:rsidRPr="00855A5E">
        <w:rPr>
          <w:highlight w:val="yellow"/>
        </w:rPr>
        <w:t xml:space="preserve"> added. Dropdown menu includes F, K, R21, R01, Other NIH, Non NIH Federal, Non-Federal and Other. (optional)</w:t>
      </w:r>
    </w:p>
    <w:p w:rsidR="00DA0A50" w:rsidRPr="00855A5E" w:rsidRDefault="00DA0A50" w:rsidP="00DA0A50">
      <w:pPr>
        <w:numPr>
          <w:ilvl w:val="1"/>
          <w:numId w:val="18"/>
        </w:numPr>
        <w:rPr>
          <w:highlight w:val="yellow"/>
        </w:rPr>
      </w:pPr>
      <w:r w:rsidRPr="00406AFA">
        <w:rPr>
          <w:i/>
          <w:highlight w:val="yellow"/>
        </w:rPr>
        <w:t>New Competitive Funding Awarded</w:t>
      </w:r>
      <w:r w:rsidRPr="00855A5E">
        <w:rPr>
          <w:highlight w:val="yellow"/>
        </w:rPr>
        <w:t xml:space="preserve"> added. Dropdown menu includes yes/no. (required) (Nesting details of awards to appear only if </w:t>
      </w:r>
      <w:proofErr w:type="gramStart"/>
      <w:r w:rsidRPr="00855A5E">
        <w:rPr>
          <w:highlight w:val="yellow"/>
        </w:rPr>
        <w:t>Yes</w:t>
      </w:r>
      <w:proofErr w:type="gramEnd"/>
      <w:r w:rsidRPr="00855A5E">
        <w:rPr>
          <w:highlight w:val="yellow"/>
        </w:rPr>
        <w:t xml:space="preserve"> selected in this box.)</w:t>
      </w:r>
    </w:p>
    <w:p w:rsidR="00DA0A50" w:rsidRPr="00855A5E" w:rsidRDefault="00DA0A50" w:rsidP="00DA0A50">
      <w:pPr>
        <w:numPr>
          <w:ilvl w:val="1"/>
          <w:numId w:val="18"/>
        </w:numPr>
        <w:rPr>
          <w:highlight w:val="yellow"/>
        </w:rPr>
      </w:pPr>
      <w:r w:rsidRPr="00406AFA">
        <w:rPr>
          <w:i/>
          <w:highlight w:val="yellow"/>
        </w:rPr>
        <w:t>Posters/Presentations Meeting Title</w:t>
      </w:r>
      <w:r w:rsidRPr="00855A5E">
        <w:rPr>
          <w:highlight w:val="yellow"/>
        </w:rPr>
        <w:t xml:space="preserve"> added: Unstructured data (required)</w:t>
      </w:r>
    </w:p>
    <w:p w:rsidR="00DA0A50" w:rsidRPr="00855A5E" w:rsidRDefault="00DA0A50" w:rsidP="00DA0A50">
      <w:pPr>
        <w:numPr>
          <w:ilvl w:val="1"/>
          <w:numId w:val="18"/>
        </w:numPr>
        <w:rPr>
          <w:highlight w:val="yellow"/>
        </w:rPr>
      </w:pPr>
      <w:r w:rsidRPr="00406AFA">
        <w:rPr>
          <w:i/>
          <w:highlight w:val="yellow"/>
        </w:rPr>
        <w:t>Posters/Presentations Meeting Type of Presentation</w:t>
      </w:r>
      <w:r w:rsidRPr="00855A5E">
        <w:rPr>
          <w:highlight w:val="yellow"/>
        </w:rPr>
        <w:t xml:space="preserve"> added: (dropdown = oral/poster) (required)</w:t>
      </w:r>
    </w:p>
    <w:p w:rsidR="00DA0A50" w:rsidRPr="00855A5E" w:rsidRDefault="00DA0A50" w:rsidP="00DA0A50">
      <w:pPr>
        <w:numPr>
          <w:ilvl w:val="1"/>
          <w:numId w:val="18"/>
        </w:numPr>
        <w:rPr>
          <w:highlight w:val="yellow"/>
        </w:rPr>
      </w:pPr>
      <w:r w:rsidRPr="00406AFA">
        <w:rPr>
          <w:i/>
          <w:highlight w:val="yellow"/>
        </w:rPr>
        <w:t>Posters/Presentations Meeting Scope</w:t>
      </w:r>
      <w:r w:rsidRPr="00855A5E">
        <w:rPr>
          <w:highlight w:val="yellow"/>
        </w:rPr>
        <w:t xml:space="preserve"> added: Dropdown menu includes Local, National, International (optional)</w:t>
      </w:r>
    </w:p>
    <w:p w:rsidR="00DA0A50" w:rsidRPr="00855A5E" w:rsidRDefault="00DA0A50" w:rsidP="00DA0A50">
      <w:pPr>
        <w:numPr>
          <w:ilvl w:val="1"/>
          <w:numId w:val="18"/>
        </w:numPr>
        <w:rPr>
          <w:highlight w:val="yellow"/>
        </w:rPr>
      </w:pPr>
      <w:r w:rsidRPr="00406AFA">
        <w:rPr>
          <w:i/>
          <w:highlight w:val="yellow"/>
        </w:rPr>
        <w:t>Commons ID</w:t>
      </w:r>
      <w:r w:rsidRPr="00855A5E">
        <w:rPr>
          <w:highlight w:val="yellow"/>
        </w:rPr>
        <w:t xml:space="preserve"> (required for new entries into CareerTrac and for those imported via </w:t>
      </w:r>
      <w:proofErr w:type="spellStart"/>
      <w:r w:rsidRPr="00855A5E">
        <w:rPr>
          <w:highlight w:val="yellow"/>
        </w:rPr>
        <w:t>xTRAIN</w:t>
      </w:r>
      <w:proofErr w:type="spellEnd"/>
      <w:r w:rsidRPr="00855A5E">
        <w:rPr>
          <w:highlight w:val="yellow"/>
        </w:rPr>
        <w:t>, optional for legacy trainees)</w:t>
      </w:r>
    </w:p>
    <w:p w:rsidR="00DA0A50" w:rsidRPr="00DF32A8" w:rsidRDefault="00DA0A50" w:rsidP="00DA0A50">
      <w:pPr>
        <w:ind w:left="720"/>
        <w:rPr>
          <w:highlight w:val="yellow"/>
        </w:rPr>
      </w:pPr>
    </w:p>
    <w:p w:rsidR="00585BF8" w:rsidRDefault="00585BF8" w:rsidP="00585BF8">
      <w:pPr>
        <w:pStyle w:val="Default"/>
        <w:rPr>
          <w:highlight w:val="yellow"/>
        </w:rPr>
      </w:pPr>
      <w:r>
        <w:rPr>
          <w:highlight w:val="yellow"/>
        </w:rPr>
        <w:t>Expansion of the NIGMS tenant to include the RISE program…</w:t>
      </w:r>
    </w:p>
    <w:p w:rsidR="00585BF8" w:rsidRDefault="00585BF8" w:rsidP="0054422C">
      <w:pPr>
        <w:pStyle w:val="Default"/>
        <w:rPr>
          <w:highlight w:val="yellow"/>
        </w:rPr>
      </w:pPr>
    </w:p>
    <w:p w:rsidR="00585BF8" w:rsidRDefault="00585BF8" w:rsidP="0054422C">
      <w:pPr>
        <w:pStyle w:val="Default"/>
        <w:rPr>
          <w:highlight w:val="yellow"/>
        </w:rPr>
      </w:pPr>
      <w:proofErr w:type="gramStart"/>
      <w:r>
        <w:rPr>
          <w:highlight w:val="yellow"/>
        </w:rPr>
        <w:t>Expansion of the NIEHS tenant to include R25 undergraduate Research programs.</w:t>
      </w:r>
      <w:proofErr w:type="gramEnd"/>
    </w:p>
    <w:p w:rsidR="00585BF8" w:rsidRPr="0054422C" w:rsidRDefault="00585BF8" w:rsidP="0054422C">
      <w:pPr>
        <w:pStyle w:val="Default"/>
        <w:rPr>
          <w:highlight w:val="yellow"/>
        </w:rPr>
      </w:pPr>
    </w:p>
    <w:p w:rsidR="00CC3BD5" w:rsidRPr="00CC3BD5" w:rsidRDefault="00CC3BD5" w:rsidP="00CC3BD5">
      <w:pPr>
        <w:pStyle w:val="Default"/>
      </w:pPr>
      <w:r w:rsidRPr="00CC3BD5">
        <w:rPr>
          <w:highlight w:val="yellow"/>
        </w:rPr>
        <w:t xml:space="preserve">NCI is proposing using their clearance for this data collection effort to collect data from </w:t>
      </w:r>
      <w:r w:rsidR="007D1098">
        <w:rPr>
          <w:highlight w:val="yellow"/>
        </w:rPr>
        <w:t xml:space="preserve">domestic </w:t>
      </w:r>
      <w:r w:rsidRPr="00CC3BD5">
        <w:rPr>
          <w:highlight w:val="yellow"/>
        </w:rPr>
        <w:t xml:space="preserve">trainees </w:t>
      </w:r>
      <w:r w:rsidR="007D1098">
        <w:rPr>
          <w:highlight w:val="yellow"/>
        </w:rPr>
        <w:t>supported by</w:t>
      </w:r>
      <w:r w:rsidR="007D1098" w:rsidRPr="00CC3BD5">
        <w:rPr>
          <w:highlight w:val="yellow"/>
        </w:rPr>
        <w:t xml:space="preserve"> </w:t>
      </w:r>
      <w:r w:rsidRPr="00CC3BD5">
        <w:rPr>
          <w:highlight w:val="yellow"/>
        </w:rPr>
        <w:t xml:space="preserve">the </w:t>
      </w:r>
      <w:r>
        <w:rPr>
          <w:highlight w:val="yellow"/>
        </w:rPr>
        <w:t>Center for Cancer on Research Health Disparities (</w:t>
      </w:r>
      <w:r w:rsidRPr="00CC3BD5">
        <w:rPr>
          <w:highlight w:val="yellow"/>
        </w:rPr>
        <w:t>CRCHD</w:t>
      </w:r>
      <w:r>
        <w:rPr>
          <w:highlight w:val="yellow"/>
        </w:rPr>
        <w:t>)</w:t>
      </w:r>
      <w:r w:rsidRPr="00CC3BD5">
        <w:rPr>
          <w:highlight w:val="yellow"/>
        </w:rPr>
        <w:t>. Proposed changes that are specific to the CRCHD program</w:t>
      </w:r>
      <w:r w:rsidR="007D1098">
        <w:rPr>
          <w:highlight w:val="yellow"/>
        </w:rPr>
        <w:t>s</w:t>
      </w:r>
      <w:r w:rsidRPr="00CC3BD5">
        <w:rPr>
          <w:highlight w:val="yellow"/>
        </w:rPr>
        <w:t xml:space="preserve"> include:</w:t>
      </w:r>
    </w:p>
    <w:p w:rsidR="00CC3BD5" w:rsidRDefault="00CC3BD5" w:rsidP="00CC3BD5">
      <w:pPr>
        <w:numPr>
          <w:ilvl w:val="0"/>
          <w:numId w:val="18"/>
        </w:numPr>
        <w:rPr>
          <w:highlight w:val="yellow"/>
        </w:rPr>
      </w:pPr>
      <w:r>
        <w:rPr>
          <w:highlight w:val="yellow"/>
        </w:rPr>
        <w:t>Expanding the</w:t>
      </w:r>
      <w:r w:rsidRPr="00DF32A8">
        <w:rPr>
          <w:highlight w:val="yellow"/>
        </w:rPr>
        <w:t xml:space="preserve"> </w:t>
      </w:r>
      <w:r>
        <w:rPr>
          <w:highlight w:val="yellow"/>
        </w:rPr>
        <w:t xml:space="preserve">NCI clearance to include data collection for CRCHD. </w:t>
      </w:r>
    </w:p>
    <w:p w:rsidR="00CC3BD5" w:rsidRPr="00DF32A8" w:rsidRDefault="00CC3BD5" w:rsidP="00CC3BD5">
      <w:pPr>
        <w:numPr>
          <w:ilvl w:val="0"/>
          <w:numId w:val="18"/>
        </w:numPr>
        <w:rPr>
          <w:highlight w:val="yellow"/>
        </w:rPr>
      </w:pPr>
      <w:r>
        <w:rPr>
          <w:highlight w:val="yellow"/>
        </w:rPr>
        <w:t xml:space="preserve">Developing tool tips and </w:t>
      </w:r>
      <w:r w:rsidRPr="00DF32A8">
        <w:rPr>
          <w:highlight w:val="yellow"/>
        </w:rPr>
        <w:t xml:space="preserve">help documents </w:t>
      </w:r>
      <w:r>
        <w:rPr>
          <w:highlight w:val="yellow"/>
        </w:rPr>
        <w:t xml:space="preserve">specific </w:t>
      </w:r>
      <w:r w:rsidRPr="00DF32A8">
        <w:rPr>
          <w:highlight w:val="yellow"/>
        </w:rPr>
        <w:t xml:space="preserve">for </w:t>
      </w:r>
      <w:r>
        <w:rPr>
          <w:highlight w:val="yellow"/>
        </w:rPr>
        <w:t>CRCHD system users.</w:t>
      </w:r>
    </w:p>
    <w:p w:rsidR="00CC3BD5" w:rsidRPr="00855A5E" w:rsidRDefault="00CC3BD5" w:rsidP="00CC3BD5">
      <w:pPr>
        <w:numPr>
          <w:ilvl w:val="0"/>
          <w:numId w:val="18"/>
        </w:numPr>
        <w:rPr>
          <w:highlight w:val="yellow"/>
        </w:rPr>
      </w:pPr>
      <w:r>
        <w:rPr>
          <w:highlight w:val="yellow"/>
        </w:rPr>
        <w:t xml:space="preserve">Adding several </w:t>
      </w:r>
      <w:r w:rsidR="00E40DD4">
        <w:rPr>
          <w:highlight w:val="yellow"/>
        </w:rPr>
        <w:t xml:space="preserve">Custom Fields for NCI’s </w:t>
      </w:r>
      <w:r w:rsidRPr="00855A5E">
        <w:rPr>
          <w:highlight w:val="yellow"/>
        </w:rPr>
        <w:t xml:space="preserve">CRCHD: </w:t>
      </w:r>
    </w:p>
    <w:p w:rsidR="00CC3BD5" w:rsidRPr="00855A5E" w:rsidRDefault="00CC3BD5" w:rsidP="00CC3BD5">
      <w:pPr>
        <w:numPr>
          <w:ilvl w:val="1"/>
          <w:numId w:val="18"/>
        </w:numPr>
        <w:rPr>
          <w:highlight w:val="yellow"/>
        </w:rPr>
      </w:pPr>
      <w:r w:rsidRPr="00406AFA">
        <w:rPr>
          <w:i/>
          <w:highlight w:val="yellow"/>
        </w:rPr>
        <w:t>Geographical Management of Cancer Health Disparities Program (</w:t>
      </w:r>
      <w:proofErr w:type="spellStart"/>
      <w:r w:rsidRPr="00406AFA">
        <w:rPr>
          <w:i/>
          <w:highlight w:val="yellow"/>
        </w:rPr>
        <w:t>GMaP</w:t>
      </w:r>
      <w:proofErr w:type="spellEnd"/>
      <w:r w:rsidRPr="00406AFA">
        <w:rPr>
          <w:i/>
          <w:highlight w:val="yellow"/>
        </w:rPr>
        <w:t>) Region ID</w:t>
      </w:r>
      <w:r w:rsidRPr="00855A5E">
        <w:rPr>
          <w:highlight w:val="yellow"/>
        </w:rPr>
        <w:t xml:space="preserve"> </w:t>
      </w:r>
      <w:r>
        <w:rPr>
          <w:highlight w:val="yellow"/>
        </w:rPr>
        <w:t>will be</w:t>
      </w:r>
      <w:r w:rsidRPr="00855A5E">
        <w:rPr>
          <w:highlight w:val="yellow"/>
        </w:rPr>
        <w:t xml:space="preserve"> added to trainee records (derived not entered but it is a new field element) (required)</w:t>
      </w:r>
    </w:p>
    <w:p w:rsidR="00CC3BD5" w:rsidRPr="00855A5E" w:rsidRDefault="00CC3BD5" w:rsidP="00CC3BD5">
      <w:pPr>
        <w:numPr>
          <w:ilvl w:val="1"/>
          <w:numId w:val="18"/>
        </w:numPr>
        <w:rPr>
          <w:highlight w:val="yellow"/>
        </w:rPr>
      </w:pPr>
      <w:r w:rsidRPr="00406AFA">
        <w:rPr>
          <w:i/>
          <w:highlight w:val="yellow"/>
        </w:rPr>
        <w:t xml:space="preserve">Research Project Details </w:t>
      </w:r>
      <w:r w:rsidRPr="00855A5E">
        <w:rPr>
          <w:highlight w:val="yellow"/>
        </w:rPr>
        <w:t xml:space="preserve">section </w:t>
      </w:r>
      <w:r>
        <w:rPr>
          <w:highlight w:val="yellow"/>
        </w:rPr>
        <w:t xml:space="preserve">will be </w:t>
      </w:r>
      <w:r w:rsidRPr="00855A5E">
        <w:rPr>
          <w:highlight w:val="yellow"/>
        </w:rPr>
        <w:t xml:space="preserve">added to collect open ended data about Goals and Aims; Research Activities, Key findings and Impact of Findings. </w:t>
      </w:r>
    </w:p>
    <w:p w:rsidR="00CC3BD5" w:rsidRPr="00557538" w:rsidRDefault="00CC3BD5" w:rsidP="00557538">
      <w:pPr>
        <w:numPr>
          <w:ilvl w:val="1"/>
          <w:numId w:val="18"/>
        </w:numPr>
        <w:rPr>
          <w:highlight w:val="yellow"/>
        </w:rPr>
      </w:pPr>
      <w:r w:rsidRPr="00406AFA">
        <w:rPr>
          <w:i/>
          <w:highlight w:val="yellow"/>
        </w:rPr>
        <w:t xml:space="preserve">Training activities </w:t>
      </w:r>
      <w:r w:rsidRPr="00855A5E">
        <w:rPr>
          <w:highlight w:val="yellow"/>
        </w:rPr>
        <w:t xml:space="preserve">section </w:t>
      </w:r>
      <w:r>
        <w:rPr>
          <w:highlight w:val="yellow"/>
        </w:rPr>
        <w:t xml:space="preserve">will be </w:t>
      </w:r>
      <w:r w:rsidRPr="00855A5E">
        <w:rPr>
          <w:highlight w:val="yellow"/>
        </w:rPr>
        <w:t xml:space="preserve">added to collect unstructured data about Didactic Activities and structured data about Career Skills (dropdown options: </w:t>
      </w:r>
      <w:proofErr w:type="spellStart"/>
      <w:r w:rsidRPr="00855A5E">
        <w:rPr>
          <w:highlight w:val="yellow"/>
        </w:rPr>
        <w:t>Grantsmanship</w:t>
      </w:r>
      <w:proofErr w:type="spellEnd"/>
      <w:r w:rsidRPr="00855A5E">
        <w:rPr>
          <w:highlight w:val="yellow"/>
        </w:rPr>
        <w:t>, Communication Skills, Writing Skills, Time Management, Job Search, Leadership, Broaden Perspectives, Other) (optional)</w:t>
      </w:r>
    </w:p>
    <w:p w:rsidR="0054422C" w:rsidRPr="0054422C" w:rsidRDefault="0054422C" w:rsidP="0054422C">
      <w:pPr>
        <w:pStyle w:val="Default"/>
      </w:pPr>
    </w:p>
    <w:p w:rsidR="00AA3632" w:rsidRDefault="00AA3632" w:rsidP="002048FF">
      <w:pPr>
        <w:spacing w:after="200" w:line="276" w:lineRule="auto"/>
      </w:pPr>
      <w:r>
        <w:rPr>
          <w:b/>
          <w:bCs/>
        </w:rPr>
        <w:t xml:space="preserve">A.16.Plans for Publication, Analysis, and Schedule </w:t>
      </w:r>
    </w:p>
    <w:p w:rsidR="00AA3632" w:rsidRPr="00E24E60" w:rsidRDefault="002717AF">
      <w:pPr>
        <w:pStyle w:val="CM2"/>
      </w:pPr>
      <w:r w:rsidRPr="00E24E60">
        <w:t>NIH</w:t>
      </w:r>
      <w:r w:rsidR="00AA3632" w:rsidRPr="00E24E60">
        <w:t xml:space="preserve"> Program managers will use the data collected in this system for program analysis and to produce annual management reports, with the objective of verifying and demonstrating that program objectives are being achieved. The results of this analysis and supporting reports will be published annually in Program Reports.  </w:t>
      </w:r>
      <w:r w:rsidRPr="00E24E60">
        <w:t>Examples of</w:t>
      </w:r>
      <w:r w:rsidR="00AA3632" w:rsidRPr="00E24E60">
        <w:t xml:space="preserve"> reports for each program include: </w:t>
      </w:r>
    </w:p>
    <w:p w:rsidR="004E48EE" w:rsidRPr="007A007F" w:rsidRDefault="00AA3632" w:rsidP="004E48EE">
      <w:pPr>
        <w:pStyle w:val="CM8"/>
        <w:numPr>
          <w:ilvl w:val="0"/>
          <w:numId w:val="2"/>
        </w:numPr>
      </w:pPr>
      <w:r w:rsidRPr="00E24E60">
        <w:t>Awarded degrees</w:t>
      </w:r>
      <w:r w:rsidR="004E48EE" w:rsidRPr="00E24E60">
        <w:t xml:space="preserve"> (by Grant, Program, Country, Region</w:t>
      </w:r>
      <w:r w:rsidR="004E48EE" w:rsidRPr="007A007F">
        <w:t>, Discipline)</w:t>
      </w:r>
    </w:p>
    <w:p w:rsidR="00E80C13" w:rsidRPr="007A007F" w:rsidRDefault="004E48EE" w:rsidP="004E48EE">
      <w:pPr>
        <w:pStyle w:val="CM8"/>
        <w:numPr>
          <w:ilvl w:val="0"/>
          <w:numId w:val="2"/>
        </w:numPr>
      </w:pPr>
      <w:r w:rsidRPr="007A007F">
        <w:t>Type of training (by Grant, Program, Country, Region,  Discipline)</w:t>
      </w:r>
    </w:p>
    <w:p w:rsidR="00C81E97" w:rsidRDefault="00AA3632" w:rsidP="00C81E97">
      <w:pPr>
        <w:pStyle w:val="CM8"/>
        <w:numPr>
          <w:ilvl w:val="0"/>
          <w:numId w:val="2"/>
        </w:numPr>
      </w:pPr>
      <w:r w:rsidRPr="007A007F">
        <w:t xml:space="preserve">Trainee Return Rate by Grant </w:t>
      </w:r>
      <w:r w:rsidR="004E48EE" w:rsidRPr="007A007F">
        <w:t xml:space="preserve">, Program, Country, Discipline </w:t>
      </w:r>
    </w:p>
    <w:p w:rsidR="00C81E97" w:rsidRPr="00C81E97" w:rsidRDefault="00AA3632" w:rsidP="00C81E97">
      <w:pPr>
        <w:pStyle w:val="CM8"/>
        <w:numPr>
          <w:ilvl w:val="0"/>
          <w:numId w:val="2"/>
        </w:numPr>
      </w:pPr>
      <w:r w:rsidRPr="007A007F">
        <w:t>Trainee Accomplishmen</w:t>
      </w:r>
      <w:r w:rsidR="004E48EE" w:rsidRPr="007A007F">
        <w:t xml:space="preserve">ts: Publications, </w:t>
      </w:r>
      <w:r w:rsidR="009A4F16">
        <w:t>Posters</w:t>
      </w:r>
      <w:r w:rsidR="004E48EE" w:rsidRPr="007A007F">
        <w:t xml:space="preserve">, Policy, Products, Employment, </w:t>
      </w:r>
      <w:r w:rsidR="009A4F16">
        <w:t>Career Highlights</w:t>
      </w:r>
      <w:r w:rsidR="004E48EE" w:rsidRPr="007A007F">
        <w:t>, teaching, new funding, further education</w:t>
      </w:r>
    </w:p>
    <w:p w:rsidR="00C81E97" w:rsidRDefault="00C81E97" w:rsidP="00C81E97">
      <w:pPr>
        <w:pStyle w:val="CM8"/>
      </w:pPr>
    </w:p>
    <w:p w:rsidR="00AA3632" w:rsidRDefault="00AA3632" w:rsidP="00C81E97">
      <w:pPr>
        <w:pStyle w:val="CM8"/>
      </w:pPr>
      <w:r>
        <w:t xml:space="preserve">This information collection will not employ statistical methods. </w:t>
      </w:r>
    </w:p>
    <w:p w:rsidR="00C81E97" w:rsidRPr="00C81E97" w:rsidRDefault="00C81E97" w:rsidP="00C81E97">
      <w:pPr>
        <w:pStyle w:val="Default"/>
      </w:pPr>
    </w:p>
    <w:tbl>
      <w:tblPr>
        <w:tblW w:w="8759" w:type="dxa"/>
        <w:tblLook w:val="0000" w:firstRow="0" w:lastRow="0" w:firstColumn="0" w:lastColumn="0" w:noHBand="0" w:noVBand="0"/>
      </w:tblPr>
      <w:tblGrid>
        <w:gridCol w:w="3246"/>
        <w:gridCol w:w="236"/>
        <w:gridCol w:w="5277"/>
      </w:tblGrid>
      <w:tr w:rsidR="00AA3632">
        <w:trPr>
          <w:trHeight w:val="223"/>
        </w:trPr>
        <w:tc>
          <w:tcPr>
            <w:tcW w:w="3246" w:type="dxa"/>
            <w:tcBorders>
              <w:top w:val="single" w:sz="8" w:space="0" w:color="000000"/>
              <w:left w:val="single" w:sz="8" w:space="0" w:color="000000"/>
              <w:bottom w:val="single" w:sz="8" w:space="0" w:color="000000"/>
            </w:tcBorders>
          </w:tcPr>
          <w:p w:rsidR="00AA3632" w:rsidRDefault="00AA3632">
            <w:pPr>
              <w:pStyle w:val="Default"/>
              <w:rPr>
                <w:color w:val="auto"/>
              </w:rPr>
            </w:pPr>
          </w:p>
        </w:tc>
        <w:tc>
          <w:tcPr>
            <w:tcW w:w="5513" w:type="dxa"/>
            <w:gridSpan w:val="2"/>
            <w:tcBorders>
              <w:top w:val="single" w:sz="8" w:space="0" w:color="000000"/>
              <w:bottom w:val="single" w:sz="8" w:space="0" w:color="000000"/>
              <w:right w:val="single" w:sz="8" w:space="0" w:color="000000"/>
            </w:tcBorders>
            <w:vAlign w:val="center"/>
          </w:tcPr>
          <w:p w:rsidR="00AA3632" w:rsidRDefault="00AA3632">
            <w:pPr>
              <w:pStyle w:val="Default"/>
              <w:rPr>
                <w:sz w:val="20"/>
                <w:szCs w:val="20"/>
              </w:rPr>
            </w:pPr>
            <w:r>
              <w:rPr>
                <w:b/>
                <w:bCs/>
                <w:sz w:val="20"/>
                <w:szCs w:val="20"/>
              </w:rPr>
              <w:t xml:space="preserve">A.16 Project Time Schedule </w:t>
            </w:r>
          </w:p>
        </w:tc>
      </w:tr>
      <w:tr w:rsidR="00AA3632">
        <w:trPr>
          <w:trHeight w:val="223"/>
        </w:trPr>
        <w:tc>
          <w:tcPr>
            <w:tcW w:w="3246" w:type="dxa"/>
            <w:tcBorders>
              <w:top w:val="single" w:sz="8" w:space="0" w:color="000000"/>
              <w:left w:val="single" w:sz="8" w:space="0" w:color="000000"/>
              <w:bottom w:val="single" w:sz="8" w:space="0" w:color="000000"/>
            </w:tcBorders>
            <w:vAlign w:val="center"/>
          </w:tcPr>
          <w:p w:rsidR="00AA3632" w:rsidRDefault="00AA3632">
            <w:pPr>
              <w:pStyle w:val="Default"/>
              <w:rPr>
                <w:sz w:val="20"/>
                <w:szCs w:val="20"/>
              </w:rPr>
            </w:pPr>
            <w:r>
              <w:rPr>
                <w:b/>
                <w:bCs/>
                <w:sz w:val="20"/>
                <w:szCs w:val="20"/>
              </w:rPr>
              <w:t xml:space="preserve">Activity </w:t>
            </w:r>
          </w:p>
        </w:tc>
        <w:tc>
          <w:tcPr>
            <w:tcW w:w="236" w:type="dxa"/>
            <w:tcBorders>
              <w:top w:val="single" w:sz="8" w:space="0" w:color="000000"/>
              <w:bottom w:val="single" w:sz="8" w:space="0" w:color="000000"/>
              <w:right w:val="single" w:sz="8" w:space="0" w:color="000000"/>
            </w:tcBorders>
          </w:tcPr>
          <w:p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A3632" w:rsidRDefault="00AA3632">
            <w:pPr>
              <w:pStyle w:val="Default"/>
              <w:rPr>
                <w:sz w:val="20"/>
                <w:szCs w:val="20"/>
              </w:rPr>
            </w:pPr>
            <w:r>
              <w:rPr>
                <w:b/>
                <w:bCs/>
                <w:sz w:val="20"/>
                <w:szCs w:val="20"/>
              </w:rPr>
              <w:t>Time Schedule</w:t>
            </w:r>
          </w:p>
        </w:tc>
      </w:tr>
      <w:tr w:rsidR="00AA3632">
        <w:trPr>
          <w:trHeight w:val="225"/>
        </w:trPr>
        <w:tc>
          <w:tcPr>
            <w:tcW w:w="3246" w:type="dxa"/>
            <w:tcBorders>
              <w:top w:val="single" w:sz="8" w:space="0" w:color="000000"/>
              <w:left w:val="single" w:sz="8" w:space="0" w:color="000000"/>
              <w:bottom w:val="single" w:sz="8" w:space="0" w:color="000000"/>
            </w:tcBorders>
            <w:vAlign w:val="center"/>
          </w:tcPr>
          <w:p w:rsidR="00AA3632" w:rsidRDefault="00AA3632">
            <w:pPr>
              <w:pStyle w:val="Default"/>
              <w:rPr>
                <w:sz w:val="20"/>
                <w:szCs w:val="20"/>
              </w:rPr>
            </w:pPr>
            <w:r>
              <w:rPr>
                <w:sz w:val="20"/>
                <w:szCs w:val="20"/>
              </w:rPr>
              <w:t xml:space="preserve">  Record Trainee Data in CareerTrac </w:t>
            </w:r>
          </w:p>
        </w:tc>
        <w:tc>
          <w:tcPr>
            <w:tcW w:w="236" w:type="dxa"/>
            <w:tcBorders>
              <w:top w:val="single" w:sz="8" w:space="0" w:color="000000"/>
              <w:bottom w:val="single" w:sz="8" w:space="0" w:color="000000"/>
              <w:right w:val="single" w:sz="8" w:space="0" w:color="000000"/>
            </w:tcBorders>
          </w:tcPr>
          <w:p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A3632" w:rsidRPr="0024175C" w:rsidRDefault="00AA3632" w:rsidP="001C37ED">
            <w:pPr>
              <w:pStyle w:val="Default"/>
              <w:rPr>
                <w:sz w:val="20"/>
                <w:szCs w:val="20"/>
              </w:rPr>
            </w:pPr>
            <w:r w:rsidRPr="0024175C">
              <w:rPr>
                <w:sz w:val="20"/>
                <w:szCs w:val="20"/>
              </w:rPr>
              <w:t xml:space="preserve">  </w:t>
            </w:r>
            <w:r w:rsidR="004D0209" w:rsidRPr="0024175C">
              <w:rPr>
                <w:sz w:val="20"/>
                <w:szCs w:val="20"/>
              </w:rPr>
              <w:t>Immediately</w:t>
            </w:r>
            <w:r w:rsidRPr="0024175C">
              <w:rPr>
                <w:sz w:val="20"/>
                <w:szCs w:val="20"/>
              </w:rPr>
              <w:t xml:space="preserve"> after OMB approval; at least annually thereafter. </w:t>
            </w:r>
          </w:p>
        </w:tc>
      </w:tr>
      <w:tr w:rsidR="00AA3632">
        <w:trPr>
          <w:trHeight w:val="225"/>
        </w:trPr>
        <w:tc>
          <w:tcPr>
            <w:tcW w:w="3246" w:type="dxa"/>
            <w:tcBorders>
              <w:top w:val="single" w:sz="8" w:space="0" w:color="000000"/>
              <w:left w:val="single" w:sz="8" w:space="0" w:color="000000"/>
              <w:bottom w:val="single" w:sz="8" w:space="0" w:color="000000"/>
            </w:tcBorders>
            <w:vAlign w:val="center"/>
          </w:tcPr>
          <w:p w:rsidR="00AA3632" w:rsidRDefault="00AA3632">
            <w:pPr>
              <w:pStyle w:val="Default"/>
              <w:rPr>
                <w:sz w:val="20"/>
                <w:szCs w:val="20"/>
              </w:rPr>
            </w:pPr>
            <w:r>
              <w:rPr>
                <w:sz w:val="20"/>
                <w:szCs w:val="20"/>
              </w:rPr>
              <w:t xml:space="preserve">  Validate record entries </w:t>
            </w:r>
          </w:p>
        </w:tc>
        <w:tc>
          <w:tcPr>
            <w:tcW w:w="236" w:type="dxa"/>
            <w:tcBorders>
              <w:top w:val="single" w:sz="8" w:space="0" w:color="000000"/>
              <w:bottom w:val="single" w:sz="8" w:space="0" w:color="000000"/>
              <w:right w:val="single" w:sz="8" w:space="0" w:color="000000"/>
            </w:tcBorders>
          </w:tcPr>
          <w:p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A3632" w:rsidRPr="0024175C" w:rsidRDefault="00AA3632">
            <w:pPr>
              <w:pStyle w:val="Default"/>
              <w:rPr>
                <w:sz w:val="20"/>
                <w:szCs w:val="20"/>
              </w:rPr>
            </w:pPr>
            <w:r w:rsidRPr="0024175C">
              <w:rPr>
                <w:sz w:val="20"/>
                <w:szCs w:val="20"/>
              </w:rPr>
              <w:t xml:space="preserve">  </w:t>
            </w:r>
            <w:r w:rsidR="004D0209" w:rsidRPr="0024175C">
              <w:rPr>
                <w:sz w:val="20"/>
                <w:szCs w:val="20"/>
              </w:rPr>
              <w:t>3</w:t>
            </w:r>
            <w:r w:rsidRPr="0024175C">
              <w:rPr>
                <w:sz w:val="20"/>
                <w:szCs w:val="20"/>
              </w:rPr>
              <w:t xml:space="preserve"> months after OMB approval; at least annually thereafter. </w:t>
            </w:r>
          </w:p>
        </w:tc>
      </w:tr>
      <w:tr w:rsidR="00AA3632">
        <w:trPr>
          <w:trHeight w:val="225"/>
        </w:trPr>
        <w:tc>
          <w:tcPr>
            <w:tcW w:w="3246" w:type="dxa"/>
            <w:tcBorders>
              <w:top w:val="single" w:sz="8" w:space="0" w:color="000000"/>
              <w:left w:val="single" w:sz="8" w:space="0" w:color="000000"/>
              <w:bottom w:val="single" w:sz="8" w:space="0" w:color="000000"/>
            </w:tcBorders>
            <w:vAlign w:val="center"/>
          </w:tcPr>
          <w:p w:rsidR="00AA3632" w:rsidRDefault="00AA3632">
            <w:pPr>
              <w:pStyle w:val="Default"/>
              <w:rPr>
                <w:sz w:val="20"/>
                <w:szCs w:val="20"/>
              </w:rPr>
            </w:pPr>
            <w:r>
              <w:rPr>
                <w:sz w:val="20"/>
                <w:szCs w:val="20"/>
              </w:rPr>
              <w:t xml:space="preserve">  Review program results </w:t>
            </w:r>
          </w:p>
        </w:tc>
        <w:tc>
          <w:tcPr>
            <w:tcW w:w="236" w:type="dxa"/>
            <w:tcBorders>
              <w:top w:val="single" w:sz="8" w:space="0" w:color="000000"/>
              <w:bottom w:val="single" w:sz="8" w:space="0" w:color="000000"/>
              <w:right w:val="single" w:sz="8" w:space="0" w:color="000000"/>
            </w:tcBorders>
          </w:tcPr>
          <w:p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A3632" w:rsidRPr="0024175C" w:rsidRDefault="00AA3632">
            <w:pPr>
              <w:pStyle w:val="Default"/>
              <w:rPr>
                <w:sz w:val="20"/>
                <w:szCs w:val="20"/>
              </w:rPr>
            </w:pPr>
            <w:r w:rsidRPr="0024175C">
              <w:rPr>
                <w:sz w:val="20"/>
                <w:szCs w:val="20"/>
              </w:rPr>
              <w:t xml:space="preserve">  </w:t>
            </w:r>
            <w:r w:rsidR="004D0209" w:rsidRPr="0024175C">
              <w:rPr>
                <w:sz w:val="20"/>
                <w:szCs w:val="20"/>
              </w:rPr>
              <w:t>6</w:t>
            </w:r>
            <w:r w:rsidRPr="0024175C">
              <w:rPr>
                <w:sz w:val="20"/>
                <w:szCs w:val="20"/>
              </w:rPr>
              <w:t xml:space="preserve"> months after OMB approval; at least annually thereafter. </w:t>
            </w:r>
          </w:p>
        </w:tc>
      </w:tr>
      <w:tr w:rsidR="00AA3632">
        <w:trPr>
          <w:trHeight w:val="223"/>
        </w:trPr>
        <w:tc>
          <w:tcPr>
            <w:tcW w:w="3246" w:type="dxa"/>
            <w:tcBorders>
              <w:top w:val="single" w:sz="8" w:space="0" w:color="000000"/>
              <w:left w:val="single" w:sz="8" w:space="0" w:color="000000"/>
              <w:bottom w:val="single" w:sz="8" w:space="0" w:color="000000"/>
            </w:tcBorders>
          </w:tcPr>
          <w:p w:rsidR="00AA3632" w:rsidRDefault="00AA3632">
            <w:pPr>
              <w:pStyle w:val="Default"/>
              <w:rPr>
                <w:sz w:val="20"/>
                <w:szCs w:val="20"/>
              </w:rPr>
            </w:pPr>
            <w:r>
              <w:rPr>
                <w:sz w:val="20"/>
                <w:szCs w:val="20"/>
              </w:rPr>
              <w:t xml:space="preserve">  Prepare management reports</w:t>
            </w:r>
          </w:p>
        </w:tc>
        <w:tc>
          <w:tcPr>
            <w:tcW w:w="236" w:type="dxa"/>
            <w:tcBorders>
              <w:top w:val="single" w:sz="8" w:space="0" w:color="000000"/>
              <w:bottom w:val="single" w:sz="8" w:space="0" w:color="000000"/>
              <w:right w:val="single" w:sz="8" w:space="0" w:color="000000"/>
            </w:tcBorders>
          </w:tcPr>
          <w:p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tcPr>
          <w:p w:rsidR="00AA3632" w:rsidRDefault="00AA3632">
            <w:pPr>
              <w:pStyle w:val="Default"/>
              <w:rPr>
                <w:sz w:val="20"/>
                <w:szCs w:val="20"/>
              </w:rPr>
            </w:pPr>
            <w:r>
              <w:rPr>
                <w:sz w:val="20"/>
                <w:szCs w:val="20"/>
              </w:rPr>
              <w:t xml:space="preserve">  9 months after OMB approval; at least annually thereafter. </w:t>
            </w:r>
          </w:p>
        </w:tc>
      </w:tr>
      <w:tr w:rsidR="00AA3632">
        <w:trPr>
          <w:trHeight w:val="223"/>
        </w:trPr>
        <w:tc>
          <w:tcPr>
            <w:tcW w:w="3246" w:type="dxa"/>
            <w:tcBorders>
              <w:top w:val="single" w:sz="8" w:space="0" w:color="000000"/>
              <w:left w:val="single" w:sz="8" w:space="0" w:color="000000"/>
              <w:bottom w:val="single" w:sz="8" w:space="0" w:color="000000"/>
            </w:tcBorders>
          </w:tcPr>
          <w:p w:rsidR="00AA3632" w:rsidRDefault="00AA3632">
            <w:pPr>
              <w:pStyle w:val="Default"/>
              <w:rPr>
                <w:sz w:val="20"/>
                <w:szCs w:val="20"/>
              </w:rPr>
            </w:pPr>
            <w:r>
              <w:rPr>
                <w:sz w:val="20"/>
                <w:szCs w:val="20"/>
              </w:rPr>
              <w:t xml:space="preserve">  Publish reports </w:t>
            </w:r>
          </w:p>
        </w:tc>
        <w:tc>
          <w:tcPr>
            <w:tcW w:w="236" w:type="dxa"/>
            <w:tcBorders>
              <w:top w:val="single" w:sz="8" w:space="0" w:color="000000"/>
              <w:bottom w:val="single" w:sz="8" w:space="0" w:color="000000"/>
              <w:right w:val="single" w:sz="8" w:space="0" w:color="000000"/>
            </w:tcBorders>
          </w:tcPr>
          <w:p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tcPr>
          <w:p w:rsidR="00AA3632" w:rsidRDefault="00AA3632">
            <w:pPr>
              <w:pStyle w:val="Default"/>
              <w:rPr>
                <w:sz w:val="20"/>
                <w:szCs w:val="20"/>
              </w:rPr>
            </w:pPr>
            <w:r>
              <w:rPr>
                <w:sz w:val="20"/>
                <w:szCs w:val="20"/>
              </w:rPr>
              <w:t xml:space="preserve">  10 months after OMB approval; at least annually thereafter. </w:t>
            </w:r>
          </w:p>
        </w:tc>
      </w:tr>
    </w:tbl>
    <w:p w:rsidR="006A1E0A" w:rsidRDefault="006A1E0A">
      <w:pPr>
        <w:pStyle w:val="Default"/>
        <w:rPr>
          <w:color w:val="auto"/>
        </w:rPr>
      </w:pPr>
    </w:p>
    <w:p w:rsidR="006A1E0A" w:rsidRDefault="006A1E0A">
      <w:pPr>
        <w:pStyle w:val="Default"/>
        <w:rPr>
          <w:color w:val="auto"/>
        </w:rPr>
      </w:pPr>
    </w:p>
    <w:p w:rsidR="00AA3632" w:rsidRDefault="00AA3632">
      <w:pPr>
        <w:pStyle w:val="CM9"/>
        <w:jc w:val="both"/>
      </w:pPr>
      <w:r>
        <w:rPr>
          <w:b/>
          <w:bCs/>
        </w:rPr>
        <w:t xml:space="preserve">A.17.Approval to Not Display Expiration Date </w:t>
      </w:r>
    </w:p>
    <w:p w:rsidR="00AA3632" w:rsidRDefault="00AA3632">
      <w:pPr>
        <w:pStyle w:val="CM9"/>
        <w:jc w:val="both"/>
      </w:pPr>
      <w:r>
        <w:lastRenderedPageBreak/>
        <w:t xml:space="preserve">OMB Expiration Date will be displayed on the survey instruments. </w:t>
      </w:r>
    </w:p>
    <w:p w:rsidR="00AA3632" w:rsidRDefault="006A388D">
      <w:pPr>
        <w:pStyle w:val="CM9"/>
        <w:jc w:val="both"/>
      </w:pPr>
      <w:r>
        <w:rPr>
          <w:b/>
          <w:bCs/>
        </w:rPr>
        <w:t xml:space="preserve">A.18 </w:t>
      </w:r>
      <w:r w:rsidR="00AA3632">
        <w:rPr>
          <w:b/>
          <w:bCs/>
        </w:rPr>
        <w:t xml:space="preserve">Exceptions to Item 19 of OMB Form 83-I </w:t>
      </w:r>
    </w:p>
    <w:p w:rsidR="00AA3632" w:rsidRDefault="00AA3632" w:rsidP="00417D96">
      <w:pPr>
        <w:pStyle w:val="CM9"/>
      </w:pPr>
      <w:r>
        <w:t xml:space="preserve">No exceptions are sought from the Paperwork Reduction Act or from form 83-I. </w:t>
      </w:r>
    </w:p>
    <w:p w:rsidR="00CC3BD5" w:rsidRDefault="00CC3BD5" w:rsidP="00CC3BD5">
      <w:pPr>
        <w:pStyle w:val="Default"/>
      </w:pPr>
    </w:p>
    <w:p w:rsidR="00505602" w:rsidRDefault="00505602">
      <w:pPr>
        <w:rPr>
          <w:b/>
          <w:color w:val="000000"/>
        </w:rPr>
      </w:pPr>
      <w:r>
        <w:rPr>
          <w:b/>
        </w:rPr>
        <w:br w:type="page"/>
      </w:r>
    </w:p>
    <w:p w:rsidR="00557538" w:rsidRDefault="00557538" w:rsidP="00CC3BD5">
      <w:pPr>
        <w:pStyle w:val="Default"/>
      </w:pPr>
    </w:p>
    <w:p w:rsidR="00CC3BD5" w:rsidRPr="00CC3BD5" w:rsidRDefault="00CC3BD5" w:rsidP="00CC3BD5">
      <w:pPr>
        <w:pStyle w:val="Default"/>
      </w:pPr>
    </w:p>
    <w:sectPr w:rsidR="00CC3BD5" w:rsidRPr="00CC3BD5" w:rsidSect="00AD2001">
      <w:footerReference w:type="default" r:id="rId9"/>
      <w:type w:val="continuous"/>
      <w:pgSz w:w="12240" w:h="15840"/>
      <w:pgMar w:top="1420" w:right="1400" w:bottom="1440" w:left="16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72" w:rsidRDefault="004C6172" w:rsidP="00DA27DF">
      <w:r>
        <w:separator/>
      </w:r>
    </w:p>
  </w:endnote>
  <w:endnote w:type="continuationSeparator" w:id="0">
    <w:p w:rsidR="004C6172" w:rsidRDefault="004C6172" w:rsidP="00DA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3C" w:rsidRPr="00DF5FA7" w:rsidRDefault="008E4D3C">
    <w:pPr>
      <w:pStyle w:val="Footer"/>
      <w:jc w:val="center"/>
      <w:rPr>
        <w:sz w:val="20"/>
      </w:rPr>
    </w:pPr>
    <w:r w:rsidRPr="00DF5FA7">
      <w:rPr>
        <w:sz w:val="20"/>
      </w:rPr>
      <w:tab/>
    </w:r>
    <w:r w:rsidRPr="00DF5FA7">
      <w:rPr>
        <w:sz w:val="20"/>
      </w:rPr>
      <w:tab/>
    </w:r>
    <w:r w:rsidRPr="00DF5FA7">
      <w:rPr>
        <w:sz w:val="20"/>
      </w:rPr>
      <w:fldChar w:fldCharType="begin"/>
    </w:r>
    <w:r w:rsidRPr="00DF5FA7">
      <w:rPr>
        <w:sz w:val="20"/>
      </w:rPr>
      <w:instrText xml:space="preserve"> PAGE   \* MERGEFORMAT </w:instrText>
    </w:r>
    <w:r w:rsidRPr="00DF5FA7">
      <w:rPr>
        <w:sz w:val="20"/>
      </w:rPr>
      <w:fldChar w:fldCharType="separate"/>
    </w:r>
    <w:r w:rsidR="00BA3D6C">
      <w:rPr>
        <w:noProof/>
        <w:sz w:val="20"/>
      </w:rPr>
      <w:t>14</w:t>
    </w:r>
    <w:r w:rsidRPr="00DF5FA7">
      <w:rPr>
        <w:sz w:val="20"/>
      </w:rPr>
      <w:fldChar w:fldCharType="end"/>
    </w:r>
  </w:p>
  <w:p w:rsidR="008E4D3C" w:rsidRDefault="008E4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72" w:rsidRDefault="004C6172" w:rsidP="00DA27DF">
      <w:r>
        <w:separator/>
      </w:r>
    </w:p>
  </w:footnote>
  <w:footnote w:type="continuationSeparator" w:id="0">
    <w:p w:rsidR="004C6172" w:rsidRDefault="004C6172" w:rsidP="00DA27DF">
      <w:r>
        <w:continuationSeparator/>
      </w:r>
    </w:p>
  </w:footnote>
  <w:footnote w:id="1">
    <w:p w:rsidR="008E4D3C" w:rsidRDefault="008E4D3C" w:rsidP="003C0AF1">
      <w:pPr>
        <w:pStyle w:val="FootnoteText"/>
      </w:pPr>
      <w:r w:rsidRPr="00E266A1">
        <w:rPr>
          <w:rStyle w:val="FootnoteReference"/>
        </w:rPr>
        <w:footnoteRef/>
      </w:r>
      <w:r w:rsidRPr="00E266A1">
        <w:t xml:space="preserve"> </w:t>
      </w:r>
      <w:r>
        <w:t xml:space="preserve">HHS Strategic Plan: </w:t>
      </w:r>
      <w:hyperlink r:id="rId1" w:history="1">
        <w:r w:rsidRPr="006070AD">
          <w:rPr>
            <w:rStyle w:val="Hyperlink"/>
          </w:rPr>
          <w:t>http://www.hhs.gov/about/strategic-plan/index.html</w:t>
        </w:r>
      </w:hyperlink>
      <w:r>
        <w:t xml:space="preserve">; </w:t>
      </w:r>
    </w:p>
    <w:p w:rsidR="008E4D3C" w:rsidRDefault="008E4D3C" w:rsidP="003C0AF1">
      <w:pPr>
        <w:pStyle w:val="FootnoteText"/>
      </w:pPr>
      <w:r>
        <w:t xml:space="preserve">NIH Strategic Plan: </w:t>
      </w:r>
      <w:hyperlink r:id="rId2" w:history="1">
        <w:r w:rsidRPr="006070AD">
          <w:rPr>
            <w:rStyle w:val="Hyperlink"/>
          </w:rPr>
          <w:t>http://www.nih.gov/sites/default/files/about-nih/strategic-plan-fy2016-2020-508.pdf</w:t>
        </w:r>
      </w:hyperlink>
      <w:r>
        <w:t xml:space="preserve">; </w:t>
      </w:r>
    </w:p>
    <w:p w:rsidR="008E4D3C" w:rsidRPr="00E266A1" w:rsidRDefault="008E4D3C" w:rsidP="003C0AF1">
      <w:pPr>
        <w:pStyle w:val="FootnoteText"/>
      </w:pPr>
      <w:r w:rsidRPr="00E266A1">
        <w:t xml:space="preserve">FIC Strategic Plan: </w:t>
      </w:r>
      <w:hyperlink r:id="rId3" w:history="1">
        <w:r w:rsidRPr="00E266A1">
          <w:rPr>
            <w:rStyle w:val="Hyperlink"/>
          </w:rPr>
          <w:t>http://www.fic.nih.gov/about/pages/strategic-plan.aspx</w:t>
        </w:r>
      </w:hyperlink>
      <w:r w:rsidRPr="00E266A1">
        <w:t xml:space="preserve"> ; </w:t>
      </w:r>
      <w:r w:rsidRPr="00E266A1">
        <w:br/>
        <w:t xml:space="preserve">NIEHS Strategic Plan: </w:t>
      </w:r>
      <w:hyperlink r:id="rId4" w:history="1">
        <w:r w:rsidRPr="00E266A1">
          <w:rPr>
            <w:rStyle w:val="Hyperlink"/>
          </w:rPr>
          <w:t>http://www.niehs.nih.gov/about/strategicplan/</w:t>
        </w:r>
      </w:hyperlink>
      <w:r>
        <w:rPr>
          <w:rStyle w:val="Hyperlink"/>
        </w:rPr>
        <w:t>;</w:t>
      </w:r>
      <w:r w:rsidRPr="00E266A1">
        <w:t xml:space="preserve"> </w:t>
      </w:r>
    </w:p>
    <w:p w:rsidR="008E4D3C" w:rsidRDefault="008E4D3C">
      <w:pPr>
        <w:pStyle w:val="FootnoteText"/>
      </w:pPr>
      <w:r w:rsidRPr="00E266A1">
        <w:t xml:space="preserve">NIGMS Strategic Plan: </w:t>
      </w:r>
      <w:hyperlink r:id="rId5" w:history="1">
        <w:r w:rsidRPr="00E266A1">
          <w:rPr>
            <w:rStyle w:val="Hyperlink"/>
          </w:rPr>
          <w:t>http://publications.nigms.nih.gov/strategicplan/</w:t>
        </w:r>
      </w:hyperlink>
      <w:r>
        <w:t>;</w:t>
      </w:r>
    </w:p>
    <w:p w:rsidR="008E4D3C" w:rsidRDefault="008E4D3C">
      <w:pPr>
        <w:pStyle w:val="FootnoteText"/>
      </w:pPr>
    </w:p>
  </w:footnote>
  <w:footnote w:id="2">
    <w:p w:rsidR="008E4D3C" w:rsidRDefault="008E4D3C">
      <w:pPr>
        <w:pStyle w:val="FootnoteText"/>
      </w:pPr>
      <w:r>
        <w:rPr>
          <w:rStyle w:val="FootnoteReference"/>
        </w:rPr>
        <w:footnoteRef/>
      </w:r>
      <w:r>
        <w:t xml:space="preserve"> </w:t>
      </w:r>
      <w:r w:rsidRPr="003156D6">
        <w:t>https://www.higheredjobs.com/salary/salaryDisplay.cfm?SurveyID=33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1BE"/>
    <w:multiLevelType w:val="hybridMultilevel"/>
    <w:tmpl w:val="B9C0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8699B"/>
    <w:multiLevelType w:val="hybridMultilevel"/>
    <w:tmpl w:val="6BB474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0CE5CD5"/>
    <w:multiLevelType w:val="multilevel"/>
    <w:tmpl w:val="41C2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36F4B0D"/>
    <w:multiLevelType w:val="hybridMultilevel"/>
    <w:tmpl w:val="062E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E2C70"/>
    <w:multiLevelType w:val="hybridMultilevel"/>
    <w:tmpl w:val="ABEE510E"/>
    <w:lvl w:ilvl="0" w:tplc="17DA727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255604"/>
    <w:multiLevelType w:val="hybridMultilevel"/>
    <w:tmpl w:val="620E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20AF0"/>
    <w:multiLevelType w:val="hybridMultilevel"/>
    <w:tmpl w:val="BB2C2EA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A942BF"/>
    <w:multiLevelType w:val="multilevel"/>
    <w:tmpl w:val="A38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54313E9"/>
    <w:multiLevelType w:val="hybridMultilevel"/>
    <w:tmpl w:val="05780A3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C09566D"/>
    <w:multiLevelType w:val="hybridMultilevel"/>
    <w:tmpl w:val="C152DC9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4B8C1018"/>
    <w:multiLevelType w:val="hybridMultilevel"/>
    <w:tmpl w:val="2E16804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nsid w:val="524737E5"/>
    <w:multiLevelType w:val="multilevel"/>
    <w:tmpl w:val="34BC8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42A03A1"/>
    <w:multiLevelType w:val="hybridMultilevel"/>
    <w:tmpl w:val="B0FA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4895161"/>
    <w:multiLevelType w:val="hybridMultilevel"/>
    <w:tmpl w:val="7E36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C3655E"/>
    <w:multiLevelType w:val="hybridMultilevel"/>
    <w:tmpl w:val="24EA81DC"/>
    <w:lvl w:ilvl="0" w:tplc="6E5E6DB0">
      <w:start w:val="1"/>
      <w:numFmt w:val="bullet"/>
      <w:lvlText w:val="•"/>
      <w:lvlJc w:val="left"/>
      <w:pPr>
        <w:tabs>
          <w:tab w:val="num" w:pos="720"/>
        </w:tabs>
        <w:ind w:left="720" w:hanging="360"/>
      </w:pPr>
      <w:rPr>
        <w:rFonts w:ascii="Times New Roman" w:hAnsi="Times New Roman" w:hint="default"/>
      </w:rPr>
    </w:lvl>
    <w:lvl w:ilvl="1" w:tplc="85AA4DF8">
      <w:start w:val="543"/>
      <w:numFmt w:val="bullet"/>
      <w:lvlText w:val="–"/>
      <w:lvlJc w:val="left"/>
      <w:pPr>
        <w:tabs>
          <w:tab w:val="num" w:pos="1440"/>
        </w:tabs>
        <w:ind w:left="1440" w:hanging="360"/>
      </w:pPr>
      <w:rPr>
        <w:rFonts w:ascii="Times New Roman" w:hAnsi="Times New Roman" w:hint="default"/>
      </w:rPr>
    </w:lvl>
    <w:lvl w:ilvl="2" w:tplc="A9244296">
      <w:start w:val="1"/>
      <w:numFmt w:val="bullet"/>
      <w:lvlText w:val="•"/>
      <w:lvlJc w:val="left"/>
      <w:pPr>
        <w:tabs>
          <w:tab w:val="num" w:pos="2160"/>
        </w:tabs>
        <w:ind w:left="2160" w:hanging="360"/>
      </w:pPr>
      <w:rPr>
        <w:rFonts w:ascii="Times New Roman" w:hAnsi="Times New Roman" w:hint="default"/>
      </w:rPr>
    </w:lvl>
    <w:lvl w:ilvl="3" w:tplc="E4CE6CBE" w:tentative="1">
      <w:start w:val="1"/>
      <w:numFmt w:val="bullet"/>
      <w:lvlText w:val="•"/>
      <w:lvlJc w:val="left"/>
      <w:pPr>
        <w:tabs>
          <w:tab w:val="num" w:pos="2880"/>
        </w:tabs>
        <w:ind w:left="2880" w:hanging="360"/>
      </w:pPr>
      <w:rPr>
        <w:rFonts w:ascii="Times New Roman" w:hAnsi="Times New Roman" w:hint="default"/>
      </w:rPr>
    </w:lvl>
    <w:lvl w:ilvl="4" w:tplc="252E9876" w:tentative="1">
      <w:start w:val="1"/>
      <w:numFmt w:val="bullet"/>
      <w:lvlText w:val="•"/>
      <w:lvlJc w:val="left"/>
      <w:pPr>
        <w:tabs>
          <w:tab w:val="num" w:pos="3600"/>
        </w:tabs>
        <w:ind w:left="3600" w:hanging="360"/>
      </w:pPr>
      <w:rPr>
        <w:rFonts w:ascii="Times New Roman" w:hAnsi="Times New Roman" w:hint="default"/>
      </w:rPr>
    </w:lvl>
    <w:lvl w:ilvl="5" w:tplc="5336B850" w:tentative="1">
      <w:start w:val="1"/>
      <w:numFmt w:val="bullet"/>
      <w:lvlText w:val="•"/>
      <w:lvlJc w:val="left"/>
      <w:pPr>
        <w:tabs>
          <w:tab w:val="num" w:pos="4320"/>
        </w:tabs>
        <w:ind w:left="4320" w:hanging="360"/>
      </w:pPr>
      <w:rPr>
        <w:rFonts w:ascii="Times New Roman" w:hAnsi="Times New Roman" w:hint="default"/>
      </w:rPr>
    </w:lvl>
    <w:lvl w:ilvl="6" w:tplc="7EC02796" w:tentative="1">
      <w:start w:val="1"/>
      <w:numFmt w:val="bullet"/>
      <w:lvlText w:val="•"/>
      <w:lvlJc w:val="left"/>
      <w:pPr>
        <w:tabs>
          <w:tab w:val="num" w:pos="5040"/>
        </w:tabs>
        <w:ind w:left="5040" w:hanging="360"/>
      </w:pPr>
      <w:rPr>
        <w:rFonts w:ascii="Times New Roman" w:hAnsi="Times New Roman" w:hint="default"/>
      </w:rPr>
    </w:lvl>
    <w:lvl w:ilvl="7" w:tplc="2648ECAE" w:tentative="1">
      <w:start w:val="1"/>
      <w:numFmt w:val="bullet"/>
      <w:lvlText w:val="•"/>
      <w:lvlJc w:val="left"/>
      <w:pPr>
        <w:tabs>
          <w:tab w:val="num" w:pos="5760"/>
        </w:tabs>
        <w:ind w:left="5760" w:hanging="360"/>
      </w:pPr>
      <w:rPr>
        <w:rFonts w:ascii="Times New Roman" w:hAnsi="Times New Roman" w:hint="default"/>
      </w:rPr>
    </w:lvl>
    <w:lvl w:ilvl="8" w:tplc="9814D99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FF35FE"/>
    <w:multiLevelType w:val="hybridMultilevel"/>
    <w:tmpl w:val="FCDE6E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705118B3"/>
    <w:multiLevelType w:val="hybridMultilevel"/>
    <w:tmpl w:val="E572D746"/>
    <w:lvl w:ilvl="0" w:tplc="1BD656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7E4F2D"/>
    <w:multiLevelType w:val="hybridMultilevel"/>
    <w:tmpl w:val="532AC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9A44F48"/>
    <w:multiLevelType w:val="hybridMultilevel"/>
    <w:tmpl w:val="892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5"/>
  </w:num>
  <w:num w:numId="5">
    <w:abstractNumId w:val="12"/>
  </w:num>
  <w:num w:numId="6">
    <w:abstractNumId w:val="17"/>
  </w:num>
  <w:num w:numId="7">
    <w:abstractNumId w:val="8"/>
  </w:num>
  <w:num w:numId="8">
    <w:abstractNumId w:val="9"/>
  </w:num>
  <w:num w:numId="9">
    <w:abstractNumId w:val="16"/>
  </w:num>
  <w:num w:numId="10">
    <w:abstractNumId w:val="13"/>
  </w:num>
  <w:num w:numId="11">
    <w:abstractNumId w:val="0"/>
  </w:num>
  <w:num w:numId="12">
    <w:abstractNumId w:val="18"/>
  </w:num>
  <w:num w:numId="13">
    <w:abstractNumId w:val="14"/>
  </w:num>
  <w:num w:numId="14">
    <w:abstractNumId w:val="11"/>
  </w:num>
  <w:num w:numId="15">
    <w:abstractNumId w:val="2"/>
  </w:num>
  <w:num w:numId="16">
    <w:abstractNumId w:val="7"/>
  </w:num>
  <w:num w:numId="17">
    <w:abstractNumId w:val="5"/>
  </w:num>
  <w:num w:numId="18">
    <w:abstractNumId w:val="3"/>
  </w:num>
  <w:num w:numId="19">
    <w:abstractNumId w:val="4"/>
  </w:num>
  <w:num w:numId="2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3F"/>
    <w:rsid w:val="0000436F"/>
    <w:rsid w:val="00004FD1"/>
    <w:rsid w:val="00007F95"/>
    <w:rsid w:val="000109E3"/>
    <w:rsid w:val="0001182E"/>
    <w:rsid w:val="00012310"/>
    <w:rsid w:val="0001720F"/>
    <w:rsid w:val="00023E60"/>
    <w:rsid w:val="00024574"/>
    <w:rsid w:val="00035D49"/>
    <w:rsid w:val="00047786"/>
    <w:rsid w:val="00052486"/>
    <w:rsid w:val="0005334C"/>
    <w:rsid w:val="00057ACA"/>
    <w:rsid w:val="00061AF9"/>
    <w:rsid w:val="00067D3B"/>
    <w:rsid w:val="00071843"/>
    <w:rsid w:val="00073B72"/>
    <w:rsid w:val="00073DE3"/>
    <w:rsid w:val="00075A32"/>
    <w:rsid w:val="00080BC3"/>
    <w:rsid w:val="00095F95"/>
    <w:rsid w:val="00096CE3"/>
    <w:rsid w:val="000A1360"/>
    <w:rsid w:val="000A3601"/>
    <w:rsid w:val="000A36D9"/>
    <w:rsid w:val="000A4394"/>
    <w:rsid w:val="000A54F3"/>
    <w:rsid w:val="000A6E98"/>
    <w:rsid w:val="000A7B59"/>
    <w:rsid w:val="000B20C5"/>
    <w:rsid w:val="000B2A61"/>
    <w:rsid w:val="000B5ED1"/>
    <w:rsid w:val="000B6087"/>
    <w:rsid w:val="000B6790"/>
    <w:rsid w:val="000D181E"/>
    <w:rsid w:val="000D4FAF"/>
    <w:rsid w:val="000E11C3"/>
    <w:rsid w:val="000E31FC"/>
    <w:rsid w:val="000E37D1"/>
    <w:rsid w:val="000F436D"/>
    <w:rsid w:val="00100F18"/>
    <w:rsid w:val="00103948"/>
    <w:rsid w:val="001043A0"/>
    <w:rsid w:val="001059A3"/>
    <w:rsid w:val="00107B1A"/>
    <w:rsid w:val="001104C1"/>
    <w:rsid w:val="0011086D"/>
    <w:rsid w:val="001123F6"/>
    <w:rsid w:val="00113C77"/>
    <w:rsid w:val="001236CF"/>
    <w:rsid w:val="00127C24"/>
    <w:rsid w:val="0013289B"/>
    <w:rsid w:val="0014012D"/>
    <w:rsid w:val="00142B8C"/>
    <w:rsid w:val="001438F7"/>
    <w:rsid w:val="00156403"/>
    <w:rsid w:val="001657CE"/>
    <w:rsid w:val="0017146A"/>
    <w:rsid w:val="0018090D"/>
    <w:rsid w:val="00181620"/>
    <w:rsid w:val="00186CAC"/>
    <w:rsid w:val="001905BD"/>
    <w:rsid w:val="001912BD"/>
    <w:rsid w:val="00191ED5"/>
    <w:rsid w:val="00194931"/>
    <w:rsid w:val="00194F37"/>
    <w:rsid w:val="001A0847"/>
    <w:rsid w:val="001A0F1B"/>
    <w:rsid w:val="001A1D2D"/>
    <w:rsid w:val="001A43B3"/>
    <w:rsid w:val="001A49C0"/>
    <w:rsid w:val="001C0009"/>
    <w:rsid w:val="001C20D6"/>
    <w:rsid w:val="001C293A"/>
    <w:rsid w:val="001C37ED"/>
    <w:rsid w:val="001C3B59"/>
    <w:rsid w:val="001D03B8"/>
    <w:rsid w:val="001D061A"/>
    <w:rsid w:val="001D2576"/>
    <w:rsid w:val="001F613B"/>
    <w:rsid w:val="001F71D9"/>
    <w:rsid w:val="00200C5A"/>
    <w:rsid w:val="002046D6"/>
    <w:rsid w:val="002048FF"/>
    <w:rsid w:val="00206768"/>
    <w:rsid w:val="0022261B"/>
    <w:rsid w:val="002236FE"/>
    <w:rsid w:val="00223D0A"/>
    <w:rsid w:val="0023236F"/>
    <w:rsid w:val="00237D6C"/>
    <w:rsid w:val="0024175C"/>
    <w:rsid w:val="00257EFB"/>
    <w:rsid w:val="002621F4"/>
    <w:rsid w:val="00267A9A"/>
    <w:rsid w:val="002717AF"/>
    <w:rsid w:val="00271AB0"/>
    <w:rsid w:val="00275173"/>
    <w:rsid w:val="00275AB4"/>
    <w:rsid w:val="00275C2B"/>
    <w:rsid w:val="002815E6"/>
    <w:rsid w:val="0028320D"/>
    <w:rsid w:val="00290698"/>
    <w:rsid w:val="002925B9"/>
    <w:rsid w:val="002A3643"/>
    <w:rsid w:val="002A3FB2"/>
    <w:rsid w:val="002A6276"/>
    <w:rsid w:val="002B1F7D"/>
    <w:rsid w:val="002C6B3D"/>
    <w:rsid w:val="002D676D"/>
    <w:rsid w:val="002F6F59"/>
    <w:rsid w:val="00311CBE"/>
    <w:rsid w:val="003156D6"/>
    <w:rsid w:val="0031672B"/>
    <w:rsid w:val="003328C9"/>
    <w:rsid w:val="00337D38"/>
    <w:rsid w:val="00356066"/>
    <w:rsid w:val="00366B35"/>
    <w:rsid w:val="003737DE"/>
    <w:rsid w:val="003749B7"/>
    <w:rsid w:val="00382CA3"/>
    <w:rsid w:val="003852B9"/>
    <w:rsid w:val="00385ED3"/>
    <w:rsid w:val="003938AD"/>
    <w:rsid w:val="00394155"/>
    <w:rsid w:val="003948DD"/>
    <w:rsid w:val="003C0AF1"/>
    <w:rsid w:val="003C3A5B"/>
    <w:rsid w:val="003C6E12"/>
    <w:rsid w:val="003C7FC5"/>
    <w:rsid w:val="003D5233"/>
    <w:rsid w:val="003D615E"/>
    <w:rsid w:val="003F1548"/>
    <w:rsid w:val="003F3245"/>
    <w:rsid w:val="003F5BC9"/>
    <w:rsid w:val="003F6E49"/>
    <w:rsid w:val="00404D72"/>
    <w:rsid w:val="0040533D"/>
    <w:rsid w:val="00406AFA"/>
    <w:rsid w:val="00407AE8"/>
    <w:rsid w:val="00412DF9"/>
    <w:rsid w:val="004160FA"/>
    <w:rsid w:val="00417D96"/>
    <w:rsid w:val="00435170"/>
    <w:rsid w:val="00452154"/>
    <w:rsid w:val="0045217C"/>
    <w:rsid w:val="00454081"/>
    <w:rsid w:val="00456B70"/>
    <w:rsid w:val="00461150"/>
    <w:rsid w:val="00463B98"/>
    <w:rsid w:val="00472E0A"/>
    <w:rsid w:val="00472F97"/>
    <w:rsid w:val="00480555"/>
    <w:rsid w:val="004823D1"/>
    <w:rsid w:val="00494076"/>
    <w:rsid w:val="004A395B"/>
    <w:rsid w:val="004B1A85"/>
    <w:rsid w:val="004B2B73"/>
    <w:rsid w:val="004C6172"/>
    <w:rsid w:val="004D0209"/>
    <w:rsid w:val="004D102C"/>
    <w:rsid w:val="004D343D"/>
    <w:rsid w:val="004E08E8"/>
    <w:rsid w:val="004E3A3A"/>
    <w:rsid w:val="004E48EE"/>
    <w:rsid w:val="004F1933"/>
    <w:rsid w:val="004F3D41"/>
    <w:rsid w:val="004F56EC"/>
    <w:rsid w:val="00505602"/>
    <w:rsid w:val="005100D6"/>
    <w:rsid w:val="00512D1D"/>
    <w:rsid w:val="00524AC7"/>
    <w:rsid w:val="00533673"/>
    <w:rsid w:val="005409A7"/>
    <w:rsid w:val="00542916"/>
    <w:rsid w:val="0054422C"/>
    <w:rsid w:val="005508D8"/>
    <w:rsid w:val="00557538"/>
    <w:rsid w:val="00576D0F"/>
    <w:rsid w:val="005802FB"/>
    <w:rsid w:val="0058040B"/>
    <w:rsid w:val="00580A37"/>
    <w:rsid w:val="00585BF8"/>
    <w:rsid w:val="005863B4"/>
    <w:rsid w:val="005A6515"/>
    <w:rsid w:val="005B30F5"/>
    <w:rsid w:val="005B35BE"/>
    <w:rsid w:val="005C0251"/>
    <w:rsid w:val="005D0C2B"/>
    <w:rsid w:val="005D2496"/>
    <w:rsid w:val="005D4A93"/>
    <w:rsid w:val="005F3A2F"/>
    <w:rsid w:val="00600C2D"/>
    <w:rsid w:val="0060640D"/>
    <w:rsid w:val="006068D3"/>
    <w:rsid w:val="00611925"/>
    <w:rsid w:val="00621485"/>
    <w:rsid w:val="0062717B"/>
    <w:rsid w:val="00630FD9"/>
    <w:rsid w:val="00633692"/>
    <w:rsid w:val="006347C8"/>
    <w:rsid w:val="006408FE"/>
    <w:rsid w:val="00655DAB"/>
    <w:rsid w:val="00656D3E"/>
    <w:rsid w:val="00662D57"/>
    <w:rsid w:val="00670483"/>
    <w:rsid w:val="00676DFD"/>
    <w:rsid w:val="006777E0"/>
    <w:rsid w:val="0068204D"/>
    <w:rsid w:val="006A1E0A"/>
    <w:rsid w:val="006A34B8"/>
    <w:rsid w:val="006A388D"/>
    <w:rsid w:val="006A5D71"/>
    <w:rsid w:val="006C1698"/>
    <w:rsid w:val="006D132A"/>
    <w:rsid w:val="006E5F79"/>
    <w:rsid w:val="006E757A"/>
    <w:rsid w:val="006E7BA2"/>
    <w:rsid w:val="006F6039"/>
    <w:rsid w:val="007159AF"/>
    <w:rsid w:val="00722F52"/>
    <w:rsid w:val="00725BE8"/>
    <w:rsid w:val="00726C13"/>
    <w:rsid w:val="0074005F"/>
    <w:rsid w:val="007570CA"/>
    <w:rsid w:val="00763823"/>
    <w:rsid w:val="007649B1"/>
    <w:rsid w:val="00774832"/>
    <w:rsid w:val="007749D9"/>
    <w:rsid w:val="00785C7C"/>
    <w:rsid w:val="007879B8"/>
    <w:rsid w:val="00796B81"/>
    <w:rsid w:val="00796D29"/>
    <w:rsid w:val="007A007F"/>
    <w:rsid w:val="007A0853"/>
    <w:rsid w:val="007B2DA0"/>
    <w:rsid w:val="007B570D"/>
    <w:rsid w:val="007C0DBF"/>
    <w:rsid w:val="007C3928"/>
    <w:rsid w:val="007D1098"/>
    <w:rsid w:val="007D2B2D"/>
    <w:rsid w:val="007D4DF6"/>
    <w:rsid w:val="007D5D69"/>
    <w:rsid w:val="007F6975"/>
    <w:rsid w:val="00800AA8"/>
    <w:rsid w:val="00806620"/>
    <w:rsid w:val="0081779F"/>
    <w:rsid w:val="00817848"/>
    <w:rsid w:val="0083214B"/>
    <w:rsid w:val="00851AFF"/>
    <w:rsid w:val="00853A0D"/>
    <w:rsid w:val="00855A5E"/>
    <w:rsid w:val="0085647F"/>
    <w:rsid w:val="00860257"/>
    <w:rsid w:val="00867466"/>
    <w:rsid w:val="008931BD"/>
    <w:rsid w:val="008B6207"/>
    <w:rsid w:val="008C3A35"/>
    <w:rsid w:val="008C6630"/>
    <w:rsid w:val="008D6D90"/>
    <w:rsid w:val="008E0025"/>
    <w:rsid w:val="008E2003"/>
    <w:rsid w:val="008E4D3C"/>
    <w:rsid w:val="008E5442"/>
    <w:rsid w:val="008E5D01"/>
    <w:rsid w:val="008F38ED"/>
    <w:rsid w:val="008F69DD"/>
    <w:rsid w:val="009003F3"/>
    <w:rsid w:val="009116EA"/>
    <w:rsid w:val="009134EE"/>
    <w:rsid w:val="00917CBA"/>
    <w:rsid w:val="00922C25"/>
    <w:rsid w:val="009403FF"/>
    <w:rsid w:val="0096060D"/>
    <w:rsid w:val="0097039F"/>
    <w:rsid w:val="00972F7E"/>
    <w:rsid w:val="0097798B"/>
    <w:rsid w:val="00984256"/>
    <w:rsid w:val="009A38A2"/>
    <w:rsid w:val="009A4F16"/>
    <w:rsid w:val="009A4F24"/>
    <w:rsid w:val="009C0006"/>
    <w:rsid w:val="009C5AC1"/>
    <w:rsid w:val="009D171D"/>
    <w:rsid w:val="009D3C93"/>
    <w:rsid w:val="009D66BD"/>
    <w:rsid w:val="009D6B95"/>
    <w:rsid w:val="009D7005"/>
    <w:rsid w:val="009F44FA"/>
    <w:rsid w:val="00A23719"/>
    <w:rsid w:val="00A30436"/>
    <w:rsid w:val="00A410D7"/>
    <w:rsid w:val="00A445D8"/>
    <w:rsid w:val="00A71440"/>
    <w:rsid w:val="00A7280B"/>
    <w:rsid w:val="00A90682"/>
    <w:rsid w:val="00AA3632"/>
    <w:rsid w:val="00AB5B6C"/>
    <w:rsid w:val="00AC3B69"/>
    <w:rsid w:val="00AD2001"/>
    <w:rsid w:val="00AD3BD4"/>
    <w:rsid w:val="00AD7C82"/>
    <w:rsid w:val="00AE0977"/>
    <w:rsid w:val="00AF0417"/>
    <w:rsid w:val="00AF5816"/>
    <w:rsid w:val="00AF58F3"/>
    <w:rsid w:val="00AF5A1E"/>
    <w:rsid w:val="00B113A4"/>
    <w:rsid w:val="00B16C91"/>
    <w:rsid w:val="00B178DF"/>
    <w:rsid w:val="00B2052F"/>
    <w:rsid w:val="00B21900"/>
    <w:rsid w:val="00B26BC2"/>
    <w:rsid w:val="00B44F21"/>
    <w:rsid w:val="00B51599"/>
    <w:rsid w:val="00B5213E"/>
    <w:rsid w:val="00B559E2"/>
    <w:rsid w:val="00B62918"/>
    <w:rsid w:val="00B64A5B"/>
    <w:rsid w:val="00B66C0C"/>
    <w:rsid w:val="00B8056A"/>
    <w:rsid w:val="00B83F37"/>
    <w:rsid w:val="00B85C8C"/>
    <w:rsid w:val="00B87FB9"/>
    <w:rsid w:val="00B90C23"/>
    <w:rsid w:val="00B95A28"/>
    <w:rsid w:val="00BA1355"/>
    <w:rsid w:val="00BA1CF5"/>
    <w:rsid w:val="00BA3D6C"/>
    <w:rsid w:val="00BB22DC"/>
    <w:rsid w:val="00BC240E"/>
    <w:rsid w:val="00BC7401"/>
    <w:rsid w:val="00BD2E2E"/>
    <w:rsid w:val="00BE67C4"/>
    <w:rsid w:val="00BF1F13"/>
    <w:rsid w:val="00BF2EB4"/>
    <w:rsid w:val="00C036BF"/>
    <w:rsid w:val="00C10124"/>
    <w:rsid w:val="00C17053"/>
    <w:rsid w:val="00C17349"/>
    <w:rsid w:val="00C20018"/>
    <w:rsid w:val="00C231BB"/>
    <w:rsid w:val="00C24177"/>
    <w:rsid w:val="00C24384"/>
    <w:rsid w:val="00C32EC7"/>
    <w:rsid w:val="00C6486C"/>
    <w:rsid w:val="00C81E97"/>
    <w:rsid w:val="00C83A58"/>
    <w:rsid w:val="00C86367"/>
    <w:rsid w:val="00CA4BEE"/>
    <w:rsid w:val="00CA5B21"/>
    <w:rsid w:val="00CA68AB"/>
    <w:rsid w:val="00CA6A99"/>
    <w:rsid w:val="00CB623A"/>
    <w:rsid w:val="00CC3BD5"/>
    <w:rsid w:val="00CC49ED"/>
    <w:rsid w:val="00CC4E97"/>
    <w:rsid w:val="00CC7CF7"/>
    <w:rsid w:val="00CD3745"/>
    <w:rsid w:val="00CF12EA"/>
    <w:rsid w:val="00CF6CF2"/>
    <w:rsid w:val="00CF7167"/>
    <w:rsid w:val="00D04289"/>
    <w:rsid w:val="00D11398"/>
    <w:rsid w:val="00D2233F"/>
    <w:rsid w:val="00D354FD"/>
    <w:rsid w:val="00D36224"/>
    <w:rsid w:val="00D46E6D"/>
    <w:rsid w:val="00D5348B"/>
    <w:rsid w:val="00D60B5B"/>
    <w:rsid w:val="00D910DB"/>
    <w:rsid w:val="00D91619"/>
    <w:rsid w:val="00D91F8E"/>
    <w:rsid w:val="00D96028"/>
    <w:rsid w:val="00DA0A50"/>
    <w:rsid w:val="00DA27DF"/>
    <w:rsid w:val="00DA7D23"/>
    <w:rsid w:val="00DB6E01"/>
    <w:rsid w:val="00DC2074"/>
    <w:rsid w:val="00DC42A2"/>
    <w:rsid w:val="00DD5986"/>
    <w:rsid w:val="00DE1AFA"/>
    <w:rsid w:val="00DE716E"/>
    <w:rsid w:val="00DF32A8"/>
    <w:rsid w:val="00DF4DA5"/>
    <w:rsid w:val="00DF5FA7"/>
    <w:rsid w:val="00DF7E14"/>
    <w:rsid w:val="00E0261F"/>
    <w:rsid w:val="00E0528C"/>
    <w:rsid w:val="00E24E60"/>
    <w:rsid w:val="00E266A1"/>
    <w:rsid w:val="00E33D72"/>
    <w:rsid w:val="00E36B71"/>
    <w:rsid w:val="00E40DD4"/>
    <w:rsid w:val="00E418FF"/>
    <w:rsid w:val="00E5114E"/>
    <w:rsid w:val="00E52E94"/>
    <w:rsid w:val="00E56CD9"/>
    <w:rsid w:val="00E62E40"/>
    <w:rsid w:val="00E63579"/>
    <w:rsid w:val="00E674DD"/>
    <w:rsid w:val="00E71F2E"/>
    <w:rsid w:val="00E71F4B"/>
    <w:rsid w:val="00E74AD3"/>
    <w:rsid w:val="00E75784"/>
    <w:rsid w:val="00E80A5A"/>
    <w:rsid w:val="00E80C13"/>
    <w:rsid w:val="00EA2532"/>
    <w:rsid w:val="00EB1DF3"/>
    <w:rsid w:val="00EB2C93"/>
    <w:rsid w:val="00EB2FE0"/>
    <w:rsid w:val="00EB4A65"/>
    <w:rsid w:val="00EC0982"/>
    <w:rsid w:val="00EC0C44"/>
    <w:rsid w:val="00EC2976"/>
    <w:rsid w:val="00EC55F8"/>
    <w:rsid w:val="00ED3903"/>
    <w:rsid w:val="00ED5301"/>
    <w:rsid w:val="00ED6647"/>
    <w:rsid w:val="00EE0C6D"/>
    <w:rsid w:val="00EF2024"/>
    <w:rsid w:val="00EF23FB"/>
    <w:rsid w:val="00EF4D18"/>
    <w:rsid w:val="00EF61E3"/>
    <w:rsid w:val="00F01B90"/>
    <w:rsid w:val="00F04690"/>
    <w:rsid w:val="00F0625C"/>
    <w:rsid w:val="00F12C39"/>
    <w:rsid w:val="00F16833"/>
    <w:rsid w:val="00F23762"/>
    <w:rsid w:val="00F25C5B"/>
    <w:rsid w:val="00F44501"/>
    <w:rsid w:val="00F51069"/>
    <w:rsid w:val="00F65083"/>
    <w:rsid w:val="00F665DD"/>
    <w:rsid w:val="00F75C6F"/>
    <w:rsid w:val="00F80EBF"/>
    <w:rsid w:val="00F816C6"/>
    <w:rsid w:val="00F821CF"/>
    <w:rsid w:val="00F827B1"/>
    <w:rsid w:val="00F90814"/>
    <w:rsid w:val="00FC2593"/>
    <w:rsid w:val="00FC25BD"/>
    <w:rsid w:val="00FC27EF"/>
    <w:rsid w:val="00FE0E9C"/>
    <w:rsid w:val="00FE519F"/>
    <w:rsid w:val="00FF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A3FB2"/>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2A3FB2"/>
    <w:pPr>
      <w:spacing w:after="273"/>
    </w:pPr>
    <w:rPr>
      <w:color w:val="auto"/>
    </w:rPr>
  </w:style>
  <w:style w:type="paragraph" w:customStyle="1" w:styleId="CM1">
    <w:name w:val="CM1"/>
    <w:basedOn w:val="Default"/>
    <w:next w:val="Default"/>
    <w:uiPriority w:val="99"/>
    <w:rsid w:val="002A3FB2"/>
    <w:rPr>
      <w:color w:val="auto"/>
    </w:rPr>
  </w:style>
  <w:style w:type="paragraph" w:customStyle="1" w:styleId="CM10">
    <w:name w:val="CM10"/>
    <w:basedOn w:val="Default"/>
    <w:next w:val="Default"/>
    <w:uiPriority w:val="99"/>
    <w:rsid w:val="002A3FB2"/>
    <w:pPr>
      <w:spacing w:after="830"/>
    </w:pPr>
    <w:rPr>
      <w:color w:val="auto"/>
    </w:rPr>
  </w:style>
  <w:style w:type="paragraph" w:customStyle="1" w:styleId="CM2">
    <w:name w:val="CM2"/>
    <w:basedOn w:val="Default"/>
    <w:next w:val="Default"/>
    <w:uiPriority w:val="99"/>
    <w:rsid w:val="002A3FB2"/>
    <w:pPr>
      <w:spacing w:line="278" w:lineRule="atLeast"/>
    </w:pPr>
    <w:rPr>
      <w:color w:val="auto"/>
    </w:rPr>
  </w:style>
  <w:style w:type="paragraph" w:customStyle="1" w:styleId="CM3">
    <w:name w:val="CM3"/>
    <w:basedOn w:val="Default"/>
    <w:next w:val="Default"/>
    <w:uiPriority w:val="99"/>
    <w:rsid w:val="002A3FB2"/>
    <w:pPr>
      <w:spacing w:line="276" w:lineRule="atLeast"/>
    </w:pPr>
    <w:rPr>
      <w:color w:val="auto"/>
    </w:rPr>
  </w:style>
  <w:style w:type="paragraph" w:customStyle="1" w:styleId="CM5">
    <w:name w:val="CM5"/>
    <w:basedOn w:val="Default"/>
    <w:next w:val="Default"/>
    <w:uiPriority w:val="99"/>
    <w:rsid w:val="002A3FB2"/>
    <w:pPr>
      <w:spacing w:line="278" w:lineRule="atLeast"/>
    </w:pPr>
    <w:rPr>
      <w:color w:val="auto"/>
    </w:rPr>
  </w:style>
  <w:style w:type="paragraph" w:customStyle="1" w:styleId="CM4">
    <w:name w:val="CM4"/>
    <w:basedOn w:val="Default"/>
    <w:next w:val="Default"/>
    <w:uiPriority w:val="99"/>
    <w:rsid w:val="002A3FB2"/>
    <w:pPr>
      <w:spacing w:line="276" w:lineRule="atLeast"/>
    </w:pPr>
    <w:rPr>
      <w:color w:val="auto"/>
    </w:rPr>
  </w:style>
  <w:style w:type="paragraph" w:customStyle="1" w:styleId="CM6">
    <w:name w:val="CM6"/>
    <w:basedOn w:val="Default"/>
    <w:next w:val="Default"/>
    <w:uiPriority w:val="99"/>
    <w:rsid w:val="002A3FB2"/>
    <w:pPr>
      <w:spacing w:line="276" w:lineRule="atLeast"/>
    </w:pPr>
    <w:rPr>
      <w:color w:val="auto"/>
    </w:rPr>
  </w:style>
  <w:style w:type="paragraph" w:customStyle="1" w:styleId="CM11">
    <w:name w:val="CM11"/>
    <w:basedOn w:val="Default"/>
    <w:next w:val="Default"/>
    <w:uiPriority w:val="99"/>
    <w:rsid w:val="002A3FB2"/>
    <w:pPr>
      <w:spacing w:after="545"/>
    </w:pPr>
    <w:rPr>
      <w:color w:val="auto"/>
    </w:rPr>
  </w:style>
  <w:style w:type="paragraph" w:customStyle="1" w:styleId="CM12">
    <w:name w:val="CM12"/>
    <w:basedOn w:val="Default"/>
    <w:next w:val="Default"/>
    <w:uiPriority w:val="99"/>
    <w:rsid w:val="002A3FB2"/>
    <w:pPr>
      <w:spacing w:after="378"/>
    </w:pPr>
    <w:rPr>
      <w:color w:val="auto"/>
    </w:rPr>
  </w:style>
  <w:style w:type="paragraph" w:customStyle="1" w:styleId="CM7">
    <w:name w:val="CM7"/>
    <w:basedOn w:val="Default"/>
    <w:next w:val="Default"/>
    <w:uiPriority w:val="99"/>
    <w:rsid w:val="002A3FB2"/>
    <w:rPr>
      <w:color w:val="auto"/>
    </w:rPr>
  </w:style>
  <w:style w:type="paragraph" w:customStyle="1" w:styleId="CM8">
    <w:name w:val="CM8"/>
    <w:basedOn w:val="Default"/>
    <w:next w:val="Default"/>
    <w:uiPriority w:val="99"/>
    <w:rsid w:val="002A3FB2"/>
    <w:pPr>
      <w:spacing w:line="283" w:lineRule="atLeast"/>
    </w:pPr>
    <w:rPr>
      <w:color w:val="auto"/>
    </w:rPr>
  </w:style>
  <w:style w:type="character" w:styleId="CommentReference">
    <w:name w:val="annotation reference"/>
    <w:uiPriority w:val="99"/>
    <w:semiHidden/>
    <w:rsid w:val="005C0251"/>
    <w:rPr>
      <w:sz w:val="16"/>
      <w:szCs w:val="16"/>
    </w:rPr>
  </w:style>
  <w:style w:type="paragraph" w:styleId="CommentText">
    <w:name w:val="annotation text"/>
    <w:basedOn w:val="Normal"/>
    <w:link w:val="CommentTextChar"/>
    <w:uiPriority w:val="99"/>
    <w:semiHidden/>
    <w:rsid w:val="005C0251"/>
    <w:rPr>
      <w:sz w:val="20"/>
      <w:szCs w:val="20"/>
    </w:rPr>
  </w:style>
  <w:style w:type="character" w:customStyle="1" w:styleId="CommentTextChar">
    <w:name w:val="Comment Text Char"/>
    <w:link w:val="CommentText"/>
    <w:uiPriority w:val="99"/>
    <w:semiHidden/>
    <w:locked/>
    <w:rsid w:val="002A3FB2"/>
    <w:rPr>
      <w:sz w:val="20"/>
      <w:szCs w:val="20"/>
    </w:rPr>
  </w:style>
  <w:style w:type="paragraph" w:styleId="CommentSubject">
    <w:name w:val="annotation subject"/>
    <w:basedOn w:val="CommentText"/>
    <w:next w:val="CommentText"/>
    <w:link w:val="CommentSubjectChar"/>
    <w:uiPriority w:val="99"/>
    <w:semiHidden/>
    <w:rsid w:val="005C0251"/>
    <w:rPr>
      <w:b/>
      <w:bCs/>
    </w:rPr>
  </w:style>
  <w:style w:type="character" w:customStyle="1" w:styleId="CommentSubjectChar">
    <w:name w:val="Comment Subject Char"/>
    <w:link w:val="CommentSubject"/>
    <w:uiPriority w:val="99"/>
    <w:semiHidden/>
    <w:locked/>
    <w:rsid w:val="002A3FB2"/>
    <w:rPr>
      <w:b/>
      <w:bCs/>
      <w:sz w:val="20"/>
      <w:szCs w:val="20"/>
    </w:rPr>
  </w:style>
  <w:style w:type="paragraph" w:styleId="BalloonText">
    <w:name w:val="Balloon Text"/>
    <w:basedOn w:val="Normal"/>
    <w:link w:val="BalloonTextChar"/>
    <w:uiPriority w:val="99"/>
    <w:semiHidden/>
    <w:rsid w:val="005C0251"/>
    <w:rPr>
      <w:rFonts w:ascii="Tahoma" w:hAnsi="Tahoma" w:cs="Tahoma"/>
      <w:sz w:val="16"/>
      <w:szCs w:val="16"/>
    </w:rPr>
  </w:style>
  <w:style w:type="character" w:customStyle="1" w:styleId="BalloonTextChar">
    <w:name w:val="Balloon Text Char"/>
    <w:link w:val="BalloonText"/>
    <w:uiPriority w:val="99"/>
    <w:semiHidden/>
    <w:locked/>
    <w:rsid w:val="002A3FB2"/>
    <w:rPr>
      <w:rFonts w:ascii="Tahoma" w:hAnsi="Tahoma" w:cs="Tahoma"/>
      <w:sz w:val="16"/>
      <w:szCs w:val="16"/>
    </w:rPr>
  </w:style>
  <w:style w:type="character" w:styleId="Strong">
    <w:name w:val="Strong"/>
    <w:uiPriority w:val="99"/>
    <w:qFormat/>
    <w:locked/>
    <w:rsid w:val="00DC2074"/>
    <w:rPr>
      <w:b/>
      <w:bCs/>
    </w:rPr>
  </w:style>
  <w:style w:type="paragraph" w:customStyle="1" w:styleId="CharCharCharCharCharCharCharCharChar">
    <w:name w:val="Char Char Char Char Char Char Char Char Char"/>
    <w:basedOn w:val="Normal"/>
    <w:uiPriority w:val="99"/>
    <w:semiHidden/>
    <w:rsid w:val="006408FE"/>
    <w:pPr>
      <w:widowControl w:val="0"/>
      <w:adjustRightInd w:val="0"/>
      <w:spacing w:before="60" w:line="240" w:lineRule="exact"/>
      <w:jc w:val="both"/>
      <w:textAlignment w:val="baseline"/>
    </w:pPr>
    <w:rPr>
      <w:rFonts w:ascii="Verdana" w:hAnsi="Verdana" w:cs="Verdana"/>
      <w:color w:val="FF00FF"/>
      <w:sz w:val="22"/>
      <w:szCs w:val="22"/>
    </w:rPr>
  </w:style>
  <w:style w:type="paragraph" w:styleId="ListParagraph">
    <w:name w:val="List Paragraph"/>
    <w:basedOn w:val="Normal"/>
    <w:uiPriority w:val="34"/>
    <w:qFormat/>
    <w:rsid w:val="007879B8"/>
    <w:pPr>
      <w:ind w:left="720"/>
    </w:pPr>
    <w:rPr>
      <w:rFonts w:ascii="Calibri" w:eastAsia="Calibri" w:hAnsi="Calibri" w:cs="Calibri"/>
      <w:sz w:val="22"/>
      <w:szCs w:val="22"/>
    </w:rPr>
  </w:style>
  <w:style w:type="paragraph" w:styleId="Header">
    <w:name w:val="header"/>
    <w:basedOn w:val="Normal"/>
    <w:link w:val="HeaderChar"/>
    <w:uiPriority w:val="99"/>
    <w:unhideWhenUsed/>
    <w:rsid w:val="00DA27DF"/>
    <w:pPr>
      <w:tabs>
        <w:tab w:val="center" w:pos="4680"/>
        <w:tab w:val="right" w:pos="9360"/>
      </w:tabs>
    </w:pPr>
  </w:style>
  <w:style w:type="character" w:customStyle="1" w:styleId="HeaderChar">
    <w:name w:val="Header Char"/>
    <w:link w:val="Header"/>
    <w:uiPriority w:val="99"/>
    <w:rsid w:val="00DA27DF"/>
    <w:rPr>
      <w:sz w:val="24"/>
      <w:szCs w:val="24"/>
    </w:rPr>
  </w:style>
  <w:style w:type="paragraph" w:styleId="Footer">
    <w:name w:val="footer"/>
    <w:basedOn w:val="Normal"/>
    <w:link w:val="FooterChar"/>
    <w:uiPriority w:val="99"/>
    <w:unhideWhenUsed/>
    <w:rsid w:val="00DA27DF"/>
    <w:pPr>
      <w:tabs>
        <w:tab w:val="center" w:pos="4680"/>
        <w:tab w:val="right" w:pos="9360"/>
      </w:tabs>
    </w:pPr>
  </w:style>
  <w:style w:type="character" w:customStyle="1" w:styleId="FooterChar">
    <w:name w:val="Footer Char"/>
    <w:link w:val="Footer"/>
    <w:uiPriority w:val="99"/>
    <w:rsid w:val="00DA27DF"/>
    <w:rPr>
      <w:sz w:val="24"/>
      <w:szCs w:val="24"/>
    </w:rPr>
  </w:style>
  <w:style w:type="paragraph" w:styleId="HTMLPreformatted">
    <w:name w:val="HTML Preformatted"/>
    <w:basedOn w:val="Normal"/>
    <w:link w:val="HTMLPreformattedChar"/>
    <w:uiPriority w:val="99"/>
    <w:semiHidden/>
    <w:unhideWhenUsed/>
    <w:rsid w:val="0081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17848"/>
    <w:rPr>
      <w:rFonts w:ascii="Courier New" w:hAnsi="Courier New" w:cs="Courier New"/>
    </w:rPr>
  </w:style>
  <w:style w:type="character" w:styleId="Emphasis">
    <w:name w:val="Emphasis"/>
    <w:basedOn w:val="DefaultParagraphFont"/>
    <w:uiPriority w:val="20"/>
    <w:qFormat/>
    <w:locked/>
    <w:rsid w:val="00D04289"/>
    <w:rPr>
      <w:i/>
      <w:iCs/>
    </w:rPr>
  </w:style>
  <w:style w:type="paragraph" w:styleId="FootnoteText">
    <w:name w:val="footnote text"/>
    <w:basedOn w:val="Normal"/>
    <w:link w:val="FootnoteTextChar"/>
    <w:uiPriority w:val="99"/>
    <w:unhideWhenUsed/>
    <w:rsid w:val="007D4DF6"/>
    <w:rPr>
      <w:sz w:val="20"/>
      <w:szCs w:val="20"/>
    </w:rPr>
  </w:style>
  <w:style w:type="character" w:customStyle="1" w:styleId="FootnoteTextChar">
    <w:name w:val="Footnote Text Char"/>
    <w:basedOn w:val="DefaultParagraphFont"/>
    <w:link w:val="FootnoteText"/>
    <w:uiPriority w:val="99"/>
    <w:rsid w:val="007D4DF6"/>
  </w:style>
  <w:style w:type="character" w:styleId="FootnoteReference">
    <w:name w:val="footnote reference"/>
    <w:basedOn w:val="DefaultParagraphFont"/>
    <w:uiPriority w:val="99"/>
    <w:semiHidden/>
    <w:unhideWhenUsed/>
    <w:rsid w:val="007D4DF6"/>
    <w:rPr>
      <w:vertAlign w:val="superscript"/>
    </w:rPr>
  </w:style>
  <w:style w:type="character" w:styleId="Hyperlink">
    <w:name w:val="Hyperlink"/>
    <w:basedOn w:val="DefaultParagraphFont"/>
    <w:uiPriority w:val="99"/>
    <w:unhideWhenUsed/>
    <w:rsid w:val="007D4DF6"/>
    <w:rPr>
      <w:color w:val="0000FF" w:themeColor="hyperlink"/>
      <w:u w:val="single"/>
    </w:rPr>
  </w:style>
  <w:style w:type="paragraph" w:styleId="E-mailSignature">
    <w:name w:val="E-mail Signature"/>
    <w:basedOn w:val="Normal"/>
    <w:link w:val="E-mailSignatureChar"/>
    <w:uiPriority w:val="99"/>
    <w:rsid w:val="002D676D"/>
  </w:style>
  <w:style w:type="character" w:customStyle="1" w:styleId="E-mailSignatureChar">
    <w:name w:val="E-mail Signature Char"/>
    <w:basedOn w:val="DefaultParagraphFont"/>
    <w:link w:val="E-mailSignature"/>
    <w:uiPriority w:val="99"/>
    <w:rsid w:val="002D676D"/>
    <w:rPr>
      <w:sz w:val="24"/>
      <w:szCs w:val="24"/>
    </w:rPr>
  </w:style>
  <w:style w:type="character" w:styleId="FollowedHyperlink">
    <w:name w:val="FollowedHyperlink"/>
    <w:basedOn w:val="DefaultParagraphFont"/>
    <w:uiPriority w:val="99"/>
    <w:semiHidden/>
    <w:unhideWhenUsed/>
    <w:rsid w:val="00237D6C"/>
    <w:rPr>
      <w:color w:val="800080" w:themeColor="followedHyperlink"/>
      <w:u w:val="single"/>
    </w:rPr>
  </w:style>
  <w:style w:type="paragraph" w:styleId="Revision">
    <w:name w:val="Revision"/>
    <w:hidden/>
    <w:uiPriority w:val="99"/>
    <w:semiHidden/>
    <w:rsid w:val="006271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A3FB2"/>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2A3FB2"/>
    <w:pPr>
      <w:spacing w:after="273"/>
    </w:pPr>
    <w:rPr>
      <w:color w:val="auto"/>
    </w:rPr>
  </w:style>
  <w:style w:type="paragraph" w:customStyle="1" w:styleId="CM1">
    <w:name w:val="CM1"/>
    <w:basedOn w:val="Default"/>
    <w:next w:val="Default"/>
    <w:uiPriority w:val="99"/>
    <w:rsid w:val="002A3FB2"/>
    <w:rPr>
      <w:color w:val="auto"/>
    </w:rPr>
  </w:style>
  <w:style w:type="paragraph" w:customStyle="1" w:styleId="CM10">
    <w:name w:val="CM10"/>
    <w:basedOn w:val="Default"/>
    <w:next w:val="Default"/>
    <w:uiPriority w:val="99"/>
    <w:rsid w:val="002A3FB2"/>
    <w:pPr>
      <w:spacing w:after="830"/>
    </w:pPr>
    <w:rPr>
      <w:color w:val="auto"/>
    </w:rPr>
  </w:style>
  <w:style w:type="paragraph" w:customStyle="1" w:styleId="CM2">
    <w:name w:val="CM2"/>
    <w:basedOn w:val="Default"/>
    <w:next w:val="Default"/>
    <w:uiPriority w:val="99"/>
    <w:rsid w:val="002A3FB2"/>
    <w:pPr>
      <w:spacing w:line="278" w:lineRule="atLeast"/>
    </w:pPr>
    <w:rPr>
      <w:color w:val="auto"/>
    </w:rPr>
  </w:style>
  <w:style w:type="paragraph" w:customStyle="1" w:styleId="CM3">
    <w:name w:val="CM3"/>
    <w:basedOn w:val="Default"/>
    <w:next w:val="Default"/>
    <w:uiPriority w:val="99"/>
    <w:rsid w:val="002A3FB2"/>
    <w:pPr>
      <w:spacing w:line="276" w:lineRule="atLeast"/>
    </w:pPr>
    <w:rPr>
      <w:color w:val="auto"/>
    </w:rPr>
  </w:style>
  <w:style w:type="paragraph" w:customStyle="1" w:styleId="CM5">
    <w:name w:val="CM5"/>
    <w:basedOn w:val="Default"/>
    <w:next w:val="Default"/>
    <w:uiPriority w:val="99"/>
    <w:rsid w:val="002A3FB2"/>
    <w:pPr>
      <w:spacing w:line="278" w:lineRule="atLeast"/>
    </w:pPr>
    <w:rPr>
      <w:color w:val="auto"/>
    </w:rPr>
  </w:style>
  <w:style w:type="paragraph" w:customStyle="1" w:styleId="CM4">
    <w:name w:val="CM4"/>
    <w:basedOn w:val="Default"/>
    <w:next w:val="Default"/>
    <w:uiPriority w:val="99"/>
    <w:rsid w:val="002A3FB2"/>
    <w:pPr>
      <w:spacing w:line="276" w:lineRule="atLeast"/>
    </w:pPr>
    <w:rPr>
      <w:color w:val="auto"/>
    </w:rPr>
  </w:style>
  <w:style w:type="paragraph" w:customStyle="1" w:styleId="CM6">
    <w:name w:val="CM6"/>
    <w:basedOn w:val="Default"/>
    <w:next w:val="Default"/>
    <w:uiPriority w:val="99"/>
    <w:rsid w:val="002A3FB2"/>
    <w:pPr>
      <w:spacing w:line="276" w:lineRule="atLeast"/>
    </w:pPr>
    <w:rPr>
      <w:color w:val="auto"/>
    </w:rPr>
  </w:style>
  <w:style w:type="paragraph" w:customStyle="1" w:styleId="CM11">
    <w:name w:val="CM11"/>
    <w:basedOn w:val="Default"/>
    <w:next w:val="Default"/>
    <w:uiPriority w:val="99"/>
    <w:rsid w:val="002A3FB2"/>
    <w:pPr>
      <w:spacing w:after="545"/>
    </w:pPr>
    <w:rPr>
      <w:color w:val="auto"/>
    </w:rPr>
  </w:style>
  <w:style w:type="paragraph" w:customStyle="1" w:styleId="CM12">
    <w:name w:val="CM12"/>
    <w:basedOn w:val="Default"/>
    <w:next w:val="Default"/>
    <w:uiPriority w:val="99"/>
    <w:rsid w:val="002A3FB2"/>
    <w:pPr>
      <w:spacing w:after="378"/>
    </w:pPr>
    <w:rPr>
      <w:color w:val="auto"/>
    </w:rPr>
  </w:style>
  <w:style w:type="paragraph" w:customStyle="1" w:styleId="CM7">
    <w:name w:val="CM7"/>
    <w:basedOn w:val="Default"/>
    <w:next w:val="Default"/>
    <w:uiPriority w:val="99"/>
    <w:rsid w:val="002A3FB2"/>
    <w:rPr>
      <w:color w:val="auto"/>
    </w:rPr>
  </w:style>
  <w:style w:type="paragraph" w:customStyle="1" w:styleId="CM8">
    <w:name w:val="CM8"/>
    <w:basedOn w:val="Default"/>
    <w:next w:val="Default"/>
    <w:uiPriority w:val="99"/>
    <w:rsid w:val="002A3FB2"/>
    <w:pPr>
      <w:spacing w:line="283" w:lineRule="atLeast"/>
    </w:pPr>
    <w:rPr>
      <w:color w:val="auto"/>
    </w:rPr>
  </w:style>
  <w:style w:type="character" w:styleId="CommentReference">
    <w:name w:val="annotation reference"/>
    <w:uiPriority w:val="99"/>
    <w:semiHidden/>
    <w:rsid w:val="005C0251"/>
    <w:rPr>
      <w:sz w:val="16"/>
      <w:szCs w:val="16"/>
    </w:rPr>
  </w:style>
  <w:style w:type="paragraph" w:styleId="CommentText">
    <w:name w:val="annotation text"/>
    <w:basedOn w:val="Normal"/>
    <w:link w:val="CommentTextChar"/>
    <w:uiPriority w:val="99"/>
    <w:semiHidden/>
    <w:rsid w:val="005C0251"/>
    <w:rPr>
      <w:sz w:val="20"/>
      <w:szCs w:val="20"/>
    </w:rPr>
  </w:style>
  <w:style w:type="character" w:customStyle="1" w:styleId="CommentTextChar">
    <w:name w:val="Comment Text Char"/>
    <w:link w:val="CommentText"/>
    <w:uiPriority w:val="99"/>
    <w:semiHidden/>
    <w:locked/>
    <w:rsid w:val="002A3FB2"/>
    <w:rPr>
      <w:sz w:val="20"/>
      <w:szCs w:val="20"/>
    </w:rPr>
  </w:style>
  <w:style w:type="paragraph" w:styleId="CommentSubject">
    <w:name w:val="annotation subject"/>
    <w:basedOn w:val="CommentText"/>
    <w:next w:val="CommentText"/>
    <w:link w:val="CommentSubjectChar"/>
    <w:uiPriority w:val="99"/>
    <w:semiHidden/>
    <w:rsid w:val="005C0251"/>
    <w:rPr>
      <w:b/>
      <w:bCs/>
    </w:rPr>
  </w:style>
  <w:style w:type="character" w:customStyle="1" w:styleId="CommentSubjectChar">
    <w:name w:val="Comment Subject Char"/>
    <w:link w:val="CommentSubject"/>
    <w:uiPriority w:val="99"/>
    <w:semiHidden/>
    <w:locked/>
    <w:rsid w:val="002A3FB2"/>
    <w:rPr>
      <w:b/>
      <w:bCs/>
      <w:sz w:val="20"/>
      <w:szCs w:val="20"/>
    </w:rPr>
  </w:style>
  <w:style w:type="paragraph" w:styleId="BalloonText">
    <w:name w:val="Balloon Text"/>
    <w:basedOn w:val="Normal"/>
    <w:link w:val="BalloonTextChar"/>
    <w:uiPriority w:val="99"/>
    <w:semiHidden/>
    <w:rsid w:val="005C0251"/>
    <w:rPr>
      <w:rFonts w:ascii="Tahoma" w:hAnsi="Tahoma" w:cs="Tahoma"/>
      <w:sz w:val="16"/>
      <w:szCs w:val="16"/>
    </w:rPr>
  </w:style>
  <w:style w:type="character" w:customStyle="1" w:styleId="BalloonTextChar">
    <w:name w:val="Balloon Text Char"/>
    <w:link w:val="BalloonText"/>
    <w:uiPriority w:val="99"/>
    <w:semiHidden/>
    <w:locked/>
    <w:rsid w:val="002A3FB2"/>
    <w:rPr>
      <w:rFonts w:ascii="Tahoma" w:hAnsi="Tahoma" w:cs="Tahoma"/>
      <w:sz w:val="16"/>
      <w:szCs w:val="16"/>
    </w:rPr>
  </w:style>
  <w:style w:type="character" w:styleId="Strong">
    <w:name w:val="Strong"/>
    <w:uiPriority w:val="99"/>
    <w:qFormat/>
    <w:locked/>
    <w:rsid w:val="00DC2074"/>
    <w:rPr>
      <w:b/>
      <w:bCs/>
    </w:rPr>
  </w:style>
  <w:style w:type="paragraph" w:customStyle="1" w:styleId="CharCharCharCharCharCharCharCharChar">
    <w:name w:val="Char Char Char Char Char Char Char Char Char"/>
    <w:basedOn w:val="Normal"/>
    <w:uiPriority w:val="99"/>
    <w:semiHidden/>
    <w:rsid w:val="006408FE"/>
    <w:pPr>
      <w:widowControl w:val="0"/>
      <w:adjustRightInd w:val="0"/>
      <w:spacing w:before="60" w:line="240" w:lineRule="exact"/>
      <w:jc w:val="both"/>
      <w:textAlignment w:val="baseline"/>
    </w:pPr>
    <w:rPr>
      <w:rFonts w:ascii="Verdana" w:hAnsi="Verdana" w:cs="Verdana"/>
      <w:color w:val="FF00FF"/>
      <w:sz w:val="22"/>
      <w:szCs w:val="22"/>
    </w:rPr>
  </w:style>
  <w:style w:type="paragraph" w:styleId="ListParagraph">
    <w:name w:val="List Paragraph"/>
    <w:basedOn w:val="Normal"/>
    <w:uiPriority w:val="34"/>
    <w:qFormat/>
    <w:rsid w:val="007879B8"/>
    <w:pPr>
      <w:ind w:left="720"/>
    </w:pPr>
    <w:rPr>
      <w:rFonts w:ascii="Calibri" w:eastAsia="Calibri" w:hAnsi="Calibri" w:cs="Calibri"/>
      <w:sz w:val="22"/>
      <w:szCs w:val="22"/>
    </w:rPr>
  </w:style>
  <w:style w:type="paragraph" w:styleId="Header">
    <w:name w:val="header"/>
    <w:basedOn w:val="Normal"/>
    <w:link w:val="HeaderChar"/>
    <w:uiPriority w:val="99"/>
    <w:unhideWhenUsed/>
    <w:rsid w:val="00DA27DF"/>
    <w:pPr>
      <w:tabs>
        <w:tab w:val="center" w:pos="4680"/>
        <w:tab w:val="right" w:pos="9360"/>
      </w:tabs>
    </w:pPr>
  </w:style>
  <w:style w:type="character" w:customStyle="1" w:styleId="HeaderChar">
    <w:name w:val="Header Char"/>
    <w:link w:val="Header"/>
    <w:uiPriority w:val="99"/>
    <w:rsid w:val="00DA27DF"/>
    <w:rPr>
      <w:sz w:val="24"/>
      <w:szCs w:val="24"/>
    </w:rPr>
  </w:style>
  <w:style w:type="paragraph" w:styleId="Footer">
    <w:name w:val="footer"/>
    <w:basedOn w:val="Normal"/>
    <w:link w:val="FooterChar"/>
    <w:uiPriority w:val="99"/>
    <w:unhideWhenUsed/>
    <w:rsid w:val="00DA27DF"/>
    <w:pPr>
      <w:tabs>
        <w:tab w:val="center" w:pos="4680"/>
        <w:tab w:val="right" w:pos="9360"/>
      </w:tabs>
    </w:pPr>
  </w:style>
  <w:style w:type="character" w:customStyle="1" w:styleId="FooterChar">
    <w:name w:val="Footer Char"/>
    <w:link w:val="Footer"/>
    <w:uiPriority w:val="99"/>
    <w:rsid w:val="00DA27DF"/>
    <w:rPr>
      <w:sz w:val="24"/>
      <w:szCs w:val="24"/>
    </w:rPr>
  </w:style>
  <w:style w:type="paragraph" w:styleId="HTMLPreformatted">
    <w:name w:val="HTML Preformatted"/>
    <w:basedOn w:val="Normal"/>
    <w:link w:val="HTMLPreformattedChar"/>
    <w:uiPriority w:val="99"/>
    <w:semiHidden/>
    <w:unhideWhenUsed/>
    <w:rsid w:val="0081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17848"/>
    <w:rPr>
      <w:rFonts w:ascii="Courier New" w:hAnsi="Courier New" w:cs="Courier New"/>
    </w:rPr>
  </w:style>
  <w:style w:type="character" w:styleId="Emphasis">
    <w:name w:val="Emphasis"/>
    <w:basedOn w:val="DefaultParagraphFont"/>
    <w:uiPriority w:val="20"/>
    <w:qFormat/>
    <w:locked/>
    <w:rsid w:val="00D04289"/>
    <w:rPr>
      <w:i/>
      <w:iCs/>
    </w:rPr>
  </w:style>
  <w:style w:type="paragraph" w:styleId="FootnoteText">
    <w:name w:val="footnote text"/>
    <w:basedOn w:val="Normal"/>
    <w:link w:val="FootnoteTextChar"/>
    <w:uiPriority w:val="99"/>
    <w:unhideWhenUsed/>
    <w:rsid w:val="007D4DF6"/>
    <w:rPr>
      <w:sz w:val="20"/>
      <w:szCs w:val="20"/>
    </w:rPr>
  </w:style>
  <w:style w:type="character" w:customStyle="1" w:styleId="FootnoteTextChar">
    <w:name w:val="Footnote Text Char"/>
    <w:basedOn w:val="DefaultParagraphFont"/>
    <w:link w:val="FootnoteText"/>
    <w:uiPriority w:val="99"/>
    <w:rsid w:val="007D4DF6"/>
  </w:style>
  <w:style w:type="character" w:styleId="FootnoteReference">
    <w:name w:val="footnote reference"/>
    <w:basedOn w:val="DefaultParagraphFont"/>
    <w:uiPriority w:val="99"/>
    <w:semiHidden/>
    <w:unhideWhenUsed/>
    <w:rsid w:val="007D4DF6"/>
    <w:rPr>
      <w:vertAlign w:val="superscript"/>
    </w:rPr>
  </w:style>
  <w:style w:type="character" w:styleId="Hyperlink">
    <w:name w:val="Hyperlink"/>
    <w:basedOn w:val="DefaultParagraphFont"/>
    <w:uiPriority w:val="99"/>
    <w:unhideWhenUsed/>
    <w:rsid w:val="007D4DF6"/>
    <w:rPr>
      <w:color w:val="0000FF" w:themeColor="hyperlink"/>
      <w:u w:val="single"/>
    </w:rPr>
  </w:style>
  <w:style w:type="paragraph" w:styleId="E-mailSignature">
    <w:name w:val="E-mail Signature"/>
    <w:basedOn w:val="Normal"/>
    <w:link w:val="E-mailSignatureChar"/>
    <w:uiPriority w:val="99"/>
    <w:rsid w:val="002D676D"/>
  </w:style>
  <w:style w:type="character" w:customStyle="1" w:styleId="E-mailSignatureChar">
    <w:name w:val="E-mail Signature Char"/>
    <w:basedOn w:val="DefaultParagraphFont"/>
    <w:link w:val="E-mailSignature"/>
    <w:uiPriority w:val="99"/>
    <w:rsid w:val="002D676D"/>
    <w:rPr>
      <w:sz w:val="24"/>
      <w:szCs w:val="24"/>
    </w:rPr>
  </w:style>
  <w:style w:type="character" w:styleId="FollowedHyperlink">
    <w:name w:val="FollowedHyperlink"/>
    <w:basedOn w:val="DefaultParagraphFont"/>
    <w:uiPriority w:val="99"/>
    <w:semiHidden/>
    <w:unhideWhenUsed/>
    <w:rsid w:val="00237D6C"/>
    <w:rPr>
      <w:color w:val="800080" w:themeColor="followedHyperlink"/>
      <w:u w:val="single"/>
    </w:rPr>
  </w:style>
  <w:style w:type="paragraph" w:styleId="Revision">
    <w:name w:val="Revision"/>
    <w:hidden/>
    <w:uiPriority w:val="99"/>
    <w:semiHidden/>
    <w:rsid w:val="00627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15218">
      <w:bodyDiv w:val="1"/>
      <w:marLeft w:val="0"/>
      <w:marRight w:val="0"/>
      <w:marTop w:val="0"/>
      <w:marBottom w:val="0"/>
      <w:divBdr>
        <w:top w:val="none" w:sz="0" w:space="0" w:color="auto"/>
        <w:left w:val="none" w:sz="0" w:space="0" w:color="auto"/>
        <w:bottom w:val="none" w:sz="0" w:space="0" w:color="auto"/>
        <w:right w:val="none" w:sz="0" w:space="0" w:color="auto"/>
      </w:divBdr>
    </w:div>
    <w:div w:id="137384842">
      <w:bodyDiv w:val="1"/>
      <w:marLeft w:val="0"/>
      <w:marRight w:val="0"/>
      <w:marTop w:val="0"/>
      <w:marBottom w:val="0"/>
      <w:divBdr>
        <w:top w:val="none" w:sz="0" w:space="0" w:color="auto"/>
        <w:left w:val="none" w:sz="0" w:space="0" w:color="auto"/>
        <w:bottom w:val="none" w:sz="0" w:space="0" w:color="auto"/>
        <w:right w:val="none" w:sz="0" w:space="0" w:color="auto"/>
      </w:divBdr>
    </w:div>
    <w:div w:id="240213034">
      <w:bodyDiv w:val="1"/>
      <w:marLeft w:val="0"/>
      <w:marRight w:val="0"/>
      <w:marTop w:val="0"/>
      <w:marBottom w:val="0"/>
      <w:divBdr>
        <w:top w:val="none" w:sz="0" w:space="0" w:color="auto"/>
        <w:left w:val="none" w:sz="0" w:space="0" w:color="auto"/>
        <w:bottom w:val="none" w:sz="0" w:space="0" w:color="auto"/>
        <w:right w:val="none" w:sz="0" w:space="0" w:color="auto"/>
      </w:divBdr>
    </w:div>
    <w:div w:id="247203296">
      <w:bodyDiv w:val="1"/>
      <w:marLeft w:val="0"/>
      <w:marRight w:val="0"/>
      <w:marTop w:val="0"/>
      <w:marBottom w:val="0"/>
      <w:divBdr>
        <w:top w:val="none" w:sz="0" w:space="0" w:color="auto"/>
        <w:left w:val="none" w:sz="0" w:space="0" w:color="auto"/>
        <w:bottom w:val="none" w:sz="0" w:space="0" w:color="auto"/>
        <w:right w:val="none" w:sz="0" w:space="0" w:color="auto"/>
      </w:divBdr>
    </w:div>
    <w:div w:id="340744621">
      <w:bodyDiv w:val="1"/>
      <w:marLeft w:val="0"/>
      <w:marRight w:val="0"/>
      <w:marTop w:val="0"/>
      <w:marBottom w:val="0"/>
      <w:divBdr>
        <w:top w:val="none" w:sz="0" w:space="0" w:color="auto"/>
        <w:left w:val="none" w:sz="0" w:space="0" w:color="auto"/>
        <w:bottom w:val="none" w:sz="0" w:space="0" w:color="auto"/>
        <w:right w:val="none" w:sz="0" w:space="0" w:color="auto"/>
      </w:divBdr>
    </w:div>
    <w:div w:id="413287808">
      <w:bodyDiv w:val="1"/>
      <w:marLeft w:val="0"/>
      <w:marRight w:val="0"/>
      <w:marTop w:val="0"/>
      <w:marBottom w:val="0"/>
      <w:divBdr>
        <w:top w:val="none" w:sz="0" w:space="0" w:color="auto"/>
        <w:left w:val="none" w:sz="0" w:space="0" w:color="auto"/>
        <w:bottom w:val="none" w:sz="0" w:space="0" w:color="auto"/>
        <w:right w:val="none" w:sz="0" w:space="0" w:color="auto"/>
      </w:divBdr>
    </w:div>
    <w:div w:id="469523352">
      <w:bodyDiv w:val="1"/>
      <w:marLeft w:val="0"/>
      <w:marRight w:val="0"/>
      <w:marTop w:val="0"/>
      <w:marBottom w:val="0"/>
      <w:divBdr>
        <w:top w:val="none" w:sz="0" w:space="0" w:color="auto"/>
        <w:left w:val="none" w:sz="0" w:space="0" w:color="auto"/>
        <w:bottom w:val="none" w:sz="0" w:space="0" w:color="auto"/>
        <w:right w:val="none" w:sz="0" w:space="0" w:color="auto"/>
      </w:divBdr>
    </w:div>
    <w:div w:id="654266731">
      <w:bodyDiv w:val="1"/>
      <w:marLeft w:val="0"/>
      <w:marRight w:val="0"/>
      <w:marTop w:val="0"/>
      <w:marBottom w:val="0"/>
      <w:divBdr>
        <w:top w:val="none" w:sz="0" w:space="0" w:color="auto"/>
        <w:left w:val="none" w:sz="0" w:space="0" w:color="auto"/>
        <w:bottom w:val="none" w:sz="0" w:space="0" w:color="auto"/>
        <w:right w:val="none" w:sz="0" w:space="0" w:color="auto"/>
      </w:divBdr>
    </w:div>
    <w:div w:id="811676102">
      <w:bodyDiv w:val="1"/>
      <w:marLeft w:val="0"/>
      <w:marRight w:val="0"/>
      <w:marTop w:val="0"/>
      <w:marBottom w:val="0"/>
      <w:divBdr>
        <w:top w:val="none" w:sz="0" w:space="0" w:color="auto"/>
        <w:left w:val="none" w:sz="0" w:space="0" w:color="auto"/>
        <w:bottom w:val="none" w:sz="0" w:space="0" w:color="auto"/>
        <w:right w:val="none" w:sz="0" w:space="0" w:color="auto"/>
      </w:divBdr>
    </w:div>
    <w:div w:id="947156704">
      <w:bodyDiv w:val="1"/>
      <w:marLeft w:val="0"/>
      <w:marRight w:val="0"/>
      <w:marTop w:val="0"/>
      <w:marBottom w:val="0"/>
      <w:divBdr>
        <w:top w:val="none" w:sz="0" w:space="0" w:color="auto"/>
        <w:left w:val="none" w:sz="0" w:space="0" w:color="auto"/>
        <w:bottom w:val="none" w:sz="0" w:space="0" w:color="auto"/>
        <w:right w:val="none" w:sz="0" w:space="0" w:color="auto"/>
      </w:divBdr>
    </w:div>
    <w:div w:id="978726865">
      <w:marLeft w:val="0"/>
      <w:marRight w:val="0"/>
      <w:marTop w:val="0"/>
      <w:marBottom w:val="0"/>
      <w:divBdr>
        <w:top w:val="none" w:sz="0" w:space="0" w:color="auto"/>
        <w:left w:val="none" w:sz="0" w:space="0" w:color="auto"/>
        <w:bottom w:val="none" w:sz="0" w:space="0" w:color="auto"/>
        <w:right w:val="none" w:sz="0" w:space="0" w:color="auto"/>
      </w:divBdr>
      <w:divsChild>
        <w:div w:id="978726869">
          <w:marLeft w:val="0"/>
          <w:marRight w:val="0"/>
          <w:marTop w:val="0"/>
          <w:marBottom w:val="0"/>
          <w:divBdr>
            <w:top w:val="none" w:sz="0" w:space="0" w:color="auto"/>
            <w:left w:val="none" w:sz="0" w:space="0" w:color="auto"/>
            <w:bottom w:val="none" w:sz="0" w:space="0" w:color="auto"/>
            <w:right w:val="none" w:sz="0" w:space="0" w:color="auto"/>
          </w:divBdr>
          <w:divsChild>
            <w:div w:id="978726862">
              <w:marLeft w:val="0"/>
              <w:marRight w:val="0"/>
              <w:marTop w:val="0"/>
              <w:marBottom w:val="0"/>
              <w:divBdr>
                <w:top w:val="none" w:sz="0" w:space="0" w:color="auto"/>
                <w:left w:val="none" w:sz="0" w:space="0" w:color="auto"/>
                <w:bottom w:val="none" w:sz="0" w:space="0" w:color="auto"/>
                <w:right w:val="none" w:sz="0" w:space="0" w:color="auto"/>
              </w:divBdr>
            </w:div>
            <w:div w:id="978726863">
              <w:marLeft w:val="0"/>
              <w:marRight w:val="0"/>
              <w:marTop w:val="0"/>
              <w:marBottom w:val="0"/>
              <w:divBdr>
                <w:top w:val="none" w:sz="0" w:space="0" w:color="auto"/>
                <w:left w:val="none" w:sz="0" w:space="0" w:color="auto"/>
                <w:bottom w:val="none" w:sz="0" w:space="0" w:color="auto"/>
                <w:right w:val="none" w:sz="0" w:space="0" w:color="auto"/>
              </w:divBdr>
            </w:div>
            <w:div w:id="978726864">
              <w:marLeft w:val="0"/>
              <w:marRight w:val="0"/>
              <w:marTop w:val="0"/>
              <w:marBottom w:val="0"/>
              <w:divBdr>
                <w:top w:val="none" w:sz="0" w:space="0" w:color="auto"/>
                <w:left w:val="none" w:sz="0" w:space="0" w:color="auto"/>
                <w:bottom w:val="none" w:sz="0" w:space="0" w:color="auto"/>
                <w:right w:val="none" w:sz="0" w:space="0" w:color="auto"/>
              </w:divBdr>
            </w:div>
            <w:div w:id="978726866">
              <w:marLeft w:val="0"/>
              <w:marRight w:val="0"/>
              <w:marTop w:val="0"/>
              <w:marBottom w:val="0"/>
              <w:divBdr>
                <w:top w:val="none" w:sz="0" w:space="0" w:color="auto"/>
                <w:left w:val="none" w:sz="0" w:space="0" w:color="auto"/>
                <w:bottom w:val="none" w:sz="0" w:space="0" w:color="auto"/>
                <w:right w:val="none" w:sz="0" w:space="0" w:color="auto"/>
              </w:divBdr>
            </w:div>
            <w:div w:id="978726867">
              <w:marLeft w:val="0"/>
              <w:marRight w:val="0"/>
              <w:marTop w:val="0"/>
              <w:marBottom w:val="0"/>
              <w:divBdr>
                <w:top w:val="none" w:sz="0" w:space="0" w:color="auto"/>
                <w:left w:val="none" w:sz="0" w:space="0" w:color="auto"/>
                <w:bottom w:val="none" w:sz="0" w:space="0" w:color="auto"/>
                <w:right w:val="none" w:sz="0" w:space="0" w:color="auto"/>
              </w:divBdr>
            </w:div>
            <w:div w:id="9787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6870">
      <w:marLeft w:val="0"/>
      <w:marRight w:val="0"/>
      <w:marTop w:val="0"/>
      <w:marBottom w:val="0"/>
      <w:divBdr>
        <w:top w:val="none" w:sz="0" w:space="0" w:color="auto"/>
        <w:left w:val="none" w:sz="0" w:space="0" w:color="auto"/>
        <w:bottom w:val="none" w:sz="0" w:space="0" w:color="auto"/>
        <w:right w:val="none" w:sz="0" w:space="0" w:color="auto"/>
      </w:divBdr>
    </w:div>
    <w:div w:id="978726871">
      <w:marLeft w:val="0"/>
      <w:marRight w:val="0"/>
      <w:marTop w:val="0"/>
      <w:marBottom w:val="0"/>
      <w:divBdr>
        <w:top w:val="none" w:sz="0" w:space="0" w:color="auto"/>
        <w:left w:val="none" w:sz="0" w:space="0" w:color="auto"/>
        <w:bottom w:val="none" w:sz="0" w:space="0" w:color="auto"/>
        <w:right w:val="none" w:sz="0" w:space="0" w:color="auto"/>
      </w:divBdr>
    </w:div>
    <w:div w:id="1096900088">
      <w:bodyDiv w:val="1"/>
      <w:marLeft w:val="0"/>
      <w:marRight w:val="0"/>
      <w:marTop w:val="0"/>
      <w:marBottom w:val="0"/>
      <w:divBdr>
        <w:top w:val="none" w:sz="0" w:space="0" w:color="auto"/>
        <w:left w:val="none" w:sz="0" w:space="0" w:color="auto"/>
        <w:bottom w:val="none" w:sz="0" w:space="0" w:color="auto"/>
        <w:right w:val="none" w:sz="0" w:space="0" w:color="auto"/>
      </w:divBdr>
    </w:div>
    <w:div w:id="1302151371">
      <w:bodyDiv w:val="1"/>
      <w:marLeft w:val="0"/>
      <w:marRight w:val="0"/>
      <w:marTop w:val="0"/>
      <w:marBottom w:val="0"/>
      <w:divBdr>
        <w:top w:val="none" w:sz="0" w:space="0" w:color="auto"/>
        <w:left w:val="none" w:sz="0" w:space="0" w:color="auto"/>
        <w:bottom w:val="none" w:sz="0" w:space="0" w:color="auto"/>
        <w:right w:val="none" w:sz="0" w:space="0" w:color="auto"/>
      </w:divBdr>
    </w:div>
    <w:div w:id="1339428468">
      <w:bodyDiv w:val="1"/>
      <w:marLeft w:val="0"/>
      <w:marRight w:val="0"/>
      <w:marTop w:val="0"/>
      <w:marBottom w:val="0"/>
      <w:divBdr>
        <w:top w:val="none" w:sz="0" w:space="0" w:color="auto"/>
        <w:left w:val="none" w:sz="0" w:space="0" w:color="auto"/>
        <w:bottom w:val="none" w:sz="0" w:space="0" w:color="auto"/>
        <w:right w:val="none" w:sz="0" w:space="0" w:color="auto"/>
      </w:divBdr>
    </w:div>
    <w:div w:id="1612858705">
      <w:bodyDiv w:val="1"/>
      <w:marLeft w:val="0"/>
      <w:marRight w:val="0"/>
      <w:marTop w:val="0"/>
      <w:marBottom w:val="0"/>
      <w:divBdr>
        <w:top w:val="none" w:sz="0" w:space="0" w:color="auto"/>
        <w:left w:val="none" w:sz="0" w:space="0" w:color="auto"/>
        <w:bottom w:val="none" w:sz="0" w:space="0" w:color="auto"/>
        <w:right w:val="none" w:sz="0" w:space="0" w:color="auto"/>
      </w:divBdr>
    </w:div>
    <w:div w:id="1699886717">
      <w:bodyDiv w:val="1"/>
      <w:marLeft w:val="0"/>
      <w:marRight w:val="0"/>
      <w:marTop w:val="0"/>
      <w:marBottom w:val="0"/>
      <w:divBdr>
        <w:top w:val="none" w:sz="0" w:space="0" w:color="auto"/>
        <w:left w:val="none" w:sz="0" w:space="0" w:color="auto"/>
        <w:bottom w:val="none" w:sz="0" w:space="0" w:color="auto"/>
        <w:right w:val="none" w:sz="0" w:space="0" w:color="auto"/>
      </w:divBdr>
    </w:div>
    <w:div w:id="1744138783">
      <w:bodyDiv w:val="1"/>
      <w:marLeft w:val="0"/>
      <w:marRight w:val="0"/>
      <w:marTop w:val="0"/>
      <w:marBottom w:val="0"/>
      <w:divBdr>
        <w:top w:val="none" w:sz="0" w:space="0" w:color="auto"/>
        <w:left w:val="none" w:sz="0" w:space="0" w:color="auto"/>
        <w:bottom w:val="none" w:sz="0" w:space="0" w:color="auto"/>
        <w:right w:val="none" w:sz="0" w:space="0" w:color="auto"/>
      </w:divBdr>
    </w:div>
    <w:div w:id="1950046175">
      <w:bodyDiv w:val="1"/>
      <w:marLeft w:val="0"/>
      <w:marRight w:val="0"/>
      <w:marTop w:val="0"/>
      <w:marBottom w:val="0"/>
      <w:divBdr>
        <w:top w:val="none" w:sz="0" w:space="0" w:color="auto"/>
        <w:left w:val="none" w:sz="0" w:space="0" w:color="auto"/>
        <w:bottom w:val="none" w:sz="0" w:space="0" w:color="auto"/>
        <w:right w:val="none" w:sz="0" w:space="0" w:color="auto"/>
      </w:divBdr>
    </w:div>
    <w:div w:id="2078555997">
      <w:bodyDiv w:val="1"/>
      <w:marLeft w:val="0"/>
      <w:marRight w:val="0"/>
      <w:marTop w:val="0"/>
      <w:marBottom w:val="0"/>
      <w:divBdr>
        <w:top w:val="none" w:sz="0" w:space="0" w:color="auto"/>
        <w:left w:val="none" w:sz="0" w:space="0" w:color="auto"/>
        <w:bottom w:val="none" w:sz="0" w:space="0" w:color="auto"/>
        <w:right w:val="none" w:sz="0" w:space="0" w:color="auto"/>
      </w:divBdr>
    </w:div>
    <w:div w:id="209211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ic.nih.gov/about/pages/strategic-plan.aspx" TargetMode="External"/><Relationship Id="rId2" Type="http://schemas.openxmlformats.org/officeDocument/2006/relationships/hyperlink" Target="http://www.nih.gov/sites/default/files/about-nih/strategic-plan-fy2016-2020-508.pdf" TargetMode="External"/><Relationship Id="rId1" Type="http://schemas.openxmlformats.org/officeDocument/2006/relationships/hyperlink" Target="http://www.hhs.gov/about/strategic-plan/index.html" TargetMode="External"/><Relationship Id="rId5" Type="http://schemas.openxmlformats.org/officeDocument/2006/relationships/hyperlink" Target="http://publications.nigms.nih.gov/strategicplan/" TargetMode="External"/><Relationship Id="rId4" Type="http://schemas.openxmlformats.org/officeDocument/2006/relationships/hyperlink" Target="http://www.niehs.nih.gov/about/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6410C-E60C-4232-BD36-A4E8160B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6109</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Microsoft Word - HHS_11285_OMB Supporting Statement</vt:lpstr>
    </vt:vector>
  </TitlesOfParts>
  <Company>National Cancer Institute, NIH</Company>
  <LinksUpToDate>false</LinksUpToDate>
  <CharactersWithSpaces>40851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HHS_11285_OMB Supporting Statement</dc:title>
  <dc:creator>__aaes__</dc:creator>
  <cp:lastModifiedBy>Currie, Mikia (NIH/OD) [E]</cp:lastModifiedBy>
  <cp:revision>2</cp:revision>
  <cp:lastPrinted>2015-08-17T14:03:00Z</cp:lastPrinted>
  <dcterms:created xsi:type="dcterms:W3CDTF">2016-03-01T15:28:00Z</dcterms:created>
  <dcterms:modified xsi:type="dcterms:W3CDTF">2016-03-01T15:28:00Z</dcterms:modified>
</cp:coreProperties>
</file>