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86183" w14:textId="77777777" w:rsidR="00B11385" w:rsidRPr="0095444F" w:rsidRDefault="00B11385" w:rsidP="00B11385">
      <w:pPr>
        <w:spacing w:after="0" w:line="240" w:lineRule="auto"/>
        <w:jc w:val="center"/>
        <w:rPr>
          <w:b/>
          <w:sz w:val="40"/>
          <w:szCs w:val="40"/>
        </w:rPr>
      </w:pPr>
    </w:p>
    <w:p w14:paraId="6331CE9B" w14:textId="77777777" w:rsidR="00B11385" w:rsidRPr="0095444F" w:rsidRDefault="00B11385" w:rsidP="00B11385">
      <w:pPr>
        <w:spacing w:after="0" w:line="240" w:lineRule="auto"/>
        <w:jc w:val="center"/>
        <w:rPr>
          <w:b/>
          <w:sz w:val="40"/>
          <w:szCs w:val="40"/>
        </w:rPr>
      </w:pPr>
    </w:p>
    <w:p w14:paraId="08CFFF6E" w14:textId="77777777" w:rsidR="00B11385" w:rsidRPr="0095444F" w:rsidRDefault="00B11385" w:rsidP="00B11385">
      <w:pPr>
        <w:spacing w:after="0" w:line="240" w:lineRule="auto"/>
        <w:jc w:val="center"/>
        <w:rPr>
          <w:b/>
          <w:sz w:val="40"/>
          <w:szCs w:val="40"/>
        </w:rPr>
      </w:pPr>
    </w:p>
    <w:p w14:paraId="2E86E0C0" w14:textId="77777777" w:rsidR="00B11385" w:rsidRPr="0095444F" w:rsidRDefault="00B11385" w:rsidP="00B11385">
      <w:pPr>
        <w:spacing w:after="0" w:line="240" w:lineRule="auto"/>
        <w:jc w:val="center"/>
        <w:rPr>
          <w:b/>
          <w:sz w:val="40"/>
          <w:szCs w:val="40"/>
        </w:rPr>
      </w:pPr>
    </w:p>
    <w:p w14:paraId="0768EBA9" w14:textId="77777777" w:rsidR="00B11385" w:rsidRPr="0095444F" w:rsidRDefault="00B11385" w:rsidP="00B11385">
      <w:pPr>
        <w:spacing w:after="0" w:line="240" w:lineRule="auto"/>
        <w:jc w:val="center"/>
        <w:rPr>
          <w:b/>
          <w:sz w:val="40"/>
          <w:szCs w:val="40"/>
        </w:rPr>
      </w:pPr>
      <w:r w:rsidRPr="0095444F">
        <w:rPr>
          <w:b/>
          <w:sz w:val="40"/>
          <w:szCs w:val="40"/>
        </w:rPr>
        <w:t>Zika Emergency Package III:</w:t>
      </w:r>
    </w:p>
    <w:p w14:paraId="5F2577ED" w14:textId="77777777" w:rsidR="00B11385" w:rsidRPr="0095444F" w:rsidRDefault="00B11385" w:rsidP="00B11385">
      <w:pPr>
        <w:spacing w:after="0" w:line="240" w:lineRule="auto"/>
        <w:jc w:val="center"/>
        <w:rPr>
          <w:b/>
          <w:sz w:val="40"/>
          <w:szCs w:val="40"/>
        </w:rPr>
      </w:pPr>
      <w:r w:rsidRPr="0095444F">
        <w:rPr>
          <w:b/>
          <w:sz w:val="40"/>
          <w:szCs w:val="40"/>
        </w:rPr>
        <w:t>Persistence of Zika virus in semen and urine of adult men with confirmed Zika virus infection</w:t>
      </w:r>
    </w:p>
    <w:p w14:paraId="3B76AE84" w14:textId="77777777" w:rsidR="00B11385" w:rsidRDefault="00B11385" w:rsidP="00B11385">
      <w:pPr>
        <w:spacing w:after="0" w:line="240" w:lineRule="auto"/>
        <w:jc w:val="center"/>
        <w:rPr>
          <w:b/>
        </w:rPr>
      </w:pPr>
    </w:p>
    <w:p w14:paraId="5311DB9D" w14:textId="77777777" w:rsidR="00B11385" w:rsidRDefault="00B11385" w:rsidP="00B11385">
      <w:pPr>
        <w:spacing w:after="0" w:line="240" w:lineRule="auto"/>
        <w:jc w:val="center"/>
        <w:rPr>
          <w:b/>
        </w:rPr>
      </w:pPr>
    </w:p>
    <w:p w14:paraId="6F22F1D2" w14:textId="77777777" w:rsidR="00B11385" w:rsidRPr="0095444F" w:rsidRDefault="00B11385" w:rsidP="00B11385">
      <w:pPr>
        <w:spacing w:after="0" w:line="240" w:lineRule="auto"/>
        <w:jc w:val="center"/>
        <w:rPr>
          <w:sz w:val="32"/>
          <w:szCs w:val="32"/>
        </w:rPr>
      </w:pPr>
      <w:r w:rsidRPr="0095444F">
        <w:rPr>
          <w:sz w:val="32"/>
          <w:szCs w:val="32"/>
        </w:rPr>
        <w:t>Request for OMB approval of a New ICR</w:t>
      </w:r>
    </w:p>
    <w:p w14:paraId="2AA3F2B0" w14:textId="77777777" w:rsidR="00B11385" w:rsidRDefault="00B11385" w:rsidP="00B11385">
      <w:pPr>
        <w:spacing w:after="0" w:line="240" w:lineRule="auto"/>
        <w:jc w:val="center"/>
        <w:rPr>
          <w:b/>
        </w:rPr>
      </w:pPr>
    </w:p>
    <w:p w14:paraId="6EA204E7" w14:textId="77777777" w:rsidR="00B11385" w:rsidRDefault="00B11385" w:rsidP="00B11385">
      <w:pPr>
        <w:spacing w:after="0" w:line="240" w:lineRule="auto"/>
        <w:jc w:val="center"/>
        <w:rPr>
          <w:b/>
        </w:rPr>
      </w:pPr>
    </w:p>
    <w:p w14:paraId="58A3103F" w14:textId="77777777" w:rsidR="00B11385" w:rsidRDefault="00B11385" w:rsidP="00B11385">
      <w:pPr>
        <w:spacing w:after="0" w:line="240" w:lineRule="auto"/>
        <w:jc w:val="center"/>
        <w:rPr>
          <w:b/>
        </w:rPr>
      </w:pPr>
    </w:p>
    <w:p w14:paraId="02B32452" w14:textId="77777777" w:rsidR="00B11385" w:rsidRPr="0095444F" w:rsidRDefault="00B11385" w:rsidP="00B11385">
      <w:pPr>
        <w:spacing w:after="0" w:line="240" w:lineRule="auto"/>
        <w:jc w:val="center"/>
        <w:rPr>
          <w:b/>
          <w:sz w:val="32"/>
          <w:szCs w:val="32"/>
        </w:rPr>
      </w:pPr>
    </w:p>
    <w:p w14:paraId="2D8512B1" w14:textId="0E8E066F" w:rsidR="00B11385" w:rsidRPr="0095444F" w:rsidRDefault="00B11385" w:rsidP="00B11385">
      <w:pPr>
        <w:spacing w:after="0" w:line="240" w:lineRule="auto"/>
        <w:jc w:val="center"/>
        <w:rPr>
          <w:b/>
          <w:sz w:val="32"/>
          <w:szCs w:val="32"/>
        </w:rPr>
      </w:pPr>
      <w:r w:rsidRPr="0095444F">
        <w:rPr>
          <w:b/>
          <w:sz w:val="32"/>
          <w:szCs w:val="32"/>
        </w:rPr>
        <w:t xml:space="preserve">Supporting Statement </w:t>
      </w:r>
      <w:r>
        <w:rPr>
          <w:b/>
          <w:sz w:val="32"/>
          <w:szCs w:val="32"/>
        </w:rPr>
        <w:t>B</w:t>
      </w:r>
    </w:p>
    <w:p w14:paraId="1B8CEB94" w14:textId="652ACCEB" w:rsidR="00B41BA5" w:rsidRPr="00A65538" w:rsidRDefault="00B11385" w:rsidP="00B11385">
      <w:pPr>
        <w:spacing w:after="0" w:line="240" w:lineRule="auto"/>
        <w:jc w:val="center"/>
        <w:rPr>
          <w:rFonts w:cs="Times New Roman"/>
          <w:b/>
          <w:szCs w:val="24"/>
        </w:rPr>
      </w:pPr>
      <w:r w:rsidRPr="0095444F">
        <w:rPr>
          <w:b/>
          <w:sz w:val="32"/>
          <w:szCs w:val="32"/>
        </w:rPr>
        <w:fldChar w:fldCharType="begin"/>
      </w:r>
      <w:r w:rsidRPr="0095444F">
        <w:rPr>
          <w:b/>
          <w:sz w:val="32"/>
          <w:szCs w:val="32"/>
        </w:rPr>
        <w:instrText xml:space="preserve"> DATE \@ "MMMM d, yyyy" </w:instrText>
      </w:r>
      <w:r w:rsidRPr="0095444F">
        <w:rPr>
          <w:b/>
          <w:sz w:val="32"/>
          <w:szCs w:val="32"/>
        </w:rPr>
        <w:fldChar w:fldCharType="separate"/>
      </w:r>
      <w:r w:rsidR="00DD55C0">
        <w:rPr>
          <w:b/>
          <w:noProof/>
          <w:sz w:val="32"/>
          <w:szCs w:val="32"/>
        </w:rPr>
        <w:t>March 25, 2016</w:t>
      </w:r>
      <w:r w:rsidRPr="0095444F">
        <w:rPr>
          <w:b/>
          <w:sz w:val="32"/>
          <w:szCs w:val="32"/>
        </w:rPr>
        <w:fldChar w:fldCharType="end"/>
      </w:r>
    </w:p>
    <w:p w14:paraId="1B8CEB95" w14:textId="77777777" w:rsidR="00B41BA5" w:rsidRPr="00A65538" w:rsidRDefault="00B41BA5" w:rsidP="00A65538">
      <w:pPr>
        <w:spacing w:after="0" w:line="240" w:lineRule="auto"/>
        <w:rPr>
          <w:rFonts w:cs="Times New Roman"/>
          <w:b/>
          <w:szCs w:val="24"/>
        </w:rPr>
      </w:pPr>
    </w:p>
    <w:p w14:paraId="1B8CEB96" w14:textId="77777777" w:rsidR="00B41BA5" w:rsidRPr="00A65538" w:rsidRDefault="00B41BA5" w:rsidP="00A65538">
      <w:pPr>
        <w:spacing w:after="0" w:line="240" w:lineRule="auto"/>
        <w:rPr>
          <w:rFonts w:cs="Times New Roman"/>
          <w:b/>
          <w:szCs w:val="24"/>
        </w:rPr>
      </w:pPr>
    </w:p>
    <w:p w14:paraId="1B8CEB97" w14:textId="77777777" w:rsidR="00B41BA5" w:rsidRPr="00A65538" w:rsidRDefault="00B41BA5" w:rsidP="00A65538">
      <w:pPr>
        <w:spacing w:after="0" w:line="240" w:lineRule="auto"/>
        <w:rPr>
          <w:rFonts w:cs="Times New Roman"/>
          <w:b/>
          <w:szCs w:val="24"/>
        </w:rPr>
      </w:pPr>
    </w:p>
    <w:p w14:paraId="1B8CEB98" w14:textId="77777777" w:rsidR="00B41BA5" w:rsidRPr="00A65538" w:rsidRDefault="00B41BA5" w:rsidP="00A65538">
      <w:pPr>
        <w:spacing w:after="0" w:line="240" w:lineRule="auto"/>
        <w:rPr>
          <w:rFonts w:cs="Times New Roman"/>
          <w:b/>
          <w:szCs w:val="24"/>
        </w:rPr>
      </w:pPr>
    </w:p>
    <w:p w14:paraId="1B8CEB99" w14:textId="77777777" w:rsidR="00B41BA5" w:rsidRPr="00A65538" w:rsidRDefault="00B41BA5" w:rsidP="00A65538">
      <w:pPr>
        <w:spacing w:after="0" w:line="240" w:lineRule="auto"/>
        <w:rPr>
          <w:rFonts w:cs="Times New Roman"/>
          <w:b/>
          <w:szCs w:val="24"/>
        </w:rPr>
      </w:pPr>
    </w:p>
    <w:p w14:paraId="1B8CEB9A" w14:textId="77777777" w:rsidR="00B41BA5" w:rsidRPr="00A65538" w:rsidRDefault="00B41BA5" w:rsidP="00A65538">
      <w:pPr>
        <w:spacing w:after="0" w:line="240" w:lineRule="auto"/>
        <w:rPr>
          <w:rFonts w:cs="Times New Roman"/>
          <w:b/>
          <w:szCs w:val="24"/>
        </w:rPr>
      </w:pPr>
    </w:p>
    <w:p w14:paraId="1B8CEB9B" w14:textId="77777777" w:rsidR="00B41BA5" w:rsidRPr="00A65538" w:rsidRDefault="00B41BA5" w:rsidP="00A65538">
      <w:pPr>
        <w:spacing w:after="0" w:line="240" w:lineRule="auto"/>
        <w:rPr>
          <w:rFonts w:cs="Times New Roman"/>
          <w:b/>
          <w:szCs w:val="24"/>
        </w:rPr>
      </w:pPr>
    </w:p>
    <w:p w14:paraId="1B8CEB9C" w14:textId="77777777" w:rsidR="00B41BA5" w:rsidRPr="00A65538" w:rsidRDefault="00B41BA5" w:rsidP="00A65538">
      <w:pPr>
        <w:spacing w:after="0" w:line="240" w:lineRule="auto"/>
        <w:rPr>
          <w:rFonts w:cs="Times New Roman"/>
          <w:b/>
          <w:szCs w:val="24"/>
        </w:rPr>
      </w:pPr>
    </w:p>
    <w:p w14:paraId="1B8CEB9D" w14:textId="77777777" w:rsidR="00B41BA5" w:rsidRPr="00A65538" w:rsidRDefault="00B41BA5" w:rsidP="00A65538">
      <w:pPr>
        <w:spacing w:after="0" w:line="240" w:lineRule="auto"/>
        <w:rPr>
          <w:rFonts w:cs="Times New Roman"/>
          <w:b/>
          <w:szCs w:val="24"/>
        </w:rPr>
      </w:pPr>
    </w:p>
    <w:p w14:paraId="1B8CEB9E" w14:textId="77777777" w:rsidR="00B41BA5" w:rsidRPr="00A65538" w:rsidRDefault="00B41BA5" w:rsidP="00A65538">
      <w:pPr>
        <w:spacing w:after="0" w:line="240" w:lineRule="auto"/>
        <w:rPr>
          <w:rFonts w:cs="Times New Roman"/>
          <w:b/>
          <w:szCs w:val="24"/>
        </w:rPr>
      </w:pPr>
    </w:p>
    <w:p w14:paraId="1B8CEB9F" w14:textId="77777777" w:rsidR="00B41BA5" w:rsidRPr="00A65538" w:rsidRDefault="00B41BA5" w:rsidP="00A65538">
      <w:pPr>
        <w:spacing w:after="0" w:line="240" w:lineRule="auto"/>
        <w:rPr>
          <w:rFonts w:cs="Times New Roman"/>
          <w:b/>
          <w:szCs w:val="24"/>
        </w:rPr>
      </w:pPr>
    </w:p>
    <w:p w14:paraId="1B8CEBA0" w14:textId="77777777" w:rsidR="00B41BA5" w:rsidRPr="00A65538" w:rsidRDefault="00B41BA5" w:rsidP="00A65538">
      <w:pPr>
        <w:spacing w:after="0" w:line="240" w:lineRule="auto"/>
        <w:rPr>
          <w:rFonts w:cs="Times New Roman"/>
          <w:b/>
          <w:szCs w:val="24"/>
        </w:rPr>
      </w:pPr>
    </w:p>
    <w:p w14:paraId="1B8CEBA1" w14:textId="77777777" w:rsidR="00B41BA5" w:rsidRPr="00A65538" w:rsidRDefault="00B41BA5" w:rsidP="00A65538">
      <w:pPr>
        <w:spacing w:after="0" w:line="240" w:lineRule="auto"/>
        <w:rPr>
          <w:rFonts w:cs="Times New Roman"/>
          <w:b/>
          <w:szCs w:val="24"/>
        </w:rPr>
      </w:pPr>
    </w:p>
    <w:p w14:paraId="1B8CEBA2" w14:textId="77777777" w:rsidR="00B41BA5" w:rsidRPr="00A65538" w:rsidRDefault="00B41BA5" w:rsidP="00A65538">
      <w:pPr>
        <w:spacing w:after="0" w:line="240" w:lineRule="auto"/>
        <w:rPr>
          <w:rFonts w:cs="Times New Roman"/>
          <w:b/>
          <w:szCs w:val="24"/>
        </w:rPr>
      </w:pPr>
    </w:p>
    <w:p w14:paraId="1B8CEBA3" w14:textId="77777777" w:rsidR="00B41BA5" w:rsidRPr="00A65538" w:rsidRDefault="00B41BA5" w:rsidP="00A65538">
      <w:pPr>
        <w:spacing w:after="0" w:line="240" w:lineRule="auto"/>
        <w:rPr>
          <w:rFonts w:cs="Times New Roman"/>
          <w:b/>
          <w:szCs w:val="24"/>
        </w:rPr>
      </w:pPr>
    </w:p>
    <w:p w14:paraId="1B8CEBA4" w14:textId="77777777" w:rsidR="00B41BA5" w:rsidRPr="00A65538" w:rsidRDefault="00B41BA5" w:rsidP="00A65538">
      <w:pPr>
        <w:spacing w:after="0" w:line="240" w:lineRule="auto"/>
        <w:rPr>
          <w:rFonts w:cs="Times New Roman"/>
          <w:b/>
          <w:szCs w:val="24"/>
        </w:rPr>
      </w:pPr>
    </w:p>
    <w:p w14:paraId="1B8CEBA5" w14:textId="77777777" w:rsidR="00B41BA5" w:rsidRPr="00A65538" w:rsidRDefault="00B41BA5" w:rsidP="00A65538">
      <w:pPr>
        <w:spacing w:after="0" w:line="240" w:lineRule="auto"/>
        <w:rPr>
          <w:rFonts w:cs="Times New Roman"/>
          <w:b/>
          <w:szCs w:val="24"/>
        </w:rPr>
      </w:pPr>
    </w:p>
    <w:p w14:paraId="1B8CEBA6" w14:textId="77777777" w:rsidR="00B41BA5" w:rsidRPr="00A65538" w:rsidRDefault="00B41BA5" w:rsidP="00A65538">
      <w:pPr>
        <w:spacing w:after="0" w:line="240" w:lineRule="auto"/>
        <w:rPr>
          <w:rFonts w:cs="Times New Roman"/>
          <w:b/>
          <w:szCs w:val="24"/>
        </w:rPr>
      </w:pPr>
    </w:p>
    <w:p w14:paraId="1B8CEBA7" w14:textId="77777777" w:rsidR="00B41BA5" w:rsidRPr="00A65538" w:rsidRDefault="00B41BA5" w:rsidP="00A65538">
      <w:pPr>
        <w:spacing w:after="0" w:line="240" w:lineRule="auto"/>
        <w:rPr>
          <w:rFonts w:cs="Times New Roman"/>
          <w:b/>
          <w:szCs w:val="24"/>
        </w:rPr>
      </w:pPr>
    </w:p>
    <w:p w14:paraId="1B8CEBAE" w14:textId="77777777" w:rsidR="00B41BA5" w:rsidRPr="00A65538" w:rsidRDefault="00B41BA5" w:rsidP="00A65538">
      <w:pPr>
        <w:spacing w:after="0" w:line="240" w:lineRule="auto"/>
        <w:rPr>
          <w:rFonts w:cs="Times New Roman"/>
          <w:b/>
          <w:szCs w:val="24"/>
        </w:rPr>
      </w:pPr>
      <w:r w:rsidRPr="00A65538">
        <w:rPr>
          <w:rFonts w:cs="Times New Roman"/>
          <w:b/>
          <w:szCs w:val="24"/>
        </w:rPr>
        <w:t xml:space="preserve">Contact: </w:t>
      </w:r>
    </w:p>
    <w:p w14:paraId="1B8CEBAF" w14:textId="77777777" w:rsidR="00B41BA5" w:rsidRPr="003F5173" w:rsidRDefault="00B41BA5" w:rsidP="00A65538">
      <w:pPr>
        <w:spacing w:after="0" w:line="240" w:lineRule="auto"/>
        <w:rPr>
          <w:rFonts w:cs="Times New Roman"/>
          <w:szCs w:val="24"/>
        </w:rPr>
      </w:pPr>
      <w:r w:rsidRPr="003F5173">
        <w:rPr>
          <w:rFonts w:cs="Times New Roman"/>
          <w:szCs w:val="24"/>
        </w:rPr>
        <w:t>Lee Samuel</w:t>
      </w:r>
    </w:p>
    <w:p w14:paraId="1B8CEBB0" w14:textId="77777777" w:rsidR="00B41BA5" w:rsidRPr="003F5173" w:rsidRDefault="00B41BA5" w:rsidP="00A65538">
      <w:pPr>
        <w:spacing w:after="0" w:line="240" w:lineRule="auto"/>
        <w:rPr>
          <w:rFonts w:cs="Times New Roman"/>
          <w:szCs w:val="24"/>
        </w:rPr>
      </w:pPr>
      <w:r w:rsidRPr="003F5173">
        <w:rPr>
          <w:rFonts w:cs="Times New Roman"/>
          <w:szCs w:val="24"/>
        </w:rPr>
        <w:t xml:space="preserve">National Center for Emerging and Zoonotic Infectious Diseases </w:t>
      </w:r>
    </w:p>
    <w:p w14:paraId="1B8CEBB1" w14:textId="77777777" w:rsidR="00B41BA5" w:rsidRPr="003F5173" w:rsidRDefault="00B41BA5" w:rsidP="00A65538">
      <w:pPr>
        <w:spacing w:after="0" w:line="240" w:lineRule="auto"/>
        <w:rPr>
          <w:rFonts w:cs="Times New Roman"/>
          <w:szCs w:val="24"/>
        </w:rPr>
      </w:pPr>
      <w:r w:rsidRPr="003F5173">
        <w:rPr>
          <w:rFonts w:cs="Times New Roman"/>
          <w:szCs w:val="24"/>
        </w:rPr>
        <w:t xml:space="preserve">Centers for Disease Control and Prevention </w:t>
      </w:r>
    </w:p>
    <w:p w14:paraId="1B8CEBB2" w14:textId="77777777" w:rsidR="00B41BA5" w:rsidRPr="003F5173" w:rsidRDefault="00546A7C" w:rsidP="00A65538">
      <w:pPr>
        <w:spacing w:after="0" w:line="240" w:lineRule="auto"/>
        <w:rPr>
          <w:rFonts w:cs="Times New Roman"/>
          <w:szCs w:val="24"/>
        </w:rPr>
      </w:pPr>
      <w:r w:rsidRPr="003F5173">
        <w:rPr>
          <w:rFonts w:cs="Times New Roman"/>
          <w:szCs w:val="24"/>
        </w:rPr>
        <w:t>1600 Clifton Road NE</w:t>
      </w:r>
      <w:r w:rsidR="00B41BA5" w:rsidRPr="003F5173">
        <w:rPr>
          <w:rFonts w:cs="Times New Roman"/>
          <w:szCs w:val="24"/>
        </w:rPr>
        <w:t xml:space="preserve"> </w:t>
      </w:r>
    </w:p>
    <w:p w14:paraId="1B8CEBB3" w14:textId="77777777" w:rsidR="00B41BA5" w:rsidRPr="003F5173" w:rsidRDefault="00B41BA5" w:rsidP="00A65538">
      <w:pPr>
        <w:spacing w:after="0" w:line="240" w:lineRule="auto"/>
        <w:rPr>
          <w:rFonts w:cs="Times New Roman"/>
          <w:szCs w:val="24"/>
        </w:rPr>
      </w:pPr>
      <w:r w:rsidRPr="003F5173">
        <w:rPr>
          <w:rFonts w:cs="Times New Roman"/>
          <w:szCs w:val="24"/>
        </w:rPr>
        <w:t xml:space="preserve">Atlanta, Georgia 30333 </w:t>
      </w:r>
    </w:p>
    <w:p w14:paraId="1B8CEBB4" w14:textId="77777777" w:rsidR="00B41BA5" w:rsidRPr="003F5173" w:rsidRDefault="00B41BA5" w:rsidP="00A65538">
      <w:pPr>
        <w:spacing w:after="0" w:line="240" w:lineRule="auto"/>
        <w:rPr>
          <w:rFonts w:cs="Times New Roman"/>
          <w:szCs w:val="24"/>
        </w:rPr>
      </w:pPr>
      <w:r w:rsidRPr="003F5173">
        <w:rPr>
          <w:rFonts w:cs="Times New Roman"/>
          <w:szCs w:val="24"/>
        </w:rPr>
        <w:t xml:space="preserve">Phone: (404) 718-1616 </w:t>
      </w:r>
    </w:p>
    <w:p w14:paraId="1B8CEBB5" w14:textId="77777777" w:rsidR="00B41BA5" w:rsidRPr="003F5173" w:rsidRDefault="00B41BA5" w:rsidP="00A65538">
      <w:pPr>
        <w:spacing w:after="0" w:line="240" w:lineRule="auto"/>
        <w:rPr>
          <w:rFonts w:cs="Times New Roman"/>
          <w:szCs w:val="24"/>
        </w:rPr>
      </w:pPr>
      <w:r w:rsidRPr="003F5173">
        <w:rPr>
          <w:rFonts w:cs="Times New Roman"/>
          <w:szCs w:val="24"/>
        </w:rPr>
        <w:t>Email: llj3@cdc.gov</w:t>
      </w:r>
      <w:bookmarkStart w:id="0" w:name="_GoBack"/>
      <w:bookmarkEnd w:id="0"/>
    </w:p>
    <w:sdt>
      <w:sdtPr>
        <w:rPr>
          <w:rFonts w:ascii="Times New Roman" w:eastAsiaTheme="minorHAnsi" w:hAnsi="Times New Roman" w:cs="Times New Roman"/>
          <w:b/>
          <w:color w:val="auto"/>
          <w:sz w:val="24"/>
          <w:szCs w:val="22"/>
        </w:rPr>
        <w:id w:val="-1145501541"/>
        <w:docPartObj>
          <w:docPartGallery w:val="Table of Contents"/>
          <w:docPartUnique/>
        </w:docPartObj>
      </w:sdtPr>
      <w:sdtEndPr>
        <w:rPr>
          <w:bCs/>
          <w:noProof/>
          <w:szCs w:val="24"/>
        </w:rPr>
      </w:sdtEndPr>
      <w:sdtContent>
        <w:p w14:paraId="1B8CEBB6" w14:textId="77777777" w:rsidR="00B41BA5" w:rsidRPr="00B11385" w:rsidRDefault="00B41BA5" w:rsidP="00A65538">
          <w:pPr>
            <w:pStyle w:val="TOCHeading"/>
            <w:tabs>
              <w:tab w:val="left" w:pos="3450"/>
            </w:tabs>
            <w:spacing w:line="240" w:lineRule="auto"/>
            <w:jc w:val="center"/>
            <w:rPr>
              <w:rFonts w:ascii="Times New Roman" w:hAnsi="Times New Roman" w:cs="Times New Roman"/>
              <w:b/>
              <w:color w:val="auto"/>
            </w:rPr>
          </w:pPr>
          <w:r w:rsidRPr="00B11385">
            <w:rPr>
              <w:rFonts w:ascii="Times New Roman" w:hAnsi="Times New Roman" w:cs="Times New Roman"/>
              <w:b/>
              <w:color w:val="auto"/>
            </w:rPr>
            <w:t>Table of Contents</w:t>
          </w:r>
        </w:p>
        <w:p w14:paraId="1B8CEBB7" w14:textId="77777777" w:rsidR="00B41BA5" w:rsidRPr="00A65538" w:rsidRDefault="00B41BA5" w:rsidP="00A65538">
          <w:pPr>
            <w:spacing w:line="240" w:lineRule="auto"/>
            <w:rPr>
              <w:rFonts w:cs="Times New Roman"/>
              <w:szCs w:val="24"/>
            </w:rPr>
          </w:pPr>
        </w:p>
        <w:p w14:paraId="1B8CEBB8" w14:textId="77777777" w:rsidR="00B41BA5" w:rsidRPr="00A65538" w:rsidRDefault="00B41BA5" w:rsidP="00A65538">
          <w:pPr>
            <w:pStyle w:val="TOC1"/>
            <w:tabs>
              <w:tab w:val="left" w:pos="440"/>
              <w:tab w:val="right" w:leader="dot" w:pos="10070"/>
            </w:tabs>
            <w:spacing w:line="240" w:lineRule="auto"/>
            <w:rPr>
              <w:rFonts w:cs="Times New Roman"/>
              <w:noProof/>
              <w:szCs w:val="24"/>
            </w:rPr>
          </w:pPr>
          <w:r w:rsidRPr="00A65538">
            <w:rPr>
              <w:rFonts w:cs="Times New Roman"/>
              <w:szCs w:val="24"/>
            </w:rPr>
            <w:fldChar w:fldCharType="begin"/>
          </w:r>
          <w:r w:rsidRPr="00A65538">
            <w:rPr>
              <w:rFonts w:cs="Times New Roman"/>
              <w:szCs w:val="24"/>
            </w:rPr>
            <w:instrText xml:space="preserve"> TOC \o "1-3" \h \z \u </w:instrText>
          </w:r>
          <w:r w:rsidRPr="00A65538">
            <w:rPr>
              <w:rFonts w:cs="Times New Roman"/>
              <w:szCs w:val="24"/>
            </w:rPr>
            <w:fldChar w:fldCharType="separate"/>
          </w:r>
          <w:hyperlink w:anchor="_Toc441569170" w:history="1">
            <w:r w:rsidRPr="00A65538">
              <w:rPr>
                <w:rStyle w:val="Hyperlink"/>
                <w:rFonts w:cs="Times New Roman"/>
                <w:noProof/>
                <w:color w:val="auto"/>
                <w:szCs w:val="24"/>
              </w:rPr>
              <w:t>1.</w:t>
            </w:r>
            <w:r w:rsidRPr="00A65538">
              <w:rPr>
                <w:rFonts w:cs="Times New Roman"/>
                <w:noProof/>
                <w:szCs w:val="24"/>
              </w:rPr>
              <w:tab/>
            </w:r>
            <w:r w:rsidRPr="00A65538">
              <w:rPr>
                <w:rStyle w:val="Hyperlink"/>
                <w:rFonts w:cs="Times New Roman"/>
                <w:noProof/>
                <w:color w:val="auto"/>
                <w:szCs w:val="24"/>
              </w:rPr>
              <w:t>Respondent Universe and Sampling Methods</w:t>
            </w:r>
            <w:r w:rsidRPr="00A65538">
              <w:rPr>
                <w:rFonts w:cs="Times New Roman"/>
                <w:noProof/>
                <w:webHidden/>
                <w:szCs w:val="24"/>
              </w:rPr>
              <w:tab/>
            </w:r>
            <w:r w:rsidRPr="00A65538">
              <w:rPr>
                <w:rFonts w:cs="Times New Roman"/>
                <w:noProof/>
                <w:webHidden/>
                <w:szCs w:val="24"/>
              </w:rPr>
              <w:fldChar w:fldCharType="begin"/>
            </w:r>
            <w:r w:rsidRPr="00A65538">
              <w:rPr>
                <w:rFonts w:cs="Times New Roman"/>
                <w:noProof/>
                <w:webHidden/>
                <w:szCs w:val="24"/>
              </w:rPr>
              <w:instrText xml:space="preserve"> PAGEREF _Toc441569170 \h </w:instrText>
            </w:r>
            <w:r w:rsidRPr="00A65538">
              <w:rPr>
                <w:rFonts w:cs="Times New Roman"/>
                <w:noProof/>
                <w:webHidden/>
                <w:szCs w:val="24"/>
              </w:rPr>
            </w:r>
            <w:r w:rsidRPr="00A65538">
              <w:rPr>
                <w:rFonts w:cs="Times New Roman"/>
                <w:noProof/>
                <w:webHidden/>
                <w:szCs w:val="24"/>
              </w:rPr>
              <w:fldChar w:fldCharType="separate"/>
            </w:r>
            <w:r w:rsidR="0065140F">
              <w:rPr>
                <w:rFonts w:cs="Times New Roman"/>
                <w:noProof/>
                <w:webHidden/>
                <w:szCs w:val="24"/>
              </w:rPr>
              <w:t>2</w:t>
            </w:r>
            <w:r w:rsidRPr="00A65538">
              <w:rPr>
                <w:rFonts w:cs="Times New Roman"/>
                <w:noProof/>
                <w:webHidden/>
                <w:szCs w:val="24"/>
              </w:rPr>
              <w:fldChar w:fldCharType="end"/>
            </w:r>
          </w:hyperlink>
        </w:p>
        <w:p w14:paraId="1B8CEBB9" w14:textId="77777777" w:rsidR="00B41BA5" w:rsidRPr="00A65538" w:rsidRDefault="0065140F" w:rsidP="00A65538">
          <w:pPr>
            <w:pStyle w:val="TOC1"/>
            <w:tabs>
              <w:tab w:val="left" w:pos="440"/>
              <w:tab w:val="right" w:leader="dot" w:pos="10070"/>
            </w:tabs>
            <w:spacing w:line="240" w:lineRule="auto"/>
            <w:rPr>
              <w:rFonts w:cs="Times New Roman"/>
              <w:noProof/>
              <w:szCs w:val="24"/>
            </w:rPr>
          </w:pPr>
          <w:hyperlink w:anchor="_Toc441569171" w:history="1">
            <w:r w:rsidR="00B41BA5" w:rsidRPr="00A65538">
              <w:rPr>
                <w:rStyle w:val="Hyperlink"/>
                <w:rFonts w:cs="Times New Roman"/>
                <w:noProof/>
                <w:color w:val="auto"/>
                <w:szCs w:val="24"/>
              </w:rPr>
              <w:t>2.</w:t>
            </w:r>
            <w:r w:rsidR="00B41BA5" w:rsidRPr="00A65538">
              <w:rPr>
                <w:rFonts w:cs="Times New Roman"/>
                <w:noProof/>
                <w:szCs w:val="24"/>
              </w:rPr>
              <w:tab/>
            </w:r>
            <w:r w:rsidR="00B41BA5" w:rsidRPr="00A65538">
              <w:rPr>
                <w:rStyle w:val="Hyperlink"/>
                <w:rFonts w:cs="Times New Roman"/>
                <w:noProof/>
                <w:color w:val="auto"/>
                <w:szCs w:val="24"/>
              </w:rPr>
              <w:t>Procedures for the Collection of Information</w:t>
            </w:r>
            <w:r w:rsidR="00B41BA5" w:rsidRPr="00A65538">
              <w:rPr>
                <w:rFonts w:cs="Times New Roman"/>
                <w:noProof/>
                <w:webHidden/>
                <w:szCs w:val="24"/>
              </w:rPr>
              <w:tab/>
            </w:r>
            <w:r w:rsidR="00B41BA5" w:rsidRPr="00A65538">
              <w:rPr>
                <w:rFonts w:cs="Times New Roman"/>
                <w:noProof/>
                <w:webHidden/>
                <w:szCs w:val="24"/>
              </w:rPr>
              <w:fldChar w:fldCharType="begin"/>
            </w:r>
            <w:r w:rsidR="00B41BA5" w:rsidRPr="00A65538">
              <w:rPr>
                <w:rFonts w:cs="Times New Roman"/>
                <w:noProof/>
                <w:webHidden/>
                <w:szCs w:val="24"/>
              </w:rPr>
              <w:instrText xml:space="preserve"> PAGEREF _Toc441569171 \h </w:instrText>
            </w:r>
            <w:r w:rsidR="00B41BA5" w:rsidRPr="00A65538">
              <w:rPr>
                <w:rFonts w:cs="Times New Roman"/>
                <w:noProof/>
                <w:webHidden/>
                <w:szCs w:val="24"/>
              </w:rPr>
            </w:r>
            <w:r w:rsidR="00B41BA5" w:rsidRPr="00A65538">
              <w:rPr>
                <w:rFonts w:cs="Times New Roman"/>
                <w:noProof/>
                <w:webHidden/>
                <w:szCs w:val="24"/>
              </w:rPr>
              <w:fldChar w:fldCharType="separate"/>
            </w:r>
            <w:r>
              <w:rPr>
                <w:rFonts w:cs="Times New Roman"/>
                <w:noProof/>
                <w:webHidden/>
                <w:szCs w:val="24"/>
              </w:rPr>
              <w:t>2</w:t>
            </w:r>
            <w:r w:rsidR="00B41BA5" w:rsidRPr="00A65538">
              <w:rPr>
                <w:rFonts w:cs="Times New Roman"/>
                <w:noProof/>
                <w:webHidden/>
                <w:szCs w:val="24"/>
              </w:rPr>
              <w:fldChar w:fldCharType="end"/>
            </w:r>
          </w:hyperlink>
        </w:p>
        <w:p w14:paraId="1B8CEBBA" w14:textId="77777777" w:rsidR="00B41BA5" w:rsidRPr="00A65538" w:rsidRDefault="0065140F" w:rsidP="00A65538">
          <w:pPr>
            <w:pStyle w:val="TOC1"/>
            <w:tabs>
              <w:tab w:val="left" w:pos="440"/>
              <w:tab w:val="right" w:leader="dot" w:pos="10070"/>
            </w:tabs>
            <w:spacing w:line="240" w:lineRule="auto"/>
            <w:rPr>
              <w:rFonts w:cs="Times New Roman"/>
              <w:noProof/>
              <w:szCs w:val="24"/>
            </w:rPr>
          </w:pPr>
          <w:hyperlink w:anchor="_Toc441569172" w:history="1">
            <w:r w:rsidR="00B41BA5" w:rsidRPr="00A65538">
              <w:rPr>
                <w:rStyle w:val="Hyperlink"/>
                <w:rFonts w:cs="Times New Roman"/>
                <w:noProof/>
                <w:color w:val="auto"/>
                <w:szCs w:val="24"/>
              </w:rPr>
              <w:t>3.</w:t>
            </w:r>
            <w:r w:rsidR="00B41BA5" w:rsidRPr="00A65538">
              <w:rPr>
                <w:rFonts w:cs="Times New Roman"/>
                <w:noProof/>
                <w:szCs w:val="24"/>
              </w:rPr>
              <w:tab/>
            </w:r>
            <w:r w:rsidR="00B41BA5" w:rsidRPr="00A65538">
              <w:rPr>
                <w:rStyle w:val="Hyperlink"/>
                <w:rFonts w:cs="Times New Roman"/>
                <w:noProof/>
                <w:color w:val="auto"/>
                <w:szCs w:val="24"/>
              </w:rPr>
              <w:t>Methods to Maximize Response Rates and Deal with No Response</w:t>
            </w:r>
            <w:r w:rsidR="00B41BA5" w:rsidRPr="00A65538">
              <w:rPr>
                <w:rFonts w:cs="Times New Roman"/>
                <w:noProof/>
                <w:webHidden/>
                <w:szCs w:val="24"/>
              </w:rPr>
              <w:tab/>
            </w:r>
            <w:r w:rsidR="00B41BA5" w:rsidRPr="00A65538">
              <w:rPr>
                <w:rFonts w:cs="Times New Roman"/>
                <w:noProof/>
                <w:webHidden/>
                <w:szCs w:val="24"/>
              </w:rPr>
              <w:fldChar w:fldCharType="begin"/>
            </w:r>
            <w:r w:rsidR="00B41BA5" w:rsidRPr="00A65538">
              <w:rPr>
                <w:rFonts w:cs="Times New Roman"/>
                <w:noProof/>
                <w:webHidden/>
                <w:szCs w:val="24"/>
              </w:rPr>
              <w:instrText xml:space="preserve"> PAGEREF _Toc441569172 \h </w:instrText>
            </w:r>
            <w:r w:rsidR="00B41BA5" w:rsidRPr="00A65538">
              <w:rPr>
                <w:rFonts w:cs="Times New Roman"/>
                <w:noProof/>
                <w:webHidden/>
                <w:szCs w:val="24"/>
              </w:rPr>
            </w:r>
            <w:r w:rsidR="00B41BA5" w:rsidRPr="00A65538">
              <w:rPr>
                <w:rFonts w:cs="Times New Roman"/>
                <w:noProof/>
                <w:webHidden/>
                <w:szCs w:val="24"/>
              </w:rPr>
              <w:fldChar w:fldCharType="separate"/>
            </w:r>
            <w:r>
              <w:rPr>
                <w:rFonts w:cs="Times New Roman"/>
                <w:noProof/>
                <w:webHidden/>
                <w:szCs w:val="24"/>
              </w:rPr>
              <w:t>4</w:t>
            </w:r>
            <w:r w:rsidR="00B41BA5" w:rsidRPr="00A65538">
              <w:rPr>
                <w:rFonts w:cs="Times New Roman"/>
                <w:noProof/>
                <w:webHidden/>
                <w:szCs w:val="24"/>
              </w:rPr>
              <w:fldChar w:fldCharType="end"/>
            </w:r>
          </w:hyperlink>
        </w:p>
        <w:p w14:paraId="1B8CEBBB" w14:textId="77777777" w:rsidR="00B41BA5" w:rsidRPr="00A65538" w:rsidRDefault="0065140F" w:rsidP="00A65538">
          <w:pPr>
            <w:pStyle w:val="TOC1"/>
            <w:tabs>
              <w:tab w:val="left" w:pos="440"/>
              <w:tab w:val="right" w:leader="dot" w:pos="10070"/>
            </w:tabs>
            <w:spacing w:line="240" w:lineRule="auto"/>
            <w:rPr>
              <w:rFonts w:cs="Times New Roman"/>
              <w:noProof/>
              <w:szCs w:val="24"/>
            </w:rPr>
          </w:pPr>
          <w:hyperlink w:anchor="_Toc441569173" w:history="1">
            <w:r w:rsidR="00B41BA5" w:rsidRPr="00A65538">
              <w:rPr>
                <w:rStyle w:val="Hyperlink"/>
                <w:rFonts w:cs="Times New Roman"/>
                <w:noProof/>
                <w:color w:val="auto"/>
                <w:szCs w:val="24"/>
              </w:rPr>
              <w:t>4.</w:t>
            </w:r>
            <w:r w:rsidR="00B41BA5" w:rsidRPr="00A65538">
              <w:rPr>
                <w:rFonts w:cs="Times New Roman"/>
                <w:noProof/>
                <w:szCs w:val="24"/>
              </w:rPr>
              <w:tab/>
            </w:r>
            <w:r w:rsidR="00B41BA5" w:rsidRPr="00A65538">
              <w:rPr>
                <w:rStyle w:val="Hyperlink"/>
                <w:rFonts w:cs="Times New Roman"/>
                <w:noProof/>
                <w:color w:val="auto"/>
                <w:szCs w:val="24"/>
              </w:rPr>
              <w:t>Tests of Procedures or Methods to be Undertaken</w:t>
            </w:r>
            <w:r w:rsidR="00B41BA5" w:rsidRPr="00A65538">
              <w:rPr>
                <w:rFonts w:cs="Times New Roman"/>
                <w:noProof/>
                <w:webHidden/>
                <w:szCs w:val="24"/>
              </w:rPr>
              <w:tab/>
            </w:r>
            <w:r w:rsidR="00B41BA5" w:rsidRPr="00A65538">
              <w:rPr>
                <w:rFonts w:cs="Times New Roman"/>
                <w:noProof/>
                <w:webHidden/>
                <w:szCs w:val="24"/>
              </w:rPr>
              <w:fldChar w:fldCharType="begin"/>
            </w:r>
            <w:r w:rsidR="00B41BA5" w:rsidRPr="00A65538">
              <w:rPr>
                <w:rFonts w:cs="Times New Roman"/>
                <w:noProof/>
                <w:webHidden/>
                <w:szCs w:val="24"/>
              </w:rPr>
              <w:instrText xml:space="preserve"> PAGEREF _Toc441569173 \h </w:instrText>
            </w:r>
            <w:r w:rsidR="00B41BA5" w:rsidRPr="00A65538">
              <w:rPr>
                <w:rFonts w:cs="Times New Roman"/>
                <w:noProof/>
                <w:webHidden/>
                <w:szCs w:val="24"/>
              </w:rPr>
            </w:r>
            <w:r w:rsidR="00B41BA5" w:rsidRPr="00A65538">
              <w:rPr>
                <w:rFonts w:cs="Times New Roman"/>
                <w:noProof/>
                <w:webHidden/>
                <w:szCs w:val="24"/>
              </w:rPr>
              <w:fldChar w:fldCharType="separate"/>
            </w:r>
            <w:r>
              <w:rPr>
                <w:rFonts w:cs="Times New Roman"/>
                <w:noProof/>
                <w:webHidden/>
                <w:szCs w:val="24"/>
              </w:rPr>
              <w:t>4</w:t>
            </w:r>
            <w:r w:rsidR="00B41BA5" w:rsidRPr="00A65538">
              <w:rPr>
                <w:rFonts w:cs="Times New Roman"/>
                <w:noProof/>
                <w:webHidden/>
                <w:szCs w:val="24"/>
              </w:rPr>
              <w:fldChar w:fldCharType="end"/>
            </w:r>
          </w:hyperlink>
        </w:p>
        <w:p w14:paraId="1B8CEBBC" w14:textId="77777777" w:rsidR="00B41BA5" w:rsidRPr="00A65538" w:rsidRDefault="0065140F" w:rsidP="00A65538">
          <w:pPr>
            <w:pStyle w:val="TOC1"/>
            <w:tabs>
              <w:tab w:val="left" w:pos="440"/>
              <w:tab w:val="right" w:leader="dot" w:pos="10070"/>
            </w:tabs>
            <w:spacing w:line="240" w:lineRule="auto"/>
            <w:rPr>
              <w:rFonts w:cs="Times New Roman"/>
              <w:noProof/>
              <w:szCs w:val="24"/>
            </w:rPr>
          </w:pPr>
          <w:hyperlink w:anchor="_Toc441569174" w:history="1">
            <w:r w:rsidR="00B41BA5" w:rsidRPr="00A65538">
              <w:rPr>
                <w:rStyle w:val="Hyperlink"/>
                <w:rFonts w:cs="Times New Roman"/>
                <w:noProof/>
                <w:color w:val="auto"/>
                <w:szCs w:val="24"/>
              </w:rPr>
              <w:t>5.</w:t>
            </w:r>
            <w:r w:rsidR="00B41BA5" w:rsidRPr="00A65538">
              <w:rPr>
                <w:rFonts w:cs="Times New Roman"/>
                <w:noProof/>
                <w:szCs w:val="24"/>
              </w:rPr>
              <w:tab/>
            </w:r>
            <w:r w:rsidR="00B41BA5" w:rsidRPr="00A65538">
              <w:rPr>
                <w:rStyle w:val="Hyperlink"/>
                <w:rFonts w:cs="Times New Roman"/>
                <w:noProof/>
                <w:color w:val="auto"/>
                <w:szCs w:val="24"/>
              </w:rPr>
              <w:t>Individuals Consulted on Statistical Aspects and Individuals Collecting and/or Analyzing Data</w:t>
            </w:r>
            <w:r w:rsidR="00B41BA5" w:rsidRPr="00A65538">
              <w:rPr>
                <w:rFonts w:cs="Times New Roman"/>
                <w:noProof/>
                <w:webHidden/>
                <w:szCs w:val="24"/>
              </w:rPr>
              <w:tab/>
            </w:r>
            <w:r w:rsidR="00B41BA5" w:rsidRPr="00A65538">
              <w:rPr>
                <w:rFonts w:cs="Times New Roman"/>
                <w:noProof/>
                <w:webHidden/>
                <w:szCs w:val="24"/>
              </w:rPr>
              <w:fldChar w:fldCharType="begin"/>
            </w:r>
            <w:r w:rsidR="00B41BA5" w:rsidRPr="00A65538">
              <w:rPr>
                <w:rFonts w:cs="Times New Roman"/>
                <w:noProof/>
                <w:webHidden/>
                <w:szCs w:val="24"/>
              </w:rPr>
              <w:instrText xml:space="preserve"> PAGEREF _Toc441569174 \h </w:instrText>
            </w:r>
            <w:r w:rsidR="00B41BA5" w:rsidRPr="00A65538">
              <w:rPr>
                <w:rFonts w:cs="Times New Roman"/>
                <w:noProof/>
                <w:webHidden/>
                <w:szCs w:val="24"/>
              </w:rPr>
            </w:r>
            <w:r w:rsidR="00B41BA5" w:rsidRPr="00A65538">
              <w:rPr>
                <w:rFonts w:cs="Times New Roman"/>
                <w:noProof/>
                <w:webHidden/>
                <w:szCs w:val="24"/>
              </w:rPr>
              <w:fldChar w:fldCharType="separate"/>
            </w:r>
            <w:r>
              <w:rPr>
                <w:rFonts w:cs="Times New Roman"/>
                <w:noProof/>
                <w:webHidden/>
                <w:szCs w:val="24"/>
              </w:rPr>
              <w:t>4</w:t>
            </w:r>
            <w:r w:rsidR="00B41BA5" w:rsidRPr="00A65538">
              <w:rPr>
                <w:rFonts w:cs="Times New Roman"/>
                <w:noProof/>
                <w:webHidden/>
                <w:szCs w:val="24"/>
              </w:rPr>
              <w:fldChar w:fldCharType="end"/>
            </w:r>
          </w:hyperlink>
        </w:p>
        <w:p w14:paraId="1B8CEBBD" w14:textId="77777777" w:rsidR="00B41BA5" w:rsidRPr="00A65538" w:rsidRDefault="00B41BA5" w:rsidP="00A65538">
          <w:pPr>
            <w:spacing w:line="240" w:lineRule="auto"/>
            <w:rPr>
              <w:rFonts w:cs="Times New Roman"/>
              <w:szCs w:val="24"/>
            </w:rPr>
          </w:pPr>
          <w:r w:rsidRPr="00A65538">
            <w:rPr>
              <w:rFonts w:cs="Times New Roman"/>
              <w:b/>
              <w:bCs/>
              <w:noProof/>
              <w:szCs w:val="24"/>
            </w:rPr>
            <w:fldChar w:fldCharType="end"/>
          </w:r>
        </w:p>
      </w:sdtContent>
    </w:sdt>
    <w:p w14:paraId="1B8CEBC0" w14:textId="22978C61" w:rsidR="00B41BA5" w:rsidRPr="00157120" w:rsidRDefault="00B41BA5" w:rsidP="00157120">
      <w:pPr>
        <w:pStyle w:val="Heading1"/>
        <w:spacing w:after="240"/>
        <w:ind w:left="360"/>
        <w:rPr>
          <w:rFonts w:cs="Times New Roman"/>
          <w:szCs w:val="24"/>
        </w:rPr>
      </w:pPr>
      <w:bookmarkStart w:id="1" w:name="_Toc441569170"/>
      <w:r w:rsidRPr="00157120">
        <w:rPr>
          <w:rFonts w:cs="Times New Roman"/>
          <w:szCs w:val="24"/>
        </w:rPr>
        <w:t>Respondent Universe and Sampling Methods</w:t>
      </w:r>
      <w:bookmarkEnd w:id="1"/>
    </w:p>
    <w:p w14:paraId="3F82D912" w14:textId="3C25F531" w:rsidR="008D6E05" w:rsidRPr="008D6E05" w:rsidRDefault="008D6E05" w:rsidP="008D6E05">
      <w:pPr>
        <w:spacing w:line="240" w:lineRule="auto"/>
        <w:rPr>
          <w:rFonts w:cs="Times New Roman"/>
        </w:rPr>
      </w:pPr>
      <w:r w:rsidRPr="008D6E05">
        <w:rPr>
          <w:rFonts w:cs="Times New Roman"/>
        </w:rPr>
        <w:t>This is a descriptive study conducted in the setting of an emerging public health threat.  It is impossible to predict or ensure enrollment of a specific number of participants.  Given the dearth of existing information on viral shedding, enrollment of even a few participants will substantially increase knowledge of the topic and lead to improved public health recommendations.  If possible, enrollment of larger number of participants is desirable as it will allow more precise estimates of the frequency, consistency, and duration of viral shedding. For practical purposes, study</w:t>
      </w:r>
      <w:r w:rsidR="001929B7">
        <w:rPr>
          <w:rFonts w:cs="Times New Roman"/>
        </w:rPr>
        <w:t xml:space="preserve"> enrollment will be capped at 25</w:t>
      </w:r>
      <w:r w:rsidRPr="008D6E05">
        <w:rPr>
          <w:rFonts w:cs="Times New Roman"/>
        </w:rPr>
        <w:t xml:space="preserve">0 participants.  Assuming full enrollment and participation, this sample size would detect a prevalence of viral shedding of 5% with a 95% confidence interval of +/- </w:t>
      </w:r>
      <w:r w:rsidR="001929B7">
        <w:rPr>
          <w:rFonts w:cs="Times New Roman"/>
        </w:rPr>
        <w:t>3</w:t>
      </w:r>
      <w:r w:rsidRPr="008D6E05">
        <w:rPr>
          <w:rFonts w:cs="Times New Roman"/>
        </w:rPr>
        <w:t xml:space="preserve">% at any specific time point in the study.    </w:t>
      </w:r>
    </w:p>
    <w:p w14:paraId="3A1FC4EC" w14:textId="77777777" w:rsidR="00157120" w:rsidRPr="00157120" w:rsidRDefault="00157120" w:rsidP="008D6E05">
      <w:pPr>
        <w:spacing w:line="240" w:lineRule="auto"/>
        <w:rPr>
          <w:rFonts w:cs="Times New Roman"/>
        </w:rPr>
      </w:pPr>
      <w:r w:rsidRPr="00157120">
        <w:rPr>
          <w:rFonts w:cs="Times New Roman"/>
        </w:rPr>
        <w:t xml:space="preserve">The study population will include adult males who were symptomatic with a confirmed Zika virus infection within the past 6 months, and who reside within the continental United States. </w:t>
      </w:r>
    </w:p>
    <w:p w14:paraId="65509E52" w14:textId="5C9CCC23" w:rsidR="006F27C5" w:rsidRPr="00157120" w:rsidRDefault="00157120" w:rsidP="00157120">
      <w:pPr>
        <w:spacing w:before="240" w:after="0" w:line="240" w:lineRule="auto"/>
        <w:contextualSpacing/>
        <w:rPr>
          <w:rFonts w:cs="Times New Roman"/>
          <w:szCs w:val="24"/>
        </w:rPr>
      </w:pPr>
      <w:r w:rsidRPr="00157120">
        <w:rPr>
          <w:rFonts w:cs="Times New Roman"/>
          <w:szCs w:val="24"/>
        </w:rPr>
        <w:t>A confirmed case of Zika virus infection is defined as Zika virus RNA detected in any body fluid by reverse transcription-polymerase chain reaction (RT-PCR), or Zika immunoglobulin (Ig) M antibodies in serum by enzyme-linked immunosorbent assay (ELISA) with ≥4-fold difference between Zika and dengue virus neutralizing antibody titers by plaque reduction neutralization testing (PRNT).</w:t>
      </w:r>
    </w:p>
    <w:p w14:paraId="0ECCA9DA" w14:textId="77777777" w:rsidR="00157120" w:rsidRPr="00157120" w:rsidRDefault="00157120" w:rsidP="00157120">
      <w:pPr>
        <w:spacing w:before="240" w:after="0" w:line="240" w:lineRule="auto"/>
        <w:contextualSpacing/>
        <w:rPr>
          <w:rFonts w:cs="Times New Roman"/>
          <w:szCs w:val="24"/>
        </w:rPr>
      </w:pPr>
    </w:p>
    <w:p w14:paraId="472F0450" w14:textId="3FB632EE" w:rsidR="006F27C5" w:rsidRPr="00157120" w:rsidRDefault="006F27C5" w:rsidP="00157120">
      <w:pPr>
        <w:spacing w:before="240" w:after="0" w:line="240" w:lineRule="auto"/>
        <w:contextualSpacing/>
        <w:rPr>
          <w:rFonts w:cs="Times New Roman"/>
          <w:i/>
          <w:szCs w:val="24"/>
        </w:rPr>
      </w:pPr>
      <w:r w:rsidRPr="00157120">
        <w:rPr>
          <w:rFonts w:cs="Times New Roman"/>
          <w:i/>
          <w:szCs w:val="24"/>
        </w:rPr>
        <w:t xml:space="preserve">Inclusion criteria: </w:t>
      </w:r>
      <w:r w:rsidR="00157120" w:rsidRPr="00157120">
        <w:rPr>
          <w:rFonts w:cs="Times New Roman"/>
          <w:szCs w:val="24"/>
        </w:rPr>
        <w:t>Adult males 18 years and older with confirmed Zika virus disease (onset within the past 6 months).</w:t>
      </w:r>
    </w:p>
    <w:p w14:paraId="61B9C21B" w14:textId="6E51F4F2" w:rsidR="006F27C5" w:rsidRPr="00157120" w:rsidRDefault="006F27C5" w:rsidP="00157120">
      <w:pPr>
        <w:spacing w:after="0" w:line="240" w:lineRule="auto"/>
        <w:contextualSpacing/>
        <w:rPr>
          <w:rFonts w:cs="Times New Roman"/>
          <w:i/>
          <w:szCs w:val="24"/>
        </w:rPr>
      </w:pPr>
      <w:r w:rsidRPr="00157120">
        <w:rPr>
          <w:rFonts w:cs="Times New Roman"/>
          <w:i/>
          <w:szCs w:val="24"/>
        </w:rPr>
        <w:t xml:space="preserve">Exclusion criteria: </w:t>
      </w:r>
      <w:r w:rsidR="00157120" w:rsidRPr="00157120">
        <w:rPr>
          <w:rFonts w:cs="Times New Roman"/>
          <w:szCs w:val="24"/>
        </w:rPr>
        <w:t>Incarcerated individuals.</w:t>
      </w:r>
    </w:p>
    <w:p w14:paraId="72CB95E7" w14:textId="77777777" w:rsidR="006F27C5" w:rsidRPr="00157120" w:rsidRDefault="006F27C5" w:rsidP="00157120">
      <w:pPr>
        <w:spacing w:after="0" w:line="240" w:lineRule="auto"/>
        <w:contextualSpacing/>
        <w:rPr>
          <w:rFonts w:cs="Times New Roman"/>
          <w:szCs w:val="24"/>
        </w:rPr>
      </w:pPr>
    </w:p>
    <w:p w14:paraId="57A8052D" w14:textId="63347453" w:rsidR="00157120" w:rsidRPr="00157120" w:rsidRDefault="00157120" w:rsidP="00157120">
      <w:pPr>
        <w:spacing w:line="240" w:lineRule="auto"/>
        <w:rPr>
          <w:rFonts w:cs="Times New Roman"/>
        </w:rPr>
      </w:pPr>
      <w:bookmarkStart w:id="2" w:name="_Toc441569171"/>
      <w:r w:rsidRPr="00157120">
        <w:rPr>
          <w:rFonts w:cs="Times New Roman"/>
        </w:rPr>
        <w:t>Zika virus disease is a nationally notifiable condition.  CDC study staff will identify eligible potential participants through Zika surveillance efforts (</w:t>
      </w:r>
      <w:proofErr w:type="spellStart"/>
      <w:r w:rsidRPr="00157120">
        <w:rPr>
          <w:rFonts w:cs="Times New Roman"/>
        </w:rPr>
        <w:t>Zikatracker</w:t>
      </w:r>
      <w:proofErr w:type="spellEnd"/>
      <w:r w:rsidRPr="00157120">
        <w:rPr>
          <w:rFonts w:cs="Times New Roman"/>
        </w:rPr>
        <w:t xml:space="preserve"> or </w:t>
      </w:r>
      <w:proofErr w:type="spellStart"/>
      <w:r w:rsidRPr="00157120">
        <w:rPr>
          <w:rFonts w:cs="Times New Roman"/>
        </w:rPr>
        <w:t>ArboNET</w:t>
      </w:r>
      <w:proofErr w:type="spellEnd"/>
      <w:r w:rsidRPr="00157120">
        <w:rPr>
          <w:rFonts w:cs="Times New Roman"/>
        </w:rPr>
        <w:t xml:space="preserve">) or through diagnostic testing services performed at CDC Fort Collins.  For each case, they will contact the appropriate state (or jurisdiction) health department to request contact information (i.e. phone numbers) for the potential participant.  CDC study staff will then contact the </w:t>
      </w:r>
      <w:r w:rsidR="00DD55C0" w:rsidRPr="00157120">
        <w:rPr>
          <w:rFonts w:cs="Times New Roman"/>
        </w:rPr>
        <w:t>patient directly</w:t>
      </w:r>
      <w:r w:rsidRPr="00157120">
        <w:rPr>
          <w:rFonts w:cs="Times New Roman"/>
        </w:rPr>
        <w:t xml:space="preserve"> to explain the study and seek their consent to participate. Staff will call the case up to 6 times at the phone number provided.  They will leave a voicemail on the 3</w:t>
      </w:r>
      <w:r w:rsidRPr="00157120">
        <w:rPr>
          <w:rFonts w:cs="Times New Roman"/>
          <w:vertAlign w:val="superscript"/>
        </w:rPr>
        <w:t>rd</w:t>
      </w:r>
      <w:r w:rsidRPr="00157120">
        <w:rPr>
          <w:rFonts w:cs="Times New Roman"/>
        </w:rPr>
        <w:t xml:space="preserve"> and 4</w:t>
      </w:r>
      <w:r w:rsidRPr="00157120">
        <w:rPr>
          <w:rFonts w:cs="Times New Roman"/>
          <w:vertAlign w:val="superscript"/>
        </w:rPr>
        <w:t>th</w:t>
      </w:r>
      <w:r w:rsidRPr="00157120">
        <w:rPr>
          <w:rFonts w:cs="Times New Roman"/>
        </w:rPr>
        <w:t xml:space="preserve"> attempts. Calls will occur at different times of the day on different days of the week, to increase the likelihood of contact. If state or local health officials feel that they must be engaged with the research, appropriate IRB amendments and approval will be sought.   </w:t>
      </w:r>
    </w:p>
    <w:p w14:paraId="7544F240" w14:textId="3B6637A3" w:rsidR="00157120" w:rsidRPr="00274FB5" w:rsidRDefault="00157120" w:rsidP="00274FB5">
      <w:pPr>
        <w:spacing w:line="240" w:lineRule="auto"/>
        <w:rPr>
          <w:rFonts w:cs="Times New Roman"/>
        </w:rPr>
      </w:pPr>
      <w:r w:rsidRPr="00157120">
        <w:rPr>
          <w:rFonts w:cs="Times New Roman"/>
        </w:rPr>
        <w:t>Upon contact with the potential participant, CDC study staff will read a phone script (</w:t>
      </w:r>
      <w:r>
        <w:rPr>
          <w:rFonts w:cs="Times New Roman"/>
        </w:rPr>
        <w:t>Attachment</w:t>
      </w:r>
      <w:r w:rsidRPr="00157120">
        <w:rPr>
          <w:rFonts w:cs="Times New Roman"/>
        </w:rPr>
        <w:t xml:space="preserve"> </w:t>
      </w:r>
      <w:r>
        <w:rPr>
          <w:rFonts w:cs="Times New Roman"/>
        </w:rPr>
        <w:t>C</w:t>
      </w:r>
      <w:r w:rsidRPr="00157120">
        <w:rPr>
          <w:rFonts w:cs="Times New Roman"/>
        </w:rPr>
        <w:t xml:space="preserve">) to explain the study. The men will be told to ask any questions they may have regarding the study, and they will be told </w:t>
      </w:r>
      <w:r w:rsidRPr="00274FB5">
        <w:rPr>
          <w:rFonts w:cs="Times New Roman"/>
        </w:rPr>
        <w:t xml:space="preserve">they can withdraw from the study at any time. For men expressing interest in the study, staff will read the consent form and obtain verbal informed consent (Attachment C) over the phone. After verbal consent is obtained from the participant, a brief baseline questionnaire (Attachment C) that </w:t>
      </w:r>
      <w:r w:rsidRPr="00274FB5">
        <w:rPr>
          <w:rFonts w:cs="Times New Roman"/>
        </w:rPr>
        <w:lastRenderedPageBreak/>
        <w:t>includes questions on other contact means (phone</w:t>
      </w:r>
      <w:r w:rsidR="00832EE6">
        <w:rPr>
          <w:rFonts w:cs="Times New Roman"/>
        </w:rPr>
        <w:t>,</w:t>
      </w:r>
      <w:r w:rsidRPr="00274FB5">
        <w:rPr>
          <w:rFonts w:cs="Times New Roman"/>
        </w:rPr>
        <w:t xml:space="preserve"> email</w:t>
      </w:r>
      <w:r w:rsidR="00832EE6">
        <w:rPr>
          <w:rFonts w:cs="Times New Roman"/>
        </w:rPr>
        <w:t>, and text</w:t>
      </w:r>
      <w:r w:rsidRPr="00274FB5">
        <w:rPr>
          <w:rFonts w:cs="Times New Roman"/>
        </w:rPr>
        <w:t>) and initial symptoms will be administered.</w:t>
      </w:r>
    </w:p>
    <w:p w14:paraId="1F21C346" w14:textId="77777777" w:rsidR="003175E6" w:rsidRPr="00274FB5" w:rsidRDefault="00B41BA5" w:rsidP="00274FB5">
      <w:pPr>
        <w:pStyle w:val="Heading1"/>
        <w:spacing w:before="240" w:after="240"/>
        <w:ind w:left="360"/>
        <w:rPr>
          <w:rFonts w:cs="Times New Roman"/>
          <w:szCs w:val="24"/>
        </w:rPr>
      </w:pPr>
      <w:r w:rsidRPr="00274FB5">
        <w:rPr>
          <w:rFonts w:cs="Times New Roman"/>
          <w:szCs w:val="24"/>
        </w:rPr>
        <w:t>Procedures for the Collection of Information</w:t>
      </w:r>
      <w:bookmarkStart w:id="3" w:name="_Toc444443511"/>
      <w:bookmarkEnd w:id="2"/>
    </w:p>
    <w:bookmarkEnd w:id="3"/>
    <w:p w14:paraId="69AACF43" w14:textId="1E793D97" w:rsidR="00274FB5" w:rsidRPr="00274FB5" w:rsidRDefault="00274FB5" w:rsidP="00274FB5">
      <w:pPr>
        <w:tabs>
          <w:tab w:val="left" w:pos="1040"/>
        </w:tabs>
        <w:spacing w:line="240" w:lineRule="auto"/>
        <w:ind w:right="66"/>
        <w:rPr>
          <w:rFonts w:cs="Times New Roman"/>
        </w:rPr>
      </w:pPr>
      <w:r w:rsidRPr="00274FB5">
        <w:rPr>
          <w:rFonts w:cs="Times New Roman"/>
        </w:rPr>
        <w:t>As soon as possible after enrollment, t</w:t>
      </w:r>
      <w:r w:rsidRPr="00274FB5">
        <w:rPr>
          <w:rFonts w:eastAsia="Arial" w:cs="Times New Roman"/>
          <w:spacing w:val="1"/>
        </w:rPr>
        <w:t xml:space="preserve">he participant will be assigned an individual study ID number and mailed the first study kit.  This kit will </w:t>
      </w:r>
      <w:r w:rsidRPr="00274FB5">
        <w:rPr>
          <w:rFonts w:cs="Times New Roman"/>
        </w:rPr>
        <w:t>contain all collection and shipping materials (including cold packs and return postage-paid labels/stickers), and a copy of the consent form (</w:t>
      </w:r>
      <w:r>
        <w:rPr>
          <w:rFonts w:cs="Times New Roman"/>
        </w:rPr>
        <w:t>Attachment F</w:t>
      </w:r>
      <w:r w:rsidRPr="00274FB5">
        <w:rPr>
          <w:rFonts w:cs="Times New Roman"/>
        </w:rPr>
        <w:t>), general instructions (A</w:t>
      </w:r>
      <w:r>
        <w:rPr>
          <w:rFonts w:cs="Times New Roman"/>
        </w:rPr>
        <w:t>ttachment G</w:t>
      </w:r>
      <w:r w:rsidRPr="00274FB5">
        <w:rPr>
          <w:rFonts w:cs="Times New Roman"/>
        </w:rPr>
        <w:t>), urine and semen collection instructions (</w:t>
      </w:r>
      <w:r>
        <w:rPr>
          <w:rFonts w:cs="Times New Roman"/>
        </w:rPr>
        <w:t>Attachment E</w:t>
      </w:r>
      <w:r w:rsidRPr="00274FB5">
        <w:rPr>
          <w:rFonts w:cs="Times New Roman"/>
        </w:rPr>
        <w:t>), a brief questionnaire (</w:t>
      </w:r>
      <w:r>
        <w:rPr>
          <w:rFonts w:cs="Times New Roman"/>
        </w:rPr>
        <w:t>Attachment D</w:t>
      </w:r>
      <w:r w:rsidRPr="00274FB5">
        <w:rPr>
          <w:rFonts w:cs="Times New Roman"/>
        </w:rPr>
        <w:t>), and an FAQ sheet (A</w:t>
      </w:r>
      <w:r>
        <w:rPr>
          <w:rFonts w:cs="Times New Roman"/>
        </w:rPr>
        <w:t>ttachment H</w:t>
      </w:r>
      <w:r w:rsidRPr="00274FB5">
        <w:rPr>
          <w:rFonts w:cs="Times New Roman"/>
        </w:rPr>
        <w:t xml:space="preserve">).  </w:t>
      </w:r>
      <w:r w:rsidRPr="00274FB5">
        <w:rPr>
          <w:rFonts w:eastAsia="Arial" w:cs="Times New Roman"/>
          <w:spacing w:val="1"/>
        </w:rPr>
        <w:t xml:space="preserve">All collection materials will be pre-labeled with </w:t>
      </w:r>
      <w:r w:rsidRPr="00274FB5">
        <w:rPr>
          <w:rFonts w:cs="Times New Roman"/>
        </w:rPr>
        <w:t>the participant’s study ID number.  The participant will provide the date of self-collection for each specimen on the self-administered questionnaire (A</w:t>
      </w:r>
      <w:r>
        <w:rPr>
          <w:rFonts w:cs="Times New Roman"/>
        </w:rPr>
        <w:t>ttachment D</w:t>
      </w:r>
      <w:r w:rsidRPr="00274FB5">
        <w:rPr>
          <w:rFonts w:cs="Times New Roman"/>
        </w:rPr>
        <w:t>). If they have any questions, the information sheets (consent and FAQs) will direct them to a CDC study phone number and email address. In the general instructions (A</w:t>
      </w:r>
      <w:r>
        <w:rPr>
          <w:rFonts w:cs="Times New Roman"/>
        </w:rPr>
        <w:t>ttachment G</w:t>
      </w:r>
      <w:r w:rsidRPr="00274FB5">
        <w:rPr>
          <w:rFonts w:cs="Times New Roman"/>
        </w:rPr>
        <w:t>), they will be told how to simply repackage their specimens and questionnaire for return to CDC Fort Collins. They will be instructed to call a courier phone number after the package is sealed to schedule a home pickup.  They can then leave the package by their front door (or in a common mail area) and the package will be retrieved by the courier that day.</w:t>
      </w:r>
    </w:p>
    <w:p w14:paraId="5B966C99" w14:textId="77777777" w:rsidR="00274FB5" w:rsidRPr="00274FB5" w:rsidRDefault="00274FB5" w:rsidP="00274FB5">
      <w:pPr>
        <w:spacing w:line="240" w:lineRule="auto"/>
        <w:rPr>
          <w:rFonts w:eastAsia="Arial" w:cs="Times New Roman"/>
          <w:spacing w:val="1"/>
        </w:rPr>
      </w:pPr>
      <w:r w:rsidRPr="00274FB5">
        <w:rPr>
          <w:rFonts w:cs="Times New Roman"/>
        </w:rPr>
        <w:t xml:space="preserve">Participants will be asked to provide their first urine and semen specimens as soon as possible (Table 1) after receiving the sample collection kit at their home. Subsequent sample collections are meant to occur every 2 weeks thereafter during the 6 months post illness onset, up to a maximum of 12 submitted specimens.  </w:t>
      </w:r>
    </w:p>
    <w:p w14:paraId="51913700" w14:textId="30CDEC86" w:rsidR="00274FB5" w:rsidRPr="00274FB5" w:rsidRDefault="00274FB5" w:rsidP="00274FB5">
      <w:pPr>
        <w:tabs>
          <w:tab w:val="left" w:pos="1040"/>
        </w:tabs>
        <w:spacing w:line="240" w:lineRule="auto"/>
        <w:ind w:right="66"/>
        <w:rPr>
          <w:rFonts w:cs="Times New Roman"/>
        </w:rPr>
      </w:pPr>
      <w:r w:rsidRPr="00274FB5">
        <w:rPr>
          <w:rFonts w:cs="Times New Roman"/>
        </w:rPr>
        <w:t>The participant will be asked to complete a brief (7 question) self-administered questionnaire (</w:t>
      </w:r>
      <w:r>
        <w:rPr>
          <w:rFonts w:cs="Times New Roman"/>
        </w:rPr>
        <w:t>Attachment D</w:t>
      </w:r>
      <w:r w:rsidRPr="00274FB5">
        <w:rPr>
          <w:rFonts w:cs="Times New Roman"/>
        </w:rPr>
        <w:t>) to return with each specimen collection kit.  The questionnaire will pertain to current urogenital symptoms (blood or pain), as well as frequency of ejaculations in the previous week, and time since last ejaculation.</w:t>
      </w:r>
    </w:p>
    <w:p w14:paraId="2208DE22" w14:textId="77777777" w:rsidR="00274FB5" w:rsidRPr="00274FB5" w:rsidRDefault="00274FB5" w:rsidP="00274FB5">
      <w:pPr>
        <w:tabs>
          <w:tab w:val="left" w:pos="1040"/>
        </w:tabs>
        <w:spacing w:line="240" w:lineRule="auto"/>
        <w:ind w:right="66"/>
        <w:rPr>
          <w:rFonts w:cs="Times New Roman"/>
        </w:rPr>
      </w:pPr>
      <w:r w:rsidRPr="00274FB5">
        <w:rPr>
          <w:rFonts w:cs="Times New Roman"/>
        </w:rPr>
        <w:t>Subsequent sample collection kits will contain the all the same materials as the first kit (except a consent form copy).  In addition, these kits will contain a $50 gift card to compensate the participant for the time and effort spent on their previous sample collection and questionnaire.</w:t>
      </w:r>
    </w:p>
    <w:p w14:paraId="7B934455" w14:textId="2FC694F6" w:rsidR="00274FB5" w:rsidRPr="00274FB5" w:rsidRDefault="00274FB5" w:rsidP="00274FB5">
      <w:pPr>
        <w:tabs>
          <w:tab w:val="left" w:pos="1040"/>
        </w:tabs>
        <w:spacing w:line="240" w:lineRule="auto"/>
        <w:ind w:right="66"/>
        <w:rPr>
          <w:rFonts w:cs="Times New Roman"/>
        </w:rPr>
      </w:pPr>
      <w:r w:rsidRPr="00274FB5">
        <w:rPr>
          <w:rFonts w:cs="Times New Roman"/>
        </w:rPr>
        <w:t xml:space="preserve">A thank you letter (Attachment I) containing test results for all specimens submitted and final $50 gift card will be mailed as soon as possible after the last specimen is submitted. </w:t>
      </w:r>
    </w:p>
    <w:p w14:paraId="11E54A27" w14:textId="77777777" w:rsidR="00A65538" w:rsidRPr="00274FB5" w:rsidRDefault="00A65538" w:rsidP="00A65538">
      <w:pPr>
        <w:spacing w:after="0" w:line="240" w:lineRule="auto"/>
        <w:ind w:left="360" w:hanging="360"/>
        <w:rPr>
          <w:rFonts w:eastAsiaTheme="majorEastAsia" w:cs="Times New Roman"/>
          <w:i/>
          <w:szCs w:val="24"/>
        </w:rPr>
      </w:pPr>
      <w:r w:rsidRPr="00274FB5">
        <w:rPr>
          <w:rFonts w:eastAsiaTheme="majorEastAsia" w:cs="Times New Roman"/>
          <w:i/>
          <w:szCs w:val="24"/>
        </w:rPr>
        <w:t>Table 1. Timing of specimen collection and laboratory analysis</w:t>
      </w:r>
    </w:p>
    <w:tbl>
      <w:tblPr>
        <w:tblStyle w:val="TableGrid1"/>
        <w:tblW w:w="8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18"/>
        <w:gridCol w:w="1170"/>
        <w:gridCol w:w="1080"/>
        <w:gridCol w:w="1530"/>
        <w:gridCol w:w="3307"/>
      </w:tblGrid>
      <w:tr w:rsidR="00274FB5" w:rsidRPr="00274FB5" w14:paraId="37BB4C09" w14:textId="77777777" w:rsidTr="00E929DE">
        <w:trPr>
          <w:trHeight w:val="528"/>
        </w:trPr>
        <w:tc>
          <w:tcPr>
            <w:tcW w:w="1818" w:type="dxa"/>
            <w:tcBorders>
              <w:top w:val="single" w:sz="4" w:space="0" w:color="auto"/>
              <w:bottom w:val="single" w:sz="4" w:space="0" w:color="auto"/>
            </w:tcBorders>
            <w:shd w:val="clear" w:color="auto" w:fill="auto"/>
            <w:vAlign w:val="center"/>
          </w:tcPr>
          <w:p w14:paraId="3918B0BC" w14:textId="77777777" w:rsidR="00274FB5" w:rsidRPr="00274FB5" w:rsidRDefault="00274FB5" w:rsidP="00274FB5">
            <w:pPr>
              <w:rPr>
                <w:rFonts w:ascii="Times New Roman" w:eastAsiaTheme="minorEastAsia" w:hAnsi="Times New Roman" w:cs="Times New Roman"/>
              </w:rPr>
            </w:pPr>
            <w:r w:rsidRPr="00274FB5">
              <w:rPr>
                <w:rFonts w:ascii="Times New Roman" w:eastAsiaTheme="minorEastAsia" w:hAnsi="Times New Roman" w:cs="Times New Roman"/>
              </w:rPr>
              <w:t>Collection Date</w:t>
            </w:r>
          </w:p>
        </w:tc>
        <w:tc>
          <w:tcPr>
            <w:tcW w:w="1170" w:type="dxa"/>
            <w:tcBorders>
              <w:top w:val="single" w:sz="4" w:space="0" w:color="auto"/>
              <w:bottom w:val="single" w:sz="4" w:space="0" w:color="auto"/>
            </w:tcBorders>
            <w:shd w:val="clear" w:color="auto" w:fill="auto"/>
            <w:vAlign w:val="center"/>
          </w:tcPr>
          <w:p w14:paraId="0340EB0D" w14:textId="77777777" w:rsidR="00274FB5" w:rsidRPr="00274FB5" w:rsidRDefault="00274FB5" w:rsidP="00274FB5">
            <w:pPr>
              <w:rPr>
                <w:rFonts w:ascii="Times New Roman" w:eastAsiaTheme="minorEastAsia" w:hAnsi="Times New Roman" w:cs="Times New Roman"/>
              </w:rPr>
            </w:pPr>
            <w:r w:rsidRPr="00274FB5">
              <w:rPr>
                <w:rFonts w:ascii="Times New Roman" w:eastAsiaTheme="minorEastAsia" w:hAnsi="Times New Roman" w:cs="Times New Roman"/>
              </w:rPr>
              <w:t>Specimen</w:t>
            </w:r>
          </w:p>
        </w:tc>
        <w:tc>
          <w:tcPr>
            <w:tcW w:w="1080" w:type="dxa"/>
            <w:tcBorders>
              <w:top w:val="single" w:sz="4" w:space="0" w:color="auto"/>
              <w:bottom w:val="single" w:sz="4" w:space="0" w:color="auto"/>
            </w:tcBorders>
            <w:shd w:val="clear" w:color="auto" w:fill="auto"/>
            <w:vAlign w:val="center"/>
          </w:tcPr>
          <w:p w14:paraId="6C860186" w14:textId="77777777" w:rsidR="00274FB5" w:rsidRPr="00274FB5" w:rsidRDefault="00274FB5" w:rsidP="00274FB5">
            <w:pPr>
              <w:rPr>
                <w:rFonts w:ascii="Times New Roman" w:eastAsiaTheme="minorEastAsia" w:hAnsi="Times New Roman" w:cs="Times New Roman"/>
              </w:rPr>
            </w:pPr>
            <w:r w:rsidRPr="00274FB5">
              <w:rPr>
                <w:rFonts w:ascii="Times New Roman" w:eastAsiaTheme="minorEastAsia" w:hAnsi="Times New Roman" w:cs="Times New Roman"/>
              </w:rPr>
              <w:t>Volume</w:t>
            </w:r>
          </w:p>
        </w:tc>
        <w:tc>
          <w:tcPr>
            <w:tcW w:w="1530" w:type="dxa"/>
            <w:tcBorders>
              <w:top w:val="single" w:sz="4" w:space="0" w:color="auto"/>
              <w:bottom w:val="single" w:sz="4" w:space="0" w:color="auto"/>
            </w:tcBorders>
            <w:shd w:val="clear" w:color="auto" w:fill="auto"/>
            <w:vAlign w:val="center"/>
          </w:tcPr>
          <w:p w14:paraId="6BF56D89" w14:textId="77777777" w:rsidR="00274FB5" w:rsidRPr="00274FB5" w:rsidRDefault="00274FB5" w:rsidP="00274FB5">
            <w:pPr>
              <w:rPr>
                <w:rFonts w:ascii="Times New Roman" w:eastAsiaTheme="minorEastAsia" w:hAnsi="Times New Roman" w:cs="Times New Roman"/>
              </w:rPr>
            </w:pPr>
            <w:r w:rsidRPr="00274FB5">
              <w:rPr>
                <w:rFonts w:ascii="Times New Roman" w:eastAsiaTheme="minorEastAsia" w:hAnsi="Times New Roman" w:cs="Times New Roman"/>
              </w:rPr>
              <w:t>Collection container</w:t>
            </w:r>
          </w:p>
        </w:tc>
        <w:tc>
          <w:tcPr>
            <w:tcW w:w="3307" w:type="dxa"/>
            <w:tcBorders>
              <w:top w:val="single" w:sz="4" w:space="0" w:color="auto"/>
              <w:bottom w:val="single" w:sz="4" w:space="0" w:color="auto"/>
            </w:tcBorders>
            <w:shd w:val="clear" w:color="auto" w:fill="auto"/>
            <w:vAlign w:val="center"/>
          </w:tcPr>
          <w:p w14:paraId="41781B47" w14:textId="77777777" w:rsidR="00274FB5" w:rsidRPr="00274FB5" w:rsidRDefault="00274FB5" w:rsidP="00274FB5">
            <w:pPr>
              <w:rPr>
                <w:rFonts w:ascii="Times New Roman" w:eastAsiaTheme="minorEastAsia" w:hAnsi="Times New Roman" w:cs="Times New Roman"/>
              </w:rPr>
            </w:pPr>
            <w:r w:rsidRPr="00274FB5">
              <w:rPr>
                <w:rFonts w:ascii="Times New Roman" w:eastAsiaTheme="minorEastAsia" w:hAnsi="Times New Roman" w:cs="Times New Roman"/>
              </w:rPr>
              <w:t>Storage, Procedures and Transportation for Samples</w:t>
            </w:r>
          </w:p>
        </w:tc>
      </w:tr>
      <w:tr w:rsidR="00274FB5" w:rsidRPr="00274FB5" w14:paraId="34AA4454" w14:textId="77777777" w:rsidTr="00E929DE">
        <w:trPr>
          <w:trHeight w:val="612"/>
        </w:trPr>
        <w:tc>
          <w:tcPr>
            <w:tcW w:w="1818" w:type="dxa"/>
            <w:tcBorders>
              <w:top w:val="single" w:sz="4" w:space="0" w:color="auto"/>
              <w:bottom w:val="single" w:sz="4" w:space="0" w:color="auto"/>
            </w:tcBorders>
            <w:shd w:val="clear" w:color="auto" w:fill="FFFFFF" w:themeFill="background1"/>
          </w:tcPr>
          <w:p w14:paraId="2760B58F" w14:textId="77777777" w:rsidR="00274FB5" w:rsidRPr="00274FB5" w:rsidRDefault="00274FB5" w:rsidP="00274FB5">
            <w:pPr>
              <w:rPr>
                <w:rFonts w:ascii="Times New Roman" w:eastAsiaTheme="minorEastAsia" w:hAnsi="Times New Roman" w:cs="Times New Roman"/>
              </w:rPr>
            </w:pPr>
            <w:r w:rsidRPr="00274FB5">
              <w:rPr>
                <w:rFonts w:ascii="Times New Roman" w:eastAsiaTheme="minorEastAsia" w:hAnsi="Times New Roman" w:cs="Times New Roman"/>
              </w:rPr>
              <w:t xml:space="preserve">once every two weeks up to 6 months post-onset </w:t>
            </w:r>
          </w:p>
        </w:tc>
        <w:tc>
          <w:tcPr>
            <w:tcW w:w="1170" w:type="dxa"/>
            <w:tcBorders>
              <w:top w:val="single" w:sz="4" w:space="0" w:color="auto"/>
              <w:bottom w:val="single" w:sz="4" w:space="0" w:color="auto"/>
            </w:tcBorders>
            <w:shd w:val="clear" w:color="auto" w:fill="FFFFFF" w:themeFill="background1"/>
          </w:tcPr>
          <w:p w14:paraId="442202F2" w14:textId="77777777" w:rsidR="00274FB5" w:rsidRPr="00274FB5" w:rsidRDefault="00274FB5" w:rsidP="00274FB5">
            <w:pPr>
              <w:rPr>
                <w:rFonts w:ascii="Times New Roman" w:eastAsiaTheme="minorEastAsia" w:hAnsi="Times New Roman" w:cs="Times New Roman"/>
              </w:rPr>
            </w:pPr>
            <w:r w:rsidRPr="00274FB5">
              <w:rPr>
                <w:rFonts w:ascii="Times New Roman" w:eastAsiaTheme="minorEastAsia" w:hAnsi="Times New Roman" w:cs="Times New Roman"/>
              </w:rPr>
              <w:t>Urine</w:t>
            </w:r>
          </w:p>
          <w:p w14:paraId="67D7C924" w14:textId="77777777" w:rsidR="00274FB5" w:rsidRPr="00274FB5" w:rsidRDefault="00274FB5" w:rsidP="00274FB5">
            <w:pPr>
              <w:rPr>
                <w:rFonts w:ascii="Times New Roman" w:eastAsiaTheme="minorEastAsia" w:hAnsi="Times New Roman" w:cs="Times New Roman"/>
              </w:rPr>
            </w:pPr>
          </w:p>
          <w:p w14:paraId="5C4C5201" w14:textId="77777777" w:rsidR="00274FB5" w:rsidRPr="00274FB5" w:rsidRDefault="00274FB5" w:rsidP="00274FB5">
            <w:pPr>
              <w:rPr>
                <w:rFonts w:ascii="Times New Roman" w:eastAsiaTheme="minorEastAsia" w:hAnsi="Times New Roman" w:cs="Times New Roman"/>
              </w:rPr>
            </w:pPr>
          </w:p>
          <w:p w14:paraId="76F2C7BA" w14:textId="77777777" w:rsidR="00274FB5" w:rsidRPr="00274FB5" w:rsidRDefault="00274FB5" w:rsidP="00274FB5">
            <w:pPr>
              <w:rPr>
                <w:rFonts w:ascii="Times New Roman" w:eastAsiaTheme="minorEastAsia" w:hAnsi="Times New Roman" w:cs="Times New Roman"/>
              </w:rPr>
            </w:pPr>
          </w:p>
          <w:p w14:paraId="5AE522D4" w14:textId="77777777" w:rsidR="00274FB5" w:rsidRPr="00274FB5" w:rsidRDefault="00274FB5" w:rsidP="00274FB5">
            <w:pPr>
              <w:rPr>
                <w:rFonts w:ascii="Times New Roman" w:eastAsiaTheme="minorEastAsia" w:hAnsi="Times New Roman" w:cs="Times New Roman"/>
              </w:rPr>
            </w:pPr>
            <w:r w:rsidRPr="00274FB5">
              <w:rPr>
                <w:rFonts w:ascii="Times New Roman" w:eastAsiaTheme="minorEastAsia" w:hAnsi="Times New Roman" w:cs="Times New Roman"/>
              </w:rPr>
              <w:t xml:space="preserve">Semen </w:t>
            </w:r>
          </w:p>
          <w:p w14:paraId="23760D63" w14:textId="77777777" w:rsidR="00274FB5" w:rsidRPr="00274FB5" w:rsidRDefault="00274FB5" w:rsidP="00274FB5">
            <w:pPr>
              <w:rPr>
                <w:rFonts w:ascii="Times New Roman" w:eastAsiaTheme="minorEastAsia" w:hAnsi="Times New Roman" w:cs="Times New Roman"/>
              </w:rPr>
            </w:pPr>
          </w:p>
        </w:tc>
        <w:tc>
          <w:tcPr>
            <w:tcW w:w="1080" w:type="dxa"/>
            <w:tcBorders>
              <w:top w:val="single" w:sz="4" w:space="0" w:color="auto"/>
              <w:bottom w:val="single" w:sz="4" w:space="0" w:color="auto"/>
            </w:tcBorders>
            <w:shd w:val="clear" w:color="auto" w:fill="FFFFFF" w:themeFill="background1"/>
          </w:tcPr>
          <w:p w14:paraId="02EC57CD" w14:textId="77777777" w:rsidR="00274FB5" w:rsidRPr="00274FB5" w:rsidRDefault="00274FB5" w:rsidP="00274FB5">
            <w:pPr>
              <w:rPr>
                <w:rFonts w:ascii="Times New Roman" w:eastAsiaTheme="minorEastAsia" w:hAnsi="Times New Roman" w:cs="Times New Roman"/>
              </w:rPr>
            </w:pPr>
            <w:r w:rsidRPr="00274FB5">
              <w:rPr>
                <w:rFonts w:ascii="Times New Roman" w:eastAsiaTheme="minorEastAsia" w:hAnsi="Times New Roman" w:cs="Times New Roman"/>
              </w:rPr>
              <w:t>20 ml</w:t>
            </w:r>
          </w:p>
          <w:p w14:paraId="3FF0F5DD" w14:textId="77777777" w:rsidR="00274FB5" w:rsidRPr="00274FB5" w:rsidRDefault="00274FB5" w:rsidP="00274FB5">
            <w:pPr>
              <w:rPr>
                <w:rFonts w:ascii="Times New Roman" w:eastAsiaTheme="minorEastAsia" w:hAnsi="Times New Roman" w:cs="Times New Roman"/>
              </w:rPr>
            </w:pPr>
          </w:p>
          <w:p w14:paraId="1A150771" w14:textId="77777777" w:rsidR="00274FB5" w:rsidRPr="00274FB5" w:rsidRDefault="00274FB5" w:rsidP="00274FB5">
            <w:pPr>
              <w:rPr>
                <w:rFonts w:ascii="Times New Roman" w:eastAsiaTheme="minorEastAsia" w:hAnsi="Times New Roman" w:cs="Times New Roman"/>
              </w:rPr>
            </w:pPr>
          </w:p>
          <w:p w14:paraId="33CB309A" w14:textId="77777777" w:rsidR="00274FB5" w:rsidRPr="00274FB5" w:rsidRDefault="00274FB5" w:rsidP="00274FB5">
            <w:pPr>
              <w:rPr>
                <w:rFonts w:ascii="Times New Roman" w:eastAsiaTheme="minorEastAsia" w:hAnsi="Times New Roman" w:cs="Times New Roman"/>
              </w:rPr>
            </w:pPr>
          </w:p>
          <w:p w14:paraId="1514406A" w14:textId="77777777" w:rsidR="00274FB5" w:rsidRPr="00274FB5" w:rsidRDefault="00274FB5" w:rsidP="00274FB5">
            <w:pPr>
              <w:rPr>
                <w:rFonts w:ascii="Times New Roman" w:eastAsiaTheme="minorEastAsia" w:hAnsi="Times New Roman" w:cs="Times New Roman"/>
              </w:rPr>
            </w:pPr>
            <w:r w:rsidRPr="00274FB5">
              <w:rPr>
                <w:rFonts w:ascii="Times New Roman" w:eastAsiaTheme="minorEastAsia" w:hAnsi="Times New Roman" w:cs="Times New Roman"/>
              </w:rPr>
              <w:t>Ejaculate</w:t>
            </w:r>
          </w:p>
        </w:tc>
        <w:tc>
          <w:tcPr>
            <w:tcW w:w="1530" w:type="dxa"/>
            <w:tcBorders>
              <w:top w:val="single" w:sz="4" w:space="0" w:color="auto"/>
              <w:bottom w:val="single" w:sz="4" w:space="0" w:color="auto"/>
            </w:tcBorders>
            <w:shd w:val="clear" w:color="auto" w:fill="FFFFFF" w:themeFill="background1"/>
          </w:tcPr>
          <w:p w14:paraId="44F7EC63" w14:textId="77777777" w:rsidR="00274FB5" w:rsidRPr="00274FB5" w:rsidRDefault="00274FB5" w:rsidP="00274FB5">
            <w:pPr>
              <w:rPr>
                <w:rFonts w:ascii="Times New Roman" w:eastAsiaTheme="minorEastAsia" w:hAnsi="Times New Roman" w:cs="Times New Roman"/>
              </w:rPr>
            </w:pPr>
            <w:r w:rsidRPr="00274FB5">
              <w:rPr>
                <w:rFonts w:ascii="Times New Roman" w:eastAsiaTheme="minorEastAsia" w:hAnsi="Times New Roman" w:cs="Times New Roman"/>
              </w:rPr>
              <w:t>Screw-top urine container (clean catch)</w:t>
            </w:r>
          </w:p>
          <w:p w14:paraId="76346F8C" w14:textId="77777777" w:rsidR="00274FB5" w:rsidRPr="00274FB5" w:rsidRDefault="00274FB5" w:rsidP="00274FB5">
            <w:pPr>
              <w:rPr>
                <w:rFonts w:ascii="Times New Roman" w:eastAsiaTheme="minorEastAsia" w:hAnsi="Times New Roman" w:cs="Times New Roman"/>
              </w:rPr>
            </w:pPr>
            <w:r w:rsidRPr="00274FB5">
              <w:rPr>
                <w:rFonts w:ascii="Times New Roman" w:eastAsiaTheme="minorEastAsia" w:hAnsi="Times New Roman" w:cs="Times New Roman"/>
              </w:rPr>
              <w:t>Screw-top urine container</w:t>
            </w:r>
          </w:p>
        </w:tc>
        <w:tc>
          <w:tcPr>
            <w:tcW w:w="3307" w:type="dxa"/>
            <w:tcBorders>
              <w:top w:val="single" w:sz="4" w:space="0" w:color="auto"/>
              <w:bottom w:val="single" w:sz="4" w:space="0" w:color="auto"/>
            </w:tcBorders>
            <w:shd w:val="clear" w:color="auto" w:fill="FFFFFF" w:themeFill="background1"/>
          </w:tcPr>
          <w:p w14:paraId="54A8490A" w14:textId="48ADE57A" w:rsidR="00274FB5" w:rsidRPr="00274FB5" w:rsidRDefault="00274FB5" w:rsidP="00274FB5">
            <w:pPr>
              <w:widowControl w:val="0"/>
              <w:numPr>
                <w:ilvl w:val="0"/>
                <w:numId w:val="2"/>
              </w:numPr>
              <w:autoSpaceDE w:val="0"/>
              <w:autoSpaceDN w:val="0"/>
              <w:adjustRightInd w:val="0"/>
              <w:rPr>
                <w:rFonts w:ascii="Times New Roman" w:eastAsiaTheme="minorEastAsia" w:hAnsi="Times New Roman" w:cs="Times New Roman"/>
              </w:rPr>
            </w:pPr>
            <w:r w:rsidRPr="00274FB5">
              <w:rPr>
                <w:rFonts w:ascii="Times New Roman" w:eastAsiaTheme="minorEastAsia" w:hAnsi="Times New Roman" w:cs="Times New Roman"/>
              </w:rPr>
              <w:t>Store samples in refrigerator located in site laboratory</w:t>
            </w:r>
          </w:p>
          <w:p w14:paraId="5706F626" w14:textId="77777777" w:rsidR="00274FB5" w:rsidRPr="00274FB5" w:rsidRDefault="00274FB5" w:rsidP="00274FB5">
            <w:pPr>
              <w:widowControl w:val="0"/>
              <w:numPr>
                <w:ilvl w:val="0"/>
                <w:numId w:val="2"/>
              </w:numPr>
              <w:autoSpaceDE w:val="0"/>
              <w:autoSpaceDN w:val="0"/>
              <w:adjustRightInd w:val="0"/>
              <w:rPr>
                <w:rFonts w:ascii="Times New Roman" w:eastAsiaTheme="minorEastAsia" w:hAnsi="Times New Roman" w:cs="Times New Roman"/>
              </w:rPr>
            </w:pPr>
            <w:r w:rsidRPr="00274FB5">
              <w:rPr>
                <w:rFonts w:ascii="Times New Roman" w:eastAsiaTheme="minorEastAsia" w:hAnsi="Times New Roman" w:cs="Times New Roman"/>
              </w:rPr>
              <w:t xml:space="preserve">Ship from home, overnight, on cold packs, to CDC Laboratory in Fort Collins </w:t>
            </w:r>
          </w:p>
          <w:p w14:paraId="411DF0C3" w14:textId="77777777" w:rsidR="00274FB5" w:rsidRPr="00274FB5" w:rsidRDefault="00274FB5" w:rsidP="00274FB5">
            <w:pPr>
              <w:widowControl w:val="0"/>
              <w:numPr>
                <w:ilvl w:val="0"/>
                <w:numId w:val="2"/>
              </w:numPr>
              <w:autoSpaceDE w:val="0"/>
              <w:autoSpaceDN w:val="0"/>
              <w:adjustRightInd w:val="0"/>
              <w:rPr>
                <w:rFonts w:ascii="Times New Roman" w:eastAsiaTheme="minorEastAsia" w:hAnsi="Times New Roman" w:cs="Times New Roman"/>
              </w:rPr>
            </w:pPr>
            <w:r w:rsidRPr="00274FB5">
              <w:rPr>
                <w:rFonts w:ascii="Times New Roman" w:eastAsiaTheme="minorEastAsia" w:hAnsi="Times New Roman" w:cs="Times New Roman"/>
              </w:rPr>
              <w:t xml:space="preserve">Perform testing in </w:t>
            </w:r>
            <w:proofErr w:type="spellStart"/>
            <w:r w:rsidRPr="00274FB5">
              <w:rPr>
                <w:rFonts w:ascii="Times New Roman" w:eastAsiaTheme="minorEastAsia" w:hAnsi="Times New Roman" w:cs="Times New Roman"/>
              </w:rPr>
              <w:t>Brault</w:t>
            </w:r>
            <w:proofErr w:type="spellEnd"/>
            <w:r w:rsidRPr="00274FB5">
              <w:rPr>
                <w:rFonts w:ascii="Times New Roman" w:eastAsiaTheme="minorEastAsia" w:hAnsi="Times New Roman" w:cs="Times New Roman"/>
              </w:rPr>
              <w:t xml:space="preserve"> laboratory</w:t>
            </w:r>
          </w:p>
        </w:tc>
      </w:tr>
    </w:tbl>
    <w:p w14:paraId="0657399A" w14:textId="5676695E" w:rsidR="00274FB5" w:rsidRPr="00A65538" w:rsidRDefault="00274FB5" w:rsidP="00A65538">
      <w:pPr>
        <w:widowControl w:val="0"/>
        <w:tabs>
          <w:tab w:val="left" w:pos="720"/>
        </w:tabs>
        <w:autoSpaceDE w:val="0"/>
        <w:autoSpaceDN w:val="0"/>
        <w:adjustRightInd w:val="0"/>
        <w:spacing w:after="0" w:line="240" w:lineRule="auto"/>
        <w:rPr>
          <w:rFonts w:eastAsia="Times New Roman" w:cs="Times New Roman"/>
          <w:szCs w:val="24"/>
        </w:rPr>
      </w:pPr>
    </w:p>
    <w:p w14:paraId="4CE91BD7" w14:textId="78FE3E23" w:rsidR="001F664B" w:rsidRPr="00A65538" w:rsidRDefault="00476B41" w:rsidP="001F664B">
      <w:pPr>
        <w:spacing w:after="0" w:line="240" w:lineRule="auto"/>
        <w:rPr>
          <w:rFonts w:cs="Times New Roman"/>
          <w:szCs w:val="24"/>
        </w:rPr>
      </w:pPr>
      <w:r w:rsidRPr="00476B41">
        <w:rPr>
          <w:rFonts w:eastAsia="Times New Roman" w:cs="Times New Roman"/>
          <w:szCs w:val="24"/>
        </w:rPr>
        <w:t xml:space="preserve">Test results will be shared with the study participant after all of their specimens are analyzed, as communicated at the time of enrollment.  Results will not be provided routinely during the course of participation due to the potential for intermittent shedding of virus in semen.  A negative test result may cause the participant to discontinue precautions prematurely, leading to risk for their sexual partner, should shedding resume.  In addition, participants with negative results may be more likely to drop out </w:t>
      </w:r>
      <w:r w:rsidRPr="00476B41">
        <w:rPr>
          <w:rFonts w:eastAsia="Times New Roman" w:cs="Times New Roman"/>
          <w:szCs w:val="24"/>
        </w:rPr>
        <w:lastRenderedPageBreak/>
        <w:t>of the study, biasing the results and compromising the scientific value of the investigation.  If test results indicate that Zika virus RNA is present in urine and/or semen specimens intermittently during the study or at 6 months post-onset of illness, we may ask participants to continue being in the study.</w:t>
      </w:r>
      <w:r w:rsidR="00DD55C0">
        <w:rPr>
          <w:rFonts w:eastAsia="Times New Roman" w:cs="Times New Roman"/>
          <w:szCs w:val="24"/>
        </w:rPr>
        <w:t xml:space="preserve">  If this is the case, we will re-consent participants into an extended study. </w:t>
      </w:r>
      <w:r w:rsidRPr="00476B41">
        <w:rPr>
          <w:rFonts w:eastAsia="Times New Roman" w:cs="Times New Roman"/>
          <w:szCs w:val="24"/>
        </w:rPr>
        <w:t xml:space="preserve">  </w:t>
      </w:r>
    </w:p>
    <w:p w14:paraId="1B8CEBC3" w14:textId="31FF3EB1" w:rsidR="00B41BA5" w:rsidRDefault="00B41BA5" w:rsidP="00476B41">
      <w:pPr>
        <w:pStyle w:val="Heading1"/>
        <w:spacing w:before="240"/>
        <w:ind w:left="360"/>
        <w:rPr>
          <w:rFonts w:cs="Times New Roman"/>
          <w:szCs w:val="24"/>
        </w:rPr>
      </w:pPr>
      <w:bookmarkStart w:id="4" w:name="_Toc441569172"/>
      <w:r w:rsidRPr="00A65538">
        <w:rPr>
          <w:rFonts w:cs="Times New Roman"/>
          <w:szCs w:val="24"/>
        </w:rPr>
        <w:t>Methods to Maximize Response Rates and Deal with No Response</w:t>
      </w:r>
      <w:bookmarkEnd w:id="4"/>
    </w:p>
    <w:p w14:paraId="5459A0DE" w14:textId="5F1646FE" w:rsidR="006C0B2D" w:rsidRPr="006C0B2D" w:rsidRDefault="00D4549E" w:rsidP="006D4761">
      <w:pPr>
        <w:spacing w:before="240" w:line="240" w:lineRule="auto"/>
      </w:pPr>
      <w:r w:rsidRPr="00D4549E">
        <w:t xml:space="preserve">If participants are not prompt (i.e. 7 days after receipt of package) with returning data/specimens, they will be contacted by CDC study staff via email </w:t>
      </w:r>
      <w:r w:rsidR="00992CDA">
        <w:t xml:space="preserve">or text </w:t>
      </w:r>
      <w:r w:rsidRPr="00D4549E">
        <w:t>to remind them.  If data/specimens are not mailed within 2 more days, they will be contacted by study staff via phone up to 3 times to remind them.  Study staff may leave voicemails as a reminder on the 2nd and 3rd phone call attempts.</w:t>
      </w:r>
      <w:r>
        <w:t xml:space="preserve"> </w:t>
      </w:r>
    </w:p>
    <w:p w14:paraId="3600E734" w14:textId="75386027" w:rsidR="006C0B2D" w:rsidRDefault="00B41BA5" w:rsidP="006C0B2D">
      <w:pPr>
        <w:pStyle w:val="Heading1"/>
        <w:spacing w:after="240"/>
        <w:ind w:left="360"/>
        <w:rPr>
          <w:rFonts w:cs="Times New Roman"/>
          <w:szCs w:val="24"/>
        </w:rPr>
      </w:pPr>
      <w:bookmarkStart w:id="5" w:name="_Toc441569173"/>
      <w:r w:rsidRPr="00A65538">
        <w:rPr>
          <w:rFonts w:cs="Times New Roman"/>
          <w:szCs w:val="24"/>
        </w:rPr>
        <w:t xml:space="preserve">Tests of Procedures or Methods to be </w:t>
      </w:r>
      <w:proofErr w:type="gramStart"/>
      <w:r w:rsidRPr="00A65538">
        <w:rPr>
          <w:rFonts w:cs="Times New Roman"/>
          <w:szCs w:val="24"/>
        </w:rPr>
        <w:t>Undertaken</w:t>
      </w:r>
      <w:bookmarkEnd w:id="5"/>
      <w:proofErr w:type="gramEnd"/>
    </w:p>
    <w:p w14:paraId="36FC7175" w14:textId="521222F3" w:rsidR="006C0B2D" w:rsidRPr="006C0B2D" w:rsidRDefault="006C0B2D" w:rsidP="006C0B2D">
      <w:r>
        <w:t>No pilot testing will be done.</w:t>
      </w:r>
    </w:p>
    <w:p w14:paraId="1B8CEBC7" w14:textId="77777777" w:rsidR="00B41BA5" w:rsidRDefault="00B41BA5" w:rsidP="006C0B2D">
      <w:pPr>
        <w:pStyle w:val="Heading1"/>
        <w:spacing w:after="240"/>
        <w:ind w:left="360"/>
        <w:rPr>
          <w:rFonts w:cs="Times New Roman"/>
          <w:szCs w:val="24"/>
        </w:rPr>
      </w:pPr>
      <w:bookmarkStart w:id="6" w:name="_Toc441569174"/>
      <w:r w:rsidRPr="00A65538">
        <w:rPr>
          <w:rFonts w:cs="Times New Roman"/>
          <w:szCs w:val="24"/>
        </w:rPr>
        <w:t>Individuals Consulted on Statistical Aspects and Individuals Collecting and/or Analyzing Data</w:t>
      </w:r>
      <w:bookmarkEnd w:id="6"/>
    </w:p>
    <w:p w14:paraId="5418382D" w14:textId="77777777" w:rsidR="00FA56CC" w:rsidRPr="00097558" w:rsidRDefault="00FA56CC" w:rsidP="00097558">
      <w:pPr>
        <w:spacing w:after="0" w:line="240" w:lineRule="auto"/>
        <w:rPr>
          <w:b/>
        </w:rPr>
      </w:pPr>
      <w:r w:rsidRPr="00097558">
        <w:rPr>
          <w:b/>
        </w:rPr>
        <w:t xml:space="preserve">Aaron </w:t>
      </w:r>
      <w:proofErr w:type="spellStart"/>
      <w:r w:rsidRPr="00097558">
        <w:rPr>
          <w:b/>
        </w:rPr>
        <w:t>Brault</w:t>
      </w:r>
      <w:proofErr w:type="spellEnd"/>
    </w:p>
    <w:p w14:paraId="7F3ECCF4" w14:textId="129FAAF1" w:rsidR="00097558" w:rsidRDefault="00097558" w:rsidP="00097558">
      <w:pPr>
        <w:spacing w:after="0" w:line="240" w:lineRule="auto"/>
      </w:pPr>
      <w:r>
        <w:t>Research Microbiologist</w:t>
      </w:r>
    </w:p>
    <w:p w14:paraId="184E65AF" w14:textId="2A8B2BC1" w:rsidR="00097558" w:rsidRDefault="00097558" w:rsidP="00097558">
      <w:pPr>
        <w:spacing w:after="0" w:line="240" w:lineRule="auto"/>
      </w:pPr>
      <w:r>
        <w:t>NCEZID, Division of Vector-Borne Diseases, Arboviral Diseases Branch</w:t>
      </w:r>
    </w:p>
    <w:p w14:paraId="016C45C8" w14:textId="3D7A8033" w:rsidR="00097558" w:rsidRDefault="00097558" w:rsidP="00097558">
      <w:pPr>
        <w:spacing w:after="0" w:line="240" w:lineRule="auto"/>
      </w:pPr>
      <w:r>
        <w:t>970.266.3517</w:t>
      </w:r>
    </w:p>
    <w:p w14:paraId="3624D134" w14:textId="10FB85BC" w:rsidR="00097558" w:rsidRDefault="00097558" w:rsidP="00097558">
      <w:pPr>
        <w:spacing w:after="0" w:line="240" w:lineRule="auto"/>
      </w:pPr>
      <w:r>
        <w:t>Zlu5@cdc.gov</w:t>
      </w:r>
    </w:p>
    <w:p w14:paraId="0E4FB321" w14:textId="77777777" w:rsidR="00FA56CC" w:rsidRPr="00097558" w:rsidRDefault="00FA56CC" w:rsidP="00097558">
      <w:pPr>
        <w:spacing w:before="240" w:after="0" w:line="240" w:lineRule="auto"/>
        <w:rPr>
          <w:b/>
        </w:rPr>
      </w:pPr>
      <w:r w:rsidRPr="00097558">
        <w:rPr>
          <w:b/>
        </w:rPr>
        <w:t xml:space="preserve">Brad </w:t>
      </w:r>
      <w:proofErr w:type="spellStart"/>
      <w:r w:rsidRPr="00097558">
        <w:rPr>
          <w:b/>
        </w:rPr>
        <w:t>Biggerstaff</w:t>
      </w:r>
      <w:proofErr w:type="spellEnd"/>
    </w:p>
    <w:p w14:paraId="1B8CEBC8" w14:textId="651D84BA" w:rsidR="00DC57CC" w:rsidRDefault="00097558" w:rsidP="00097558">
      <w:pPr>
        <w:spacing w:after="0" w:line="240" w:lineRule="auto"/>
        <w:rPr>
          <w:rFonts w:cs="Times New Roman"/>
          <w:szCs w:val="24"/>
        </w:rPr>
      </w:pPr>
      <w:r>
        <w:rPr>
          <w:rFonts w:cs="Times New Roman"/>
          <w:szCs w:val="24"/>
        </w:rPr>
        <w:t>Mathematical Statistician</w:t>
      </w:r>
    </w:p>
    <w:p w14:paraId="7C019E29" w14:textId="0893886A" w:rsidR="00097558" w:rsidRDefault="00097558" w:rsidP="00097558">
      <w:pPr>
        <w:spacing w:after="0" w:line="240" w:lineRule="auto"/>
        <w:rPr>
          <w:rFonts w:cs="Times New Roman"/>
          <w:szCs w:val="24"/>
        </w:rPr>
      </w:pPr>
      <w:r>
        <w:rPr>
          <w:rFonts w:cs="Times New Roman"/>
          <w:szCs w:val="24"/>
        </w:rPr>
        <w:t>NCEZID, Division of Vector-Borne Diseases</w:t>
      </w:r>
    </w:p>
    <w:p w14:paraId="3EB6DEF1" w14:textId="3878D024" w:rsidR="00097558" w:rsidRDefault="00097558" w:rsidP="00097558">
      <w:pPr>
        <w:spacing w:after="0" w:line="240" w:lineRule="auto"/>
        <w:rPr>
          <w:rFonts w:cs="Times New Roman"/>
          <w:szCs w:val="24"/>
        </w:rPr>
      </w:pPr>
      <w:r>
        <w:rPr>
          <w:rFonts w:cs="Times New Roman"/>
          <w:szCs w:val="24"/>
        </w:rPr>
        <w:t>970.221.6473</w:t>
      </w:r>
    </w:p>
    <w:p w14:paraId="48607BC3" w14:textId="3ABF7C09" w:rsidR="00097558" w:rsidRPr="00A65538" w:rsidRDefault="00097558" w:rsidP="00097558">
      <w:pPr>
        <w:spacing w:after="0" w:line="240" w:lineRule="auto"/>
        <w:rPr>
          <w:rFonts w:cs="Times New Roman"/>
          <w:szCs w:val="24"/>
        </w:rPr>
      </w:pPr>
      <w:r>
        <w:rPr>
          <w:rFonts w:cs="Times New Roman"/>
          <w:szCs w:val="24"/>
        </w:rPr>
        <w:t>Bkb5@cdc.gov</w:t>
      </w:r>
    </w:p>
    <w:sectPr w:rsidR="00097558" w:rsidRPr="00A65538" w:rsidSect="00546A7C">
      <w:footerReference w:type="default" r:id="rId12"/>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CEBCB" w14:textId="77777777" w:rsidR="00931CC1" w:rsidRDefault="00931CC1" w:rsidP="008B5D54">
      <w:pPr>
        <w:spacing w:after="0" w:line="240" w:lineRule="auto"/>
      </w:pPr>
      <w:r>
        <w:separator/>
      </w:r>
    </w:p>
  </w:endnote>
  <w:endnote w:type="continuationSeparator" w:id="0">
    <w:p w14:paraId="1B8CEBCC" w14:textId="77777777" w:rsidR="00931CC1" w:rsidRDefault="00931CC1"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325341"/>
      <w:docPartObj>
        <w:docPartGallery w:val="Page Numbers (Bottom of Page)"/>
        <w:docPartUnique/>
      </w:docPartObj>
    </w:sdtPr>
    <w:sdtEndPr>
      <w:rPr>
        <w:noProof/>
      </w:rPr>
    </w:sdtEndPr>
    <w:sdtContent>
      <w:p w14:paraId="1B8CEBCD" w14:textId="77777777" w:rsidR="00546A7C" w:rsidRDefault="00546A7C">
        <w:pPr>
          <w:pStyle w:val="Footer"/>
          <w:jc w:val="right"/>
        </w:pPr>
        <w:r>
          <w:fldChar w:fldCharType="begin"/>
        </w:r>
        <w:r>
          <w:instrText xml:space="preserve"> PAGE   \* MERGEFORMAT </w:instrText>
        </w:r>
        <w:r>
          <w:fldChar w:fldCharType="separate"/>
        </w:r>
        <w:r w:rsidR="0065140F">
          <w:rPr>
            <w:noProof/>
          </w:rPr>
          <w:t>4</w:t>
        </w:r>
        <w:r>
          <w:rPr>
            <w:noProof/>
          </w:rPr>
          <w:fldChar w:fldCharType="end"/>
        </w:r>
      </w:p>
    </w:sdtContent>
  </w:sdt>
  <w:p w14:paraId="1B8CEBCE"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CEBC9" w14:textId="77777777" w:rsidR="00931CC1" w:rsidRDefault="00931CC1" w:rsidP="008B5D54">
      <w:pPr>
        <w:spacing w:after="0" w:line="240" w:lineRule="auto"/>
      </w:pPr>
      <w:r>
        <w:separator/>
      </w:r>
    </w:p>
  </w:footnote>
  <w:footnote w:type="continuationSeparator" w:id="0">
    <w:p w14:paraId="1B8CEBCA" w14:textId="77777777" w:rsidR="00931CC1" w:rsidRDefault="00931CC1"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115B4"/>
    <w:multiLevelType w:val="hybridMultilevel"/>
    <w:tmpl w:val="9364FA8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B647DF"/>
    <w:multiLevelType w:val="hybridMultilevel"/>
    <w:tmpl w:val="AE822A0A"/>
    <w:lvl w:ilvl="0" w:tplc="32CC2C86">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BA5"/>
    <w:rsid w:val="00097558"/>
    <w:rsid w:val="000E2852"/>
    <w:rsid w:val="00157120"/>
    <w:rsid w:val="001929B7"/>
    <w:rsid w:val="00194EDD"/>
    <w:rsid w:val="001B12E8"/>
    <w:rsid w:val="001F664B"/>
    <w:rsid w:val="0025297A"/>
    <w:rsid w:val="00274FB5"/>
    <w:rsid w:val="003175E6"/>
    <w:rsid w:val="003345D0"/>
    <w:rsid w:val="003F5173"/>
    <w:rsid w:val="00476662"/>
    <w:rsid w:val="00476B41"/>
    <w:rsid w:val="004D339F"/>
    <w:rsid w:val="0053466D"/>
    <w:rsid w:val="00546A7C"/>
    <w:rsid w:val="00590D17"/>
    <w:rsid w:val="005A3302"/>
    <w:rsid w:val="0065140F"/>
    <w:rsid w:val="00680E9C"/>
    <w:rsid w:val="006C0B2D"/>
    <w:rsid w:val="006C6578"/>
    <w:rsid w:val="006D3B94"/>
    <w:rsid w:val="006D4761"/>
    <w:rsid w:val="006F27C5"/>
    <w:rsid w:val="00727822"/>
    <w:rsid w:val="00734F0E"/>
    <w:rsid w:val="007748A7"/>
    <w:rsid w:val="00832EE6"/>
    <w:rsid w:val="0086078F"/>
    <w:rsid w:val="008B5D54"/>
    <w:rsid w:val="008D6E05"/>
    <w:rsid w:val="008F1422"/>
    <w:rsid w:val="0091191A"/>
    <w:rsid w:val="00922356"/>
    <w:rsid w:val="00931CC1"/>
    <w:rsid w:val="00960BBF"/>
    <w:rsid w:val="00970856"/>
    <w:rsid w:val="00992CDA"/>
    <w:rsid w:val="00A65538"/>
    <w:rsid w:val="00AA5F6E"/>
    <w:rsid w:val="00B008E9"/>
    <w:rsid w:val="00B11385"/>
    <w:rsid w:val="00B41BA5"/>
    <w:rsid w:val="00B53338"/>
    <w:rsid w:val="00B55735"/>
    <w:rsid w:val="00B608AC"/>
    <w:rsid w:val="00B90234"/>
    <w:rsid w:val="00CB7DF1"/>
    <w:rsid w:val="00CF204D"/>
    <w:rsid w:val="00D05083"/>
    <w:rsid w:val="00D4549E"/>
    <w:rsid w:val="00DC57CC"/>
    <w:rsid w:val="00DD55C0"/>
    <w:rsid w:val="00DF146C"/>
    <w:rsid w:val="00FA56CC"/>
    <w:rsid w:val="00FE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8CEB85"/>
  <w15:chartTrackingRefBased/>
  <w15:docId w15:val="{C27DC741-5BA4-40E6-969B-914A4A63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BA5"/>
  </w:style>
  <w:style w:type="paragraph" w:styleId="Heading1">
    <w:name w:val="heading 1"/>
    <w:basedOn w:val="ListParagraph"/>
    <w:next w:val="Normal"/>
    <w:link w:val="Heading1Char"/>
    <w:uiPriority w:val="9"/>
    <w:qFormat/>
    <w:rsid w:val="00B41BA5"/>
    <w:pPr>
      <w:numPr>
        <w:numId w:val="1"/>
      </w:numPr>
      <w:spacing w:after="0" w:line="240" w:lineRule="auto"/>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B41BA5"/>
    <w:rPr>
      <w:color w:val="0000FF" w:themeColor="hyperlink"/>
      <w:u w:val="single"/>
    </w:rPr>
  </w:style>
  <w:style w:type="paragraph" w:styleId="ListParagraph">
    <w:name w:val="List Paragraph"/>
    <w:basedOn w:val="Normal"/>
    <w:uiPriority w:val="34"/>
    <w:qFormat/>
    <w:rsid w:val="00B41BA5"/>
    <w:pPr>
      <w:ind w:left="720"/>
      <w:contextualSpacing/>
    </w:pPr>
  </w:style>
  <w:style w:type="character" w:customStyle="1" w:styleId="Heading1Char">
    <w:name w:val="Heading 1 Char"/>
    <w:basedOn w:val="DefaultParagraphFont"/>
    <w:link w:val="Heading1"/>
    <w:uiPriority w:val="9"/>
    <w:rsid w:val="00B41BA5"/>
    <w:rPr>
      <w:b/>
    </w:rPr>
  </w:style>
  <w:style w:type="paragraph" w:styleId="TOCHeading">
    <w:name w:val="TOC Heading"/>
    <w:basedOn w:val="Heading1"/>
    <w:next w:val="Normal"/>
    <w:uiPriority w:val="39"/>
    <w:unhideWhenUsed/>
    <w:qFormat/>
    <w:rsid w:val="00B41BA5"/>
    <w:pPr>
      <w:keepNext/>
      <w:keepLines/>
      <w:numPr>
        <w:numId w:val="0"/>
      </w:numPr>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41BA5"/>
    <w:pPr>
      <w:spacing w:after="100"/>
    </w:pPr>
  </w:style>
  <w:style w:type="table" w:styleId="TableGrid">
    <w:name w:val="Table Grid"/>
    <w:basedOn w:val="TableNormal"/>
    <w:uiPriority w:val="59"/>
    <w:rsid w:val="00A6553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0B2D"/>
    <w:rPr>
      <w:sz w:val="16"/>
      <w:szCs w:val="16"/>
    </w:rPr>
  </w:style>
  <w:style w:type="paragraph" w:styleId="CommentText">
    <w:name w:val="annotation text"/>
    <w:basedOn w:val="Normal"/>
    <w:link w:val="CommentTextChar"/>
    <w:uiPriority w:val="99"/>
    <w:semiHidden/>
    <w:unhideWhenUsed/>
    <w:rsid w:val="006C0B2D"/>
    <w:pPr>
      <w:spacing w:line="240" w:lineRule="auto"/>
    </w:pPr>
    <w:rPr>
      <w:sz w:val="20"/>
      <w:szCs w:val="20"/>
    </w:rPr>
  </w:style>
  <w:style w:type="character" w:customStyle="1" w:styleId="CommentTextChar">
    <w:name w:val="Comment Text Char"/>
    <w:basedOn w:val="DefaultParagraphFont"/>
    <w:link w:val="CommentText"/>
    <w:uiPriority w:val="99"/>
    <w:semiHidden/>
    <w:rsid w:val="006C0B2D"/>
    <w:rPr>
      <w:sz w:val="20"/>
      <w:szCs w:val="20"/>
    </w:rPr>
  </w:style>
  <w:style w:type="paragraph" w:styleId="CommentSubject">
    <w:name w:val="annotation subject"/>
    <w:basedOn w:val="CommentText"/>
    <w:next w:val="CommentText"/>
    <w:link w:val="CommentSubjectChar"/>
    <w:uiPriority w:val="99"/>
    <w:semiHidden/>
    <w:unhideWhenUsed/>
    <w:rsid w:val="006C0B2D"/>
    <w:rPr>
      <w:b/>
      <w:bCs/>
    </w:rPr>
  </w:style>
  <w:style w:type="character" w:customStyle="1" w:styleId="CommentSubjectChar">
    <w:name w:val="Comment Subject Char"/>
    <w:basedOn w:val="CommentTextChar"/>
    <w:link w:val="CommentSubject"/>
    <w:uiPriority w:val="99"/>
    <w:semiHidden/>
    <w:rsid w:val="006C0B2D"/>
    <w:rPr>
      <w:b/>
      <w:bCs/>
      <w:sz w:val="20"/>
      <w:szCs w:val="20"/>
    </w:rPr>
  </w:style>
  <w:style w:type="paragraph" w:styleId="BalloonText">
    <w:name w:val="Balloon Text"/>
    <w:basedOn w:val="Normal"/>
    <w:link w:val="BalloonTextChar"/>
    <w:uiPriority w:val="99"/>
    <w:semiHidden/>
    <w:unhideWhenUsed/>
    <w:rsid w:val="006C0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B2D"/>
    <w:rPr>
      <w:rFonts w:ascii="Segoe UI" w:hAnsi="Segoe UI" w:cs="Segoe UI"/>
      <w:sz w:val="18"/>
      <w:szCs w:val="18"/>
    </w:rPr>
  </w:style>
  <w:style w:type="table" w:customStyle="1" w:styleId="TableGrid1">
    <w:name w:val="Table Grid1"/>
    <w:basedOn w:val="TableNormal"/>
    <w:next w:val="TableGrid"/>
    <w:uiPriority w:val="59"/>
    <w:rsid w:val="00274FB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PFY6PPX2AYTS-2589-588</_dlc_DocId>
    <_dlc_DocIdUrl xmlns="81daf041-c113-401c-bf82-107f5d396711">
      <Url>https://esp.cdc.gov/sites/ncezid/OD/policy/PRA/_layouts/15/DocIdRedir.aspx?ID=PFY6PPX2AYTS-2589-588</Url>
      <Description>PFY6PPX2AYTS-2589-588</Description>
    </_dlc_DocIdUrl>
    <ydlv xmlns="d335559b-c20a-4874-978e-77d2be77e0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6EFF0-2463-44B9-8CE2-6C7AC3D8DB0D}">
  <ds:schemaRefs>
    <ds:schemaRef ds:uri="http://schemas.microsoft.com/office/2006/documentManagement/types"/>
    <ds:schemaRef ds:uri="http://schemas.microsoft.com/office/2006/metadata/properties"/>
    <ds:schemaRef ds:uri="http://purl.org/dc/terms/"/>
    <ds:schemaRef ds:uri="http://purl.org/dc/elements/1.1/"/>
    <ds:schemaRef ds:uri="http://purl.org/dc/dcmitype/"/>
    <ds:schemaRef ds:uri="81daf041-c113-401c-bf82-107f5d396711"/>
    <ds:schemaRef ds:uri="http://schemas.microsoft.com/office/infopath/2007/PartnerControls"/>
    <ds:schemaRef ds:uri="http://schemas.openxmlformats.org/package/2006/metadata/core-properties"/>
    <ds:schemaRef ds:uri="d335559b-c20a-4874-978e-77d2be77e01f"/>
    <ds:schemaRef ds:uri="http://www.w3.org/XML/1998/namespace"/>
  </ds:schemaRefs>
</ds:datastoreItem>
</file>

<file path=customXml/itemProps2.xml><?xml version="1.0" encoding="utf-8"?>
<ds:datastoreItem xmlns:ds="http://schemas.openxmlformats.org/officeDocument/2006/customXml" ds:itemID="{16EE1D71-F523-4F5B-8D5F-078C09495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5A3EAF-B7E1-4556-828E-D05509D99560}">
  <ds:schemaRefs>
    <ds:schemaRef ds:uri="http://schemas.microsoft.com/sharepoint/events"/>
  </ds:schemaRefs>
</ds:datastoreItem>
</file>

<file path=customXml/itemProps4.xml><?xml version="1.0" encoding="utf-8"?>
<ds:datastoreItem xmlns:ds="http://schemas.openxmlformats.org/officeDocument/2006/customXml" ds:itemID="{901B9C37-F367-4F62-8BFF-B6B1A19DFFF9}">
  <ds:schemaRefs>
    <ds:schemaRef ds:uri="http://schemas.microsoft.com/sharepoint/v3/contenttype/forms"/>
  </ds:schemaRefs>
</ds:datastoreItem>
</file>

<file path=customXml/itemProps5.xml><?xml version="1.0" encoding="utf-8"?>
<ds:datastoreItem xmlns:ds="http://schemas.openxmlformats.org/officeDocument/2006/customXml" ds:itemID="{8D0715F0-502D-46AE-80D6-DE903B47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1340</Words>
  <Characters>7638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50</cp:revision>
  <dcterms:created xsi:type="dcterms:W3CDTF">2016-01-26T15:54:00Z</dcterms:created>
  <dcterms:modified xsi:type="dcterms:W3CDTF">2016-03-25T13:47:00Z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88eb97ef-9e56-4495-894f-0437d3bf462c</vt:lpwstr>
  </property>
</Properties>
</file>