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4F9FA" w14:textId="77777777" w:rsidR="00743131" w:rsidRPr="00743131" w:rsidRDefault="00743131" w:rsidP="00743131">
      <w:pPr>
        <w:widowControl w:val="0"/>
      </w:pPr>
      <w:bookmarkStart w:id="0" w:name="_GoBack"/>
      <w:bookmarkEnd w:id="0"/>
    </w:p>
    <w:p w14:paraId="3B26DC10" w14:textId="77777777" w:rsidR="00743131" w:rsidRPr="00743131" w:rsidRDefault="00743131" w:rsidP="00743131">
      <w:pPr>
        <w:widowControl w:val="0"/>
        <w:rPr>
          <w:rFonts w:ascii="Times New Roman" w:hAnsi="Times New Roman" w:cs="Times New Roman"/>
          <w:b/>
          <w:sz w:val="36"/>
        </w:rPr>
      </w:pPr>
      <w:r w:rsidRPr="00743131">
        <w:rPr>
          <w:rFonts w:ascii="Times New Roman" w:hAnsi="Times New Roman" w:cs="Times New Roman"/>
          <w:b/>
          <w:sz w:val="36"/>
        </w:rPr>
        <w:t>Information Collection Request for:</w:t>
      </w:r>
    </w:p>
    <w:p w14:paraId="5CD52F8C" w14:textId="77777777" w:rsidR="00743131" w:rsidRPr="00743131" w:rsidRDefault="00743131" w:rsidP="00743131">
      <w:pPr>
        <w:widowControl w:val="0"/>
        <w:rPr>
          <w:rFonts w:ascii="Times New Roman" w:hAnsi="Times New Roman" w:cs="Times New Roman"/>
          <w:b/>
          <w:sz w:val="36"/>
        </w:rPr>
      </w:pPr>
      <w:r w:rsidRPr="00743131">
        <w:rPr>
          <w:rFonts w:ascii="Times New Roman" w:hAnsi="Times New Roman" w:cs="Times New Roman"/>
          <w:b/>
          <w:sz w:val="36"/>
        </w:rPr>
        <w:t>“</w:t>
      </w:r>
      <w:r w:rsidR="00093183">
        <w:rPr>
          <w:rFonts w:ascii="Times New Roman" w:hAnsi="Times New Roman" w:cs="Times New Roman"/>
          <w:b/>
          <w:sz w:val="36"/>
        </w:rPr>
        <w:t>OCCUPATIONAL HEALTH SAFETY NETWORK (OHSN)</w:t>
      </w:r>
      <w:r w:rsidRPr="00743131">
        <w:rPr>
          <w:rFonts w:ascii="Times New Roman" w:hAnsi="Times New Roman" w:cs="Times New Roman"/>
          <w:b/>
          <w:sz w:val="36"/>
        </w:rPr>
        <w:t>”</w:t>
      </w:r>
    </w:p>
    <w:p w14:paraId="798DF09D" w14:textId="77777777" w:rsidR="00743131" w:rsidRPr="00743131" w:rsidRDefault="00743131" w:rsidP="00743131">
      <w:pPr>
        <w:widowControl w:val="0"/>
        <w:rPr>
          <w:rFonts w:ascii="Times New Roman" w:hAnsi="Times New Roman" w:cs="Times New Roman"/>
          <w:b/>
          <w:sz w:val="32"/>
        </w:rPr>
      </w:pPr>
      <w:r w:rsidRPr="00743131">
        <w:rPr>
          <w:rFonts w:ascii="Times New Roman" w:hAnsi="Times New Roman" w:cs="Times New Roman"/>
          <w:b/>
          <w:sz w:val="32"/>
        </w:rPr>
        <w:t xml:space="preserve">Supporting Statement </w:t>
      </w:r>
      <w:r>
        <w:rPr>
          <w:rFonts w:ascii="Times New Roman" w:hAnsi="Times New Roman" w:cs="Times New Roman"/>
          <w:b/>
          <w:sz w:val="32"/>
        </w:rPr>
        <w:t>B</w:t>
      </w:r>
    </w:p>
    <w:p w14:paraId="2A96D87B" w14:textId="77777777" w:rsidR="00743131" w:rsidRPr="00743131" w:rsidRDefault="00743131" w:rsidP="00743131">
      <w:pPr>
        <w:widowControl w:val="0"/>
        <w:rPr>
          <w:rFonts w:ascii="Times New Roman" w:hAnsi="Times New Roman" w:cs="Times New Roman"/>
        </w:rPr>
      </w:pPr>
    </w:p>
    <w:p w14:paraId="77FBC218" w14:textId="77777777" w:rsidR="00743131" w:rsidRPr="00743131" w:rsidRDefault="00743131" w:rsidP="00743131">
      <w:pPr>
        <w:widowControl w:val="0"/>
        <w:rPr>
          <w:rFonts w:ascii="Times New Roman" w:hAnsi="Times New Roman" w:cs="Times New Roman"/>
        </w:rPr>
      </w:pPr>
    </w:p>
    <w:p w14:paraId="105203A4" w14:textId="77777777" w:rsidR="00743131" w:rsidRPr="00743131" w:rsidRDefault="00743131" w:rsidP="00743131">
      <w:pPr>
        <w:widowControl w:val="0"/>
        <w:rPr>
          <w:rFonts w:ascii="Times New Roman" w:hAnsi="Times New Roman" w:cs="Times New Roman"/>
        </w:rPr>
      </w:pPr>
    </w:p>
    <w:p w14:paraId="356253DD" w14:textId="77777777" w:rsidR="00743131" w:rsidRPr="00743131" w:rsidRDefault="00743131" w:rsidP="00743131">
      <w:pPr>
        <w:widowControl w:val="0"/>
        <w:rPr>
          <w:rFonts w:ascii="Times New Roman" w:hAnsi="Times New Roman" w:cs="Times New Roman"/>
        </w:rPr>
      </w:pPr>
    </w:p>
    <w:p w14:paraId="18382259" w14:textId="77777777" w:rsidR="00743131" w:rsidRPr="00743131" w:rsidRDefault="00743131" w:rsidP="00743131">
      <w:pPr>
        <w:widowControl w:val="0"/>
        <w:rPr>
          <w:rFonts w:ascii="Times New Roman" w:hAnsi="Times New Roman" w:cs="Times New Roman"/>
        </w:rPr>
      </w:pPr>
    </w:p>
    <w:p w14:paraId="3C8A7ABD" w14:textId="77777777" w:rsidR="0001109C" w:rsidRPr="00A51E2E" w:rsidRDefault="0001109C" w:rsidP="0001109C">
      <w:pPr>
        <w:rPr>
          <w:rFonts w:ascii="Times New Roman" w:hAnsi="Times New Roman" w:cs="Times New Roman"/>
        </w:rPr>
      </w:pPr>
      <w:r w:rsidRPr="00A51E2E">
        <w:rPr>
          <w:rFonts w:ascii="Times New Roman" w:hAnsi="Times New Roman" w:cs="Times New Roman"/>
        </w:rPr>
        <w:t>PROGRAM OFFICIAL/PROJECT OFFICER NAME:</w:t>
      </w:r>
      <w:r>
        <w:rPr>
          <w:rFonts w:ascii="Times New Roman" w:hAnsi="Times New Roman" w:cs="Times New Roman"/>
        </w:rPr>
        <w:t xml:space="preserve"> Ahmed E. Gomaa, MD, ScD, MSPH</w:t>
      </w:r>
    </w:p>
    <w:p w14:paraId="2793664D" w14:textId="77777777" w:rsidR="0001109C" w:rsidRPr="00A51E2E" w:rsidRDefault="0001109C" w:rsidP="0001109C">
      <w:pPr>
        <w:rPr>
          <w:rFonts w:ascii="Times New Roman" w:hAnsi="Times New Roman" w:cs="Times New Roman"/>
        </w:rPr>
      </w:pPr>
      <w:r>
        <w:rPr>
          <w:rFonts w:ascii="Times New Roman" w:hAnsi="Times New Roman" w:cs="Times New Roman"/>
        </w:rPr>
        <w:t>TITLE: Medical Officer</w:t>
      </w:r>
    </w:p>
    <w:p w14:paraId="5CC84FF1" w14:textId="77777777" w:rsidR="0001109C" w:rsidRPr="00A51E2E" w:rsidRDefault="0001109C" w:rsidP="0001109C">
      <w:pPr>
        <w:rPr>
          <w:rFonts w:ascii="Times New Roman" w:hAnsi="Times New Roman" w:cs="Times New Roman"/>
        </w:rPr>
      </w:pPr>
      <w:r w:rsidRPr="00A51E2E">
        <w:rPr>
          <w:rFonts w:ascii="Times New Roman" w:hAnsi="Times New Roman" w:cs="Times New Roman"/>
        </w:rPr>
        <w:t>PHONE NUMBER:</w:t>
      </w:r>
      <w:r>
        <w:rPr>
          <w:rFonts w:ascii="Times New Roman" w:hAnsi="Times New Roman" w:cs="Times New Roman"/>
        </w:rPr>
        <w:t xml:space="preserve"> 513</w:t>
      </w:r>
      <w:r w:rsidRPr="008D7C2A">
        <w:rPr>
          <w:rFonts w:ascii="Times New Roman" w:hAnsi="Times New Roman" w:cs="Times New Roman"/>
        </w:rPr>
        <w:t>.</w:t>
      </w:r>
      <w:r>
        <w:rPr>
          <w:rFonts w:ascii="Times New Roman" w:hAnsi="Times New Roman" w:cs="Times New Roman"/>
        </w:rPr>
        <w:t>841</w:t>
      </w:r>
      <w:r w:rsidRPr="008D7C2A">
        <w:rPr>
          <w:rFonts w:ascii="Times New Roman" w:hAnsi="Times New Roman" w:cs="Times New Roman"/>
        </w:rPr>
        <w:t>.</w:t>
      </w:r>
      <w:r>
        <w:rPr>
          <w:rFonts w:ascii="Times New Roman" w:hAnsi="Times New Roman" w:cs="Times New Roman"/>
        </w:rPr>
        <w:t>4337</w:t>
      </w:r>
    </w:p>
    <w:p w14:paraId="0BAFC4B1" w14:textId="77777777" w:rsidR="0001109C" w:rsidRPr="00A51E2E" w:rsidRDefault="0001109C" w:rsidP="0001109C">
      <w:pPr>
        <w:rPr>
          <w:rFonts w:ascii="Times New Roman" w:hAnsi="Times New Roman" w:cs="Times New Roman"/>
        </w:rPr>
      </w:pPr>
      <w:r w:rsidRPr="00A51E2E">
        <w:rPr>
          <w:rFonts w:ascii="Times New Roman" w:hAnsi="Times New Roman" w:cs="Times New Roman"/>
        </w:rPr>
        <w:t>EMAIL ADDRESS:</w:t>
      </w:r>
      <w:r w:rsidR="004C5302">
        <w:rPr>
          <w:rFonts w:ascii="Times New Roman" w:hAnsi="Times New Roman" w:cs="Times New Roman"/>
        </w:rPr>
        <w:t xml:space="preserve"> agomaa</w:t>
      </w:r>
      <w:r w:rsidRPr="008D7C2A">
        <w:rPr>
          <w:rFonts w:ascii="Times New Roman" w:hAnsi="Times New Roman" w:cs="Times New Roman"/>
        </w:rPr>
        <w:t>@cdc.gov</w:t>
      </w:r>
    </w:p>
    <w:p w14:paraId="7119829B" w14:textId="77777777" w:rsidR="0001109C" w:rsidRPr="00A51E2E" w:rsidRDefault="0001109C" w:rsidP="0001109C">
      <w:pPr>
        <w:rPr>
          <w:rFonts w:ascii="Times New Roman" w:hAnsi="Times New Roman" w:cs="Times New Roman"/>
        </w:rPr>
      </w:pPr>
      <w:r w:rsidRPr="00A51E2E">
        <w:rPr>
          <w:rFonts w:ascii="Times New Roman" w:hAnsi="Times New Roman" w:cs="Times New Roman"/>
        </w:rPr>
        <w:t>FAX NUMBER:</w:t>
      </w:r>
      <w:r>
        <w:rPr>
          <w:rFonts w:ascii="Times New Roman" w:hAnsi="Times New Roman" w:cs="Times New Roman"/>
        </w:rPr>
        <w:t xml:space="preserve"> 513.841.4489</w:t>
      </w:r>
    </w:p>
    <w:p w14:paraId="7AB45902" w14:textId="098B8431" w:rsidR="00743131" w:rsidRDefault="0001109C" w:rsidP="00026F0F">
      <w:pPr>
        <w:rPr>
          <w:rFonts w:ascii="Times New Roman" w:hAnsi="Times New Roman" w:cs="Times New Roman"/>
        </w:rPr>
      </w:pPr>
      <w:r w:rsidRPr="00A51E2E">
        <w:rPr>
          <w:rFonts w:ascii="Times New Roman" w:hAnsi="Times New Roman" w:cs="Times New Roman"/>
        </w:rPr>
        <w:t>DATE:</w:t>
      </w:r>
      <w:r>
        <w:rPr>
          <w:rFonts w:ascii="Times New Roman" w:hAnsi="Times New Roman" w:cs="Times New Roman"/>
        </w:rPr>
        <w:t xml:space="preserve"> </w:t>
      </w:r>
      <w:r w:rsidR="00834A94">
        <w:rPr>
          <w:rFonts w:ascii="Times New Roman" w:hAnsi="Times New Roman" w:cs="Times New Roman"/>
        </w:rPr>
        <w:t>11</w:t>
      </w:r>
      <w:r w:rsidR="000F43CA">
        <w:rPr>
          <w:rFonts w:ascii="Times New Roman" w:hAnsi="Times New Roman" w:cs="Times New Roman"/>
        </w:rPr>
        <w:t>-</w:t>
      </w:r>
      <w:r w:rsidR="00834A94">
        <w:rPr>
          <w:rFonts w:ascii="Times New Roman" w:hAnsi="Times New Roman" w:cs="Times New Roman"/>
        </w:rPr>
        <w:t>01</w:t>
      </w:r>
      <w:r w:rsidR="000F43CA">
        <w:rPr>
          <w:rFonts w:ascii="Times New Roman" w:hAnsi="Times New Roman" w:cs="Times New Roman"/>
        </w:rPr>
        <w:t>-2016</w:t>
      </w:r>
    </w:p>
    <w:p w14:paraId="73C7A6B9" w14:textId="77777777" w:rsidR="00026F0F" w:rsidRDefault="00026F0F" w:rsidP="00026F0F">
      <w:pPr>
        <w:rPr>
          <w:rFonts w:ascii="Times New Roman" w:hAnsi="Times New Roman" w:cs="Times New Roman"/>
        </w:rPr>
      </w:pPr>
    </w:p>
    <w:p w14:paraId="4D53F0EE" w14:textId="77777777" w:rsidR="00796E4F" w:rsidRPr="00743131" w:rsidRDefault="00796E4F" w:rsidP="00743131">
      <w:pPr>
        <w:widowControl w:val="0"/>
        <w:jc w:val="both"/>
        <w:rPr>
          <w:rFonts w:ascii="Times New Roman" w:hAnsi="Times New Roman" w:cs="Times New Roman"/>
        </w:rPr>
      </w:pPr>
      <w:r>
        <w:rPr>
          <w:rFonts w:ascii="Times New Roman" w:eastAsia="Times New Roman" w:hAnsi="Times New Roman" w:cs="Times New Roman"/>
          <w:iCs/>
          <w:sz w:val="24"/>
          <w:szCs w:val="24"/>
        </w:rPr>
        <w:br w:type="page"/>
      </w:r>
    </w:p>
    <w:p w14:paraId="284EBFB1"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iCs/>
          <w:sz w:val="24"/>
          <w:szCs w:val="24"/>
        </w:rPr>
      </w:pPr>
    </w:p>
    <w:p w14:paraId="701CABFC"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iCs/>
          <w:sz w:val="24"/>
          <w:szCs w:val="24"/>
        </w:rPr>
      </w:pPr>
    </w:p>
    <w:p w14:paraId="16FED5B7"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iCs/>
          <w:sz w:val="24"/>
          <w:szCs w:val="24"/>
        </w:rPr>
      </w:pPr>
    </w:p>
    <w:p w14:paraId="49598800"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iCs/>
          <w:sz w:val="24"/>
          <w:szCs w:val="24"/>
        </w:rPr>
      </w:pPr>
    </w:p>
    <w:p w14:paraId="0AC33C86" w14:textId="77777777" w:rsidR="002B78C9" w:rsidRPr="006300DD" w:rsidRDefault="002B78C9" w:rsidP="002B78C9">
      <w:pPr>
        <w:jc w:val="both"/>
        <w:rPr>
          <w:rFonts w:ascii="Times New Roman" w:eastAsia="Times New Roman" w:hAnsi="Times New Roman" w:cs="Times New Roman"/>
          <w:sz w:val="24"/>
          <w:szCs w:val="24"/>
        </w:rPr>
      </w:pPr>
    </w:p>
    <w:p w14:paraId="7EF58FF5" w14:textId="77777777" w:rsidR="002B78C9" w:rsidRPr="006300DD" w:rsidRDefault="002B78C9" w:rsidP="002B78C9">
      <w:pPr>
        <w:rPr>
          <w:rFonts w:ascii="Times New Roman" w:eastAsia="Times New Roman" w:hAnsi="Times New Roman" w:cs="Times New Roman"/>
          <w:b/>
          <w:sz w:val="24"/>
          <w:szCs w:val="24"/>
          <w:u w:val="single"/>
        </w:rPr>
      </w:pPr>
      <w:r w:rsidRPr="006300DD">
        <w:rPr>
          <w:rFonts w:ascii="Times New Roman" w:eastAsia="Times New Roman" w:hAnsi="Times New Roman" w:cs="Times New Roman"/>
          <w:b/>
          <w:sz w:val="24"/>
          <w:szCs w:val="24"/>
          <w:u w:val="single"/>
        </w:rPr>
        <w:t>Table of Contents</w:t>
      </w:r>
    </w:p>
    <w:p w14:paraId="2DA09B72" w14:textId="77777777" w:rsidR="002B78C9" w:rsidRPr="006300DD" w:rsidRDefault="002B78C9" w:rsidP="002B78C9">
      <w:pPr>
        <w:rPr>
          <w:rFonts w:ascii="Times New Roman" w:eastAsia="Times New Roman" w:hAnsi="Times New Roman" w:cs="Times New Roman"/>
          <w:sz w:val="24"/>
          <w:szCs w:val="24"/>
        </w:rPr>
      </w:pPr>
    </w:p>
    <w:p w14:paraId="05783E8F" w14:textId="77777777" w:rsidR="002B78C9" w:rsidRPr="006300DD" w:rsidRDefault="002B78C9" w:rsidP="002B78C9">
      <w:pPr>
        <w:jc w:val="both"/>
        <w:rPr>
          <w:rFonts w:ascii="Times New Roman" w:eastAsia="Times New Roman" w:hAnsi="Times New Roman" w:cs="Times New Roman"/>
          <w:b/>
          <w:sz w:val="24"/>
          <w:szCs w:val="24"/>
        </w:rPr>
      </w:pPr>
      <w:r w:rsidRPr="006300DD">
        <w:rPr>
          <w:rFonts w:ascii="Times New Roman" w:eastAsia="Times New Roman" w:hAnsi="Times New Roman" w:cs="Times New Roman"/>
          <w:b/>
          <w:sz w:val="24"/>
          <w:szCs w:val="24"/>
        </w:rPr>
        <w:t>Section B.  Data Collection Procedures</w:t>
      </w:r>
    </w:p>
    <w:p w14:paraId="710494C4" w14:textId="77777777" w:rsidR="002B78C9" w:rsidRPr="006300DD" w:rsidRDefault="002B78C9" w:rsidP="002B78C9">
      <w:pPr>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B1.</w:t>
      </w:r>
      <w:r w:rsidRPr="006300DD">
        <w:rPr>
          <w:rFonts w:ascii="Times New Roman" w:eastAsia="Times New Roman" w:hAnsi="Times New Roman" w:cs="Times New Roman"/>
          <w:sz w:val="24"/>
          <w:szCs w:val="24"/>
        </w:rPr>
        <w:tab/>
        <w:t>Respondent Population and Selection of Respondents</w:t>
      </w:r>
    </w:p>
    <w:p w14:paraId="57CC1278" w14:textId="77777777" w:rsidR="002B78C9" w:rsidRPr="006300DD" w:rsidRDefault="002B78C9" w:rsidP="002B78C9">
      <w:pPr>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B2.</w:t>
      </w:r>
      <w:r w:rsidRPr="006300DD">
        <w:rPr>
          <w:rFonts w:ascii="Times New Roman" w:eastAsia="Times New Roman" w:hAnsi="Times New Roman" w:cs="Times New Roman"/>
          <w:sz w:val="24"/>
          <w:szCs w:val="24"/>
        </w:rPr>
        <w:tab/>
        <w:t>Procedures for the Collection of Information</w:t>
      </w:r>
    </w:p>
    <w:p w14:paraId="4AED7BC1" w14:textId="77777777" w:rsidR="002B78C9" w:rsidRPr="006300DD" w:rsidRDefault="002B78C9" w:rsidP="002B78C9">
      <w:pPr>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B3.</w:t>
      </w:r>
      <w:r w:rsidRPr="006300DD">
        <w:rPr>
          <w:rFonts w:ascii="Times New Roman" w:eastAsia="Times New Roman" w:hAnsi="Times New Roman" w:cs="Times New Roman"/>
          <w:sz w:val="24"/>
          <w:szCs w:val="24"/>
        </w:rPr>
        <w:tab/>
        <w:t>Methods to Maximize Response Rates and Deal with Nonresponse</w:t>
      </w:r>
    </w:p>
    <w:p w14:paraId="13B1861D" w14:textId="77777777" w:rsidR="002B78C9" w:rsidRPr="006300DD" w:rsidRDefault="002B78C9" w:rsidP="002B78C9">
      <w:pPr>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B4.</w:t>
      </w:r>
      <w:r w:rsidRPr="006300DD">
        <w:rPr>
          <w:rFonts w:ascii="Times New Roman" w:eastAsia="Times New Roman" w:hAnsi="Times New Roman" w:cs="Times New Roman"/>
          <w:sz w:val="24"/>
          <w:szCs w:val="24"/>
        </w:rPr>
        <w:tab/>
        <w:t>Tests of Procedures or Methods to be Undertaken</w:t>
      </w:r>
    </w:p>
    <w:p w14:paraId="1C72C8B3" w14:textId="77777777" w:rsidR="002B78C9" w:rsidRPr="006300DD" w:rsidRDefault="002B78C9" w:rsidP="002B78C9">
      <w:pPr>
        <w:ind w:left="720" w:hanging="720"/>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B5.</w:t>
      </w:r>
      <w:r w:rsidRPr="006300DD">
        <w:rPr>
          <w:rFonts w:ascii="Times New Roman" w:eastAsia="Times New Roman" w:hAnsi="Times New Roman" w:cs="Times New Roman"/>
          <w:sz w:val="24"/>
          <w:szCs w:val="24"/>
        </w:rPr>
        <w:tab/>
        <w:t>Individuals Consulted on Statistical Aspects and Individuals Collecting and/or References</w:t>
      </w:r>
    </w:p>
    <w:p w14:paraId="7A8A3D69" w14:textId="77777777" w:rsidR="002B78C9" w:rsidRPr="006300DD" w:rsidRDefault="002B78C9" w:rsidP="002B78C9">
      <w:pPr>
        <w:jc w:val="both"/>
        <w:rPr>
          <w:rFonts w:ascii="Arial" w:eastAsia="Times New Roman" w:hAnsi="Arial" w:cs="Times New Roman"/>
          <w:sz w:val="24"/>
          <w:szCs w:val="24"/>
        </w:rPr>
      </w:pPr>
    </w:p>
    <w:p w14:paraId="2462E2CD" w14:textId="77777777" w:rsidR="002B78C9" w:rsidRDefault="002B78C9" w:rsidP="002B78C9">
      <w:pPr>
        <w:pStyle w:val="Default"/>
        <w:ind w:left="-360" w:right="432"/>
        <w:rPr>
          <w:b/>
          <w:bCs/>
        </w:rPr>
      </w:pPr>
    </w:p>
    <w:p w14:paraId="00A39D7B" w14:textId="77777777" w:rsidR="002B78C9" w:rsidRDefault="002B78C9" w:rsidP="002B78C9">
      <w:pPr>
        <w:pStyle w:val="Default"/>
        <w:ind w:left="-360" w:right="432"/>
        <w:rPr>
          <w:b/>
          <w:bCs/>
        </w:rPr>
      </w:pPr>
    </w:p>
    <w:p w14:paraId="1FDD2458" w14:textId="77777777" w:rsidR="002B78C9" w:rsidRDefault="002B78C9" w:rsidP="002B78C9">
      <w:pPr>
        <w:pStyle w:val="Default"/>
        <w:ind w:left="-360" w:right="432"/>
        <w:rPr>
          <w:b/>
          <w:bCs/>
        </w:rPr>
      </w:pPr>
    </w:p>
    <w:p w14:paraId="01C80157" w14:textId="77777777" w:rsidR="002B78C9" w:rsidRDefault="002B78C9" w:rsidP="002B78C9">
      <w:pPr>
        <w:pStyle w:val="Default"/>
        <w:ind w:left="-360" w:right="432"/>
        <w:rPr>
          <w:b/>
          <w:bCs/>
        </w:rPr>
      </w:pPr>
    </w:p>
    <w:p w14:paraId="70E81C84" w14:textId="77777777" w:rsidR="002B78C9" w:rsidRDefault="002B78C9" w:rsidP="002B78C9">
      <w:pPr>
        <w:pStyle w:val="Default"/>
        <w:ind w:left="-360" w:right="432"/>
        <w:rPr>
          <w:b/>
          <w:bCs/>
        </w:rPr>
      </w:pPr>
    </w:p>
    <w:p w14:paraId="139AD51A" w14:textId="77777777" w:rsidR="002B78C9" w:rsidRDefault="002B78C9" w:rsidP="002B78C9">
      <w:pPr>
        <w:pStyle w:val="Default"/>
        <w:ind w:left="-360" w:right="432"/>
        <w:rPr>
          <w:b/>
          <w:bCs/>
        </w:rPr>
      </w:pPr>
    </w:p>
    <w:p w14:paraId="35EE10DA"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09093CD6"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426F95B7"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4DCF5B41"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26ECBB49"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62D99DDC"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5189DF8E"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3152343C"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39AABFFC"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6693E662"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52FA3483"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63BD698B"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486DF2C"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52C877A"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4856541F"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32E60C65"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3E763E15"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593878BB"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667C7440"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4F849EAE"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2DC8547A"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95D88EF"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145B3702"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0A59F6B6" w14:textId="77777777" w:rsidR="00420BED" w:rsidRDefault="00420BED"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385A5353" w14:textId="77777777" w:rsidR="00420BED" w:rsidRDefault="00420BED"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C3B5B42"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0C28F774"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1AA9D604"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008405C3"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63DDC70E"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4E2A4D49"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47E3CFB9"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09A4BCC2"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0FEA1C12"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23439DDB" w14:textId="77777777" w:rsidR="002B78C9" w:rsidRDefault="002B78C9" w:rsidP="003B4544">
      <w:pPr>
        <w:pStyle w:val="Default"/>
        <w:ind w:left="-360" w:right="432"/>
        <w:rPr>
          <w:rFonts w:eastAsia="Times New Roman"/>
          <w:color w:val="auto"/>
        </w:rPr>
      </w:pPr>
    </w:p>
    <w:p w14:paraId="740BA0B0" w14:textId="77777777" w:rsidR="003B4544" w:rsidRPr="002B78C9" w:rsidRDefault="003B4544" w:rsidP="003B4544">
      <w:pPr>
        <w:pStyle w:val="Default"/>
        <w:ind w:left="-360" w:right="432"/>
      </w:pPr>
      <w:r w:rsidRPr="002B78C9">
        <w:rPr>
          <w:b/>
          <w:bCs/>
        </w:rPr>
        <w:t xml:space="preserve">B. Collections of Information Employing Statistical Methods </w:t>
      </w:r>
    </w:p>
    <w:p w14:paraId="7D2080BC" w14:textId="77777777" w:rsidR="003B4544" w:rsidRPr="002B78C9" w:rsidRDefault="003B4544" w:rsidP="003B4544">
      <w:pPr>
        <w:pStyle w:val="Default"/>
        <w:ind w:left="-360" w:right="432"/>
        <w:rPr>
          <w:b/>
          <w:bCs/>
        </w:rPr>
      </w:pPr>
    </w:p>
    <w:p w14:paraId="62F7B5CA" w14:textId="77777777" w:rsidR="00013D90" w:rsidRDefault="003B4544" w:rsidP="00013D90">
      <w:pPr>
        <w:pStyle w:val="Default"/>
        <w:ind w:left="-360" w:right="432"/>
        <w:rPr>
          <w:b/>
          <w:bCs/>
        </w:rPr>
      </w:pPr>
      <w:r w:rsidRPr="002B78C9">
        <w:rPr>
          <w:b/>
          <w:bCs/>
        </w:rPr>
        <w:t xml:space="preserve">1. Respondent Universe and Sampling Methods </w:t>
      </w:r>
      <w:r w:rsidR="0079572D">
        <w:rPr>
          <w:b/>
          <w:bCs/>
        </w:rPr>
        <w:t xml:space="preserve"> </w:t>
      </w:r>
    </w:p>
    <w:p w14:paraId="5405EC36" w14:textId="51159B75" w:rsidR="00207C11" w:rsidRDefault="008B5B21" w:rsidP="00BB7764">
      <w:pPr>
        <w:pStyle w:val="Default"/>
        <w:ind w:left="-360" w:right="432" w:firstLine="1080"/>
      </w:pPr>
      <w:r>
        <w:t xml:space="preserve">Data included in </w:t>
      </w:r>
      <w:r w:rsidR="00A07C80">
        <w:t>OHSN</w:t>
      </w:r>
      <w:r>
        <w:t xml:space="preserve"> </w:t>
      </w:r>
      <w:r w:rsidR="00781560">
        <w:t>is</w:t>
      </w:r>
      <w:r>
        <w:t xml:space="preserve"> submitted by </w:t>
      </w:r>
      <w:r w:rsidR="0078074B">
        <w:t xml:space="preserve">health care </w:t>
      </w:r>
      <w:r>
        <w:t>facilities that have volunteered to participate in the program.</w:t>
      </w:r>
      <w:r w:rsidR="00A07C80">
        <w:t xml:space="preserve"> The </w:t>
      </w:r>
      <w:r w:rsidR="00781560">
        <w:t xml:space="preserve">respondent universe for OHSN could </w:t>
      </w:r>
      <w:r w:rsidR="00A07C80">
        <w:t xml:space="preserve">potentially </w:t>
      </w:r>
      <w:r w:rsidR="00781560">
        <w:t xml:space="preserve">include </w:t>
      </w:r>
      <w:r w:rsidR="00A07C80">
        <w:t xml:space="preserve">all inpatient hospitals and outpatient clinics belonging to hospitals in the United States. According to American Hospital Association annual survey </w:t>
      </w:r>
      <w:hyperlink r:id="rId8" w:history="1">
        <w:r w:rsidR="00A07C80" w:rsidRPr="00BA1573">
          <w:rPr>
            <w:rStyle w:val="Hyperlink"/>
          </w:rPr>
          <w:t>http://www.aha.org/research/rc/stat-studies/fast-facts.shtml</w:t>
        </w:r>
      </w:hyperlink>
      <w:r w:rsidR="00A07C80">
        <w:t xml:space="preserve"> , in 2013 there were 5,686 U.S. Registered hospitals</w:t>
      </w:r>
      <w:r w:rsidR="0021352F">
        <w:t xml:space="preserve">. </w:t>
      </w:r>
      <w:r w:rsidR="00A07C80">
        <w:t xml:space="preserve">Because NIOSH cannot control which hospital will agree to participate, the data collected cannot be considered representative of </w:t>
      </w:r>
      <w:r w:rsidR="00D146CC">
        <w:t xml:space="preserve">either a segment of or </w:t>
      </w:r>
      <w:r w:rsidR="00A07C80">
        <w:t>th</w:t>
      </w:r>
      <w:r w:rsidR="00A11467">
        <w:t>e entire population of hospital</w:t>
      </w:r>
      <w:r w:rsidR="00A07C80">
        <w:t xml:space="preserve"> workers </w:t>
      </w:r>
      <w:r w:rsidR="00781560">
        <w:t>in the</w:t>
      </w:r>
      <w:r w:rsidR="00A07C80">
        <w:t xml:space="preserve"> U.S</w:t>
      </w:r>
      <w:r w:rsidR="00113132">
        <w:t xml:space="preserve">.  </w:t>
      </w:r>
      <w:r w:rsidR="00EF6344">
        <w:t>W</w:t>
      </w:r>
      <w:r w:rsidR="00D146CC">
        <w:t xml:space="preserve">e will not be generating </w:t>
      </w:r>
      <w:r w:rsidR="00D52785">
        <w:t>aggregate summary information from this network</w:t>
      </w:r>
      <w:r w:rsidR="00D146CC">
        <w:t xml:space="preserve"> other than to describe how many hospitals are involved and the characteristics of those hospitals</w:t>
      </w:r>
      <w:r w:rsidR="00D52785">
        <w:t>.</w:t>
      </w:r>
      <w:r w:rsidR="00A07C80">
        <w:t xml:space="preserve">  </w:t>
      </w:r>
      <w:r w:rsidR="00CA5221">
        <w:t xml:space="preserve"> However, t</w:t>
      </w:r>
      <w:r>
        <w:t>he data</w:t>
      </w:r>
      <w:r w:rsidR="00CA5221">
        <w:t xml:space="preserve"> from participating hospitals</w:t>
      </w:r>
      <w:r>
        <w:t xml:space="preserve"> may</w:t>
      </w:r>
      <w:r w:rsidR="00CA5221">
        <w:t xml:space="preserve"> provide insights into health and safety issues relevant to other hospital settings</w:t>
      </w:r>
      <w:r w:rsidR="00D146CC">
        <w:t xml:space="preserve"> – that is, if a problem is present in some hospitals, we might surmise that some other hospitals also have this problem, though we would not be able to provide insight regarding the expected prevalence of the problem or the characteristics of hospitals likely to that that problem</w:t>
      </w:r>
      <w:r>
        <w:t>.</w:t>
      </w:r>
      <w:r w:rsidR="00CA5221">
        <w:t xml:space="preserve"> </w:t>
      </w:r>
      <w:r w:rsidR="00066D84">
        <w:t>Thus the information from participating hospitals provides</w:t>
      </w:r>
      <w:r w:rsidR="00066D84" w:rsidRPr="00066D84">
        <w:t xml:space="preserve"> </w:t>
      </w:r>
      <w:r w:rsidR="00066D84">
        <w:t>conceptual explanations of the topic being surveyed</w:t>
      </w:r>
      <w:r w:rsidR="00C213C0">
        <w:t xml:space="preserve"> for a given healthcare facility</w:t>
      </w:r>
      <w:r w:rsidR="00D146CC">
        <w:t xml:space="preserve">, in the manner of case studies. </w:t>
      </w:r>
      <w:r w:rsidR="00A07C80">
        <w:t xml:space="preserve">We are </w:t>
      </w:r>
      <w:r w:rsidR="00644DD9">
        <w:t>hoping that</w:t>
      </w:r>
      <w:r w:rsidR="00A07C80">
        <w:t xml:space="preserve"> 300 hospitals will </w:t>
      </w:r>
      <w:r w:rsidR="00D146CC">
        <w:t>enroll</w:t>
      </w:r>
      <w:r w:rsidR="00A07C80">
        <w:t xml:space="preserve"> over the next three years.  As of October 2015, there are 116 hospitals enrolled in OHSN. Of these, 110 are general medical/surgical hospitals, 2 are children’s hospitals, 2 are long-term acute care hospitals, 1 is an alcoholism/chemical dependency hospital and 1 is an adult specialty hospital.</w:t>
      </w:r>
      <w:r>
        <w:t xml:space="preserve"> We anticipate that many more hospitals will join OHSN after the launch of </w:t>
      </w:r>
      <w:r w:rsidR="00A11467">
        <w:t xml:space="preserve">a </w:t>
      </w:r>
      <w:r>
        <w:t xml:space="preserve">new module which will collect data and analyze data on needle sticks for participating facilities. Hospitals and hospital systems are </w:t>
      </w:r>
      <w:r w:rsidR="00C10C62">
        <w:t xml:space="preserve">mainly </w:t>
      </w:r>
      <w:r>
        <w:t>rec</w:t>
      </w:r>
      <w:r w:rsidR="00A11467">
        <w:t>ruited through the OHSN website and</w:t>
      </w:r>
      <w:r>
        <w:t xml:space="preserve"> informational seminars at conferences attended by occupational safety and health practi</w:t>
      </w:r>
      <w:r w:rsidR="00C10C62">
        <w:t>ti</w:t>
      </w:r>
      <w:r>
        <w:t>oners</w:t>
      </w:r>
      <w:r w:rsidR="00C10C62">
        <w:t>.</w:t>
      </w:r>
    </w:p>
    <w:p w14:paraId="0243A7B1" w14:textId="77777777" w:rsidR="00207C11" w:rsidRDefault="00207C11" w:rsidP="00C12DE6">
      <w:pPr>
        <w:pStyle w:val="Default"/>
        <w:ind w:left="-360" w:right="432" w:firstLine="1080"/>
      </w:pPr>
    </w:p>
    <w:p w14:paraId="7884DD21" w14:textId="4AF6E2BB" w:rsidR="00BB7764" w:rsidRDefault="00781560" w:rsidP="00781560">
      <w:pPr>
        <w:pStyle w:val="Default"/>
        <w:ind w:left="-360" w:right="432"/>
      </w:pPr>
      <w:r>
        <w:t xml:space="preserve"> </w:t>
      </w:r>
      <w:r>
        <w:tab/>
      </w:r>
      <w:r w:rsidR="00A07C80">
        <w:t>Currently, independent doctors’ offices and other health</w:t>
      </w:r>
      <w:r w:rsidR="0078074B">
        <w:t xml:space="preserve"> </w:t>
      </w:r>
      <w:r w:rsidR="00A07C80">
        <w:t xml:space="preserve">care facilities such as dialysis centers and nursing homes that do not belong to hospitals are not able to participate in OHSN. </w:t>
      </w:r>
    </w:p>
    <w:p w14:paraId="1C244529" w14:textId="77777777" w:rsidR="00BB7764" w:rsidRDefault="00BB7764" w:rsidP="00BB7764">
      <w:pPr>
        <w:pStyle w:val="Default"/>
        <w:ind w:left="-360" w:right="432" w:firstLine="1080"/>
      </w:pPr>
    </w:p>
    <w:p w14:paraId="367DFE5A" w14:textId="77777777" w:rsidR="00C12DE6" w:rsidRPr="00BB7764" w:rsidRDefault="003B4544" w:rsidP="00781560">
      <w:pPr>
        <w:pStyle w:val="Default"/>
        <w:numPr>
          <w:ilvl w:val="0"/>
          <w:numId w:val="7"/>
        </w:numPr>
        <w:tabs>
          <w:tab w:val="left" w:pos="0"/>
          <w:tab w:val="left" w:pos="270"/>
        </w:tabs>
        <w:ind w:left="0" w:right="432"/>
      </w:pPr>
      <w:r w:rsidRPr="002B78C9">
        <w:rPr>
          <w:b/>
          <w:bCs/>
        </w:rPr>
        <w:t>Procedures for the Collection of Information</w:t>
      </w:r>
    </w:p>
    <w:p w14:paraId="1A938EFA" w14:textId="77777777" w:rsidR="00C12DE6" w:rsidRDefault="00C12DE6" w:rsidP="00781560">
      <w:pPr>
        <w:pStyle w:val="Default"/>
        <w:ind w:left="-360" w:right="432" w:firstLine="450"/>
      </w:pPr>
      <w:r>
        <w:t>Pa</w:t>
      </w:r>
      <w:r w:rsidR="005A4749" w:rsidRPr="005A4749">
        <w:rPr>
          <w:bCs/>
        </w:rPr>
        <w:t xml:space="preserve">rticipation in OHSN is open to all U.S. health care facilities. Participating facilities have complete autonomy when choosing </w:t>
      </w:r>
      <w:r w:rsidR="00C528B6">
        <w:rPr>
          <w:bCs/>
        </w:rPr>
        <w:t xml:space="preserve">the </w:t>
      </w:r>
      <w:r w:rsidR="005A4749" w:rsidRPr="005A4749">
        <w:rPr>
          <w:bCs/>
        </w:rPr>
        <w:t xml:space="preserve">modules </w:t>
      </w:r>
      <w:r w:rsidR="00C528B6">
        <w:rPr>
          <w:bCs/>
        </w:rPr>
        <w:t xml:space="preserve">to which they </w:t>
      </w:r>
      <w:r w:rsidR="005A4749" w:rsidRPr="005A4749">
        <w:rPr>
          <w:bCs/>
        </w:rPr>
        <w:t>submit data to OHSN. Health care facilities interested in participating in OHSN complete the enrollment form, which contains identifying and contact information, and sign the Data Use Agreement (DUA), which means that they agree to collect and report data using OHSN protocols. The DUA was reviewed and cleared by CDC NIOSH General Counsel.</w:t>
      </w:r>
      <w:r w:rsidR="00043A3C" w:rsidRPr="00043A3C">
        <w:t xml:space="preserve"> </w:t>
      </w:r>
    </w:p>
    <w:p w14:paraId="29E0BCDA" w14:textId="77777777" w:rsidR="00C12DE6" w:rsidRDefault="00C12DE6" w:rsidP="00781560">
      <w:pPr>
        <w:pStyle w:val="Default"/>
        <w:ind w:left="-360" w:firstLine="450"/>
      </w:pPr>
    </w:p>
    <w:p w14:paraId="34B9F3C2" w14:textId="359A8086" w:rsidR="002556ED" w:rsidRPr="002556ED" w:rsidRDefault="002556ED" w:rsidP="002556ED">
      <w:pPr>
        <w:pStyle w:val="Default"/>
        <w:ind w:left="-360" w:right="432" w:firstLine="360"/>
        <w:rPr>
          <w:bCs/>
        </w:rPr>
      </w:pPr>
      <w:r w:rsidRPr="002556ED">
        <w:rPr>
          <w:bCs/>
        </w:rPr>
        <w:t xml:space="preserve">OHSN currently consists of three modules that collect exiting information </w:t>
      </w:r>
      <w:r w:rsidR="00CC4FC4">
        <w:rPr>
          <w:bCs/>
        </w:rPr>
        <w:t>from</w:t>
      </w:r>
      <w:r w:rsidRPr="002556ED">
        <w:rPr>
          <w:bCs/>
        </w:rPr>
        <w:t xml:space="preserve"> the following sources of employee injuries: patient handling and movement; slips, trips and falls; and workplace violence. </w:t>
      </w:r>
      <w:r w:rsidR="00C1499C">
        <w:rPr>
          <w:bCs/>
        </w:rPr>
        <w:t xml:space="preserve">(See Appendix G for data submitted to OHSN). </w:t>
      </w:r>
      <w:r w:rsidRPr="002556ED">
        <w:rPr>
          <w:bCs/>
        </w:rPr>
        <w:t>Occupational health professionals (mostly occupational nurse</w:t>
      </w:r>
      <w:r w:rsidR="005E18D3">
        <w:rPr>
          <w:bCs/>
        </w:rPr>
        <w:t>s</w:t>
      </w:r>
      <w:r w:rsidRPr="002556ED">
        <w:rPr>
          <w:bCs/>
        </w:rPr>
        <w:t>) from participating hospitals upload de-identified data on these three types of occupational injury to the respective OHSN modules on a monthly basis.</w:t>
      </w:r>
      <w:r w:rsidR="00C1499C">
        <w:rPr>
          <w:bCs/>
        </w:rPr>
        <w:t xml:space="preserve"> Once received, these data undergo quality control processes, including edit and range checks. U</w:t>
      </w:r>
      <w:r w:rsidRPr="002556ED">
        <w:rPr>
          <w:bCs/>
        </w:rPr>
        <w:t>pload</w:t>
      </w:r>
      <w:r w:rsidR="0078074B">
        <w:rPr>
          <w:bCs/>
        </w:rPr>
        <w:t>ed</w:t>
      </w:r>
      <w:r w:rsidR="00C1499C">
        <w:rPr>
          <w:bCs/>
        </w:rPr>
        <w:t xml:space="preserve"> data</w:t>
      </w:r>
      <w:r w:rsidR="0078074B">
        <w:rPr>
          <w:bCs/>
        </w:rPr>
        <w:t xml:space="preserve"> </w:t>
      </w:r>
      <w:r w:rsidRPr="002556ED">
        <w:rPr>
          <w:bCs/>
        </w:rPr>
        <w:t xml:space="preserve">include injury counts as well as comprehensive information on the timing, location, and surrounding circumstances of each event. The modules </w:t>
      </w:r>
      <w:r w:rsidR="00CC4FC4">
        <w:rPr>
          <w:bCs/>
        </w:rPr>
        <w:t>went</w:t>
      </w:r>
      <w:r w:rsidRPr="002556ED">
        <w:rPr>
          <w:bCs/>
        </w:rPr>
        <w:t xml:space="preserve"> live </w:t>
      </w:r>
      <w:r w:rsidR="00CC4FC4">
        <w:rPr>
          <w:bCs/>
        </w:rPr>
        <w:t>in</w:t>
      </w:r>
      <w:r w:rsidRPr="002556ED">
        <w:rPr>
          <w:bCs/>
        </w:rPr>
        <w:t xml:space="preserve"> 2013 and health</w:t>
      </w:r>
      <w:r w:rsidR="0078074B">
        <w:rPr>
          <w:bCs/>
        </w:rPr>
        <w:t xml:space="preserve"> </w:t>
      </w:r>
      <w:r w:rsidRPr="002556ED">
        <w:rPr>
          <w:bCs/>
        </w:rPr>
        <w:t xml:space="preserve">care facilities </w:t>
      </w:r>
      <w:r w:rsidR="00CC4FC4">
        <w:rPr>
          <w:bCs/>
        </w:rPr>
        <w:t>can</w:t>
      </w:r>
      <w:r w:rsidRPr="002556ED">
        <w:rPr>
          <w:bCs/>
        </w:rPr>
        <w:t xml:space="preserve"> upload historical data from 2012.  </w:t>
      </w:r>
    </w:p>
    <w:p w14:paraId="5CC92DC5" w14:textId="77777777" w:rsidR="002556ED" w:rsidRDefault="002556ED" w:rsidP="002556ED">
      <w:pPr>
        <w:pStyle w:val="Default"/>
        <w:ind w:left="-360" w:right="432" w:firstLine="360"/>
      </w:pPr>
    </w:p>
    <w:p w14:paraId="2CEDC5AB" w14:textId="77777777" w:rsidR="002556ED" w:rsidRPr="002556ED" w:rsidRDefault="002556ED" w:rsidP="002556ED">
      <w:pPr>
        <w:pStyle w:val="Default"/>
        <w:ind w:left="-360" w:right="432" w:firstLine="360"/>
      </w:pPr>
      <w:r w:rsidRPr="002556ED">
        <w:t>Facilities access the OHSN web portal to track trends of employee injuries and benchmark their internal rates and trends against aggregate data from si</w:t>
      </w:r>
      <w:r w:rsidR="00CC4FC4">
        <w:t xml:space="preserve">milar workplaces.  Through OHSN, </w:t>
      </w:r>
      <w:r w:rsidRPr="002556ED">
        <w:t xml:space="preserve">participating facilities are also able to assess the impact of prevention efforts on occupational health and safety over time using integrated data analysis and visualization tools (charts and graphs). </w:t>
      </w:r>
    </w:p>
    <w:p w14:paraId="38C50890" w14:textId="77777777" w:rsidR="002556ED" w:rsidRPr="002556ED" w:rsidRDefault="002556ED" w:rsidP="002556ED">
      <w:pPr>
        <w:pStyle w:val="Default"/>
        <w:ind w:left="-360" w:right="432" w:firstLine="360"/>
      </w:pPr>
    </w:p>
    <w:p w14:paraId="79E6552D" w14:textId="77777777" w:rsidR="002556ED" w:rsidRDefault="002556ED" w:rsidP="00F07C23">
      <w:pPr>
        <w:pStyle w:val="Default"/>
        <w:ind w:left="-360" w:right="432" w:firstLine="360"/>
        <w:rPr>
          <w:color w:val="auto"/>
        </w:rPr>
      </w:pPr>
    </w:p>
    <w:p w14:paraId="145E8986" w14:textId="77777777" w:rsidR="00F07C23" w:rsidRPr="000B60A1" w:rsidRDefault="00F07C23" w:rsidP="003B4544">
      <w:pPr>
        <w:pStyle w:val="Default"/>
        <w:ind w:left="-360" w:right="432"/>
        <w:rPr>
          <w:b/>
          <w:bCs/>
          <w:color w:val="auto"/>
        </w:rPr>
      </w:pPr>
    </w:p>
    <w:p w14:paraId="09CE9BFF" w14:textId="1C24FEAD" w:rsidR="003B4544" w:rsidRPr="002B78C9" w:rsidRDefault="003B4544" w:rsidP="003B4544">
      <w:pPr>
        <w:pStyle w:val="Default"/>
        <w:ind w:left="-360" w:right="432"/>
        <w:rPr>
          <w:color w:val="auto"/>
        </w:rPr>
      </w:pPr>
      <w:r w:rsidRPr="002B78C9">
        <w:rPr>
          <w:b/>
          <w:bCs/>
          <w:color w:val="auto"/>
        </w:rPr>
        <w:t>3. Methods to Maximize Response Rates and Deal with No</w:t>
      </w:r>
      <w:r w:rsidR="00C1499C">
        <w:rPr>
          <w:b/>
          <w:bCs/>
          <w:color w:val="auto"/>
        </w:rPr>
        <w:t>n</w:t>
      </w:r>
      <w:r w:rsidRPr="002B78C9">
        <w:rPr>
          <w:b/>
          <w:bCs/>
          <w:color w:val="auto"/>
        </w:rPr>
        <w:t xml:space="preserve"> response </w:t>
      </w:r>
    </w:p>
    <w:p w14:paraId="56432F98" w14:textId="77777777" w:rsidR="00392F59" w:rsidRDefault="00392F59" w:rsidP="00F07C23">
      <w:pPr>
        <w:pStyle w:val="Default"/>
        <w:ind w:left="-360" w:right="432" w:firstLine="360"/>
        <w:rPr>
          <w:color w:val="auto"/>
        </w:rPr>
      </w:pPr>
    </w:p>
    <w:p w14:paraId="1A75D8EA" w14:textId="301A68EF" w:rsidR="00C1499C" w:rsidRDefault="006D0012" w:rsidP="00C1499C">
      <w:pPr>
        <w:pStyle w:val="Default"/>
        <w:ind w:left="-360" w:firstLine="450"/>
        <w:rPr>
          <w:bCs/>
        </w:rPr>
      </w:pPr>
      <w:r>
        <w:rPr>
          <w:color w:val="auto"/>
        </w:rPr>
        <w:t xml:space="preserve">Methods to </w:t>
      </w:r>
      <w:r w:rsidR="00094594">
        <w:rPr>
          <w:color w:val="auto"/>
        </w:rPr>
        <w:t>address</w:t>
      </w:r>
      <w:r>
        <w:rPr>
          <w:color w:val="auto"/>
        </w:rPr>
        <w:t xml:space="preserve"> non-response do not apply to OHSN because </w:t>
      </w:r>
      <w:r w:rsidR="00094594">
        <w:rPr>
          <w:color w:val="auto"/>
        </w:rPr>
        <w:t>participation is</w:t>
      </w:r>
      <w:r>
        <w:rPr>
          <w:color w:val="auto"/>
        </w:rPr>
        <w:t xml:space="preserve"> voluntary</w:t>
      </w:r>
      <w:r w:rsidR="00C213C0">
        <w:rPr>
          <w:color w:val="auto"/>
        </w:rPr>
        <w:t xml:space="preserve"> and the network is not intended to be </w:t>
      </w:r>
      <w:r w:rsidR="006E52CE">
        <w:rPr>
          <w:color w:val="auto"/>
        </w:rPr>
        <w:t xml:space="preserve">generalized to any segment of the </w:t>
      </w:r>
      <w:r w:rsidR="00C213C0">
        <w:rPr>
          <w:color w:val="auto"/>
        </w:rPr>
        <w:t xml:space="preserve">US healthcare </w:t>
      </w:r>
      <w:r w:rsidR="006E52CE">
        <w:rPr>
          <w:color w:val="auto"/>
        </w:rPr>
        <w:t xml:space="preserve">system, </w:t>
      </w:r>
      <w:r w:rsidR="00C213C0">
        <w:rPr>
          <w:color w:val="auto"/>
        </w:rPr>
        <w:t>nor facilitate comparisons of outcomes between different facilities reporting to the network</w:t>
      </w:r>
      <w:r w:rsidR="00094594">
        <w:rPr>
          <w:color w:val="auto"/>
        </w:rPr>
        <w:t>.</w:t>
      </w:r>
      <w:r>
        <w:rPr>
          <w:color w:val="auto"/>
        </w:rPr>
        <w:t xml:space="preserve"> </w:t>
      </w:r>
      <w:r w:rsidR="00094594">
        <w:rPr>
          <w:color w:val="auto"/>
        </w:rPr>
        <w:t>OHSN does not</w:t>
      </w:r>
      <w:r w:rsidR="00D9180E">
        <w:rPr>
          <w:color w:val="auto"/>
        </w:rPr>
        <w:t xml:space="preserve"> </w:t>
      </w:r>
      <w:r>
        <w:rPr>
          <w:color w:val="auto"/>
        </w:rPr>
        <w:t xml:space="preserve">sample from a specified respondent universe nor attempt a census of a specified respondent universe. </w:t>
      </w:r>
      <w:r w:rsidR="007F2EF0">
        <w:rPr>
          <w:color w:val="auto"/>
        </w:rPr>
        <w:t xml:space="preserve">However, </w:t>
      </w:r>
      <w:r w:rsidR="00094594">
        <w:rPr>
          <w:color w:val="auto"/>
        </w:rPr>
        <w:t xml:space="preserve">the </w:t>
      </w:r>
      <w:r w:rsidR="007F2EF0">
        <w:rPr>
          <w:color w:val="auto"/>
        </w:rPr>
        <w:t>OHSN team mak</w:t>
      </w:r>
      <w:r w:rsidR="00094594">
        <w:rPr>
          <w:color w:val="auto"/>
        </w:rPr>
        <w:t>es</w:t>
      </w:r>
      <w:r w:rsidR="007F2EF0">
        <w:rPr>
          <w:color w:val="auto"/>
        </w:rPr>
        <w:t xml:space="preserve"> every effort to </w:t>
      </w:r>
      <w:r w:rsidR="0030708A">
        <w:rPr>
          <w:color w:val="auto"/>
        </w:rPr>
        <w:t xml:space="preserve">ensure that </w:t>
      </w:r>
      <w:r w:rsidR="007F2EF0">
        <w:rPr>
          <w:color w:val="auto"/>
        </w:rPr>
        <w:t>health</w:t>
      </w:r>
      <w:r w:rsidR="0078074B">
        <w:rPr>
          <w:color w:val="auto"/>
        </w:rPr>
        <w:t xml:space="preserve"> </w:t>
      </w:r>
      <w:r w:rsidR="007F2EF0">
        <w:rPr>
          <w:color w:val="auto"/>
        </w:rPr>
        <w:t xml:space="preserve">care facilities nationwide </w:t>
      </w:r>
      <w:r w:rsidR="0030708A">
        <w:rPr>
          <w:color w:val="auto"/>
        </w:rPr>
        <w:t>have the opportunity to participate</w:t>
      </w:r>
      <w:r w:rsidR="007F2EF0">
        <w:rPr>
          <w:color w:val="auto"/>
        </w:rPr>
        <w:t xml:space="preserve"> in OHSN. </w:t>
      </w:r>
      <w:r w:rsidR="00C1499C">
        <w:rPr>
          <w:bCs/>
        </w:rPr>
        <w:t>OHSN has been recruiting</w:t>
      </w:r>
      <w:r w:rsidR="00C1499C" w:rsidRPr="00043A3C">
        <w:rPr>
          <w:bCs/>
        </w:rPr>
        <w:t xml:space="preserve"> hospitals </w:t>
      </w:r>
      <w:r w:rsidR="00C1499C">
        <w:rPr>
          <w:bCs/>
        </w:rPr>
        <w:t>through a</w:t>
      </w:r>
      <w:r w:rsidR="00C1499C" w:rsidRPr="00043A3C">
        <w:rPr>
          <w:bCs/>
        </w:rPr>
        <w:t xml:space="preserve"> communication</w:t>
      </w:r>
      <w:r w:rsidR="00C1499C">
        <w:rPr>
          <w:bCs/>
        </w:rPr>
        <w:t xml:space="preserve"> </w:t>
      </w:r>
      <w:r w:rsidR="00C1499C" w:rsidRPr="00043A3C">
        <w:rPr>
          <w:bCs/>
        </w:rPr>
        <w:t>campaign.</w:t>
      </w:r>
      <w:r w:rsidR="00C1499C">
        <w:rPr>
          <w:bCs/>
        </w:rPr>
        <w:t xml:space="preserve"> </w:t>
      </w:r>
      <w:r w:rsidR="00C1499C" w:rsidRPr="00043A3C">
        <w:rPr>
          <w:bCs/>
        </w:rPr>
        <w:t>This campaign includes: personal communication</w:t>
      </w:r>
      <w:r w:rsidR="00C1499C">
        <w:rPr>
          <w:bCs/>
        </w:rPr>
        <w:t>;</w:t>
      </w:r>
      <w:r w:rsidR="00C1499C" w:rsidRPr="00043A3C">
        <w:rPr>
          <w:bCs/>
        </w:rPr>
        <w:t xml:space="preserve"> brochure</w:t>
      </w:r>
      <w:r w:rsidR="00C1499C">
        <w:rPr>
          <w:bCs/>
        </w:rPr>
        <w:t>;</w:t>
      </w:r>
      <w:r w:rsidR="00C1499C" w:rsidRPr="00043A3C">
        <w:rPr>
          <w:bCs/>
        </w:rPr>
        <w:t xml:space="preserve"> NIOSH blog</w:t>
      </w:r>
      <w:r w:rsidR="00C1499C">
        <w:rPr>
          <w:bCs/>
        </w:rPr>
        <w:t>;</w:t>
      </w:r>
      <w:r w:rsidR="00C1499C" w:rsidRPr="00043A3C">
        <w:rPr>
          <w:bCs/>
        </w:rPr>
        <w:t xml:space="preserve"> CDC press release</w:t>
      </w:r>
      <w:r w:rsidR="00C1499C">
        <w:rPr>
          <w:bCs/>
        </w:rPr>
        <w:t>;</w:t>
      </w:r>
      <w:r w:rsidR="00C1499C" w:rsidRPr="00043A3C">
        <w:rPr>
          <w:bCs/>
        </w:rPr>
        <w:t xml:space="preserve"> </w:t>
      </w:r>
      <w:r w:rsidR="00C1499C">
        <w:rPr>
          <w:bCs/>
        </w:rPr>
        <w:t xml:space="preserve">testimonial videos, </w:t>
      </w:r>
      <w:r w:rsidR="00C1499C" w:rsidRPr="00043A3C">
        <w:rPr>
          <w:bCs/>
        </w:rPr>
        <w:t xml:space="preserve">town hall meetings in </w:t>
      </w:r>
      <w:r w:rsidR="00C1499C">
        <w:rPr>
          <w:bCs/>
        </w:rPr>
        <w:t xml:space="preserve">relevant national occupational health professional conferences such as </w:t>
      </w:r>
      <w:r w:rsidR="00C1499C" w:rsidRPr="00043A3C">
        <w:rPr>
          <w:bCs/>
        </w:rPr>
        <w:t>AOHC and AOHP</w:t>
      </w:r>
      <w:r w:rsidR="00C1499C">
        <w:rPr>
          <w:bCs/>
        </w:rPr>
        <w:t>;</w:t>
      </w:r>
      <w:r w:rsidR="00C1499C" w:rsidRPr="00043A3C">
        <w:rPr>
          <w:bCs/>
        </w:rPr>
        <w:t xml:space="preserve"> hospitals and </w:t>
      </w:r>
      <w:r w:rsidR="00C1499C">
        <w:rPr>
          <w:bCs/>
        </w:rPr>
        <w:t xml:space="preserve">professional </w:t>
      </w:r>
      <w:r w:rsidR="00C1499C" w:rsidRPr="00043A3C">
        <w:rPr>
          <w:bCs/>
        </w:rPr>
        <w:t>associations visits</w:t>
      </w:r>
      <w:r w:rsidR="00C1499C">
        <w:rPr>
          <w:bCs/>
        </w:rPr>
        <w:t>;</w:t>
      </w:r>
      <w:r w:rsidR="00C1499C" w:rsidRPr="00043A3C">
        <w:rPr>
          <w:bCs/>
        </w:rPr>
        <w:t xml:space="preserve"> publications</w:t>
      </w:r>
      <w:r w:rsidR="00C1499C">
        <w:rPr>
          <w:bCs/>
        </w:rPr>
        <w:t>;</w:t>
      </w:r>
      <w:r w:rsidR="00C1499C" w:rsidRPr="00043A3C">
        <w:rPr>
          <w:bCs/>
        </w:rPr>
        <w:t xml:space="preserve"> and webinars. </w:t>
      </w:r>
    </w:p>
    <w:p w14:paraId="72A40F04" w14:textId="77777777" w:rsidR="006A6C44" w:rsidRDefault="006A6C44" w:rsidP="00C1499C">
      <w:pPr>
        <w:pStyle w:val="Default"/>
        <w:ind w:left="-360" w:firstLine="450"/>
        <w:rPr>
          <w:bCs/>
        </w:rPr>
      </w:pPr>
    </w:p>
    <w:p w14:paraId="1AE10CBC" w14:textId="77777777" w:rsidR="006A6C44" w:rsidRDefault="006A6C44" w:rsidP="006A6C44">
      <w:pPr>
        <w:pStyle w:val="Default"/>
        <w:ind w:firstLine="450"/>
        <w:rPr>
          <w:bCs/>
        </w:rPr>
      </w:pPr>
    </w:p>
    <w:p w14:paraId="04FFFB34" w14:textId="77777777" w:rsidR="00604226" w:rsidRPr="00043A3C" w:rsidRDefault="00604226" w:rsidP="00C1499C">
      <w:pPr>
        <w:pStyle w:val="Default"/>
        <w:ind w:left="-360" w:firstLine="450"/>
        <w:rPr>
          <w:bCs/>
        </w:rPr>
      </w:pPr>
    </w:p>
    <w:p w14:paraId="570485E8" w14:textId="32888F14" w:rsidR="007F3CE3" w:rsidRPr="007F3CE3" w:rsidRDefault="007F3CE3" w:rsidP="007F3CE3">
      <w:pPr>
        <w:jc w:val="left"/>
        <w:rPr>
          <w:rFonts w:ascii="Calibri" w:eastAsia="Calibri" w:hAnsi="Calibri" w:cs="Times New Roman"/>
        </w:rPr>
      </w:pPr>
      <w:r w:rsidRPr="007F3CE3">
        <w:rPr>
          <w:rFonts w:ascii="Calibri" w:eastAsia="Calibri" w:hAnsi="Calibri" w:cs="Times New Roman"/>
        </w:rPr>
        <w:t xml:space="preserve">As of October 2016, OHSN has 123 participating hospitals that cover a broad range of hospitals </w:t>
      </w:r>
      <w:r w:rsidR="0030708A">
        <w:rPr>
          <w:rFonts w:ascii="Calibri" w:eastAsia="Calibri" w:hAnsi="Calibri" w:cs="Times New Roman"/>
        </w:rPr>
        <w:t xml:space="preserve">characteristics </w:t>
      </w:r>
      <w:r w:rsidR="0030708A" w:rsidRPr="007F3CE3">
        <w:rPr>
          <w:rFonts w:ascii="Calibri" w:eastAsia="Calibri" w:hAnsi="Calibri" w:cs="Times New Roman"/>
        </w:rPr>
        <w:t>relevant</w:t>
      </w:r>
      <w:r w:rsidRPr="007F3CE3">
        <w:rPr>
          <w:rFonts w:ascii="Calibri" w:eastAsia="Calibri" w:hAnsi="Calibri" w:cs="Times New Roman"/>
        </w:rPr>
        <w:t xml:space="preserve"> to hospitals workers’ safety and health. Participating hospitals have the following </w:t>
      </w:r>
      <w:r w:rsidR="0030708A">
        <w:rPr>
          <w:rFonts w:ascii="Calibri" w:eastAsia="Calibri" w:hAnsi="Calibri" w:cs="Times New Roman"/>
        </w:rPr>
        <w:t>characteristics</w:t>
      </w:r>
      <w:r w:rsidRPr="007F3CE3">
        <w:rPr>
          <w:rFonts w:ascii="Calibri" w:eastAsia="Calibri" w:hAnsi="Calibri" w:cs="Times New Roman"/>
        </w:rPr>
        <w:t>:</w:t>
      </w:r>
    </w:p>
    <w:p w14:paraId="639207FF" w14:textId="77777777" w:rsidR="007F3CE3" w:rsidRPr="007F3CE3" w:rsidRDefault="007F3CE3" w:rsidP="007F3CE3">
      <w:pPr>
        <w:jc w:val="left"/>
        <w:rPr>
          <w:rFonts w:ascii="Calibri" w:eastAsia="Calibri" w:hAnsi="Calibri" w:cs="Times New Roman"/>
        </w:rPr>
      </w:pPr>
      <w:r w:rsidRPr="007F3CE3">
        <w:rPr>
          <w:rFonts w:ascii="Calibri" w:eastAsia="Calibri" w:hAnsi="Calibri" w:cs="Times New Roman"/>
        </w:rPr>
        <w:t>1.            Located in 20 states and in all census regions: mid-west, south, northeast, and west.</w:t>
      </w:r>
    </w:p>
    <w:p w14:paraId="74499EFF" w14:textId="77777777" w:rsidR="007F3CE3" w:rsidRPr="007F3CE3" w:rsidRDefault="007F3CE3" w:rsidP="007F3CE3">
      <w:pPr>
        <w:jc w:val="left"/>
        <w:rPr>
          <w:rFonts w:ascii="Calibri" w:eastAsia="Calibri" w:hAnsi="Calibri" w:cs="Times New Roman"/>
        </w:rPr>
      </w:pPr>
      <w:r w:rsidRPr="007F3CE3">
        <w:rPr>
          <w:rFonts w:ascii="Calibri" w:eastAsia="Calibri" w:hAnsi="Calibri" w:cs="Times New Roman"/>
        </w:rPr>
        <w:t>2.            Include small, medium, and large beds size hospitals</w:t>
      </w:r>
    </w:p>
    <w:p w14:paraId="476582EA" w14:textId="77777777" w:rsidR="007F3CE3" w:rsidRPr="007F3CE3" w:rsidRDefault="007F3CE3" w:rsidP="007F3CE3">
      <w:pPr>
        <w:jc w:val="left"/>
        <w:rPr>
          <w:rFonts w:ascii="Calibri" w:eastAsia="Calibri" w:hAnsi="Calibri" w:cs="Times New Roman"/>
        </w:rPr>
      </w:pPr>
      <w:r w:rsidRPr="007F3CE3">
        <w:rPr>
          <w:rFonts w:ascii="Calibri" w:eastAsia="Calibri" w:hAnsi="Calibri" w:cs="Times New Roman"/>
        </w:rPr>
        <w:t xml:space="preserve">3.            Include teaching and non-teaching hospitals </w:t>
      </w:r>
    </w:p>
    <w:p w14:paraId="1C5C229A" w14:textId="77777777" w:rsidR="007F3CE3" w:rsidRPr="007F3CE3" w:rsidRDefault="007F3CE3" w:rsidP="007F3CE3">
      <w:pPr>
        <w:jc w:val="left"/>
        <w:rPr>
          <w:rFonts w:ascii="Calibri" w:eastAsia="Calibri" w:hAnsi="Calibri" w:cs="Times New Roman"/>
        </w:rPr>
      </w:pPr>
      <w:r w:rsidRPr="007F3CE3">
        <w:rPr>
          <w:rFonts w:ascii="Calibri" w:eastAsia="Calibri" w:hAnsi="Calibri" w:cs="Times New Roman"/>
        </w:rPr>
        <w:t>4.            Cover more than 180 thousand workers in all hospital job categories and departments</w:t>
      </w:r>
    </w:p>
    <w:p w14:paraId="31F69867" w14:textId="5C417EC8" w:rsidR="00604226" w:rsidRDefault="007F3CE3" w:rsidP="00604226">
      <w:pPr>
        <w:jc w:val="left"/>
        <w:rPr>
          <w:rFonts w:ascii="Calibri" w:eastAsia="Calibri" w:hAnsi="Calibri" w:cs="Times New Roman"/>
        </w:rPr>
      </w:pPr>
      <w:r w:rsidRPr="007F3CE3">
        <w:rPr>
          <w:rFonts w:ascii="Calibri" w:eastAsia="Calibri" w:hAnsi="Calibri" w:cs="Times New Roman"/>
        </w:rPr>
        <w:t>5.            Included all types of hospitals: general medical and surgical, children, acute long term care, and others</w:t>
      </w:r>
    </w:p>
    <w:p w14:paraId="57A9B6EA" w14:textId="77777777" w:rsidR="00604226" w:rsidRDefault="00604226" w:rsidP="00604226">
      <w:pPr>
        <w:jc w:val="left"/>
        <w:rPr>
          <w:rFonts w:ascii="Calibri" w:eastAsia="Calibri" w:hAnsi="Calibri" w:cs="Times New Roman"/>
        </w:rPr>
      </w:pPr>
    </w:p>
    <w:p w14:paraId="79688AF0" w14:textId="0BAEFA5F" w:rsidR="00604226" w:rsidRPr="00604226" w:rsidRDefault="0053332D" w:rsidP="00604226">
      <w:pPr>
        <w:jc w:val="left"/>
        <w:rPr>
          <w:rFonts w:ascii="Calibri" w:eastAsia="Calibri" w:hAnsi="Calibri" w:cs="Times New Roman"/>
        </w:rPr>
      </w:pPr>
      <w:r>
        <w:rPr>
          <w:rFonts w:ascii="Calibri" w:eastAsia="Calibri" w:hAnsi="Calibri" w:cs="Times New Roman"/>
        </w:rPr>
        <w:t>Going forward</w:t>
      </w:r>
      <w:r w:rsidR="006C7D88">
        <w:rPr>
          <w:rFonts w:ascii="Calibri" w:eastAsia="Calibri" w:hAnsi="Calibri" w:cs="Times New Roman"/>
        </w:rPr>
        <w:t>,</w:t>
      </w:r>
      <w:r>
        <w:rPr>
          <w:rFonts w:ascii="Calibri" w:eastAsia="Calibri" w:hAnsi="Calibri" w:cs="Times New Roman"/>
        </w:rPr>
        <w:t xml:space="preserve"> to reach our goal of 300 participants</w:t>
      </w:r>
      <w:r w:rsidR="006C7D88">
        <w:rPr>
          <w:rFonts w:ascii="Calibri" w:eastAsia="Calibri" w:hAnsi="Calibri" w:cs="Times New Roman"/>
        </w:rPr>
        <w:t>,</w:t>
      </w:r>
      <w:r>
        <w:rPr>
          <w:rFonts w:ascii="Calibri" w:eastAsia="Calibri" w:hAnsi="Calibri" w:cs="Times New Roman"/>
        </w:rPr>
        <w:t xml:space="preserve"> a s</w:t>
      </w:r>
      <w:r w:rsidR="00604226" w:rsidRPr="00604226">
        <w:rPr>
          <w:rFonts w:ascii="Calibri" w:eastAsia="Calibri" w:hAnsi="Calibri" w:cs="Times New Roman"/>
        </w:rPr>
        <w:t xml:space="preserve">pecial </w:t>
      </w:r>
      <w:r w:rsidR="0030708A">
        <w:rPr>
          <w:rFonts w:ascii="Calibri" w:eastAsia="Calibri" w:hAnsi="Calibri" w:cs="Times New Roman"/>
        </w:rPr>
        <w:t xml:space="preserve">outreach </w:t>
      </w:r>
      <w:r w:rsidR="0030708A" w:rsidRPr="00604226">
        <w:rPr>
          <w:rFonts w:ascii="Calibri" w:eastAsia="Calibri" w:hAnsi="Calibri" w:cs="Times New Roman"/>
        </w:rPr>
        <w:t>will</w:t>
      </w:r>
      <w:r w:rsidR="00604226" w:rsidRPr="00604226">
        <w:rPr>
          <w:rFonts w:ascii="Calibri" w:eastAsia="Calibri" w:hAnsi="Calibri" w:cs="Times New Roman"/>
        </w:rPr>
        <w:t xml:space="preserve"> target the following hospitals:</w:t>
      </w:r>
    </w:p>
    <w:p w14:paraId="3AA71485" w14:textId="77777777" w:rsidR="00604226" w:rsidRPr="00604226" w:rsidRDefault="00604226" w:rsidP="00604226">
      <w:pPr>
        <w:numPr>
          <w:ilvl w:val="0"/>
          <w:numId w:val="8"/>
        </w:numPr>
        <w:jc w:val="left"/>
        <w:rPr>
          <w:rFonts w:ascii="Calibri" w:eastAsia="Calibri" w:hAnsi="Calibri" w:cs="Times New Roman"/>
        </w:rPr>
      </w:pPr>
      <w:r w:rsidRPr="00604226">
        <w:rPr>
          <w:rFonts w:ascii="Calibri" w:eastAsia="Calibri" w:hAnsi="Calibri" w:cs="Times New Roman"/>
        </w:rPr>
        <w:t>Small bed size hospitals in rural and metropolitan area especially in the west region</w:t>
      </w:r>
    </w:p>
    <w:p w14:paraId="36CB0B8F" w14:textId="77777777" w:rsidR="003E78A9" w:rsidRPr="00604226" w:rsidRDefault="00604226" w:rsidP="00604226">
      <w:pPr>
        <w:numPr>
          <w:ilvl w:val="0"/>
          <w:numId w:val="8"/>
        </w:numPr>
        <w:jc w:val="left"/>
        <w:rPr>
          <w:rFonts w:ascii="Calibri" w:eastAsia="Calibri" w:hAnsi="Calibri" w:cs="Times New Roman"/>
        </w:rPr>
      </w:pPr>
      <w:r w:rsidRPr="00604226">
        <w:rPr>
          <w:rFonts w:ascii="Calibri" w:eastAsia="Calibri" w:hAnsi="Calibri" w:cs="Times New Roman"/>
        </w:rPr>
        <w:t xml:space="preserve">Hospitals that are not affiliated with medical schools (non-teaching hospitals) </w:t>
      </w:r>
    </w:p>
    <w:p w14:paraId="238E619D" w14:textId="77777777" w:rsidR="00604226" w:rsidRPr="007F3CE3" w:rsidRDefault="00604226" w:rsidP="007F3CE3">
      <w:pPr>
        <w:jc w:val="left"/>
        <w:rPr>
          <w:rFonts w:ascii="Calibri" w:eastAsia="Calibri" w:hAnsi="Calibri" w:cs="Times New Roman"/>
        </w:rPr>
      </w:pPr>
    </w:p>
    <w:p w14:paraId="08AD15C2" w14:textId="77777777" w:rsidR="007F3CE3" w:rsidRPr="007F3CE3" w:rsidRDefault="007F3CE3" w:rsidP="007F3CE3">
      <w:pPr>
        <w:jc w:val="left"/>
        <w:rPr>
          <w:rFonts w:ascii="Calibri" w:eastAsia="Calibri" w:hAnsi="Calibri" w:cs="Times New Roman"/>
        </w:rPr>
      </w:pPr>
      <w:r w:rsidRPr="007F3CE3">
        <w:rPr>
          <w:rFonts w:ascii="Calibri" w:eastAsia="Calibri" w:hAnsi="Calibri" w:cs="Times New Roman"/>
        </w:rPr>
        <w:t>OHSN is a voluntary system open to all U.S. hospitals and participants are self-selected. Statistical methods will not be used to sample hospitals to OHSN. OHSN will not exclude any U.S. hospitals that want to participate but purposive recruiting strategies will be used to ensure that OHSN gets a group of participating hospitals as similar as possible to US hospitals overall.  Special recruitment efforts will target hospitals in underrepresented categories such as region, hospital type, or hospital size.</w:t>
      </w:r>
    </w:p>
    <w:p w14:paraId="732875EF" w14:textId="77777777" w:rsidR="007F3CE3" w:rsidRPr="007F3CE3" w:rsidRDefault="007F3CE3" w:rsidP="007F3CE3">
      <w:pPr>
        <w:jc w:val="left"/>
        <w:rPr>
          <w:rFonts w:ascii="Calibri" w:eastAsia="Calibri" w:hAnsi="Calibri" w:cs="Times New Roman"/>
        </w:rPr>
      </w:pPr>
    </w:p>
    <w:p w14:paraId="1CEC065F" w14:textId="489E24FA" w:rsidR="007F3CE3" w:rsidRPr="007F3CE3" w:rsidRDefault="007F3CE3" w:rsidP="007F3CE3">
      <w:pPr>
        <w:jc w:val="left"/>
        <w:rPr>
          <w:rFonts w:ascii="Calibri" w:eastAsia="Calibri" w:hAnsi="Calibri" w:cs="Times New Roman"/>
        </w:rPr>
      </w:pPr>
      <w:r w:rsidRPr="007F3CE3">
        <w:rPr>
          <w:rFonts w:ascii="Calibri" w:eastAsia="Calibri" w:hAnsi="Calibri" w:cs="Times New Roman"/>
        </w:rPr>
        <w:t xml:space="preserve">Table </w:t>
      </w:r>
      <w:r w:rsidR="0053332D">
        <w:rPr>
          <w:rFonts w:ascii="Calibri" w:eastAsia="Calibri" w:hAnsi="Calibri" w:cs="Times New Roman"/>
        </w:rPr>
        <w:t>1</w:t>
      </w:r>
      <w:r w:rsidRPr="007F3CE3">
        <w:rPr>
          <w:rFonts w:ascii="Calibri" w:eastAsia="Calibri" w:hAnsi="Calibri" w:cs="Times New Roman"/>
        </w:rPr>
        <w:t xml:space="preserve">. Hospitals by be Census region, OHSN versus US hospitals  </w:t>
      </w:r>
    </w:p>
    <w:tbl>
      <w:tblPr>
        <w:tblStyle w:val="TableGrid"/>
        <w:tblW w:w="0" w:type="auto"/>
        <w:tblLook w:val="04A0" w:firstRow="1" w:lastRow="0" w:firstColumn="1" w:lastColumn="0" w:noHBand="0" w:noVBand="1"/>
      </w:tblPr>
      <w:tblGrid>
        <w:gridCol w:w="1762"/>
        <w:gridCol w:w="1367"/>
        <w:gridCol w:w="1547"/>
        <w:gridCol w:w="1367"/>
        <w:gridCol w:w="1728"/>
      </w:tblGrid>
      <w:tr w:rsidR="007F3CE3" w:rsidRPr="007F3CE3" w14:paraId="23B1FCD3" w14:textId="77777777" w:rsidTr="00A00E82">
        <w:tc>
          <w:tcPr>
            <w:tcW w:w="1762" w:type="dxa"/>
          </w:tcPr>
          <w:p w14:paraId="25BD2B07" w14:textId="77777777" w:rsidR="007F3CE3" w:rsidRPr="007F3CE3" w:rsidRDefault="007F3CE3" w:rsidP="007F3CE3"/>
        </w:tc>
        <w:tc>
          <w:tcPr>
            <w:tcW w:w="2914" w:type="dxa"/>
            <w:gridSpan w:val="2"/>
          </w:tcPr>
          <w:p w14:paraId="65286E14" w14:textId="77777777" w:rsidR="007F3CE3" w:rsidRPr="007F3CE3" w:rsidRDefault="007F3CE3" w:rsidP="007F3CE3">
            <w:r w:rsidRPr="007F3CE3">
              <w:t>OHSN</w:t>
            </w:r>
          </w:p>
        </w:tc>
        <w:tc>
          <w:tcPr>
            <w:tcW w:w="3095" w:type="dxa"/>
            <w:gridSpan w:val="2"/>
          </w:tcPr>
          <w:p w14:paraId="5B13DA7E" w14:textId="77777777" w:rsidR="007F3CE3" w:rsidRPr="007F3CE3" w:rsidRDefault="007F3CE3" w:rsidP="007F3CE3">
            <w:r w:rsidRPr="007F3CE3">
              <w:t>United States</w:t>
            </w:r>
          </w:p>
        </w:tc>
      </w:tr>
      <w:tr w:rsidR="007F3CE3" w:rsidRPr="007F3CE3" w14:paraId="61482BEE" w14:textId="77777777" w:rsidTr="00A00E82">
        <w:tc>
          <w:tcPr>
            <w:tcW w:w="1762" w:type="dxa"/>
          </w:tcPr>
          <w:p w14:paraId="7E3CF773" w14:textId="77777777" w:rsidR="007F3CE3" w:rsidRPr="007F3CE3" w:rsidRDefault="007F3CE3" w:rsidP="007F3CE3">
            <w:r w:rsidRPr="007F3CE3">
              <w:t xml:space="preserve">Census region  </w:t>
            </w:r>
          </w:p>
        </w:tc>
        <w:tc>
          <w:tcPr>
            <w:tcW w:w="1367" w:type="dxa"/>
          </w:tcPr>
          <w:p w14:paraId="03EDFDF4" w14:textId="77777777" w:rsidR="007F3CE3" w:rsidRPr="007F3CE3" w:rsidRDefault="007F3CE3" w:rsidP="007F3CE3">
            <w:r w:rsidRPr="007F3CE3">
              <w:t># of Hospitals</w:t>
            </w:r>
          </w:p>
        </w:tc>
        <w:tc>
          <w:tcPr>
            <w:tcW w:w="1547" w:type="dxa"/>
          </w:tcPr>
          <w:p w14:paraId="5C3420D4" w14:textId="77777777" w:rsidR="007F3CE3" w:rsidRPr="007F3CE3" w:rsidRDefault="007F3CE3" w:rsidP="007F3CE3">
            <w:r w:rsidRPr="007F3CE3">
              <w:t>% of Hospitals</w:t>
            </w:r>
          </w:p>
        </w:tc>
        <w:tc>
          <w:tcPr>
            <w:tcW w:w="1367" w:type="dxa"/>
          </w:tcPr>
          <w:p w14:paraId="56DC3EC7" w14:textId="77777777" w:rsidR="007F3CE3" w:rsidRPr="007F3CE3" w:rsidRDefault="007F3CE3" w:rsidP="007F3CE3">
            <w:r w:rsidRPr="007F3CE3">
              <w:t># of Hospitals</w:t>
            </w:r>
          </w:p>
        </w:tc>
        <w:tc>
          <w:tcPr>
            <w:tcW w:w="1728" w:type="dxa"/>
          </w:tcPr>
          <w:p w14:paraId="5A61495C" w14:textId="77777777" w:rsidR="007F3CE3" w:rsidRPr="007F3CE3" w:rsidRDefault="007F3CE3" w:rsidP="007F3CE3">
            <w:r w:rsidRPr="007F3CE3">
              <w:t>% of Hospitals</w:t>
            </w:r>
          </w:p>
        </w:tc>
      </w:tr>
      <w:tr w:rsidR="007F3CE3" w:rsidRPr="007F3CE3" w14:paraId="18A39840" w14:textId="77777777" w:rsidTr="00A00E82">
        <w:tc>
          <w:tcPr>
            <w:tcW w:w="1762" w:type="dxa"/>
          </w:tcPr>
          <w:p w14:paraId="28CA3DAD" w14:textId="77777777" w:rsidR="007F3CE3" w:rsidRPr="007F3CE3" w:rsidRDefault="007F3CE3" w:rsidP="007F3CE3">
            <w:r w:rsidRPr="007F3CE3">
              <w:t>South</w:t>
            </w:r>
          </w:p>
        </w:tc>
        <w:tc>
          <w:tcPr>
            <w:tcW w:w="1367" w:type="dxa"/>
          </w:tcPr>
          <w:p w14:paraId="71ACE51E" w14:textId="77777777" w:rsidR="007F3CE3" w:rsidRPr="007F3CE3" w:rsidRDefault="007F3CE3" w:rsidP="00DF7694">
            <w:pPr>
              <w:jc w:val="center"/>
            </w:pPr>
            <w:r w:rsidRPr="007F3CE3">
              <w:t>39</w:t>
            </w:r>
          </w:p>
        </w:tc>
        <w:tc>
          <w:tcPr>
            <w:tcW w:w="1547" w:type="dxa"/>
          </w:tcPr>
          <w:p w14:paraId="10DEB6D9" w14:textId="3B922D5B" w:rsidR="007F3CE3" w:rsidRPr="00BE2C50" w:rsidRDefault="007F3CE3" w:rsidP="00DF7694">
            <w:pPr>
              <w:jc w:val="center"/>
            </w:pPr>
            <w:r w:rsidRPr="00BE2C50">
              <w:t>31.7</w:t>
            </w:r>
            <w:r w:rsidR="00BE2C50">
              <w:t>%</w:t>
            </w:r>
          </w:p>
        </w:tc>
        <w:tc>
          <w:tcPr>
            <w:tcW w:w="1367" w:type="dxa"/>
          </w:tcPr>
          <w:p w14:paraId="4B195B8D" w14:textId="77777777" w:rsidR="007F3CE3" w:rsidRPr="007F3CE3" w:rsidRDefault="007F3CE3" w:rsidP="00DF7694">
            <w:pPr>
              <w:jc w:val="center"/>
            </w:pPr>
            <w:r w:rsidRPr="007F3CE3">
              <w:t>2507</w:t>
            </w:r>
          </w:p>
        </w:tc>
        <w:tc>
          <w:tcPr>
            <w:tcW w:w="1728" w:type="dxa"/>
          </w:tcPr>
          <w:p w14:paraId="26DA1D52" w14:textId="77777777" w:rsidR="007F3CE3" w:rsidRPr="007F3CE3" w:rsidRDefault="007F3CE3" w:rsidP="00DF7694">
            <w:pPr>
              <w:jc w:val="center"/>
            </w:pPr>
            <w:r w:rsidRPr="007F3CE3">
              <w:t>40.6%</w:t>
            </w:r>
          </w:p>
        </w:tc>
      </w:tr>
      <w:tr w:rsidR="007F3CE3" w:rsidRPr="007F3CE3" w14:paraId="45AA89F5" w14:textId="77777777" w:rsidTr="00A00E82">
        <w:tc>
          <w:tcPr>
            <w:tcW w:w="1762" w:type="dxa"/>
          </w:tcPr>
          <w:p w14:paraId="57149156" w14:textId="77777777" w:rsidR="007F3CE3" w:rsidRPr="007F3CE3" w:rsidRDefault="007F3CE3" w:rsidP="007F3CE3">
            <w:r w:rsidRPr="007F3CE3">
              <w:t>Midwest</w:t>
            </w:r>
          </w:p>
        </w:tc>
        <w:tc>
          <w:tcPr>
            <w:tcW w:w="1367" w:type="dxa"/>
          </w:tcPr>
          <w:p w14:paraId="4B187206" w14:textId="77777777" w:rsidR="007F3CE3" w:rsidRPr="007F3CE3" w:rsidRDefault="007F3CE3" w:rsidP="00DF7694">
            <w:pPr>
              <w:jc w:val="center"/>
            </w:pPr>
            <w:r w:rsidRPr="007F3CE3">
              <w:t>64</w:t>
            </w:r>
          </w:p>
        </w:tc>
        <w:tc>
          <w:tcPr>
            <w:tcW w:w="1547" w:type="dxa"/>
          </w:tcPr>
          <w:p w14:paraId="03DB2B99" w14:textId="39DDF135" w:rsidR="007F3CE3" w:rsidRPr="00BE2C50" w:rsidRDefault="007F3CE3" w:rsidP="00DF7694">
            <w:pPr>
              <w:jc w:val="center"/>
            </w:pPr>
            <w:r w:rsidRPr="00BE2C50">
              <w:t>52.0</w:t>
            </w:r>
            <w:r w:rsidR="00BE2C50">
              <w:t>%</w:t>
            </w:r>
          </w:p>
        </w:tc>
        <w:tc>
          <w:tcPr>
            <w:tcW w:w="1367" w:type="dxa"/>
          </w:tcPr>
          <w:p w14:paraId="0A2430C7" w14:textId="77777777" w:rsidR="007F3CE3" w:rsidRPr="007F3CE3" w:rsidRDefault="007F3CE3" w:rsidP="00DF7694">
            <w:pPr>
              <w:jc w:val="center"/>
            </w:pPr>
            <w:r w:rsidRPr="007F3CE3">
              <w:t>1704</w:t>
            </w:r>
          </w:p>
        </w:tc>
        <w:tc>
          <w:tcPr>
            <w:tcW w:w="1728" w:type="dxa"/>
          </w:tcPr>
          <w:p w14:paraId="296FEB81" w14:textId="77777777" w:rsidR="007F3CE3" w:rsidRPr="007F3CE3" w:rsidRDefault="007F3CE3" w:rsidP="00DF7694">
            <w:pPr>
              <w:jc w:val="center"/>
            </w:pPr>
            <w:r w:rsidRPr="007F3CE3">
              <w:t>27.6%</w:t>
            </w:r>
          </w:p>
        </w:tc>
      </w:tr>
      <w:tr w:rsidR="007F3CE3" w:rsidRPr="007F3CE3" w14:paraId="1113971B" w14:textId="77777777" w:rsidTr="00A00E82">
        <w:tc>
          <w:tcPr>
            <w:tcW w:w="1762" w:type="dxa"/>
          </w:tcPr>
          <w:p w14:paraId="3A7B4A88" w14:textId="77777777" w:rsidR="007F3CE3" w:rsidRPr="007F3CE3" w:rsidRDefault="007F3CE3" w:rsidP="007F3CE3">
            <w:r w:rsidRPr="007F3CE3">
              <w:t>West</w:t>
            </w:r>
          </w:p>
        </w:tc>
        <w:tc>
          <w:tcPr>
            <w:tcW w:w="1367" w:type="dxa"/>
          </w:tcPr>
          <w:p w14:paraId="26E704AC" w14:textId="77777777" w:rsidR="007F3CE3" w:rsidRPr="007F3CE3" w:rsidRDefault="007F3CE3" w:rsidP="00DF7694">
            <w:pPr>
              <w:jc w:val="center"/>
            </w:pPr>
            <w:r w:rsidRPr="007F3CE3">
              <w:t>6</w:t>
            </w:r>
          </w:p>
        </w:tc>
        <w:tc>
          <w:tcPr>
            <w:tcW w:w="1547" w:type="dxa"/>
          </w:tcPr>
          <w:p w14:paraId="07AAF5FB" w14:textId="5DBD775C" w:rsidR="007F3CE3" w:rsidRPr="00BE2C50" w:rsidRDefault="007F3CE3" w:rsidP="00DF7694">
            <w:pPr>
              <w:jc w:val="center"/>
            </w:pPr>
            <w:r w:rsidRPr="00BE2C50">
              <w:t>4.9</w:t>
            </w:r>
            <w:r w:rsidR="00BE2C50">
              <w:t>%</w:t>
            </w:r>
          </w:p>
        </w:tc>
        <w:tc>
          <w:tcPr>
            <w:tcW w:w="1367" w:type="dxa"/>
          </w:tcPr>
          <w:p w14:paraId="44AB5A34" w14:textId="77777777" w:rsidR="007F3CE3" w:rsidRPr="007F3CE3" w:rsidRDefault="007F3CE3" w:rsidP="00DF7694">
            <w:pPr>
              <w:jc w:val="center"/>
            </w:pPr>
            <w:r w:rsidRPr="007F3CE3">
              <w:t>1159</w:t>
            </w:r>
          </w:p>
        </w:tc>
        <w:tc>
          <w:tcPr>
            <w:tcW w:w="1728" w:type="dxa"/>
          </w:tcPr>
          <w:p w14:paraId="7CB04352" w14:textId="77777777" w:rsidR="007F3CE3" w:rsidRPr="007F3CE3" w:rsidRDefault="007F3CE3" w:rsidP="00DF7694">
            <w:pPr>
              <w:jc w:val="center"/>
            </w:pPr>
            <w:r w:rsidRPr="007F3CE3">
              <w:t>18.8%</w:t>
            </w:r>
          </w:p>
        </w:tc>
      </w:tr>
      <w:tr w:rsidR="007F3CE3" w:rsidRPr="007F3CE3" w14:paraId="157BB976" w14:textId="77777777" w:rsidTr="00A00E82">
        <w:tc>
          <w:tcPr>
            <w:tcW w:w="1762" w:type="dxa"/>
          </w:tcPr>
          <w:p w14:paraId="37989318" w14:textId="77777777" w:rsidR="007F3CE3" w:rsidRPr="007F3CE3" w:rsidRDefault="007F3CE3" w:rsidP="007F3CE3">
            <w:r w:rsidRPr="007F3CE3">
              <w:t>Northeast</w:t>
            </w:r>
          </w:p>
        </w:tc>
        <w:tc>
          <w:tcPr>
            <w:tcW w:w="1367" w:type="dxa"/>
          </w:tcPr>
          <w:p w14:paraId="734FC09B" w14:textId="77777777" w:rsidR="007F3CE3" w:rsidRPr="007F3CE3" w:rsidRDefault="007F3CE3" w:rsidP="00DF7694">
            <w:pPr>
              <w:jc w:val="center"/>
            </w:pPr>
            <w:r w:rsidRPr="007F3CE3">
              <w:t>14</w:t>
            </w:r>
          </w:p>
        </w:tc>
        <w:tc>
          <w:tcPr>
            <w:tcW w:w="1547" w:type="dxa"/>
          </w:tcPr>
          <w:p w14:paraId="559CDFB0" w14:textId="35E1FD8D" w:rsidR="007F3CE3" w:rsidRPr="00BE2C50" w:rsidRDefault="007F3CE3" w:rsidP="00DF7694">
            <w:pPr>
              <w:jc w:val="center"/>
            </w:pPr>
            <w:r w:rsidRPr="00BE2C50">
              <w:t>11.4</w:t>
            </w:r>
            <w:r w:rsidR="00BE2C50">
              <w:t>%</w:t>
            </w:r>
          </w:p>
        </w:tc>
        <w:tc>
          <w:tcPr>
            <w:tcW w:w="1367" w:type="dxa"/>
          </w:tcPr>
          <w:p w14:paraId="7E3E33A2" w14:textId="77777777" w:rsidR="007F3CE3" w:rsidRPr="007F3CE3" w:rsidRDefault="007F3CE3" w:rsidP="00DF7694">
            <w:pPr>
              <w:jc w:val="center"/>
            </w:pPr>
            <w:r w:rsidRPr="007F3CE3">
              <w:t>804</w:t>
            </w:r>
          </w:p>
        </w:tc>
        <w:tc>
          <w:tcPr>
            <w:tcW w:w="1728" w:type="dxa"/>
          </w:tcPr>
          <w:p w14:paraId="334FBFBE" w14:textId="77777777" w:rsidR="007F3CE3" w:rsidRPr="007F3CE3" w:rsidRDefault="007F3CE3" w:rsidP="00DF7694">
            <w:pPr>
              <w:jc w:val="center"/>
            </w:pPr>
            <w:r w:rsidRPr="007F3CE3">
              <w:t>13.0%</w:t>
            </w:r>
          </w:p>
        </w:tc>
      </w:tr>
      <w:tr w:rsidR="007F3CE3" w:rsidRPr="007F3CE3" w14:paraId="7460623D" w14:textId="77777777" w:rsidTr="00A00E82">
        <w:tc>
          <w:tcPr>
            <w:tcW w:w="1762" w:type="dxa"/>
          </w:tcPr>
          <w:p w14:paraId="4686AAC0" w14:textId="77777777" w:rsidR="007F3CE3" w:rsidRPr="007F3CE3" w:rsidRDefault="007F3CE3" w:rsidP="007F3CE3">
            <w:r w:rsidRPr="007F3CE3">
              <w:t xml:space="preserve">Total </w:t>
            </w:r>
          </w:p>
        </w:tc>
        <w:tc>
          <w:tcPr>
            <w:tcW w:w="1367" w:type="dxa"/>
          </w:tcPr>
          <w:p w14:paraId="37515B25" w14:textId="77777777" w:rsidR="007F3CE3" w:rsidRPr="007F3CE3" w:rsidRDefault="007F3CE3" w:rsidP="00DF7694">
            <w:pPr>
              <w:jc w:val="center"/>
            </w:pPr>
            <w:r w:rsidRPr="007F3CE3">
              <w:t>123</w:t>
            </w:r>
          </w:p>
        </w:tc>
        <w:tc>
          <w:tcPr>
            <w:tcW w:w="1547" w:type="dxa"/>
          </w:tcPr>
          <w:p w14:paraId="47227AA6" w14:textId="592030E9" w:rsidR="007F3CE3" w:rsidRPr="00BE2C50" w:rsidRDefault="007F3CE3" w:rsidP="00DF7694">
            <w:pPr>
              <w:jc w:val="center"/>
            </w:pPr>
            <w:r w:rsidRPr="00BE2C50">
              <w:t>100%</w:t>
            </w:r>
            <w:r w:rsidR="00BE2C50">
              <w:t>%</w:t>
            </w:r>
          </w:p>
        </w:tc>
        <w:tc>
          <w:tcPr>
            <w:tcW w:w="1367" w:type="dxa"/>
          </w:tcPr>
          <w:p w14:paraId="10C814D7" w14:textId="77777777" w:rsidR="007F3CE3" w:rsidRPr="007F3CE3" w:rsidRDefault="007F3CE3" w:rsidP="00DF7694">
            <w:pPr>
              <w:jc w:val="center"/>
            </w:pPr>
            <w:r w:rsidRPr="007F3CE3">
              <w:t>6174</w:t>
            </w:r>
          </w:p>
        </w:tc>
        <w:tc>
          <w:tcPr>
            <w:tcW w:w="1728" w:type="dxa"/>
          </w:tcPr>
          <w:p w14:paraId="66D42A1C" w14:textId="77777777" w:rsidR="007F3CE3" w:rsidRPr="007F3CE3" w:rsidRDefault="007F3CE3" w:rsidP="00DF7694">
            <w:pPr>
              <w:jc w:val="center"/>
            </w:pPr>
            <w:r w:rsidRPr="007F3CE3">
              <w:t>100%</w:t>
            </w:r>
          </w:p>
        </w:tc>
      </w:tr>
    </w:tbl>
    <w:p w14:paraId="30A5B7D8" w14:textId="77777777" w:rsidR="007F3CE3" w:rsidRPr="007F3CE3" w:rsidRDefault="007F3CE3" w:rsidP="007F3CE3">
      <w:pPr>
        <w:spacing w:after="200" w:line="276" w:lineRule="auto"/>
        <w:jc w:val="left"/>
      </w:pPr>
      <w:r w:rsidRPr="007F3CE3">
        <w:rPr>
          <w:b/>
        </w:rPr>
        <w:t>Source</w:t>
      </w:r>
      <w:r w:rsidRPr="007F3CE3">
        <w:t xml:space="preserve">: AHA Hospital Statistics 2014 edition. </w:t>
      </w:r>
    </w:p>
    <w:p w14:paraId="5E77389A" w14:textId="77777777" w:rsidR="007F3CE3" w:rsidRDefault="007F3CE3" w:rsidP="007F3CE3">
      <w:pPr>
        <w:spacing w:after="200" w:line="276" w:lineRule="auto"/>
        <w:jc w:val="left"/>
      </w:pPr>
    </w:p>
    <w:p w14:paraId="4EFCB20A" w14:textId="77777777" w:rsidR="009B2E02" w:rsidRDefault="009B2E02" w:rsidP="007F3CE3">
      <w:pPr>
        <w:spacing w:after="200" w:line="276" w:lineRule="auto"/>
        <w:jc w:val="left"/>
      </w:pPr>
    </w:p>
    <w:p w14:paraId="4F470CB0" w14:textId="77777777" w:rsidR="009B2E02" w:rsidRDefault="009B2E02" w:rsidP="007F3CE3">
      <w:pPr>
        <w:spacing w:after="200" w:line="276" w:lineRule="auto"/>
        <w:jc w:val="left"/>
      </w:pPr>
    </w:p>
    <w:p w14:paraId="72427C6D" w14:textId="77777777" w:rsidR="009B2E02" w:rsidRPr="007F3CE3" w:rsidRDefault="009B2E02" w:rsidP="007F3CE3">
      <w:pPr>
        <w:spacing w:after="200" w:line="276" w:lineRule="auto"/>
        <w:jc w:val="left"/>
      </w:pPr>
    </w:p>
    <w:p w14:paraId="1EC34B7B" w14:textId="75FD66AE" w:rsidR="007F3CE3" w:rsidRPr="007F3CE3" w:rsidRDefault="007F3CE3" w:rsidP="007F3CE3">
      <w:pPr>
        <w:spacing w:after="200" w:line="276" w:lineRule="auto"/>
        <w:jc w:val="left"/>
      </w:pPr>
      <w:r w:rsidRPr="007F3CE3">
        <w:t xml:space="preserve">Table </w:t>
      </w:r>
      <w:r w:rsidR="0053332D">
        <w:t>2</w:t>
      </w:r>
      <w:r w:rsidRPr="007F3CE3">
        <w:t xml:space="preserve">. </w:t>
      </w:r>
      <w:r w:rsidRPr="007F3CE3">
        <w:rPr>
          <w:rFonts w:ascii="Calibri" w:eastAsia="Calibri" w:hAnsi="Calibri" w:cs="Times New Roman"/>
        </w:rPr>
        <w:t xml:space="preserve">Hospitals by beds size and location categories, OHSN versus US hospitals  </w:t>
      </w:r>
    </w:p>
    <w:tbl>
      <w:tblPr>
        <w:tblStyle w:val="TableGrid"/>
        <w:tblW w:w="0" w:type="auto"/>
        <w:tblLook w:val="04A0" w:firstRow="1" w:lastRow="0" w:firstColumn="1" w:lastColumn="0" w:noHBand="0" w:noVBand="1"/>
      </w:tblPr>
      <w:tblGrid>
        <w:gridCol w:w="1762"/>
        <w:gridCol w:w="2299"/>
        <w:gridCol w:w="1367"/>
        <w:gridCol w:w="1547"/>
        <w:gridCol w:w="1037"/>
        <w:gridCol w:w="2058"/>
      </w:tblGrid>
      <w:tr w:rsidR="007F3CE3" w:rsidRPr="007F3CE3" w14:paraId="3C3416D7" w14:textId="77777777" w:rsidTr="00A00E82">
        <w:tc>
          <w:tcPr>
            <w:tcW w:w="4061" w:type="dxa"/>
            <w:gridSpan w:val="2"/>
          </w:tcPr>
          <w:p w14:paraId="453377DD" w14:textId="77777777" w:rsidR="007F3CE3" w:rsidRPr="007F3CE3" w:rsidRDefault="007F3CE3" w:rsidP="007F3CE3"/>
        </w:tc>
        <w:tc>
          <w:tcPr>
            <w:tcW w:w="2914" w:type="dxa"/>
            <w:gridSpan w:val="2"/>
          </w:tcPr>
          <w:p w14:paraId="628A2C61" w14:textId="77777777" w:rsidR="007F3CE3" w:rsidRPr="007F3CE3" w:rsidRDefault="007F3CE3" w:rsidP="007F3CE3">
            <w:r w:rsidRPr="007F3CE3">
              <w:t>OHSN</w:t>
            </w:r>
          </w:p>
        </w:tc>
        <w:tc>
          <w:tcPr>
            <w:tcW w:w="3095" w:type="dxa"/>
            <w:gridSpan w:val="2"/>
          </w:tcPr>
          <w:p w14:paraId="69D56FEF" w14:textId="77777777" w:rsidR="007F3CE3" w:rsidRPr="007F3CE3" w:rsidRDefault="007F3CE3" w:rsidP="007F3CE3">
            <w:r w:rsidRPr="007F3CE3">
              <w:t>United States</w:t>
            </w:r>
          </w:p>
        </w:tc>
      </w:tr>
      <w:tr w:rsidR="007F3CE3" w:rsidRPr="007F3CE3" w14:paraId="6AC634BA" w14:textId="77777777" w:rsidTr="00DF7694">
        <w:tc>
          <w:tcPr>
            <w:tcW w:w="1762" w:type="dxa"/>
          </w:tcPr>
          <w:p w14:paraId="355D08FA" w14:textId="77777777" w:rsidR="007F3CE3" w:rsidRPr="007F3CE3" w:rsidRDefault="007F3CE3" w:rsidP="007F3CE3">
            <w:pPr>
              <w:rPr>
                <w:b/>
              </w:rPr>
            </w:pPr>
            <w:r w:rsidRPr="007F3CE3">
              <w:rPr>
                <w:b/>
              </w:rPr>
              <w:t xml:space="preserve">Beds per facility </w:t>
            </w:r>
          </w:p>
        </w:tc>
        <w:tc>
          <w:tcPr>
            <w:tcW w:w="2299" w:type="dxa"/>
          </w:tcPr>
          <w:p w14:paraId="4D2E349D" w14:textId="77777777" w:rsidR="007F3CE3" w:rsidRPr="007F3CE3" w:rsidRDefault="007F3CE3" w:rsidP="007F3CE3">
            <w:pPr>
              <w:rPr>
                <w:b/>
              </w:rPr>
            </w:pPr>
            <w:r w:rsidRPr="007F3CE3">
              <w:rPr>
                <w:b/>
              </w:rPr>
              <w:t xml:space="preserve">Location </w:t>
            </w:r>
          </w:p>
        </w:tc>
        <w:tc>
          <w:tcPr>
            <w:tcW w:w="1367" w:type="dxa"/>
          </w:tcPr>
          <w:p w14:paraId="00A5440E" w14:textId="77777777" w:rsidR="007F3CE3" w:rsidRPr="007F3CE3" w:rsidRDefault="007F3CE3" w:rsidP="00DF7694">
            <w:pPr>
              <w:jc w:val="center"/>
            </w:pPr>
            <w:r w:rsidRPr="007F3CE3">
              <w:t># of Hospitals</w:t>
            </w:r>
          </w:p>
        </w:tc>
        <w:tc>
          <w:tcPr>
            <w:tcW w:w="1547" w:type="dxa"/>
          </w:tcPr>
          <w:p w14:paraId="5F307878" w14:textId="77777777" w:rsidR="007F3CE3" w:rsidRPr="007F3CE3" w:rsidRDefault="007F3CE3" w:rsidP="00DF7694">
            <w:pPr>
              <w:jc w:val="center"/>
            </w:pPr>
            <w:r w:rsidRPr="007F3CE3">
              <w:t>% of Hospitals</w:t>
            </w:r>
          </w:p>
        </w:tc>
        <w:tc>
          <w:tcPr>
            <w:tcW w:w="1037" w:type="dxa"/>
          </w:tcPr>
          <w:p w14:paraId="618A73F3" w14:textId="77777777" w:rsidR="007F3CE3" w:rsidRPr="007F3CE3" w:rsidRDefault="007F3CE3" w:rsidP="00DF7694">
            <w:pPr>
              <w:jc w:val="center"/>
            </w:pPr>
            <w:r w:rsidRPr="007F3CE3">
              <w:t># of Hospitals</w:t>
            </w:r>
          </w:p>
        </w:tc>
        <w:tc>
          <w:tcPr>
            <w:tcW w:w="2058" w:type="dxa"/>
          </w:tcPr>
          <w:p w14:paraId="178F2D36" w14:textId="77777777" w:rsidR="007F3CE3" w:rsidRPr="007F3CE3" w:rsidRDefault="007F3CE3" w:rsidP="00DF7694">
            <w:pPr>
              <w:jc w:val="center"/>
            </w:pPr>
            <w:r w:rsidRPr="007F3CE3">
              <w:t>% of Hospitals</w:t>
            </w:r>
          </w:p>
        </w:tc>
      </w:tr>
      <w:tr w:rsidR="007F3CE3" w:rsidRPr="007F3CE3" w14:paraId="31CB8A9A" w14:textId="77777777" w:rsidTr="00DF7694">
        <w:tc>
          <w:tcPr>
            <w:tcW w:w="1762" w:type="dxa"/>
          </w:tcPr>
          <w:p w14:paraId="50E1A1AE" w14:textId="77777777" w:rsidR="007F3CE3" w:rsidRPr="007F3CE3" w:rsidRDefault="007F3CE3" w:rsidP="007F3CE3">
            <w:pPr>
              <w:rPr>
                <w:b/>
              </w:rPr>
            </w:pPr>
            <w:r w:rsidRPr="007F3CE3">
              <w:rPr>
                <w:b/>
              </w:rPr>
              <w:t>Small =&lt; 200</w:t>
            </w:r>
          </w:p>
        </w:tc>
        <w:tc>
          <w:tcPr>
            <w:tcW w:w="2299" w:type="dxa"/>
          </w:tcPr>
          <w:p w14:paraId="7B046F71" w14:textId="77777777" w:rsidR="007F3CE3" w:rsidRPr="007F3CE3" w:rsidRDefault="007F3CE3" w:rsidP="007F3CE3">
            <w:pPr>
              <w:rPr>
                <w:b/>
              </w:rPr>
            </w:pPr>
            <w:r w:rsidRPr="007F3CE3">
              <w:rPr>
                <w:b/>
              </w:rPr>
              <w:t>Metropolitan</w:t>
            </w:r>
          </w:p>
        </w:tc>
        <w:tc>
          <w:tcPr>
            <w:tcW w:w="1367" w:type="dxa"/>
          </w:tcPr>
          <w:p w14:paraId="74343D15" w14:textId="77777777" w:rsidR="007F3CE3" w:rsidRPr="007F3CE3" w:rsidRDefault="007F3CE3" w:rsidP="00DF7694">
            <w:pPr>
              <w:jc w:val="center"/>
            </w:pPr>
            <w:r w:rsidRPr="007F3CE3">
              <w:t>49</w:t>
            </w:r>
          </w:p>
        </w:tc>
        <w:tc>
          <w:tcPr>
            <w:tcW w:w="1547" w:type="dxa"/>
          </w:tcPr>
          <w:p w14:paraId="1318325D" w14:textId="77777777" w:rsidR="007F3CE3" w:rsidRPr="007F3CE3" w:rsidRDefault="007F3CE3" w:rsidP="00DF7694">
            <w:pPr>
              <w:jc w:val="center"/>
            </w:pPr>
            <w:r w:rsidRPr="007F3CE3">
              <w:t>39.8%</w:t>
            </w:r>
          </w:p>
        </w:tc>
        <w:tc>
          <w:tcPr>
            <w:tcW w:w="1037" w:type="dxa"/>
          </w:tcPr>
          <w:p w14:paraId="2250C446" w14:textId="77777777" w:rsidR="007F3CE3" w:rsidRPr="007F3CE3" w:rsidRDefault="007F3CE3" w:rsidP="00DF7694">
            <w:pPr>
              <w:jc w:val="center"/>
            </w:pPr>
            <w:r w:rsidRPr="007F3CE3">
              <w:t>3272</w:t>
            </w:r>
          </w:p>
        </w:tc>
        <w:tc>
          <w:tcPr>
            <w:tcW w:w="2058" w:type="dxa"/>
          </w:tcPr>
          <w:p w14:paraId="0F866489" w14:textId="77777777" w:rsidR="007F3CE3" w:rsidRPr="007F3CE3" w:rsidRDefault="007F3CE3" w:rsidP="00DF7694">
            <w:pPr>
              <w:jc w:val="center"/>
            </w:pPr>
            <w:r w:rsidRPr="007F3CE3">
              <w:t>53.0%</w:t>
            </w:r>
          </w:p>
        </w:tc>
      </w:tr>
      <w:tr w:rsidR="007F3CE3" w:rsidRPr="007F3CE3" w14:paraId="498B9458" w14:textId="77777777" w:rsidTr="00DF7694">
        <w:tc>
          <w:tcPr>
            <w:tcW w:w="1762" w:type="dxa"/>
          </w:tcPr>
          <w:p w14:paraId="6890FD93" w14:textId="77777777" w:rsidR="007F3CE3" w:rsidRPr="007F3CE3" w:rsidRDefault="007F3CE3" w:rsidP="007F3CE3">
            <w:pPr>
              <w:rPr>
                <w:b/>
              </w:rPr>
            </w:pPr>
            <w:r w:rsidRPr="007F3CE3">
              <w:rPr>
                <w:b/>
              </w:rPr>
              <w:t>Small =&lt; 200</w:t>
            </w:r>
          </w:p>
        </w:tc>
        <w:tc>
          <w:tcPr>
            <w:tcW w:w="2299" w:type="dxa"/>
          </w:tcPr>
          <w:p w14:paraId="1D5CE31F" w14:textId="77777777" w:rsidR="007F3CE3" w:rsidRPr="007F3CE3" w:rsidRDefault="007F3CE3" w:rsidP="007F3CE3">
            <w:pPr>
              <w:rPr>
                <w:b/>
              </w:rPr>
            </w:pPr>
            <w:r w:rsidRPr="007F3CE3">
              <w:rPr>
                <w:b/>
              </w:rPr>
              <w:t>Rural</w:t>
            </w:r>
          </w:p>
        </w:tc>
        <w:tc>
          <w:tcPr>
            <w:tcW w:w="1367" w:type="dxa"/>
          </w:tcPr>
          <w:p w14:paraId="0F81D343" w14:textId="77777777" w:rsidR="007F3CE3" w:rsidRPr="007F3CE3" w:rsidRDefault="007F3CE3" w:rsidP="00DF7694">
            <w:pPr>
              <w:jc w:val="center"/>
            </w:pPr>
            <w:r w:rsidRPr="007F3CE3">
              <w:t>12</w:t>
            </w:r>
          </w:p>
        </w:tc>
        <w:tc>
          <w:tcPr>
            <w:tcW w:w="1547" w:type="dxa"/>
          </w:tcPr>
          <w:p w14:paraId="02927142" w14:textId="77777777" w:rsidR="007F3CE3" w:rsidRPr="007F3CE3" w:rsidRDefault="007F3CE3" w:rsidP="00DF7694">
            <w:pPr>
              <w:jc w:val="center"/>
            </w:pPr>
            <w:r w:rsidRPr="007F3CE3">
              <w:t>9.8%</w:t>
            </w:r>
          </w:p>
        </w:tc>
        <w:tc>
          <w:tcPr>
            <w:tcW w:w="1037" w:type="dxa"/>
          </w:tcPr>
          <w:p w14:paraId="470FA221" w14:textId="77777777" w:rsidR="007F3CE3" w:rsidRPr="007F3CE3" w:rsidRDefault="007F3CE3" w:rsidP="00DF7694">
            <w:pPr>
              <w:jc w:val="center"/>
            </w:pPr>
            <w:r w:rsidRPr="007F3CE3">
              <w:t>1159</w:t>
            </w:r>
          </w:p>
        </w:tc>
        <w:tc>
          <w:tcPr>
            <w:tcW w:w="2058" w:type="dxa"/>
          </w:tcPr>
          <w:p w14:paraId="3DCBABD3" w14:textId="77777777" w:rsidR="007F3CE3" w:rsidRPr="007F3CE3" w:rsidRDefault="007F3CE3" w:rsidP="00DF7694">
            <w:pPr>
              <w:jc w:val="center"/>
            </w:pPr>
            <w:r w:rsidRPr="007F3CE3">
              <w:t>18.8%</w:t>
            </w:r>
          </w:p>
        </w:tc>
      </w:tr>
      <w:tr w:rsidR="007F3CE3" w:rsidRPr="007F3CE3" w14:paraId="12911DF9" w14:textId="77777777" w:rsidTr="00DF7694">
        <w:tc>
          <w:tcPr>
            <w:tcW w:w="1762" w:type="dxa"/>
          </w:tcPr>
          <w:p w14:paraId="0AC6D3E1" w14:textId="77777777" w:rsidR="007F3CE3" w:rsidRPr="007F3CE3" w:rsidRDefault="007F3CE3" w:rsidP="007F3CE3">
            <w:r w:rsidRPr="007F3CE3">
              <w:t>Medium 200-499</w:t>
            </w:r>
          </w:p>
        </w:tc>
        <w:tc>
          <w:tcPr>
            <w:tcW w:w="2299" w:type="dxa"/>
          </w:tcPr>
          <w:p w14:paraId="08BB2566" w14:textId="77777777" w:rsidR="007F3CE3" w:rsidRPr="007F3CE3" w:rsidRDefault="007F3CE3" w:rsidP="007F3CE3">
            <w:r w:rsidRPr="007F3CE3">
              <w:t>Metropolitan</w:t>
            </w:r>
          </w:p>
        </w:tc>
        <w:tc>
          <w:tcPr>
            <w:tcW w:w="1367" w:type="dxa"/>
          </w:tcPr>
          <w:p w14:paraId="0E96788C" w14:textId="77777777" w:rsidR="007F3CE3" w:rsidRPr="007F3CE3" w:rsidRDefault="007F3CE3" w:rsidP="00DF7694">
            <w:pPr>
              <w:jc w:val="center"/>
            </w:pPr>
            <w:r w:rsidRPr="007F3CE3">
              <w:t>41</w:t>
            </w:r>
          </w:p>
        </w:tc>
        <w:tc>
          <w:tcPr>
            <w:tcW w:w="1547" w:type="dxa"/>
          </w:tcPr>
          <w:p w14:paraId="3D9B5911" w14:textId="77777777" w:rsidR="007F3CE3" w:rsidRPr="007F3CE3" w:rsidRDefault="007F3CE3" w:rsidP="00DF7694">
            <w:pPr>
              <w:jc w:val="center"/>
            </w:pPr>
            <w:r w:rsidRPr="007F3CE3">
              <w:t>33.3%</w:t>
            </w:r>
          </w:p>
        </w:tc>
        <w:tc>
          <w:tcPr>
            <w:tcW w:w="1037" w:type="dxa"/>
          </w:tcPr>
          <w:p w14:paraId="0BB4C296" w14:textId="77777777" w:rsidR="007F3CE3" w:rsidRPr="007F3CE3" w:rsidRDefault="007F3CE3" w:rsidP="00DF7694">
            <w:pPr>
              <w:jc w:val="center"/>
            </w:pPr>
            <w:r w:rsidRPr="007F3CE3">
              <w:t>1291</w:t>
            </w:r>
          </w:p>
        </w:tc>
        <w:tc>
          <w:tcPr>
            <w:tcW w:w="2058" w:type="dxa"/>
          </w:tcPr>
          <w:p w14:paraId="3099AD10" w14:textId="77777777" w:rsidR="007F3CE3" w:rsidRPr="007F3CE3" w:rsidRDefault="007F3CE3" w:rsidP="00DF7694">
            <w:pPr>
              <w:jc w:val="center"/>
            </w:pPr>
            <w:r w:rsidRPr="007F3CE3">
              <w:t>20.9%</w:t>
            </w:r>
          </w:p>
        </w:tc>
      </w:tr>
      <w:tr w:rsidR="007F3CE3" w:rsidRPr="007F3CE3" w14:paraId="0A4BB1A6" w14:textId="77777777" w:rsidTr="00DF7694">
        <w:tc>
          <w:tcPr>
            <w:tcW w:w="1762" w:type="dxa"/>
          </w:tcPr>
          <w:p w14:paraId="6437A728" w14:textId="77777777" w:rsidR="007F3CE3" w:rsidRPr="007F3CE3" w:rsidRDefault="007F3CE3" w:rsidP="007F3CE3">
            <w:r w:rsidRPr="007F3CE3">
              <w:t>Medium 200-49</w:t>
            </w:r>
          </w:p>
        </w:tc>
        <w:tc>
          <w:tcPr>
            <w:tcW w:w="2299" w:type="dxa"/>
          </w:tcPr>
          <w:p w14:paraId="4614913B" w14:textId="77777777" w:rsidR="007F3CE3" w:rsidRPr="007F3CE3" w:rsidRDefault="007F3CE3" w:rsidP="007F3CE3">
            <w:r w:rsidRPr="007F3CE3">
              <w:t>Rural</w:t>
            </w:r>
          </w:p>
        </w:tc>
        <w:tc>
          <w:tcPr>
            <w:tcW w:w="1367" w:type="dxa"/>
          </w:tcPr>
          <w:p w14:paraId="1E146D43" w14:textId="77777777" w:rsidR="007F3CE3" w:rsidRPr="007F3CE3" w:rsidRDefault="007F3CE3" w:rsidP="00DF7694">
            <w:pPr>
              <w:jc w:val="center"/>
            </w:pPr>
            <w:r w:rsidRPr="007F3CE3">
              <w:t>2</w:t>
            </w:r>
          </w:p>
        </w:tc>
        <w:tc>
          <w:tcPr>
            <w:tcW w:w="1547" w:type="dxa"/>
          </w:tcPr>
          <w:p w14:paraId="10B05B3D" w14:textId="77777777" w:rsidR="007F3CE3" w:rsidRPr="007F3CE3" w:rsidRDefault="007F3CE3" w:rsidP="00DF7694">
            <w:pPr>
              <w:jc w:val="center"/>
            </w:pPr>
            <w:r w:rsidRPr="007F3CE3">
              <w:t>1.6%</w:t>
            </w:r>
          </w:p>
        </w:tc>
        <w:tc>
          <w:tcPr>
            <w:tcW w:w="1037" w:type="dxa"/>
          </w:tcPr>
          <w:p w14:paraId="58A8F9F7" w14:textId="77777777" w:rsidR="007F3CE3" w:rsidRPr="007F3CE3" w:rsidRDefault="007F3CE3" w:rsidP="00DF7694">
            <w:pPr>
              <w:jc w:val="center"/>
            </w:pPr>
            <w:r w:rsidRPr="007F3CE3">
              <w:t>15</w:t>
            </w:r>
          </w:p>
        </w:tc>
        <w:tc>
          <w:tcPr>
            <w:tcW w:w="2058" w:type="dxa"/>
          </w:tcPr>
          <w:p w14:paraId="658A6B85" w14:textId="77777777" w:rsidR="007F3CE3" w:rsidRPr="007F3CE3" w:rsidRDefault="007F3CE3" w:rsidP="00DF7694">
            <w:pPr>
              <w:jc w:val="center"/>
            </w:pPr>
            <w:r w:rsidRPr="007F3CE3">
              <w:t>0.2%</w:t>
            </w:r>
          </w:p>
        </w:tc>
      </w:tr>
      <w:tr w:rsidR="007F3CE3" w:rsidRPr="007F3CE3" w14:paraId="134CCCED" w14:textId="77777777" w:rsidTr="00DF7694">
        <w:tc>
          <w:tcPr>
            <w:tcW w:w="1762" w:type="dxa"/>
          </w:tcPr>
          <w:p w14:paraId="14EAE91A" w14:textId="77777777" w:rsidR="007F3CE3" w:rsidRPr="007F3CE3" w:rsidRDefault="007F3CE3" w:rsidP="007F3CE3">
            <w:pPr>
              <w:rPr>
                <w:b/>
              </w:rPr>
            </w:pPr>
            <w:r w:rsidRPr="007F3CE3">
              <w:rPr>
                <w:b/>
              </w:rPr>
              <w:t>Large &gt; 500</w:t>
            </w:r>
          </w:p>
        </w:tc>
        <w:tc>
          <w:tcPr>
            <w:tcW w:w="2299" w:type="dxa"/>
          </w:tcPr>
          <w:p w14:paraId="12FD3BFA" w14:textId="77777777" w:rsidR="007F3CE3" w:rsidRPr="007F3CE3" w:rsidRDefault="007F3CE3" w:rsidP="007F3CE3">
            <w:pPr>
              <w:rPr>
                <w:b/>
              </w:rPr>
            </w:pPr>
            <w:r w:rsidRPr="007F3CE3">
              <w:rPr>
                <w:b/>
              </w:rPr>
              <w:t>Metropolitan</w:t>
            </w:r>
          </w:p>
        </w:tc>
        <w:tc>
          <w:tcPr>
            <w:tcW w:w="1367" w:type="dxa"/>
          </w:tcPr>
          <w:p w14:paraId="17F29BC5" w14:textId="77777777" w:rsidR="007F3CE3" w:rsidRPr="007F3CE3" w:rsidRDefault="007F3CE3" w:rsidP="00DF7694">
            <w:pPr>
              <w:jc w:val="center"/>
            </w:pPr>
            <w:r w:rsidRPr="007F3CE3">
              <w:t>19</w:t>
            </w:r>
          </w:p>
        </w:tc>
        <w:tc>
          <w:tcPr>
            <w:tcW w:w="1547" w:type="dxa"/>
          </w:tcPr>
          <w:p w14:paraId="514EA603" w14:textId="77777777" w:rsidR="007F3CE3" w:rsidRPr="007F3CE3" w:rsidRDefault="007F3CE3" w:rsidP="00DF7694">
            <w:pPr>
              <w:jc w:val="center"/>
            </w:pPr>
            <w:r w:rsidRPr="007F3CE3">
              <w:t>15.4%</w:t>
            </w:r>
          </w:p>
        </w:tc>
        <w:tc>
          <w:tcPr>
            <w:tcW w:w="1037" w:type="dxa"/>
          </w:tcPr>
          <w:p w14:paraId="5143ABF0" w14:textId="77777777" w:rsidR="007F3CE3" w:rsidRPr="007F3CE3" w:rsidRDefault="007F3CE3" w:rsidP="00DF7694">
            <w:pPr>
              <w:jc w:val="center"/>
            </w:pPr>
            <w:r w:rsidRPr="007F3CE3">
              <w:t>435</w:t>
            </w:r>
          </w:p>
        </w:tc>
        <w:tc>
          <w:tcPr>
            <w:tcW w:w="2058" w:type="dxa"/>
          </w:tcPr>
          <w:p w14:paraId="2C27F0C7" w14:textId="77777777" w:rsidR="007F3CE3" w:rsidRPr="007F3CE3" w:rsidRDefault="007F3CE3" w:rsidP="00DF7694">
            <w:pPr>
              <w:jc w:val="center"/>
            </w:pPr>
            <w:r w:rsidRPr="007F3CE3">
              <w:t>7.0</w:t>
            </w:r>
          </w:p>
        </w:tc>
      </w:tr>
      <w:tr w:rsidR="007F3CE3" w:rsidRPr="007F3CE3" w14:paraId="24BE9ACF" w14:textId="77777777" w:rsidTr="00DF7694">
        <w:tc>
          <w:tcPr>
            <w:tcW w:w="1762" w:type="dxa"/>
          </w:tcPr>
          <w:p w14:paraId="045E5048" w14:textId="77777777" w:rsidR="007F3CE3" w:rsidRPr="007F3CE3" w:rsidRDefault="007F3CE3" w:rsidP="007F3CE3">
            <w:pPr>
              <w:rPr>
                <w:b/>
              </w:rPr>
            </w:pPr>
            <w:r w:rsidRPr="007F3CE3">
              <w:rPr>
                <w:b/>
              </w:rPr>
              <w:t>Large &gt; 500</w:t>
            </w:r>
          </w:p>
        </w:tc>
        <w:tc>
          <w:tcPr>
            <w:tcW w:w="2299" w:type="dxa"/>
          </w:tcPr>
          <w:p w14:paraId="313A85C4" w14:textId="77777777" w:rsidR="007F3CE3" w:rsidRPr="007F3CE3" w:rsidRDefault="007F3CE3" w:rsidP="007F3CE3">
            <w:pPr>
              <w:rPr>
                <w:b/>
              </w:rPr>
            </w:pPr>
            <w:r w:rsidRPr="007F3CE3">
              <w:rPr>
                <w:b/>
              </w:rPr>
              <w:t>Rural</w:t>
            </w:r>
          </w:p>
        </w:tc>
        <w:tc>
          <w:tcPr>
            <w:tcW w:w="1367" w:type="dxa"/>
          </w:tcPr>
          <w:p w14:paraId="2D2A7F1B" w14:textId="77777777" w:rsidR="007F3CE3" w:rsidRPr="007F3CE3" w:rsidRDefault="007F3CE3" w:rsidP="00DF7694">
            <w:pPr>
              <w:jc w:val="center"/>
              <w:rPr>
                <w:b/>
              </w:rPr>
            </w:pPr>
            <w:r w:rsidRPr="007F3CE3">
              <w:rPr>
                <w:b/>
              </w:rPr>
              <w:t>0.0</w:t>
            </w:r>
          </w:p>
        </w:tc>
        <w:tc>
          <w:tcPr>
            <w:tcW w:w="1547" w:type="dxa"/>
          </w:tcPr>
          <w:p w14:paraId="525AEC8C" w14:textId="77777777" w:rsidR="007F3CE3" w:rsidRPr="007F3CE3" w:rsidRDefault="007F3CE3" w:rsidP="00DF7694">
            <w:pPr>
              <w:jc w:val="center"/>
              <w:rPr>
                <w:b/>
              </w:rPr>
            </w:pPr>
            <w:r w:rsidRPr="007F3CE3">
              <w:rPr>
                <w:b/>
              </w:rPr>
              <w:t>0.0%</w:t>
            </w:r>
          </w:p>
        </w:tc>
        <w:tc>
          <w:tcPr>
            <w:tcW w:w="1037" w:type="dxa"/>
          </w:tcPr>
          <w:p w14:paraId="0531AA7A" w14:textId="77777777" w:rsidR="007F3CE3" w:rsidRPr="007F3CE3" w:rsidRDefault="007F3CE3" w:rsidP="00DF7694">
            <w:pPr>
              <w:jc w:val="center"/>
            </w:pPr>
            <w:r w:rsidRPr="007F3CE3">
              <w:t>2</w:t>
            </w:r>
          </w:p>
        </w:tc>
        <w:tc>
          <w:tcPr>
            <w:tcW w:w="2058" w:type="dxa"/>
          </w:tcPr>
          <w:p w14:paraId="5D65C836" w14:textId="77777777" w:rsidR="007F3CE3" w:rsidRPr="007F3CE3" w:rsidRDefault="007F3CE3" w:rsidP="00DF7694">
            <w:pPr>
              <w:jc w:val="center"/>
            </w:pPr>
            <w:r w:rsidRPr="007F3CE3">
              <w:t>0.03</w:t>
            </w:r>
          </w:p>
        </w:tc>
      </w:tr>
      <w:tr w:rsidR="007F3CE3" w:rsidRPr="007F3CE3" w14:paraId="7420A819" w14:textId="77777777" w:rsidTr="00DF7694">
        <w:tc>
          <w:tcPr>
            <w:tcW w:w="1762" w:type="dxa"/>
          </w:tcPr>
          <w:p w14:paraId="3F45ACD9" w14:textId="77777777" w:rsidR="007F3CE3" w:rsidRPr="007F3CE3" w:rsidRDefault="007F3CE3" w:rsidP="007F3CE3">
            <w:r w:rsidRPr="007F3CE3">
              <w:t xml:space="preserve">Total </w:t>
            </w:r>
          </w:p>
        </w:tc>
        <w:tc>
          <w:tcPr>
            <w:tcW w:w="2299" w:type="dxa"/>
          </w:tcPr>
          <w:p w14:paraId="6F04DCC4" w14:textId="77777777" w:rsidR="007F3CE3" w:rsidRPr="007F3CE3" w:rsidRDefault="007F3CE3" w:rsidP="007F3CE3"/>
        </w:tc>
        <w:tc>
          <w:tcPr>
            <w:tcW w:w="1367" w:type="dxa"/>
          </w:tcPr>
          <w:p w14:paraId="28964689" w14:textId="77777777" w:rsidR="007F3CE3" w:rsidRPr="007F3CE3" w:rsidRDefault="007F3CE3" w:rsidP="00DF7694">
            <w:pPr>
              <w:jc w:val="center"/>
            </w:pPr>
            <w:r w:rsidRPr="007F3CE3">
              <w:t>123</w:t>
            </w:r>
          </w:p>
        </w:tc>
        <w:tc>
          <w:tcPr>
            <w:tcW w:w="1547" w:type="dxa"/>
          </w:tcPr>
          <w:p w14:paraId="281CCF03" w14:textId="77777777" w:rsidR="007F3CE3" w:rsidRPr="007F3CE3" w:rsidRDefault="007F3CE3" w:rsidP="00DF7694">
            <w:pPr>
              <w:jc w:val="center"/>
            </w:pPr>
            <w:r w:rsidRPr="007F3CE3">
              <w:t>100%</w:t>
            </w:r>
          </w:p>
        </w:tc>
        <w:tc>
          <w:tcPr>
            <w:tcW w:w="1037" w:type="dxa"/>
          </w:tcPr>
          <w:p w14:paraId="743E6660" w14:textId="77777777" w:rsidR="007F3CE3" w:rsidRPr="007F3CE3" w:rsidRDefault="007F3CE3" w:rsidP="00DF7694">
            <w:pPr>
              <w:jc w:val="center"/>
            </w:pPr>
            <w:r w:rsidRPr="007F3CE3">
              <w:t>6174</w:t>
            </w:r>
          </w:p>
        </w:tc>
        <w:tc>
          <w:tcPr>
            <w:tcW w:w="2058" w:type="dxa"/>
          </w:tcPr>
          <w:p w14:paraId="18EA6B3C" w14:textId="77777777" w:rsidR="007F3CE3" w:rsidRPr="007F3CE3" w:rsidRDefault="007F3CE3" w:rsidP="00DF7694">
            <w:pPr>
              <w:jc w:val="center"/>
            </w:pPr>
            <w:r w:rsidRPr="007F3CE3">
              <w:t>100%</w:t>
            </w:r>
          </w:p>
        </w:tc>
      </w:tr>
    </w:tbl>
    <w:p w14:paraId="23DDB5FA" w14:textId="77777777" w:rsidR="007F3CE3" w:rsidRPr="007F3CE3" w:rsidRDefault="007F3CE3" w:rsidP="007F3CE3">
      <w:pPr>
        <w:spacing w:after="200" w:line="276" w:lineRule="auto"/>
        <w:jc w:val="left"/>
      </w:pPr>
    </w:p>
    <w:p w14:paraId="0B9B0B12" w14:textId="15591594" w:rsidR="007F3CE3" w:rsidRPr="007F3CE3" w:rsidRDefault="007F3CE3" w:rsidP="007F3CE3">
      <w:pPr>
        <w:spacing w:after="200" w:line="276" w:lineRule="auto"/>
        <w:jc w:val="left"/>
      </w:pPr>
      <w:r w:rsidRPr="007F3CE3">
        <w:t xml:space="preserve">Table </w:t>
      </w:r>
      <w:r w:rsidR="0053332D">
        <w:t>3</w:t>
      </w:r>
      <w:r w:rsidRPr="007F3CE3">
        <w:t xml:space="preserve">. </w:t>
      </w:r>
      <w:r w:rsidRPr="007F3CE3">
        <w:rPr>
          <w:rFonts w:ascii="Calibri" w:eastAsia="Calibri" w:hAnsi="Calibri" w:cs="Times New Roman"/>
        </w:rPr>
        <w:t xml:space="preserve">Hospitals by teaching and non-teaching category, OHSN versus US hospitals  </w:t>
      </w:r>
    </w:p>
    <w:tbl>
      <w:tblPr>
        <w:tblStyle w:val="TableGrid"/>
        <w:tblW w:w="0" w:type="auto"/>
        <w:tblLayout w:type="fixed"/>
        <w:tblLook w:val="04A0" w:firstRow="1" w:lastRow="0" w:firstColumn="1" w:lastColumn="0" w:noHBand="0" w:noVBand="1"/>
      </w:tblPr>
      <w:tblGrid>
        <w:gridCol w:w="2245"/>
        <w:gridCol w:w="1440"/>
        <w:gridCol w:w="1620"/>
        <w:gridCol w:w="1440"/>
        <w:gridCol w:w="2340"/>
      </w:tblGrid>
      <w:tr w:rsidR="007F3CE3" w:rsidRPr="007F3CE3" w14:paraId="185EB034" w14:textId="77777777" w:rsidTr="00A00E82">
        <w:tc>
          <w:tcPr>
            <w:tcW w:w="2245" w:type="dxa"/>
          </w:tcPr>
          <w:p w14:paraId="56045D72" w14:textId="77777777" w:rsidR="007F3CE3" w:rsidRPr="007F3CE3" w:rsidRDefault="007F3CE3" w:rsidP="007F3CE3"/>
        </w:tc>
        <w:tc>
          <w:tcPr>
            <w:tcW w:w="3060" w:type="dxa"/>
            <w:gridSpan w:val="2"/>
          </w:tcPr>
          <w:p w14:paraId="0081C931" w14:textId="77777777" w:rsidR="007F3CE3" w:rsidRPr="007F3CE3" w:rsidRDefault="007F3CE3" w:rsidP="00DF7694">
            <w:pPr>
              <w:jc w:val="center"/>
            </w:pPr>
            <w:r w:rsidRPr="007F3CE3">
              <w:t>OHSN</w:t>
            </w:r>
          </w:p>
        </w:tc>
        <w:tc>
          <w:tcPr>
            <w:tcW w:w="3780" w:type="dxa"/>
            <w:gridSpan w:val="2"/>
          </w:tcPr>
          <w:p w14:paraId="0E100A10" w14:textId="77777777" w:rsidR="007F3CE3" w:rsidRPr="007F3CE3" w:rsidRDefault="007F3CE3" w:rsidP="00DF7694">
            <w:pPr>
              <w:jc w:val="center"/>
            </w:pPr>
            <w:r w:rsidRPr="007F3CE3">
              <w:t>United States</w:t>
            </w:r>
          </w:p>
        </w:tc>
      </w:tr>
      <w:tr w:rsidR="007F3CE3" w:rsidRPr="007F3CE3" w14:paraId="54E044CE" w14:textId="77777777" w:rsidTr="00A00E82">
        <w:tc>
          <w:tcPr>
            <w:tcW w:w="2245" w:type="dxa"/>
          </w:tcPr>
          <w:p w14:paraId="039A7633" w14:textId="77777777" w:rsidR="007F3CE3" w:rsidRPr="007F3CE3" w:rsidRDefault="007F3CE3" w:rsidP="007F3CE3">
            <w:r w:rsidRPr="007F3CE3">
              <w:t xml:space="preserve">Type </w:t>
            </w:r>
          </w:p>
        </w:tc>
        <w:tc>
          <w:tcPr>
            <w:tcW w:w="1440" w:type="dxa"/>
          </w:tcPr>
          <w:p w14:paraId="57B5404E" w14:textId="77777777" w:rsidR="007F3CE3" w:rsidRPr="007F3CE3" w:rsidRDefault="007F3CE3" w:rsidP="00DF7694">
            <w:pPr>
              <w:jc w:val="center"/>
            </w:pPr>
            <w:r w:rsidRPr="007F3CE3">
              <w:t># of Hospitals</w:t>
            </w:r>
          </w:p>
        </w:tc>
        <w:tc>
          <w:tcPr>
            <w:tcW w:w="1620" w:type="dxa"/>
          </w:tcPr>
          <w:p w14:paraId="5F70D440" w14:textId="77777777" w:rsidR="007F3CE3" w:rsidRPr="007F3CE3" w:rsidRDefault="007F3CE3" w:rsidP="00DF7694">
            <w:pPr>
              <w:jc w:val="center"/>
            </w:pPr>
            <w:r w:rsidRPr="007F3CE3">
              <w:t>% of Hospitals</w:t>
            </w:r>
          </w:p>
        </w:tc>
        <w:tc>
          <w:tcPr>
            <w:tcW w:w="1440" w:type="dxa"/>
          </w:tcPr>
          <w:p w14:paraId="068B9097" w14:textId="77777777" w:rsidR="007F3CE3" w:rsidRPr="007F3CE3" w:rsidRDefault="007F3CE3" w:rsidP="00DF7694">
            <w:pPr>
              <w:jc w:val="center"/>
            </w:pPr>
            <w:r w:rsidRPr="007F3CE3">
              <w:t># of Hospitals</w:t>
            </w:r>
          </w:p>
        </w:tc>
        <w:tc>
          <w:tcPr>
            <w:tcW w:w="2340" w:type="dxa"/>
          </w:tcPr>
          <w:p w14:paraId="3336B591" w14:textId="77777777" w:rsidR="007F3CE3" w:rsidRPr="007F3CE3" w:rsidRDefault="007F3CE3" w:rsidP="00DF7694">
            <w:pPr>
              <w:jc w:val="center"/>
            </w:pPr>
            <w:r w:rsidRPr="007F3CE3">
              <w:t>% of Hospitals</w:t>
            </w:r>
          </w:p>
        </w:tc>
      </w:tr>
      <w:tr w:rsidR="007F3CE3" w:rsidRPr="007F3CE3" w14:paraId="0FFDA996" w14:textId="77777777" w:rsidTr="00A00E82">
        <w:tc>
          <w:tcPr>
            <w:tcW w:w="2245" w:type="dxa"/>
          </w:tcPr>
          <w:p w14:paraId="3ABC7777" w14:textId="77777777" w:rsidR="007F3CE3" w:rsidRPr="007F3CE3" w:rsidRDefault="007F3CE3" w:rsidP="007F3CE3">
            <w:r w:rsidRPr="007F3CE3">
              <w:t xml:space="preserve">Affiliated with medical school </w:t>
            </w:r>
          </w:p>
        </w:tc>
        <w:tc>
          <w:tcPr>
            <w:tcW w:w="1440" w:type="dxa"/>
          </w:tcPr>
          <w:p w14:paraId="6B3FE7E5" w14:textId="77777777" w:rsidR="007F3CE3" w:rsidRPr="007F3CE3" w:rsidRDefault="007F3CE3" w:rsidP="00DF7694">
            <w:pPr>
              <w:jc w:val="center"/>
            </w:pPr>
            <w:r w:rsidRPr="007F3CE3">
              <w:t>55</w:t>
            </w:r>
          </w:p>
        </w:tc>
        <w:tc>
          <w:tcPr>
            <w:tcW w:w="1620" w:type="dxa"/>
          </w:tcPr>
          <w:p w14:paraId="0DB029F7" w14:textId="77777777" w:rsidR="007F3CE3" w:rsidRPr="007F3CE3" w:rsidRDefault="007F3CE3" w:rsidP="00DF7694">
            <w:pPr>
              <w:jc w:val="center"/>
            </w:pPr>
            <w:r w:rsidRPr="007F3CE3">
              <w:t>44.7%</w:t>
            </w:r>
          </w:p>
        </w:tc>
        <w:tc>
          <w:tcPr>
            <w:tcW w:w="1440" w:type="dxa"/>
          </w:tcPr>
          <w:p w14:paraId="3A46A041" w14:textId="77777777" w:rsidR="007F3CE3" w:rsidRPr="007F3CE3" w:rsidRDefault="007F3CE3" w:rsidP="00DF7694">
            <w:pPr>
              <w:jc w:val="center"/>
            </w:pPr>
            <w:r w:rsidRPr="007F3CE3">
              <w:t>1611</w:t>
            </w:r>
          </w:p>
        </w:tc>
        <w:tc>
          <w:tcPr>
            <w:tcW w:w="2340" w:type="dxa"/>
          </w:tcPr>
          <w:p w14:paraId="427EA7F1" w14:textId="77777777" w:rsidR="007F3CE3" w:rsidRPr="007F3CE3" w:rsidRDefault="007F3CE3" w:rsidP="00DF7694">
            <w:pPr>
              <w:jc w:val="center"/>
            </w:pPr>
            <w:r w:rsidRPr="007F3CE3">
              <w:t>26.1%</w:t>
            </w:r>
          </w:p>
        </w:tc>
      </w:tr>
      <w:tr w:rsidR="007F3CE3" w:rsidRPr="007F3CE3" w14:paraId="054532D8" w14:textId="77777777" w:rsidTr="00A00E82">
        <w:tc>
          <w:tcPr>
            <w:tcW w:w="2245" w:type="dxa"/>
          </w:tcPr>
          <w:p w14:paraId="115F9B96" w14:textId="77777777" w:rsidR="007F3CE3" w:rsidRPr="007F3CE3" w:rsidRDefault="007F3CE3" w:rsidP="007F3CE3">
            <w:r w:rsidRPr="007F3CE3">
              <w:t xml:space="preserve">Not affiliated with medical school </w:t>
            </w:r>
          </w:p>
        </w:tc>
        <w:tc>
          <w:tcPr>
            <w:tcW w:w="1440" w:type="dxa"/>
          </w:tcPr>
          <w:p w14:paraId="1BE096E5" w14:textId="77777777" w:rsidR="007F3CE3" w:rsidRPr="007F3CE3" w:rsidRDefault="007F3CE3" w:rsidP="00DF7694">
            <w:pPr>
              <w:jc w:val="center"/>
            </w:pPr>
            <w:r w:rsidRPr="007F3CE3">
              <w:t>68</w:t>
            </w:r>
          </w:p>
        </w:tc>
        <w:tc>
          <w:tcPr>
            <w:tcW w:w="1620" w:type="dxa"/>
          </w:tcPr>
          <w:p w14:paraId="12099B06" w14:textId="77777777" w:rsidR="007F3CE3" w:rsidRPr="007F3CE3" w:rsidRDefault="007F3CE3" w:rsidP="00DF7694">
            <w:pPr>
              <w:jc w:val="center"/>
            </w:pPr>
            <w:r w:rsidRPr="007F3CE3">
              <w:t>55.3%</w:t>
            </w:r>
          </w:p>
        </w:tc>
        <w:tc>
          <w:tcPr>
            <w:tcW w:w="1440" w:type="dxa"/>
          </w:tcPr>
          <w:p w14:paraId="158CE1C4" w14:textId="77777777" w:rsidR="007F3CE3" w:rsidRPr="007F3CE3" w:rsidRDefault="007F3CE3" w:rsidP="00DF7694">
            <w:pPr>
              <w:jc w:val="center"/>
            </w:pPr>
            <w:r w:rsidRPr="007F3CE3">
              <w:t>4563</w:t>
            </w:r>
          </w:p>
        </w:tc>
        <w:tc>
          <w:tcPr>
            <w:tcW w:w="2340" w:type="dxa"/>
          </w:tcPr>
          <w:p w14:paraId="58BDD29A" w14:textId="77777777" w:rsidR="007F3CE3" w:rsidRPr="007F3CE3" w:rsidRDefault="007F3CE3" w:rsidP="00DF7694">
            <w:pPr>
              <w:jc w:val="center"/>
            </w:pPr>
            <w:r w:rsidRPr="007F3CE3">
              <w:t>73.9%</w:t>
            </w:r>
          </w:p>
        </w:tc>
      </w:tr>
      <w:tr w:rsidR="007F3CE3" w:rsidRPr="007F3CE3" w14:paraId="58FC40AE" w14:textId="77777777" w:rsidTr="00A00E82">
        <w:tc>
          <w:tcPr>
            <w:tcW w:w="2245" w:type="dxa"/>
          </w:tcPr>
          <w:p w14:paraId="4ABC343A" w14:textId="77777777" w:rsidR="007F3CE3" w:rsidRPr="007F3CE3" w:rsidRDefault="007F3CE3" w:rsidP="007F3CE3">
            <w:r w:rsidRPr="007F3CE3">
              <w:t xml:space="preserve">Total </w:t>
            </w:r>
          </w:p>
        </w:tc>
        <w:tc>
          <w:tcPr>
            <w:tcW w:w="1440" w:type="dxa"/>
          </w:tcPr>
          <w:p w14:paraId="312C71E8" w14:textId="77777777" w:rsidR="007F3CE3" w:rsidRPr="007F3CE3" w:rsidRDefault="007F3CE3" w:rsidP="00DF7694">
            <w:pPr>
              <w:jc w:val="center"/>
            </w:pPr>
            <w:r w:rsidRPr="007F3CE3">
              <w:t>123</w:t>
            </w:r>
          </w:p>
        </w:tc>
        <w:tc>
          <w:tcPr>
            <w:tcW w:w="1620" w:type="dxa"/>
          </w:tcPr>
          <w:p w14:paraId="111AAD26" w14:textId="77777777" w:rsidR="007F3CE3" w:rsidRPr="007F3CE3" w:rsidRDefault="007F3CE3" w:rsidP="00DF7694">
            <w:pPr>
              <w:jc w:val="center"/>
            </w:pPr>
            <w:r w:rsidRPr="007F3CE3">
              <w:t>100%</w:t>
            </w:r>
          </w:p>
        </w:tc>
        <w:tc>
          <w:tcPr>
            <w:tcW w:w="1440" w:type="dxa"/>
          </w:tcPr>
          <w:p w14:paraId="47713271" w14:textId="77777777" w:rsidR="007F3CE3" w:rsidRPr="007F3CE3" w:rsidRDefault="007F3CE3" w:rsidP="00DF7694">
            <w:pPr>
              <w:jc w:val="center"/>
            </w:pPr>
            <w:r w:rsidRPr="007F3CE3">
              <w:t>6174</w:t>
            </w:r>
          </w:p>
        </w:tc>
        <w:tc>
          <w:tcPr>
            <w:tcW w:w="2340" w:type="dxa"/>
          </w:tcPr>
          <w:p w14:paraId="5CA8F643" w14:textId="77777777" w:rsidR="007F3CE3" w:rsidRPr="007F3CE3" w:rsidRDefault="007F3CE3" w:rsidP="00DF7694">
            <w:pPr>
              <w:jc w:val="center"/>
            </w:pPr>
            <w:r w:rsidRPr="007F3CE3">
              <w:t>100%</w:t>
            </w:r>
          </w:p>
        </w:tc>
      </w:tr>
    </w:tbl>
    <w:p w14:paraId="2A7B4588" w14:textId="604A32F8" w:rsidR="006D0012" w:rsidRDefault="007F3CE3" w:rsidP="00F07C23">
      <w:pPr>
        <w:pStyle w:val="Default"/>
        <w:ind w:left="-360" w:right="432" w:firstLine="360"/>
        <w:rPr>
          <w:color w:val="auto"/>
        </w:rPr>
      </w:pPr>
      <w:r w:rsidRPr="007F3CE3">
        <w:rPr>
          <w:rFonts w:asciiTheme="minorHAnsi" w:hAnsiTheme="minorHAnsi" w:cstheme="minorBidi"/>
          <w:b/>
          <w:color w:val="auto"/>
          <w:sz w:val="22"/>
          <w:szCs w:val="22"/>
        </w:rPr>
        <w:t>Source</w:t>
      </w:r>
      <w:r w:rsidRPr="007F3CE3">
        <w:rPr>
          <w:rFonts w:asciiTheme="minorHAnsi" w:hAnsiTheme="minorHAnsi" w:cstheme="minorBidi"/>
          <w:color w:val="auto"/>
          <w:sz w:val="22"/>
          <w:szCs w:val="22"/>
        </w:rPr>
        <w:t>: AHA Hospital Statistics 2014 edition.</w:t>
      </w:r>
      <w:r w:rsidRPr="007F3CE3">
        <w:rPr>
          <w:rFonts w:asciiTheme="minorHAnsi" w:hAnsiTheme="minorHAnsi" w:cstheme="minorBidi"/>
          <w:color w:val="auto"/>
          <w:sz w:val="22"/>
          <w:szCs w:val="22"/>
        </w:rPr>
        <w:tab/>
      </w:r>
    </w:p>
    <w:p w14:paraId="04C364F4" w14:textId="77777777" w:rsidR="007F3CE3" w:rsidRDefault="007F3CE3" w:rsidP="00F07C23">
      <w:pPr>
        <w:pStyle w:val="Default"/>
        <w:ind w:left="-360" w:right="432" w:firstLine="360"/>
        <w:rPr>
          <w:color w:val="auto"/>
        </w:rPr>
      </w:pPr>
    </w:p>
    <w:p w14:paraId="5627376A" w14:textId="2E431D9D" w:rsidR="003E7D92" w:rsidRPr="00102FB1" w:rsidRDefault="003E7D92" w:rsidP="00F07C23">
      <w:pPr>
        <w:pStyle w:val="Default"/>
        <w:ind w:left="-360" w:right="432" w:firstLine="360"/>
        <w:rPr>
          <w:color w:val="auto"/>
        </w:rPr>
      </w:pPr>
      <w:r>
        <w:rPr>
          <w:color w:val="auto"/>
        </w:rPr>
        <w:t xml:space="preserve">OHSN is used for occupational health </w:t>
      </w:r>
      <w:r w:rsidR="00525034">
        <w:rPr>
          <w:color w:val="auto"/>
        </w:rPr>
        <w:t xml:space="preserve">monitoring </w:t>
      </w:r>
      <w:r>
        <w:rPr>
          <w:color w:val="auto"/>
        </w:rPr>
        <w:t xml:space="preserve">purposes, including estimates of occupational injury counts </w:t>
      </w:r>
      <w:r w:rsidR="00525034">
        <w:rPr>
          <w:color w:val="auto"/>
        </w:rPr>
        <w:t>in individual facilities</w:t>
      </w:r>
      <w:r>
        <w:rPr>
          <w:color w:val="auto"/>
        </w:rPr>
        <w:t xml:space="preserve">, monitoring occupational injury </w:t>
      </w:r>
      <w:r w:rsidR="00525034">
        <w:rPr>
          <w:color w:val="auto"/>
        </w:rPr>
        <w:t>in individual facilities</w:t>
      </w:r>
      <w:r w:rsidR="00AE423D">
        <w:rPr>
          <w:color w:val="auto"/>
        </w:rPr>
        <w:t>, facilitating intra-facility comparisons, and assisting health care facilities with occupational injury prevention efforts.</w:t>
      </w:r>
      <w:r w:rsidR="009B2E02">
        <w:rPr>
          <w:color w:val="auto"/>
        </w:rPr>
        <w:t xml:space="preserve"> These purposes, along with other purposes of OHSN, are listed comprehensively in the section titled Purpose </w:t>
      </w:r>
      <w:r w:rsidR="00E3466B">
        <w:rPr>
          <w:color w:val="auto"/>
        </w:rPr>
        <w:t>and Use of Data of the Supporting Statement Part A.</w:t>
      </w:r>
    </w:p>
    <w:p w14:paraId="3985C283" w14:textId="77777777" w:rsidR="00662BC6" w:rsidRPr="002B78C9" w:rsidRDefault="00662BC6" w:rsidP="00662BC6">
      <w:pPr>
        <w:pStyle w:val="Default"/>
        <w:ind w:right="432"/>
      </w:pPr>
    </w:p>
    <w:p w14:paraId="5B83EFBC" w14:textId="77777777" w:rsidR="003B4544" w:rsidRDefault="003B4544" w:rsidP="003B4544">
      <w:pPr>
        <w:pStyle w:val="Default"/>
        <w:ind w:left="-360" w:right="432"/>
        <w:rPr>
          <w:b/>
          <w:bCs/>
          <w:color w:val="auto"/>
        </w:rPr>
      </w:pPr>
      <w:r w:rsidRPr="002B78C9">
        <w:rPr>
          <w:b/>
          <w:bCs/>
          <w:color w:val="auto"/>
        </w:rPr>
        <w:t xml:space="preserve">4. Tests of Procedures or Methods to be Undertaken </w:t>
      </w:r>
    </w:p>
    <w:p w14:paraId="6F90D875" w14:textId="28BEB2D1" w:rsidR="00B51581" w:rsidRPr="00B51581" w:rsidRDefault="00B51581" w:rsidP="00B51581">
      <w:pPr>
        <w:pStyle w:val="Default"/>
        <w:ind w:left="-360" w:right="432"/>
        <w:rPr>
          <w:bCs/>
        </w:rPr>
      </w:pPr>
      <w:r>
        <w:rPr>
          <w:b/>
          <w:bCs/>
          <w:color w:val="auto"/>
        </w:rPr>
        <w:tab/>
      </w:r>
      <w:r>
        <w:rPr>
          <w:bCs/>
          <w:color w:val="auto"/>
        </w:rPr>
        <w:t>OHSN conducted i</w:t>
      </w:r>
      <w:r w:rsidRPr="00B51581">
        <w:rPr>
          <w:bCs/>
        </w:rPr>
        <w:t xml:space="preserve">nternal testing (alpha testing, </w:t>
      </w:r>
      <w:r w:rsidR="00066D84">
        <w:rPr>
          <w:bCs/>
        </w:rPr>
        <w:t xml:space="preserve">within NIOSH, </w:t>
      </w:r>
      <w:r w:rsidR="001B6912">
        <w:rPr>
          <w:bCs/>
        </w:rPr>
        <w:t xml:space="preserve">by </w:t>
      </w:r>
      <w:r w:rsidR="00066D84">
        <w:rPr>
          <w:bCs/>
        </w:rPr>
        <w:t xml:space="preserve">IT </w:t>
      </w:r>
      <w:r w:rsidR="00C05B11">
        <w:rPr>
          <w:bCs/>
        </w:rPr>
        <w:t>specialists, and</w:t>
      </w:r>
      <w:r w:rsidR="00066D84">
        <w:rPr>
          <w:bCs/>
        </w:rPr>
        <w:t xml:space="preserve"> web software developers</w:t>
      </w:r>
      <w:r w:rsidRPr="00B51581">
        <w:rPr>
          <w:bCs/>
        </w:rPr>
        <w:t xml:space="preserve">) </w:t>
      </w:r>
      <w:r>
        <w:rPr>
          <w:bCs/>
        </w:rPr>
        <w:t>and e</w:t>
      </w:r>
      <w:r w:rsidRPr="00B51581">
        <w:rPr>
          <w:bCs/>
        </w:rPr>
        <w:t xml:space="preserve">xternal testing (beta testing, by </w:t>
      </w:r>
      <w:r>
        <w:rPr>
          <w:bCs/>
        </w:rPr>
        <w:t xml:space="preserve">5 </w:t>
      </w:r>
      <w:r w:rsidRPr="00B51581">
        <w:rPr>
          <w:bCs/>
        </w:rPr>
        <w:t>selected stakeholders</w:t>
      </w:r>
      <w:r w:rsidR="00BB7764">
        <w:rPr>
          <w:bCs/>
        </w:rPr>
        <w:t xml:space="preserve"> who subsequently became OHSN participants)</w:t>
      </w:r>
      <w:r>
        <w:rPr>
          <w:bCs/>
        </w:rPr>
        <w:t>.</w:t>
      </w:r>
    </w:p>
    <w:p w14:paraId="22CD068D" w14:textId="77777777" w:rsidR="00B51581" w:rsidRPr="002B78C9" w:rsidRDefault="00B51581" w:rsidP="003B4544">
      <w:pPr>
        <w:pStyle w:val="Default"/>
        <w:ind w:left="-360" w:right="432"/>
        <w:rPr>
          <w:color w:val="auto"/>
        </w:rPr>
      </w:pPr>
    </w:p>
    <w:p w14:paraId="2E81276A" w14:textId="77777777" w:rsidR="00AE423D" w:rsidRPr="002B78C9" w:rsidRDefault="00AE423D" w:rsidP="00662BC6">
      <w:pPr>
        <w:pStyle w:val="Default"/>
        <w:ind w:right="432"/>
      </w:pPr>
    </w:p>
    <w:p w14:paraId="2BD1DF55" w14:textId="77777777" w:rsidR="003B4544" w:rsidRPr="002B78C9" w:rsidRDefault="003B4544" w:rsidP="003B4544">
      <w:pPr>
        <w:pStyle w:val="Default"/>
        <w:ind w:left="-360" w:right="432"/>
        <w:rPr>
          <w:color w:val="auto"/>
        </w:rPr>
      </w:pPr>
      <w:r w:rsidRPr="002B78C9">
        <w:rPr>
          <w:b/>
          <w:bCs/>
          <w:color w:val="auto"/>
        </w:rPr>
        <w:t xml:space="preserve">5. Individuals Consulted on Statistical Aspects and Individuals Collecting and/or Analyzing Data </w:t>
      </w:r>
    </w:p>
    <w:p w14:paraId="2D7180D8" w14:textId="77777777" w:rsidR="00E160E4" w:rsidRPr="00D571BB" w:rsidRDefault="00B872ED" w:rsidP="00D571BB">
      <w:pPr>
        <w:ind w:left="-360" w:right="432"/>
        <w:jc w:val="left"/>
        <w:rPr>
          <w:rFonts w:ascii="Times New Roman" w:hAnsi="Times New Roman" w:cs="Times New Roman"/>
          <w:sz w:val="24"/>
          <w:szCs w:val="24"/>
        </w:rPr>
      </w:pPr>
      <w:r>
        <w:rPr>
          <w:rFonts w:ascii="Times New Roman" w:hAnsi="Times New Roman" w:cs="Times New Roman"/>
          <w:sz w:val="24"/>
          <w:szCs w:val="24"/>
        </w:rPr>
        <w:tab/>
        <w:t xml:space="preserve">CDC NIOSH DSHEFS staff is responsible for the management and analysis of data submitted to OHSN. </w:t>
      </w:r>
      <w:r w:rsidR="005C5CE7">
        <w:rPr>
          <w:rFonts w:ascii="Times New Roman" w:hAnsi="Times New Roman" w:cs="Times New Roman"/>
          <w:sz w:val="24"/>
          <w:szCs w:val="24"/>
        </w:rPr>
        <w:t>Participating h</w:t>
      </w:r>
      <w:r>
        <w:rPr>
          <w:rFonts w:ascii="Times New Roman" w:hAnsi="Times New Roman" w:cs="Times New Roman"/>
          <w:sz w:val="24"/>
          <w:szCs w:val="24"/>
        </w:rPr>
        <w:t>ealth care faci</w:t>
      </w:r>
      <w:r w:rsidR="005C5CE7">
        <w:rPr>
          <w:rFonts w:ascii="Times New Roman" w:hAnsi="Times New Roman" w:cs="Times New Roman"/>
          <w:sz w:val="24"/>
          <w:szCs w:val="24"/>
        </w:rPr>
        <w:t>lities are also able to analyze their data for their own purposes.</w:t>
      </w:r>
    </w:p>
    <w:p w14:paraId="7668A473" w14:textId="77777777" w:rsidR="00D41ECA" w:rsidRDefault="00D41ECA" w:rsidP="00A47AD6">
      <w:pPr>
        <w:ind w:left="360" w:right="432" w:hanging="720"/>
        <w:jc w:val="left"/>
        <w:rPr>
          <w:rFonts w:ascii="Times New Roman" w:hAnsi="Times New Roman" w:cs="Times New Roman"/>
          <w:bCs/>
          <w:sz w:val="24"/>
          <w:szCs w:val="24"/>
        </w:rPr>
      </w:pPr>
    </w:p>
    <w:p w14:paraId="2779C2A5" w14:textId="77777777" w:rsidR="00D41ECA" w:rsidRPr="002B78C9" w:rsidRDefault="00D41ECA" w:rsidP="00A47AD6">
      <w:pPr>
        <w:ind w:left="360" w:right="432" w:hanging="720"/>
        <w:jc w:val="left"/>
        <w:rPr>
          <w:rFonts w:ascii="Times New Roman" w:hAnsi="Times New Roman" w:cs="Times New Roman"/>
          <w:sz w:val="24"/>
          <w:szCs w:val="24"/>
        </w:rPr>
      </w:pPr>
    </w:p>
    <w:sectPr w:rsidR="00D41ECA" w:rsidRPr="002B78C9" w:rsidSect="00496784">
      <w:pgSz w:w="12240" w:h="15840" w:code="1"/>
      <w:pgMar w:top="1162" w:right="517" w:bottom="558" w:left="121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BFA64" w14:textId="77777777" w:rsidR="000C4D64" w:rsidRDefault="000C4D64" w:rsidP="00C2746D">
      <w:r>
        <w:separator/>
      </w:r>
    </w:p>
  </w:endnote>
  <w:endnote w:type="continuationSeparator" w:id="0">
    <w:p w14:paraId="3A9D40E4" w14:textId="77777777" w:rsidR="000C4D64" w:rsidRDefault="000C4D64" w:rsidP="00C2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E51EF" w14:textId="77777777" w:rsidR="000C4D64" w:rsidRDefault="000C4D64" w:rsidP="00C2746D">
      <w:r>
        <w:separator/>
      </w:r>
    </w:p>
  </w:footnote>
  <w:footnote w:type="continuationSeparator" w:id="0">
    <w:p w14:paraId="7F011E9C" w14:textId="77777777" w:rsidR="000C4D64" w:rsidRDefault="000C4D64" w:rsidP="00C27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505C"/>
    <w:multiLevelType w:val="hybridMultilevel"/>
    <w:tmpl w:val="2DDCCA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72D1E"/>
    <w:multiLevelType w:val="hybridMultilevel"/>
    <w:tmpl w:val="30104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E69A4"/>
    <w:multiLevelType w:val="hybridMultilevel"/>
    <w:tmpl w:val="CD9C7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959B0"/>
    <w:multiLevelType w:val="hybridMultilevel"/>
    <w:tmpl w:val="ED4AC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46F89"/>
    <w:multiLevelType w:val="hybridMultilevel"/>
    <w:tmpl w:val="F6801AA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544FC6"/>
    <w:multiLevelType w:val="hybridMultilevel"/>
    <w:tmpl w:val="BBFE97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65245999"/>
    <w:multiLevelType w:val="hybridMultilevel"/>
    <w:tmpl w:val="07824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EC5ED4"/>
    <w:multiLevelType w:val="hybridMultilevel"/>
    <w:tmpl w:val="48BA9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0"/>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44"/>
    <w:rsid w:val="0001109C"/>
    <w:rsid w:val="00013D90"/>
    <w:rsid w:val="00026F0F"/>
    <w:rsid w:val="00043A3C"/>
    <w:rsid w:val="00046F11"/>
    <w:rsid w:val="00066D84"/>
    <w:rsid w:val="00093183"/>
    <w:rsid w:val="00094594"/>
    <w:rsid w:val="000B60A1"/>
    <w:rsid w:val="000C3D60"/>
    <w:rsid w:val="000C4D64"/>
    <w:rsid w:val="000C57AE"/>
    <w:rsid w:val="000C63BE"/>
    <w:rsid w:val="000C6B0C"/>
    <w:rsid w:val="000D3DCC"/>
    <w:rsid w:val="000E43FF"/>
    <w:rsid w:val="000F43CA"/>
    <w:rsid w:val="00102FB1"/>
    <w:rsid w:val="00113132"/>
    <w:rsid w:val="00117A97"/>
    <w:rsid w:val="001262F6"/>
    <w:rsid w:val="00130CDF"/>
    <w:rsid w:val="0013792D"/>
    <w:rsid w:val="00143691"/>
    <w:rsid w:val="00154A56"/>
    <w:rsid w:val="00164391"/>
    <w:rsid w:val="001809E8"/>
    <w:rsid w:val="0018277F"/>
    <w:rsid w:val="00190383"/>
    <w:rsid w:val="001A3256"/>
    <w:rsid w:val="001B161F"/>
    <w:rsid w:val="001B6912"/>
    <w:rsid w:val="001D5175"/>
    <w:rsid w:val="001D5C6D"/>
    <w:rsid w:val="001F40CE"/>
    <w:rsid w:val="001F74BD"/>
    <w:rsid w:val="001F74C9"/>
    <w:rsid w:val="00203AB9"/>
    <w:rsid w:val="00207C11"/>
    <w:rsid w:val="00213379"/>
    <w:rsid w:val="0021352F"/>
    <w:rsid w:val="0022147F"/>
    <w:rsid w:val="0024669B"/>
    <w:rsid w:val="002556ED"/>
    <w:rsid w:val="002705DD"/>
    <w:rsid w:val="00271701"/>
    <w:rsid w:val="00295194"/>
    <w:rsid w:val="002B78C9"/>
    <w:rsid w:val="002E1F6B"/>
    <w:rsid w:val="002F541D"/>
    <w:rsid w:val="0030708A"/>
    <w:rsid w:val="00314417"/>
    <w:rsid w:val="00344744"/>
    <w:rsid w:val="00344D25"/>
    <w:rsid w:val="00346E6E"/>
    <w:rsid w:val="003556C2"/>
    <w:rsid w:val="003617E6"/>
    <w:rsid w:val="00367C28"/>
    <w:rsid w:val="00392C8A"/>
    <w:rsid w:val="00392F59"/>
    <w:rsid w:val="003A2E47"/>
    <w:rsid w:val="003B4544"/>
    <w:rsid w:val="003C3269"/>
    <w:rsid w:val="003D5A2D"/>
    <w:rsid w:val="003E4925"/>
    <w:rsid w:val="003E59DA"/>
    <w:rsid w:val="003E7D92"/>
    <w:rsid w:val="003F7121"/>
    <w:rsid w:val="00413F0A"/>
    <w:rsid w:val="00416F9C"/>
    <w:rsid w:val="00420936"/>
    <w:rsid w:val="00420BED"/>
    <w:rsid w:val="00426628"/>
    <w:rsid w:val="0043597D"/>
    <w:rsid w:val="004872DE"/>
    <w:rsid w:val="00491D12"/>
    <w:rsid w:val="00496784"/>
    <w:rsid w:val="004A2844"/>
    <w:rsid w:val="004A5604"/>
    <w:rsid w:val="004C0AF4"/>
    <w:rsid w:val="004C5302"/>
    <w:rsid w:val="004F1FBF"/>
    <w:rsid w:val="005044FC"/>
    <w:rsid w:val="00517B4E"/>
    <w:rsid w:val="00525034"/>
    <w:rsid w:val="0053332D"/>
    <w:rsid w:val="005557AF"/>
    <w:rsid w:val="005A4749"/>
    <w:rsid w:val="005B146C"/>
    <w:rsid w:val="005C474A"/>
    <w:rsid w:val="005C5CE7"/>
    <w:rsid w:val="005D2F15"/>
    <w:rsid w:val="005E18D3"/>
    <w:rsid w:val="005F2663"/>
    <w:rsid w:val="00604226"/>
    <w:rsid w:val="006417DA"/>
    <w:rsid w:val="00644DD9"/>
    <w:rsid w:val="00662BC6"/>
    <w:rsid w:val="00695589"/>
    <w:rsid w:val="006A1349"/>
    <w:rsid w:val="006A6C44"/>
    <w:rsid w:val="006B3BDE"/>
    <w:rsid w:val="006B5E3B"/>
    <w:rsid w:val="006C7D88"/>
    <w:rsid w:val="006D0012"/>
    <w:rsid w:val="006E52CE"/>
    <w:rsid w:val="006F2F42"/>
    <w:rsid w:val="006F4581"/>
    <w:rsid w:val="00700E72"/>
    <w:rsid w:val="00721A37"/>
    <w:rsid w:val="007301EA"/>
    <w:rsid w:val="00737195"/>
    <w:rsid w:val="00743131"/>
    <w:rsid w:val="007475C9"/>
    <w:rsid w:val="00752A2D"/>
    <w:rsid w:val="0078074B"/>
    <w:rsid w:val="00780996"/>
    <w:rsid w:val="00781560"/>
    <w:rsid w:val="00785DAF"/>
    <w:rsid w:val="00794980"/>
    <w:rsid w:val="0079572D"/>
    <w:rsid w:val="00796E4F"/>
    <w:rsid w:val="007C58F6"/>
    <w:rsid w:val="007D19D7"/>
    <w:rsid w:val="007D6BFE"/>
    <w:rsid w:val="007F2EF0"/>
    <w:rsid w:val="007F3CE3"/>
    <w:rsid w:val="0082099F"/>
    <w:rsid w:val="00834A94"/>
    <w:rsid w:val="0088276B"/>
    <w:rsid w:val="008B5B21"/>
    <w:rsid w:val="008D5E97"/>
    <w:rsid w:val="009279AE"/>
    <w:rsid w:val="00930FA2"/>
    <w:rsid w:val="009324F6"/>
    <w:rsid w:val="009325A2"/>
    <w:rsid w:val="009376BA"/>
    <w:rsid w:val="00961A4B"/>
    <w:rsid w:val="00983A4D"/>
    <w:rsid w:val="009A4978"/>
    <w:rsid w:val="009B247C"/>
    <w:rsid w:val="009B2E02"/>
    <w:rsid w:val="009C1770"/>
    <w:rsid w:val="009F629E"/>
    <w:rsid w:val="00A054F9"/>
    <w:rsid w:val="00A07C80"/>
    <w:rsid w:val="00A11467"/>
    <w:rsid w:val="00A338FE"/>
    <w:rsid w:val="00A47AD6"/>
    <w:rsid w:val="00A65F3F"/>
    <w:rsid w:val="00A93B7D"/>
    <w:rsid w:val="00AA04B8"/>
    <w:rsid w:val="00AB6E17"/>
    <w:rsid w:val="00AC2541"/>
    <w:rsid w:val="00AD52DF"/>
    <w:rsid w:val="00AD649A"/>
    <w:rsid w:val="00AD64BC"/>
    <w:rsid w:val="00AE423D"/>
    <w:rsid w:val="00B02912"/>
    <w:rsid w:val="00B10569"/>
    <w:rsid w:val="00B20D3A"/>
    <w:rsid w:val="00B215EB"/>
    <w:rsid w:val="00B32D0B"/>
    <w:rsid w:val="00B467C8"/>
    <w:rsid w:val="00B51581"/>
    <w:rsid w:val="00B53B8C"/>
    <w:rsid w:val="00B6457A"/>
    <w:rsid w:val="00B8505C"/>
    <w:rsid w:val="00B872ED"/>
    <w:rsid w:val="00BA33CF"/>
    <w:rsid w:val="00BB7764"/>
    <w:rsid w:val="00BE2C50"/>
    <w:rsid w:val="00BE7804"/>
    <w:rsid w:val="00BF0865"/>
    <w:rsid w:val="00C04E98"/>
    <w:rsid w:val="00C05B11"/>
    <w:rsid w:val="00C10C62"/>
    <w:rsid w:val="00C10F58"/>
    <w:rsid w:val="00C12DE6"/>
    <w:rsid w:val="00C1499C"/>
    <w:rsid w:val="00C213C0"/>
    <w:rsid w:val="00C26049"/>
    <w:rsid w:val="00C2746D"/>
    <w:rsid w:val="00C277F4"/>
    <w:rsid w:val="00C33127"/>
    <w:rsid w:val="00C43FFD"/>
    <w:rsid w:val="00C46574"/>
    <w:rsid w:val="00C528B6"/>
    <w:rsid w:val="00C52B46"/>
    <w:rsid w:val="00C60054"/>
    <w:rsid w:val="00CA38A6"/>
    <w:rsid w:val="00CA5221"/>
    <w:rsid w:val="00CB515A"/>
    <w:rsid w:val="00CC4FC4"/>
    <w:rsid w:val="00CC5C68"/>
    <w:rsid w:val="00CE2FD2"/>
    <w:rsid w:val="00CE6132"/>
    <w:rsid w:val="00CE7072"/>
    <w:rsid w:val="00D06D9E"/>
    <w:rsid w:val="00D146CC"/>
    <w:rsid w:val="00D32E20"/>
    <w:rsid w:val="00D41ECA"/>
    <w:rsid w:val="00D463C6"/>
    <w:rsid w:val="00D46707"/>
    <w:rsid w:val="00D52785"/>
    <w:rsid w:val="00D571BB"/>
    <w:rsid w:val="00D62F0E"/>
    <w:rsid w:val="00D62FE6"/>
    <w:rsid w:val="00D9180E"/>
    <w:rsid w:val="00DB3DA9"/>
    <w:rsid w:val="00DC3AF0"/>
    <w:rsid w:val="00DC4378"/>
    <w:rsid w:val="00DC6D48"/>
    <w:rsid w:val="00DE2AE7"/>
    <w:rsid w:val="00DF7694"/>
    <w:rsid w:val="00E035A0"/>
    <w:rsid w:val="00E037B9"/>
    <w:rsid w:val="00E160E4"/>
    <w:rsid w:val="00E17DFD"/>
    <w:rsid w:val="00E3466B"/>
    <w:rsid w:val="00E601EB"/>
    <w:rsid w:val="00E839A4"/>
    <w:rsid w:val="00EB0880"/>
    <w:rsid w:val="00EB58D0"/>
    <w:rsid w:val="00EC3DE5"/>
    <w:rsid w:val="00EC6519"/>
    <w:rsid w:val="00ED23AB"/>
    <w:rsid w:val="00EF6344"/>
    <w:rsid w:val="00F07C23"/>
    <w:rsid w:val="00F21F30"/>
    <w:rsid w:val="00F325E1"/>
    <w:rsid w:val="00F32949"/>
    <w:rsid w:val="00F33C16"/>
    <w:rsid w:val="00F422E8"/>
    <w:rsid w:val="00F7074E"/>
    <w:rsid w:val="00F70D95"/>
    <w:rsid w:val="00F75C45"/>
    <w:rsid w:val="00F97A56"/>
    <w:rsid w:val="00FA210E"/>
    <w:rsid w:val="00FB0ABE"/>
    <w:rsid w:val="00FB29A6"/>
    <w:rsid w:val="00FB3884"/>
    <w:rsid w:val="00FB5D88"/>
    <w:rsid w:val="00FC4BDE"/>
    <w:rsid w:val="00FD1D71"/>
    <w:rsid w:val="00FD56BC"/>
    <w:rsid w:val="00FD5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61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544"/>
    <w:pPr>
      <w:autoSpaceDE w:val="0"/>
      <w:autoSpaceDN w:val="0"/>
      <w:adjustRightInd w:val="0"/>
      <w:jc w:val="left"/>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61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A4B"/>
    <w:rPr>
      <w:rFonts w:ascii="Segoe UI" w:hAnsi="Segoe UI" w:cs="Segoe UI"/>
      <w:sz w:val="18"/>
      <w:szCs w:val="18"/>
    </w:rPr>
  </w:style>
  <w:style w:type="character" w:styleId="CommentReference">
    <w:name w:val="annotation reference"/>
    <w:basedOn w:val="DefaultParagraphFont"/>
    <w:uiPriority w:val="99"/>
    <w:semiHidden/>
    <w:unhideWhenUsed/>
    <w:rsid w:val="00B6457A"/>
    <w:rPr>
      <w:sz w:val="16"/>
      <w:szCs w:val="16"/>
    </w:rPr>
  </w:style>
  <w:style w:type="paragraph" w:styleId="CommentText">
    <w:name w:val="annotation text"/>
    <w:basedOn w:val="Normal"/>
    <w:link w:val="CommentTextChar"/>
    <w:uiPriority w:val="99"/>
    <w:semiHidden/>
    <w:unhideWhenUsed/>
    <w:rsid w:val="00B6457A"/>
    <w:rPr>
      <w:sz w:val="20"/>
      <w:szCs w:val="20"/>
    </w:rPr>
  </w:style>
  <w:style w:type="character" w:customStyle="1" w:styleId="CommentTextChar">
    <w:name w:val="Comment Text Char"/>
    <w:basedOn w:val="DefaultParagraphFont"/>
    <w:link w:val="CommentText"/>
    <w:uiPriority w:val="99"/>
    <w:semiHidden/>
    <w:rsid w:val="00B6457A"/>
    <w:rPr>
      <w:sz w:val="20"/>
      <w:szCs w:val="20"/>
    </w:rPr>
  </w:style>
  <w:style w:type="paragraph" w:styleId="CommentSubject">
    <w:name w:val="annotation subject"/>
    <w:basedOn w:val="CommentText"/>
    <w:next w:val="CommentText"/>
    <w:link w:val="CommentSubjectChar"/>
    <w:uiPriority w:val="99"/>
    <w:semiHidden/>
    <w:unhideWhenUsed/>
    <w:rsid w:val="00B6457A"/>
    <w:rPr>
      <w:b/>
      <w:bCs/>
    </w:rPr>
  </w:style>
  <w:style w:type="character" w:customStyle="1" w:styleId="CommentSubjectChar">
    <w:name w:val="Comment Subject Char"/>
    <w:basedOn w:val="CommentTextChar"/>
    <w:link w:val="CommentSubject"/>
    <w:uiPriority w:val="99"/>
    <w:semiHidden/>
    <w:rsid w:val="00B6457A"/>
    <w:rPr>
      <w:b/>
      <w:bCs/>
      <w:sz w:val="20"/>
      <w:szCs w:val="20"/>
    </w:rPr>
  </w:style>
  <w:style w:type="paragraph" w:styleId="Header">
    <w:name w:val="header"/>
    <w:basedOn w:val="Normal"/>
    <w:link w:val="HeaderChar"/>
    <w:uiPriority w:val="99"/>
    <w:unhideWhenUsed/>
    <w:rsid w:val="00C2746D"/>
    <w:pPr>
      <w:tabs>
        <w:tab w:val="center" w:pos="4680"/>
        <w:tab w:val="right" w:pos="9360"/>
      </w:tabs>
    </w:pPr>
  </w:style>
  <w:style w:type="character" w:customStyle="1" w:styleId="HeaderChar">
    <w:name w:val="Header Char"/>
    <w:basedOn w:val="DefaultParagraphFont"/>
    <w:link w:val="Header"/>
    <w:uiPriority w:val="99"/>
    <w:rsid w:val="00C2746D"/>
  </w:style>
  <w:style w:type="paragraph" w:styleId="Footer">
    <w:name w:val="footer"/>
    <w:basedOn w:val="Normal"/>
    <w:link w:val="FooterChar"/>
    <w:uiPriority w:val="99"/>
    <w:unhideWhenUsed/>
    <w:rsid w:val="00C2746D"/>
    <w:pPr>
      <w:tabs>
        <w:tab w:val="center" w:pos="4680"/>
        <w:tab w:val="right" w:pos="9360"/>
      </w:tabs>
    </w:pPr>
  </w:style>
  <w:style w:type="character" w:customStyle="1" w:styleId="FooterChar">
    <w:name w:val="Footer Char"/>
    <w:basedOn w:val="DefaultParagraphFont"/>
    <w:link w:val="Footer"/>
    <w:uiPriority w:val="99"/>
    <w:rsid w:val="00C2746D"/>
  </w:style>
  <w:style w:type="paragraph" w:styleId="ListParagraph">
    <w:name w:val="List Paragraph"/>
    <w:basedOn w:val="Normal"/>
    <w:uiPriority w:val="34"/>
    <w:qFormat/>
    <w:rsid w:val="000B60A1"/>
    <w:pPr>
      <w:ind w:left="720"/>
      <w:contextualSpacing/>
    </w:pPr>
  </w:style>
  <w:style w:type="paragraph" w:styleId="BodyText">
    <w:name w:val="Body Text"/>
    <w:basedOn w:val="Normal"/>
    <w:link w:val="BodyTextChar"/>
    <w:uiPriority w:val="1"/>
    <w:qFormat/>
    <w:rsid w:val="005557AF"/>
    <w:pPr>
      <w:widowControl w:val="0"/>
      <w:spacing w:after="120"/>
      <w:ind w:left="158"/>
      <w:jc w:val="left"/>
    </w:pPr>
    <w:rPr>
      <w:rFonts w:ascii="Times New Roman" w:eastAsia="Times New Roman" w:hAnsi="Times New Roman"/>
    </w:rPr>
  </w:style>
  <w:style w:type="character" w:customStyle="1" w:styleId="BodyTextChar">
    <w:name w:val="Body Text Char"/>
    <w:basedOn w:val="DefaultParagraphFont"/>
    <w:link w:val="BodyText"/>
    <w:uiPriority w:val="1"/>
    <w:rsid w:val="005557AF"/>
    <w:rPr>
      <w:rFonts w:ascii="Times New Roman" w:eastAsia="Times New Roman" w:hAnsi="Times New Roman"/>
    </w:rPr>
  </w:style>
  <w:style w:type="character" w:styleId="Hyperlink">
    <w:name w:val="Hyperlink"/>
    <w:basedOn w:val="DefaultParagraphFont"/>
    <w:uiPriority w:val="99"/>
    <w:unhideWhenUsed/>
    <w:rsid w:val="005B146C"/>
    <w:rPr>
      <w:color w:val="0000FF"/>
      <w:u w:val="single"/>
    </w:rPr>
  </w:style>
  <w:style w:type="paragraph" w:styleId="Revision">
    <w:name w:val="Revision"/>
    <w:hidden/>
    <w:uiPriority w:val="99"/>
    <w:semiHidden/>
    <w:rsid w:val="00392F59"/>
    <w:pPr>
      <w:jc w:val="left"/>
    </w:pPr>
  </w:style>
  <w:style w:type="table" w:styleId="TableGrid">
    <w:name w:val="Table Grid"/>
    <w:basedOn w:val="TableNormal"/>
    <w:uiPriority w:val="59"/>
    <w:rsid w:val="007F3CE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3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a.org/research/rc/stat-studies/fast-facts.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CEBB3-E8F0-4481-852A-B68E3A74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1428</Words>
  <Characters>8142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2016-11-03T18:33:00Z</dcterms:created>
  <dcterms:modified xsi:type="dcterms:W3CDTF">2016-11-03T18:33:00Z</dcterms:modified>
</cp:coreProperties>
</file>