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92C3D" w14:textId="77777777" w:rsidR="00CD51FE" w:rsidRPr="00942E51" w:rsidRDefault="00CD51FE" w:rsidP="00CD51FE">
      <w:pPr>
        <w:spacing w:line="480" w:lineRule="auto"/>
        <w:rPr>
          <w:rFonts w:cs="Courier New"/>
        </w:rPr>
      </w:pPr>
      <w:r>
        <w:rPr>
          <w:rFonts w:cs="Courier New"/>
          <w:b/>
        </w:rPr>
        <w:t>BILLING CODE: 4163-18-P</w:t>
      </w:r>
      <w:r>
        <w:rPr>
          <w:rFonts w:cs="Courier New"/>
        </w:rPr>
        <w:t xml:space="preserve"> </w:t>
      </w:r>
    </w:p>
    <w:p w14:paraId="3DF92C3E" w14:textId="77777777" w:rsidR="00CD51FE" w:rsidRDefault="00CD51FE" w:rsidP="00CD51FE">
      <w:pPr>
        <w:spacing w:line="480" w:lineRule="auto"/>
        <w:rPr>
          <w:rFonts w:cs="Courier New"/>
          <w:b/>
        </w:rPr>
      </w:pPr>
    </w:p>
    <w:p w14:paraId="3DF92C3F" w14:textId="77777777" w:rsidR="00CD51FE" w:rsidRDefault="00CD51FE" w:rsidP="00CD51FE">
      <w:pPr>
        <w:spacing w:line="480" w:lineRule="auto"/>
        <w:rPr>
          <w:rFonts w:cs="Courier New"/>
          <w:b/>
        </w:rPr>
      </w:pPr>
      <w:r>
        <w:rPr>
          <w:rFonts w:cs="Courier New"/>
          <w:b/>
        </w:rPr>
        <w:t>DEPARTMENT OF HEALTH AND HUMAN SERVICES</w:t>
      </w:r>
    </w:p>
    <w:p w14:paraId="3DF92C40" w14:textId="77777777" w:rsidR="00CD51FE" w:rsidRDefault="00CD51FE" w:rsidP="00CD51FE">
      <w:pPr>
        <w:spacing w:line="480" w:lineRule="auto"/>
        <w:rPr>
          <w:rFonts w:cs="Courier New"/>
          <w:b/>
        </w:rPr>
      </w:pPr>
      <w:r>
        <w:rPr>
          <w:rFonts w:cs="Courier New"/>
          <w:b/>
        </w:rPr>
        <w:t>Centers for Disease Control and Prevention</w:t>
      </w:r>
    </w:p>
    <w:p w14:paraId="3DF92C41" w14:textId="29A682B4" w:rsidR="00CD51FE" w:rsidRPr="00351DE6" w:rsidRDefault="00CD51FE" w:rsidP="00CD51FE">
      <w:pPr>
        <w:spacing w:line="480" w:lineRule="auto"/>
        <w:rPr>
          <w:rFonts w:cs="Courier New"/>
          <w:b/>
        </w:rPr>
      </w:pPr>
      <w:r>
        <w:rPr>
          <w:rFonts w:cs="Courier New"/>
          <w:b/>
        </w:rPr>
        <w:t>[60Day-</w:t>
      </w:r>
      <w:r w:rsidR="00986F43">
        <w:rPr>
          <w:rFonts w:cs="Courier New"/>
          <w:b/>
          <w:highlight w:val="yellow"/>
        </w:rPr>
        <w:t>16</w:t>
      </w:r>
      <w:r w:rsidRPr="00CD51FE">
        <w:rPr>
          <w:rFonts w:cs="Courier New"/>
          <w:b/>
          <w:highlight w:val="yellow"/>
        </w:rPr>
        <w:t>-xxxx</w:t>
      </w:r>
      <w:r>
        <w:rPr>
          <w:rFonts w:cs="Courier New"/>
          <w:b/>
        </w:rPr>
        <w:t>]</w:t>
      </w:r>
    </w:p>
    <w:p w14:paraId="3DF92C42" w14:textId="00CF0B08" w:rsidR="00CD51FE" w:rsidRDefault="00CD51FE" w:rsidP="00CD51FE">
      <w:pPr>
        <w:spacing w:line="480" w:lineRule="auto"/>
        <w:rPr>
          <w:rFonts w:cs="Courier New"/>
          <w:b/>
        </w:rPr>
      </w:pPr>
      <w:r>
        <w:rPr>
          <w:rFonts w:cs="Courier New"/>
          <w:b/>
        </w:rPr>
        <w:t>[Docket No. CDC-</w:t>
      </w:r>
      <w:r w:rsidR="00986F43">
        <w:rPr>
          <w:rFonts w:cs="Courier New"/>
          <w:b/>
          <w:highlight w:val="yellow"/>
        </w:rPr>
        <w:t>2016</w:t>
      </w:r>
      <w:r w:rsidRPr="00CD51FE">
        <w:rPr>
          <w:rFonts w:cs="Courier New"/>
          <w:b/>
          <w:highlight w:val="yellow"/>
        </w:rPr>
        <w:t>-xxxx</w:t>
      </w:r>
      <w:r>
        <w:rPr>
          <w:rFonts w:cs="Courier New"/>
          <w:b/>
        </w:rPr>
        <w:t>]</w:t>
      </w:r>
    </w:p>
    <w:p w14:paraId="3DF92C43" w14:textId="77777777" w:rsidR="00CD51FE" w:rsidRDefault="00CD51FE" w:rsidP="00CD51FE">
      <w:pPr>
        <w:spacing w:line="480" w:lineRule="auto"/>
        <w:rPr>
          <w:rFonts w:cs="Courier New"/>
          <w:b/>
        </w:rPr>
      </w:pPr>
    </w:p>
    <w:p w14:paraId="3DF92C44" w14:textId="77777777" w:rsidR="00CD51FE" w:rsidRDefault="00CD51FE" w:rsidP="00CD51FE">
      <w:pPr>
        <w:spacing w:line="480" w:lineRule="auto"/>
        <w:rPr>
          <w:rFonts w:cs="Courier New"/>
          <w:b/>
        </w:rPr>
      </w:pPr>
      <w:r>
        <w:rPr>
          <w:rFonts w:cs="Courier New"/>
          <w:b/>
        </w:rPr>
        <w:t>Proposed Data Collection Submitted for Public Comment and Recommendations</w:t>
      </w:r>
    </w:p>
    <w:p w14:paraId="3DF92C45" w14:textId="77777777" w:rsidR="00CD51FE" w:rsidRDefault="00CD51FE" w:rsidP="00CD51FE">
      <w:pPr>
        <w:spacing w:line="480" w:lineRule="auto"/>
        <w:rPr>
          <w:rFonts w:cs="Courier New"/>
          <w:b/>
        </w:rPr>
      </w:pPr>
    </w:p>
    <w:p w14:paraId="3DF92C46" w14:textId="77777777" w:rsidR="00CD51FE" w:rsidRDefault="00CD51FE" w:rsidP="00CD51FE">
      <w:pPr>
        <w:spacing w:line="480" w:lineRule="auto"/>
        <w:rPr>
          <w:rFonts w:cs="Courier New"/>
        </w:rPr>
      </w:pPr>
      <w:r>
        <w:rPr>
          <w:rFonts w:cs="Courier New"/>
          <w:b/>
        </w:rPr>
        <w:t>AGENCY:</w:t>
      </w:r>
      <w:r>
        <w:rPr>
          <w:rFonts w:cs="Courier New"/>
        </w:rPr>
        <w:t xml:space="preserve"> Centers for Disease Control and Prevention (CDC), Department of Health and Human Services (HHS)</w:t>
      </w:r>
    </w:p>
    <w:p w14:paraId="3DF92C47" w14:textId="77777777" w:rsidR="00CD51FE" w:rsidRDefault="00CD51FE" w:rsidP="00CD51FE">
      <w:pPr>
        <w:spacing w:line="480" w:lineRule="auto"/>
        <w:rPr>
          <w:rFonts w:cs="Courier New"/>
        </w:rPr>
      </w:pPr>
    </w:p>
    <w:p w14:paraId="3DF92C48" w14:textId="77777777" w:rsidR="00CD51FE" w:rsidRDefault="00CD51FE" w:rsidP="00CD51FE">
      <w:pPr>
        <w:spacing w:line="480" w:lineRule="auto"/>
        <w:rPr>
          <w:rFonts w:cs="Courier New"/>
        </w:rPr>
      </w:pPr>
      <w:r>
        <w:rPr>
          <w:rFonts w:cs="Courier New"/>
          <w:b/>
        </w:rPr>
        <w:t>ACTION:</w:t>
      </w:r>
      <w:r>
        <w:rPr>
          <w:rFonts w:cs="Courier New"/>
        </w:rPr>
        <w:t xml:space="preserve"> Notice with comment period</w:t>
      </w:r>
    </w:p>
    <w:p w14:paraId="3DF92C49" w14:textId="77777777" w:rsidR="00CD51FE" w:rsidRDefault="00CD51FE" w:rsidP="00CD51FE">
      <w:pPr>
        <w:spacing w:line="480" w:lineRule="auto"/>
        <w:rPr>
          <w:rFonts w:cs="Courier New"/>
        </w:rPr>
      </w:pPr>
    </w:p>
    <w:p w14:paraId="3DF92C4A" w14:textId="39205094" w:rsidR="00CD51FE" w:rsidRDefault="00CD51FE" w:rsidP="00CD51FE">
      <w:pPr>
        <w:spacing w:line="480" w:lineRule="auto"/>
        <w:rPr>
          <w:rFonts w:cs="Courier New"/>
        </w:rPr>
      </w:pPr>
      <w:r>
        <w:rPr>
          <w:rFonts w:cs="Courier New"/>
          <w:b/>
        </w:rPr>
        <w:t>SUMMARY:</w:t>
      </w:r>
      <w:r>
        <w:rPr>
          <w:rFonts w:cs="Courier New"/>
        </w:rPr>
        <w:t xml:space="preserve"> </w:t>
      </w:r>
      <w:r w:rsidRPr="008D1C7C">
        <w:rPr>
          <w:rFonts w:cs="Courier New"/>
        </w:rPr>
        <w:t xml:space="preserve">The Centers for Disease Control and Prevention (CDC), as </w:t>
      </w:r>
      <w:r w:rsidRPr="00D70001">
        <w:rPr>
          <w:rFonts w:cs="Courier New"/>
        </w:rPr>
        <w:t>part of its continuing efforts to reduce public burden and maximize the utility of government information,</w:t>
      </w:r>
      <w:r w:rsidRPr="008D1C7C">
        <w:rPr>
          <w:rFonts w:cs="Courier New"/>
        </w:rPr>
        <w:t xml:space="preserve"> invites the general public and other Federal agencies to take this opportu</w:t>
      </w:r>
      <w:r>
        <w:rPr>
          <w:rFonts w:cs="Courier New"/>
        </w:rPr>
        <w:t>nity to comment on proposed and/</w:t>
      </w:r>
      <w:r w:rsidRPr="008D1C7C">
        <w:rPr>
          <w:rFonts w:cs="Courier New"/>
        </w:rPr>
        <w:t>or continuing information collections, as required by the Paperwork Reduction Act of 1995.</w:t>
      </w:r>
      <w:r>
        <w:rPr>
          <w:rFonts w:cs="Courier New"/>
        </w:rPr>
        <w:t xml:space="preserve">  This notice invites comment on </w:t>
      </w:r>
      <w:r w:rsidR="00AD367C" w:rsidRPr="00AD367C">
        <w:rPr>
          <w:rFonts w:cs="Courier New"/>
        </w:rPr>
        <w:t xml:space="preserve">Emergency zika package II: Persistence of zika virus in body fluids and case-control investigation of etiologic agents associated with Guillain-Barré </w:t>
      </w:r>
      <w:r w:rsidR="00AD367C" w:rsidRPr="00AD367C">
        <w:rPr>
          <w:rFonts w:cs="Courier New"/>
        </w:rPr>
        <w:lastRenderedPageBreak/>
        <w:t>Syndrome</w:t>
      </w:r>
      <w:r>
        <w:rPr>
          <w:rFonts w:cs="Courier New"/>
        </w:rPr>
        <w:t>.</w:t>
      </w:r>
    </w:p>
    <w:p w14:paraId="3DF92C4B" w14:textId="77777777" w:rsidR="00CD51FE" w:rsidRDefault="00CD51FE" w:rsidP="00CD51FE">
      <w:pPr>
        <w:spacing w:line="480" w:lineRule="auto"/>
        <w:rPr>
          <w:rFonts w:cs="Courier New"/>
        </w:rPr>
      </w:pPr>
    </w:p>
    <w:p w14:paraId="3DF92C4C" w14:textId="77777777" w:rsidR="00CD51FE" w:rsidRDefault="00CD51FE" w:rsidP="00CD51FE">
      <w:pPr>
        <w:spacing w:line="480" w:lineRule="auto"/>
        <w:rPr>
          <w:rFonts w:cs="Courier New"/>
        </w:rPr>
      </w:pPr>
      <w:r>
        <w:rPr>
          <w:rFonts w:cs="Courier New"/>
          <w:b/>
        </w:rPr>
        <w:t>DATES:</w:t>
      </w:r>
      <w:r>
        <w:rPr>
          <w:rFonts w:cs="Courier New"/>
        </w:rPr>
        <w:t xml:space="preserve"> Written comments must be received on or before </w:t>
      </w:r>
      <w:r w:rsidRPr="00CD51FE">
        <w:rPr>
          <w:rFonts w:cs="Courier New"/>
          <w:highlight w:val="yellow"/>
        </w:rPr>
        <w:t>[INSERT DATE 60 DAYS AFTER PUBLICATION DATE IN THE FEDERAL REGISTER]</w:t>
      </w:r>
      <w:r>
        <w:rPr>
          <w:rFonts w:cs="Courier New"/>
        </w:rPr>
        <w:t xml:space="preserve">.  </w:t>
      </w:r>
    </w:p>
    <w:p w14:paraId="3DF92C4D" w14:textId="77777777" w:rsidR="00CD51FE" w:rsidRDefault="00CD51FE" w:rsidP="00CD51FE">
      <w:pPr>
        <w:spacing w:line="480" w:lineRule="auto"/>
        <w:rPr>
          <w:rFonts w:cs="Courier New"/>
        </w:rPr>
      </w:pPr>
    </w:p>
    <w:p w14:paraId="3DF92C4E" w14:textId="77777777" w:rsidR="00CD51FE" w:rsidRDefault="00CD51FE" w:rsidP="00CD51FE">
      <w:pPr>
        <w:spacing w:line="480" w:lineRule="auto"/>
        <w:rPr>
          <w:rFonts w:cs="Courier New"/>
        </w:rPr>
      </w:pPr>
      <w:r>
        <w:rPr>
          <w:rFonts w:cs="Courier New"/>
          <w:b/>
        </w:rPr>
        <w:t>ADDRESSES:</w:t>
      </w:r>
      <w:r>
        <w:rPr>
          <w:rFonts w:cs="Courier New"/>
        </w:rPr>
        <w:t xml:space="preserve">  You may submit comments, identified by D</w:t>
      </w:r>
      <w:r w:rsidRPr="00CD47E8">
        <w:rPr>
          <w:rFonts w:cs="Courier New"/>
        </w:rPr>
        <w:t xml:space="preserve">ocket </w:t>
      </w:r>
      <w:r>
        <w:rPr>
          <w:rFonts w:cs="Courier New"/>
        </w:rPr>
        <w:t>No. CDC-</w:t>
      </w:r>
      <w:r w:rsidRPr="00CD51FE">
        <w:rPr>
          <w:rFonts w:cs="Courier New"/>
          <w:highlight w:val="yellow"/>
        </w:rPr>
        <w:t>201x-xxxx</w:t>
      </w:r>
      <w:r>
        <w:rPr>
          <w:rFonts w:cs="Courier New"/>
        </w:rPr>
        <w:t xml:space="preserve"> by any of the following methods:</w:t>
      </w:r>
    </w:p>
    <w:p w14:paraId="3DF92C4F" w14:textId="77777777" w:rsidR="00CD51FE" w:rsidRDefault="00CD51FE" w:rsidP="00CD51FE">
      <w:pPr>
        <w:widowControl/>
        <w:numPr>
          <w:ilvl w:val="0"/>
          <w:numId w:val="1"/>
        </w:numPr>
        <w:autoSpaceDE/>
        <w:autoSpaceDN/>
        <w:adjustRightInd/>
        <w:spacing w:line="480" w:lineRule="auto"/>
        <w:rPr>
          <w:rFonts w:cs="Courier New"/>
        </w:rPr>
      </w:pPr>
      <w:r>
        <w:rPr>
          <w:rFonts w:cs="Courier New"/>
        </w:rPr>
        <w:t>Federal eRulemaking Portal:</w:t>
      </w:r>
      <w:r w:rsidRPr="000C469E">
        <w:t xml:space="preserve"> </w:t>
      </w:r>
      <w:hyperlink r:id="rId11" w:history="1">
        <w:r>
          <w:rPr>
            <w:rStyle w:val="Hyperlink"/>
            <w:rFonts w:cs="Courier New"/>
          </w:rPr>
          <w:t>Regulation.gov</w:t>
        </w:r>
      </w:hyperlink>
      <w:r>
        <w:rPr>
          <w:rFonts w:cs="Courier New"/>
        </w:rPr>
        <w:t>.  Follow the instructions for submitting comments.</w:t>
      </w:r>
    </w:p>
    <w:p w14:paraId="3DF92C50" w14:textId="77777777" w:rsidR="00CD51FE" w:rsidRDefault="00CD51FE" w:rsidP="00CD51FE">
      <w:pPr>
        <w:widowControl/>
        <w:numPr>
          <w:ilvl w:val="0"/>
          <w:numId w:val="1"/>
        </w:numPr>
        <w:autoSpaceDE/>
        <w:autoSpaceDN/>
        <w:adjustRightInd/>
        <w:spacing w:line="480" w:lineRule="auto"/>
        <w:rPr>
          <w:rFonts w:cs="Courier New"/>
        </w:rPr>
      </w:pPr>
      <w:r w:rsidRPr="002954C5">
        <w:rPr>
          <w:rFonts w:cs="Courier New"/>
        </w:rPr>
        <w:t xml:space="preserve">Mail: </w:t>
      </w:r>
      <w:r>
        <w:rPr>
          <w:rFonts w:cs="Courier New"/>
        </w:rPr>
        <w:t>Leroy A. Richardson, Information Collection Review Office, Centers for Disease Control and Prevention, 1600 Clifton Road, N.E., MS-D74, Atlanta, Georgia 30329.</w:t>
      </w:r>
    </w:p>
    <w:p w14:paraId="3DF92C51" w14:textId="77777777" w:rsidR="00CD51FE" w:rsidRDefault="00CD51FE" w:rsidP="00CD51FE">
      <w:pPr>
        <w:spacing w:line="480" w:lineRule="auto"/>
        <w:rPr>
          <w:rFonts w:cs="Courier New"/>
        </w:rPr>
      </w:pPr>
      <w:r>
        <w:rPr>
          <w:rFonts w:cs="Courier New"/>
          <w:i/>
        </w:rPr>
        <w:t xml:space="preserve">Instructions: </w:t>
      </w:r>
      <w:r>
        <w:rPr>
          <w:rFonts w:cs="Courier New"/>
        </w:rPr>
        <w:t xml:space="preserve">All submissions received must include the agency name and Docket Number.  All relevant comments received will be posted without change to </w:t>
      </w:r>
      <w:hyperlink r:id="rId12" w:history="1">
        <w:r>
          <w:rPr>
            <w:rStyle w:val="Hyperlink"/>
            <w:rFonts w:cs="Courier New"/>
          </w:rPr>
          <w:t>Regulations.gov</w:t>
        </w:r>
      </w:hyperlink>
      <w:r>
        <w:rPr>
          <w:rFonts w:cs="Courier New"/>
        </w:rPr>
        <w:t xml:space="preserve">, including any personal information provided.  For access to the docket to read background documents or comments received, go to </w:t>
      </w:r>
      <w:hyperlink r:id="rId13" w:history="1">
        <w:r>
          <w:rPr>
            <w:rStyle w:val="Hyperlink"/>
            <w:rFonts w:cs="Courier New"/>
          </w:rPr>
          <w:t>Regulations.gov</w:t>
        </w:r>
      </w:hyperlink>
      <w:r>
        <w:rPr>
          <w:rFonts w:cs="Courier New"/>
        </w:rPr>
        <w:t>.</w:t>
      </w:r>
    </w:p>
    <w:p w14:paraId="3DF92C52" w14:textId="77777777" w:rsidR="00CD51FE" w:rsidRDefault="00CD51FE" w:rsidP="00CD51FE">
      <w:pPr>
        <w:spacing w:line="480" w:lineRule="auto"/>
        <w:rPr>
          <w:rFonts w:cs="Courier New"/>
        </w:rPr>
      </w:pPr>
    </w:p>
    <w:p w14:paraId="3DF92C53" w14:textId="77777777" w:rsidR="00CD51FE" w:rsidRDefault="00CD51FE" w:rsidP="00CD51FE">
      <w:pPr>
        <w:spacing w:line="480" w:lineRule="auto"/>
        <w:rPr>
          <w:rFonts w:cs="Courier New"/>
        </w:rPr>
      </w:pPr>
      <w:r>
        <w:rPr>
          <w:rFonts w:cs="Courier New"/>
          <w:u w:val="single"/>
        </w:rPr>
        <w:t>Please note: All public comment should be submitted through the Federal eRulemaking portal (</w:t>
      </w:r>
      <w:hyperlink r:id="rId14" w:history="1">
        <w:r>
          <w:rPr>
            <w:rStyle w:val="Hyperlink"/>
            <w:rFonts w:cs="Courier New"/>
          </w:rPr>
          <w:t>Regulations.gov</w:t>
        </w:r>
      </w:hyperlink>
      <w:r>
        <w:rPr>
          <w:rFonts w:cs="Courier New"/>
          <w:u w:val="single"/>
        </w:rPr>
        <w:t>) or by U.S. mail to the address listed above.</w:t>
      </w:r>
    </w:p>
    <w:p w14:paraId="3DF92C54" w14:textId="77777777" w:rsidR="00CD51FE" w:rsidRPr="00870754" w:rsidRDefault="00CD51FE" w:rsidP="00CD51FE">
      <w:pPr>
        <w:spacing w:line="480" w:lineRule="auto"/>
        <w:rPr>
          <w:rFonts w:cs="Courier New"/>
        </w:rPr>
      </w:pPr>
    </w:p>
    <w:p w14:paraId="3DF92C55" w14:textId="77777777" w:rsidR="00CD51FE" w:rsidRPr="002954C5" w:rsidRDefault="00CD51FE" w:rsidP="00CD51FE">
      <w:pPr>
        <w:spacing w:line="480" w:lineRule="auto"/>
        <w:rPr>
          <w:rFonts w:cs="Courier New"/>
        </w:rPr>
      </w:pPr>
      <w:r w:rsidRPr="002954C5">
        <w:rPr>
          <w:rFonts w:cs="Courier New"/>
          <w:b/>
        </w:rPr>
        <w:t>FOR FURTHER INFORMATION CONTACT:</w:t>
      </w:r>
      <w:r>
        <w:rPr>
          <w:rFonts w:cs="Courier New"/>
          <w:b/>
        </w:rPr>
        <w:t xml:space="preserve"> </w:t>
      </w:r>
      <w:r w:rsidR="007213EB" w:rsidRPr="00326043">
        <w:rPr>
          <w:rFonts w:cs="Courier New"/>
        </w:rPr>
        <w:t xml:space="preserve">To request more information on </w:t>
      </w:r>
      <w:r w:rsidR="007213EB" w:rsidRPr="00326043">
        <w:rPr>
          <w:rFonts w:cs="Courier New"/>
        </w:rPr>
        <w:lastRenderedPageBreak/>
        <w:t xml:space="preserve">the proposed project or to obtain a copy of the </w:t>
      </w:r>
      <w:r w:rsidR="007213EB">
        <w:rPr>
          <w:rFonts w:cs="Courier New"/>
        </w:rPr>
        <w:t>information</w:t>
      </w:r>
      <w:r w:rsidR="007213EB" w:rsidRPr="00326043">
        <w:rPr>
          <w:rFonts w:cs="Courier New"/>
        </w:rPr>
        <w:t xml:space="preserve"> collection plan and instruments</w:t>
      </w:r>
      <w:r w:rsidR="007213EB">
        <w:rPr>
          <w:rFonts w:cs="Courier New"/>
        </w:rPr>
        <w:t xml:space="preserve">, contact the </w:t>
      </w:r>
      <w:r>
        <w:rPr>
          <w:rFonts w:cs="Courier New"/>
        </w:rPr>
        <w:t xml:space="preserve">Information Collection Review Office, Centers for Disease Control and Prevention, 1600 Clifton Road, N.E., MS-D74, Atlanta, Georgia 30329; phone: 404-639-7570; E-mail: </w:t>
      </w:r>
      <w:hyperlink r:id="rId15" w:history="1">
        <w:r w:rsidRPr="00714F07">
          <w:rPr>
            <w:rStyle w:val="Hyperlink"/>
            <w:rFonts w:cs="Courier New"/>
          </w:rPr>
          <w:t>omb@cdc.gov</w:t>
        </w:r>
      </w:hyperlink>
      <w:r w:rsidRPr="00CD51FE">
        <w:rPr>
          <w:rStyle w:val="Hyperlink"/>
          <w:rFonts w:cs="Courier New"/>
          <w:u w:val="none"/>
        </w:rPr>
        <w:t>.</w:t>
      </w:r>
    </w:p>
    <w:p w14:paraId="3DF92C56" w14:textId="77777777" w:rsidR="00CD51FE" w:rsidRDefault="00CD51FE" w:rsidP="00CD51FE">
      <w:pPr>
        <w:spacing w:line="480" w:lineRule="auto"/>
        <w:rPr>
          <w:rFonts w:cs="Courier New"/>
          <w:b/>
        </w:rPr>
      </w:pPr>
    </w:p>
    <w:p w14:paraId="3DF92C57" w14:textId="77777777" w:rsidR="00CD51FE" w:rsidRDefault="00CD51FE" w:rsidP="00CD51FE">
      <w:pPr>
        <w:spacing w:line="480" w:lineRule="auto"/>
        <w:rPr>
          <w:rFonts w:cs="Courier New"/>
          <w:b/>
        </w:rPr>
      </w:pPr>
      <w:r>
        <w:rPr>
          <w:rFonts w:cs="Courier New"/>
          <w:b/>
        </w:rPr>
        <w:t>SUPPLEMENTARY INFORMATION:</w:t>
      </w:r>
    </w:p>
    <w:p w14:paraId="3DF92C58" w14:textId="77777777" w:rsidR="00CD51FE" w:rsidRDefault="00CD51FE" w:rsidP="00CD51FE">
      <w:pPr>
        <w:spacing w:line="480" w:lineRule="auto"/>
        <w:rPr>
          <w:rFonts w:cs="Courier New"/>
        </w:rPr>
      </w:pPr>
      <w:r>
        <w:rPr>
          <w:rFonts w:cs="Courier New"/>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cs="Courier New"/>
          <w:u w:val="single"/>
        </w:rPr>
        <w:t>Federal Register</w:t>
      </w:r>
      <w:r>
        <w:rPr>
          <w:rFonts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14:paraId="3DF92C59" w14:textId="77777777" w:rsidR="00CD51FE" w:rsidRPr="00F75F02" w:rsidRDefault="00CD51FE" w:rsidP="00CD51FE">
      <w:pPr>
        <w:spacing w:line="480" w:lineRule="auto"/>
        <w:ind w:firstLine="720"/>
        <w:rPr>
          <w:rFonts w:cs="Courier New"/>
        </w:rPr>
      </w:pPr>
      <w:r w:rsidRPr="008D1C7C">
        <w:rPr>
          <w:rFonts w:cs="Courier New"/>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w:t>
      </w:r>
      <w:r w:rsidRPr="008D1C7C">
        <w:rPr>
          <w:rFonts w:cs="Courier New"/>
        </w:rPr>
        <w:lastRenderedPageBreak/>
        <w:t xml:space="preserve">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w:t>
      </w:r>
      <w:r w:rsidRPr="008D1C7C">
        <w:rPr>
          <w:rFonts w:cs="Courier New"/>
          <w:color w:val="000000"/>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Pr>
          <w:rFonts w:cs="Courier New"/>
        </w:rPr>
        <w:t xml:space="preserve"> </w:t>
      </w:r>
    </w:p>
    <w:p w14:paraId="3DF92C5A" w14:textId="77777777" w:rsidR="00CD51FE" w:rsidRPr="00F75F02" w:rsidRDefault="00CD51FE" w:rsidP="00CD51FE">
      <w:pPr>
        <w:spacing w:line="480" w:lineRule="auto"/>
        <w:rPr>
          <w:rFonts w:cs="Courier New"/>
        </w:rPr>
      </w:pPr>
    </w:p>
    <w:p w14:paraId="3DF92C5B" w14:textId="77777777" w:rsidR="00CD51FE" w:rsidRDefault="00CD51FE" w:rsidP="00CD51FE">
      <w:pPr>
        <w:spacing w:line="480" w:lineRule="auto"/>
        <w:rPr>
          <w:rFonts w:cs="Courier New"/>
          <w:b/>
        </w:rPr>
      </w:pPr>
      <w:r>
        <w:rPr>
          <w:rFonts w:cs="Courier New"/>
          <w:b/>
        </w:rPr>
        <w:t>Proposed Project</w:t>
      </w:r>
    </w:p>
    <w:p w14:paraId="3DF92C5C" w14:textId="77777777" w:rsidR="00CD51FE" w:rsidRDefault="00CD51FE" w:rsidP="00CD51FE">
      <w:pPr>
        <w:spacing w:line="480" w:lineRule="auto"/>
        <w:rPr>
          <w:rFonts w:cs="Courier New"/>
          <w:b/>
        </w:rPr>
      </w:pPr>
    </w:p>
    <w:p w14:paraId="3DF92C5D" w14:textId="67455228" w:rsidR="00CD51FE" w:rsidRDefault="00AD367C" w:rsidP="00CD51FE">
      <w:pPr>
        <w:spacing w:line="480" w:lineRule="auto"/>
        <w:rPr>
          <w:rFonts w:cs="Courier New"/>
          <w:b/>
        </w:rPr>
      </w:pPr>
      <w:r w:rsidRPr="00AD367C">
        <w:rPr>
          <w:rFonts w:cs="Courier New"/>
          <w:b/>
        </w:rPr>
        <w:t xml:space="preserve">Emergency zika package II: Persistence of zika virus in body fluids and case-control investigation of etiologic agents associated with Guillain-Barré Syndrome </w:t>
      </w:r>
      <w:r w:rsidR="00CD51FE">
        <w:rPr>
          <w:rFonts w:cs="Courier New"/>
          <w:b/>
        </w:rPr>
        <w:t>–</w:t>
      </w:r>
      <w:r w:rsidR="00CD51FE" w:rsidRPr="00D77E80">
        <w:rPr>
          <w:rFonts w:cs="Courier New"/>
          <w:b/>
        </w:rPr>
        <w:t xml:space="preserve"> </w:t>
      </w:r>
      <w:r>
        <w:rPr>
          <w:rFonts w:cs="Courier New"/>
          <w:b/>
        </w:rPr>
        <w:t>New</w:t>
      </w:r>
      <w:r w:rsidR="00CD51FE" w:rsidRPr="00D77E80">
        <w:rPr>
          <w:rFonts w:cs="Courier New"/>
          <w:b/>
        </w:rPr>
        <w:t xml:space="preserve"> –</w:t>
      </w:r>
      <w:r w:rsidR="00CD51FE">
        <w:rPr>
          <w:rFonts w:cs="Courier New"/>
          <w:b/>
        </w:rPr>
        <w:t xml:space="preserve"> </w:t>
      </w:r>
      <w:r>
        <w:rPr>
          <w:rFonts w:cs="Courier New"/>
          <w:b/>
        </w:rPr>
        <w:t xml:space="preserve">National Center </w:t>
      </w:r>
      <w:r>
        <w:rPr>
          <w:rFonts w:cs="Courier New"/>
          <w:b/>
        </w:rPr>
        <w:lastRenderedPageBreak/>
        <w:t>for Emerging and Zoonotic Diseases (NCEZID)</w:t>
      </w:r>
      <w:r w:rsidR="00CD51FE" w:rsidRPr="00D77E80">
        <w:rPr>
          <w:rFonts w:cs="Courier New"/>
          <w:b/>
        </w:rPr>
        <w:t>, Centers for Disease Control and Prevention (CDC).</w:t>
      </w:r>
    </w:p>
    <w:p w14:paraId="3DF92C5E" w14:textId="77777777" w:rsidR="00CD51FE" w:rsidRDefault="00CD51FE" w:rsidP="00CD51FE">
      <w:pPr>
        <w:spacing w:line="480" w:lineRule="auto"/>
        <w:rPr>
          <w:rFonts w:cs="Courier New"/>
          <w:b/>
        </w:rPr>
      </w:pPr>
    </w:p>
    <w:p w14:paraId="3DF92C5F" w14:textId="77777777" w:rsidR="00CD51FE" w:rsidRDefault="00CD51FE" w:rsidP="00CD51FE">
      <w:pPr>
        <w:spacing w:line="480" w:lineRule="auto"/>
        <w:rPr>
          <w:rFonts w:cs="Courier New"/>
          <w:b/>
          <w:u w:val="single"/>
        </w:rPr>
      </w:pPr>
      <w:r w:rsidRPr="00995394">
        <w:rPr>
          <w:rFonts w:cs="Courier New"/>
          <w:b/>
          <w:u w:val="single"/>
        </w:rPr>
        <w:t>Background and Brief Description</w:t>
      </w:r>
    </w:p>
    <w:p w14:paraId="62D24E84" w14:textId="42DEFABB" w:rsidR="00697315" w:rsidRPr="00697315" w:rsidRDefault="00697315" w:rsidP="00697315">
      <w:pPr>
        <w:spacing w:line="480" w:lineRule="auto"/>
        <w:rPr>
          <w:rFonts w:cs="Courier New"/>
        </w:rPr>
      </w:pPr>
      <w:r w:rsidRPr="00697315">
        <w:rPr>
          <w:rFonts w:cs="Courier New"/>
        </w:rPr>
        <w:t>This information collection request consists of two separate</w:t>
      </w:r>
      <w:r w:rsidR="00CB2FDC">
        <w:rPr>
          <w:rFonts w:cs="Courier New"/>
        </w:rPr>
        <w:t xml:space="preserve"> </w:t>
      </w:r>
      <w:r w:rsidRPr="00697315">
        <w:rPr>
          <w:rFonts w:cs="Courier New"/>
        </w:rPr>
        <w:t>projects</w:t>
      </w:r>
      <w:r>
        <w:rPr>
          <w:rFonts w:cs="Courier New"/>
        </w:rPr>
        <w:t xml:space="preserve"> dealing with the CDC’s response to the zika virus outbreak</w:t>
      </w:r>
      <w:r w:rsidRPr="00697315">
        <w:rPr>
          <w:rFonts w:cs="Courier New"/>
        </w:rPr>
        <w:t xml:space="preserve">: </w:t>
      </w:r>
    </w:p>
    <w:p w14:paraId="5CB4C07E" w14:textId="1CE8DCE9" w:rsidR="00697315" w:rsidRDefault="00697315" w:rsidP="00CB2FDC">
      <w:pPr>
        <w:pStyle w:val="ListParagraph"/>
        <w:numPr>
          <w:ilvl w:val="0"/>
          <w:numId w:val="3"/>
        </w:numPr>
        <w:spacing w:line="480" w:lineRule="auto"/>
        <w:ind w:left="360"/>
        <w:rPr>
          <w:rFonts w:cs="Courier New"/>
        </w:rPr>
      </w:pPr>
      <w:r w:rsidRPr="00697315">
        <w:rPr>
          <w:rFonts w:cs="Courier New"/>
        </w:rPr>
        <w:t xml:space="preserve">Persistence of Zika virus(ZIKV)RNA and IgM in body fluids of patients with acute Zika virus infection in the United States </w:t>
      </w:r>
    </w:p>
    <w:p w14:paraId="60898991" w14:textId="77777777" w:rsidR="00592499" w:rsidRDefault="00B41EBA" w:rsidP="00592499">
      <w:pPr>
        <w:spacing w:line="480" w:lineRule="auto"/>
        <w:ind w:firstLine="360"/>
        <w:rPr>
          <w:rFonts w:cs="Courier New"/>
        </w:rPr>
      </w:pPr>
      <w:r w:rsidRPr="00B41EBA">
        <w:rPr>
          <w:rFonts w:cs="Courier New"/>
        </w:rPr>
        <w:t>Zika virus (ZIKV) is a mosquito-borne flavivirus that has recently emerged in the Americas.  Previously, outbreaks had occurred in Asia and islands in the south Pacific.  In addition to mosquito-to-human transmission, ZIKV infections have been documented through sexual transmission, blood transfusion, laboratory exposure, intrauterine transmission resulting in congenital infection, and intrapartum transmission from a viremic mother to her newborn.  Along with serum, ZIKV RNA has been detected in semen, urine, breast milk, and amniotic fluid.  ZIKV IgM antibodies are generally first detectable at 4 to 8 days after onset of illness and likely persist fo</w:t>
      </w:r>
      <w:r>
        <w:rPr>
          <w:rFonts w:cs="Courier New"/>
        </w:rPr>
        <w:t xml:space="preserve">r weeks to months though their </w:t>
      </w:r>
      <w:r w:rsidRPr="00B41EBA">
        <w:rPr>
          <w:rFonts w:cs="Courier New"/>
        </w:rPr>
        <w:t xml:space="preserve">duration in serum is unknown. The prevalence of ZIKV RNA in various body fluids among patients with acute ZIKV infection and the length of time that ZIKV RNA might persist in these body fluids is not well understood. </w:t>
      </w:r>
      <w:r w:rsidRPr="00B41EBA">
        <w:rPr>
          <w:rFonts w:cs="Courier New"/>
        </w:rPr>
        <w:lastRenderedPageBreak/>
        <w:t>Characterizing these parameters has implications both for potential human-to-human transmission and for diagnosis of ZIKV infection.</w:t>
      </w:r>
      <w:r w:rsidR="00592499">
        <w:rPr>
          <w:rFonts w:cs="Courier New"/>
        </w:rPr>
        <w:t xml:space="preserve"> </w:t>
      </w:r>
    </w:p>
    <w:p w14:paraId="4584B00D" w14:textId="797AE882" w:rsidR="00B41EBA" w:rsidRDefault="00592499" w:rsidP="00592499">
      <w:pPr>
        <w:spacing w:line="480" w:lineRule="auto"/>
        <w:ind w:firstLine="720"/>
        <w:rPr>
          <w:rFonts w:cs="Courier New"/>
        </w:rPr>
      </w:pPr>
      <w:r>
        <w:rPr>
          <w:rFonts w:cs="Courier New"/>
        </w:rPr>
        <w:t>CDC</w:t>
      </w:r>
      <w:r w:rsidRPr="00592499">
        <w:rPr>
          <w:rFonts w:cs="Courier New"/>
        </w:rPr>
        <w:t xml:space="preserve"> propose</w:t>
      </w:r>
      <w:r>
        <w:rPr>
          <w:rFonts w:cs="Courier New"/>
        </w:rPr>
        <w:t>s</w:t>
      </w:r>
      <w:r w:rsidRPr="00592499">
        <w:rPr>
          <w:rFonts w:cs="Courier New"/>
        </w:rPr>
        <w:t xml:space="preserve"> to investigate the persistence of ZIKV in different body fluids (shedding) and its relation to immune response to provide a basis for development of non-blood-based diagnostic tools, and target and refine public health interventions to arrest ongoing spread of infection. To do so, we will conduct a prospective cohort study of symptomatic individuals with reverse transcription-polymerase chain reaction (RT-PCR) positive ZIKV infection and a cross-sectional study of their a</w:t>
      </w:r>
      <w:r>
        <w:rPr>
          <w:rFonts w:cs="Courier New"/>
        </w:rPr>
        <w:t xml:space="preserve">symptomatic household contacts. </w:t>
      </w:r>
      <w:r w:rsidRPr="00592499">
        <w:rPr>
          <w:rFonts w:cs="Courier New"/>
        </w:rPr>
        <w:t>Results and analyses will be used to update relevant counseling messages and recommendations from the CDC.</w:t>
      </w:r>
    </w:p>
    <w:p w14:paraId="4E26AA23" w14:textId="77777777" w:rsidR="00B41EBA" w:rsidRDefault="00697315" w:rsidP="00CB2FDC">
      <w:pPr>
        <w:pStyle w:val="ListParagraph"/>
        <w:numPr>
          <w:ilvl w:val="0"/>
          <w:numId w:val="3"/>
        </w:numPr>
        <w:spacing w:line="480" w:lineRule="auto"/>
        <w:ind w:left="360"/>
        <w:rPr>
          <w:rFonts w:cs="Courier New"/>
        </w:rPr>
      </w:pPr>
      <w:r w:rsidRPr="00697315">
        <w:rPr>
          <w:rFonts w:cs="Courier New"/>
        </w:rPr>
        <w:t xml:space="preserve">Case-Control Investigation of Etiologic Agents Associated with </w:t>
      </w:r>
      <w:r>
        <w:rPr>
          <w:rFonts w:cs="Courier New"/>
        </w:rPr>
        <w:t>Guillain-Barré Syndrome</w:t>
      </w:r>
    </w:p>
    <w:p w14:paraId="3DF92C61" w14:textId="3C59D2C3" w:rsidR="00CD51FE" w:rsidRDefault="00B41EBA" w:rsidP="00C947F9">
      <w:pPr>
        <w:spacing w:line="480" w:lineRule="auto"/>
        <w:ind w:firstLine="720"/>
        <w:rPr>
          <w:rFonts w:cs="Courier New"/>
        </w:rPr>
      </w:pPr>
      <w:r w:rsidRPr="00B41EBA">
        <w:rPr>
          <w:rFonts w:cs="Courier New"/>
        </w:rPr>
        <w:t xml:space="preserve">There is an urgent public health need to understand the potential association between GBS and ZIKV infection. Currently, increased numbers of GBS cases have been reported in ZIKV-affected contexts, but it is not known if this is due to ZIKV, another etiologic agent, or some combination/interaction thereof. PRDH is establishing GBS surveillance and defining baseline incidence toward investigating the association between GBS and ZIKV infection in Puerto Rico.  More broadly, the </w:t>
      </w:r>
      <w:r w:rsidRPr="00B41EBA">
        <w:rPr>
          <w:rFonts w:cs="Courier New"/>
        </w:rPr>
        <w:lastRenderedPageBreak/>
        <w:t>results of this investigation would be relevant to other ZIKV-affected contexts, serving toward enabling clinical and/or public health action to manage and prevent additional cases.</w:t>
      </w:r>
    </w:p>
    <w:p w14:paraId="5CEEB991" w14:textId="1D995622" w:rsidR="00592499" w:rsidRPr="00B41EBA" w:rsidRDefault="00592499" w:rsidP="00CB2FDC">
      <w:pPr>
        <w:spacing w:line="480" w:lineRule="auto"/>
        <w:rPr>
          <w:rFonts w:cs="Courier New"/>
        </w:rPr>
      </w:pPr>
      <w:r>
        <w:rPr>
          <w:rFonts w:cs="Courier New"/>
        </w:rPr>
        <w:tab/>
      </w:r>
      <w:r>
        <w:t>A case-control investigation will be conducted to identify potential risk factors for the development of GBS. As part of the investigation, blood specimens will be collected from GBS cases and matched controls to evaluate for antibodies against several pathogens known to cause GBS (e.g., influenza) or pathogens hypothesized to contribute to this illness cluster (e.g., ZIKV, dengue virus, chikungunya virus, HIV, Campylobacter jejuni, Leptospira species bacteria).</w:t>
      </w:r>
    </w:p>
    <w:p w14:paraId="3DF92C62" w14:textId="77777777" w:rsidR="00CD51FE" w:rsidRDefault="00CD51FE" w:rsidP="00CD51FE">
      <w:pPr>
        <w:tabs>
          <w:tab w:val="left" w:pos="0"/>
        </w:tabs>
        <w:spacing w:line="480" w:lineRule="auto"/>
        <w:rPr>
          <w:rFonts w:cs="EEAGN D+ Melior"/>
          <w:color w:val="000000"/>
          <w:u w:val="single"/>
        </w:rPr>
      </w:pPr>
      <w:r w:rsidRPr="00A428E1">
        <w:rPr>
          <w:rFonts w:cs="EEAGN D+ Melior"/>
          <w:color w:val="000000"/>
          <w:u w:val="single"/>
        </w:rPr>
        <w:t>Estimated Annualized Burden Hours</w:t>
      </w:r>
    </w:p>
    <w:tbl>
      <w:tblPr>
        <w:tblStyle w:val="TableGrid"/>
        <w:tblW w:w="0" w:type="auto"/>
        <w:tblLayout w:type="fixed"/>
        <w:tblLook w:val="04A0" w:firstRow="1" w:lastRow="0" w:firstColumn="1" w:lastColumn="0" w:noHBand="0" w:noVBand="1"/>
      </w:tblPr>
      <w:tblGrid>
        <w:gridCol w:w="1559"/>
        <w:gridCol w:w="2396"/>
        <w:gridCol w:w="1525"/>
        <w:gridCol w:w="1558"/>
        <w:gridCol w:w="1290"/>
        <w:gridCol w:w="1022"/>
      </w:tblGrid>
      <w:tr w:rsidR="008743D7" w:rsidRPr="008743D7" w14:paraId="4F4F82C7" w14:textId="77777777" w:rsidTr="008743D7">
        <w:tc>
          <w:tcPr>
            <w:tcW w:w="1559" w:type="dxa"/>
          </w:tcPr>
          <w:p w14:paraId="4F53E0A4"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Type of Respondent</w:t>
            </w:r>
          </w:p>
        </w:tc>
        <w:tc>
          <w:tcPr>
            <w:tcW w:w="2396" w:type="dxa"/>
          </w:tcPr>
          <w:p w14:paraId="5FDDE4DE"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Form Name</w:t>
            </w:r>
          </w:p>
        </w:tc>
        <w:tc>
          <w:tcPr>
            <w:tcW w:w="1525" w:type="dxa"/>
          </w:tcPr>
          <w:p w14:paraId="5EA20B10"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No. of Respondents</w:t>
            </w:r>
          </w:p>
        </w:tc>
        <w:tc>
          <w:tcPr>
            <w:tcW w:w="1558" w:type="dxa"/>
          </w:tcPr>
          <w:p w14:paraId="098F4CAB"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No. of Responses per Respondent</w:t>
            </w:r>
          </w:p>
        </w:tc>
        <w:tc>
          <w:tcPr>
            <w:tcW w:w="1290" w:type="dxa"/>
          </w:tcPr>
          <w:p w14:paraId="597CE628"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Average Burden per Response (in hours)</w:t>
            </w:r>
          </w:p>
        </w:tc>
        <w:tc>
          <w:tcPr>
            <w:tcW w:w="1022" w:type="dxa"/>
          </w:tcPr>
          <w:p w14:paraId="2796628D"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Total Burden Hours</w:t>
            </w:r>
          </w:p>
        </w:tc>
      </w:tr>
      <w:tr w:rsidR="008743D7" w:rsidRPr="008743D7" w14:paraId="7EE1FCD0" w14:textId="77777777" w:rsidTr="008743D7">
        <w:tc>
          <w:tcPr>
            <w:tcW w:w="1559" w:type="dxa"/>
            <w:vMerge w:val="restart"/>
            <w:vAlign w:val="center"/>
          </w:tcPr>
          <w:p w14:paraId="3858F80A"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Public health personnel</w:t>
            </w:r>
          </w:p>
          <w:p w14:paraId="4830791D" w14:textId="77777777" w:rsidR="008743D7" w:rsidRPr="008743D7" w:rsidRDefault="008743D7" w:rsidP="008743D7">
            <w:pPr>
              <w:tabs>
                <w:tab w:val="left" w:pos="0"/>
              </w:tabs>
              <w:spacing w:line="480" w:lineRule="auto"/>
              <w:rPr>
                <w:rFonts w:cs="EEAGN D+ Melior"/>
                <w:color w:val="000000"/>
              </w:rPr>
            </w:pPr>
          </w:p>
        </w:tc>
        <w:tc>
          <w:tcPr>
            <w:tcW w:w="2396" w:type="dxa"/>
          </w:tcPr>
          <w:p w14:paraId="06A33371"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Shedding Questionnaire (Symptomatics)</w:t>
            </w:r>
          </w:p>
        </w:tc>
        <w:tc>
          <w:tcPr>
            <w:tcW w:w="1525" w:type="dxa"/>
          </w:tcPr>
          <w:p w14:paraId="3DF92ABA"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350</w:t>
            </w:r>
          </w:p>
        </w:tc>
        <w:tc>
          <w:tcPr>
            <w:tcW w:w="1558" w:type="dxa"/>
          </w:tcPr>
          <w:p w14:paraId="1AE8EFA6"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8</w:t>
            </w:r>
          </w:p>
        </w:tc>
        <w:tc>
          <w:tcPr>
            <w:tcW w:w="1290" w:type="dxa"/>
          </w:tcPr>
          <w:p w14:paraId="753E711E"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10/60</w:t>
            </w:r>
          </w:p>
        </w:tc>
        <w:tc>
          <w:tcPr>
            <w:tcW w:w="1022" w:type="dxa"/>
          </w:tcPr>
          <w:p w14:paraId="7786867A"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467</w:t>
            </w:r>
          </w:p>
        </w:tc>
      </w:tr>
      <w:tr w:rsidR="008743D7" w:rsidRPr="008743D7" w14:paraId="1B2C8101" w14:textId="77777777" w:rsidTr="008743D7">
        <w:tc>
          <w:tcPr>
            <w:tcW w:w="1559" w:type="dxa"/>
            <w:vMerge/>
            <w:vAlign w:val="center"/>
          </w:tcPr>
          <w:p w14:paraId="3EACB990" w14:textId="77777777" w:rsidR="008743D7" w:rsidRPr="008743D7" w:rsidRDefault="008743D7" w:rsidP="008743D7">
            <w:pPr>
              <w:tabs>
                <w:tab w:val="left" w:pos="0"/>
              </w:tabs>
              <w:spacing w:line="480" w:lineRule="auto"/>
              <w:rPr>
                <w:rFonts w:cs="EEAGN D+ Melior"/>
                <w:color w:val="000000"/>
              </w:rPr>
            </w:pPr>
          </w:p>
        </w:tc>
        <w:tc>
          <w:tcPr>
            <w:tcW w:w="2396" w:type="dxa"/>
          </w:tcPr>
          <w:p w14:paraId="0357A8DA"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 xml:space="preserve">Shedding Questionnaire </w:t>
            </w:r>
            <w:r w:rsidRPr="008743D7">
              <w:rPr>
                <w:rFonts w:cs="EEAGN D+ Melior"/>
                <w:color w:val="000000"/>
              </w:rPr>
              <w:lastRenderedPageBreak/>
              <w:t>(Cross-Sectional Asymptomatics)</w:t>
            </w:r>
          </w:p>
        </w:tc>
        <w:tc>
          <w:tcPr>
            <w:tcW w:w="1525" w:type="dxa"/>
          </w:tcPr>
          <w:p w14:paraId="54F55703"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lastRenderedPageBreak/>
              <w:t>1,000</w:t>
            </w:r>
          </w:p>
        </w:tc>
        <w:tc>
          <w:tcPr>
            <w:tcW w:w="1558" w:type="dxa"/>
          </w:tcPr>
          <w:p w14:paraId="6317E12F"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1</w:t>
            </w:r>
          </w:p>
        </w:tc>
        <w:tc>
          <w:tcPr>
            <w:tcW w:w="1290" w:type="dxa"/>
          </w:tcPr>
          <w:p w14:paraId="2626B2C6"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10/60</w:t>
            </w:r>
          </w:p>
        </w:tc>
        <w:tc>
          <w:tcPr>
            <w:tcW w:w="1022" w:type="dxa"/>
          </w:tcPr>
          <w:p w14:paraId="35A52295"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167</w:t>
            </w:r>
          </w:p>
        </w:tc>
      </w:tr>
      <w:tr w:rsidR="008743D7" w:rsidRPr="008743D7" w14:paraId="41DB0AE7" w14:textId="77777777" w:rsidTr="008743D7">
        <w:tc>
          <w:tcPr>
            <w:tcW w:w="1559" w:type="dxa"/>
            <w:vMerge/>
          </w:tcPr>
          <w:p w14:paraId="155DB2CC" w14:textId="77777777" w:rsidR="008743D7" w:rsidRPr="008743D7" w:rsidRDefault="008743D7" w:rsidP="008743D7">
            <w:pPr>
              <w:tabs>
                <w:tab w:val="left" w:pos="0"/>
              </w:tabs>
              <w:spacing w:line="480" w:lineRule="auto"/>
              <w:rPr>
                <w:rFonts w:cs="EEAGN D+ Melior"/>
                <w:color w:val="000000"/>
              </w:rPr>
            </w:pPr>
          </w:p>
        </w:tc>
        <w:tc>
          <w:tcPr>
            <w:tcW w:w="2396" w:type="dxa"/>
          </w:tcPr>
          <w:p w14:paraId="46A0EEC3"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GBS Chart abstraction questionnaire</w:t>
            </w:r>
          </w:p>
        </w:tc>
        <w:tc>
          <w:tcPr>
            <w:tcW w:w="1525" w:type="dxa"/>
          </w:tcPr>
          <w:p w14:paraId="26F48097"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10</w:t>
            </w:r>
          </w:p>
        </w:tc>
        <w:tc>
          <w:tcPr>
            <w:tcW w:w="1558" w:type="dxa"/>
          </w:tcPr>
          <w:p w14:paraId="0CF5DADA"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6</w:t>
            </w:r>
          </w:p>
        </w:tc>
        <w:tc>
          <w:tcPr>
            <w:tcW w:w="1290" w:type="dxa"/>
          </w:tcPr>
          <w:p w14:paraId="4ED9A74C"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1</w:t>
            </w:r>
          </w:p>
        </w:tc>
        <w:tc>
          <w:tcPr>
            <w:tcW w:w="1022" w:type="dxa"/>
          </w:tcPr>
          <w:p w14:paraId="0EF4011A"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60</w:t>
            </w:r>
          </w:p>
        </w:tc>
      </w:tr>
      <w:tr w:rsidR="008743D7" w:rsidRPr="008743D7" w14:paraId="50E5E53D" w14:textId="77777777" w:rsidTr="008743D7">
        <w:tc>
          <w:tcPr>
            <w:tcW w:w="1559" w:type="dxa"/>
            <w:vMerge w:val="restart"/>
            <w:vAlign w:val="center"/>
          </w:tcPr>
          <w:p w14:paraId="0B3E0C33"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General public</w:t>
            </w:r>
          </w:p>
          <w:p w14:paraId="6666B08E" w14:textId="77777777" w:rsidR="008743D7" w:rsidRPr="008743D7" w:rsidRDefault="008743D7" w:rsidP="008743D7">
            <w:pPr>
              <w:tabs>
                <w:tab w:val="left" w:pos="0"/>
              </w:tabs>
              <w:spacing w:line="480" w:lineRule="auto"/>
              <w:rPr>
                <w:rFonts w:cs="EEAGN D+ Melior"/>
                <w:color w:val="000000"/>
              </w:rPr>
            </w:pPr>
          </w:p>
        </w:tc>
        <w:tc>
          <w:tcPr>
            <w:tcW w:w="2396" w:type="dxa"/>
          </w:tcPr>
          <w:p w14:paraId="0C9021FD"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GBS Questionnaire for cases and controls</w:t>
            </w:r>
          </w:p>
        </w:tc>
        <w:tc>
          <w:tcPr>
            <w:tcW w:w="1525" w:type="dxa"/>
          </w:tcPr>
          <w:p w14:paraId="107497B1"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120</w:t>
            </w:r>
          </w:p>
        </w:tc>
        <w:tc>
          <w:tcPr>
            <w:tcW w:w="1558" w:type="dxa"/>
          </w:tcPr>
          <w:p w14:paraId="63EC1E4A"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1</w:t>
            </w:r>
          </w:p>
        </w:tc>
        <w:tc>
          <w:tcPr>
            <w:tcW w:w="1290" w:type="dxa"/>
          </w:tcPr>
          <w:p w14:paraId="7452F78A"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15/60</w:t>
            </w:r>
          </w:p>
        </w:tc>
        <w:tc>
          <w:tcPr>
            <w:tcW w:w="1022" w:type="dxa"/>
          </w:tcPr>
          <w:p w14:paraId="2DEF503C"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30</w:t>
            </w:r>
          </w:p>
        </w:tc>
      </w:tr>
      <w:tr w:rsidR="008743D7" w:rsidRPr="008743D7" w14:paraId="79D1DD3C" w14:textId="77777777" w:rsidTr="008743D7">
        <w:tc>
          <w:tcPr>
            <w:tcW w:w="1559" w:type="dxa"/>
            <w:vMerge/>
          </w:tcPr>
          <w:p w14:paraId="1E982E07" w14:textId="77777777" w:rsidR="008743D7" w:rsidRPr="008743D7" w:rsidRDefault="008743D7" w:rsidP="008743D7">
            <w:pPr>
              <w:tabs>
                <w:tab w:val="left" w:pos="0"/>
              </w:tabs>
              <w:spacing w:line="480" w:lineRule="auto"/>
              <w:rPr>
                <w:rFonts w:cs="EEAGN D+ Melior"/>
                <w:color w:val="000000"/>
              </w:rPr>
            </w:pPr>
          </w:p>
        </w:tc>
        <w:tc>
          <w:tcPr>
            <w:tcW w:w="2396" w:type="dxa"/>
          </w:tcPr>
          <w:p w14:paraId="4F2A865A"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Shedding Eligibility Form</w:t>
            </w:r>
          </w:p>
        </w:tc>
        <w:tc>
          <w:tcPr>
            <w:tcW w:w="1525" w:type="dxa"/>
          </w:tcPr>
          <w:p w14:paraId="2D71134C"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1,350</w:t>
            </w:r>
          </w:p>
        </w:tc>
        <w:tc>
          <w:tcPr>
            <w:tcW w:w="1558" w:type="dxa"/>
          </w:tcPr>
          <w:p w14:paraId="65FE13F6"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1</w:t>
            </w:r>
          </w:p>
        </w:tc>
        <w:tc>
          <w:tcPr>
            <w:tcW w:w="1290" w:type="dxa"/>
          </w:tcPr>
          <w:p w14:paraId="5F50BDE6"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2/60</w:t>
            </w:r>
          </w:p>
        </w:tc>
        <w:tc>
          <w:tcPr>
            <w:tcW w:w="1022" w:type="dxa"/>
          </w:tcPr>
          <w:p w14:paraId="37921239" w14:textId="77777777" w:rsidR="008743D7" w:rsidRPr="008743D7" w:rsidRDefault="008743D7" w:rsidP="008743D7">
            <w:pPr>
              <w:tabs>
                <w:tab w:val="left" w:pos="0"/>
              </w:tabs>
              <w:spacing w:line="480" w:lineRule="auto"/>
              <w:rPr>
                <w:rFonts w:cs="EEAGN D+ Melior"/>
                <w:color w:val="000000"/>
              </w:rPr>
            </w:pPr>
            <w:r w:rsidRPr="008743D7">
              <w:rPr>
                <w:rFonts w:cs="EEAGN D+ Melior"/>
                <w:color w:val="000000"/>
              </w:rPr>
              <w:t>45</w:t>
            </w:r>
          </w:p>
        </w:tc>
      </w:tr>
      <w:tr w:rsidR="008743D7" w:rsidRPr="008743D7" w14:paraId="1442A732" w14:textId="77777777" w:rsidTr="008743D7">
        <w:tc>
          <w:tcPr>
            <w:tcW w:w="8328" w:type="dxa"/>
            <w:gridSpan w:val="5"/>
          </w:tcPr>
          <w:p w14:paraId="1FCE14FE" w14:textId="77777777" w:rsidR="008743D7" w:rsidRPr="008743D7" w:rsidRDefault="008743D7" w:rsidP="008743D7">
            <w:pPr>
              <w:tabs>
                <w:tab w:val="left" w:pos="0"/>
              </w:tabs>
              <w:spacing w:line="480" w:lineRule="auto"/>
              <w:rPr>
                <w:rFonts w:cs="EEAGN D+ Melior"/>
                <w:b/>
                <w:color w:val="000000"/>
              </w:rPr>
            </w:pPr>
            <w:r w:rsidRPr="008743D7">
              <w:rPr>
                <w:rFonts w:cs="EEAGN D+ Melior"/>
                <w:b/>
                <w:color w:val="000000"/>
              </w:rPr>
              <w:t>Total</w:t>
            </w:r>
          </w:p>
        </w:tc>
        <w:tc>
          <w:tcPr>
            <w:tcW w:w="1022" w:type="dxa"/>
          </w:tcPr>
          <w:p w14:paraId="40082A11" w14:textId="6D882FEA" w:rsidR="008743D7" w:rsidRPr="008743D7" w:rsidRDefault="007332C1" w:rsidP="008743D7">
            <w:pPr>
              <w:tabs>
                <w:tab w:val="left" w:pos="0"/>
              </w:tabs>
              <w:spacing w:line="480" w:lineRule="auto"/>
              <w:rPr>
                <w:rFonts w:cs="EEAGN D+ Melior"/>
                <w:color w:val="000000"/>
              </w:rPr>
            </w:pPr>
            <w:r>
              <w:rPr>
                <w:rFonts w:cs="EEAGN D+ Melior"/>
                <w:color w:val="000000"/>
              </w:rPr>
              <w:t>769</w:t>
            </w:r>
            <w:bookmarkStart w:id="0" w:name="_GoBack"/>
            <w:bookmarkEnd w:id="0"/>
          </w:p>
        </w:tc>
      </w:tr>
    </w:tbl>
    <w:p w14:paraId="3DF92C75" w14:textId="77777777" w:rsidR="00CD51FE" w:rsidRDefault="00CD51FE" w:rsidP="00CD51FE">
      <w:pPr>
        <w:tabs>
          <w:tab w:val="left" w:pos="0"/>
        </w:tabs>
        <w:spacing w:line="480" w:lineRule="auto"/>
        <w:rPr>
          <w:rFonts w:cs="EEAGN D+ Melior"/>
          <w:color w:val="000000"/>
        </w:rPr>
      </w:pPr>
    </w:p>
    <w:p w14:paraId="3DF92C76" w14:textId="77777777" w:rsidR="00CD51FE" w:rsidRDefault="00CD51FE" w:rsidP="00CD51FE">
      <w:pPr>
        <w:spacing w:line="480" w:lineRule="auto"/>
        <w:rPr>
          <w:rFonts w:cs="Courier New"/>
        </w:rPr>
      </w:pPr>
      <w:r>
        <w:rPr>
          <w:rFonts w:cs="Courier New"/>
        </w:rPr>
        <w:t>Dated:</w:t>
      </w:r>
    </w:p>
    <w:p w14:paraId="3DF92C77" w14:textId="77777777" w:rsidR="00CD51FE" w:rsidRDefault="00CD51FE" w:rsidP="00CD51FE">
      <w:pPr>
        <w:spacing w:line="480" w:lineRule="auto"/>
        <w:rPr>
          <w:rFonts w:cs="Courier New"/>
        </w:rPr>
      </w:pPr>
    </w:p>
    <w:p w14:paraId="3DF92C78" w14:textId="77777777" w:rsidR="00CD51FE" w:rsidRDefault="00CD51FE" w:rsidP="00CD51FE">
      <w:pPr>
        <w:ind w:left="2160" w:firstLine="720"/>
        <w:rPr>
          <w:rFonts w:cs="Courier New"/>
        </w:rPr>
      </w:pPr>
      <w:r>
        <w:rPr>
          <w:rFonts w:cs="Courier New"/>
        </w:rPr>
        <w:t>__________________________________</w:t>
      </w:r>
    </w:p>
    <w:p w14:paraId="3DF92C79"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Leroy A. Richardson</w:t>
      </w:r>
    </w:p>
    <w:p w14:paraId="3DF92C7A"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 xml:space="preserve">Chief, Information Collection Review Office </w:t>
      </w:r>
      <w:r w:rsidRPr="008D1C7C">
        <w:rPr>
          <w:rFonts w:cs="Courier New"/>
          <w:color w:val="000000"/>
        </w:rPr>
        <w:tab/>
      </w:r>
    </w:p>
    <w:p w14:paraId="3DF92C7B"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Scientific Integrity</w:t>
      </w:r>
    </w:p>
    <w:p w14:paraId="3DF92C7C"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Associate Director for Science</w:t>
      </w:r>
    </w:p>
    <w:p w14:paraId="3DF92C7D" w14:textId="77777777" w:rsidR="00CD51F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Director</w:t>
      </w:r>
    </w:p>
    <w:p w14:paraId="3DF92C7E" w14:textId="77777777" w:rsidR="00CD51FE" w:rsidRPr="00DD2C4D" w:rsidRDefault="00CD51FE" w:rsidP="00CD51FE">
      <w:pPr>
        <w:ind w:left="2160" w:firstLine="720"/>
        <w:jc w:val="both"/>
        <w:rPr>
          <w:rFonts w:cs="Courier New"/>
        </w:rPr>
      </w:pPr>
      <w:r w:rsidRPr="000F1198">
        <w:rPr>
          <w:rFonts w:cs="Courier New"/>
          <w:color w:val="000000"/>
        </w:rPr>
        <w:t>Centers for Disease Control and Prevention</w:t>
      </w:r>
    </w:p>
    <w:p w14:paraId="3DF92C7F" w14:textId="77777777" w:rsidR="00E31AA3" w:rsidRDefault="00E31AA3"/>
    <w:sectPr w:rsidR="00E31AA3" w:rsidSect="00CD51F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E00D0" w14:textId="77777777" w:rsidR="003F75D5" w:rsidRDefault="003F75D5" w:rsidP="00CD51FE">
      <w:r>
        <w:separator/>
      </w:r>
    </w:p>
  </w:endnote>
  <w:endnote w:type="continuationSeparator" w:id="0">
    <w:p w14:paraId="05B7CDB2" w14:textId="77777777" w:rsidR="003F75D5" w:rsidRDefault="003F75D5" w:rsidP="00C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661809"/>
      <w:docPartObj>
        <w:docPartGallery w:val="Page Numbers (Bottom of Page)"/>
        <w:docPartUnique/>
      </w:docPartObj>
    </w:sdtPr>
    <w:sdtEndPr>
      <w:rPr>
        <w:noProof/>
      </w:rPr>
    </w:sdtEndPr>
    <w:sdtContent>
      <w:p w14:paraId="3DF92C86" w14:textId="77777777" w:rsidR="00CD51FE" w:rsidRDefault="00CD51FE">
        <w:pPr>
          <w:pStyle w:val="Footer"/>
          <w:jc w:val="center"/>
        </w:pPr>
        <w:r>
          <w:fldChar w:fldCharType="begin"/>
        </w:r>
        <w:r>
          <w:instrText xml:space="preserve"> PAGE   \* MERGEFORMAT </w:instrText>
        </w:r>
        <w:r>
          <w:fldChar w:fldCharType="separate"/>
        </w:r>
        <w:r w:rsidR="007332C1">
          <w:rPr>
            <w:noProof/>
          </w:rPr>
          <w:t>7</w:t>
        </w:r>
        <w:r>
          <w:rPr>
            <w:noProof/>
          </w:rPr>
          <w:fldChar w:fldCharType="end"/>
        </w:r>
      </w:p>
    </w:sdtContent>
  </w:sdt>
  <w:p w14:paraId="3DF92C87" w14:textId="77777777" w:rsidR="00CD51FE" w:rsidRDefault="00CD5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E305C" w14:textId="77777777" w:rsidR="003F75D5" w:rsidRDefault="003F75D5" w:rsidP="00CD51FE">
      <w:r>
        <w:separator/>
      </w:r>
    </w:p>
  </w:footnote>
  <w:footnote w:type="continuationSeparator" w:id="0">
    <w:p w14:paraId="0185639B" w14:textId="77777777" w:rsidR="003F75D5" w:rsidRDefault="003F75D5" w:rsidP="00CD5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80B75"/>
    <w:multiLevelType w:val="hybridMultilevel"/>
    <w:tmpl w:val="902A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B53F5"/>
    <w:multiLevelType w:val="hybridMultilevel"/>
    <w:tmpl w:val="25BACE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FE"/>
    <w:rsid w:val="00273A1C"/>
    <w:rsid w:val="003B57CD"/>
    <w:rsid w:val="003F75D5"/>
    <w:rsid w:val="00472BB5"/>
    <w:rsid w:val="00592499"/>
    <w:rsid w:val="00697315"/>
    <w:rsid w:val="007213EB"/>
    <w:rsid w:val="007332C1"/>
    <w:rsid w:val="008743D7"/>
    <w:rsid w:val="00986F43"/>
    <w:rsid w:val="00A372DC"/>
    <w:rsid w:val="00AD367C"/>
    <w:rsid w:val="00B41EBA"/>
    <w:rsid w:val="00C947F9"/>
    <w:rsid w:val="00CB2FDC"/>
    <w:rsid w:val="00CD51FE"/>
    <w:rsid w:val="00E01652"/>
    <w:rsid w:val="00E31AA3"/>
    <w:rsid w:val="00EB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2C3A"/>
  <w15:docId w15:val="{FC2C1388-D912-4D67-9959-B79425D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 w:type="paragraph" w:styleId="ListParagraph">
    <w:name w:val="List Paragraph"/>
    <w:basedOn w:val="Normal"/>
    <w:uiPriority w:val="34"/>
    <w:qFormat/>
    <w:rsid w:val="00697315"/>
    <w:pPr>
      <w:ind w:left="720"/>
      <w:contextualSpacing/>
    </w:pPr>
  </w:style>
  <w:style w:type="paragraph" w:styleId="BalloonText">
    <w:name w:val="Balloon Text"/>
    <w:basedOn w:val="Normal"/>
    <w:link w:val="BalloonTextChar"/>
    <w:uiPriority w:val="99"/>
    <w:semiHidden/>
    <w:unhideWhenUsed/>
    <w:rsid w:val="00EB70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0F9"/>
    <w:rPr>
      <w:rFonts w:ascii="Segoe UI" w:eastAsia="Times New Roman" w:hAnsi="Segoe UI" w:cs="Segoe UI"/>
      <w:sz w:val="18"/>
      <w:szCs w:val="18"/>
    </w:rPr>
  </w:style>
  <w:style w:type="table" w:styleId="TableGrid">
    <w:name w:val="Table Grid"/>
    <w:basedOn w:val="TableNormal"/>
    <w:uiPriority w:val="59"/>
    <w:rsid w:val="0087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147900">
      <w:bodyDiv w:val="1"/>
      <w:marLeft w:val="0"/>
      <w:marRight w:val="0"/>
      <w:marTop w:val="0"/>
      <w:marBottom w:val="0"/>
      <w:divBdr>
        <w:top w:val="none" w:sz="0" w:space="0" w:color="auto"/>
        <w:left w:val="none" w:sz="0" w:space="0" w:color="auto"/>
        <w:bottom w:val="none" w:sz="0" w:space="0" w:color="auto"/>
        <w:right w:val="none" w:sz="0" w:space="0" w:color="auto"/>
      </w:divBdr>
    </w:div>
    <w:div w:id="1654137599">
      <w:bodyDiv w:val="1"/>
      <w:marLeft w:val="0"/>
      <w:marRight w:val="0"/>
      <w:marTop w:val="0"/>
      <w:marBottom w:val="0"/>
      <w:divBdr>
        <w:top w:val="none" w:sz="0" w:space="0" w:color="auto"/>
        <w:left w:val="none" w:sz="0" w:space="0" w:color="auto"/>
        <w:bottom w:val="none" w:sz="0" w:space="0" w:color="auto"/>
        <w:right w:val="none" w:sz="0" w:space="0" w:color="auto"/>
      </w:divBdr>
    </w:div>
    <w:div w:id="194827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hyperlink" Target="mailto:omb@cdc.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PFY6PPX2AYTS-2589-512</_dlc_DocId>
    <_dlc_DocIdUrl xmlns="81daf041-c113-401c-bf82-107f5d396711">
      <Url>https://esp.cdc.gov/sites/ncezid/OD/policy/PRA/_layouts/15/DocIdRedir.aspx?ID=PFY6PPX2AYTS-2589-512</Url>
      <Description>PFY6PPX2AYTS-2589-512</Description>
    </_dlc_DocIdUrl>
    <ydlv xmlns="d335559b-c20a-4874-978e-77d2be77e01f" xsi:nil="true"/>
  </documentManagement>
</p:properties>
</file>

<file path=customXml/itemProps1.xml><?xml version="1.0" encoding="utf-8"?>
<ds:datastoreItem xmlns:ds="http://schemas.openxmlformats.org/officeDocument/2006/customXml" ds:itemID="{C0D29A5C-9A5C-46CB-8410-7764FB5B9A1A}">
  <ds:schemaRefs>
    <ds:schemaRef ds:uri="http://schemas.microsoft.com/sharepoint/events"/>
  </ds:schemaRefs>
</ds:datastoreItem>
</file>

<file path=customXml/itemProps2.xml><?xml version="1.0" encoding="utf-8"?>
<ds:datastoreItem xmlns:ds="http://schemas.openxmlformats.org/officeDocument/2006/customXml" ds:itemID="{2792D0B0-216A-4BB3-A6A5-DD3265D1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67290-4DCF-4572-ABBD-2F8144C5650D}">
  <ds:schemaRefs>
    <ds:schemaRef ds:uri="http://schemas.microsoft.com/sharepoint/v3/contenttype/forms"/>
  </ds:schemaRefs>
</ds:datastoreItem>
</file>

<file path=customXml/itemProps4.xml><?xml version="1.0" encoding="utf-8"?>
<ds:datastoreItem xmlns:ds="http://schemas.openxmlformats.org/officeDocument/2006/customXml" ds:itemID="{B681B307-5EF4-4005-8545-13BAB7710C04}">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d335559b-c20a-4874-978e-77d2be77e01f"/>
    <ds:schemaRef ds:uri="http://purl.org/dc/terms/"/>
    <ds:schemaRef ds:uri="81daf041-c113-401c-bf82-107f5d3967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Samuel, Lee (CDC/OID/NCEZID)</cp:lastModifiedBy>
  <cp:revision>11</cp:revision>
  <dcterms:created xsi:type="dcterms:W3CDTF">2016-02-23T16:30:00Z</dcterms:created>
  <dcterms:modified xsi:type="dcterms:W3CDTF">2016-03-03T15:19:00Z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3390bc71-61ec-4b3c-ae7f-813084893ba8</vt:lpwstr>
  </property>
</Properties>
</file>