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BE15C" w14:textId="77777777" w:rsidR="009B7205" w:rsidRDefault="009B7205" w:rsidP="009B7205">
      <w:pPr>
        <w:jc w:val="center"/>
        <w:rPr>
          <w:rFonts w:ascii="Times New Roman" w:hAnsi="Times New Roman" w:cs="Times New Roman"/>
          <w:sz w:val="24"/>
          <w:szCs w:val="24"/>
        </w:rPr>
      </w:pPr>
    </w:p>
    <w:p w14:paraId="5F1158B1" w14:textId="77777777" w:rsidR="009B7205" w:rsidRDefault="009B7205" w:rsidP="009B7205">
      <w:pPr>
        <w:jc w:val="center"/>
        <w:rPr>
          <w:rFonts w:ascii="Times New Roman" w:hAnsi="Times New Roman" w:cs="Times New Roman"/>
          <w:sz w:val="24"/>
          <w:szCs w:val="24"/>
        </w:rPr>
      </w:pPr>
    </w:p>
    <w:p w14:paraId="37846913" w14:textId="77777777" w:rsidR="009B7205" w:rsidRDefault="009B7205" w:rsidP="009B7205">
      <w:pPr>
        <w:jc w:val="center"/>
        <w:rPr>
          <w:rFonts w:ascii="Times New Roman" w:hAnsi="Times New Roman" w:cs="Times New Roman"/>
          <w:sz w:val="24"/>
          <w:szCs w:val="24"/>
        </w:rPr>
      </w:pPr>
      <w:r>
        <w:rPr>
          <w:rFonts w:ascii="Times New Roman" w:hAnsi="Times New Roman" w:cs="Times New Roman"/>
          <w:sz w:val="24"/>
          <w:szCs w:val="24"/>
        </w:rPr>
        <w:t xml:space="preserve">Information Collection Request for </w:t>
      </w:r>
    </w:p>
    <w:p w14:paraId="6DBFD185" w14:textId="77777777" w:rsidR="009B7205" w:rsidRDefault="009B7205" w:rsidP="009B7205">
      <w:pPr>
        <w:jc w:val="center"/>
        <w:rPr>
          <w:rFonts w:ascii="Times New Roman" w:hAnsi="Times New Roman" w:cs="Times New Roman"/>
          <w:sz w:val="24"/>
          <w:szCs w:val="24"/>
        </w:rPr>
      </w:pPr>
      <w:r>
        <w:rPr>
          <w:rFonts w:ascii="Times New Roman" w:hAnsi="Times New Roman" w:cs="Times New Roman"/>
          <w:sz w:val="24"/>
          <w:szCs w:val="24"/>
        </w:rPr>
        <w:t>“</w:t>
      </w:r>
      <w:r w:rsidRPr="007B0E7D">
        <w:rPr>
          <w:rFonts w:ascii="Times New Roman" w:hAnsi="Times New Roman" w:cs="Times New Roman"/>
          <w:sz w:val="24"/>
          <w:szCs w:val="24"/>
        </w:rPr>
        <w:t>Enhancing Mine Workers’ Abilities to Identify Hazards at Sand, Stone, and Gravel Mines</w:t>
      </w:r>
      <w:r>
        <w:rPr>
          <w:rFonts w:ascii="Times New Roman" w:hAnsi="Times New Roman" w:cs="Times New Roman"/>
          <w:sz w:val="24"/>
          <w:szCs w:val="24"/>
        </w:rPr>
        <w:t>”</w:t>
      </w:r>
    </w:p>
    <w:p w14:paraId="72D5D06D" w14:textId="77777777" w:rsidR="009B7205" w:rsidRPr="007B0E7D" w:rsidRDefault="009B7205" w:rsidP="009B7205">
      <w:pPr>
        <w:spacing w:after="0"/>
        <w:jc w:val="center"/>
        <w:rPr>
          <w:rFonts w:ascii="Times New Roman" w:hAnsi="Times New Roman" w:cs="Times New Roman"/>
          <w:sz w:val="24"/>
          <w:szCs w:val="24"/>
        </w:rPr>
      </w:pPr>
      <w:r w:rsidRPr="007B0E7D">
        <w:rPr>
          <w:rFonts w:ascii="Times New Roman" w:hAnsi="Times New Roman" w:cs="Times New Roman"/>
          <w:sz w:val="24"/>
          <w:szCs w:val="24"/>
        </w:rPr>
        <w:t>Brianna M. Eiter, Ph.D.</w:t>
      </w:r>
    </w:p>
    <w:p w14:paraId="0FA9E235" w14:textId="77777777" w:rsidR="009B7205" w:rsidRPr="007B0E7D" w:rsidRDefault="009B7205" w:rsidP="009B7205">
      <w:pPr>
        <w:spacing w:after="0"/>
        <w:jc w:val="center"/>
        <w:rPr>
          <w:rFonts w:ascii="Times New Roman" w:hAnsi="Times New Roman" w:cs="Times New Roman"/>
          <w:sz w:val="24"/>
          <w:szCs w:val="24"/>
        </w:rPr>
      </w:pPr>
      <w:r>
        <w:rPr>
          <w:rFonts w:ascii="Times New Roman" w:hAnsi="Times New Roman" w:cs="Times New Roman"/>
          <w:sz w:val="24"/>
          <w:szCs w:val="24"/>
        </w:rPr>
        <w:t>Research Behavioral Scientist</w:t>
      </w:r>
    </w:p>
    <w:p w14:paraId="0357C16E" w14:textId="77777777" w:rsidR="009B7205" w:rsidRPr="007B0E7D" w:rsidRDefault="009B7205" w:rsidP="009B7205">
      <w:pPr>
        <w:spacing w:after="0"/>
        <w:jc w:val="center"/>
        <w:rPr>
          <w:rFonts w:ascii="Times New Roman" w:hAnsi="Times New Roman" w:cs="Times New Roman"/>
          <w:sz w:val="24"/>
          <w:szCs w:val="24"/>
        </w:rPr>
      </w:pPr>
      <w:r w:rsidRPr="007B0E7D">
        <w:rPr>
          <w:rFonts w:ascii="Times New Roman" w:hAnsi="Times New Roman" w:cs="Times New Roman"/>
          <w:sz w:val="24"/>
          <w:szCs w:val="24"/>
        </w:rPr>
        <w:t>Tel. 412.386.4954</w:t>
      </w:r>
    </w:p>
    <w:p w14:paraId="58A458F3" w14:textId="77777777" w:rsidR="009B7205" w:rsidRDefault="00AF5027" w:rsidP="009B7205">
      <w:pPr>
        <w:spacing w:after="0"/>
        <w:jc w:val="center"/>
        <w:rPr>
          <w:rFonts w:ascii="Times New Roman" w:hAnsi="Times New Roman" w:cs="Times New Roman"/>
          <w:sz w:val="24"/>
          <w:szCs w:val="24"/>
        </w:rPr>
      </w:pPr>
      <w:hyperlink r:id="rId8" w:history="1">
        <w:r w:rsidR="009B7205" w:rsidRPr="000B5FB5">
          <w:rPr>
            <w:rStyle w:val="Hyperlink"/>
            <w:rFonts w:ascii="Times New Roman" w:hAnsi="Times New Roman" w:cs="Times New Roman"/>
            <w:sz w:val="24"/>
            <w:szCs w:val="24"/>
          </w:rPr>
          <w:t>BEiter@cdc.gov</w:t>
        </w:r>
      </w:hyperlink>
    </w:p>
    <w:p w14:paraId="33F540C3" w14:textId="77777777" w:rsidR="009B7205" w:rsidRDefault="009B7205" w:rsidP="009B7205">
      <w:pPr>
        <w:spacing w:after="0"/>
        <w:jc w:val="center"/>
        <w:rPr>
          <w:rFonts w:ascii="Times New Roman" w:hAnsi="Times New Roman" w:cs="Times New Roman"/>
          <w:sz w:val="24"/>
          <w:szCs w:val="24"/>
        </w:rPr>
      </w:pPr>
    </w:p>
    <w:p w14:paraId="62C2548D" w14:textId="7C24DD7F" w:rsidR="00861E8B" w:rsidRDefault="00E55916" w:rsidP="009B7205">
      <w:pPr>
        <w:spacing w:after="0"/>
        <w:jc w:val="center"/>
        <w:rPr>
          <w:rFonts w:ascii="Times New Roman" w:hAnsi="Times New Roman" w:cs="Times New Roman"/>
          <w:sz w:val="24"/>
          <w:szCs w:val="24"/>
        </w:rPr>
      </w:pPr>
      <w:r>
        <w:rPr>
          <w:rFonts w:ascii="Times New Roman" w:hAnsi="Times New Roman" w:cs="Times New Roman"/>
          <w:sz w:val="24"/>
          <w:szCs w:val="24"/>
        </w:rPr>
        <w:t xml:space="preserve">February </w:t>
      </w:r>
      <w:r w:rsidR="00E4194B">
        <w:rPr>
          <w:rFonts w:ascii="Times New Roman" w:hAnsi="Times New Roman" w:cs="Times New Roman"/>
          <w:sz w:val="24"/>
          <w:szCs w:val="24"/>
        </w:rPr>
        <w:t>20</w:t>
      </w:r>
      <w:r>
        <w:rPr>
          <w:rFonts w:ascii="Times New Roman" w:hAnsi="Times New Roman" w:cs="Times New Roman"/>
          <w:sz w:val="24"/>
          <w:szCs w:val="24"/>
        </w:rPr>
        <w:t>,2016</w:t>
      </w:r>
    </w:p>
    <w:p w14:paraId="54328BA6" w14:textId="77777777" w:rsidR="00432A4E" w:rsidRDefault="00432A4E" w:rsidP="009B7205">
      <w:pPr>
        <w:spacing w:after="0"/>
        <w:jc w:val="center"/>
        <w:rPr>
          <w:rFonts w:ascii="Times New Roman" w:hAnsi="Times New Roman" w:cs="Times New Roman"/>
          <w:sz w:val="24"/>
          <w:szCs w:val="24"/>
        </w:rPr>
      </w:pPr>
    </w:p>
    <w:p w14:paraId="322444C2" w14:textId="77777777" w:rsidR="00432A4E" w:rsidRDefault="00432A4E" w:rsidP="009B7205">
      <w:pPr>
        <w:spacing w:after="0"/>
        <w:jc w:val="center"/>
        <w:rPr>
          <w:rFonts w:ascii="Times New Roman" w:hAnsi="Times New Roman" w:cs="Times New Roman"/>
          <w:sz w:val="24"/>
          <w:szCs w:val="24"/>
        </w:rPr>
      </w:pPr>
      <w:r>
        <w:rPr>
          <w:rFonts w:ascii="Times New Roman" w:hAnsi="Times New Roman" w:cs="Times New Roman"/>
          <w:sz w:val="24"/>
          <w:szCs w:val="24"/>
        </w:rPr>
        <w:t>Part B</w:t>
      </w:r>
    </w:p>
    <w:p w14:paraId="346E9E12" w14:textId="77777777" w:rsidR="00861E8B" w:rsidRDefault="00861E8B">
      <w:pPr>
        <w:rPr>
          <w:rFonts w:ascii="Times New Roman" w:hAnsi="Times New Roman" w:cs="Times New Roman"/>
          <w:sz w:val="24"/>
          <w:szCs w:val="24"/>
        </w:rPr>
      </w:pPr>
      <w:r>
        <w:rPr>
          <w:rFonts w:ascii="Times New Roman" w:hAnsi="Times New Roman" w:cs="Times New Roman"/>
          <w:sz w:val="24"/>
          <w:szCs w:val="24"/>
        </w:rPr>
        <w:br w:type="page"/>
      </w:r>
    </w:p>
    <w:p w14:paraId="12B2D8FB" w14:textId="77777777" w:rsidR="00861E8B" w:rsidRDefault="00861E8B" w:rsidP="00861E8B">
      <w:pPr>
        <w:jc w:val="center"/>
        <w:rPr>
          <w:rFonts w:ascii="Times New Roman" w:hAnsi="Times New Roman" w:cs="Times New Roman"/>
          <w:sz w:val="24"/>
          <w:szCs w:val="24"/>
        </w:rPr>
      </w:pPr>
      <w:r w:rsidRPr="002E18E2">
        <w:rPr>
          <w:rFonts w:ascii="Times New Roman" w:hAnsi="Times New Roman" w:cs="Times New Roman"/>
          <w:b/>
          <w:sz w:val="24"/>
          <w:szCs w:val="24"/>
        </w:rPr>
        <w:lastRenderedPageBreak/>
        <w:t>Table of Contents</w:t>
      </w:r>
    </w:p>
    <w:p w14:paraId="723AD0C0" w14:textId="77777777" w:rsidR="00861E8B" w:rsidRDefault="00861E8B" w:rsidP="00861E8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Respondent Universe and Sampling Methods…………………………………………………….3</w:t>
      </w:r>
      <w:r>
        <w:rPr>
          <w:rFonts w:ascii="Times New Roman" w:hAnsi="Times New Roman" w:cs="Times New Roman"/>
          <w:sz w:val="24"/>
          <w:szCs w:val="24"/>
        </w:rPr>
        <w:tab/>
      </w:r>
    </w:p>
    <w:p w14:paraId="55673F19" w14:textId="77777777" w:rsidR="00861E8B" w:rsidRDefault="00861E8B" w:rsidP="00861E8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Procedures for the Collection of Information……………………………………………………..</w:t>
      </w:r>
      <w:r w:rsidR="00786455">
        <w:rPr>
          <w:rFonts w:ascii="Times New Roman" w:hAnsi="Times New Roman" w:cs="Times New Roman"/>
          <w:sz w:val="24"/>
          <w:szCs w:val="24"/>
        </w:rPr>
        <w:t>4</w:t>
      </w:r>
    </w:p>
    <w:p w14:paraId="74EC8AE7" w14:textId="77777777" w:rsidR="00861E8B" w:rsidRDefault="00861E8B" w:rsidP="00861E8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Methods to Maximize Response Rates and Deal with Nonresponse……………………………...</w:t>
      </w:r>
      <w:r w:rsidR="00786455">
        <w:rPr>
          <w:rFonts w:ascii="Times New Roman" w:hAnsi="Times New Roman" w:cs="Times New Roman"/>
          <w:sz w:val="24"/>
          <w:szCs w:val="24"/>
        </w:rPr>
        <w:t>6</w:t>
      </w:r>
    </w:p>
    <w:p w14:paraId="3199C48B" w14:textId="77777777" w:rsidR="00861E8B" w:rsidRDefault="00861E8B" w:rsidP="00861E8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Tests of Procedures or Methods to be Undertaken………………………………………………..6</w:t>
      </w:r>
    </w:p>
    <w:p w14:paraId="7315CF73" w14:textId="77777777" w:rsidR="00861E8B" w:rsidRDefault="00861E8B" w:rsidP="00861E8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Individuals Consulted on Statistical Aspects and Individuals Collecting and/or Analyzing Data..</w:t>
      </w:r>
      <w:r w:rsidR="00786455">
        <w:rPr>
          <w:rFonts w:ascii="Times New Roman" w:hAnsi="Times New Roman" w:cs="Times New Roman"/>
          <w:sz w:val="24"/>
          <w:szCs w:val="24"/>
        </w:rPr>
        <w:t>7</w:t>
      </w:r>
    </w:p>
    <w:p w14:paraId="26C46F82" w14:textId="77777777" w:rsidR="00CB3476" w:rsidRDefault="00861E8B" w:rsidP="00861E8B">
      <w:pPr>
        <w:spacing w:after="0"/>
        <w:ind w:firstLine="360"/>
        <w:rPr>
          <w:rFonts w:ascii="Times New Roman" w:hAnsi="Times New Roman" w:cs="Times New Roman"/>
          <w:sz w:val="24"/>
          <w:szCs w:val="24"/>
        </w:rPr>
      </w:pPr>
      <w:r>
        <w:rPr>
          <w:rFonts w:ascii="Times New Roman" w:hAnsi="Times New Roman" w:cs="Times New Roman"/>
          <w:sz w:val="24"/>
          <w:szCs w:val="24"/>
        </w:rPr>
        <w:t>References</w:t>
      </w:r>
      <w:r w:rsidR="001D6280">
        <w:rPr>
          <w:rFonts w:ascii="Times New Roman" w:hAnsi="Times New Roman" w:cs="Times New Roman"/>
          <w:sz w:val="24"/>
          <w:szCs w:val="24"/>
        </w:rPr>
        <w:t xml:space="preserve">   </w:t>
      </w:r>
      <w:r w:rsidR="001D6280">
        <w:rPr>
          <w:rFonts w:ascii="Times New Roman" w:hAnsi="Times New Roman" w:cs="Times New Roman"/>
          <w:sz w:val="24"/>
          <w:szCs w:val="24"/>
        </w:rPr>
        <w:tab/>
      </w:r>
      <w:r w:rsidR="001D6280">
        <w:rPr>
          <w:rFonts w:ascii="Times New Roman" w:hAnsi="Times New Roman" w:cs="Times New Roman"/>
          <w:sz w:val="24"/>
          <w:szCs w:val="24"/>
        </w:rPr>
        <w:tab/>
      </w:r>
      <w:r w:rsidR="001D6280">
        <w:rPr>
          <w:rFonts w:ascii="Times New Roman" w:hAnsi="Times New Roman" w:cs="Times New Roman"/>
          <w:sz w:val="24"/>
          <w:szCs w:val="24"/>
        </w:rPr>
        <w:tab/>
      </w:r>
      <w:r w:rsidR="001D6280">
        <w:rPr>
          <w:rFonts w:ascii="Times New Roman" w:hAnsi="Times New Roman" w:cs="Times New Roman"/>
          <w:sz w:val="24"/>
          <w:szCs w:val="24"/>
        </w:rPr>
        <w:tab/>
      </w:r>
      <w:r w:rsidR="001D6280">
        <w:rPr>
          <w:rFonts w:ascii="Times New Roman" w:hAnsi="Times New Roman" w:cs="Times New Roman"/>
          <w:sz w:val="24"/>
          <w:szCs w:val="24"/>
        </w:rPr>
        <w:tab/>
      </w:r>
      <w:r w:rsidR="001D6280">
        <w:rPr>
          <w:rFonts w:ascii="Times New Roman" w:hAnsi="Times New Roman" w:cs="Times New Roman"/>
          <w:sz w:val="24"/>
          <w:szCs w:val="24"/>
        </w:rPr>
        <w:tab/>
      </w:r>
      <w:r w:rsidR="001D6280">
        <w:rPr>
          <w:rFonts w:ascii="Times New Roman" w:hAnsi="Times New Roman" w:cs="Times New Roman"/>
          <w:sz w:val="24"/>
          <w:szCs w:val="24"/>
        </w:rPr>
        <w:tab/>
      </w:r>
      <w:r w:rsidR="001D6280">
        <w:rPr>
          <w:rFonts w:ascii="Times New Roman" w:hAnsi="Times New Roman" w:cs="Times New Roman"/>
          <w:sz w:val="24"/>
          <w:szCs w:val="24"/>
        </w:rPr>
        <w:tab/>
      </w:r>
      <w:r w:rsidR="001D6280">
        <w:rPr>
          <w:rFonts w:ascii="Times New Roman" w:hAnsi="Times New Roman" w:cs="Times New Roman"/>
          <w:sz w:val="24"/>
          <w:szCs w:val="24"/>
        </w:rPr>
        <w:tab/>
      </w:r>
      <w:r w:rsidR="001D6280">
        <w:rPr>
          <w:rFonts w:ascii="Times New Roman" w:hAnsi="Times New Roman" w:cs="Times New Roman"/>
          <w:sz w:val="24"/>
          <w:szCs w:val="24"/>
        </w:rPr>
        <w:tab/>
        <w:t xml:space="preserve">                      9</w:t>
      </w:r>
    </w:p>
    <w:p w14:paraId="58F68419" w14:textId="77777777" w:rsidR="00CB3476" w:rsidRDefault="00CB3476">
      <w:pPr>
        <w:rPr>
          <w:rFonts w:ascii="Times New Roman" w:hAnsi="Times New Roman" w:cs="Times New Roman"/>
          <w:sz w:val="24"/>
          <w:szCs w:val="24"/>
        </w:rPr>
      </w:pPr>
      <w:r>
        <w:rPr>
          <w:rFonts w:ascii="Times New Roman" w:hAnsi="Times New Roman" w:cs="Times New Roman"/>
          <w:sz w:val="24"/>
          <w:szCs w:val="24"/>
        </w:rPr>
        <w:br w:type="page"/>
      </w:r>
    </w:p>
    <w:p w14:paraId="0436A3EE" w14:textId="77777777" w:rsidR="0074328A" w:rsidRDefault="0074328A" w:rsidP="006951C8">
      <w:pPr>
        <w:spacing w:line="240" w:lineRule="auto"/>
        <w:ind w:left="144" w:right="1440"/>
        <w:rPr>
          <w:rFonts w:ascii="Times New Roman" w:hAnsi="Times New Roman" w:cs="Times New Roman"/>
          <w:sz w:val="24"/>
          <w:szCs w:val="24"/>
        </w:rPr>
      </w:pPr>
      <w:r>
        <w:rPr>
          <w:rFonts w:ascii="Times New Roman" w:hAnsi="Times New Roman" w:cs="Times New Roman"/>
          <w:b/>
          <w:sz w:val="28"/>
          <w:szCs w:val="28"/>
        </w:rPr>
        <w:lastRenderedPageBreak/>
        <w:t>B. Collections of Information Employing Statistical Methods</w:t>
      </w:r>
    </w:p>
    <w:p w14:paraId="3F3B83B4" w14:textId="77777777" w:rsidR="0074328A" w:rsidRDefault="0074328A" w:rsidP="006951C8">
      <w:pPr>
        <w:spacing w:line="240" w:lineRule="auto"/>
        <w:ind w:left="144" w:right="1440"/>
        <w:rPr>
          <w:rFonts w:ascii="Times New Roman" w:hAnsi="Times New Roman" w:cs="Times New Roman"/>
          <w:b/>
          <w:sz w:val="24"/>
          <w:szCs w:val="24"/>
        </w:rPr>
      </w:pPr>
      <w:r w:rsidRPr="00E72CE2">
        <w:rPr>
          <w:rFonts w:ascii="Times New Roman" w:hAnsi="Times New Roman" w:cs="Times New Roman"/>
          <w:b/>
          <w:sz w:val="24"/>
          <w:szCs w:val="24"/>
        </w:rPr>
        <w:t xml:space="preserve">1. Respondent Universe and Sampling </w:t>
      </w:r>
      <w:r>
        <w:rPr>
          <w:rFonts w:ascii="Times New Roman" w:hAnsi="Times New Roman" w:cs="Times New Roman"/>
          <w:b/>
          <w:sz w:val="24"/>
          <w:szCs w:val="24"/>
        </w:rPr>
        <w:t>M</w:t>
      </w:r>
      <w:r w:rsidRPr="00E72CE2">
        <w:rPr>
          <w:rFonts w:ascii="Times New Roman" w:hAnsi="Times New Roman" w:cs="Times New Roman"/>
          <w:b/>
          <w:sz w:val="24"/>
          <w:szCs w:val="24"/>
        </w:rPr>
        <w:t>ethod</w:t>
      </w:r>
    </w:p>
    <w:p w14:paraId="69386A9A" w14:textId="2880B36D" w:rsidR="0074328A" w:rsidRPr="004D18F0" w:rsidRDefault="0074328A" w:rsidP="006951C8">
      <w:pPr>
        <w:spacing w:line="240" w:lineRule="auto"/>
        <w:ind w:left="144" w:right="1440"/>
        <w:rPr>
          <w:rFonts w:ascii="Times New Roman" w:hAnsi="Times New Roman" w:cs="Times New Roman"/>
          <w:sz w:val="24"/>
          <w:szCs w:val="24"/>
        </w:rPr>
      </w:pPr>
      <w:r w:rsidRPr="004D18F0">
        <w:rPr>
          <w:rFonts w:ascii="Times New Roman" w:hAnsi="Times New Roman" w:cs="Times New Roman"/>
          <w:sz w:val="24"/>
          <w:szCs w:val="24"/>
        </w:rPr>
        <w:t xml:space="preserve">According to the </w:t>
      </w:r>
      <w:r w:rsidR="00A37F2C">
        <w:rPr>
          <w:rFonts w:ascii="Times New Roman" w:hAnsi="Times New Roman" w:cs="Times New Roman"/>
          <w:sz w:val="24"/>
          <w:szCs w:val="24"/>
        </w:rPr>
        <w:t>National Survey of the Mining Population</w:t>
      </w:r>
      <w:r w:rsidR="004001F5">
        <w:rPr>
          <w:rFonts w:ascii="Times New Roman" w:hAnsi="Times New Roman" w:cs="Times New Roman"/>
          <w:sz w:val="24"/>
          <w:szCs w:val="24"/>
        </w:rPr>
        <w:t xml:space="preserve"> Part I: Employees</w:t>
      </w:r>
      <w:r w:rsidR="00A37F2C">
        <w:rPr>
          <w:rFonts w:ascii="Times New Roman" w:hAnsi="Times New Roman" w:cs="Times New Roman"/>
          <w:sz w:val="24"/>
          <w:szCs w:val="24"/>
        </w:rPr>
        <w:t xml:space="preserve"> (</w:t>
      </w:r>
      <w:r w:rsidR="004001F5">
        <w:rPr>
          <w:rFonts w:ascii="Times New Roman" w:hAnsi="Times New Roman" w:cs="Times New Roman"/>
          <w:sz w:val="24"/>
          <w:szCs w:val="24"/>
        </w:rPr>
        <w:t>NIOSH, 2012</w:t>
      </w:r>
      <w:r w:rsidR="00A37F2C">
        <w:rPr>
          <w:rFonts w:ascii="Times New Roman" w:hAnsi="Times New Roman" w:cs="Times New Roman"/>
          <w:sz w:val="24"/>
          <w:szCs w:val="24"/>
        </w:rPr>
        <w:t>), there are approximately 4,639 Stone Mining Operations and 7,199 Sand and Gravel Mining Operations in the United States</w:t>
      </w:r>
      <w:r w:rsidRPr="004D18F0">
        <w:rPr>
          <w:rFonts w:ascii="Times New Roman" w:hAnsi="Times New Roman" w:cs="Times New Roman"/>
          <w:sz w:val="24"/>
          <w:szCs w:val="24"/>
        </w:rPr>
        <w:t>.</w:t>
      </w:r>
      <w:r w:rsidR="00A37F2C">
        <w:rPr>
          <w:rFonts w:ascii="Times New Roman" w:hAnsi="Times New Roman" w:cs="Times New Roman"/>
          <w:sz w:val="24"/>
          <w:szCs w:val="24"/>
        </w:rPr>
        <w:t xml:space="preserve">  </w:t>
      </w:r>
      <w:r w:rsidRPr="004D18F0">
        <w:rPr>
          <w:rFonts w:ascii="Times New Roman" w:hAnsi="Times New Roman" w:cs="Times New Roman"/>
          <w:sz w:val="24"/>
          <w:szCs w:val="24"/>
        </w:rPr>
        <w:t xml:space="preserve">A description of the mines where </w:t>
      </w:r>
      <w:r w:rsidR="00A37F2C">
        <w:rPr>
          <w:rFonts w:ascii="Times New Roman" w:hAnsi="Times New Roman" w:cs="Times New Roman"/>
          <w:sz w:val="24"/>
          <w:szCs w:val="24"/>
        </w:rPr>
        <w:t xml:space="preserve">mine workers are employed </w:t>
      </w:r>
      <w:r w:rsidRPr="004D18F0">
        <w:rPr>
          <w:rFonts w:ascii="Times New Roman" w:hAnsi="Times New Roman" w:cs="Times New Roman"/>
          <w:sz w:val="24"/>
          <w:szCs w:val="24"/>
        </w:rPr>
        <w:t xml:space="preserve">will be provided (e.g., size, location, </w:t>
      </w:r>
      <w:r w:rsidR="00A37F2C">
        <w:rPr>
          <w:rFonts w:ascii="Times New Roman" w:hAnsi="Times New Roman" w:cs="Times New Roman"/>
          <w:sz w:val="24"/>
          <w:szCs w:val="24"/>
        </w:rPr>
        <w:t>mine type</w:t>
      </w:r>
      <w:r w:rsidRPr="004D18F0">
        <w:rPr>
          <w:rFonts w:ascii="Times New Roman" w:hAnsi="Times New Roman" w:cs="Times New Roman"/>
          <w:sz w:val="24"/>
          <w:szCs w:val="24"/>
        </w:rPr>
        <w:t xml:space="preserve">, etc.). Because NIOSH cannot control which mines agree to participate in the study, the data collected cannot be considered representative of the entire population of miners working at U.S. coal mines. It </w:t>
      </w:r>
      <w:r w:rsidR="00697FD4">
        <w:rPr>
          <w:rFonts w:ascii="Times New Roman" w:hAnsi="Times New Roman" w:cs="Times New Roman"/>
          <w:sz w:val="24"/>
          <w:szCs w:val="24"/>
        </w:rPr>
        <w:t>can</w:t>
      </w:r>
      <w:r w:rsidR="00697FD4" w:rsidRPr="004D18F0">
        <w:rPr>
          <w:rFonts w:ascii="Times New Roman" w:hAnsi="Times New Roman" w:cs="Times New Roman"/>
          <w:sz w:val="24"/>
          <w:szCs w:val="24"/>
        </w:rPr>
        <w:t xml:space="preserve"> </w:t>
      </w:r>
      <w:r w:rsidRPr="004D18F0">
        <w:rPr>
          <w:rFonts w:ascii="Times New Roman" w:hAnsi="Times New Roman" w:cs="Times New Roman"/>
          <w:sz w:val="24"/>
          <w:szCs w:val="24"/>
        </w:rPr>
        <w:t xml:space="preserve">be assumed that the findings of this study are generalizable to other </w:t>
      </w:r>
      <w:r w:rsidR="00A37F2C">
        <w:rPr>
          <w:rFonts w:ascii="Times New Roman" w:hAnsi="Times New Roman" w:cs="Times New Roman"/>
          <w:sz w:val="24"/>
          <w:szCs w:val="24"/>
        </w:rPr>
        <w:t>groups of Sand and Stone and Gravel mine workers</w:t>
      </w:r>
      <w:r w:rsidR="00697FD4">
        <w:rPr>
          <w:rFonts w:ascii="Times New Roman" w:hAnsi="Times New Roman" w:cs="Times New Roman"/>
          <w:sz w:val="24"/>
          <w:szCs w:val="24"/>
        </w:rPr>
        <w:t xml:space="preserve"> who work in similar settings</w:t>
      </w:r>
      <w:r w:rsidRPr="004D18F0">
        <w:rPr>
          <w:rFonts w:ascii="Times New Roman" w:hAnsi="Times New Roman" w:cs="Times New Roman"/>
          <w:sz w:val="24"/>
          <w:szCs w:val="24"/>
        </w:rPr>
        <w:t xml:space="preserve">.  </w:t>
      </w:r>
    </w:p>
    <w:p w14:paraId="345E8A76" w14:textId="08E409F8" w:rsidR="0074328A" w:rsidRDefault="009E04C5" w:rsidP="006951C8">
      <w:pPr>
        <w:spacing w:line="240" w:lineRule="auto"/>
        <w:ind w:left="144" w:right="1440"/>
        <w:rPr>
          <w:rFonts w:ascii="Times New Roman" w:hAnsi="Times New Roman" w:cs="Times New Roman"/>
          <w:sz w:val="24"/>
          <w:szCs w:val="24"/>
        </w:rPr>
      </w:pPr>
      <w:r>
        <w:rPr>
          <w:rFonts w:ascii="Times New Roman" w:hAnsi="Times New Roman" w:cs="Times New Roman"/>
          <w:sz w:val="24"/>
          <w:szCs w:val="24"/>
        </w:rPr>
        <w:t>One group of subjects</w:t>
      </w:r>
      <w:r w:rsidRPr="00C93EF8">
        <w:rPr>
          <w:rFonts w:ascii="Times New Roman" w:hAnsi="Times New Roman" w:cs="Times New Roman"/>
          <w:sz w:val="24"/>
          <w:szCs w:val="24"/>
        </w:rPr>
        <w:t xml:space="preserve"> will be employees from participating </w:t>
      </w:r>
      <w:r>
        <w:rPr>
          <w:rFonts w:ascii="Times New Roman" w:hAnsi="Times New Roman" w:cs="Times New Roman"/>
          <w:sz w:val="24"/>
          <w:szCs w:val="24"/>
        </w:rPr>
        <w:t>Sand and Stone and Gravel mines</w:t>
      </w:r>
      <w:r w:rsidRPr="00C93EF8">
        <w:rPr>
          <w:rFonts w:ascii="Times New Roman" w:hAnsi="Times New Roman" w:cs="Times New Roman"/>
          <w:sz w:val="24"/>
          <w:szCs w:val="24"/>
        </w:rPr>
        <w:t>. Mines will be recruited via stakeholder meetings and previous research contacts. The mine</w:t>
      </w:r>
      <w:r>
        <w:rPr>
          <w:rFonts w:ascii="Times New Roman" w:hAnsi="Times New Roman" w:cs="Times New Roman"/>
          <w:sz w:val="24"/>
          <w:szCs w:val="24"/>
        </w:rPr>
        <w:t>s</w:t>
      </w:r>
      <w:r w:rsidRPr="00C93EF8">
        <w:rPr>
          <w:rFonts w:ascii="Times New Roman" w:hAnsi="Times New Roman" w:cs="Times New Roman"/>
          <w:sz w:val="24"/>
          <w:szCs w:val="24"/>
        </w:rPr>
        <w:t xml:space="preserve"> will be recruited with </w:t>
      </w:r>
      <w:r>
        <w:rPr>
          <w:rFonts w:ascii="Times New Roman" w:hAnsi="Times New Roman" w:cs="Times New Roman"/>
          <w:sz w:val="24"/>
          <w:szCs w:val="24"/>
        </w:rPr>
        <w:t xml:space="preserve">a goal of including mines </w:t>
      </w:r>
      <w:r w:rsidRPr="00C93EF8">
        <w:rPr>
          <w:rFonts w:ascii="Times New Roman" w:hAnsi="Times New Roman" w:cs="Times New Roman"/>
          <w:sz w:val="24"/>
          <w:szCs w:val="24"/>
        </w:rPr>
        <w:t xml:space="preserve">that vary </w:t>
      </w:r>
      <w:r>
        <w:rPr>
          <w:rFonts w:ascii="Times New Roman" w:hAnsi="Times New Roman" w:cs="Times New Roman"/>
          <w:sz w:val="24"/>
          <w:szCs w:val="24"/>
        </w:rPr>
        <w:t xml:space="preserve">in the number of employees </w:t>
      </w:r>
      <w:r w:rsidRPr="00C93EF8">
        <w:rPr>
          <w:rFonts w:ascii="Times New Roman" w:hAnsi="Times New Roman" w:cs="Times New Roman"/>
          <w:sz w:val="24"/>
          <w:szCs w:val="24"/>
        </w:rPr>
        <w:t>on the continuum of size.</w:t>
      </w:r>
      <w:r>
        <w:rPr>
          <w:rFonts w:ascii="Times New Roman" w:hAnsi="Times New Roman" w:cs="Times New Roman"/>
          <w:sz w:val="24"/>
          <w:szCs w:val="24"/>
        </w:rPr>
        <w:t xml:space="preserve">  </w:t>
      </w:r>
      <w:r w:rsidRPr="00C93EF8">
        <w:rPr>
          <w:rFonts w:ascii="Times New Roman" w:hAnsi="Times New Roman" w:cs="Times New Roman"/>
          <w:sz w:val="24"/>
          <w:szCs w:val="24"/>
        </w:rPr>
        <w:t>It is expected that the employees of the participating mines will vary along a number of variables including age, gender, and experience. All employees will be given the option of declining individual participation in the study.</w:t>
      </w:r>
      <w:r>
        <w:rPr>
          <w:rFonts w:ascii="Times New Roman" w:hAnsi="Times New Roman" w:cs="Times New Roman"/>
          <w:sz w:val="24"/>
          <w:szCs w:val="24"/>
        </w:rPr>
        <w:t xml:space="preserve">  A second group of subjects will be safety professionals working within the Sand and Stone and Gravel mining industry.  Safety professionals will be recruited in a similar way as mine workers and the mines these safety professionals are employed at are expected to be similar to the mines mine workers are employed at.  The third group of subjects will be students enrolled in mining engineering programs or occupational safety and health programs at local colleges and universities – for instance the University of Pittsburgh and West Virginia University.  Student participants will be recruited through faculty and previous research contacts.  </w:t>
      </w:r>
      <w:r w:rsidR="00E4317E">
        <w:rPr>
          <w:rFonts w:ascii="Times New Roman" w:hAnsi="Times New Roman" w:cs="Times New Roman"/>
          <w:sz w:val="24"/>
          <w:szCs w:val="24"/>
        </w:rPr>
        <w:t xml:space="preserve">.  </w:t>
      </w:r>
    </w:p>
    <w:p w14:paraId="29F295A7" w14:textId="316A60B0" w:rsidR="0074328A" w:rsidRPr="00C93EF8" w:rsidRDefault="0074328A" w:rsidP="006951C8">
      <w:pPr>
        <w:spacing w:line="240" w:lineRule="auto"/>
        <w:ind w:left="144" w:right="1440"/>
        <w:rPr>
          <w:rFonts w:ascii="Times New Roman" w:hAnsi="Times New Roman" w:cs="Times New Roman"/>
          <w:sz w:val="24"/>
          <w:szCs w:val="24"/>
        </w:rPr>
      </w:pPr>
      <w:r w:rsidRPr="00C93EF8">
        <w:rPr>
          <w:rFonts w:ascii="Times New Roman" w:hAnsi="Times New Roman" w:cs="Times New Roman"/>
          <w:sz w:val="24"/>
          <w:szCs w:val="24"/>
        </w:rPr>
        <w:lastRenderedPageBreak/>
        <w:t xml:space="preserve">It is expected that </w:t>
      </w:r>
      <w:r>
        <w:rPr>
          <w:rFonts w:ascii="Times New Roman" w:hAnsi="Times New Roman" w:cs="Times New Roman"/>
          <w:sz w:val="24"/>
          <w:szCs w:val="24"/>
        </w:rPr>
        <w:t xml:space="preserve">no more than </w:t>
      </w:r>
      <w:r w:rsidR="00E4194B">
        <w:rPr>
          <w:rFonts w:ascii="Times New Roman" w:hAnsi="Times New Roman" w:cs="Times New Roman"/>
          <w:sz w:val="24"/>
          <w:szCs w:val="24"/>
        </w:rPr>
        <w:t xml:space="preserve">62 </w:t>
      </w:r>
      <w:r w:rsidRPr="00C93EF8">
        <w:rPr>
          <w:rFonts w:ascii="Times New Roman" w:hAnsi="Times New Roman" w:cs="Times New Roman"/>
          <w:sz w:val="24"/>
          <w:szCs w:val="24"/>
        </w:rPr>
        <w:t xml:space="preserve">individuals will participate in </w:t>
      </w:r>
      <w:r w:rsidR="009E04C5">
        <w:rPr>
          <w:rFonts w:ascii="Times New Roman" w:hAnsi="Times New Roman" w:cs="Times New Roman"/>
          <w:sz w:val="24"/>
          <w:szCs w:val="24"/>
        </w:rPr>
        <w:t xml:space="preserve">the full </w:t>
      </w:r>
      <w:r>
        <w:rPr>
          <w:rFonts w:ascii="Times New Roman" w:hAnsi="Times New Roman" w:cs="Times New Roman"/>
          <w:sz w:val="24"/>
          <w:szCs w:val="24"/>
        </w:rPr>
        <w:t xml:space="preserve">data collection, </w:t>
      </w:r>
      <w:r w:rsidR="00E4317E">
        <w:rPr>
          <w:rFonts w:ascii="Times New Roman" w:hAnsi="Times New Roman" w:cs="Times New Roman"/>
          <w:sz w:val="24"/>
          <w:szCs w:val="24"/>
        </w:rPr>
        <w:t>approximately 30 Sand and Stone and Gravel mine workers</w:t>
      </w:r>
      <w:r w:rsidR="00082615">
        <w:rPr>
          <w:rFonts w:ascii="Times New Roman" w:hAnsi="Times New Roman" w:cs="Times New Roman"/>
          <w:sz w:val="24"/>
          <w:szCs w:val="24"/>
        </w:rPr>
        <w:t xml:space="preserve"> – 1</w:t>
      </w:r>
      <w:r w:rsidR="009E04C5">
        <w:rPr>
          <w:rFonts w:ascii="Times New Roman" w:hAnsi="Times New Roman" w:cs="Times New Roman"/>
          <w:sz w:val="24"/>
          <w:szCs w:val="24"/>
        </w:rPr>
        <w:t>6</w:t>
      </w:r>
      <w:r w:rsidR="00082615">
        <w:rPr>
          <w:rFonts w:ascii="Times New Roman" w:hAnsi="Times New Roman" w:cs="Times New Roman"/>
          <w:sz w:val="24"/>
          <w:szCs w:val="24"/>
        </w:rPr>
        <w:t xml:space="preserve"> of these mine workers will be considered experienced and 15 will be considered inexperienced, 15 safety professionals,</w:t>
      </w:r>
      <w:r w:rsidR="00E4317E">
        <w:rPr>
          <w:rFonts w:ascii="Times New Roman" w:hAnsi="Times New Roman" w:cs="Times New Roman"/>
          <w:sz w:val="24"/>
          <w:szCs w:val="24"/>
        </w:rPr>
        <w:t xml:space="preserve"> and 1</w:t>
      </w:r>
      <w:r w:rsidR="009E04C5">
        <w:rPr>
          <w:rFonts w:ascii="Times New Roman" w:hAnsi="Times New Roman" w:cs="Times New Roman"/>
          <w:sz w:val="24"/>
          <w:szCs w:val="24"/>
        </w:rPr>
        <w:t>6</w:t>
      </w:r>
      <w:r w:rsidR="00E4317E">
        <w:rPr>
          <w:rFonts w:ascii="Times New Roman" w:hAnsi="Times New Roman" w:cs="Times New Roman"/>
          <w:sz w:val="24"/>
          <w:szCs w:val="24"/>
        </w:rPr>
        <w:t xml:space="preserve"> students</w:t>
      </w:r>
      <w:r w:rsidR="00082615">
        <w:rPr>
          <w:rFonts w:ascii="Times New Roman" w:hAnsi="Times New Roman" w:cs="Times New Roman"/>
          <w:sz w:val="24"/>
          <w:szCs w:val="24"/>
        </w:rPr>
        <w:t xml:space="preserve">.  </w:t>
      </w:r>
      <w:r w:rsidR="00082615" w:rsidRPr="00082615">
        <w:rPr>
          <w:rFonts w:ascii="Times New Roman" w:hAnsi="Times New Roman" w:cs="Times New Roman"/>
          <w:sz w:val="24"/>
          <w:szCs w:val="24"/>
        </w:rPr>
        <w:t>It is typical in studies using eye tracking methodology to have approximately 10-12 participants in a group when a between subjects design is being used (see Reingold et al. (2001) for an example of a study investigating differences in eye movement behavior based on experience level and Castelhano et al. (2009) for an example of a study investigating eye movement behavior during scene perception).</w:t>
      </w:r>
      <w:r w:rsidR="006F2D98">
        <w:rPr>
          <w:rFonts w:ascii="Times New Roman" w:hAnsi="Times New Roman" w:cs="Times New Roman"/>
          <w:sz w:val="24"/>
          <w:szCs w:val="24"/>
        </w:rPr>
        <w:t xml:space="preserve">  Previous eye tracking research will be used to guide sample size for the current research study.   </w:t>
      </w:r>
    </w:p>
    <w:p w14:paraId="49E0FAA5" w14:textId="590C167A" w:rsidR="009E04C5" w:rsidRDefault="009E04C5" w:rsidP="006951C8">
      <w:pPr>
        <w:spacing w:line="240" w:lineRule="auto"/>
        <w:ind w:left="144" w:right="1440"/>
        <w:rPr>
          <w:rFonts w:ascii="Times New Roman" w:hAnsi="Times New Roman" w:cs="Times New Roman"/>
          <w:sz w:val="24"/>
          <w:szCs w:val="24"/>
        </w:rPr>
      </w:pPr>
      <w:r w:rsidRPr="00C93EF8">
        <w:rPr>
          <w:rFonts w:ascii="Times New Roman" w:hAnsi="Times New Roman" w:cs="Times New Roman"/>
          <w:sz w:val="24"/>
          <w:szCs w:val="24"/>
        </w:rPr>
        <w:t xml:space="preserve">The sampling of participants </w:t>
      </w:r>
      <w:r w:rsidR="007632D5">
        <w:rPr>
          <w:rFonts w:ascii="Times New Roman" w:hAnsi="Times New Roman" w:cs="Times New Roman"/>
          <w:sz w:val="24"/>
          <w:szCs w:val="24"/>
        </w:rPr>
        <w:t xml:space="preserve">for all parts of the study </w:t>
      </w:r>
      <w:r w:rsidRPr="00C93EF8">
        <w:rPr>
          <w:rFonts w:ascii="Times New Roman" w:hAnsi="Times New Roman" w:cs="Times New Roman"/>
          <w:sz w:val="24"/>
          <w:szCs w:val="24"/>
        </w:rPr>
        <w:t xml:space="preserve">will be convenience sampling. Purposive sampling will be used to ensure that the research team gets a broad sample of </w:t>
      </w:r>
      <w:r>
        <w:rPr>
          <w:rFonts w:ascii="Times New Roman" w:hAnsi="Times New Roman" w:cs="Times New Roman"/>
          <w:sz w:val="24"/>
          <w:szCs w:val="24"/>
        </w:rPr>
        <w:t>mine workers</w:t>
      </w:r>
      <w:r w:rsidRPr="00C93EF8">
        <w:rPr>
          <w:rFonts w:ascii="Times New Roman" w:hAnsi="Times New Roman" w:cs="Times New Roman"/>
          <w:sz w:val="24"/>
          <w:szCs w:val="24"/>
        </w:rPr>
        <w:t xml:space="preserve"> </w:t>
      </w:r>
      <w:r>
        <w:rPr>
          <w:rFonts w:ascii="Times New Roman" w:hAnsi="Times New Roman" w:cs="Times New Roman"/>
          <w:sz w:val="24"/>
          <w:szCs w:val="24"/>
        </w:rPr>
        <w:t>and safety professionals from participating mines with a range of mining experience and training related to hazard recognition and risk perception</w:t>
      </w:r>
      <w:r w:rsidRPr="00C93EF8">
        <w:rPr>
          <w:rFonts w:ascii="Times New Roman" w:hAnsi="Times New Roman" w:cs="Times New Roman"/>
          <w:sz w:val="24"/>
          <w:szCs w:val="24"/>
        </w:rPr>
        <w:t>.</w:t>
      </w:r>
      <w:r>
        <w:rPr>
          <w:rFonts w:ascii="Times New Roman" w:hAnsi="Times New Roman" w:cs="Times New Roman"/>
          <w:sz w:val="24"/>
          <w:szCs w:val="24"/>
        </w:rPr>
        <w:t xml:space="preserve"> While there are many job types at surface Stone and Sand and Gravel mines, for mine workers specific job category will not influence sampling.  Purposive sampling will also be used to ensure that the research teams gets a broad sample of students who are enrolled in a mining program at a college or university with a range of knowledge of mine site hazards and an understanding of the risk associated with these hazards.  Overall, purposive sampling will be used to ensure the research team gets as broad a sample of mine workers, safety professionals and students as possible.   </w:t>
      </w:r>
      <w:r w:rsidRPr="00C93EF8">
        <w:rPr>
          <w:rFonts w:ascii="Times New Roman" w:hAnsi="Times New Roman" w:cs="Times New Roman"/>
          <w:sz w:val="24"/>
          <w:szCs w:val="24"/>
        </w:rPr>
        <w:t>Convenience sampling will occur based on the mine</w:t>
      </w:r>
      <w:r>
        <w:rPr>
          <w:rFonts w:ascii="Times New Roman" w:hAnsi="Times New Roman" w:cs="Times New Roman"/>
          <w:sz w:val="24"/>
          <w:szCs w:val="24"/>
        </w:rPr>
        <w:t xml:space="preserve">s, miners, safety professionals, and students </w:t>
      </w:r>
      <w:r w:rsidRPr="00C93EF8">
        <w:rPr>
          <w:rFonts w:ascii="Times New Roman" w:hAnsi="Times New Roman" w:cs="Times New Roman"/>
          <w:sz w:val="24"/>
          <w:szCs w:val="24"/>
        </w:rPr>
        <w:t xml:space="preserve">available to participate at the point in time when assessments </w:t>
      </w:r>
      <w:r>
        <w:rPr>
          <w:rFonts w:ascii="Times New Roman" w:hAnsi="Times New Roman" w:cs="Times New Roman"/>
          <w:sz w:val="24"/>
          <w:szCs w:val="24"/>
        </w:rPr>
        <w:t>are</w:t>
      </w:r>
      <w:r w:rsidRPr="00C93EF8">
        <w:rPr>
          <w:rFonts w:ascii="Times New Roman" w:hAnsi="Times New Roman" w:cs="Times New Roman"/>
          <w:sz w:val="24"/>
          <w:szCs w:val="24"/>
        </w:rPr>
        <w:t xml:space="preserve"> conducted.</w:t>
      </w:r>
    </w:p>
    <w:p w14:paraId="5A63F7C4" w14:textId="231D7FA6" w:rsidR="0074328A" w:rsidRPr="00C93EF8" w:rsidRDefault="0074328A" w:rsidP="006951C8">
      <w:pPr>
        <w:spacing w:line="240" w:lineRule="auto"/>
        <w:ind w:left="144" w:right="1440"/>
        <w:rPr>
          <w:rFonts w:ascii="Times New Roman" w:hAnsi="Times New Roman" w:cs="Times New Roman"/>
          <w:sz w:val="24"/>
          <w:szCs w:val="24"/>
        </w:rPr>
      </w:pPr>
      <w:r w:rsidRPr="00C93EF8">
        <w:rPr>
          <w:rFonts w:ascii="Times New Roman" w:hAnsi="Times New Roman" w:cs="Times New Roman"/>
          <w:sz w:val="24"/>
          <w:szCs w:val="24"/>
        </w:rPr>
        <w:t xml:space="preserve">.   </w:t>
      </w:r>
      <w:bookmarkStart w:id="0" w:name="_GoBack"/>
      <w:bookmarkEnd w:id="0"/>
    </w:p>
    <w:p w14:paraId="4824FAB6" w14:textId="4730AB82" w:rsidR="0074328A" w:rsidRDefault="00082615" w:rsidP="006951C8">
      <w:pPr>
        <w:spacing w:line="240" w:lineRule="auto"/>
        <w:ind w:left="144" w:right="1440"/>
        <w:rPr>
          <w:rFonts w:ascii="Times New Roman" w:hAnsi="Times New Roman" w:cs="Times New Roman"/>
          <w:sz w:val="24"/>
          <w:szCs w:val="24"/>
        </w:rPr>
      </w:pPr>
      <w:r>
        <w:rPr>
          <w:rFonts w:ascii="Times New Roman" w:hAnsi="Times New Roman" w:cs="Times New Roman"/>
          <w:sz w:val="24"/>
          <w:szCs w:val="24"/>
        </w:rPr>
        <w:t xml:space="preserve">One laboratory based study will be conducted.  </w:t>
      </w:r>
      <w:r w:rsidR="00D62891">
        <w:rPr>
          <w:rFonts w:ascii="Times New Roman" w:hAnsi="Times New Roman" w:cs="Times New Roman"/>
          <w:sz w:val="24"/>
          <w:szCs w:val="24"/>
        </w:rPr>
        <w:t xml:space="preserve">This study will use a </w:t>
      </w:r>
      <w:r w:rsidR="00B7161D">
        <w:rPr>
          <w:rFonts w:ascii="Times New Roman" w:hAnsi="Times New Roman" w:cs="Times New Roman"/>
          <w:sz w:val="24"/>
          <w:szCs w:val="24"/>
        </w:rPr>
        <w:t xml:space="preserve">mixed methods approach because both quantitative and qualitative </w:t>
      </w:r>
      <w:r w:rsidR="00B7161D">
        <w:rPr>
          <w:rFonts w:ascii="Times New Roman" w:hAnsi="Times New Roman" w:cs="Times New Roman"/>
          <w:sz w:val="24"/>
          <w:szCs w:val="24"/>
        </w:rPr>
        <w:lastRenderedPageBreak/>
        <w:t xml:space="preserve">data will be collected.  Specifically, an experimental research strategy will be used.  In addition, </w:t>
      </w:r>
      <w:r>
        <w:rPr>
          <w:rFonts w:ascii="Times New Roman" w:hAnsi="Times New Roman" w:cs="Times New Roman"/>
          <w:sz w:val="24"/>
          <w:szCs w:val="24"/>
        </w:rPr>
        <w:t xml:space="preserve">several data collection instruments will be used.  </w:t>
      </w:r>
      <w:r w:rsidR="00B7161D">
        <w:rPr>
          <w:rFonts w:ascii="Times New Roman" w:hAnsi="Times New Roman" w:cs="Times New Roman"/>
          <w:sz w:val="24"/>
          <w:szCs w:val="24"/>
        </w:rPr>
        <w:t xml:space="preserve">Finally, participants will be asked a series of open-ended research questions.  </w:t>
      </w:r>
      <w:r>
        <w:rPr>
          <w:rFonts w:ascii="Times New Roman" w:hAnsi="Times New Roman" w:cs="Times New Roman"/>
          <w:sz w:val="24"/>
          <w:szCs w:val="24"/>
        </w:rPr>
        <w:t>D</w:t>
      </w:r>
      <w:r w:rsidRPr="00C93EF8">
        <w:rPr>
          <w:rFonts w:ascii="Times New Roman" w:hAnsi="Times New Roman" w:cs="Times New Roman"/>
          <w:sz w:val="24"/>
          <w:szCs w:val="24"/>
        </w:rPr>
        <w:t xml:space="preserve">ata collection is expected to last </w:t>
      </w:r>
      <w:r>
        <w:rPr>
          <w:rFonts w:ascii="Times New Roman" w:hAnsi="Times New Roman" w:cs="Times New Roman"/>
          <w:sz w:val="24"/>
          <w:szCs w:val="24"/>
        </w:rPr>
        <w:t xml:space="preserve">approximately </w:t>
      </w:r>
      <w:r w:rsidR="009E04C5">
        <w:rPr>
          <w:rFonts w:ascii="Times New Roman" w:hAnsi="Times New Roman" w:cs="Times New Roman"/>
          <w:sz w:val="24"/>
          <w:szCs w:val="24"/>
        </w:rPr>
        <w:t>two years</w:t>
      </w:r>
      <w:r w:rsidRPr="00C93EF8">
        <w:rPr>
          <w:rFonts w:ascii="Times New Roman" w:hAnsi="Times New Roman" w:cs="Times New Roman"/>
          <w:sz w:val="24"/>
          <w:szCs w:val="24"/>
        </w:rPr>
        <w:t>. Data will only be collected once with each participating miner; this is not a longitudinal study.</w:t>
      </w:r>
      <w:r>
        <w:rPr>
          <w:rFonts w:ascii="Times New Roman" w:hAnsi="Times New Roman" w:cs="Times New Roman"/>
          <w:sz w:val="24"/>
          <w:szCs w:val="24"/>
        </w:rPr>
        <w:t xml:space="preserve">  </w:t>
      </w:r>
      <w:r w:rsidR="0074328A" w:rsidRPr="00C93EF8">
        <w:rPr>
          <w:rFonts w:ascii="Times New Roman" w:hAnsi="Times New Roman" w:cs="Times New Roman"/>
          <w:sz w:val="24"/>
          <w:szCs w:val="24"/>
        </w:rPr>
        <w:t>The data collected for this study will be both qualitative and quantitative in nature.</w:t>
      </w:r>
      <w:r>
        <w:rPr>
          <w:rFonts w:ascii="Times New Roman" w:hAnsi="Times New Roman" w:cs="Times New Roman"/>
          <w:sz w:val="24"/>
          <w:szCs w:val="24"/>
        </w:rPr>
        <w:t xml:space="preserve"> </w:t>
      </w:r>
      <w:r w:rsidR="0074328A" w:rsidRPr="00C93EF8">
        <w:rPr>
          <w:rFonts w:ascii="Times New Roman" w:hAnsi="Times New Roman" w:cs="Times New Roman"/>
          <w:sz w:val="24"/>
          <w:szCs w:val="24"/>
        </w:rPr>
        <w:t xml:space="preserve"> </w:t>
      </w:r>
      <w:r>
        <w:rPr>
          <w:rFonts w:ascii="Times New Roman" w:hAnsi="Times New Roman" w:cs="Times New Roman"/>
          <w:sz w:val="24"/>
          <w:szCs w:val="24"/>
        </w:rPr>
        <w:t>D</w:t>
      </w:r>
      <w:r w:rsidR="0074328A" w:rsidRPr="00C93EF8">
        <w:rPr>
          <w:rFonts w:ascii="Times New Roman" w:hAnsi="Times New Roman" w:cs="Times New Roman"/>
          <w:sz w:val="24"/>
          <w:szCs w:val="24"/>
        </w:rPr>
        <w:t xml:space="preserve">escriptive statistics (e.g., variability and mean scores for each item across the participants) and tests for statistical significance of group differences will be performed. Demographic information will be collected to describe the sampled group (through means and ranges). Qualitative data will be coded by researchers based on </w:t>
      </w:r>
      <w:r>
        <w:rPr>
          <w:rFonts w:ascii="Times New Roman" w:hAnsi="Times New Roman" w:cs="Times New Roman"/>
          <w:sz w:val="24"/>
          <w:szCs w:val="24"/>
        </w:rPr>
        <w:t>particular questions asked</w:t>
      </w:r>
      <w:r w:rsidR="0074328A" w:rsidRPr="00C93EF8">
        <w:rPr>
          <w:rFonts w:ascii="Times New Roman" w:hAnsi="Times New Roman" w:cs="Times New Roman"/>
          <w:sz w:val="24"/>
          <w:szCs w:val="24"/>
        </w:rPr>
        <w:t>.</w:t>
      </w:r>
    </w:p>
    <w:p w14:paraId="4DB2F028" w14:textId="77777777" w:rsidR="00884FF5" w:rsidRDefault="00884FF5" w:rsidP="006951C8">
      <w:pPr>
        <w:spacing w:line="240" w:lineRule="auto"/>
        <w:ind w:left="144" w:right="1440"/>
        <w:rPr>
          <w:rFonts w:ascii="Times New Roman" w:hAnsi="Times New Roman" w:cs="Times New Roman"/>
          <w:sz w:val="24"/>
          <w:szCs w:val="24"/>
        </w:rPr>
      </w:pPr>
      <w:r>
        <w:rPr>
          <w:rFonts w:ascii="Times New Roman" w:hAnsi="Times New Roman" w:cs="Times New Roman"/>
          <w:b/>
          <w:sz w:val="28"/>
          <w:szCs w:val="28"/>
        </w:rPr>
        <w:t>2. Procedures for the Collection of Information</w:t>
      </w:r>
    </w:p>
    <w:p w14:paraId="64B418C7" w14:textId="436DA151" w:rsidR="00884FF5" w:rsidRDefault="00BE46FA" w:rsidP="006951C8">
      <w:pPr>
        <w:spacing w:line="240" w:lineRule="auto"/>
        <w:ind w:left="144" w:right="1440"/>
        <w:rPr>
          <w:rFonts w:ascii="Times New Roman" w:hAnsi="Times New Roman" w:cs="Times New Roman"/>
          <w:sz w:val="24"/>
          <w:szCs w:val="24"/>
        </w:rPr>
      </w:pPr>
      <w:r>
        <w:rPr>
          <w:rFonts w:ascii="Times New Roman" w:hAnsi="Times New Roman" w:cs="Times New Roman"/>
          <w:sz w:val="24"/>
          <w:szCs w:val="24"/>
        </w:rPr>
        <w:t xml:space="preserve">Data will be collected in the 360° </w:t>
      </w:r>
      <w:r w:rsidR="0019653B">
        <w:rPr>
          <w:rFonts w:ascii="Times New Roman" w:hAnsi="Times New Roman" w:cs="Times New Roman"/>
          <w:sz w:val="24"/>
          <w:szCs w:val="24"/>
        </w:rPr>
        <w:t xml:space="preserve">virtual environment </w:t>
      </w:r>
      <w:r>
        <w:rPr>
          <w:rFonts w:ascii="Times New Roman" w:hAnsi="Times New Roman" w:cs="Times New Roman"/>
          <w:sz w:val="24"/>
          <w:szCs w:val="24"/>
        </w:rPr>
        <w:t xml:space="preserve">within the Virtual Immersion and Simulation Laboratory (VISLab), a virtual reality facility at the NIOSH Laboratories at Bruceton, PA.  This data collection will utilize experimental research methodologies where aspects of the visual scene – panoramic pictures of various locations at Stone and Sand and Gravel mine sites – will be manipulated.  We will specifically manipulate hazards that are present within the panoramic scenes in order to determine whether study participants are able to identify them.  Two other aspects of the visual scene that will be manipulated </w:t>
      </w:r>
      <w:r w:rsidR="00432A4E">
        <w:rPr>
          <w:rFonts w:ascii="Times New Roman" w:hAnsi="Times New Roman" w:cs="Times New Roman"/>
          <w:sz w:val="24"/>
          <w:szCs w:val="24"/>
        </w:rPr>
        <w:t>are</w:t>
      </w:r>
      <w:r>
        <w:rPr>
          <w:rFonts w:ascii="Times New Roman" w:hAnsi="Times New Roman" w:cs="Times New Roman"/>
          <w:sz w:val="24"/>
          <w:szCs w:val="24"/>
        </w:rPr>
        <w:t xml:space="preserve"> (1) the distance of hazards from a fixation marker that is used to initiate scene presentation and (2) the height of the hazard within the scene (foreground, mid-ground, far-ground).  </w:t>
      </w:r>
    </w:p>
    <w:p w14:paraId="6C2779DC" w14:textId="77777777" w:rsidR="000725BD" w:rsidRDefault="000725BD" w:rsidP="006951C8">
      <w:pPr>
        <w:spacing w:line="240" w:lineRule="auto"/>
        <w:ind w:left="144" w:right="1440"/>
        <w:rPr>
          <w:rFonts w:ascii="Times New Roman" w:hAnsi="Times New Roman" w:cs="Times New Roman"/>
          <w:sz w:val="24"/>
          <w:szCs w:val="24"/>
        </w:rPr>
      </w:pPr>
      <w:r>
        <w:rPr>
          <w:rFonts w:ascii="Times New Roman" w:hAnsi="Times New Roman" w:cs="Times New Roman"/>
          <w:sz w:val="24"/>
          <w:szCs w:val="24"/>
        </w:rPr>
        <w:t>The following is a brief description of experimental procedure</w:t>
      </w:r>
      <w:r w:rsidR="00432A4E">
        <w:rPr>
          <w:rFonts w:ascii="Times New Roman" w:hAnsi="Times New Roman" w:cs="Times New Roman"/>
          <w:sz w:val="24"/>
          <w:szCs w:val="24"/>
        </w:rPr>
        <w:t>s</w:t>
      </w:r>
      <w:r>
        <w:rPr>
          <w:rFonts w:ascii="Times New Roman" w:hAnsi="Times New Roman" w:cs="Times New Roman"/>
          <w:sz w:val="24"/>
          <w:szCs w:val="24"/>
        </w:rPr>
        <w:t xml:space="preserve"> that will be used during data collection as well as a discussion of the other questionnaire based measures that will be administered to all participants following the </w:t>
      </w:r>
      <w:r w:rsidR="00C81F4E">
        <w:rPr>
          <w:rFonts w:ascii="Times New Roman" w:hAnsi="Times New Roman" w:cs="Times New Roman"/>
          <w:sz w:val="24"/>
          <w:szCs w:val="24"/>
        </w:rPr>
        <w:t xml:space="preserve">completion of the </w:t>
      </w:r>
      <w:r>
        <w:rPr>
          <w:rFonts w:ascii="Times New Roman" w:hAnsi="Times New Roman" w:cs="Times New Roman"/>
          <w:sz w:val="24"/>
          <w:szCs w:val="24"/>
        </w:rPr>
        <w:t xml:space="preserve">laboratory based data collection.  </w:t>
      </w:r>
    </w:p>
    <w:p w14:paraId="417AD885" w14:textId="77777777" w:rsidR="00C81F4E" w:rsidRDefault="00C81F4E" w:rsidP="006951C8">
      <w:pPr>
        <w:spacing w:line="240" w:lineRule="auto"/>
        <w:ind w:left="144" w:right="1440"/>
        <w:rPr>
          <w:rFonts w:ascii="Times New Roman" w:hAnsi="Times New Roman" w:cs="Times New Roman"/>
          <w:b/>
          <w:sz w:val="24"/>
          <w:szCs w:val="24"/>
        </w:rPr>
      </w:pPr>
      <w:r w:rsidRPr="00C81F4E">
        <w:rPr>
          <w:rFonts w:ascii="Times New Roman" w:hAnsi="Times New Roman" w:cs="Times New Roman"/>
          <w:b/>
          <w:sz w:val="24"/>
          <w:szCs w:val="24"/>
        </w:rPr>
        <w:t xml:space="preserve">Procedure: </w:t>
      </w:r>
    </w:p>
    <w:p w14:paraId="20D139DD" w14:textId="77777777" w:rsidR="00C81F4E" w:rsidRPr="009C5CDC" w:rsidRDefault="00C81F4E" w:rsidP="006951C8">
      <w:pPr>
        <w:spacing w:line="240" w:lineRule="auto"/>
        <w:ind w:left="144" w:right="1440" w:firstLine="360"/>
        <w:rPr>
          <w:rFonts w:ascii="Times New Roman" w:eastAsia="Times New Roman" w:hAnsi="Times New Roman" w:cs="Times New Roman"/>
          <w:sz w:val="24"/>
          <w:szCs w:val="24"/>
          <w:u w:val="single"/>
        </w:rPr>
      </w:pPr>
      <w:r w:rsidRPr="009C5CDC">
        <w:rPr>
          <w:rFonts w:ascii="Times New Roman" w:eastAsia="Times New Roman" w:hAnsi="Times New Roman" w:cs="Times New Roman"/>
          <w:sz w:val="24"/>
          <w:szCs w:val="24"/>
          <w:u w:val="single"/>
        </w:rPr>
        <w:lastRenderedPageBreak/>
        <w:t>Pre-Screening</w:t>
      </w:r>
    </w:p>
    <w:p w14:paraId="15A59B12" w14:textId="77777777" w:rsidR="00C81F4E" w:rsidRDefault="00C81F4E" w:rsidP="006951C8">
      <w:pPr>
        <w:spacing w:line="240" w:lineRule="auto"/>
        <w:ind w:left="144"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All potential participants will be pre-screened before being invited to take part in the study</w:t>
      </w:r>
      <w:r w:rsidR="006A7F19">
        <w:rPr>
          <w:rFonts w:ascii="Times New Roman" w:eastAsia="Times New Roman" w:hAnsi="Times New Roman" w:cs="Times New Roman"/>
          <w:sz w:val="24"/>
          <w:szCs w:val="24"/>
        </w:rPr>
        <w:t xml:space="preserve"> </w:t>
      </w:r>
      <w:r w:rsidR="006A7F19" w:rsidRPr="00174FF1">
        <w:rPr>
          <w:rFonts w:ascii="Times New Roman" w:eastAsia="Times New Roman" w:hAnsi="Times New Roman" w:cs="Times New Roman"/>
          <w:b/>
          <w:sz w:val="24"/>
          <w:szCs w:val="24"/>
        </w:rPr>
        <w:t xml:space="preserve">(See Appendix </w:t>
      </w:r>
      <w:r w:rsidR="00FC0695" w:rsidRPr="00174FF1">
        <w:rPr>
          <w:rFonts w:ascii="Times New Roman" w:eastAsia="Times New Roman" w:hAnsi="Times New Roman" w:cs="Times New Roman"/>
          <w:b/>
          <w:sz w:val="24"/>
          <w:szCs w:val="24"/>
        </w:rPr>
        <w:t>D</w:t>
      </w:r>
      <w:r w:rsidR="006A7F19" w:rsidRPr="00174FF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During the pre-screen, potential participants will be asked to answer several questions about their visual abilities.  The goal of these questions is to eliminate people with visual deficiencies that may negatively impact ability to perform the research task.  </w:t>
      </w:r>
    </w:p>
    <w:p w14:paraId="0D3AB578" w14:textId="77777777" w:rsidR="00C81F4E" w:rsidRPr="009C5CDC" w:rsidRDefault="006A7F19" w:rsidP="006951C8">
      <w:pPr>
        <w:spacing w:line="240" w:lineRule="auto"/>
        <w:ind w:left="144" w:right="1440" w:firstLine="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Laboratory </w:t>
      </w:r>
      <w:r w:rsidR="00C81F4E" w:rsidRPr="009C5CDC">
        <w:rPr>
          <w:rFonts w:ascii="Times New Roman" w:eastAsia="Times New Roman" w:hAnsi="Times New Roman" w:cs="Times New Roman"/>
          <w:sz w:val="24"/>
          <w:szCs w:val="24"/>
          <w:u w:val="single"/>
        </w:rPr>
        <w:t>Study</w:t>
      </w:r>
    </w:p>
    <w:p w14:paraId="20506B5A" w14:textId="77777777" w:rsidR="00C81F4E" w:rsidRDefault="00C81F4E" w:rsidP="006951C8">
      <w:pPr>
        <w:spacing w:line="240" w:lineRule="auto"/>
        <w:ind w:left="144" w:right="1440"/>
        <w:rPr>
          <w:rFonts w:ascii="Times New Roman" w:eastAsia="Times New Roman" w:hAnsi="Times New Roman" w:cs="Times New Roman"/>
          <w:sz w:val="24"/>
          <w:szCs w:val="24"/>
        </w:rPr>
      </w:pPr>
      <w:r w:rsidRPr="003A04C3">
        <w:rPr>
          <w:rFonts w:ascii="Times New Roman" w:eastAsia="Times New Roman" w:hAnsi="Times New Roman" w:cs="Times New Roman"/>
          <w:sz w:val="24"/>
          <w:szCs w:val="24"/>
        </w:rPr>
        <w:t>All participants will experience the same experimental procedure.  All data collection will occur within a 360-degree virtual environment.</w:t>
      </w:r>
      <w:r>
        <w:rPr>
          <w:rFonts w:ascii="Times New Roman" w:eastAsia="Times New Roman" w:hAnsi="Times New Roman" w:cs="Times New Roman"/>
          <w:sz w:val="24"/>
          <w:szCs w:val="24"/>
        </w:rPr>
        <w:t xml:space="preserve">  </w:t>
      </w:r>
      <w:r w:rsidRPr="003A04C3">
        <w:rPr>
          <w:rFonts w:ascii="Times New Roman" w:eastAsia="Times New Roman" w:hAnsi="Times New Roman" w:cs="Times New Roman"/>
          <w:sz w:val="24"/>
          <w:szCs w:val="24"/>
        </w:rPr>
        <w:t>Prior to beginning data collection, participants will be asked to read and provide verbal consent for participation</w:t>
      </w:r>
      <w:r w:rsidR="00FC0695">
        <w:rPr>
          <w:rFonts w:ascii="Times New Roman" w:eastAsia="Times New Roman" w:hAnsi="Times New Roman" w:cs="Times New Roman"/>
          <w:sz w:val="24"/>
          <w:szCs w:val="24"/>
        </w:rPr>
        <w:t xml:space="preserve"> </w:t>
      </w:r>
      <w:r w:rsidR="00FC0695" w:rsidRPr="00AF5027">
        <w:rPr>
          <w:rFonts w:ascii="Times New Roman" w:eastAsia="Times New Roman" w:hAnsi="Times New Roman" w:cs="Times New Roman"/>
          <w:b/>
          <w:sz w:val="24"/>
          <w:szCs w:val="24"/>
        </w:rPr>
        <w:t>(Appendix I)</w:t>
      </w:r>
      <w:r w:rsidRPr="00AF5027">
        <w:rPr>
          <w:rFonts w:ascii="Times New Roman" w:eastAsia="Times New Roman" w:hAnsi="Times New Roman" w:cs="Times New Roman"/>
          <w:b/>
          <w:sz w:val="24"/>
          <w:szCs w:val="24"/>
        </w:rPr>
        <w:t>.</w:t>
      </w:r>
      <w:r w:rsidRPr="003A04C3">
        <w:rPr>
          <w:rFonts w:ascii="Times New Roman" w:eastAsia="Times New Roman" w:hAnsi="Times New Roman" w:cs="Times New Roman"/>
          <w:sz w:val="24"/>
          <w:szCs w:val="24"/>
        </w:rPr>
        <w:t xml:space="preserve"> </w:t>
      </w:r>
    </w:p>
    <w:p w14:paraId="48331C5C" w14:textId="77777777" w:rsidR="00C81F4E" w:rsidRPr="003A04C3" w:rsidRDefault="00C81F4E" w:rsidP="006951C8">
      <w:pPr>
        <w:spacing w:line="240" w:lineRule="auto"/>
        <w:ind w:left="144" w:right="1440"/>
        <w:rPr>
          <w:rFonts w:ascii="Times New Roman" w:eastAsia="Times New Roman" w:hAnsi="Times New Roman" w:cs="Times New Roman"/>
          <w:sz w:val="24"/>
          <w:szCs w:val="24"/>
        </w:rPr>
      </w:pPr>
      <w:r w:rsidRPr="003A04C3">
        <w:rPr>
          <w:rFonts w:ascii="Times New Roman" w:eastAsia="Times New Roman" w:hAnsi="Times New Roman" w:cs="Times New Roman"/>
          <w:sz w:val="24"/>
          <w:szCs w:val="24"/>
        </w:rPr>
        <w:t xml:space="preserve">Participants will first be given instructions about the study.  They will be told that their goal is to perform a work place inspection of each scene.  While doing this, they are to indicate any hazards they identify.  </w:t>
      </w:r>
      <w:r>
        <w:rPr>
          <w:rFonts w:ascii="Times New Roman" w:eastAsia="Times New Roman" w:hAnsi="Times New Roman" w:cs="Times New Roman"/>
          <w:sz w:val="24"/>
          <w:szCs w:val="24"/>
        </w:rPr>
        <w:t>Participants will hold an air mouse throughout the study.  W</w:t>
      </w:r>
      <w:r w:rsidRPr="003A04C3">
        <w:rPr>
          <w:rFonts w:ascii="Times New Roman" w:eastAsia="Times New Roman" w:hAnsi="Times New Roman" w:cs="Times New Roman"/>
          <w:sz w:val="24"/>
          <w:szCs w:val="24"/>
        </w:rPr>
        <w:t xml:space="preserve">hen </w:t>
      </w:r>
      <w:r>
        <w:rPr>
          <w:rFonts w:ascii="Times New Roman" w:eastAsia="Times New Roman" w:hAnsi="Times New Roman" w:cs="Times New Roman"/>
          <w:sz w:val="24"/>
          <w:szCs w:val="24"/>
        </w:rPr>
        <w:t>a h</w:t>
      </w:r>
      <w:r w:rsidRPr="003A04C3">
        <w:rPr>
          <w:rFonts w:ascii="Times New Roman" w:eastAsia="Times New Roman" w:hAnsi="Times New Roman" w:cs="Times New Roman"/>
          <w:sz w:val="24"/>
          <w:szCs w:val="24"/>
        </w:rPr>
        <w:t>azard</w:t>
      </w:r>
      <w:r>
        <w:rPr>
          <w:rFonts w:ascii="Times New Roman" w:eastAsia="Times New Roman" w:hAnsi="Times New Roman" w:cs="Times New Roman"/>
          <w:sz w:val="24"/>
          <w:szCs w:val="24"/>
        </w:rPr>
        <w:t xml:space="preserve"> is identified</w:t>
      </w:r>
      <w:r w:rsidRPr="003A04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participant is to </w:t>
      </w:r>
      <w:r w:rsidRPr="003A04C3">
        <w:rPr>
          <w:rFonts w:ascii="Times New Roman" w:eastAsia="Times New Roman" w:hAnsi="Times New Roman" w:cs="Times New Roman"/>
          <w:sz w:val="24"/>
          <w:szCs w:val="24"/>
        </w:rPr>
        <w:t xml:space="preserve">press a button.   </w:t>
      </w:r>
      <w:r>
        <w:rPr>
          <w:rFonts w:ascii="Times New Roman" w:eastAsia="Times New Roman" w:hAnsi="Times New Roman" w:cs="Times New Roman"/>
          <w:sz w:val="24"/>
          <w:szCs w:val="24"/>
        </w:rPr>
        <w:t>E</w:t>
      </w:r>
      <w:r w:rsidRPr="003A04C3">
        <w:rPr>
          <w:rFonts w:ascii="Times New Roman" w:eastAsia="Times New Roman" w:hAnsi="Times New Roman" w:cs="Times New Roman"/>
          <w:sz w:val="24"/>
          <w:szCs w:val="24"/>
        </w:rPr>
        <w:t xml:space="preserve">ye movements will </w:t>
      </w:r>
      <w:r>
        <w:rPr>
          <w:rFonts w:ascii="Times New Roman" w:eastAsia="Times New Roman" w:hAnsi="Times New Roman" w:cs="Times New Roman"/>
          <w:sz w:val="24"/>
          <w:szCs w:val="24"/>
        </w:rPr>
        <w:t xml:space="preserve">also </w:t>
      </w:r>
      <w:r w:rsidRPr="003A04C3">
        <w:rPr>
          <w:rFonts w:ascii="Times New Roman" w:eastAsia="Times New Roman" w:hAnsi="Times New Roman" w:cs="Times New Roman"/>
          <w:sz w:val="24"/>
          <w:szCs w:val="24"/>
        </w:rPr>
        <w:t xml:space="preserve">be monitored while they are performing the inspection.  In order to monitor eye movements, participants will be asked to wear SMI Eye-tracking Glasses.  The Eye-tracking Glasses are lightweight and record to a hand held computing devise that is approximately the size of a smart phone.  After the participant indicates the Eye-tracking Glasses fit comfortably, the recording device will be secured in a carrying case worn comfortably around the participant’s waist.  </w:t>
      </w:r>
    </w:p>
    <w:p w14:paraId="6BD3C5E4" w14:textId="2B8D69AA" w:rsidR="00C81F4E" w:rsidRPr="003A04C3" w:rsidRDefault="00C81F4E" w:rsidP="006951C8">
      <w:pPr>
        <w:spacing w:line="240" w:lineRule="auto"/>
        <w:ind w:left="144" w:right="1440"/>
        <w:rPr>
          <w:rFonts w:ascii="Times New Roman" w:eastAsia="Times New Roman" w:hAnsi="Times New Roman" w:cs="Times New Roman"/>
          <w:sz w:val="24"/>
          <w:szCs w:val="24"/>
        </w:rPr>
      </w:pPr>
      <w:r w:rsidRPr="003A04C3">
        <w:rPr>
          <w:rFonts w:ascii="Times New Roman" w:eastAsia="Times New Roman" w:hAnsi="Times New Roman" w:cs="Times New Roman"/>
          <w:sz w:val="24"/>
          <w:szCs w:val="24"/>
        </w:rPr>
        <w:t xml:space="preserve">Before beginning the </w:t>
      </w:r>
      <w:r>
        <w:rPr>
          <w:rFonts w:ascii="Times New Roman" w:eastAsia="Times New Roman" w:hAnsi="Times New Roman" w:cs="Times New Roman"/>
          <w:sz w:val="24"/>
          <w:szCs w:val="24"/>
        </w:rPr>
        <w:t xml:space="preserve">experimental </w:t>
      </w:r>
      <w:r w:rsidRPr="003A04C3">
        <w:rPr>
          <w:rFonts w:ascii="Times New Roman" w:eastAsia="Times New Roman" w:hAnsi="Times New Roman" w:cs="Times New Roman"/>
          <w:sz w:val="24"/>
          <w:szCs w:val="24"/>
        </w:rPr>
        <w:t>study, participants will be given time to</w:t>
      </w:r>
      <w:r>
        <w:rPr>
          <w:rFonts w:ascii="Times New Roman" w:eastAsia="Times New Roman" w:hAnsi="Times New Roman" w:cs="Times New Roman"/>
          <w:sz w:val="24"/>
          <w:szCs w:val="24"/>
        </w:rPr>
        <w:t xml:space="preserve"> become comfortable wearing the eye-tracking glasses and hand held computing devise and also to</w:t>
      </w:r>
      <w:r w:rsidRPr="003A04C3">
        <w:rPr>
          <w:rFonts w:ascii="Times New Roman" w:eastAsia="Times New Roman" w:hAnsi="Times New Roman" w:cs="Times New Roman"/>
          <w:sz w:val="24"/>
          <w:szCs w:val="24"/>
        </w:rPr>
        <w:t xml:space="preserve"> practice using the air mouse.  </w:t>
      </w:r>
      <w:r>
        <w:rPr>
          <w:rFonts w:ascii="Times New Roman" w:eastAsia="Times New Roman" w:hAnsi="Times New Roman" w:cs="Times New Roman"/>
          <w:sz w:val="24"/>
          <w:szCs w:val="24"/>
        </w:rPr>
        <w:t xml:space="preserve">Once participants indicate they are comfortable, the experimental study will begin.  First, participants will perform a calibration of the eye tracking system.  To calibrate, the participant will be asked to fixate </w:t>
      </w:r>
      <w:r w:rsidR="009858E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marker on the screen in fro</w:t>
      </w:r>
      <w:r w:rsidR="00E55916">
        <w:rPr>
          <w:rFonts w:ascii="Times New Roman" w:eastAsia="Times New Roman" w:hAnsi="Times New Roman" w:cs="Times New Roman"/>
          <w:sz w:val="24"/>
          <w:szCs w:val="24"/>
        </w:rPr>
        <w:t>nt</w:t>
      </w:r>
      <w:r>
        <w:rPr>
          <w:rFonts w:ascii="Times New Roman" w:eastAsia="Times New Roman" w:hAnsi="Times New Roman" w:cs="Times New Roman"/>
          <w:sz w:val="24"/>
          <w:szCs w:val="24"/>
        </w:rPr>
        <w:t xml:space="preserve"> </w:t>
      </w:r>
      <w:r w:rsidR="00E55916">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them.  After the eye-tracking </w:t>
      </w:r>
      <w:r>
        <w:rPr>
          <w:rFonts w:ascii="Times New Roman" w:eastAsia="Times New Roman" w:hAnsi="Times New Roman" w:cs="Times New Roman"/>
          <w:sz w:val="24"/>
          <w:szCs w:val="24"/>
        </w:rPr>
        <w:lastRenderedPageBreak/>
        <w:t xml:space="preserve">system is calibrated, participants will be presented with two practice scenes.  They will be asked to perform a work place inspection on each of the scenes and to indicate any hazards within the scenes.  They will also be given the opportunity to ask questions for clarification purposes.  </w:t>
      </w:r>
      <w:r w:rsidRPr="003A04C3">
        <w:rPr>
          <w:rFonts w:ascii="Times New Roman" w:eastAsia="Times New Roman" w:hAnsi="Times New Roman" w:cs="Times New Roman"/>
          <w:sz w:val="24"/>
          <w:szCs w:val="24"/>
        </w:rPr>
        <w:t>Participants will then be presented with 3</w:t>
      </w:r>
      <w:r>
        <w:rPr>
          <w:rFonts w:ascii="Times New Roman" w:eastAsia="Times New Roman" w:hAnsi="Times New Roman" w:cs="Times New Roman"/>
          <w:sz w:val="24"/>
          <w:szCs w:val="24"/>
        </w:rPr>
        <w:t>4</w:t>
      </w:r>
      <w:r w:rsidRPr="003A04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panoramic</w:t>
      </w:r>
      <w:r w:rsidRPr="003A04C3">
        <w:rPr>
          <w:rFonts w:ascii="Times New Roman" w:eastAsia="Times New Roman" w:hAnsi="Times New Roman" w:cs="Times New Roman"/>
          <w:sz w:val="24"/>
          <w:szCs w:val="24"/>
        </w:rPr>
        <w:t xml:space="preserve"> scenes.   Presentation of these scenes will be randomized across participants.  </w:t>
      </w:r>
    </w:p>
    <w:p w14:paraId="365BBF2E" w14:textId="77777777" w:rsidR="00C81F4E" w:rsidRPr="003A04C3" w:rsidRDefault="00C81F4E" w:rsidP="006951C8">
      <w:pPr>
        <w:spacing w:line="240" w:lineRule="auto"/>
        <w:ind w:left="144" w:right="1440"/>
        <w:rPr>
          <w:rFonts w:ascii="Times New Roman" w:eastAsia="Times New Roman" w:hAnsi="Times New Roman" w:cs="Times New Roman"/>
          <w:sz w:val="24"/>
          <w:szCs w:val="24"/>
        </w:rPr>
      </w:pPr>
      <w:r w:rsidRPr="003A04C3">
        <w:rPr>
          <w:rFonts w:ascii="Times New Roman" w:eastAsia="Times New Roman" w:hAnsi="Times New Roman" w:cs="Times New Roman"/>
          <w:sz w:val="24"/>
          <w:szCs w:val="24"/>
        </w:rPr>
        <w:t xml:space="preserve">After viewing all of the static scenes for hazard recognition, participants will be given a break.  After the break, participants will be shown the </w:t>
      </w:r>
      <w:r>
        <w:rPr>
          <w:rFonts w:ascii="Times New Roman" w:eastAsia="Times New Roman" w:hAnsi="Times New Roman" w:cs="Times New Roman"/>
          <w:sz w:val="24"/>
          <w:szCs w:val="24"/>
        </w:rPr>
        <w:t>panoramic</w:t>
      </w:r>
      <w:r w:rsidRPr="003A04C3">
        <w:rPr>
          <w:rFonts w:ascii="Times New Roman" w:eastAsia="Times New Roman" w:hAnsi="Times New Roman" w:cs="Times New Roman"/>
          <w:sz w:val="24"/>
          <w:szCs w:val="24"/>
        </w:rPr>
        <w:t xml:space="preserve"> scenes a second time.  During the second viewing, each </w:t>
      </w:r>
      <w:r>
        <w:rPr>
          <w:rFonts w:ascii="Times New Roman" w:eastAsia="Times New Roman" w:hAnsi="Times New Roman" w:cs="Times New Roman"/>
          <w:sz w:val="24"/>
          <w:szCs w:val="24"/>
        </w:rPr>
        <w:t>panoramic</w:t>
      </w:r>
      <w:r w:rsidRPr="003A04C3">
        <w:rPr>
          <w:rFonts w:ascii="Times New Roman" w:eastAsia="Times New Roman" w:hAnsi="Times New Roman" w:cs="Times New Roman"/>
          <w:sz w:val="24"/>
          <w:szCs w:val="24"/>
        </w:rPr>
        <w:t xml:space="preserve"> scene will again be presented.  </w:t>
      </w:r>
      <w:r>
        <w:rPr>
          <w:rFonts w:ascii="Times New Roman" w:eastAsia="Times New Roman" w:hAnsi="Times New Roman" w:cs="Times New Roman"/>
          <w:sz w:val="24"/>
          <w:szCs w:val="24"/>
        </w:rPr>
        <w:t>All hazards within a scene will be highlighted and p</w:t>
      </w:r>
      <w:r w:rsidRPr="003A04C3">
        <w:rPr>
          <w:rFonts w:ascii="Times New Roman" w:eastAsia="Times New Roman" w:hAnsi="Times New Roman" w:cs="Times New Roman"/>
          <w:sz w:val="24"/>
          <w:szCs w:val="24"/>
        </w:rPr>
        <w:t>articipant responses</w:t>
      </w:r>
      <w:r>
        <w:rPr>
          <w:rFonts w:ascii="Times New Roman" w:eastAsia="Times New Roman" w:hAnsi="Times New Roman" w:cs="Times New Roman"/>
          <w:sz w:val="24"/>
          <w:szCs w:val="24"/>
        </w:rPr>
        <w:t xml:space="preserve"> to the hazards</w:t>
      </w:r>
      <w:r w:rsidRPr="003A04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 indicated</w:t>
      </w:r>
      <w:r w:rsidRPr="003A04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Meaning, participants will be told which hazards were accurately identified, what non-hazards were identified, and what hazards were not identified.</w:t>
      </w:r>
      <w:r w:rsidRPr="003A04C3">
        <w:rPr>
          <w:rFonts w:ascii="Times New Roman" w:eastAsia="Times New Roman" w:hAnsi="Times New Roman" w:cs="Times New Roman"/>
          <w:sz w:val="24"/>
          <w:szCs w:val="24"/>
        </w:rPr>
        <w:t xml:space="preserve">  Errors will be probed with open ended questions to gain insight as to why certain hazards were not identified</w:t>
      </w:r>
      <w:r>
        <w:rPr>
          <w:rFonts w:ascii="Times New Roman" w:eastAsia="Times New Roman" w:hAnsi="Times New Roman" w:cs="Times New Roman"/>
          <w:sz w:val="24"/>
          <w:szCs w:val="24"/>
        </w:rPr>
        <w:t xml:space="preserve"> (See Appendix </w:t>
      </w:r>
      <w:r w:rsidR="00FC0695">
        <w:rPr>
          <w:rFonts w:ascii="Times New Roman" w:eastAsia="Times New Roman" w:hAnsi="Times New Roman" w:cs="Times New Roman"/>
          <w:sz w:val="24"/>
          <w:szCs w:val="24"/>
        </w:rPr>
        <w:t>H</w:t>
      </w:r>
      <w:r>
        <w:rPr>
          <w:rFonts w:ascii="Times New Roman" w:eastAsia="Times New Roman" w:hAnsi="Times New Roman" w:cs="Times New Roman"/>
          <w:sz w:val="24"/>
          <w:szCs w:val="24"/>
        </w:rPr>
        <w:t>)</w:t>
      </w:r>
      <w:r w:rsidRPr="003A04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Finally, p</w:t>
      </w:r>
      <w:r w:rsidRPr="003A04C3">
        <w:rPr>
          <w:rFonts w:ascii="Times New Roman" w:eastAsia="Times New Roman" w:hAnsi="Times New Roman" w:cs="Times New Roman"/>
          <w:sz w:val="24"/>
          <w:szCs w:val="24"/>
        </w:rPr>
        <w:t>articipants will also be asked to rate the risk level of the hazards within scenes</w:t>
      </w:r>
      <w:r>
        <w:rPr>
          <w:rFonts w:ascii="Times New Roman" w:eastAsia="Times New Roman" w:hAnsi="Times New Roman" w:cs="Times New Roman"/>
          <w:sz w:val="24"/>
          <w:szCs w:val="24"/>
        </w:rPr>
        <w:t xml:space="preserve"> (see Appendix </w:t>
      </w:r>
      <w:r w:rsidR="00FC069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and the Accident Probability and Accident Severity (see appendix </w:t>
      </w:r>
      <w:r w:rsidR="00FC0695">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Pr="003A04C3">
        <w:rPr>
          <w:rFonts w:ascii="Times New Roman" w:eastAsia="Times New Roman" w:hAnsi="Times New Roman" w:cs="Times New Roman"/>
          <w:sz w:val="24"/>
          <w:szCs w:val="24"/>
        </w:rPr>
        <w:t xml:space="preserve">.    </w:t>
      </w:r>
    </w:p>
    <w:p w14:paraId="2ED6B3E6" w14:textId="77777777" w:rsidR="009E04C5" w:rsidRPr="009E04C5" w:rsidRDefault="009E04C5" w:rsidP="009E04C5">
      <w:pPr>
        <w:spacing w:line="240" w:lineRule="auto"/>
        <w:ind w:left="144" w:right="1440"/>
        <w:rPr>
          <w:rFonts w:ascii="Times New Roman" w:eastAsia="Times New Roman" w:hAnsi="Times New Roman" w:cs="Times New Roman"/>
          <w:sz w:val="24"/>
          <w:szCs w:val="24"/>
        </w:rPr>
      </w:pPr>
      <w:r w:rsidRPr="009E04C5">
        <w:rPr>
          <w:rFonts w:ascii="Times New Roman" w:eastAsia="Times New Roman" w:hAnsi="Times New Roman" w:cs="Times New Roman"/>
          <w:sz w:val="24"/>
          <w:szCs w:val="24"/>
        </w:rPr>
        <w:t>Finally, participants will be asked to complete a demographic survey (See Appendix C) and a risk propensity and mine specific tolerance measure (See Appendix F and Appendix G).  Because of the limited control NIOSH researchers have over who the mine workers, safety professionals, and students are that take part in the study  the demographic survey will be used to describe the sample of SSG mine workers, safety professionals, and students taking part in the study.  A variety of questions will be included on the demographic survey related to mining experience, positions held throughout the mining career, number of mines participants has been employed at, number of hazard recognition classes the participant has taken part in, etc.  The risk tolerance questionnaire will also be administered at this time.</w:t>
      </w:r>
    </w:p>
    <w:p w14:paraId="78C20B38" w14:textId="18A6586B" w:rsidR="006A7F19" w:rsidRDefault="00C81F4E" w:rsidP="006951C8">
      <w:pPr>
        <w:spacing w:line="240" w:lineRule="auto"/>
        <w:ind w:left="144" w:right="1440"/>
        <w:rPr>
          <w:rFonts w:ascii="Times New Roman" w:eastAsia="Times New Roman" w:hAnsi="Times New Roman" w:cs="Times New Roman"/>
          <w:sz w:val="24"/>
          <w:szCs w:val="24"/>
        </w:rPr>
      </w:pPr>
      <w:r w:rsidRPr="003A04C3">
        <w:rPr>
          <w:rFonts w:ascii="Times New Roman" w:eastAsia="Times New Roman" w:hAnsi="Times New Roman" w:cs="Times New Roman"/>
          <w:sz w:val="24"/>
          <w:szCs w:val="24"/>
        </w:rPr>
        <w:lastRenderedPageBreak/>
        <w:t>.</w:t>
      </w:r>
    </w:p>
    <w:p w14:paraId="4735566F" w14:textId="77777777" w:rsidR="006A7F19" w:rsidRDefault="006A7F19" w:rsidP="006951C8">
      <w:pPr>
        <w:spacing w:line="240" w:lineRule="auto"/>
        <w:ind w:left="144" w:right="1440"/>
        <w:rPr>
          <w:rFonts w:ascii="Times New Roman" w:eastAsia="Times New Roman" w:hAnsi="Times New Roman" w:cs="Times New Roman"/>
          <w:sz w:val="24"/>
          <w:szCs w:val="24"/>
        </w:rPr>
      </w:pPr>
      <w:r w:rsidRPr="006A7F19">
        <w:rPr>
          <w:rFonts w:ascii="Times New Roman" w:eastAsia="Times New Roman" w:hAnsi="Times New Roman" w:cs="Times New Roman"/>
          <w:sz w:val="24"/>
          <w:szCs w:val="24"/>
          <w:u w:val="single"/>
        </w:rPr>
        <w:t xml:space="preserve">Research Questionnaires: </w:t>
      </w:r>
      <w:r>
        <w:rPr>
          <w:rFonts w:ascii="Times New Roman" w:eastAsia="Times New Roman" w:hAnsi="Times New Roman" w:cs="Times New Roman"/>
          <w:sz w:val="24"/>
          <w:szCs w:val="24"/>
        </w:rPr>
        <w:t xml:space="preserve">paper and pencil questionnaires will be administered to all participants.  These questionnaires provide a quantitative and qualitative means to collect information from participants about their thoughts on the risk associated with hazards, their thoughts on their own tolerance to risk, as well as demographic information that will be used to describe the study sample.  Below is a brief description of each questionnaire that will be administered. </w:t>
      </w:r>
    </w:p>
    <w:p w14:paraId="6441BA29" w14:textId="77777777" w:rsidR="006A7F19" w:rsidRPr="006A7F19" w:rsidRDefault="006A7F19" w:rsidP="006951C8">
      <w:pPr>
        <w:pStyle w:val="ListParagraph"/>
        <w:numPr>
          <w:ilvl w:val="0"/>
          <w:numId w:val="2"/>
        </w:numPr>
        <w:spacing w:line="240" w:lineRule="auto"/>
        <w:ind w:left="144" w:right="1440"/>
        <w:rPr>
          <w:rFonts w:ascii="Times New Roman" w:eastAsia="Times New Roman" w:hAnsi="Times New Roman" w:cs="Times New Roman"/>
          <w:sz w:val="24"/>
          <w:szCs w:val="24"/>
        </w:rPr>
      </w:pPr>
      <w:r>
        <w:rPr>
          <w:rFonts w:ascii="Times New Roman" w:hAnsi="Times New Roman" w:cs="Times New Roman"/>
          <w:sz w:val="24"/>
          <w:szCs w:val="24"/>
        </w:rPr>
        <w:t>Risk Assessment: Individual perceived risk level, accident severity, and accident probability will be assessed in a method similar to that used by Perlman, Sacks, and Barak (2014).  All participants will be asked to assess the overall risk level for each hazard presented in the study.  Overall risk level will be assessed using a 5-point scale ranging from 1 (very low) to 5 (very high).  It is common practice to multipl</w:t>
      </w:r>
      <w:r w:rsidR="00432A4E">
        <w:rPr>
          <w:rFonts w:ascii="Times New Roman" w:hAnsi="Times New Roman" w:cs="Times New Roman"/>
          <w:sz w:val="24"/>
          <w:szCs w:val="24"/>
        </w:rPr>
        <w:t>y</w:t>
      </w:r>
      <w:r>
        <w:rPr>
          <w:rFonts w:ascii="Times New Roman" w:hAnsi="Times New Roman" w:cs="Times New Roman"/>
          <w:sz w:val="24"/>
          <w:szCs w:val="24"/>
        </w:rPr>
        <w:t xml:space="preserve"> accident severity with accident probability in order to obtain an overall risk level (Iannacchione et al., 2008).  In an attempt to determine whether participants use severity or probability to guide decisions about risk level, participants will also be asked to assess accident severity and accident probably.  Accident severity will be assessed using a 5-point scale ranging from 1 (No injury) to 5 (Fatal) and Accident probability will be assessed using a 5-point scale ranging from 1 (Very unlikely/infrequent) to 5 (Very likely/frequent).  See Appendix </w:t>
      </w:r>
      <w:r w:rsidR="00FC0695">
        <w:rPr>
          <w:rFonts w:ascii="Times New Roman" w:hAnsi="Times New Roman" w:cs="Times New Roman"/>
          <w:sz w:val="24"/>
          <w:szCs w:val="24"/>
        </w:rPr>
        <w:t>E</w:t>
      </w:r>
      <w:r>
        <w:rPr>
          <w:rFonts w:ascii="Times New Roman" w:hAnsi="Times New Roman" w:cs="Times New Roman"/>
          <w:sz w:val="24"/>
          <w:szCs w:val="24"/>
        </w:rPr>
        <w:t xml:space="preserve"> for the Risk Assessment Measure.  </w:t>
      </w:r>
    </w:p>
    <w:p w14:paraId="488FAEEE" w14:textId="77777777" w:rsidR="006A7F19" w:rsidRPr="006A7F19" w:rsidRDefault="006A7F19" w:rsidP="006951C8">
      <w:pPr>
        <w:pStyle w:val="ListParagraph"/>
        <w:numPr>
          <w:ilvl w:val="0"/>
          <w:numId w:val="2"/>
        </w:numPr>
        <w:spacing w:line="240" w:lineRule="auto"/>
        <w:ind w:left="144" w:right="1440"/>
        <w:rPr>
          <w:rFonts w:ascii="Times New Roman" w:eastAsia="Times New Roman" w:hAnsi="Times New Roman" w:cs="Times New Roman"/>
          <w:sz w:val="24"/>
          <w:szCs w:val="24"/>
        </w:rPr>
      </w:pPr>
      <w:r>
        <w:rPr>
          <w:rFonts w:ascii="Times New Roman" w:hAnsi="Times New Roman" w:cs="Times New Roman"/>
          <w:sz w:val="24"/>
          <w:szCs w:val="24"/>
        </w:rPr>
        <w:t xml:space="preserve">Risk Propensity Scale (RPS) was developed to measure the general tendency to take risks (Meertens &amp; Lion, 2008).  The RPS includes 9 items.  These 9 items are statements related to risk taking and are rated on a 9-point scale ranging from 1 (totally disagree) to 9 (totally agree).  One item is rated on a scale from 1 (risk avoider) to 9 (risk seeker).  Higher scores indicate higher risk-seeking tendencies.  See Appendix </w:t>
      </w:r>
      <w:r w:rsidR="00FC0695">
        <w:rPr>
          <w:rFonts w:ascii="Times New Roman" w:hAnsi="Times New Roman" w:cs="Times New Roman"/>
          <w:sz w:val="24"/>
          <w:szCs w:val="24"/>
        </w:rPr>
        <w:t>F</w:t>
      </w:r>
      <w:r>
        <w:rPr>
          <w:rFonts w:ascii="Times New Roman" w:hAnsi="Times New Roman" w:cs="Times New Roman"/>
          <w:sz w:val="24"/>
          <w:szCs w:val="24"/>
        </w:rPr>
        <w:t xml:space="preserve"> for the full scale.</w:t>
      </w:r>
    </w:p>
    <w:p w14:paraId="4B36B9DA" w14:textId="77777777" w:rsidR="006A7F19" w:rsidRPr="00214511" w:rsidRDefault="006A7F19" w:rsidP="006951C8">
      <w:pPr>
        <w:pStyle w:val="ListParagraph"/>
        <w:numPr>
          <w:ilvl w:val="0"/>
          <w:numId w:val="2"/>
        </w:numPr>
        <w:spacing w:line="240" w:lineRule="auto"/>
        <w:ind w:left="144" w:right="1440"/>
        <w:rPr>
          <w:rFonts w:ascii="Times New Roman" w:hAnsi="Times New Roman" w:cs="Times New Roman"/>
          <w:sz w:val="24"/>
          <w:szCs w:val="24"/>
        </w:rPr>
      </w:pPr>
      <w:r>
        <w:rPr>
          <w:rFonts w:ascii="Times New Roman" w:hAnsi="Times New Roman" w:cs="Times New Roman"/>
          <w:sz w:val="24"/>
          <w:szCs w:val="24"/>
        </w:rPr>
        <w:t xml:space="preserve">Risk Tolerance Workplace Scenarios were developed by Lehmann, Haight, and Michael (2009) in accordance Reyna and Lloyd (2006) </w:t>
      </w:r>
      <w:r>
        <w:rPr>
          <w:rFonts w:ascii="Times New Roman" w:hAnsi="Times New Roman" w:cs="Times New Roman"/>
          <w:sz w:val="24"/>
          <w:szCs w:val="24"/>
        </w:rPr>
        <w:lastRenderedPageBreak/>
        <w:t xml:space="preserve">and Hunter (2002) where situationally relevant, hypothetical scenarios were presented to participants to determine risk tolerance.  Lehmann et al. developed scenarios relevant to mining and asked participants to indicate comfort level – an indicator or potential behavior - with the hypothetical scenarios.  The three scenarios differed based on varying levels of personal risk to the participant and are rated using the following: very comfortable, comfortable, uncomfortable, very uncomfortable.  Responses are then coded as 1, 2, 3, and 4 respectively and then averaged together for an overall score of risk tolerance.  A lower score indicates higher risk tolerance.  See Appendix </w:t>
      </w:r>
      <w:r w:rsidR="00FC0695">
        <w:rPr>
          <w:rFonts w:ascii="Times New Roman" w:hAnsi="Times New Roman" w:cs="Times New Roman"/>
          <w:sz w:val="24"/>
          <w:szCs w:val="24"/>
        </w:rPr>
        <w:t>G</w:t>
      </w:r>
      <w:r>
        <w:rPr>
          <w:rFonts w:ascii="Times New Roman" w:hAnsi="Times New Roman" w:cs="Times New Roman"/>
          <w:sz w:val="24"/>
          <w:szCs w:val="24"/>
        </w:rPr>
        <w:t xml:space="preserve"> for the scenarios.   </w:t>
      </w:r>
    </w:p>
    <w:p w14:paraId="0D84AE6D" w14:textId="77777777" w:rsidR="006A7F19" w:rsidRDefault="006A7F19" w:rsidP="006951C8">
      <w:pPr>
        <w:pStyle w:val="ListParagraph"/>
        <w:numPr>
          <w:ilvl w:val="0"/>
          <w:numId w:val="2"/>
        </w:numPr>
        <w:spacing w:line="240" w:lineRule="auto"/>
        <w:ind w:left="144"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Demographic Questionnaire was developed by NIOSH researchers to obtain participant information </w:t>
      </w:r>
      <w:r w:rsidR="009A5267">
        <w:rPr>
          <w:rFonts w:ascii="Times New Roman" w:eastAsia="Times New Roman" w:hAnsi="Times New Roman" w:cs="Times New Roman"/>
          <w:sz w:val="24"/>
          <w:szCs w:val="24"/>
        </w:rPr>
        <w:t xml:space="preserve">from each mine worker and student who volunteers to take part in the study.  The questionnaire includes open-ended questions designed to elicit information related to total work experience, specific jobs performed at a mine site, and the types of training the participants has obtained.  See Appendix </w:t>
      </w:r>
      <w:r w:rsidR="00FC0695">
        <w:rPr>
          <w:rFonts w:ascii="Times New Roman" w:eastAsia="Times New Roman" w:hAnsi="Times New Roman" w:cs="Times New Roman"/>
          <w:sz w:val="24"/>
          <w:szCs w:val="24"/>
        </w:rPr>
        <w:t>C</w:t>
      </w:r>
      <w:r w:rsidR="009A5267">
        <w:rPr>
          <w:rFonts w:ascii="Times New Roman" w:eastAsia="Times New Roman" w:hAnsi="Times New Roman" w:cs="Times New Roman"/>
          <w:sz w:val="24"/>
          <w:szCs w:val="24"/>
        </w:rPr>
        <w:t xml:space="preserve">.  </w:t>
      </w:r>
    </w:p>
    <w:p w14:paraId="362430FD" w14:textId="77777777" w:rsidR="006F3CBA" w:rsidRDefault="006F3CBA" w:rsidP="006951C8">
      <w:pPr>
        <w:spacing w:line="240" w:lineRule="auto"/>
        <w:ind w:left="144" w:right="1440" w:firstLine="360"/>
        <w:rPr>
          <w:rFonts w:ascii="Times New Roman" w:eastAsia="Times New Roman" w:hAnsi="Times New Roman" w:cs="Times New Roman"/>
          <w:sz w:val="24"/>
          <w:szCs w:val="24"/>
        </w:rPr>
      </w:pPr>
      <w:r w:rsidRPr="006F3CBA">
        <w:rPr>
          <w:rFonts w:ascii="Times New Roman" w:eastAsia="Times New Roman" w:hAnsi="Times New Roman" w:cs="Times New Roman"/>
          <w:sz w:val="24"/>
          <w:szCs w:val="24"/>
          <w:u w:val="single"/>
        </w:rPr>
        <w:t>Qualitative Data</w:t>
      </w:r>
      <w:r>
        <w:rPr>
          <w:rFonts w:ascii="Times New Roman" w:eastAsia="Times New Roman" w:hAnsi="Times New Roman" w:cs="Times New Roman"/>
          <w:sz w:val="24"/>
          <w:szCs w:val="24"/>
          <w:u w:val="single"/>
        </w:rPr>
        <w:t xml:space="preserve"> Collection</w:t>
      </w:r>
      <w:r w:rsidRPr="006F3CBA">
        <w:rPr>
          <w:rFonts w:ascii="Times New Roman" w:eastAsia="Times New Roman" w:hAnsi="Times New Roman" w:cs="Times New Roman"/>
          <w:sz w:val="24"/>
          <w:szCs w:val="24"/>
          <w:u w:val="single"/>
        </w:rPr>
        <w:t xml:space="preserve">: </w:t>
      </w:r>
    </w:p>
    <w:p w14:paraId="257825E4" w14:textId="17289E58" w:rsidR="006F3CBA" w:rsidRDefault="006F3CBA" w:rsidP="006951C8">
      <w:pPr>
        <w:spacing w:line="240" w:lineRule="auto"/>
        <w:ind w:left="144" w:right="1440"/>
        <w:rPr>
          <w:rFonts w:ascii="Times New Roman" w:hAnsi="Times New Roman" w:cs="Times New Roman"/>
          <w:sz w:val="24"/>
          <w:szCs w:val="24"/>
        </w:rPr>
      </w:pPr>
      <w:r w:rsidRPr="0039036C">
        <w:rPr>
          <w:rFonts w:ascii="Times New Roman" w:hAnsi="Times New Roman" w:cs="Times New Roman"/>
          <w:sz w:val="24"/>
          <w:szCs w:val="24"/>
        </w:rPr>
        <w:t xml:space="preserve">In order to more fully understand why miners identify or fail to identify hazards, focused questions will be developed to address this concern. By using these focused questions, we will be able to identify perceived differences (and similarities) between the identified and non-identified hazards based on the studied cognitive constructs of attention and risk.  Therefore, theory related to visual search and attention (Crundall et al., 2004), risk perception (Slovic et al., 2004), and risk tolerance (Hunter, 2002) will be used not only to guide question development but also the analysis of the qualitative data.  It is anticipated that a small number (no more than 5) of open ended questions will be created to probe errors.  OMSHR researchers will </w:t>
      </w:r>
      <w:r w:rsidR="006E6D8C">
        <w:rPr>
          <w:rFonts w:ascii="Times New Roman" w:hAnsi="Times New Roman" w:cs="Times New Roman"/>
          <w:sz w:val="24"/>
          <w:szCs w:val="24"/>
        </w:rPr>
        <w:t>also</w:t>
      </w:r>
      <w:r w:rsidRPr="0039036C">
        <w:rPr>
          <w:rFonts w:ascii="Times New Roman" w:hAnsi="Times New Roman" w:cs="Times New Roman"/>
          <w:sz w:val="24"/>
          <w:szCs w:val="24"/>
        </w:rPr>
        <w:t xml:space="preserve"> ask follow-up</w:t>
      </w:r>
      <w:r w:rsidR="006E6D8C">
        <w:rPr>
          <w:rFonts w:ascii="Times New Roman" w:hAnsi="Times New Roman" w:cs="Times New Roman"/>
          <w:sz w:val="24"/>
          <w:szCs w:val="24"/>
        </w:rPr>
        <w:t xml:space="preserve"> probes </w:t>
      </w:r>
      <w:r w:rsidR="006951C8">
        <w:rPr>
          <w:rFonts w:ascii="Times New Roman" w:hAnsi="Times New Roman" w:cs="Times New Roman"/>
          <w:sz w:val="24"/>
          <w:szCs w:val="24"/>
        </w:rPr>
        <w:t>r</w:t>
      </w:r>
      <w:r w:rsidR="006E6D8C">
        <w:rPr>
          <w:rFonts w:ascii="Times New Roman" w:hAnsi="Times New Roman" w:cs="Times New Roman"/>
          <w:sz w:val="24"/>
          <w:szCs w:val="24"/>
        </w:rPr>
        <w:t>elated to</w:t>
      </w:r>
      <w:r>
        <w:rPr>
          <w:rFonts w:ascii="Times New Roman" w:hAnsi="Times New Roman" w:cs="Times New Roman"/>
          <w:sz w:val="24"/>
          <w:szCs w:val="24"/>
        </w:rPr>
        <w:t xml:space="preserve"> participant responses. See Appendix </w:t>
      </w:r>
      <w:r w:rsidR="00FC0695">
        <w:rPr>
          <w:rFonts w:ascii="Times New Roman" w:hAnsi="Times New Roman" w:cs="Times New Roman"/>
          <w:sz w:val="24"/>
          <w:szCs w:val="24"/>
        </w:rPr>
        <w:t>H</w:t>
      </w:r>
      <w:r>
        <w:rPr>
          <w:rFonts w:ascii="Times New Roman" w:hAnsi="Times New Roman" w:cs="Times New Roman"/>
          <w:sz w:val="24"/>
          <w:szCs w:val="24"/>
        </w:rPr>
        <w:t xml:space="preserve"> for the list of open ended </w:t>
      </w:r>
      <w:r w:rsidR="00FC0695">
        <w:rPr>
          <w:rFonts w:ascii="Times New Roman" w:hAnsi="Times New Roman" w:cs="Times New Roman"/>
          <w:sz w:val="24"/>
          <w:szCs w:val="24"/>
        </w:rPr>
        <w:t>questions</w:t>
      </w:r>
      <w:r>
        <w:rPr>
          <w:rFonts w:ascii="Times New Roman" w:hAnsi="Times New Roman" w:cs="Times New Roman"/>
          <w:sz w:val="24"/>
          <w:szCs w:val="24"/>
        </w:rPr>
        <w:t xml:space="preserve">.  </w:t>
      </w:r>
    </w:p>
    <w:p w14:paraId="0D52565A" w14:textId="77777777" w:rsidR="00884FF5" w:rsidRDefault="00884FF5" w:rsidP="006951C8">
      <w:pPr>
        <w:spacing w:line="240" w:lineRule="auto"/>
        <w:ind w:left="144" w:right="1440"/>
        <w:rPr>
          <w:rFonts w:ascii="Times New Roman" w:hAnsi="Times New Roman" w:cs="Times New Roman"/>
          <w:sz w:val="24"/>
          <w:szCs w:val="24"/>
        </w:rPr>
      </w:pPr>
      <w:r>
        <w:rPr>
          <w:rFonts w:ascii="Times New Roman" w:hAnsi="Times New Roman" w:cs="Times New Roman"/>
          <w:b/>
          <w:sz w:val="28"/>
          <w:szCs w:val="28"/>
        </w:rPr>
        <w:t>3. Methods to Maximize Response Rates and Deal with Nonresponse</w:t>
      </w:r>
    </w:p>
    <w:p w14:paraId="0F821AEA" w14:textId="2ECF71BC" w:rsidR="00234311" w:rsidRDefault="00234311" w:rsidP="00234311">
      <w:pPr>
        <w:spacing w:line="240" w:lineRule="auto"/>
        <w:ind w:left="144" w:right="1440"/>
        <w:rPr>
          <w:rFonts w:ascii="Times New Roman" w:hAnsi="Times New Roman" w:cs="Times New Roman"/>
          <w:sz w:val="24"/>
          <w:szCs w:val="24"/>
        </w:rPr>
      </w:pPr>
      <w:r w:rsidRPr="00D67899">
        <w:rPr>
          <w:rFonts w:ascii="Times New Roman" w:hAnsi="Times New Roman" w:cs="Times New Roman"/>
          <w:sz w:val="24"/>
          <w:szCs w:val="24"/>
        </w:rPr>
        <w:lastRenderedPageBreak/>
        <w:t xml:space="preserve">It is anticipated that </w:t>
      </w:r>
      <w:r>
        <w:rPr>
          <w:rFonts w:ascii="Times New Roman" w:hAnsi="Times New Roman" w:cs="Times New Roman"/>
          <w:sz w:val="24"/>
          <w:szCs w:val="24"/>
        </w:rPr>
        <w:t xml:space="preserve">the majority (at least </w:t>
      </w:r>
      <w:r w:rsidR="008F5D3E">
        <w:rPr>
          <w:rFonts w:ascii="Times New Roman" w:hAnsi="Times New Roman" w:cs="Times New Roman"/>
          <w:sz w:val="24"/>
          <w:szCs w:val="24"/>
        </w:rPr>
        <w:t>72</w:t>
      </w:r>
      <w:r>
        <w:rPr>
          <w:rFonts w:ascii="Times New Roman" w:hAnsi="Times New Roman" w:cs="Times New Roman"/>
          <w:sz w:val="24"/>
          <w:szCs w:val="24"/>
        </w:rPr>
        <w:t>%)</w:t>
      </w:r>
      <w:r w:rsidRPr="00D67899">
        <w:rPr>
          <w:rFonts w:ascii="Times New Roman" w:hAnsi="Times New Roman" w:cs="Times New Roman"/>
          <w:sz w:val="24"/>
          <w:szCs w:val="24"/>
        </w:rPr>
        <w:t xml:space="preserve"> of individuals </w:t>
      </w:r>
      <w:r>
        <w:rPr>
          <w:rFonts w:ascii="Times New Roman" w:hAnsi="Times New Roman" w:cs="Times New Roman"/>
          <w:sz w:val="24"/>
          <w:szCs w:val="24"/>
        </w:rPr>
        <w:t xml:space="preserve">who take part in the pre-screening phone call will qualify for the laboratory study.  </w:t>
      </w:r>
      <w:r w:rsidR="008F5D3E">
        <w:rPr>
          <w:rFonts w:ascii="Times New Roman" w:hAnsi="Times New Roman" w:cs="Times New Roman"/>
          <w:sz w:val="24"/>
          <w:szCs w:val="24"/>
        </w:rPr>
        <w:t>While this response rate is below the OMB expected response rate of 80%</w:t>
      </w:r>
      <w:r w:rsidR="000A285B">
        <w:rPr>
          <w:rFonts w:ascii="Times New Roman" w:hAnsi="Times New Roman" w:cs="Times New Roman"/>
          <w:sz w:val="24"/>
          <w:szCs w:val="24"/>
        </w:rPr>
        <w:t>, there are possible reasons why response rate may fall below 80%</w:t>
      </w:r>
      <w:r w:rsidR="008F5D3E">
        <w:rPr>
          <w:rFonts w:ascii="Times New Roman" w:hAnsi="Times New Roman" w:cs="Times New Roman"/>
          <w:sz w:val="24"/>
          <w:szCs w:val="24"/>
        </w:rPr>
        <w:t>.</w:t>
      </w:r>
      <w:r w:rsidR="000A285B">
        <w:rPr>
          <w:rFonts w:ascii="Times New Roman" w:hAnsi="Times New Roman" w:cs="Times New Roman"/>
          <w:sz w:val="24"/>
          <w:szCs w:val="24"/>
        </w:rPr>
        <w:t xml:space="preserve">  </w:t>
      </w:r>
      <w:r w:rsidR="00202275">
        <w:rPr>
          <w:rFonts w:ascii="Times New Roman" w:hAnsi="Times New Roman" w:cs="Times New Roman"/>
          <w:sz w:val="24"/>
          <w:szCs w:val="24"/>
        </w:rPr>
        <w:t>The m</w:t>
      </w:r>
      <w:r w:rsidR="000A285B">
        <w:rPr>
          <w:rFonts w:ascii="Times New Roman" w:hAnsi="Times New Roman" w:cs="Times New Roman"/>
          <w:sz w:val="24"/>
          <w:szCs w:val="24"/>
        </w:rPr>
        <w:t xml:space="preserve">ajority of the stone, sand and gravel mines are considered small mines.  There are typically less than 25 people working at these operations.  While we will recruit participants through previous contacts, there are times when a participant who has expressed interest in participating in the study will be unable to do.  As an example, there are likely to be three mine workers trained to operate a haul truck at a small mine.  The haul truck operator is a position that is critical for production.  </w:t>
      </w:r>
      <w:r w:rsidR="00202275">
        <w:rPr>
          <w:rFonts w:ascii="Times New Roman" w:hAnsi="Times New Roman" w:cs="Times New Roman"/>
          <w:sz w:val="24"/>
          <w:szCs w:val="24"/>
        </w:rPr>
        <w:t>A participant with this job title may be unable to take part in the study because his skill set is necessary at the mine site.  Moreover, b</w:t>
      </w:r>
      <w:r>
        <w:rPr>
          <w:rFonts w:ascii="Times New Roman" w:hAnsi="Times New Roman" w:cs="Times New Roman"/>
          <w:sz w:val="24"/>
          <w:szCs w:val="24"/>
        </w:rPr>
        <w:t xml:space="preserve">ecause of the nature of the laboratory study, it is necessary to conduct the research at the NIOSH/OMSHR Bruceton Research facility because of the nature of the research study.  All data will be collected one-on-one with participants.  Efforts will be made to coordinate with participants ahead of time to minimize time spent on site.  This means that efforts will be made to not have participants wait to complete any parts of the study while on site.  Previous experiences with data collection efforts onsite at the NIOSH/OMSHR Bruceton Research facility with mine workers, safety representatives, and students suggest that </w:t>
      </w:r>
      <w:r w:rsidR="00202275">
        <w:rPr>
          <w:rFonts w:ascii="Times New Roman" w:hAnsi="Times New Roman" w:cs="Times New Roman"/>
          <w:sz w:val="24"/>
          <w:szCs w:val="24"/>
        </w:rPr>
        <w:t xml:space="preserve">we will likely be more successful than the 72% response rate.  </w:t>
      </w:r>
      <w:r>
        <w:rPr>
          <w:rFonts w:ascii="Times New Roman" w:hAnsi="Times New Roman" w:cs="Times New Roman"/>
          <w:sz w:val="24"/>
          <w:szCs w:val="24"/>
        </w:rPr>
        <w:t xml:space="preserve">An example of a recent NIOSH/OMSHR research project that has achieved a 90% response rate is Virtual Reality to Train and Assess Emergency Responders (OMB No. 0920-0975, expires 07/31/2016) which saw between 90 and 95% of the mine workers recruited complete the study.   </w:t>
      </w:r>
    </w:p>
    <w:p w14:paraId="3F0E48D7" w14:textId="77777777" w:rsidR="00884FF5" w:rsidRDefault="00884FF5" w:rsidP="006951C8">
      <w:pPr>
        <w:spacing w:line="240" w:lineRule="auto"/>
        <w:ind w:left="144" w:right="1440"/>
        <w:rPr>
          <w:rFonts w:ascii="Times New Roman" w:hAnsi="Times New Roman" w:cs="Times New Roman"/>
          <w:b/>
          <w:sz w:val="28"/>
          <w:szCs w:val="28"/>
        </w:rPr>
      </w:pPr>
      <w:r>
        <w:rPr>
          <w:rFonts w:ascii="Times New Roman" w:hAnsi="Times New Roman" w:cs="Times New Roman"/>
          <w:b/>
          <w:sz w:val="28"/>
          <w:szCs w:val="28"/>
        </w:rPr>
        <w:t>4. Tests of Procedures or Methods to be Undertaken</w:t>
      </w:r>
    </w:p>
    <w:p w14:paraId="6E3E8410" w14:textId="04AC56A3" w:rsidR="00884FF5" w:rsidRDefault="00916810" w:rsidP="006951C8">
      <w:pPr>
        <w:spacing w:line="240" w:lineRule="auto"/>
        <w:ind w:left="144" w:right="1440"/>
        <w:rPr>
          <w:rFonts w:ascii="Times New Roman" w:hAnsi="Times New Roman" w:cs="Times New Roman"/>
          <w:sz w:val="24"/>
          <w:szCs w:val="24"/>
        </w:rPr>
      </w:pPr>
      <w:r>
        <w:rPr>
          <w:rFonts w:ascii="Times New Roman" w:hAnsi="Times New Roman" w:cs="Times New Roman"/>
          <w:sz w:val="24"/>
          <w:szCs w:val="24"/>
        </w:rPr>
        <w:t xml:space="preserve">A critical aspect of this research is the hazards that will be included in the panoramic scenes.  </w:t>
      </w:r>
      <w:r w:rsidRPr="00916810">
        <w:rPr>
          <w:rFonts w:ascii="Times New Roman" w:hAnsi="Times New Roman" w:cs="Times New Roman"/>
          <w:sz w:val="24"/>
          <w:szCs w:val="24"/>
        </w:rPr>
        <w:t xml:space="preserve">A variety of methods will be used to identify SSG hazards and the associated risk levels.  First, the Mine Safety and Health Administration (MSHA) along with the National </w:t>
      </w:r>
      <w:r w:rsidRPr="00916810">
        <w:rPr>
          <w:rFonts w:ascii="Times New Roman" w:hAnsi="Times New Roman" w:cs="Times New Roman"/>
          <w:sz w:val="24"/>
          <w:szCs w:val="24"/>
        </w:rPr>
        <w:lastRenderedPageBreak/>
        <w:t xml:space="preserve">Stone, Sand and Gravel Association (NSSGA) has compiled training materials to provide meaningful compliance assistance to new operators in the aggregates industry.  Among these training materials are guides, procedures, and assessments that can be used to raise awareness for a variety of hazards (see </w:t>
      </w:r>
      <w:hyperlink r:id="rId9" w:history="1">
        <w:r w:rsidRPr="00916810">
          <w:rPr>
            <w:rStyle w:val="Hyperlink"/>
            <w:rFonts w:ascii="Times New Roman" w:hAnsi="Times New Roman" w:cs="Times New Roman"/>
            <w:sz w:val="24"/>
            <w:szCs w:val="24"/>
          </w:rPr>
          <w:t>http://www.msha.gov/safetypro_in_a_box/index.asp</w:t>
        </w:r>
      </w:hyperlink>
      <w:r w:rsidRPr="00916810">
        <w:rPr>
          <w:rFonts w:ascii="Times New Roman" w:hAnsi="Times New Roman" w:cs="Times New Roman"/>
          <w:sz w:val="24"/>
          <w:szCs w:val="24"/>
        </w:rPr>
        <w:t xml:space="preserve">).  These materials will be reviewed and all possible hazards will be noted for this research.  Hazards will also be gathered from the most frequently cited standards by MSHA for stone, sand, and gravel mine sites during the past 5 years.  </w:t>
      </w:r>
      <w:r>
        <w:rPr>
          <w:rFonts w:ascii="Times New Roman" w:hAnsi="Times New Roman" w:cs="Times New Roman"/>
          <w:sz w:val="24"/>
          <w:szCs w:val="24"/>
        </w:rPr>
        <w:t xml:space="preserve">An analysis of fatal reports and non-fatal days lost data for those same years will also be analyzed.  Finally, Subject Matter Experts knowledgeable in Stone and Sand and Gravel Mining will be consulted.  </w:t>
      </w:r>
    </w:p>
    <w:p w14:paraId="6F5D396B" w14:textId="77777777" w:rsidR="00630280" w:rsidRPr="00916810" w:rsidRDefault="00630280" w:rsidP="006951C8">
      <w:pPr>
        <w:spacing w:line="240" w:lineRule="auto"/>
        <w:ind w:left="144" w:right="1440"/>
        <w:rPr>
          <w:rFonts w:ascii="Times New Roman" w:hAnsi="Times New Roman" w:cs="Times New Roman"/>
          <w:b/>
          <w:sz w:val="24"/>
          <w:szCs w:val="24"/>
        </w:rPr>
      </w:pPr>
      <w:r>
        <w:rPr>
          <w:rFonts w:ascii="Times New Roman" w:hAnsi="Times New Roman" w:cs="Times New Roman"/>
          <w:sz w:val="24"/>
          <w:szCs w:val="24"/>
        </w:rPr>
        <w:t xml:space="preserve">      All other questionnaires used during the study have previous</w:t>
      </w:r>
      <w:r w:rsidR="00432A4E">
        <w:rPr>
          <w:rFonts w:ascii="Times New Roman" w:hAnsi="Times New Roman" w:cs="Times New Roman"/>
          <w:sz w:val="24"/>
          <w:szCs w:val="24"/>
        </w:rPr>
        <w:t>ly</w:t>
      </w:r>
      <w:r>
        <w:rPr>
          <w:rFonts w:ascii="Times New Roman" w:hAnsi="Times New Roman" w:cs="Times New Roman"/>
          <w:sz w:val="24"/>
          <w:szCs w:val="24"/>
        </w:rPr>
        <w:t xml:space="preserve"> been used in research studies.  </w:t>
      </w:r>
    </w:p>
    <w:p w14:paraId="6670B561" w14:textId="77777777" w:rsidR="00884FF5" w:rsidRDefault="00884FF5" w:rsidP="006951C8">
      <w:pPr>
        <w:spacing w:line="240" w:lineRule="auto"/>
        <w:ind w:left="144" w:right="1440"/>
        <w:rPr>
          <w:rFonts w:ascii="Times New Roman" w:hAnsi="Times New Roman" w:cs="Times New Roman"/>
          <w:b/>
          <w:sz w:val="28"/>
          <w:szCs w:val="28"/>
        </w:rPr>
      </w:pPr>
      <w:r>
        <w:rPr>
          <w:rFonts w:ascii="Times New Roman" w:hAnsi="Times New Roman" w:cs="Times New Roman"/>
          <w:b/>
          <w:sz w:val="28"/>
          <w:szCs w:val="28"/>
        </w:rPr>
        <w:t>5. Individuals Consulted on Statistical Aspects and Individuals Collecting and/or Analyzing Data</w:t>
      </w:r>
    </w:p>
    <w:p w14:paraId="0CEB3FA8" w14:textId="77777777" w:rsidR="00884FF5" w:rsidRDefault="00884FF5" w:rsidP="006951C8">
      <w:pPr>
        <w:spacing w:line="240" w:lineRule="auto"/>
        <w:ind w:left="144" w:right="1440"/>
        <w:rPr>
          <w:rFonts w:ascii="Times New Roman" w:hAnsi="Times New Roman" w:cs="Times New Roman"/>
          <w:sz w:val="24"/>
          <w:szCs w:val="24"/>
        </w:rPr>
      </w:pPr>
      <w:r>
        <w:rPr>
          <w:rFonts w:ascii="Times New Roman" w:hAnsi="Times New Roman" w:cs="Times New Roman"/>
          <w:sz w:val="24"/>
          <w:szCs w:val="24"/>
        </w:rPr>
        <w:t xml:space="preserve">The persons who will collect and/or analyze the data are listed below.  </w:t>
      </w:r>
    </w:p>
    <w:p w14:paraId="37F5B559" w14:textId="77777777" w:rsidR="00884FF5" w:rsidRDefault="00884FF5" w:rsidP="006951C8">
      <w:pPr>
        <w:spacing w:line="240" w:lineRule="auto"/>
        <w:ind w:left="144" w:right="1440"/>
        <w:rPr>
          <w:rFonts w:ascii="Times New Roman" w:hAnsi="Times New Roman" w:cs="Times New Roman"/>
          <w:b/>
          <w:sz w:val="24"/>
          <w:szCs w:val="24"/>
          <w:u w:val="single"/>
        </w:rPr>
      </w:pPr>
      <w:r w:rsidRPr="00555EA5">
        <w:rPr>
          <w:rFonts w:ascii="Times New Roman" w:hAnsi="Times New Roman" w:cs="Times New Roman"/>
          <w:b/>
          <w:sz w:val="24"/>
          <w:szCs w:val="24"/>
          <w:u w:val="single"/>
        </w:rPr>
        <w:t xml:space="preserve">Project Staff: </w:t>
      </w:r>
    </w:p>
    <w:p w14:paraId="683ADC57" w14:textId="77777777" w:rsidR="00884FF5" w:rsidRDefault="00884FF5" w:rsidP="006951C8">
      <w:pPr>
        <w:spacing w:line="240" w:lineRule="auto"/>
        <w:ind w:left="144" w:right="1440"/>
        <w:rPr>
          <w:rFonts w:ascii="Times New Roman" w:hAnsi="Times New Roman" w:cs="Times New Roman"/>
          <w:sz w:val="24"/>
          <w:szCs w:val="24"/>
        </w:rPr>
      </w:pPr>
      <w:r>
        <w:rPr>
          <w:rFonts w:ascii="Times New Roman" w:hAnsi="Times New Roman" w:cs="Times New Roman"/>
          <w:sz w:val="24"/>
          <w:szCs w:val="24"/>
        </w:rPr>
        <w:t xml:space="preserve">Brianna Eiter, Ph.D., </w:t>
      </w:r>
      <w:r w:rsidR="008C7B29">
        <w:rPr>
          <w:rFonts w:ascii="Times New Roman" w:hAnsi="Times New Roman" w:cs="Times New Roman"/>
          <w:sz w:val="24"/>
          <w:szCs w:val="24"/>
        </w:rPr>
        <w:t>Research Behavioral Scientist</w:t>
      </w:r>
      <w:r>
        <w:rPr>
          <w:rFonts w:ascii="Times New Roman" w:hAnsi="Times New Roman" w:cs="Times New Roman"/>
          <w:sz w:val="24"/>
          <w:szCs w:val="24"/>
        </w:rPr>
        <w:t xml:space="preserve">, NIOSH Office of Mine Safety and Health Research, 412.386.4954, </w:t>
      </w:r>
      <w:hyperlink r:id="rId10" w:history="1">
        <w:r w:rsidR="008C7B29" w:rsidRPr="00D41FD2">
          <w:rPr>
            <w:rStyle w:val="Hyperlink"/>
            <w:rFonts w:ascii="Times New Roman" w:hAnsi="Times New Roman" w:cs="Times New Roman"/>
            <w:sz w:val="24"/>
            <w:szCs w:val="24"/>
          </w:rPr>
          <w:t>BEiter@cdc.gov</w:t>
        </w:r>
      </w:hyperlink>
    </w:p>
    <w:p w14:paraId="2E233918" w14:textId="77777777" w:rsidR="008C7B29" w:rsidRDefault="008C7B29" w:rsidP="006951C8">
      <w:pPr>
        <w:spacing w:line="240" w:lineRule="auto"/>
        <w:ind w:left="144" w:right="1440"/>
        <w:rPr>
          <w:rFonts w:ascii="Times New Roman" w:hAnsi="Times New Roman" w:cs="Times New Roman"/>
          <w:sz w:val="24"/>
          <w:szCs w:val="24"/>
        </w:rPr>
      </w:pPr>
      <w:r>
        <w:rPr>
          <w:rFonts w:ascii="Times New Roman" w:hAnsi="Times New Roman" w:cs="Times New Roman"/>
          <w:sz w:val="24"/>
          <w:szCs w:val="24"/>
        </w:rPr>
        <w:t xml:space="preserve">Mahiyar Nasarwanji, Ph.D., Associate Service Fellow, NIOSH Office of Mine Safety and Health Research, 412.386.5113, </w:t>
      </w:r>
      <w:hyperlink r:id="rId11" w:history="1">
        <w:r w:rsidRPr="00D41FD2">
          <w:rPr>
            <w:rStyle w:val="Hyperlink"/>
            <w:rFonts w:ascii="Times New Roman" w:hAnsi="Times New Roman" w:cs="Times New Roman"/>
            <w:sz w:val="24"/>
            <w:szCs w:val="24"/>
          </w:rPr>
          <w:t>wgn8@cdc.gov</w:t>
        </w:r>
      </w:hyperlink>
    </w:p>
    <w:p w14:paraId="1852070B" w14:textId="77777777" w:rsidR="008C7B29" w:rsidRDefault="008C7B29" w:rsidP="006951C8">
      <w:pPr>
        <w:spacing w:line="240" w:lineRule="auto"/>
        <w:ind w:left="144" w:right="1440"/>
        <w:rPr>
          <w:rFonts w:ascii="Times New Roman" w:hAnsi="Times New Roman" w:cs="Times New Roman"/>
          <w:sz w:val="24"/>
          <w:szCs w:val="24"/>
        </w:rPr>
      </w:pPr>
      <w:r>
        <w:rPr>
          <w:rFonts w:ascii="Times New Roman" w:hAnsi="Times New Roman" w:cs="Times New Roman"/>
          <w:sz w:val="24"/>
          <w:szCs w:val="24"/>
        </w:rPr>
        <w:t xml:space="preserve">Jennica Bellanca, M.S., </w:t>
      </w:r>
      <w:r w:rsidR="00362048">
        <w:rPr>
          <w:rFonts w:ascii="Times New Roman" w:hAnsi="Times New Roman" w:cs="Times New Roman"/>
          <w:sz w:val="24"/>
          <w:szCs w:val="24"/>
        </w:rPr>
        <w:t xml:space="preserve">Mechanical Engineer, NIOSH Office of Mine Safety and Health Research, 412.386.6445, </w:t>
      </w:r>
      <w:hyperlink r:id="rId12" w:history="1">
        <w:r w:rsidR="00362048" w:rsidRPr="00D41FD2">
          <w:rPr>
            <w:rStyle w:val="Hyperlink"/>
            <w:rFonts w:ascii="Times New Roman" w:hAnsi="Times New Roman" w:cs="Times New Roman"/>
            <w:sz w:val="24"/>
            <w:szCs w:val="24"/>
          </w:rPr>
          <w:t>wje9@cdc.gov</w:t>
        </w:r>
      </w:hyperlink>
    </w:p>
    <w:p w14:paraId="1DE4E2C0" w14:textId="77777777" w:rsidR="00362048" w:rsidRDefault="00362048" w:rsidP="006951C8">
      <w:pPr>
        <w:spacing w:line="240" w:lineRule="auto"/>
        <w:ind w:left="144" w:right="1440"/>
        <w:rPr>
          <w:rFonts w:ascii="Times New Roman" w:hAnsi="Times New Roman" w:cs="Times New Roman"/>
          <w:sz w:val="24"/>
          <w:szCs w:val="24"/>
        </w:rPr>
      </w:pPr>
      <w:r>
        <w:rPr>
          <w:rFonts w:ascii="Times New Roman" w:hAnsi="Times New Roman" w:cs="Times New Roman"/>
          <w:sz w:val="24"/>
          <w:szCs w:val="24"/>
        </w:rPr>
        <w:t xml:space="preserve">Timothy Orr, B.S., Computer Engineer, NIOSH Office of Mine Safety and Health Research, 412.386.5561, </w:t>
      </w:r>
      <w:hyperlink r:id="rId13" w:history="1">
        <w:r w:rsidRPr="00D41FD2">
          <w:rPr>
            <w:rStyle w:val="Hyperlink"/>
            <w:rFonts w:ascii="Times New Roman" w:hAnsi="Times New Roman" w:cs="Times New Roman"/>
            <w:sz w:val="24"/>
            <w:szCs w:val="24"/>
          </w:rPr>
          <w:t>tao9@cdc.gov</w:t>
        </w:r>
      </w:hyperlink>
    </w:p>
    <w:p w14:paraId="70DBAA9A" w14:textId="77777777" w:rsidR="00362048" w:rsidRDefault="00362048" w:rsidP="006951C8">
      <w:pPr>
        <w:spacing w:line="240" w:lineRule="auto"/>
        <w:ind w:left="144" w:right="1440"/>
        <w:rPr>
          <w:rFonts w:ascii="Times New Roman" w:hAnsi="Times New Roman" w:cs="Times New Roman"/>
          <w:sz w:val="24"/>
          <w:szCs w:val="24"/>
        </w:rPr>
      </w:pPr>
      <w:r>
        <w:rPr>
          <w:rFonts w:ascii="Times New Roman" w:hAnsi="Times New Roman" w:cs="Times New Roman"/>
          <w:sz w:val="24"/>
          <w:szCs w:val="24"/>
        </w:rPr>
        <w:t xml:space="preserve">Brendan MacDonald, M.S., Associate Service Fellow, NIOSH Office of Mine Safety and Health Research, 412.386.4403, </w:t>
      </w:r>
      <w:hyperlink r:id="rId14" w:history="1">
        <w:r w:rsidRPr="00D41FD2">
          <w:rPr>
            <w:rStyle w:val="Hyperlink"/>
            <w:rFonts w:ascii="Times New Roman" w:hAnsi="Times New Roman" w:cs="Times New Roman"/>
            <w:sz w:val="24"/>
            <w:szCs w:val="24"/>
          </w:rPr>
          <w:t>ihn5@cdc.gov</w:t>
        </w:r>
      </w:hyperlink>
    </w:p>
    <w:p w14:paraId="0BD88EC9" w14:textId="5CFEB5A2" w:rsidR="006F37CF" w:rsidRDefault="006F37CF" w:rsidP="006951C8">
      <w:pPr>
        <w:spacing w:line="240" w:lineRule="auto"/>
        <w:ind w:left="144" w:right="1440"/>
        <w:rPr>
          <w:rFonts w:ascii="Times New Roman" w:hAnsi="Times New Roman" w:cs="Times New Roman"/>
          <w:sz w:val="24"/>
          <w:szCs w:val="24"/>
        </w:rPr>
      </w:pPr>
      <w:r>
        <w:rPr>
          <w:rFonts w:ascii="Times New Roman" w:hAnsi="Times New Roman" w:cs="Times New Roman"/>
          <w:sz w:val="24"/>
          <w:szCs w:val="24"/>
        </w:rPr>
        <w:lastRenderedPageBreak/>
        <w:t xml:space="preserve">Jason Navoyski, B.A. Visual Information Specialist, NIOSH Office of Mine Safety and Health Research, 412.386.5041, </w:t>
      </w:r>
      <w:hyperlink r:id="rId15" w:history="1">
        <w:r w:rsidRPr="0062493D">
          <w:rPr>
            <w:rStyle w:val="Hyperlink"/>
            <w:rFonts w:ascii="Times New Roman" w:hAnsi="Times New Roman" w:cs="Times New Roman"/>
            <w:sz w:val="24"/>
            <w:szCs w:val="24"/>
          </w:rPr>
          <w:t>isb2@cdc.gov</w:t>
        </w:r>
      </w:hyperlink>
    </w:p>
    <w:p w14:paraId="362CC165" w14:textId="0DEA7A55" w:rsidR="008D6C5C" w:rsidRDefault="008D6C5C" w:rsidP="006951C8">
      <w:pPr>
        <w:spacing w:line="240" w:lineRule="auto"/>
        <w:ind w:left="144" w:right="1440"/>
        <w:rPr>
          <w:rFonts w:ascii="Times New Roman" w:hAnsi="Times New Roman" w:cs="Times New Roman"/>
          <w:b/>
          <w:sz w:val="24"/>
          <w:szCs w:val="24"/>
        </w:rPr>
      </w:pPr>
      <w:r>
        <w:rPr>
          <w:rFonts w:ascii="Times New Roman" w:hAnsi="Times New Roman" w:cs="Times New Roman"/>
          <w:b/>
          <w:sz w:val="24"/>
          <w:szCs w:val="24"/>
        </w:rPr>
        <w:br w:type="page"/>
      </w:r>
    </w:p>
    <w:p w14:paraId="6E040572" w14:textId="77777777" w:rsidR="00362048" w:rsidRDefault="00786455" w:rsidP="00786455">
      <w:pPr>
        <w:ind w:left="360"/>
        <w:jc w:val="center"/>
        <w:rPr>
          <w:rFonts w:ascii="Times New Roman" w:hAnsi="Times New Roman" w:cs="Times New Roman"/>
          <w:sz w:val="24"/>
          <w:szCs w:val="24"/>
        </w:rPr>
      </w:pPr>
      <w:r w:rsidRPr="00786455">
        <w:rPr>
          <w:rFonts w:ascii="Times New Roman" w:hAnsi="Times New Roman" w:cs="Times New Roman"/>
          <w:b/>
          <w:sz w:val="24"/>
          <w:szCs w:val="24"/>
        </w:rPr>
        <w:lastRenderedPageBreak/>
        <w:t>References</w:t>
      </w:r>
    </w:p>
    <w:p w14:paraId="2B51EABD" w14:textId="77777777" w:rsidR="009B4DBC" w:rsidRDefault="009B4DBC" w:rsidP="008D6C5C">
      <w:pPr>
        <w:ind w:left="360"/>
        <w:rPr>
          <w:rFonts w:ascii="Times New Roman" w:hAnsi="Times New Roman" w:cs="Times New Roman"/>
          <w:color w:val="222222"/>
          <w:sz w:val="24"/>
          <w:szCs w:val="24"/>
        </w:rPr>
      </w:pPr>
      <w:r w:rsidRPr="009B4DBC">
        <w:rPr>
          <w:rFonts w:ascii="Times New Roman" w:hAnsi="Times New Roman" w:cs="Times New Roman"/>
          <w:color w:val="222222"/>
          <w:sz w:val="24"/>
          <w:szCs w:val="24"/>
        </w:rPr>
        <w:t xml:space="preserve">Castelhano, M. S., Mack, M. L., &amp; Henderson, J. M. (2009). Viewing task influences eye movement control during active scene perception. </w:t>
      </w:r>
      <w:r w:rsidRPr="009B4DBC">
        <w:rPr>
          <w:rFonts w:ascii="Times New Roman" w:hAnsi="Times New Roman" w:cs="Times New Roman"/>
          <w:i/>
          <w:iCs/>
          <w:color w:val="222222"/>
          <w:sz w:val="24"/>
          <w:szCs w:val="24"/>
        </w:rPr>
        <w:t>Journal of Vision</w:t>
      </w:r>
      <w:r w:rsidRPr="009B4DBC">
        <w:rPr>
          <w:rFonts w:ascii="Times New Roman" w:hAnsi="Times New Roman" w:cs="Times New Roman"/>
          <w:color w:val="222222"/>
          <w:sz w:val="24"/>
          <w:szCs w:val="24"/>
        </w:rPr>
        <w:t xml:space="preserve">, </w:t>
      </w:r>
      <w:r w:rsidRPr="009B4DBC">
        <w:rPr>
          <w:rFonts w:ascii="Times New Roman" w:hAnsi="Times New Roman" w:cs="Times New Roman"/>
          <w:i/>
          <w:iCs/>
          <w:color w:val="222222"/>
          <w:sz w:val="24"/>
          <w:szCs w:val="24"/>
        </w:rPr>
        <w:t>9</w:t>
      </w:r>
      <w:r w:rsidRPr="009B4DBC">
        <w:rPr>
          <w:rFonts w:ascii="Times New Roman" w:hAnsi="Times New Roman" w:cs="Times New Roman"/>
          <w:color w:val="222222"/>
          <w:sz w:val="24"/>
          <w:szCs w:val="24"/>
        </w:rPr>
        <w:t>(3), 6.</w:t>
      </w:r>
    </w:p>
    <w:p w14:paraId="00A7261D" w14:textId="77777777" w:rsidR="002F54F9" w:rsidRPr="002F54F9" w:rsidRDefault="002F54F9" w:rsidP="002F54F9">
      <w:pPr>
        <w:ind w:left="360"/>
        <w:rPr>
          <w:rFonts w:ascii="Times New Roman" w:hAnsi="Times New Roman" w:cs="Times New Roman"/>
          <w:color w:val="222222"/>
          <w:sz w:val="24"/>
          <w:szCs w:val="24"/>
        </w:rPr>
      </w:pPr>
      <w:r w:rsidRPr="002F54F9">
        <w:rPr>
          <w:rFonts w:ascii="Times New Roman" w:hAnsi="Times New Roman" w:cs="Times New Roman"/>
          <w:color w:val="222222"/>
          <w:sz w:val="24"/>
          <w:szCs w:val="24"/>
        </w:rPr>
        <w:t xml:space="preserve">Crundall, D., Shenton, C., &amp; Underwood, G. (2004). Eye movements during intentional car following. </w:t>
      </w:r>
      <w:r w:rsidRPr="002F54F9">
        <w:rPr>
          <w:rFonts w:ascii="Times New Roman" w:hAnsi="Times New Roman" w:cs="Times New Roman"/>
          <w:i/>
          <w:iCs/>
          <w:color w:val="222222"/>
          <w:sz w:val="24"/>
          <w:szCs w:val="24"/>
        </w:rPr>
        <w:t>PERCEPTION-LONDON-</w:t>
      </w:r>
      <w:r w:rsidRPr="002F54F9">
        <w:rPr>
          <w:rFonts w:ascii="Times New Roman" w:hAnsi="Times New Roman" w:cs="Times New Roman"/>
          <w:color w:val="222222"/>
          <w:sz w:val="24"/>
          <w:szCs w:val="24"/>
        </w:rPr>
        <w:t xml:space="preserve">, </w:t>
      </w:r>
      <w:r w:rsidRPr="002F54F9">
        <w:rPr>
          <w:rFonts w:ascii="Times New Roman" w:hAnsi="Times New Roman" w:cs="Times New Roman"/>
          <w:i/>
          <w:iCs/>
          <w:color w:val="222222"/>
          <w:sz w:val="24"/>
          <w:szCs w:val="24"/>
        </w:rPr>
        <w:t>33</w:t>
      </w:r>
      <w:r w:rsidRPr="002F54F9">
        <w:rPr>
          <w:rFonts w:ascii="Times New Roman" w:hAnsi="Times New Roman" w:cs="Times New Roman"/>
          <w:color w:val="222222"/>
          <w:sz w:val="24"/>
          <w:szCs w:val="24"/>
        </w:rPr>
        <w:t>, 975-986.</w:t>
      </w:r>
    </w:p>
    <w:p w14:paraId="03526FD2" w14:textId="77777777" w:rsidR="009005F2" w:rsidRDefault="009005F2" w:rsidP="009005F2">
      <w:pPr>
        <w:ind w:left="360"/>
        <w:rPr>
          <w:rFonts w:ascii="Times New Roman" w:eastAsia="Times New Roman" w:hAnsi="Times New Roman" w:cs="Times New Roman"/>
          <w:sz w:val="24"/>
          <w:szCs w:val="20"/>
        </w:rPr>
      </w:pPr>
      <w:r w:rsidRPr="00247851">
        <w:rPr>
          <w:rFonts w:ascii="Times New Roman" w:eastAsia="Times New Roman" w:hAnsi="Times New Roman" w:cs="Times New Roman"/>
          <w:sz w:val="24"/>
          <w:szCs w:val="20"/>
        </w:rPr>
        <w:t>Ericsson K A &amp; Simon H A (1993) Protocol Analysis: Verbal Reports as Data,</w:t>
      </w:r>
      <w:r>
        <w:rPr>
          <w:rFonts w:ascii="Times New Roman" w:eastAsia="Times New Roman" w:hAnsi="Times New Roman" w:cs="Times New Roman"/>
          <w:sz w:val="24"/>
          <w:szCs w:val="20"/>
        </w:rPr>
        <w:t xml:space="preserve"> </w:t>
      </w:r>
      <w:r w:rsidRPr="00247851">
        <w:rPr>
          <w:rFonts w:ascii="Times New Roman" w:eastAsia="Times New Roman" w:hAnsi="Times New Roman" w:cs="Times New Roman"/>
          <w:sz w:val="24"/>
          <w:szCs w:val="20"/>
        </w:rPr>
        <w:t>Revised Edition. The MIT Press. London.</w:t>
      </w:r>
    </w:p>
    <w:p w14:paraId="7BFA59F8" w14:textId="77777777" w:rsidR="009005F2" w:rsidRDefault="009005F2" w:rsidP="009005F2">
      <w:pPr>
        <w:ind w:left="360"/>
        <w:rPr>
          <w:rFonts w:ascii="Times New Roman" w:eastAsia="Times New Roman" w:hAnsi="Times New Roman" w:cs="Times New Roman"/>
          <w:sz w:val="24"/>
          <w:szCs w:val="20"/>
        </w:rPr>
      </w:pPr>
      <w:r w:rsidRPr="00F04C03">
        <w:rPr>
          <w:rFonts w:ascii="Times New Roman" w:eastAsia="Times New Roman" w:hAnsi="Times New Roman" w:cs="Times New Roman"/>
          <w:sz w:val="24"/>
          <w:szCs w:val="20"/>
        </w:rPr>
        <w:t xml:space="preserve">Groner, R., Walder, F., &amp; Groner, M. (1984). Looking at faces: Local and global aspects of scanpaths. </w:t>
      </w:r>
      <w:r w:rsidRPr="00F04C03">
        <w:rPr>
          <w:rFonts w:ascii="Times New Roman" w:eastAsia="Times New Roman" w:hAnsi="Times New Roman" w:cs="Times New Roman"/>
          <w:i/>
          <w:iCs/>
          <w:sz w:val="24"/>
          <w:szCs w:val="20"/>
        </w:rPr>
        <w:t>Advances in Psychology</w:t>
      </w:r>
      <w:r w:rsidRPr="00F04C03">
        <w:rPr>
          <w:rFonts w:ascii="Times New Roman" w:eastAsia="Times New Roman" w:hAnsi="Times New Roman" w:cs="Times New Roman"/>
          <w:sz w:val="24"/>
          <w:szCs w:val="20"/>
        </w:rPr>
        <w:t xml:space="preserve">, </w:t>
      </w:r>
      <w:r w:rsidRPr="00F04C03">
        <w:rPr>
          <w:rFonts w:ascii="Times New Roman" w:eastAsia="Times New Roman" w:hAnsi="Times New Roman" w:cs="Times New Roman"/>
          <w:i/>
          <w:iCs/>
          <w:sz w:val="24"/>
          <w:szCs w:val="20"/>
        </w:rPr>
        <w:t>22</w:t>
      </w:r>
      <w:r w:rsidRPr="00F04C03">
        <w:rPr>
          <w:rFonts w:ascii="Times New Roman" w:eastAsia="Times New Roman" w:hAnsi="Times New Roman" w:cs="Times New Roman"/>
          <w:sz w:val="24"/>
          <w:szCs w:val="20"/>
        </w:rPr>
        <w:t>, 523-533.</w:t>
      </w:r>
    </w:p>
    <w:p w14:paraId="276DC4A8" w14:textId="77777777" w:rsidR="009B4DBC" w:rsidRPr="009B4DBC" w:rsidRDefault="009B4DBC" w:rsidP="009B4DBC">
      <w:pPr>
        <w:spacing w:after="0" w:line="240" w:lineRule="auto"/>
        <w:ind w:firstLine="360"/>
        <w:rPr>
          <w:rFonts w:ascii="Times New Roman" w:eastAsia="Times New Roman" w:hAnsi="Times New Roman" w:cs="Times New Roman"/>
          <w:sz w:val="24"/>
          <w:szCs w:val="20"/>
        </w:rPr>
      </w:pPr>
      <w:r w:rsidRPr="009B4DBC">
        <w:rPr>
          <w:rFonts w:ascii="Times New Roman" w:eastAsia="Times New Roman" w:hAnsi="Times New Roman" w:cs="Times New Roman"/>
          <w:sz w:val="24"/>
          <w:szCs w:val="20"/>
        </w:rPr>
        <w:t>Hunter, D.R. (2002). Risk Perception and Risk Tolerance in Aircraft Pilots. Federal Aviation</w:t>
      </w:r>
    </w:p>
    <w:p w14:paraId="391E3B9F" w14:textId="77777777" w:rsidR="009B4DBC" w:rsidRDefault="009B4DBC" w:rsidP="009B4DBC">
      <w:pPr>
        <w:spacing w:after="0" w:line="240" w:lineRule="auto"/>
        <w:ind w:firstLine="360"/>
        <w:rPr>
          <w:rFonts w:ascii="Times New Roman" w:eastAsia="Times New Roman" w:hAnsi="Times New Roman" w:cs="Times New Roman"/>
          <w:sz w:val="24"/>
          <w:szCs w:val="20"/>
        </w:rPr>
      </w:pPr>
      <w:r w:rsidRPr="009B4DBC">
        <w:rPr>
          <w:rFonts w:ascii="Times New Roman" w:eastAsia="Times New Roman" w:hAnsi="Times New Roman" w:cs="Times New Roman"/>
          <w:sz w:val="24"/>
          <w:szCs w:val="20"/>
        </w:rPr>
        <w:t>Administration Report No. PB2003100818.</w:t>
      </w:r>
    </w:p>
    <w:p w14:paraId="57E218E4" w14:textId="77777777" w:rsidR="009B4DBC" w:rsidRDefault="009B4DBC" w:rsidP="009B4DBC">
      <w:pPr>
        <w:spacing w:after="0" w:line="240" w:lineRule="auto"/>
        <w:ind w:firstLine="360"/>
        <w:rPr>
          <w:rFonts w:ascii="Times New Roman" w:hAnsi="Times New Roman" w:cs="Times New Roman"/>
          <w:sz w:val="24"/>
          <w:szCs w:val="24"/>
        </w:rPr>
      </w:pPr>
    </w:p>
    <w:p w14:paraId="17E1C7FC" w14:textId="77777777" w:rsidR="009B4DBC" w:rsidRPr="009B4DBC" w:rsidRDefault="009B4DBC" w:rsidP="009B4DBC">
      <w:pPr>
        <w:ind w:left="360"/>
        <w:rPr>
          <w:rFonts w:ascii="Times New Roman" w:hAnsi="Times New Roman" w:cs="Times New Roman"/>
          <w:sz w:val="24"/>
          <w:szCs w:val="24"/>
        </w:rPr>
      </w:pPr>
      <w:r w:rsidRPr="009B4DBC">
        <w:rPr>
          <w:rFonts w:ascii="Times New Roman" w:hAnsi="Times New Roman" w:cs="Times New Roman"/>
          <w:sz w:val="24"/>
          <w:szCs w:val="24"/>
        </w:rPr>
        <w:t>Iannacchione, A., Varley, F., &amp; Brady, T. (2008).  The Applicaton of Major Hazard Risk Assessment (MHRA) to Eliminate Multiple Fatality Occurrences in the US Minerals Industry.  U.S. Department of Health and Human Services, Public Health Service, Centers for Disease Control and Prevention, National Institute for Occupational Safety and Health, DHHS (NIOSH) Publication 2009-104, (IC 9508), 2008 October, pp.1-132.</w:t>
      </w:r>
    </w:p>
    <w:p w14:paraId="4BC1CA44" w14:textId="77777777" w:rsidR="009B4DBC" w:rsidRDefault="0002754A" w:rsidP="009B4DBC">
      <w:pPr>
        <w:ind w:left="360"/>
        <w:rPr>
          <w:rFonts w:ascii="Times New Roman" w:hAnsi="Times New Roman" w:cs="Times New Roman"/>
          <w:color w:val="222222"/>
          <w:sz w:val="24"/>
          <w:szCs w:val="24"/>
        </w:rPr>
      </w:pPr>
      <w:r>
        <w:rPr>
          <w:rFonts w:ascii="Times New Roman" w:hAnsi="Times New Roman" w:cs="Times New Roman"/>
          <w:color w:val="222222"/>
          <w:sz w:val="24"/>
          <w:szCs w:val="24"/>
        </w:rPr>
        <w:t xml:space="preserve">NIOSH [2012]. </w:t>
      </w:r>
      <w:r w:rsidR="009B4DBC" w:rsidRPr="009B4DBC">
        <w:rPr>
          <w:rFonts w:ascii="Times New Roman" w:hAnsi="Times New Roman" w:cs="Times New Roman"/>
          <w:color w:val="222222"/>
          <w:sz w:val="24"/>
          <w:szCs w:val="24"/>
        </w:rPr>
        <w:t xml:space="preserve">(2012). National Survey of the Mining Population Part 1: Employees. </w:t>
      </w:r>
      <w:r>
        <w:rPr>
          <w:rFonts w:ascii="Times New Roman" w:hAnsi="Times New Roman" w:cs="Times New Roman"/>
          <w:color w:val="222222"/>
          <w:sz w:val="24"/>
          <w:szCs w:val="24"/>
        </w:rPr>
        <w:t xml:space="preserve">By </w:t>
      </w:r>
      <w:r w:rsidRPr="009B4DBC">
        <w:rPr>
          <w:rFonts w:ascii="Times New Roman" w:hAnsi="Times New Roman" w:cs="Times New Roman"/>
          <w:color w:val="222222"/>
          <w:sz w:val="24"/>
          <w:szCs w:val="24"/>
        </w:rPr>
        <w:t xml:space="preserve">McWilliams, L. J., Lenart, P. J., Lancaster, J. L., &amp; Zeiner Jr, J. R. </w:t>
      </w:r>
      <w:r>
        <w:rPr>
          <w:rFonts w:ascii="Times New Roman" w:hAnsi="Times New Roman" w:cs="Times New Roman"/>
          <w:color w:val="222222"/>
          <w:sz w:val="24"/>
          <w:szCs w:val="24"/>
        </w:rPr>
        <w:t xml:space="preserve">Pittsburgh, PA: U.S. Department of Health and Human Services, Centers for Disease Control and Prevention, National Institute for Occupational Safety and Health, OMSHR (NIOSH) Publication No. </w:t>
      </w:r>
      <w:r w:rsidR="009B4DBC" w:rsidRPr="0002754A">
        <w:rPr>
          <w:rFonts w:ascii="Times New Roman" w:hAnsi="Times New Roman" w:cs="Times New Roman"/>
          <w:iCs/>
          <w:color w:val="222222"/>
          <w:sz w:val="24"/>
          <w:szCs w:val="24"/>
        </w:rPr>
        <w:t>9527</w:t>
      </w:r>
      <w:r w:rsidRPr="0002754A">
        <w:rPr>
          <w:rFonts w:ascii="Times New Roman" w:hAnsi="Times New Roman" w:cs="Times New Roman"/>
          <w:color w:val="222222"/>
          <w:sz w:val="24"/>
          <w:szCs w:val="24"/>
        </w:rPr>
        <w:t>-</w:t>
      </w:r>
      <w:r w:rsidR="009B4DBC" w:rsidRPr="0002754A">
        <w:rPr>
          <w:rFonts w:ascii="Times New Roman" w:hAnsi="Times New Roman" w:cs="Times New Roman"/>
          <w:color w:val="222222"/>
          <w:sz w:val="24"/>
          <w:szCs w:val="24"/>
        </w:rPr>
        <w:t xml:space="preserve"> 252</w:t>
      </w:r>
      <w:r w:rsidR="009B4DBC" w:rsidRPr="009B4DBC">
        <w:rPr>
          <w:rFonts w:ascii="Times New Roman" w:hAnsi="Times New Roman" w:cs="Times New Roman"/>
          <w:color w:val="222222"/>
          <w:sz w:val="24"/>
          <w:szCs w:val="24"/>
        </w:rPr>
        <w:t>.</w:t>
      </w:r>
    </w:p>
    <w:p w14:paraId="647963A0" w14:textId="77777777" w:rsidR="009B4DBC" w:rsidRPr="009B4DBC" w:rsidRDefault="009B4DBC" w:rsidP="009B4DBC">
      <w:pPr>
        <w:ind w:left="360"/>
        <w:rPr>
          <w:rFonts w:ascii="Times New Roman" w:hAnsi="Times New Roman" w:cs="Times New Roman"/>
          <w:sz w:val="24"/>
          <w:szCs w:val="24"/>
        </w:rPr>
      </w:pPr>
      <w:r w:rsidRPr="009B4DBC">
        <w:rPr>
          <w:rFonts w:ascii="Times New Roman" w:hAnsi="Times New Roman" w:cs="Times New Roman"/>
          <w:sz w:val="24"/>
          <w:szCs w:val="24"/>
        </w:rPr>
        <w:lastRenderedPageBreak/>
        <w:t>Lehmann, C.C., Haight, J.M., &amp; Michael, J.H. (2009). Effect of safety training on risk tolerance: An examination of male workers in the surface mining industry. Journal of Safety, Health, and Environmental Research, 4(3).</w:t>
      </w:r>
    </w:p>
    <w:p w14:paraId="1FEFD18F" w14:textId="77777777" w:rsidR="009B4DBC" w:rsidRPr="009B4DBC" w:rsidRDefault="009B4DBC" w:rsidP="009B4DBC">
      <w:pPr>
        <w:ind w:left="360"/>
        <w:rPr>
          <w:rFonts w:ascii="Times New Roman" w:hAnsi="Times New Roman" w:cs="Times New Roman"/>
          <w:sz w:val="24"/>
          <w:szCs w:val="24"/>
        </w:rPr>
      </w:pPr>
      <w:r w:rsidRPr="009B4DBC">
        <w:rPr>
          <w:rFonts w:ascii="Times New Roman" w:hAnsi="Times New Roman" w:cs="Times New Roman"/>
          <w:sz w:val="24"/>
          <w:szCs w:val="24"/>
        </w:rPr>
        <w:t xml:space="preserve">Meertens, R. M., &amp; Lion, R. (2008). Measuring an Individual's Tendency to Take Risks: The Risk Propensity Scale1. </w:t>
      </w:r>
      <w:r w:rsidRPr="009B4DBC">
        <w:rPr>
          <w:rFonts w:ascii="Times New Roman" w:hAnsi="Times New Roman" w:cs="Times New Roman"/>
          <w:i/>
          <w:iCs/>
          <w:sz w:val="24"/>
          <w:szCs w:val="24"/>
        </w:rPr>
        <w:t>Journal of Applied Social Psychology</w:t>
      </w:r>
      <w:r w:rsidRPr="009B4DBC">
        <w:rPr>
          <w:rFonts w:ascii="Times New Roman" w:hAnsi="Times New Roman" w:cs="Times New Roman"/>
          <w:sz w:val="24"/>
          <w:szCs w:val="24"/>
        </w:rPr>
        <w:t xml:space="preserve">, </w:t>
      </w:r>
      <w:r w:rsidRPr="009B4DBC">
        <w:rPr>
          <w:rFonts w:ascii="Times New Roman" w:hAnsi="Times New Roman" w:cs="Times New Roman"/>
          <w:i/>
          <w:iCs/>
          <w:sz w:val="24"/>
          <w:szCs w:val="24"/>
        </w:rPr>
        <w:t>38</w:t>
      </w:r>
      <w:r w:rsidRPr="009B4DBC">
        <w:rPr>
          <w:rFonts w:ascii="Times New Roman" w:hAnsi="Times New Roman" w:cs="Times New Roman"/>
          <w:sz w:val="24"/>
          <w:szCs w:val="24"/>
        </w:rPr>
        <w:t>(6), 1506-1520.</w:t>
      </w:r>
    </w:p>
    <w:p w14:paraId="4E472C05" w14:textId="77777777" w:rsidR="009B4DBC" w:rsidRPr="009B4DBC" w:rsidRDefault="009B4DBC" w:rsidP="009B4DBC">
      <w:pPr>
        <w:ind w:left="360"/>
        <w:rPr>
          <w:rFonts w:ascii="Times New Roman" w:hAnsi="Times New Roman" w:cs="Times New Roman"/>
          <w:sz w:val="24"/>
          <w:szCs w:val="24"/>
        </w:rPr>
      </w:pPr>
      <w:r w:rsidRPr="009B4DBC">
        <w:rPr>
          <w:rFonts w:ascii="Times New Roman" w:hAnsi="Times New Roman" w:cs="Times New Roman"/>
          <w:sz w:val="24"/>
          <w:szCs w:val="24"/>
        </w:rPr>
        <w:t xml:space="preserve">Perlman, A., Sacks, R., &amp; Barak, R. (2014). Hazard recognition and risk perception in construction. </w:t>
      </w:r>
      <w:r w:rsidRPr="009B4DBC">
        <w:rPr>
          <w:rFonts w:ascii="Times New Roman" w:hAnsi="Times New Roman" w:cs="Times New Roman"/>
          <w:i/>
          <w:iCs/>
          <w:sz w:val="24"/>
          <w:szCs w:val="24"/>
        </w:rPr>
        <w:t>Safety science</w:t>
      </w:r>
      <w:r w:rsidRPr="009B4DBC">
        <w:rPr>
          <w:rFonts w:ascii="Times New Roman" w:hAnsi="Times New Roman" w:cs="Times New Roman"/>
          <w:sz w:val="24"/>
          <w:szCs w:val="24"/>
        </w:rPr>
        <w:t xml:space="preserve">, </w:t>
      </w:r>
      <w:r w:rsidRPr="009B4DBC">
        <w:rPr>
          <w:rFonts w:ascii="Times New Roman" w:hAnsi="Times New Roman" w:cs="Times New Roman"/>
          <w:i/>
          <w:iCs/>
          <w:sz w:val="24"/>
          <w:szCs w:val="24"/>
        </w:rPr>
        <w:t>64</w:t>
      </w:r>
      <w:r w:rsidRPr="009B4DBC">
        <w:rPr>
          <w:rFonts w:ascii="Times New Roman" w:hAnsi="Times New Roman" w:cs="Times New Roman"/>
          <w:sz w:val="24"/>
          <w:szCs w:val="24"/>
        </w:rPr>
        <w:t>, 22-31.</w:t>
      </w:r>
    </w:p>
    <w:p w14:paraId="1B70AA30" w14:textId="77777777" w:rsidR="009B4DBC" w:rsidRPr="009B4DBC" w:rsidRDefault="009B4DBC" w:rsidP="009B4DBC">
      <w:pPr>
        <w:ind w:left="360"/>
        <w:rPr>
          <w:rFonts w:ascii="Times New Roman" w:hAnsi="Times New Roman" w:cs="Times New Roman"/>
          <w:sz w:val="24"/>
          <w:szCs w:val="24"/>
        </w:rPr>
      </w:pPr>
      <w:r w:rsidRPr="009B4DBC">
        <w:rPr>
          <w:rFonts w:ascii="Times New Roman" w:hAnsi="Times New Roman" w:cs="Times New Roman"/>
          <w:sz w:val="24"/>
          <w:szCs w:val="24"/>
        </w:rPr>
        <w:t xml:space="preserve">Reingold, E. M., Charness, N., Pomplun, M., &amp; Stampe, D. M. (2001). Visual span in expert chess players: Evidence from eye movements. </w:t>
      </w:r>
      <w:r w:rsidRPr="009B4DBC">
        <w:rPr>
          <w:rFonts w:ascii="Times New Roman" w:hAnsi="Times New Roman" w:cs="Times New Roman"/>
          <w:i/>
          <w:iCs/>
          <w:sz w:val="24"/>
          <w:szCs w:val="24"/>
        </w:rPr>
        <w:t>Psychological Science</w:t>
      </w:r>
      <w:r w:rsidRPr="009B4DBC">
        <w:rPr>
          <w:rFonts w:ascii="Times New Roman" w:hAnsi="Times New Roman" w:cs="Times New Roman"/>
          <w:sz w:val="24"/>
          <w:szCs w:val="24"/>
        </w:rPr>
        <w:t xml:space="preserve">, </w:t>
      </w:r>
      <w:r w:rsidRPr="009B4DBC">
        <w:rPr>
          <w:rFonts w:ascii="Times New Roman" w:hAnsi="Times New Roman" w:cs="Times New Roman"/>
          <w:i/>
          <w:iCs/>
          <w:sz w:val="24"/>
          <w:szCs w:val="24"/>
        </w:rPr>
        <w:t>12</w:t>
      </w:r>
      <w:r w:rsidRPr="009B4DBC">
        <w:rPr>
          <w:rFonts w:ascii="Times New Roman" w:hAnsi="Times New Roman" w:cs="Times New Roman"/>
          <w:sz w:val="24"/>
          <w:szCs w:val="24"/>
        </w:rPr>
        <w:t>(1), 48-55.</w:t>
      </w:r>
    </w:p>
    <w:p w14:paraId="4C3DBC44" w14:textId="77777777" w:rsidR="00786455" w:rsidRDefault="004001F5" w:rsidP="00786455">
      <w:pPr>
        <w:ind w:left="360"/>
        <w:rPr>
          <w:rFonts w:ascii="Times New Roman" w:hAnsi="Times New Roman" w:cs="Times New Roman"/>
          <w:sz w:val="24"/>
          <w:szCs w:val="24"/>
        </w:rPr>
      </w:pPr>
      <w:r w:rsidRPr="004001F5">
        <w:rPr>
          <w:rFonts w:ascii="Times New Roman" w:hAnsi="Times New Roman" w:cs="Times New Roman"/>
          <w:sz w:val="24"/>
          <w:szCs w:val="24"/>
        </w:rPr>
        <w:t xml:space="preserve">Reyna, V. F., &amp; Lloyd, F. J. (2006). Physician decision making and cardiac risk: effects of knowledge, risk perception, risk tolerance, and fuzzy processing. </w:t>
      </w:r>
      <w:r w:rsidRPr="004001F5">
        <w:rPr>
          <w:rFonts w:ascii="Times New Roman" w:hAnsi="Times New Roman" w:cs="Times New Roman"/>
          <w:i/>
          <w:iCs/>
          <w:sz w:val="24"/>
          <w:szCs w:val="24"/>
        </w:rPr>
        <w:t>Journal of Experimental Psychology: Applied</w:t>
      </w:r>
      <w:r w:rsidRPr="004001F5">
        <w:rPr>
          <w:rFonts w:ascii="Times New Roman" w:hAnsi="Times New Roman" w:cs="Times New Roman"/>
          <w:sz w:val="24"/>
          <w:szCs w:val="24"/>
        </w:rPr>
        <w:t xml:space="preserve">, </w:t>
      </w:r>
      <w:r w:rsidRPr="004001F5">
        <w:rPr>
          <w:rFonts w:ascii="Times New Roman" w:hAnsi="Times New Roman" w:cs="Times New Roman"/>
          <w:i/>
          <w:iCs/>
          <w:sz w:val="24"/>
          <w:szCs w:val="24"/>
        </w:rPr>
        <w:t>12</w:t>
      </w:r>
      <w:r w:rsidRPr="004001F5">
        <w:rPr>
          <w:rFonts w:ascii="Times New Roman" w:hAnsi="Times New Roman" w:cs="Times New Roman"/>
          <w:sz w:val="24"/>
          <w:szCs w:val="24"/>
        </w:rPr>
        <w:t>(3), 179.</w:t>
      </w:r>
    </w:p>
    <w:p w14:paraId="776C6BD2" w14:textId="77777777" w:rsidR="002F54F9" w:rsidRPr="002F54F9" w:rsidRDefault="002F54F9" w:rsidP="002F54F9">
      <w:pPr>
        <w:ind w:left="360"/>
        <w:rPr>
          <w:rFonts w:ascii="Times New Roman" w:hAnsi="Times New Roman" w:cs="Times New Roman"/>
          <w:sz w:val="24"/>
          <w:szCs w:val="24"/>
        </w:rPr>
      </w:pPr>
      <w:r w:rsidRPr="002F54F9">
        <w:rPr>
          <w:rFonts w:ascii="Times New Roman" w:hAnsi="Times New Roman" w:cs="Times New Roman"/>
          <w:sz w:val="24"/>
          <w:szCs w:val="24"/>
        </w:rPr>
        <w:t>Slovic, P., Finucane, M. L., Peters, E., &amp; MacGregor, D. G. (2004). Risk as analysis and risk as feelings: Some thoughts about affect, reason, risk, and rationality. Risk analysis, 24(2), 311-322.</w:t>
      </w:r>
    </w:p>
    <w:p w14:paraId="51BD0872" w14:textId="77777777" w:rsidR="009005F2" w:rsidRPr="00093E1E" w:rsidRDefault="009005F2" w:rsidP="009005F2">
      <w:pPr>
        <w:ind w:left="360"/>
        <w:rPr>
          <w:rFonts w:ascii="Times New Roman" w:hAnsi="Times New Roman" w:cs="Times New Roman"/>
        </w:rPr>
      </w:pPr>
      <w:r w:rsidRPr="00093E1E">
        <w:rPr>
          <w:rFonts w:ascii="Times New Roman" w:hAnsi="Times New Roman" w:cs="Times New Roman"/>
          <w:color w:val="222222"/>
        </w:rPr>
        <w:t xml:space="preserve">Unema, P. J., Pannasch, S., Joos, M., &amp; Velichkovsky, B. M. (2005). Time course of information processing during scene perception: The relationship between saccade amplitude and fixation duration. </w:t>
      </w:r>
      <w:r w:rsidRPr="00093E1E">
        <w:rPr>
          <w:rFonts w:ascii="Times New Roman" w:hAnsi="Times New Roman" w:cs="Times New Roman"/>
          <w:i/>
          <w:iCs/>
          <w:color w:val="222222"/>
        </w:rPr>
        <w:t>Visual Cognition</w:t>
      </w:r>
      <w:r w:rsidRPr="00093E1E">
        <w:rPr>
          <w:rFonts w:ascii="Times New Roman" w:hAnsi="Times New Roman" w:cs="Times New Roman"/>
          <w:color w:val="222222"/>
        </w:rPr>
        <w:t xml:space="preserve">, </w:t>
      </w:r>
      <w:r w:rsidRPr="00093E1E">
        <w:rPr>
          <w:rFonts w:ascii="Times New Roman" w:hAnsi="Times New Roman" w:cs="Times New Roman"/>
          <w:i/>
          <w:iCs/>
          <w:color w:val="222222"/>
        </w:rPr>
        <w:t>12</w:t>
      </w:r>
      <w:r w:rsidRPr="00093E1E">
        <w:rPr>
          <w:rFonts w:ascii="Times New Roman" w:hAnsi="Times New Roman" w:cs="Times New Roman"/>
          <w:color w:val="222222"/>
        </w:rPr>
        <w:t>(3), 473-494.</w:t>
      </w:r>
    </w:p>
    <w:p w14:paraId="15713F71" w14:textId="77777777" w:rsidR="002F54F9" w:rsidRDefault="002F54F9" w:rsidP="00786455">
      <w:pPr>
        <w:ind w:left="360"/>
        <w:rPr>
          <w:rFonts w:ascii="Times New Roman" w:hAnsi="Times New Roman" w:cs="Times New Roman"/>
          <w:sz w:val="24"/>
          <w:szCs w:val="24"/>
        </w:rPr>
      </w:pPr>
    </w:p>
    <w:p w14:paraId="349B981C" w14:textId="77777777" w:rsidR="004001F5" w:rsidRDefault="004001F5" w:rsidP="00786455">
      <w:pPr>
        <w:ind w:left="360"/>
        <w:rPr>
          <w:rFonts w:ascii="Times New Roman" w:hAnsi="Times New Roman" w:cs="Times New Roman"/>
          <w:sz w:val="24"/>
          <w:szCs w:val="24"/>
        </w:rPr>
      </w:pPr>
    </w:p>
    <w:p w14:paraId="50273DA4" w14:textId="77777777" w:rsidR="004001F5" w:rsidRDefault="004001F5" w:rsidP="004001F5">
      <w:pPr>
        <w:autoSpaceDE w:val="0"/>
        <w:autoSpaceDN w:val="0"/>
        <w:spacing w:after="0" w:line="240" w:lineRule="auto"/>
      </w:pPr>
      <w:r>
        <w:rPr>
          <w:rFonts w:ascii="Segoe UI" w:hAnsi="Segoe UI" w:cs="Segoe UI"/>
          <w:sz w:val="20"/>
          <w:szCs w:val="20"/>
        </w:rPr>
        <w:t> </w:t>
      </w:r>
    </w:p>
    <w:p w14:paraId="0C74A3C2" w14:textId="77777777" w:rsidR="004001F5" w:rsidRPr="00786455" w:rsidRDefault="004001F5" w:rsidP="00786455">
      <w:pPr>
        <w:ind w:left="360"/>
        <w:rPr>
          <w:rFonts w:ascii="Times New Roman" w:hAnsi="Times New Roman" w:cs="Times New Roman"/>
          <w:sz w:val="24"/>
          <w:szCs w:val="24"/>
        </w:rPr>
      </w:pPr>
    </w:p>
    <w:p w14:paraId="71BB0185" w14:textId="77777777" w:rsidR="0000065B" w:rsidRDefault="0000065B" w:rsidP="0074328A">
      <w:pPr>
        <w:ind w:left="360"/>
        <w:rPr>
          <w:rFonts w:ascii="Times New Roman" w:hAnsi="Times New Roman" w:cs="Times New Roman"/>
          <w:sz w:val="24"/>
          <w:szCs w:val="24"/>
        </w:rPr>
      </w:pPr>
    </w:p>
    <w:p w14:paraId="2E36466D" w14:textId="77777777" w:rsidR="009B7205" w:rsidRPr="007B0E7D" w:rsidRDefault="00861E8B" w:rsidP="00861E8B">
      <w:pPr>
        <w:spacing w:after="0"/>
        <w:ind w:firstLine="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3887DB" w14:textId="77777777" w:rsidR="00DC57CC" w:rsidRDefault="00DC57CC"/>
    <w:sectPr w:rsidR="00DC57CC" w:rsidSect="006C6578">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D9777" w14:textId="77777777" w:rsidR="005E75DF" w:rsidRDefault="005E75DF" w:rsidP="008B5D54">
      <w:pPr>
        <w:spacing w:after="0" w:line="240" w:lineRule="auto"/>
      </w:pPr>
      <w:r>
        <w:separator/>
      </w:r>
    </w:p>
  </w:endnote>
  <w:endnote w:type="continuationSeparator" w:id="0">
    <w:p w14:paraId="14C76E1E" w14:textId="77777777" w:rsidR="005E75DF" w:rsidRDefault="005E75D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82814"/>
      <w:docPartObj>
        <w:docPartGallery w:val="Page Numbers (Bottom of Page)"/>
        <w:docPartUnique/>
      </w:docPartObj>
    </w:sdtPr>
    <w:sdtEndPr>
      <w:rPr>
        <w:color w:val="7F7F7F" w:themeColor="background1" w:themeShade="7F"/>
        <w:spacing w:val="60"/>
      </w:rPr>
    </w:sdtEndPr>
    <w:sdtContent>
      <w:p w14:paraId="4B4DE3BA" w14:textId="77777777" w:rsidR="004D12C4" w:rsidRDefault="004D12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AF5027">
          <w:rPr>
            <w:noProof/>
          </w:rPr>
          <w:t>5</w:t>
        </w:r>
        <w:r>
          <w:rPr>
            <w:noProof/>
          </w:rPr>
          <w:fldChar w:fldCharType="end"/>
        </w:r>
        <w:r>
          <w:t xml:space="preserve"> | </w:t>
        </w:r>
        <w:r>
          <w:rPr>
            <w:color w:val="7F7F7F" w:themeColor="background1" w:themeShade="7F"/>
            <w:spacing w:val="60"/>
          </w:rPr>
          <w:t>Page</w:t>
        </w:r>
      </w:p>
    </w:sdtContent>
  </w:sdt>
  <w:p w14:paraId="062625A0" w14:textId="77777777" w:rsidR="004D12C4" w:rsidRDefault="004D1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D0A2F" w14:textId="77777777" w:rsidR="005E75DF" w:rsidRDefault="005E75DF" w:rsidP="008B5D54">
      <w:pPr>
        <w:spacing w:after="0" w:line="240" w:lineRule="auto"/>
      </w:pPr>
      <w:r>
        <w:separator/>
      </w:r>
    </w:p>
  </w:footnote>
  <w:footnote w:type="continuationSeparator" w:id="0">
    <w:p w14:paraId="07CE9F2B" w14:textId="77777777" w:rsidR="005E75DF" w:rsidRDefault="005E75D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67AE"/>
    <w:multiLevelType w:val="hybridMultilevel"/>
    <w:tmpl w:val="5D20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233C8"/>
    <w:multiLevelType w:val="hybridMultilevel"/>
    <w:tmpl w:val="835AB93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67F1561E"/>
    <w:multiLevelType w:val="hybridMultilevel"/>
    <w:tmpl w:val="E078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57"/>
    <w:rsid w:val="0000065B"/>
    <w:rsid w:val="0002754A"/>
    <w:rsid w:val="0003221A"/>
    <w:rsid w:val="00045374"/>
    <w:rsid w:val="000725BD"/>
    <w:rsid w:val="00082615"/>
    <w:rsid w:val="000A285B"/>
    <w:rsid w:val="000E127F"/>
    <w:rsid w:val="00174FF1"/>
    <w:rsid w:val="00184B23"/>
    <w:rsid w:val="0019653B"/>
    <w:rsid w:val="001D6280"/>
    <w:rsid w:val="00202275"/>
    <w:rsid w:val="00202D85"/>
    <w:rsid w:val="00234311"/>
    <w:rsid w:val="002E6D5D"/>
    <w:rsid w:val="002F54F9"/>
    <w:rsid w:val="0031052A"/>
    <w:rsid w:val="0033318D"/>
    <w:rsid w:val="00362048"/>
    <w:rsid w:val="004001F5"/>
    <w:rsid w:val="00432A4E"/>
    <w:rsid w:val="00453EDE"/>
    <w:rsid w:val="00456410"/>
    <w:rsid w:val="00486F56"/>
    <w:rsid w:val="004D12C4"/>
    <w:rsid w:val="00526C01"/>
    <w:rsid w:val="005C5D93"/>
    <w:rsid w:val="005E75DF"/>
    <w:rsid w:val="006236A5"/>
    <w:rsid w:val="00630280"/>
    <w:rsid w:val="00640B8D"/>
    <w:rsid w:val="00652B57"/>
    <w:rsid w:val="006877DE"/>
    <w:rsid w:val="00691367"/>
    <w:rsid w:val="006951C8"/>
    <w:rsid w:val="00697FD4"/>
    <w:rsid w:val="006A7F19"/>
    <w:rsid w:val="006C6578"/>
    <w:rsid w:val="006D70FC"/>
    <w:rsid w:val="006E6D8C"/>
    <w:rsid w:val="006F2D98"/>
    <w:rsid w:val="006F37CF"/>
    <w:rsid w:val="006F3CBA"/>
    <w:rsid w:val="00726359"/>
    <w:rsid w:val="00727DA7"/>
    <w:rsid w:val="0074328A"/>
    <w:rsid w:val="007632D5"/>
    <w:rsid w:val="00786455"/>
    <w:rsid w:val="00861E8B"/>
    <w:rsid w:val="00884FF5"/>
    <w:rsid w:val="008B5D54"/>
    <w:rsid w:val="008C7B29"/>
    <w:rsid w:val="008D6C5C"/>
    <w:rsid w:val="008F419D"/>
    <w:rsid w:val="008F5D3E"/>
    <w:rsid w:val="009005F2"/>
    <w:rsid w:val="00916810"/>
    <w:rsid w:val="00962785"/>
    <w:rsid w:val="009858EB"/>
    <w:rsid w:val="009A5267"/>
    <w:rsid w:val="009B4DBC"/>
    <w:rsid w:val="009B7205"/>
    <w:rsid w:val="009E04C5"/>
    <w:rsid w:val="00A37F2C"/>
    <w:rsid w:val="00AC4BFC"/>
    <w:rsid w:val="00AE328B"/>
    <w:rsid w:val="00AF5027"/>
    <w:rsid w:val="00B14EBE"/>
    <w:rsid w:val="00B55735"/>
    <w:rsid w:val="00B608AC"/>
    <w:rsid w:val="00B66231"/>
    <w:rsid w:val="00B7161D"/>
    <w:rsid w:val="00B77332"/>
    <w:rsid w:val="00BE2C84"/>
    <w:rsid w:val="00BE46FA"/>
    <w:rsid w:val="00C0569A"/>
    <w:rsid w:val="00C13B5A"/>
    <w:rsid w:val="00C536F6"/>
    <w:rsid w:val="00C81F4E"/>
    <w:rsid w:val="00CB3476"/>
    <w:rsid w:val="00CC0102"/>
    <w:rsid w:val="00D62891"/>
    <w:rsid w:val="00DB7142"/>
    <w:rsid w:val="00DC57CC"/>
    <w:rsid w:val="00DF1511"/>
    <w:rsid w:val="00E4194B"/>
    <w:rsid w:val="00E41FBC"/>
    <w:rsid w:val="00E4317E"/>
    <w:rsid w:val="00E55916"/>
    <w:rsid w:val="00F56FD0"/>
    <w:rsid w:val="00FC0695"/>
    <w:rsid w:val="00FC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2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nhideWhenUsed/>
    <w:rsid w:val="009B7205"/>
    <w:rPr>
      <w:color w:val="0000FF" w:themeColor="hyperlink"/>
      <w:u w:val="single"/>
    </w:rPr>
  </w:style>
  <w:style w:type="paragraph" w:styleId="ListParagraph">
    <w:name w:val="List Paragraph"/>
    <w:basedOn w:val="Normal"/>
    <w:uiPriority w:val="34"/>
    <w:qFormat/>
    <w:rsid w:val="00861E8B"/>
    <w:pPr>
      <w:ind w:left="720"/>
      <w:contextualSpacing/>
    </w:pPr>
  </w:style>
  <w:style w:type="character" w:styleId="CommentReference">
    <w:name w:val="annotation reference"/>
    <w:basedOn w:val="DefaultParagraphFont"/>
    <w:uiPriority w:val="99"/>
    <w:semiHidden/>
    <w:unhideWhenUsed/>
    <w:rsid w:val="00C81F4E"/>
    <w:rPr>
      <w:sz w:val="16"/>
      <w:szCs w:val="16"/>
    </w:rPr>
  </w:style>
  <w:style w:type="paragraph" w:styleId="CommentText">
    <w:name w:val="annotation text"/>
    <w:basedOn w:val="Normal"/>
    <w:link w:val="CommentTextChar"/>
    <w:uiPriority w:val="99"/>
    <w:unhideWhenUsed/>
    <w:rsid w:val="00C81F4E"/>
    <w:pPr>
      <w:spacing w:line="240" w:lineRule="auto"/>
    </w:pPr>
    <w:rPr>
      <w:sz w:val="20"/>
      <w:szCs w:val="20"/>
    </w:rPr>
  </w:style>
  <w:style w:type="character" w:customStyle="1" w:styleId="CommentTextChar">
    <w:name w:val="Comment Text Char"/>
    <w:basedOn w:val="DefaultParagraphFont"/>
    <w:link w:val="CommentText"/>
    <w:uiPriority w:val="99"/>
    <w:rsid w:val="00C81F4E"/>
    <w:rPr>
      <w:sz w:val="20"/>
      <w:szCs w:val="20"/>
    </w:rPr>
  </w:style>
  <w:style w:type="paragraph" w:styleId="BalloonText">
    <w:name w:val="Balloon Text"/>
    <w:basedOn w:val="Normal"/>
    <w:link w:val="BalloonTextChar"/>
    <w:uiPriority w:val="99"/>
    <w:semiHidden/>
    <w:unhideWhenUsed/>
    <w:rsid w:val="00C81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F4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97FD4"/>
    <w:rPr>
      <w:b/>
      <w:bCs/>
    </w:rPr>
  </w:style>
  <w:style w:type="character" w:customStyle="1" w:styleId="CommentSubjectChar">
    <w:name w:val="Comment Subject Char"/>
    <w:basedOn w:val="CommentTextChar"/>
    <w:link w:val="CommentSubject"/>
    <w:uiPriority w:val="99"/>
    <w:semiHidden/>
    <w:rsid w:val="00697F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iter@cdc.gov" TargetMode="External"/><Relationship Id="rId13" Type="http://schemas.openxmlformats.org/officeDocument/2006/relationships/hyperlink" Target="mailto:tao9@cd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je9@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gn8@cdc.gov" TargetMode="External"/><Relationship Id="rId5" Type="http://schemas.openxmlformats.org/officeDocument/2006/relationships/webSettings" Target="webSettings.xml"/><Relationship Id="rId15" Type="http://schemas.openxmlformats.org/officeDocument/2006/relationships/hyperlink" Target="mailto:isb2@cdc.gov" TargetMode="External"/><Relationship Id="rId10" Type="http://schemas.openxmlformats.org/officeDocument/2006/relationships/hyperlink" Target="mailto:BEiter@cdc.gov" TargetMode="External"/><Relationship Id="rId4" Type="http://schemas.openxmlformats.org/officeDocument/2006/relationships/settings" Target="settings.xml"/><Relationship Id="rId9" Type="http://schemas.openxmlformats.org/officeDocument/2006/relationships/hyperlink" Target="http://www.msha.gov/safetypro_in_a_box/index.asp" TargetMode="External"/><Relationship Id="rId14" Type="http://schemas.openxmlformats.org/officeDocument/2006/relationships/hyperlink" Target="mailto:ihn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6E52C-932E-4590-B9E9-AD99B741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3291</Words>
  <Characters>18761</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2016-03-09T19:07:00Z</dcterms:created>
  <dcterms:modified xsi:type="dcterms:W3CDTF">2016-03-09T19:07:00Z</dcterms:modified>
</cp:coreProperties>
</file>