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408BC" w14:textId="77777777" w:rsidR="007B0E7D" w:rsidRDefault="007B0E7D" w:rsidP="007B0E7D">
      <w:pPr>
        <w:jc w:val="center"/>
        <w:rPr>
          <w:rFonts w:ascii="Times New Roman" w:hAnsi="Times New Roman" w:cs="Times New Roman"/>
          <w:sz w:val="24"/>
          <w:szCs w:val="24"/>
        </w:rPr>
      </w:pPr>
    </w:p>
    <w:p w14:paraId="05BFE5FA" w14:textId="77777777" w:rsidR="00984120" w:rsidRDefault="00984120" w:rsidP="007B0E7D">
      <w:pPr>
        <w:jc w:val="center"/>
        <w:rPr>
          <w:rFonts w:ascii="Times New Roman" w:hAnsi="Times New Roman" w:cs="Times New Roman"/>
          <w:sz w:val="24"/>
          <w:szCs w:val="24"/>
        </w:rPr>
      </w:pPr>
    </w:p>
    <w:p w14:paraId="2DE64B7D" w14:textId="77777777" w:rsidR="00984120" w:rsidRDefault="00984120" w:rsidP="007B0E7D">
      <w:pPr>
        <w:jc w:val="center"/>
        <w:rPr>
          <w:rFonts w:ascii="Times New Roman" w:hAnsi="Times New Roman" w:cs="Times New Roman"/>
          <w:sz w:val="24"/>
          <w:szCs w:val="24"/>
        </w:rPr>
      </w:pPr>
    </w:p>
    <w:p w14:paraId="76EABF91" w14:textId="77777777" w:rsidR="00984120" w:rsidRDefault="00984120" w:rsidP="007B0E7D">
      <w:pPr>
        <w:jc w:val="center"/>
        <w:rPr>
          <w:rFonts w:ascii="Times New Roman" w:hAnsi="Times New Roman" w:cs="Times New Roman"/>
          <w:sz w:val="24"/>
          <w:szCs w:val="24"/>
        </w:rPr>
      </w:pPr>
    </w:p>
    <w:p w14:paraId="26C4109E" w14:textId="77777777" w:rsidR="00984120" w:rsidRDefault="00984120" w:rsidP="007B0E7D">
      <w:pPr>
        <w:jc w:val="center"/>
        <w:rPr>
          <w:rFonts w:ascii="Times New Roman" w:hAnsi="Times New Roman" w:cs="Times New Roman"/>
          <w:sz w:val="24"/>
          <w:szCs w:val="24"/>
        </w:rPr>
      </w:pPr>
    </w:p>
    <w:p w14:paraId="4ABE4973" w14:textId="77777777" w:rsidR="00984120" w:rsidRDefault="00984120" w:rsidP="007B0E7D">
      <w:pPr>
        <w:jc w:val="center"/>
        <w:rPr>
          <w:rFonts w:ascii="Times New Roman" w:hAnsi="Times New Roman" w:cs="Times New Roman"/>
          <w:sz w:val="24"/>
          <w:szCs w:val="24"/>
        </w:rPr>
      </w:pPr>
    </w:p>
    <w:p w14:paraId="0114A8A2" w14:textId="77777777" w:rsidR="00984120" w:rsidRDefault="00984120" w:rsidP="007B0E7D">
      <w:pPr>
        <w:jc w:val="center"/>
        <w:rPr>
          <w:rFonts w:ascii="Times New Roman" w:hAnsi="Times New Roman" w:cs="Times New Roman"/>
          <w:sz w:val="24"/>
          <w:szCs w:val="24"/>
        </w:rPr>
      </w:pPr>
    </w:p>
    <w:p w14:paraId="1095F8E4" w14:textId="77777777" w:rsidR="00984120" w:rsidRDefault="00984120" w:rsidP="007B0E7D">
      <w:pPr>
        <w:jc w:val="center"/>
        <w:rPr>
          <w:rFonts w:ascii="Times New Roman" w:hAnsi="Times New Roman" w:cs="Times New Roman"/>
          <w:sz w:val="24"/>
          <w:szCs w:val="24"/>
        </w:rPr>
      </w:pPr>
    </w:p>
    <w:p w14:paraId="6479F27B" w14:textId="77777777" w:rsidR="007B0E7D" w:rsidRDefault="007B0E7D" w:rsidP="007B0E7D">
      <w:pPr>
        <w:jc w:val="center"/>
        <w:rPr>
          <w:rFonts w:ascii="Times New Roman" w:hAnsi="Times New Roman" w:cs="Times New Roman"/>
          <w:sz w:val="24"/>
          <w:szCs w:val="24"/>
        </w:rPr>
      </w:pPr>
      <w:r>
        <w:rPr>
          <w:rFonts w:ascii="Times New Roman" w:hAnsi="Times New Roman" w:cs="Times New Roman"/>
          <w:sz w:val="24"/>
          <w:szCs w:val="24"/>
        </w:rPr>
        <w:t xml:space="preserve">Information Collection Request for </w:t>
      </w:r>
    </w:p>
    <w:p w14:paraId="3558521B" w14:textId="77777777" w:rsidR="00DC57CC" w:rsidRDefault="007B0E7D" w:rsidP="007B0E7D">
      <w:pPr>
        <w:jc w:val="center"/>
        <w:rPr>
          <w:rFonts w:ascii="Times New Roman" w:hAnsi="Times New Roman" w:cs="Times New Roman"/>
          <w:sz w:val="24"/>
          <w:szCs w:val="24"/>
        </w:rPr>
      </w:pPr>
      <w:r>
        <w:rPr>
          <w:rFonts w:ascii="Times New Roman" w:hAnsi="Times New Roman" w:cs="Times New Roman"/>
          <w:sz w:val="24"/>
          <w:szCs w:val="24"/>
        </w:rPr>
        <w:t>“</w:t>
      </w:r>
      <w:r w:rsidRPr="007B0E7D">
        <w:rPr>
          <w:rFonts w:ascii="Times New Roman" w:hAnsi="Times New Roman" w:cs="Times New Roman"/>
          <w:sz w:val="24"/>
          <w:szCs w:val="24"/>
        </w:rPr>
        <w:t>Enhancing Mine Workers’ Abilities to Identify Hazards at Sand, Stone, and Gravel Mines</w:t>
      </w:r>
      <w:r>
        <w:rPr>
          <w:rFonts w:ascii="Times New Roman" w:hAnsi="Times New Roman" w:cs="Times New Roman"/>
          <w:sz w:val="24"/>
          <w:szCs w:val="24"/>
        </w:rPr>
        <w:t>”</w:t>
      </w:r>
    </w:p>
    <w:p w14:paraId="1852A9E2" w14:textId="77777777" w:rsidR="007B0E7D" w:rsidRPr="007B0E7D" w:rsidRDefault="007B0E7D" w:rsidP="007B0E7D">
      <w:pPr>
        <w:spacing w:after="0"/>
        <w:jc w:val="center"/>
        <w:rPr>
          <w:rFonts w:ascii="Times New Roman" w:hAnsi="Times New Roman" w:cs="Times New Roman"/>
          <w:sz w:val="24"/>
          <w:szCs w:val="24"/>
        </w:rPr>
      </w:pPr>
      <w:r w:rsidRPr="007B0E7D">
        <w:rPr>
          <w:rFonts w:ascii="Times New Roman" w:hAnsi="Times New Roman" w:cs="Times New Roman"/>
          <w:sz w:val="24"/>
          <w:szCs w:val="24"/>
        </w:rPr>
        <w:t>Brianna M. Eiter, Ph.D.</w:t>
      </w:r>
    </w:p>
    <w:p w14:paraId="364BEEEF" w14:textId="77777777" w:rsidR="007B0E7D" w:rsidRPr="007B0E7D" w:rsidRDefault="007B0E7D" w:rsidP="007B0E7D">
      <w:pPr>
        <w:spacing w:after="0"/>
        <w:jc w:val="center"/>
        <w:rPr>
          <w:rFonts w:ascii="Times New Roman" w:hAnsi="Times New Roman" w:cs="Times New Roman"/>
          <w:sz w:val="24"/>
          <w:szCs w:val="24"/>
        </w:rPr>
      </w:pPr>
      <w:r>
        <w:rPr>
          <w:rFonts w:ascii="Times New Roman" w:hAnsi="Times New Roman" w:cs="Times New Roman"/>
          <w:sz w:val="24"/>
          <w:szCs w:val="24"/>
        </w:rPr>
        <w:t>Research Behavioral Scientist</w:t>
      </w:r>
    </w:p>
    <w:p w14:paraId="1A1A2AA2" w14:textId="77777777" w:rsidR="007B0E7D" w:rsidRPr="007B0E7D" w:rsidRDefault="007B0E7D" w:rsidP="007B0E7D">
      <w:pPr>
        <w:spacing w:after="0"/>
        <w:jc w:val="center"/>
        <w:rPr>
          <w:rFonts w:ascii="Times New Roman" w:hAnsi="Times New Roman" w:cs="Times New Roman"/>
          <w:sz w:val="24"/>
          <w:szCs w:val="24"/>
        </w:rPr>
      </w:pPr>
      <w:r w:rsidRPr="007B0E7D">
        <w:rPr>
          <w:rFonts w:ascii="Times New Roman" w:hAnsi="Times New Roman" w:cs="Times New Roman"/>
          <w:sz w:val="24"/>
          <w:szCs w:val="24"/>
        </w:rPr>
        <w:t>Tel. 412.386.4954</w:t>
      </w:r>
    </w:p>
    <w:p w14:paraId="78E23A3A" w14:textId="77777777" w:rsidR="007B0E7D" w:rsidRDefault="00E9533A" w:rsidP="007B0E7D">
      <w:pPr>
        <w:spacing w:after="0"/>
        <w:jc w:val="center"/>
        <w:rPr>
          <w:rFonts w:ascii="Times New Roman" w:hAnsi="Times New Roman" w:cs="Times New Roman"/>
          <w:sz w:val="24"/>
          <w:szCs w:val="24"/>
        </w:rPr>
      </w:pPr>
      <w:hyperlink r:id="rId8" w:history="1">
        <w:r w:rsidR="007B0E7D" w:rsidRPr="000B5FB5">
          <w:rPr>
            <w:rStyle w:val="Hyperlink"/>
            <w:rFonts w:ascii="Times New Roman" w:hAnsi="Times New Roman" w:cs="Times New Roman"/>
            <w:sz w:val="24"/>
            <w:szCs w:val="24"/>
          </w:rPr>
          <w:t>BEiter@cdc.gov</w:t>
        </w:r>
      </w:hyperlink>
    </w:p>
    <w:p w14:paraId="19E0B7D0" w14:textId="77777777" w:rsidR="007B0E7D" w:rsidRDefault="007B0E7D" w:rsidP="007B0E7D">
      <w:pPr>
        <w:spacing w:after="0"/>
        <w:jc w:val="center"/>
        <w:rPr>
          <w:rFonts w:ascii="Times New Roman" w:hAnsi="Times New Roman" w:cs="Times New Roman"/>
          <w:sz w:val="24"/>
          <w:szCs w:val="24"/>
        </w:rPr>
      </w:pPr>
    </w:p>
    <w:p w14:paraId="5CF85A09" w14:textId="77777777" w:rsidR="00D83D53" w:rsidRDefault="00380787" w:rsidP="007B0E7D">
      <w:pPr>
        <w:spacing w:after="0"/>
        <w:jc w:val="center"/>
        <w:rPr>
          <w:rFonts w:ascii="Times New Roman" w:hAnsi="Times New Roman" w:cs="Times New Roman"/>
          <w:sz w:val="24"/>
          <w:szCs w:val="24"/>
        </w:rPr>
      </w:pPr>
      <w:r>
        <w:rPr>
          <w:rFonts w:ascii="Times New Roman" w:hAnsi="Times New Roman" w:cs="Times New Roman"/>
          <w:sz w:val="24"/>
          <w:szCs w:val="24"/>
        </w:rPr>
        <w:t xml:space="preserve">February </w:t>
      </w:r>
      <w:r w:rsidR="008B0B36">
        <w:rPr>
          <w:rFonts w:ascii="Times New Roman" w:hAnsi="Times New Roman" w:cs="Times New Roman"/>
          <w:sz w:val="24"/>
          <w:szCs w:val="24"/>
        </w:rPr>
        <w:t>20</w:t>
      </w:r>
      <w:r w:rsidR="00525B65">
        <w:rPr>
          <w:rFonts w:ascii="Times New Roman" w:hAnsi="Times New Roman" w:cs="Times New Roman"/>
          <w:sz w:val="24"/>
          <w:szCs w:val="24"/>
        </w:rPr>
        <w:t>, 2015</w:t>
      </w:r>
    </w:p>
    <w:p w14:paraId="3EA3034E" w14:textId="77777777" w:rsidR="00525B65" w:rsidRDefault="00525B65" w:rsidP="007B0E7D">
      <w:pPr>
        <w:spacing w:after="0"/>
        <w:jc w:val="center"/>
        <w:rPr>
          <w:rFonts w:ascii="Times New Roman" w:hAnsi="Times New Roman" w:cs="Times New Roman"/>
          <w:sz w:val="24"/>
          <w:szCs w:val="24"/>
        </w:rPr>
      </w:pPr>
    </w:p>
    <w:p w14:paraId="0EC2A0BB" w14:textId="77777777" w:rsidR="00D83D53" w:rsidRDefault="00D83D53" w:rsidP="00D83D53">
      <w:pPr>
        <w:spacing w:after="0"/>
        <w:jc w:val="center"/>
        <w:rPr>
          <w:rFonts w:ascii="Times New Roman" w:hAnsi="Times New Roman" w:cs="Times New Roman"/>
          <w:sz w:val="24"/>
          <w:szCs w:val="24"/>
        </w:rPr>
      </w:pPr>
      <w:r>
        <w:rPr>
          <w:rFonts w:ascii="Times New Roman" w:hAnsi="Times New Roman" w:cs="Times New Roman"/>
          <w:sz w:val="24"/>
          <w:szCs w:val="24"/>
        </w:rPr>
        <w:t>Part A</w:t>
      </w:r>
    </w:p>
    <w:p w14:paraId="5B9CCDCB" w14:textId="77777777" w:rsidR="00CF7A9F" w:rsidRDefault="00CF7A9F" w:rsidP="00D83D53">
      <w:pPr>
        <w:spacing w:after="0"/>
        <w:jc w:val="center"/>
        <w:rPr>
          <w:rFonts w:ascii="Times New Roman" w:hAnsi="Times New Roman" w:cs="Times New Roman"/>
          <w:sz w:val="24"/>
          <w:szCs w:val="24"/>
        </w:rPr>
      </w:pPr>
    </w:p>
    <w:p w14:paraId="298FD6DD" w14:textId="77777777" w:rsidR="00CF7A9F" w:rsidRPr="007B0E7D" w:rsidRDefault="00CF7A9F" w:rsidP="00D83D53">
      <w:pPr>
        <w:spacing w:after="0"/>
        <w:jc w:val="center"/>
        <w:rPr>
          <w:rFonts w:ascii="Times New Roman" w:hAnsi="Times New Roman" w:cs="Times New Roman"/>
          <w:sz w:val="24"/>
          <w:szCs w:val="24"/>
        </w:rPr>
      </w:pPr>
    </w:p>
    <w:p w14:paraId="0E32A844" w14:textId="77777777" w:rsidR="00CF7A9F" w:rsidRDefault="007B0E7D">
      <w:pPr>
        <w:rPr>
          <w:rFonts w:ascii="Times New Roman" w:hAnsi="Times New Roman" w:cs="Times New Roman"/>
          <w:sz w:val="24"/>
          <w:szCs w:val="24"/>
        </w:rPr>
      </w:pPr>
      <w:r>
        <w:rPr>
          <w:rFonts w:ascii="Times New Roman" w:hAnsi="Times New Roman" w:cs="Times New Roman"/>
          <w:sz w:val="24"/>
          <w:szCs w:val="24"/>
        </w:rPr>
        <w:br w:type="page"/>
      </w:r>
    </w:p>
    <w:p w14:paraId="486DF339" w14:textId="77777777" w:rsidR="007B0E7D" w:rsidRPr="00FF4524" w:rsidRDefault="007B0E7D" w:rsidP="007B0E7D">
      <w:pPr>
        <w:spacing w:after="0"/>
        <w:jc w:val="center"/>
        <w:rPr>
          <w:rFonts w:cs="Times New Roman"/>
          <w:b/>
          <w:sz w:val="28"/>
          <w:szCs w:val="28"/>
        </w:rPr>
      </w:pPr>
      <w:r w:rsidRPr="00FF4524">
        <w:rPr>
          <w:rFonts w:cs="Times New Roman"/>
          <w:b/>
          <w:sz w:val="28"/>
          <w:szCs w:val="28"/>
        </w:rPr>
        <w:lastRenderedPageBreak/>
        <w:t>Part A: Justification</w:t>
      </w:r>
    </w:p>
    <w:p w14:paraId="3D18A63A" w14:textId="77777777" w:rsidR="007B0E7D" w:rsidRDefault="007B0E7D" w:rsidP="007B0E7D">
      <w:pPr>
        <w:rPr>
          <w:rFonts w:cs="Times New Roman"/>
          <w:sz w:val="28"/>
          <w:szCs w:val="28"/>
        </w:rPr>
      </w:pPr>
    </w:p>
    <w:p w14:paraId="75ADD4B6" w14:textId="77777777" w:rsidR="007B0E7D" w:rsidRDefault="007B0E7D" w:rsidP="007B0E7D">
      <w:pPr>
        <w:pStyle w:val="TOC1"/>
        <w:tabs>
          <w:tab w:val="left" w:pos="440"/>
          <w:tab w:val="right" w:leader="dot" w:pos="9350"/>
        </w:tabs>
        <w:rPr>
          <w:rFonts w:asciiTheme="minorHAnsi" w:eastAsiaTheme="minorEastAsia" w:hAnsiTheme="minorHAnsi"/>
          <w:noProof/>
          <w:sz w:val="22"/>
        </w:rPr>
      </w:pPr>
      <w:r>
        <w:rPr>
          <w:rFonts w:cs="Times New Roman"/>
          <w:b/>
          <w:sz w:val="28"/>
          <w:szCs w:val="28"/>
        </w:rPr>
        <w:fldChar w:fldCharType="begin"/>
      </w:r>
      <w:r>
        <w:rPr>
          <w:rFonts w:cs="Times New Roman"/>
          <w:b/>
          <w:sz w:val="28"/>
          <w:szCs w:val="28"/>
        </w:rPr>
        <w:instrText xml:space="preserve"> TOC \o "1-1" \h \z \u </w:instrText>
      </w:r>
      <w:r>
        <w:rPr>
          <w:rFonts w:cs="Times New Roman"/>
          <w:b/>
          <w:sz w:val="28"/>
          <w:szCs w:val="28"/>
        </w:rPr>
        <w:fldChar w:fldCharType="separate"/>
      </w:r>
      <w:hyperlink w:anchor="_Toc350432815" w:history="1">
        <w:r w:rsidRPr="002E26E9">
          <w:rPr>
            <w:rStyle w:val="Hyperlink"/>
            <w:noProof/>
          </w:rPr>
          <w:t>1.</w:t>
        </w:r>
        <w:r>
          <w:rPr>
            <w:rFonts w:asciiTheme="minorHAnsi" w:eastAsiaTheme="minorEastAsia" w:hAnsiTheme="minorHAnsi"/>
            <w:noProof/>
            <w:sz w:val="22"/>
          </w:rPr>
          <w:tab/>
        </w:r>
        <w:r w:rsidRPr="002E26E9">
          <w:rPr>
            <w:rStyle w:val="Hyperlink"/>
            <w:noProof/>
          </w:rPr>
          <w:t>Circumstances Making the Collection of Information Necessary</w:t>
        </w:r>
        <w:r>
          <w:rPr>
            <w:noProof/>
            <w:webHidden/>
          </w:rPr>
          <w:tab/>
        </w:r>
      </w:hyperlink>
      <w:r w:rsidR="00A31FAE">
        <w:rPr>
          <w:noProof/>
        </w:rPr>
        <w:t>4</w:t>
      </w:r>
    </w:p>
    <w:p w14:paraId="28C63B8F" w14:textId="77777777" w:rsidR="007B0E7D" w:rsidRDefault="00E9533A" w:rsidP="007B0E7D">
      <w:pPr>
        <w:pStyle w:val="TOC1"/>
        <w:tabs>
          <w:tab w:val="left" w:pos="440"/>
          <w:tab w:val="right" w:leader="dot" w:pos="9350"/>
        </w:tabs>
        <w:rPr>
          <w:rFonts w:asciiTheme="minorHAnsi" w:eastAsiaTheme="minorEastAsia" w:hAnsiTheme="minorHAnsi"/>
          <w:noProof/>
          <w:sz w:val="22"/>
        </w:rPr>
      </w:pPr>
      <w:hyperlink w:anchor="_Toc350432816" w:history="1">
        <w:r w:rsidR="007B0E7D" w:rsidRPr="002E26E9">
          <w:rPr>
            <w:rStyle w:val="Hyperlink"/>
            <w:rFonts w:eastAsia="Times New Roman"/>
            <w:noProof/>
          </w:rPr>
          <w:t>2.</w:t>
        </w:r>
        <w:r w:rsidR="007B0E7D">
          <w:rPr>
            <w:rFonts w:asciiTheme="minorHAnsi" w:eastAsiaTheme="minorEastAsia" w:hAnsiTheme="minorHAnsi"/>
            <w:noProof/>
            <w:sz w:val="22"/>
          </w:rPr>
          <w:tab/>
        </w:r>
        <w:r w:rsidR="007B0E7D" w:rsidRPr="002E26E9">
          <w:rPr>
            <w:rStyle w:val="Hyperlink"/>
            <w:rFonts w:eastAsia="Times New Roman"/>
            <w:noProof/>
          </w:rPr>
          <w:t>Purpose and Use of Information collection</w:t>
        </w:r>
        <w:r w:rsidR="007B0E7D">
          <w:rPr>
            <w:noProof/>
            <w:webHidden/>
          </w:rPr>
          <w:tab/>
        </w:r>
      </w:hyperlink>
      <w:r w:rsidR="00A31FAE">
        <w:rPr>
          <w:noProof/>
        </w:rPr>
        <w:t>6</w:t>
      </w:r>
    </w:p>
    <w:p w14:paraId="57E7B716" w14:textId="77777777" w:rsidR="007B0E7D" w:rsidRDefault="00E9533A" w:rsidP="007B0E7D">
      <w:pPr>
        <w:pStyle w:val="TOC1"/>
        <w:tabs>
          <w:tab w:val="left" w:pos="440"/>
          <w:tab w:val="right" w:leader="dot" w:pos="9350"/>
        </w:tabs>
        <w:rPr>
          <w:rFonts w:asciiTheme="minorHAnsi" w:eastAsiaTheme="minorEastAsia" w:hAnsiTheme="minorHAnsi"/>
          <w:noProof/>
          <w:sz w:val="22"/>
        </w:rPr>
      </w:pPr>
      <w:hyperlink w:anchor="_Toc350432817" w:history="1">
        <w:r w:rsidR="007B0E7D" w:rsidRPr="002E26E9">
          <w:rPr>
            <w:rStyle w:val="Hyperlink"/>
            <w:noProof/>
          </w:rPr>
          <w:t>3.</w:t>
        </w:r>
        <w:r w:rsidR="007B0E7D">
          <w:rPr>
            <w:rFonts w:asciiTheme="minorHAnsi" w:eastAsiaTheme="minorEastAsia" w:hAnsiTheme="minorHAnsi"/>
            <w:noProof/>
            <w:sz w:val="22"/>
          </w:rPr>
          <w:tab/>
        </w:r>
        <w:r w:rsidR="007B0E7D" w:rsidRPr="002E26E9">
          <w:rPr>
            <w:rStyle w:val="Hyperlink"/>
            <w:noProof/>
          </w:rPr>
          <w:t>Use of Improved Information Technology and Burden Reduction</w:t>
        </w:r>
        <w:r w:rsidR="007B0E7D">
          <w:rPr>
            <w:noProof/>
            <w:webHidden/>
          </w:rPr>
          <w:tab/>
        </w:r>
      </w:hyperlink>
      <w:r w:rsidR="00A31FAE">
        <w:rPr>
          <w:noProof/>
        </w:rPr>
        <w:t>7</w:t>
      </w:r>
    </w:p>
    <w:p w14:paraId="6F67B489" w14:textId="77777777" w:rsidR="007B0E7D" w:rsidRDefault="00E9533A" w:rsidP="007B0E7D">
      <w:pPr>
        <w:pStyle w:val="TOC1"/>
        <w:tabs>
          <w:tab w:val="left" w:pos="440"/>
          <w:tab w:val="right" w:leader="dot" w:pos="9350"/>
        </w:tabs>
        <w:rPr>
          <w:rFonts w:asciiTheme="minorHAnsi" w:eastAsiaTheme="minorEastAsia" w:hAnsiTheme="minorHAnsi"/>
          <w:noProof/>
          <w:sz w:val="22"/>
        </w:rPr>
      </w:pPr>
      <w:hyperlink w:anchor="_Toc350432818" w:history="1">
        <w:r w:rsidR="007B0E7D" w:rsidRPr="002E26E9">
          <w:rPr>
            <w:rStyle w:val="Hyperlink"/>
            <w:noProof/>
          </w:rPr>
          <w:t>4.</w:t>
        </w:r>
        <w:r w:rsidR="007B0E7D">
          <w:rPr>
            <w:rFonts w:asciiTheme="minorHAnsi" w:eastAsiaTheme="minorEastAsia" w:hAnsiTheme="minorHAnsi"/>
            <w:noProof/>
            <w:sz w:val="22"/>
          </w:rPr>
          <w:tab/>
        </w:r>
        <w:r w:rsidR="007B0E7D" w:rsidRPr="002E26E9">
          <w:rPr>
            <w:rStyle w:val="Hyperlink"/>
            <w:noProof/>
          </w:rPr>
          <w:t>Efforts to Identify Duplication and Use of Similar Information</w:t>
        </w:r>
        <w:r w:rsidR="007B0E7D">
          <w:rPr>
            <w:noProof/>
            <w:webHidden/>
          </w:rPr>
          <w:tab/>
        </w:r>
      </w:hyperlink>
      <w:r w:rsidR="00A31FAE">
        <w:rPr>
          <w:noProof/>
        </w:rPr>
        <w:t>7</w:t>
      </w:r>
    </w:p>
    <w:p w14:paraId="7885DB09" w14:textId="77777777" w:rsidR="007B0E7D" w:rsidRDefault="00E9533A" w:rsidP="007B0E7D">
      <w:pPr>
        <w:pStyle w:val="TOC1"/>
        <w:tabs>
          <w:tab w:val="left" w:pos="440"/>
          <w:tab w:val="right" w:leader="dot" w:pos="9350"/>
        </w:tabs>
        <w:rPr>
          <w:rFonts w:asciiTheme="minorHAnsi" w:eastAsiaTheme="minorEastAsia" w:hAnsiTheme="minorHAnsi"/>
          <w:noProof/>
          <w:sz w:val="22"/>
        </w:rPr>
      </w:pPr>
      <w:hyperlink w:anchor="_Toc350432819" w:history="1">
        <w:r w:rsidR="007B0E7D" w:rsidRPr="002E26E9">
          <w:rPr>
            <w:rStyle w:val="Hyperlink"/>
            <w:noProof/>
          </w:rPr>
          <w:t>5.</w:t>
        </w:r>
        <w:r w:rsidR="007B0E7D">
          <w:rPr>
            <w:rFonts w:asciiTheme="minorHAnsi" w:eastAsiaTheme="minorEastAsia" w:hAnsiTheme="minorHAnsi"/>
            <w:noProof/>
            <w:sz w:val="22"/>
          </w:rPr>
          <w:tab/>
        </w:r>
        <w:r w:rsidR="007B0E7D" w:rsidRPr="002E26E9">
          <w:rPr>
            <w:rStyle w:val="Hyperlink"/>
            <w:noProof/>
          </w:rPr>
          <w:t>Impact on Small Businesses or Other Small Entities</w:t>
        </w:r>
        <w:r w:rsidR="007B0E7D">
          <w:rPr>
            <w:noProof/>
            <w:webHidden/>
          </w:rPr>
          <w:tab/>
        </w:r>
      </w:hyperlink>
      <w:r w:rsidR="00A31FAE">
        <w:rPr>
          <w:noProof/>
        </w:rPr>
        <w:t>8</w:t>
      </w:r>
    </w:p>
    <w:p w14:paraId="4230DE6F" w14:textId="77777777" w:rsidR="007B0E7D" w:rsidRDefault="00E9533A" w:rsidP="007B0E7D">
      <w:pPr>
        <w:pStyle w:val="TOC1"/>
        <w:tabs>
          <w:tab w:val="left" w:pos="440"/>
          <w:tab w:val="right" w:leader="dot" w:pos="9350"/>
        </w:tabs>
        <w:rPr>
          <w:rFonts w:asciiTheme="minorHAnsi" w:eastAsiaTheme="minorEastAsia" w:hAnsiTheme="minorHAnsi"/>
          <w:noProof/>
          <w:sz w:val="22"/>
        </w:rPr>
      </w:pPr>
      <w:hyperlink w:anchor="_Toc350432820" w:history="1">
        <w:r w:rsidR="007B0E7D" w:rsidRPr="002E26E9">
          <w:rPr>
            <w:rStyle w:val="Hyperlink"/>
            <w:noProof/>
          </w:rPr>
          <w:t>6.</w:t>
        </w:r>
        <w:r w:rsidR="007B0E7D">
          <w:rPr>
            <w:rFonts w:asciiTheme="minorHAnsi" w:eastAsiaTheme="minorEastAsia" w:hAnsiTheme="minorHAnsi"/>
            <w:noProof/>
            <w:sz w:val="22"/>
          </w:rPr>
          <w:tab/>
        </w:r>
        <w:r w:rsidR="007B0E7D" w:rsidRPr="002E26E9">
          <w:rPr>
            <w:rStyle w:val="Hyperlink"/>
            <w:noProof/>
          </w:rPr>
          <w:t>Consequences of Collecting the Information Less Frequently</w:t>
        </w:r>
        <w:r w:rsidR="00F26193">
          <w:rPr>
            <w:rStyle w:val="Hyperlink"/>
            <w:noProof/>
          </w:rPr>
          <w:t xml:space="preserve"> </w:t>
        </w:r>
        <w:r w:rsidR="007B0E7D">
          <w:rPr>
            <w:noProof/>
            <w:webHidden/>
          </w:rPr>
          <w:tab/>
        </w:r>
      </w:hyperlink>
      <w:r w:rsidR="00A31FAE">
        <w:rPr>
          <w:noProof/>
        </w:rPr>
        <w:t>8</w:t>
      </w:r>
    </w:p>
    <w:p w14:paraId="67D20D08" w14:textId="77777777" w:rsidR="007B0E7D" w:rsidRDefault="00E9533A" w:rsidP="007B0E7D">
      <w:pPr>
        <w:pStyle w:val="TOC1"/>
        <w:tabs>
          <w:tab w:val="left" w:pos="440"/>
          <w:tab w:val="right" w:leader="dot" w:pos="9350"/>
        </w:tabs>
        <w:rPr>
          <w:rFonts w:asciiTheme="minorHAnsi" w:eastAsiaTheme="minorEastAsia" w:hAnsiTheme="minorHAnsi"/>
          <w:noProof/>
          <w:sz w:val="22"/>
        </w:rPr>
      </w:pPr>
      <w:hyperlink w:anchor="_Toc350432821" w:history="1">
        <w:r w:rsidR="007B0E7D" w:rsidRPr="002E26E9">
          <w:rPr>
            <w:rStyle w:val="Hyperlink"/>
            <w:noProof/>
          </w:rPr>
          <w:t>7.</w:t>
        </w:r>
        <w:r w:rsidR="007B0E7D">
          <w:rPr>
            <w:rFonts w:asciiTheme="minorHAnsi" w:eastAsiaTheme="minorEastAsia" w:hAnsiTheme="minorHAnsi"/>
            <w:noProof/>
            <w:sz w:val="22"/>
          </w:rPr>
          <w:tab/>
        </w:r>
        <w:r w:rsidR="007B0E7D" w:rsidRPr="002E26E9">
          <w:rPr>
            <w:rStyle w:val="Hyperlink"/>
            <w:noProof/>
          </w:rPr>
          <w:t>Special Circumstances Relating to the Guidelines of 5 CFR 1320.5</w:t>
        </w:r>
        <w:r w:rsidR="007B0E7D">
          <w:rPr>
            <w:noProof/>
            <w:webHidden/>
          </w:rPr>
          <w:tab/>
        </w:r>
      </w:hyperlink>
      <w:r w:rsidR="00A31FAE">
        <w:rPr>
          <w:noProof/>
        </w:rPr>
        <w:t>9</w:t>
      </w:r>
    </w:p>
    <w:p w14:paraId="004ADB67" w14:textId="77777777" w:rsidR="007B0E7D" w:rsidRDefault="00E9533A" w:rsidP="007B0E7D">
      <w:pPr>
        <w:pStyle w:val="TOC1"/>
        <w:tabs>
          <w:tab w:val="left" w:pos="440"/>
          <w:tab w:val="right" w:leader="dot" w:pos="9350"/>
        </w:tabs>
        <w:rPr>
          <w:rFonts w:asciiTheme="minorHAnsi" w:eastAsiaTheme="minorEastAsia" w:hAnsiTheme="minorHAnsi"/>
          <w:noProof/>
          <w:sz w:val="22"/>
        </w:rPr>
      </w:pPr>
      <w:hyperlink w:anchor="_Toc350432822" w:history="1">
        <w:r w:rsidR="007B0E7D" w:rsidRPr="002E26E9">
          <w:rPr>
            <w:rStyle w:val="Hyperlink"/>
            <w:noProof/>
          </w:rPr>
          <w:t>8.</w:t>
        </w:r>
        <w:r w:rsidR="007B0E7D">
          <w:rPr>
            <w:rFonts w:asciiTheme="minorHAnsi" w:eastAsiaTheme="minorEastAsia" w:hAnsiTheme="minorHAnsi"/>
            <w:noProof/>
            <w:sz w:val="22"/>
          </w:rPr>
          <w:tab/>
        </w:r>
        <w:r w:rsidR="007B0E7D" w:rsidRPr="002E26E9">
          <w:rPr>
            <w:rStyle w:val="Hyperlink"/>
            <w:noProof/>
          </w:rPr>
          <w:t>Comments in Response to the Federal Register Notice and Efforts to Consult Outside the Agency</w:t>
        </w:r>
        <w:r w:rsidR="007B0E7D">
          <w:rPr>
            <w:noProof/>
            <w:webHidden/>
          </w:rPr>
          <w:tab/>
        </w:r>
        <w:r w:rsidR="007B0E7D">
          <w:rPr>
            <w:noProof/>
            <w:webHidden/>
          </w:rPr>
          <w:tab/>
        </w:r>
        <w:r w:rsidR="007B0E7D">
          <w:rPr>
            <w:noProof/>
            <w:webHidden/>
          </w:rPr>
          <w:tab/>
        </w:r>
      </w:hyperlink>
      <w:r w:rsidR="00A31FAE">
        <w:rPr>
          <w:noProof/>
        </w:rPr>
        <w:t>9</w:t>
      </w:r>
    </w:p>
    <w:p w14:paraId="52CFBCAF" w14:textId="77777777" w:rsidR="007B0E7D" w:rsidRDefault="00E9533A" w:rsidP="007B0E7D">
      <w:pPr>
        <w:pStyle w:val="TOC1"/>
        <w:tabs>
          <w:tab w:val="left" w:pos="440"/>
          <w:tab w:val="right" w:leader="dot" w:pos="9350"/>
        </w:tabs>
        <w:rPr>
          <w:rFonts w:asciiTheme="minorHAnsi" w:eastAsiaTheme="minorEastAsia" w:hAnsiTheme="minorHAnsi"/>
          <w:noProof/>
          <w:sz w:val="22"/>
        </w:rPr>
      </w:pPr>
      <w:hyperlink w:anchor="_Toc350432823" w:history="1">
        <w:r w:rsidR="007B0E7D" w:rsidRPr="002E26E9">
          <w:rPr>
            <w:rStyle w:val="Hyperlink"/>
            <w:noProof/>
          </w:rPr>
          <w:t>9.</w:t>
        </w:r>
        <w:r w:rsidR="007B0E7D">
          <w:rPr>
            <w:rFonts w:asciiTheme="minorHAnsi" w:eastAsiaTheme="minorEastAsia" w:hAnsiTheme="minorHAnsi"/>
            <w:noProof/>
            <w:sz w:val="22"/>
          </w:rPr>
          <w:tab/>
          <w:t xml:space="preserve">    </w:t>
        </w:r>
        <w:r w:rsidR="007B0E7D" w:rsidRPr="002E26E9">
          <w:rPr>
            <w:rStyle w:val="Hyperlink"/>
            <w:rFonts w:eastAsia="Times New Roman"/>
            <w:noProof/>
          </w:rPr>
          <w:t>Explanation of Any Payment or Gift to Respondents</w:t>
        </w:r>
        <w:r w:rsidR="007B0E7D">
          <w:rPr>
            <w:noProof/>
            <w:webHidden/>
          </w:rPr>
          <w:tab/>
        </w:r>
      </w:hyperlink>
      <w:r w:rsidR="00A31FAE">
        <w:rPr>
          <w:noProof/>
        </w:rPr>
        <w:t>9</w:t>
      </w:r>
    </w:p>
    <w:p w14:paraId="06865D3F" w14:textId="77777777" w:rsidR="007B0E7D" w:rsidRDefault="00E9533A" w:rsidP="007B0E7D">
      <w:pPr>
        <w:pStyle w:val="TOC1"/>
        <w:tabs>
          <w:tab w:val="left" w:pos="660"/>
          <w:tab w:val="right" w:leader="dot" w:pos="9350"/>
        </w:tabs>
        <w:rPr>
          <w:rFonts w:asciiTheme="minorHAnsi" w:eastAsiaTheme="minorEastAsia" w:hAnsiTheme="minorHAnsi"/>
          <w:noProof/>
          <w:sz w:val="22"/>
        </w:rPr>
      </w:pPr>
      <w:hyperlink w:anchor="_Toc350432824" w:history="1">
        <w:r w:rsidR="007B0E7D" w:rsidRPr="002E26E9">
          <w:rPr>
            <w:rStyle w:val="Hyperlink"/>
            <w:noProof/>
          </w:rPr>
          <w:t>10.</w:t>
        </w:r>
        <w:r w:rsidR="007B0E7D">
          <w:rPr>
            <w:rFonts w:asciiTheme="minorHAnsi" w:eastAsiaTheme="minorEastAsia" w:hAnsiTheme="minorHAnsi"/>
            <w:noProof/>
            <w:sz w:val="22"/>
          </w:rPr>
          <w:tab/>
        </w:r>
        <w:r w:rsidR="00942101">
          <w:rPr>
            <w:rStyle w:val="Hyperlink"/>
            <w:noProof/>
          </w:rPr>
          <w:t xml:space="preserve">Protection of the Privacy and </w:t>
        </w:r>
        <w:r w:rsidR="00C34E0B">
          <w:rPr>
            <w:rStyle w:val="Hyperlink"/>
            <w:noProof/>
          </w:rPr>
          <w:t>C</w:t>
        </w:r>
        <w:r w:rsidR="00942101">
          <w:rPr>
            <w:rStyle w:val="Hyperlink"/>
            <w:noProof/>
          </w:rPr>
          <w:t>onfidentiality of Information Provided By Respondents</w:t>
        </w:r>
        <w:r w:rsidR="007B0E7D">
          <w:rPr>
            <w:noProof/>
            <w:webHidden/>
          </w:rPr>
          <w:tab/>
        </w:r>
      </w:hyperlink>
      <w:r w:rsidR="00A31FAE">
        <w:rPr>
          <w:noProof/>
        </w:rPr>
        <w:t>9</w:t>
      </w:r>
    </w:p>
    <w:p w14:paraId="6BB3E950" w14:textId="77777777" w:rsidR="007B0E7D" w:rsidRDefault="00E9533A" w:rsidP="007B0E7D">
      <w:pPr>
        <w:pStyle w:val="TOC1"/>
        <w:tabs>
          <w:tab w:val="left" w:pos="660"/>
          <w:tab w:val="right" w:leader="dot" w:pos="9350"/>
        </w:tabs>
        <w:rPr>
          <w:rFonts w:asciiTheme="minorHAnsi" w:eastAsiaTheme="minorEastAsia" w:hAnsiTheme="minorHAnsi"/>
          <w:noProof/>
          <w:sz w:val="22"/>
        </w:rPr>
      </w:pPr>
      <w:hyperlink w:anchor="_Toc350432825" w:history="1">
        <w:r w:rsidR="007B0E7D" w:rsidRPr="002E26E9">
          <w:rPr>
            <w:rStyle w:val="Hyperlink"/>
            <w:noProof/>
          </w:rPr>
          <w:t>11.</w:t>
        </w:r>
        <w:r w:rsidR="00942101">
          <w:rPr>
            <w:rFonts w:asciiTheme="minorHAnsi" w:eastAsiaTheme="minorEastAsia" w:hAnsiTheme="minorHAnsi"/>
            <w:noProof/>
            <w:sz w:val="22"/>
          </w:rPr>
          <w:tab/>
        </w:r>
        <w:r w:rsidR="00942101">
          <w:rPr>
            <w:rFonts w:eastAsiaTheme="minorEastAsia" w:cs="Times New Roman"/>
            <w:noProof/>
            <w:sz w:val="22"/>
          </w:rPr>
          <w:t xml:space="preserve">Institutional Review Board (IRB) </w:t>
        </w:r>
        <w:r w:rsidR="007B0E7D" w:rsidRPr="002E26E9">
          <w:rPr>
            <w:rStyle w:val="Hyperlink"/>
            <w:noProof/>
          </w:rPr>
          <w:t>Justification for Sensitive Questions</w:t>
        </w:r>
        <w:r w:rsidR="007B0E7D">
          <w:rPr>
            <w:noProof/>
            <w:webHidden/>
          </w:rPr>
          <w:tab/>
        </w:r>
      </w:hyperlink>
      <w:r w:rsidR="00A31FAE">
        <w:rPr>
          <w:noProof/>
        </w:rPr>
        <w:t>10</w:t>
      </w:r>
    </w:p>
    <w:p w14:paraId="700AA170" w14:textId="77777777" w:rsidR="007B0E7D" w:rsidRDefault="00E9533A" w:rsidP="007B0E7D">
      <w:pPr>
        <w:pStyle w:val="TOC1"/>
        <w:tabs>
          <w:tab w:val="left" w:pos="660"/>
          <w:tab w:val="right" w:leader="dot" w:pos="9350"/>
        </w:tabs>
        <w:rPr>
          <w:rFonts w:asciiTheme="minorHAnsi" w:eastAsiaTheme="minorEastAsia" w:hAnsiTheme="minorHAnsi"/>
          <w:noProof/>
          <w:sz w:val="22"/>
        </w:rPr>
      </w:pPr>
      <w:hyperlink w:anchor="_Toc350432826" w:history="1">
        <w:r w:rsidR="007B0E7D" w:rsidRPr="002E26E9">
          <w:rPr>
            <w:rStyle w:val="Hyperlink"/>
            <w:noProof/>
          </w:rPr>
          <w:t>12.</w:t>
        </w:r>
        <w:r w:rsidR="007B0E7D">
          <w:rPr>
            <w:rFonts w:asciiTheme="minorHAnsi" w:eastAsiaTheme="minorEastAsia" w:hAnsiTheme="minorHAnsi"/>
            <w:noProof/>
            <w:sz w:val="22"/>
          </w:rPr>
          <w:tab/>
        </w:r>
        <w:r w:rsidR="007B0E7D" w:rsidRPr="002E26E9">
          <w:rPr>
            <w:rStyle w:val="Hyperlink"/>
            <w:noProof/>
          </w:rPr>
          <w:t>Estimates of Annualized Burden Hours and Costs</w:t>
        </w:r>
        <w:r w:rsidR="007B0E7D">
          <w:rPr>
            <w:noProof/>
            <w:webHidden/>
          </w:rPr>
          <w:tab/>
        </w:r>
      </w:hyperlink>
      <w:r w:rsidR="00A31FAE">
        <w:rPr>
          <w:noProof/>
        </w:rPr>
        <w:t>10</w:t>
      </w:r>
    </w:p>
    <w:p w14:paraId="62E03DCC" w14:textId="77777777" w:rsidR="007B0E7D" w:rsidRDefault="00E9533A" w:rsidP="007B0E7D">
      <w:pPr>
        <w:pStyle w:val="TOC1"/>
        <w:tabs>
          <w:tab w:val="left" w:pos="660"/>
          <w:tab w:val="right" w:leader="dot" w:pos="9350"/>
        </w:tabs>
        <w:rPr>
          <w:rFonts w:asciiTheme="minorHAnsi" w:eastAsiaTheme="minorEastAsia" w:hAnsiTheme="minorHAnsi"/>
          <w:noProof/>
          <w:sz w:val="22"/>
        </w:rPr>
      </w:pPr>
      <w:hyperlink w:anchor="_Toc350432827" w:history="1">
        <w:r w:rsidR="007B0E7D" w:rsidRPr="002E26E9">
          <w:rPr>
            <w:rStyle w:val="Hyperlink"/>
            <w:noProof/>
          </w:rPr>
          <w:t>13.</w:t>
        </w:r>
        <w:r w:rsidR="007B0E7D">
          <w:rPr>
            <w:rFonts w:asciiTheme="minorHAnsi" w:eastAsiaTheme="minorEastAsia" w:hAnsiTheme="minorHAnsi"/>
            <w:noProof/>
            <w:sz w:val="22"/>
          </w:rPr>
          <w:tab/>
        </w:r>
        <w:r w:rsidR="007B0E7D" w:rsidRPr="002E26E9">
          <w:rPr>
            <w:rStyle w:val="Hyperlink"/>
            <w:noProof/>
          </w:rPr>
          <w:t>Estimates of Other total Annual Cost Burden to Respondents or Record Keepers</w:t>
        </w:r>
        <w:r w:rsidR="007B0E7D">
          <w:rPr>
            <w:noProof/>
            <w:webHidden/>
          </w:rPr>
          <w:tab/>
        </w:r>
      </w:hyperlink>
      <w:r w:rsidR="00793837">
        <w:rPr>
          <w:noProof/>
        </w:rPr>
        <w:t>12</w:t>
      </w:r>
    </w:p>
    <w:p w14:paraId="4FAF9B8B" w14:textId="77777777" w:rsidR="007B0E7D" w:rsidRDefault="00E9533A" w:rsidP="007B0E7D">
      <w:pPr>
        <w:pStyle w:val="TOC1"/>
        <w:tabs>
          <w:tab w:val="left" w:pos="660"/>
          <w:tab w:val="right" w:leader="dot" w:pos="9350"/>
        </w:tabs>
        <w:rPr>
          <w:rFonts w:asciiTheme="minorHAnsi" w:eastAsiaTheme="minorEastAsia" w:hAnsiTheme="minorHAnsi"/>
          <w:noProof/>
          <w:sz w:val="22"/>
        </w:rPr>
      </w:pPr>
      <w:hyperlink w:anchor="_Toc350432828" w:history="1">
        <w:r w:rsidR="007B0E7D" w:rsidRPr="002E26E9">
          <w:rPr>
            <w:rStyle w:val="Hyperlink"/>
            <w:noProof/>
          </w:rPr>
          <w:t>14.</w:t>
        </w:r>
        <w:r w:rsidR="007B0E7D">
          <w:rPr>
            <w:rFonts w:asciiTheme="minorHAnsi" w:eastAsiaTheme="minorEastAsia" w:hAnsiTheme="minorHAnsi"/>
            <w:noProof/>
            <w:sz w:val="22"/>
          </w:rPr>
          <w:tab/>
        </w:r>
        <w:r w:rsidR="007B0E7D" w:rsidRPr="002E26E9">
          <w:rPr>
            <w:rStyle w:val="Hyperlink"/>
            <w:noProof/>
          </w:rPr>
          <w:t>Annualized Cost to the Government</w:t>
        </w:r>
        <w:r w:rsidR="007B0E7D">
          <w:rPr>
            <w:noProof/>
            <w:webHidden/>
          </w:rPr>
          <w:tab/>
        </w:r>
      </w:hyperlink>
      <w:r w:rsidR="00793837">
        <w:rPr>
          <w:noProof/>
        </w:rPr>
        <w:t>12</w:t>
      </w:r>
    </w:p>
    <w:p w14:paraId="1EEEF492" w14:textId="77777777" w:rsidR="007B0E7D" w:rsidRDefault="00E9533A" w:rsidP="007B0E7D">
      <w:pPr>
        <w:pStyle w:val="TOC1"/>
        <w:tabs>
          <w:tab w:val="left" w:pos="660"/>
          <w:tab w:val="right" w:leader="dot" w:pos="9350"/>
        </w:tabs>
        <w:rPr>
          <w:rFonts w:asciiTheme="minorHAnsi" w:eastAsiaTheme="minorEastAsia" w:hAnsiTheme="minorHAnsi"/>
          <w:noProof/>
          <w:sz w:val="22"/>
        </w:rPr>
      </w:pPr>
      <w:hyperlink w:anchor="_Toc350432829" w:history="1">
        <w:r w:rsidR="007B0E7D" w:rsidRPr="002E26E9">
          <w:rPr>
            <w:rStyle w:val="Hyperlink"/>
            <w:noProof/>
          </w:rPr>
          <w:t>15.</w:t>
        </w:r>
        <w:r w:rsidR="007B0E7D">
          <w:rPr>
            <w:rFonts w:asciiTheme="minorHAnsi" w:eastAsiaTheme="minorEastAsia" w:hAnsiTheme="minorHAnsi"/>
            <w:noProof/>
            <w:sz w:val="22"/>
          </w:rPr>
          <w:tab/>
        </w:r>
        <w:r w:rsidR="007B0E7D" w:rsidRPr="002E26E9">
          <w:rPr>
            <w:rStyle w:val="Hyperlink"/>
            <w:noProof/>
          </w:rPr>
          <w:t>Explanation for Program Changes or Adjustments</w:t>
        </w:r>
        <w:r w:rsidR="007B0E7D">
          <w:rPr>
            <w:noProof/>
            <w:webHidden/>
          </w:rPr>
          <w:tab/>
        </w:r>
      </w:hyperlink>
      <w:r w:rsidR="00793837">
        <w:rPr>
          <w:noProof/>
        </w:rPr>
        <w:t>13</w:t>
      </w:r>
    </w:p>
    <w:p w14:paraId="50294D0B" w14:textId="77777777" w:rsidR="007B0E7D" w:rsidRDefault="00E9533A" w:rsidP="007B0E7D">
      <w:pPr>
        <w:pStyle w:val="TOC1"/>
        <w:tabs>
          <w:tab w:val="left" w:pos="660"/>
          <w:tab w:val="right" w:leader="dot" w:pos="9350"/>
        </w:tabs>
        <w:rPr>
          <w:rFonts w:asciiTheme="minorHAnsi" w:eastAsiaTheme="minorEastAsia" w:hAnsiTheme="minorHAnsi"/>
          <w:noProof/>
          <w:sz w:val="22"/>
        </w:rPr>
      </w:pPr>
      <w:hyperlink w:anchor="_Toc350432830" w:history="1">
        <w:r w:rsidR="007B0E7D" w:rsidRPr="002E26E9">
          <w:rPr>
            <w:rStyle w:val="Hyperlink"/>
            <w:noProof/>
          </w:rPr>
          <w:t>16.</w:t>
        </w:r>
        <w:r w:rsidR="007B0E7D">
          <w:rPr>
            <w:rFonts w:asciiTheme="minorHAnsi" w:eastAsiaTheme="minorEastAsia" w:hAnsiTheme="minorHAnsi"/>
            <w:noProof/>
            <w:sz w:val="22"/>
          </w:rPr>
          <w:tab/>
        </w:r>
        <w:r w:rsidR="007B0E7D" w:rsidRPr="002E26E9">
          <w:rPr>
            <w:rStyle w:val="Hyperlink"/>
            <w:noProof/>
          </w:rPr>
          <w:t>Plans for Tabulation and Publication and Project Time Schedule</w:t>
        </w:r>
        <w:r w:rsidR="007B0E7D">
          <w:rPr>
            <w:noProof/>
            <w:webHidden/>
          </w:rPr>
          <w:tab/>
        </w:r>
      </w:hyperlink>
      <w:r w:rsidR="00793837">
        <w:rPr>
          <w:noProof/>
        </w:rPr>
        <w:t>13</w:t>
      </w:r>
    </w:p>
    <w:p w14:paraId="5B7D8E30" w14:textId="77777777" w:rsidR="007B0E7D" w:rsidRDefault="00E9533A" w:rsidP="007B0E7D">
      <w:pPr>
        <w:pStyle w:val="TOC1"/>
        <w:tabs>
          <w:tab w:val="left" w:pos="660"/>
          <w:tab w:val="right" w:leader="dot" w:pos="9350"/>
        </w:tabs>
        <w:rPr>
          <w:rFonts w:asciiTheme="minorHAnsi" w:eastAsiaTheme="minorEastAsia" w:hAnsiTheme="minorHAnsi"/>
          <w:noProof/>
          <w:sz w:val="22"/>
        </w:rPr>
      </w:pPr>
      <w:hyperlink w:anchor="_Toc350432831" w:history="1">
        <w:r w:rsidR="007B0E7D" w:rsidRPr="002E26E9">
          <w:rPr>
            <w:rStyle w:val="Hyperlink"/>
            <w:rFonts w:eastAsia="Times New Roman"/>
            <w:noProof/>
          </w:rPr>
          <w:t>17.</w:t>
        </w:r>
        <w:r w:rsidR="007B0E7D">
          <w:rPr>
            <w:rFonts w:asciiTheme="minorHAnsi" w:eastAsiaTheme="minorEastAsia" w:hAnsiTheme="minorHAnsi"/>
            <w:noProof/>
            <w:sz w:val="22"/>
          </w:rPr>
          <w:tab/>
        </w:r>
        <w:r w:rsidR="007B0E7D" w:rsidRPr="002E26E9">
          <w:rPr>
            <w:rStyle w:val="Hyperlink"/>
            <w:rFonts w:eastAsia="Times New Roman"/>
            <w:noProof/>
          </w:rPr>
          <w:t>Reason(s) Display of OMB Expiration Date is Inappropriate</w:t>
        </w:r>
        <w:r w:rsidR="007B0E7D">
          <w:rPr>
            <w:noProof/>
            <w:webHidden/>
          </w:rPr>
          <w:tab/>
        </w:r>
      </w:hyperlink>
      <w:r w:rsidR="00793837">
        <w:rPr>
          <w:noProof/>
        </w:rPr>
        <w:t>16</w:t>
      </w:r>
    </w:p>
    <w:p w14:paraId="7AC4B68E" w14:textId="77777777" w:rsidR="007B0E7D" w:rsidRDefault="00E9533A" w:rsidP="007B0E7D">
      <w:pPr>
        <w:pStyle w:val="TOC1"/>
        <w:tabs>
          <w:tab w:val="left" w:pos="660"/>
          <w:tab w:val="right" w:leader="dot" w:pos="9350"/>
        </w:tabs>
        <w:rPr>
          <w:rFonts w:asciiTheme="minorHAnsi" w:eastAsiaTheme="minorEastAsia" w:hAnsiTheme="minorHAnsi"/>
          <w:noProof/>
          <w:sz w:val="22"/>
        </w:rPr>
      </w:pPr>
      <w:hyperlink w:anchor="_Toc350432832" w:history="1">
        <w:r w:rsidR="007B0E7D" w:rsidRPr="002E26E9">
          <w:rPr>
            <w:rStyle w:val="Hyperlink"/>
            <w:rFonts w:eastAsia="Times New Roman"/>
            <w:noProof/>
          </w:rPr>
          <w:t>18.</w:t>
        </w:r>
        <w:r w:rsidR="007B0E7D">
          <w:rPr>
            <w:rFonts w:asciiTheme="minorHAnsi" w:eastAsiaTheme="minorEastAsia" w:hAnsiTheme="minorHAnsi"/>
            <w:noProof/>
            <w:sz w:val="22"/>
          </w:rPr>
          <w:tab/>
        </w:r>
        <w:r w:rsidR="007B0E7D" w:rsidRPr="002E26E9">
          <w:rPr>
            <w:rStyle w:val="Hyperlink"/>
            <w:rFonts w:eastAsia="Times New Roman"/>
            <w:noProof/>
          </w:rPr>
          <w:t>Exceptions to Certification for Paperwork Reduction Act Submissions</w:t>
        </w:r>
        <w:r w:rsidR="007B0E7D">
          <w:rPr>
            <w:noProof/>
            <w:webHidden/>
          </w:rPr>
          <w:tab/>
        </w:r>
      </w:hyperlink>
      <w:r w:rsidR="00793837">
        <w:rPr>
          <w:noProof/>
        </w:rPr>
        <w:t>16</w:t>
      </w:r>
    </w:p>
    <w:p w14:paraId="679C4DBC" w14:textId="77777777" w:rsidR="007B7F22" w:rsidRDefault="007B0E7D" w:rsidP="007B0E7D">
      <w:pPr>
        <w:jc w:val="center"/>
        <w:rPr>
          <w:rFonts w:cs="Times New Roman"/>
          <w:b/>
          <w:sz w:val="28"/>
          <w:szCs w:val="28"/>
        </w:rPr>
      </w:pPr>
      <w:r>
        <w:rPr>
          <w:rFonts w:cs="Times New Roman"/>
          <w:b/>
          <w:sz w:val="28"/>
          <w:szCs w:val="28"/>
        </w:rPr>
        <w:fldChar w:fldCharType="end"/>
      </w:r>
    </w:p>
    <w:p w14:paraId="725F11B7" w14:textId="77777777" w:rsidR="007B7F22" w:rsidRDefault="007B7F22">
      <w:pPr>
        <w:rPr>
          <w:rFonts w:cs="Times New Roman"/>
          <w:b/>
          <w:sz w:val="28"/>
          <w:szCs w:val="28"/>
        </w:rPr>
      </w:pPr>
      <w:r>
        <w:rPr>
          <w:rFonts w:cs="Times New Roman"/>
          <w:b/>
          <w:sz w:val="28"/>
          <w:szCs w:val="28"/>
        </w:rPr>
        <w:br w:type="page"/>
      </w:r>
    </w:p>
    <w:p w14:paraId="44379350" w14:textId="77777777" w:rsidR="007B7F22" w:rsidRDefault="007B7F22" w:rsidP="007B0E7D">
      <w:pPr>
        <w:jc w:val="center"/>
        <w:rPr>
          <w:rFonts w:ascii="Times New Roman" w:hAnsi="Times New Roman" w:cs="Times New Roman"/>
          <w:sz w:val="24"/>
          <w:szCs w:val="24"/>
        </w:rPr>
      </w:pPr>
      <w:r>
        <w:rPr>
          <w:rFonts w:ascii="Times New Roman" w:hAnsi="Times New Roman" w:cs="Times New Roman"/>
          <w:sz w:val="24"/>
          <w:szCs w:val="24"/>
        </w:rPr>
        <w:lastRenderedPageBreak/>
        <w:t>List of Attachments</w:t>
      </w:r>
    </w:p>
    <w:p w14:paraId="231B4B64" w14:textId="77777777" w:rsidR="00D37002" w:rsidRPr="00D37002" w:rsidRDefault="004F6931" w:rsidP="00D37002">
      <w:pPr>
        <w:rPr>
          <w:rFonts w:ascii="Times New Roman" w:hAnsi="Times New Roman" w:cs="Times New Roman"/>
          <w:sz w:val="24"/>
          <w:szCs w:val="24"/>
        </w:rPr>
      </w:pPr>
      <w:r>
        <w:rPr>
          <w:rFonts w:ascii="Times New Roman" w:hAnsi="Times New Roman" w:cs="Times New Roman"/>
          <w:sz w:val="24"/>
          <w:szCs w:val="24"/>
        </w:rPr>
        <w:t>Attachment</w:t>
      </w:r>
      <w:r w:rsidR="00D37002" w:rsidRPr="00D37002">
        <w:rPr>
          <w:rFonts w:ascii="Times New Roman" w:hAnsi="Times New Roman" w:cs="Times New Roman"/>
          <w:sz w:val="24"/>
          <w:szCs w:val="24"/>
        </w:rPr>
        <w:t xml:space="preserve"> A – Applicable Laws and Regulation</w:t>
      </w:r>
    </w:p>
    <w:p w14:paraId="6928014F" w14:textId="77777777" w:rsidR="00D37002" w:rsidRPr="00D37002" w:rsidRDefault="004F6931" w:rsidP="00D37002">
      <w:pPr>
        <w:rPr>
          <w:rFonts w:ascii="Times New Roman" w:hAnsi="Times New Roman" w:cs="Times New Roman"/>
          <w:sz w:val="24"/>
          <w:szCs w:val="24"/>
        </w:rPr>
      </w:pPr>
      <w:r w:rsidRPr="004F6931">
        <w:rPr>
          <w:rFonts w:ascii="Times New Roman" w:hAnsi="Times New Roman" w:cs="Times New Roman"/>
          <w:sz w:val="24"/>
          <w:szCs w:val="24"/>
        </w:rPr>
        <w:t xml:space="preserve">Attachment </w:t>
      </w:r>
      <w:r w:rsidR="00D37002" w:rsidRPr="00D37002">
        <w:rPr>
          <w:rFonts w:ascii="Times New Roman" w:hAnsi="Times New Roman" w:cs="Times New Roman"/>
          <w:sz w:val="24"/>
          <w:szCs w:val="24"/>
        </w:rPr>
        <w:t>B – 60 Day Federal Register Notice</w:t>
      </w:r>
    </w:p>
    <w:p w14:paraId="3EC72691" w14:textId="77777777" w:rsidR="00D37002" w:rsidRPr="00D37002" w:rsidRDefault="004F6931" w:rsidP="00D37002">
      <w:pPr>
        <w:rPr>
          <w:rFonts w:ascii="Times New Roman" w:hAnsi="Times New Roman" w:cs="Times New Roman"/>
          <w:sz w:val="24"/>
          <w:szCs w:val="24"/>
        </w:rPr>
      </w:pPr>
      <w:r w:rsidRPr="004F6931">
        <w:rPr>
          <w:rFonts w:ascii="Times New Roman" w:hAnsi="Times New Roman" w:cs="Times New Roman"/>
          <w:sz w:val="24"/>
          <w:szCs w:val="24"/>
        </w:rPr>
        <w:t>Attachment</w:t>
      </w:r>
      <w:r w:rsidR="00D37002" w:rsidRPr="00D37002">
        <w:rPr>
          <w:rFonts w:ascii="Times New Roman" w:hAnsi="Times New Roman" w:cs="Times New Roman"/>
          <w:sz w:val="24"/>
          <w:szCs w:val="24"/>
        </w:rPr>
        <w:t xml:space="preserve"> C – </w:t>
      </w:r>
      <w:r w:rsidR="00F519F0">
        <w:rPr>
          <w:rFonts w:ascii="Times New Roman" w:hAnsi="Times New Roman" w:cs="Times New Roman"/>
          <w:sz w:val="24"/>
          <w:szCs w:val="24"/>
        </w:rPr>
        <w:t>Demographic Questionnaire</w:t>
      </w:r>
      <w:r w:rsidR="00D37002" w:rsidRPr="00D37002">
        <w:rPr>
          <w:rFonts w:ascii="Times New Roman" w:hAnsi="Times New Roman" w:cs="Times New Roman"/>
          <w:sz w:val="24"/>
          <w:szCs w:val="24"/>
        </w:rPr>
        <w:t xml:space="preserve"> </w:t>
      </w:r>
    </w:p>
    <w:p w14:paraId="791F4D9B" w14:textId="77777777" w:rsidR="00D37002" w:rsidRPr="00D37002" w:rsidRDefault="004F6931" w:rsidP="00D37002">
      <w:pPr>
        <w:rPr>
          <w:rFonts w:ascii="Times New Roman" w:hAnsi="Times New Roman" w:cs="Times New Roman"/>
          <w:sz w:val="24"/>
          <w:szCs w:val="24"/>
        </w:rPr>
      </w:pPr>
      <w:r w:rsidRPr="004F6931">
        <w:rPr>
          <w:rFonts w:ascii="Times New Roman" w:hAnsi="Times New Roman" w:cs="Times New Roman"/>
          <w:sz w:val="24"/>
          <w:szCs w:val="24"/>
        </w:rPr>
        <w:t>Attachment</w:t>
      </w:r>
      <w:r w:rsidR="00D37002" w:rsidRPr="00D37002">
        <w:rPr>
          <w:rFonts w:ascii="Times New Roman" w:hAnsi="Times New Roman" w:cs="Times New Roman"/>
          <w:sz w:val="24"/>
          <w:szCs w:val="24"/>
        </w:rPr>
        <w:t xml:space="preserve"> D – </w:t>
      </w:r>
      <w:r w:rsidR="00F519F0">
        <w:rPr>
          <w:rFonts w:ascii="Times New Roman" w:hAnsi="Times New Roman" w:cs="Times New Roman"/>
          <w:sz w:val="24"/>
          <w:szCs w:val="24"/>
        </w:rPr>
        <w:t>Data Collection Pre-Screening Questionnaire</w:t>
      </w:r>
    </w:p>
    <w:p w14:paraId="40F137B5" w14:textId="77777777" w:rsidR="00D37002" w:rsidRPr="00D37002" w:rsidRDefault="004F6931" w:rsidP="00D37002">
      <w:pPr>
        <w:rPr>
          <w:rFonts w:ascii="Times New Roman" w:hAnsi="Times New Roman" w:cs="Times New Roman"/>
          <w:sz w:val="24"/>
          <w:szCs w:val="24"/>
        </w:rPr>
      </w:pPr>
      <w:r w:rsidRPr="004F6931">
        <w:rPr>
          <w:rFonts w:ascii="Times New Roman" w:hAnsi="Times New Roman" w:cs="Times New Roman"/>
          <w:sz w:val="24"/>
          <w:szCs w:val="24"/>
        </w:rPr>
        <w:t xml:space="preserve">Attachment </w:t>
      </w:r>
      <w:r w:rsidR="00D37002" w:rsidRPr="00D37002">
        <w:rPr>
          <w:rFonts w:ascii="Times New Roman" w:hAnsi="Times New Roman" w:cs="Times New Roman"/>
          <w:sz w:val="24"/>
          <w:szCs w:val="24"/>
        </w:rPr>
        <w:t xml:space="preserve">E – </w:t>
      </w:r>
      <w:r w:rsidR="00F519F0">
        <w:rPr>
          <w:rFonts w:ascii="Times New Roman" w:hAnsi="Times New Roman" w:cs="Times New Roman"/>
          <w:sz w:val="24"/>
          <w:szCs w:val="24"/>
        </w:rPr>
        <w:t>Risk Assessment Measure</w:t>
      </w:r>
    </w:p>
    <w:p w14:paraId="00F2F319" w14:textId="77777777" w:rsidR="00D37002" w:rsidRPr="00D37002" w:rsidRDefault="004F6931" w:rsidP="00D37002">
      <w:pPr>
        <w:rPr>
          <w:rFonts w:ascii="Times New Roman" w:hAnsi="Times New Roman" w:cs="Times New Roman"/>
          <w:sz w:val="24"/>
          <w:szCs w:val="24"/>
        </w:rPr>
      </w:pPr>
      <w:r w:rsidRPr="004F6931">
        <w:rPr>
          <w:rFonts w:ascii="Times New Roman" w:hAnsi="Times New Roman" w:cs="Times New Roman"/>
          <w:sz w:val="24"/>
          <w:szCs w:val="24"/>
        </w:rPr>
        <w:t>Attachment</w:t>
      </w:r>
      <w:r w:rsidR="00D37002" w:rsidRPr="00D37002">
        <w:rPr>
          <w:rFonts w:ascii="Times New Roman" w:hAnsi="Times New Roman" w:cs="Times New Roman"/>
          <w:sz w:val="24"/>
          <w:szCs w:val="24"/>
        </w:rPr>
        <w:t xml:space="preserve"> F – </w:t>
      </w:r>
      <w:r w:rsidR="00F519F0">
        <w:rPr>
          <w:rFonts w:ascii="Times New Roman" w:hAnsi="Times New Roman" w:cs="Times New Roman"/>
          <w:sz w:val="24"/>
          <w:szCs w:val="24"/>
        </w:rPr>
        <w:t>Risk Propensity Scale</w:t>
      </w:r>
    </w:p>
    <w:p w14:paraId="0364BF7B" w14:textId="77777777" w:rsidR="00D37002" w:rsidRPr="00D37002" w:rsidRDefault="004F6931" w:rsidP="00D37002">
      <w:pPr>
        <w:rPr>
          <w:rFonts w:ascii="Times New Roman" w:hAnsi="Times New Roman" w:cs="Times New Roman"/>
          <w:sz w:val="24"/>
          <w:szCs w:val="24"/>
        </w:rPr>
      </w:pPr>
      <w:r w:rsidRPr="004F6931">
        <w:rPr>
          <w:rFonts w:ascii="Times New Roman" w:hAnsi="Times New Roman" w:cs="Times New Roman"/>
          <w:sz w:val="24"/>
          <w:szCs w:val="24"/>
        </w:rPr>
        <w:t>Attachment</w:t>
      </w:r>
      <w:r w:rsidR="00D37002" w:rsidRPr="00D37002">
        <w:rPr>
          <w:rFonts w:ascii="Times New Roman" w:hAnsi="Times New Roman" w:cs="Times New Roman"/>
          <w:sz w:val="24"/>
          <w:szCs w:val="24"/>
        </w:rPr>
        <w:t xml:space="preserve"> G – </w:t>
      </w:r>
      <w:r w:rsidR="00F519F0">
        <w:rPr>
          <w:rFonts w:ascii="Times New Roman" w:hAnsi="Times New Roman" w:cs="Times New Roman"/>
          <w:sz w:val="24"/>
          <w:szCs w:val="24"/>
        </w:rPr>
        <w:t>Mine Specific Risk Tolerance Measure</w:t>
      </w:r>
    </w:p>
    <w:p w14:paraId="4B128A68" w14:textId="77777777" w:rsidR="00D37002" w:rsidRPr="00D37002" w:rsidRDefault="004F6931" w:rsidP="00D37002">
      <w:pPr>
        <w:rPr>
          <w:rFonts w:ascii="Times New Roman" w:hAnsi="Times New Roman" w:cs="Times New Roman"/>
          <w:sz w:val="24"/>
          <w:szCs w:val="24"/>
        </w:rPr>
      </w:pPr>
      <w:r w:rsidRPr="004F6931">
        <w:rPr>
          <w:rFonts w:ascii="Times New Roman" w:hAnsi="Times New Roman" w:cs="Times New Roman"/>
          <w:sz w:val="24"/>
          <w:szCs w:val="24"/>
        </w:rPr>
        <w:t>Attachment</w:t>
      </w:r>
      <w:r w:rsidR="00D37002" w:rsidRPr="00D37002">
        <w:rPr>
          <w:rFonts w:ascii="Times New Roman" w:hAnsi="Times New Roman" w:cs="Times New Roman"/>
          <w:sz w:val="24"/>
          <w:szCs w:val="24"/>
        </w:rPr>
        <w:t xml:space="preserve"> H – </w:t>
      </w:r>
      <w:r w:rsidR="00F519F0">
        <w:rPr>
          <w:rFonts w:ascii="Times New Roman" w:hAnsi="Times New Roman" w:cs="Times New Roman"/>
          <w:sz w:val="24"/>
          <w:szCs w:val="24"/>
        </w:rPr>
        <w:t>Qualitative/Open-ended Questions</w:t>
      </w:r>
    </w:p>
    <w:p w14:paraId="21548A03" w14:textId="77777777" w:rsidR="00D37002" w:rsidRDefault="004F6931" w:rsidP="00D37002">
      <w:pPr>
        <w:rPr>
          <w:rFonts w:ascii="Times New Roman" w:hAnsi="Times New Roman" w:cs="Times New Roman"/>
          <w:sz w:val="24"/>
          <w:szCs w:val="24"/>
        </w:rPr>
      </w:pPr>
      <w:r w:rsidRPr="004F6931">
        <w:rPr>
          <w:rFonts w:ascii="Times New Roman" w:hAnsi="Times New Roman" w:cs="Times New Roman"/>
          <w:sz w:val="24"/>
          <w:szCs w:val="24"/>
        </w:rPr>
        <w:t>Attachment</w:t>
      </w:r>
      <w:r w:rsidR="00D37002" w:rsidRPr="00D37002">
        <w:rPr>
          <w:rFonts w:ascii="Times New Roman" w:hAnsi="Times New Roman" w:cs="Times New Roman"/>
          <w:sz w:val="24"/>
          <w:szCs w:val="24"/>
        </w:rPr>
        <w:t xml:space="preserve"> I – </w:t>
      </w:r>
      <w:r w:rsidR="00F519F0">
        <w:rPr>
          <w:rFonts w:ascii="Times New Roman" w:hAnsi="Times New Roman" w:cs="Times New Roman"/>
          <w:sz w:val="24"/>
          <w:szCs w:val="24"/>
        </w:rPr>
        <w:t>Informed Consent</w:t>
      </w:r>
    </w:p>
    <w:p w14:paraId="433F6197" w14:textId="77777777" w:rsidR="000248DA" w:rsidRDefault="004F6931" w:rsidP="00D37002">
      <w:pPr>
        <w:rPr>
          <w:rFonts w:ascii="Times New Roman" w:hAnsi="Times New Roman" w:cs="Times New Roman"/>
          <w:sz w:val="24"/>
          <w:szCs w:val="24"/>
        </w:rPr>
      </w:pPr>
      <w:r w:rsidRPr="004F6931">
        <w:rPr>
          <w:rFonts w:ascii="Times New Roman" w:hAnsi="Times New Roman" w:cs="Times New Roman"/>
          <w:sz w:val="24"/>
          <w:szCs w:val="24"/>
        </w:rPr>
        <w:t>Attachment</w:t>
      </w:r>
      <w:r w:rsidR="000248DA">
        <w:rPr>
          <w:rFonts w:ascii="Times New Roman" w:hAnsi="Times New Roman" w:cs="Times New Roman"/>
          <w:sz w:val="24"/>
          <w:szCs w:val="24"/>
        </w:rPr>
        <w:t xml:space="preserve"> J – IRB Approval Letter</w:t>
      </w:r>
      <w:r w:rsidR="0066677A">
        <w:rPr>
          <w:rFonts w:ascii="Times New Roman" w:hAnsi="Times New Roman" w:cs="Times New Roman"/>
          <w:sz w:val="24"/>
          <w:szCs w:val="24"/>
        </w:rPr>
        <w:t>\</w:t>
      </w:r>
    </w:p>
    <w:p w14:paraId="718FC926" w14:textId="77777777" w:rsidR="0066677A" w:rsidRPr="00D37002" w:rsidRDefault="0066677A" w:rsidP="00D37002">
      <w:pPr>
        <w:rPr>
          <w:rFonts w:ascii="Times New Roman" w:hAnsi="Times New Roman" w:cs="Times New Roman"/>
          <w:sz w:val="24"/>
          <w:szCs w:val="24"/>
        </w:rPr>
      </w:pPr>
      <w:r>
        <w:rPr>
          <w:rFonts w:ascii="Times New Roman" w:hAnsi="Times New Roman" w:cs="Times New Roman"/>
          <w:sz w:val="24"/>
          <w:szCs w:val="24"/>
        </w:rPr>
        <w:t xml:space="preserve">Attachment K- Experimental Task </w:t>
      </w:r>
    </w:p>
    <w:p w14:paraId="3424BB34" w14:textId="77777777" w:rsidR="007B7F22" w:rsidRDefault="007B7F22" w:rsidP="00D37002">
      <w:pPr>
        <w:rPr>
          <w:rFonts w:ascii="Times New Roman" w:hAnsi="Times New Roman" w:cs="Times New Roman"/>
          <w:sz w:val="24"/>
          <w:szCs w:val="24"/>
        </w:rPr>
      </w:pPr>
      <w:r>
        <w:rPr>
          <w:rFonts w:ascii="Times New Roman" w:hAnsi="Times New Roman" w:cs="Times New Roman"/>
          <w:sz w:val="24"/>
          <w:szCs w:val="24"/>
        </w:rPr>
        <w:br w:type="page"/>
      </w:r>
    </w:p>
    <w:p w14:paraId="002E923C" w14:textId="77777777" w:rsidR="00702D6D" w:rsidRDefault="00702D6D" w:rsidP="007B7F22">
      <w:pPr>
        <w:spacing w:before="48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2C6AA8" wp14:editId="5F0481AD">
            <wp:extent cx="5668010" cy="37153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8010" cy="3715385"/>
                    </a:xfrm>
                    <a:prstGeom prst="rect">
                      <a:avLst/>
                    </a:prstGeom>
                    <a:noFill/>
                  </pic:spPr>
                </pic:pic>
              </a:graphicData>
            </a:graphic>
          </wp:inline>
        </w:drawing>
      </w:r>
    </w:p>
    <w:p w14:paraId="15ACC132" w14:textId="77777777" w:rsidR="007B7F22" w:rsidRPr="007B7F22" w:rsidRDefault="007B7F22" w:rsidP="007B7F22">
      <w:pPr>
        <w:spacing w:before="480"/>
        <w:rPr>
          <w:rFonts w:ascii="Times New Roman" w:hAnsi="Times New Roman" w:cs="Times New Roman"/>
          <w:sz w:val="24"/>
          <w:szCs w:val="24"/>
        </w:rPr>
      </w:pPr>
      <w:r w:rsidRPr="007B7F22">
        <w:rPr>
          <w:rFonts w:ascii="Times New Roman" w:hAnsi="Times New Roman" w:cs="Times New Roman"/>
          <w:sz w:val="24"/>
          <w:szCs w:val="24"/>
        </w:rPr>
        <w:t xml:space="preserve">The Center for Disease Control and Prevention (CDC) </w:t>
      </w:r>
      <w:r w:rsidR="00702D6D">
        <w:rPr>
          <w:rFonts w:ascii="Times New Roman" w:hAnsi="Times New Roman" w:cs="Times New Roman"/>
          <w:sz w:val="24"/>
          <w:szCs w:val="24"/>
        </w:rPr>
        <w:t>the National Institute for Occupational Safety and Health (NIOSH) Mining Program request</w:t>
      </w:r>
      <w:r w:rsidRPr="007B7F22">
        <w:rPr>
          <w:rFonts w:ascii="Times New Roman" w:hAnsi="Times New Roman" w:cs="Times New Roman"/>
          <w:sz w:val="24"/>
          <w:szCs w:val="24"/>
        </w:rPr>
        <w:t xml:space="preserve"> OMB approval </w:t>
      </w:r>
      <w:r w:rsidR="00702D6D" w:rsidRPr="007B7F22">
        <w:rPr>
          <w:rFonts w:ascii="Times New Roman" w:hAnsi="Times New Roman" w:cs="Times New Roman"/>
          <w:sz w:val="24"/>
          <w:szCs w:val="24"/>
        </w:rPr>
        <w:t xml:space="preserve">for a </w:t>
      </w:r>
      <w:r w:rsidR="002B19A5">
        <w:rPr>
          <w:rFonts w:ascii="Times New Roman" w:hAnsi="Times New Roman" w:cs="Times New Roman"/>
          <w:sz w:val="24"/>
          <w:szCs w:val="24"/>
        </w:rPr>
        <w:t>2</w:t>
      </w:r>
      <w:r w:rsidR="00702D6D" w:rsidRPr="007B7F22">
        <w:rPr>
          <w:rFonts w:ascii="Times New Roman" w:hAnsi="Times New Roman" w:cs="Times New Roman"/>
          <w:sz w:val="24"/>
          <w:szCs w:val="24"/>
        </w:rPr>
        <w:t xml:space="preserve">-year period </w:t>
      </w:r>
      <w:r w:rsidR="00702D6D">
        <w:rPr>
          <w:rFonts w:ascii="Times New Roman" w:hAnsi="Times New Roman" w:cs="Times New Roman"/>
          <w:sz w:val="24"/>
          <w:szCs w:val="24"/>
        </w:rPr>
        <w:t>of a new ICR</w:t>
      </w:r>
      <w:r w:rsidRPr="007B7F22">
        <w:rPr>
          <w:rFonts w:ascii="Times New Roman" w:hAnsi="Times New Roman" w:cs="Times New Roman"/>
          <w:sz w:val="24"/>
          <w:szCs w:val="24"/>
        </w:rPr>
        <w:t xml:space="preserve">.  </w:t>
      </w:r>
    </w:p>
    <w:p w14:paraId="1F7C53E3" w14:textId="77777777" w:rsidR="007B7F22" w:rsidRDefault="007B7F22" w:rsidP="007B7F22">
      <w:pPr>
        <w:pStyle w:val="Title"/>
      </w:pPr>
      <w:r w:rsidRPr="00917811">
        <w:t>Justification</w:t>
      </w:r>
    </w:p>
    <w:p w14:paraId="7FAB0090" w14:textId="77777777" w:rsidR="007B7F22" w:rsidRDefault="007B7F22" w:rsidP="007B7F22">
      <w:pPr>
        <w:pStyle w:val="Heading1"/>
      </w:pPr>
      <w:bookmarkStart w:id="0" w:name="_Toc350432815"/>
      <w:r w:rsidRPr="00917811">
        <w:t>Circumstances Making the Collection of Information Necessary</w:t>
      </w:r>
      <w:bookmarkEnd w:id="0"/>
    </w:p>
    <w:p w14:paraId="5E418334" w14:textId="77777777" w:rsidR="007B7F22" w:rsidRDefault="007B7F22" w:rsidP="007B7F22">
      <w:pPr>
        <w:rPr>
          <w:rFonts w:ascii="Times New Roman" w:hAnsi="Times New Roman" w:cs="Times New Roman"/>
          <w:b/>
          <w:sz w:val="28"/>
          <w:szCs w:val="28"/>
          <w:u w:val="single"/>
        </w:rPr>
      </w:pPr>
      <w:r w:rsidRPr="007B7F22">
        <w:rPr>
          <w:rFonts w:ascii="Times New Roman" w:hAnsi="Times New Roman" w:cs="Times New Roman"/>
          <w:b/>
          <w:sz w:val="28"/>
          <w:szCs w:val="28"/>
          <w:u w:val="single"/>
        </w:rPr>
        <w:t>Background</w:t>
      </w:r>
    </w:p>
    <w:p w14:paraId="12535B81" w14:textId="77777777" w:rsidR="007B7F22" w:rsidRDefault="007B7F22" w:rsidP="007B7F22">
      <w:pPr>
        <w:rPr>
          <w:rFonts w:ascii="Times New Roman" w:hAnsi="Times New Roman" w:cs="Times New Roman"/>
          <w:sz w:val="24"/>
          <w:szCs w:val="24"/>
        </w:rPr>
      </w:pPr>
      <w:r w:rsidRPr="007B7F22">
        <w:rPr>
          <w:rFonts w:ascii="Times New Roman" w:hAnsi="Times New Roman" w:cs="Times New Roman"/>
          <w:sz w:val="24"/>
          <w:szCs w:val="24"/>
        </w:rPr>
        <w:t>This information collection request (ICR) is a new request. This collection request describes data collection tasks under the project entitled “</w:t>
      </w:r>
      <w:r>
        <w:rPr>
          <w:rFonts w:ascii="Times New Roman" w:hAnsi="Times New Roman" w:cs="Times New Roman"/>
          <w:sz w:val="24"/>
          <w:szCs w:val="24"/>
        </w:rPr>
        <w:t>Enhancing Mine Workers’ Abilities to Identify Hazards at Sand, Stone, and Gravel Mines</w:t>
      </w:r>
      <w:r w:rsidRPr="007B7F22">
        <w:rPr>
          <w:rFonts w:ascii="Times New Roman" w:hAnsi="Times New Roman" w:cs="Times New Roman"/>
          <w:sz w:val="24"/>
          <w:szCs w:val="24"/>
        </w:rPr>
        <w:t xml:space="preserve">.” This study is being conducted by the National Institute for Occupational Safety and Health. NIOSH, under P.L. 91-173 as amended by PL 95 -164 (Federal Mine Safety and Health Act of 1977), and PL 109-236 (Mine Improvement and New Emergency Response Act of 2006) </w:t>
      </w:r>
      <w:r w:rsidRPr="002B19A5">
        <w:rPr>
          <w:rFonts w:ascii="Times New Roman" w:hAnsi="Times New Roman" w:cs="Times New Roman"/>
          <w:b/>
          <w:sz w:val="24"/>
          <w:szCs w:val="24"/>
        </w:rPr>
        <w:t>(See Attachment A)</w:t>
      </w:r>
      <w:r w:rsidRPr="007B7F22">
        <w:rPr>
          <w:rFonts w:ascii="Times New Roman" w:hAnsi="Times New Roman" w:cs="Times New Roman"/>
          <w:sz w:val="24"/>
          <w:szCs w:val="24"/>
        </w:rPr>
        <w:t xml:space="preserve"> has the responsibility to conduct research to improve working conditions and to prevent accidents and occupational diseases in underground coal and metal/nonmetal mines in the U.S.</w:t>
      </w:r>
    </w:p>
    <w:p w14:paraId="22EA0FC6" w14:textId="4BC9AF77" w:rsidR="00ED3136" w:rsidRPr="00ED3136" w:rsidRDefault="00ED3136" w:rsidP="00ED3136">
      <w:pPr>
        <w:rPr>
          <w:rFonts w:ascii="Times New Roman" w:hAnsi="Times New Roman" w:cs="Times New Roman"/>
          <w:sz w:val="24"/>
          <w:szCs w:val="24"/>
        </w:rPr>
      </w:pPr>
      <w:r w:rsidRPr="00ED3136">
        <w:rPr>
          <w:rFonts w:ascii="Times New Roman" w:hAnsi="Times New Roman" w:cs="Times New Roman"/>
          <w:sz w:val="24"/>
          <w:szCs w:val="24"/>
        </w:rPr>
        <w:t xml:space="preserve">For the years 2007–2011, the average number of occupational injuries that resulted in the loss of one or more days from the employee’s scheduled work, or days of limited or restricted activity while at work (non-fatal days lost - NFDL) reported by the Mine Safety and Health Administration (MSHA) for the stone mining industry was 2.3.  Comparatively, the average number of NFDL injuries reported during that same time period for all U.S. private industry workers was 1.9 (Bureau of Labor Statistics, BLS). </w:t>
      </w:r>
      <w:r w:rsidR="00642EE1">
        <w:rPr>
          <w:rFonts w:ascii="Times New Roman" w:hAnsi="Times New Roman" w:cs="Times New Roman"/>
          <w:sz w:val="24"/>
          <w:szCs w:val="24"/>
        </w:rPr>
        <w:t>Research</w:t>
      </w:r>
      <w:r w:rsidR="00642EE1" w:rsidRPr="00ED3136">
        <w:rPr>
          <w:rFonts w:ascii="Times New Roman" w:hAnsi="Times New Roman" w:cs="Times New Roman"/>
          <w:sz w:val="24"/>
          <w:szCs w:val="24"/>
        </w:rPr>
        <w:t xml:space="preserve"> </w:t>
      </w:r>
      <w:r w:rsidRPr="00ED3136">
        <w:rPr>
          <w:rFonts w:ascii="Times New Roman" w:hAnsi="Times New Roman" w:cs="Times New Roman"/>
          <w:sz w:val="24"/>
          <w:szCs w:val="24"/>
        </w:rPr>
        <w:t xml:space="preserve">is needed to </w:t>
      </w:r>
      <w:r w:rsidR="00642EE1">
        <w:rPr>
          <w:rFonts w:ascii="Times New Roman" w:hAnsi="Times New Roman" w:cs="Times New Roman"/>
          <w:sz w:val="24"/>
          <w:szCs w:val="24"/>
        </w:rPr>
        <w:t xml:space="preserve">determine the most effective ways to </w:t>
      </w:r>
      <w:r w:rsidRPr="00ED3136">
        <w:rPr>
          <w:rFonts w:ascii="Times New Roman" w:hAnsi="Times New Roman" w:cs="Times New Roman"/>
          <w:sz w:val="24"/>
          <w:szCs w:val="24"/>
        </w:rPr>
        <w:t>reduce injuries at stone operations</w:t>
      </w:r>
      <w:r w:rsidR="00642EE1">
        <w:rPr>
          <w:rFonts w:ascii="Times New Roman" w:hAnsi="Times New Roman" w:cs="Times New Roman"/>
          <w:sz w:val="24"/>
          <w:szCs w:val="24"/>
        </w:rPr>
        <w:t xml:space="preserve"> – this includes stone pits and quarries, plants, and maintenance and repair shops</w:t>
      </w:r>
      <w:r w:rsidRPr="00ED3136">
        <w:rPr>
          <w:rFonts w:ascii="Times New Roman" w:hAnsi="Times New Roman" w:cs="Times New Roman"/>
          <w:sz w:val="24"/>
          <w:szCs w:val="24"/>
        </w:rPr>
        <w:t>. In addition, the overall number of violations in the Sand, Stone and Gravel (SSG) industry, as well as the standards most frequently cited by MSHA during mining inspections, have not changed considerably from 2008 to 2012. The most frequently cited standards are related to: missing guards around moving machine parts (30 CFR 56.14104 and 56.14112), electrical hazards (30 CFR 56.12004, 56.12028, and 56.12032), inspection and maintenance of equipment (30 CFR 56.14100), and inadequacy of berms and guardrails (30 CFR 56.9300).  SSG mine workers are not experiencing incidents and injuries for each of the citations listed above.  However, there are potentially a number of injuries and near-miss events occurring at mine sites related to the hazards that have been identified in the citations listed above. From this data, it’s unclear whether SSG mine workers are not recognizing worksite hazards or are recognizing the hazards but are not accurately assessing the associated risk.</w:t>
      </w:r>
    </w:p>
    <w:p w14:paraId="086BE358" w14:textId="77777777" w:rsidR="00ED3136" w:rsidRPr="00ED3136" w:rsidRDefault="00ED3136" w:rsidP="00ED3136">
      <w:pPr>
        <w:rPr>
          <w:rFonts w:ascii="Times New Roman" w:hAnsi="Times New Roman" w:cs="Times New Roman"/>
          <w:sz w:val="24"/>
          <w:szCs w:val="24"/>
        </w:rPr>
      </w:pPr>
      <w:r w:rsidRPr="00ED3136">
        <w:rPr>
          <w:rFonts w:ascii="Times New Roman" w:hAnsi="Times New Roman" w:cs="Times New Roman"/>
          <w:sz w:val="24"/>
          <w:szCs w:val="24"/>
        </w:rPr>
        <w:t xml:space="preserve">Hazard recognition, the realization that a condition or behavior can cause harm and a necessary skill for all miners, is only the first step to a safe work environment. A miner must be able to identify a hazard, recognize the risk associated with the hazard, and then make a decision of how to mitigate the risk and perform the task safely. Risk is defined as the combination of the likelihood an event will occur and the adverse consequences of that event (Brown &amp; Groeger, 1988).  Risk perception, the recognition of the risk inherent in a situation, influences decision making with regards to job safety (Hunter, 2002).  Being able to recognize worksite hazards and then accurately perceive the associated risk are critical skills that lead to the work behavior decision-making process that is used to eliminate or reduce mining hazards related to operations and maintenance of machinery, operation of powered haulage, material handling, etc. that can result in injury or death.  Hazard recognition abilities and risk perception can be improved through training; for example, Barrett and Kowalski (1995) used simulation exercises and three-dimensional slides to train mine workers to perceive the visual cues that precede hazardous or dangerous events (see also Rethi et al., 1999).  Experienced workers also tend to be more accurate at recognizing work site hazards, though this finding is true only for workers with safety-specific training (e.g., safety directors) as compared to the performance of superintendents and novices, such as civil engineering students (Perlman, Sacks, &amp; Barak, 2014). </w:t>
      </w:r>
    </w:p>
    <w:p w14:paraId="2DFD543A" w14:textId="77777777" w:rsidR="00ED3136" w:rsidRDefault="00ED3136" w:rsidP="00ED3136">
      <w:pPr>
        <w:rPr>
          <w:rFonts w:ascii="Times New Roman" w:hAnsi="Times New Roman" w:cs="Times New Roman"/>
          <w:sz w:val="24"/>
          <w:szCs w:val="24"/>
        </w:rPr>
      </w:pPr>
      <w:r w:rsidRPr="00ED3136">
        <w:rPr>
          <w:rFonts w:ascii="Times New Roman" w:hAnsi="Times New Roman" w:cs="Times New Roman"/>
          <w:sz w:val="24"/>
          <w:szCs w:val="24"/>
        </w:rPr>
        <w:t xml:space="preserve">Recently, the National Academy of Science (NAS) released the report “Improving Self-Escape from Underground Coal Mines” (NAS, 2013).  While this report focused mainly on miners’ abilities to self-escape during mine disasters, the NAS’s recommended areas for research are more broadly applicable.  Specifically, Recommendation 5 from the report indicates that more research should be performed related to the use of decision science research in the development of protocols and training materials to enhance miners’ attention to unexpected risks, situational awareness, and self-escape competence.  Hazard recognition is integral to risk perception, situational awareness, and decision making—that is, if the mine worker is unable to recognize worksite hazards, then steps cannot be taken to eliminate or mitigate them.  Thus, the mine worker must first be able to recognize that a hazard is present in the environment and then understand the risk the hazard poses to their safety and health in order to make the best decision possible about how to deal with the hazard.  Hazard recognition is a necessary skill for all mine workers; therefore, a better understanding of the hazard recognition process within the mining environment is a critical need that this research will fulfill for the industry.  </w:t>
      </w:r>
    </w:p>
    <w:p w14:paraId="6A9503D1" w14:textId="77777777" w:rsidR="00380787" w:rsidRDefault="00ED3136" w:rsidP="00380787">
      <w:pPr>
        <w:rPr>
          <w:rFonts w:ascii="Times New Roman" w:hAnsi="Times New Roman" w:cs="Times New Roman"/>
          <w:sz w:val="24"/>
          <w:szCs w:val="24"/>
        </w:rPr>
      </w:pPr>
      <w:r>
        <w:rPr>
          <w:rFonts w:ascii="Times New Roman" w:hAnsi="Times New Roman" w:cs="Times New Roman"/>
          <w:sz w:val="24"/>
          <w:szCs w:val="24"/>
        </w:rPr>
        <w:t xml:space="preserve">Given the aforementioned, the objective of the project is to </w:t>
      </w:r>
      <w:r w:rsidRPr="00ED3136">
        <w:rPr>
          <w:rFonts w:ascii="Times New Roman" w:hAnsi="Times New Roman" w:cs="Times New Roman"/>
          <w:sz w:val="24"/>
          <w:szCs w:val="24"/>
        </w:rPr>
        <w:t>characterize SSG mine workers’ ability to recognize worksite hazards, to understand how this ability relates to perceived and measured risk as well as to other factors internal and external to the SSG mine worker.</w:t>
      </w:r>
      <w:bookmarkStart w:id="1" w:name="_Toc350432816"/>
    </w:p>
    <w:p w14:paraId="71C06574" w14:textId="77777777" w:rsidR="007C064A" w:rsidRPr="00380787" w:rsidRDefault="007C064A" w:rsidP="00380787">
      <w:pPr>
        <w:pStyle w:val="Heading1"/>
        <w:rPr>
          <w:rFonts w:eastAsiaTheme="minorHAnsi" w:cs="Times New Roman"/>
          <w:sz w:val="24"/>
          <w:szCs w:val="24"/>
        </w:rPr>
      </w:pPr>
      <w:r w:rsidRPr="007C064A">
        <w:rPr>
          <w:rFonts w:eastAsia="Times New Roman"/>
        </w:rPr>
        <w:t>Purpose and Use of Information collection</w:t>
      </w:r>
      <w:bookmarkEnd w:id="1"/>
    </w:p>
    <w:p w14:paraId="7D010EFE" w14:textId="77777777" w:rsidR="00D16DCD" w:rsidRDefault="007C064A" w:rsidP="007C064A">
      <w:pPr>
        <w:rPr>
          <w:rFonts w:ascii="Times New Roman" w:hAnsi="Times New Roman" w:cs="Times New Roman"/>
          <w:sz w:val="24"/>
          <w:szCs w:val="24"/>
        </w:rPr>
      </w:pPr>
      <w:r w:rsidRPr="007C064A">
        <w:rPr>
          <w:rFonts w:ascii="Times New Roman" w:hAnsi="Times New Roman"/>
          <w:sz w:val="24"/>
        </w:rPr>
        <w:t xml:space="preserve">Since mining is a hazardous environment, it is extremely important for NIOSH to collect this information as it is our goal to improve the health and safety of all </w:t>
      </w:r>
      <w:r>
        <w:rPr>
          <w:rFonts w:ascii="Times New Roman" w:hAnsi="Times New Roman"/>
          <w:sz w:val="24"/>
        </w:rPr>
        <w:t>mine workers</w:t>
      </w:r>
      <w:r w:rsidRPr="007C064A">
        <w:rPr>
          <w:rFonts w:ascii="Times New Roman" w:hAnsi="Times New Roman"/>
          <w:sz w:val="24"/>
        </w:rPr>
        <w:t>.</w:t>
      </w:r>
      <w:r w:rsidR="009C1291">
        <w:rPr>
          <w:rFonts w:ascii="Times New Roman" w:hAnsi="Times New Roman" w:cs="Times New Roman"/>
          <w:sz w:val="24"/>
          <w:szCs w:val="24"/>
        </w:rPr>
        <w:t xml:space="preserve"> Data to be collected for the study does not exist in any similar study for this population or application. </w:t>
      </w:r>
      <w:r w:rsidR="00D16DCD">
        <w:rPr>
          <w:rFonts w:ascii="Times New Roman" w:hAnsi="Times New Roman" w:cs="Times New Roman"/>
          <w:sz w:val="24"/>
          <w:szCs w:val="24"/>
        </w:rPr>
        <w:t xml:space="preserve"> This data collection effort is currently funded </w:t>
      </w:r>
      <w:r w:rsidR="00024CED">
        <w:rPr>
          <w:rFonts w:ascii="Times New Roman" w:hAnsi="Times New Roman" w:cs="Times New Roman"/>
          <w:sz w:val="24"/>
          <w:szCs w:val="24"/>
        </w:rPr>
        <w:t xml:space="preserve">by </w:t>
      </w:r>
      <w:r w:rsidR="00D16DCD">
        <w:rPr>
          <w:rFonts w:ascii="Times New Roman" w:hAnsi="Times New Roman" w:cs="Times New Roman"/>
          <w:sz w:val="24"/>
          <w:szCs w:val="24"/>
        </w:rPr>
        <w:t>the Office of Mine Safety and Health Research (OMSHR)</w:t>
      </w:r>
      <w:r w:rsidR="00024CED">
        <w:rPr>
          <w:rFonts w:ascii="Times New Roman" w:hAnsi="Times New Roman" w:cs="Times New Roman"/>
          <w:sz w:val="24"/>
          <w:szCs w:val="24"/>
        </w:rPr>
        <w:t xml:space="preserve"> through fiscal year 2017</w:t>
      </w:r>
      <w:r w:rsidR="00D16DCD">
        <w:rPr>
          <w:rFonts w:ascii="Times New Roman" w:hAnsi="Times New Roman" w:cs="Times New Roman"/>
          <w:sz w:val="24"/>
          <w:szCs w:val="24"/>
        </w:rPr>
        <w:t>.</w:t>
      </w:r>
      <w:r w:rsidR="00024CED">
        <w:rPr>
          <w:rFonts w:ascii="Times New Roman" w:hAnsi="Times New Roman" w:cs="Times New Roman"/>
          <w:sz w:val="24"/>
          <w:szCs w:val="24"/>
        </w:rPr>
        <w:t xml:space="preserve">  </w:t>
      </w:r>
      <w:r w:rsidR="00D16DCD">
        <w:rPr>
          <w:rFonts w:ascii="Times New Roman" w:hAnsi="Times New Roman" w:cs="Times New Roman"/>
          <w:sz w:val="24"/>
          <w:szCs w:val="24"/>
        </w:rPr>
        <w:t xml:space="preserve">  </w:t>
      </w:r>
    </w:p>
    <w:p w14:paraId="2CA93038" w14:textId="77777777" w:rsidR="002C1BED" w:rsidRDefault="0080408B" w:rsidP="007C064A">
      <w:pPr>
        <w:rPr>
          <w:rFonts w:ascii="Times New Roman" w:hAnsi="Times New Roman" w:cs="Times New Roman"/>
          <w:sz w:val="24"/>
          <w:szCs w:val="24"/>
        </w:rPr>
      </w:pPr>
      <w:r>
        <w:rPr>
          <w:rFonts w:ascii="Times New Roman" w:hAnsi="Times New Roman" w:cs="Times New Roman"/>
          <w:sz w:val="24"/>
          <w:szCs w:val="24"/>
        </w:rPr>
        <w:t>The participants for the study are mine workers (</w:t>
      </w:r>
      <w:r w:rsidR="00520AC2">
        <w:rPr>
          <w:rFonts w:ascii="Times New Roman" w:hAnsi="Times New Roman" w:cs="Times New Roman"/>
          <w:sz w:val="24"/>
          <w:szCs w:val="24"/>
        </w:rPr>
        <w:t xml:space="preserve">30 mine workers from Stone, Sand and Gravel mines will participate – 15 of these mine workers will be considered experienced miners and 15 will be considered less experienced or novice mine workers.  In addition, </w:t>
      </w:r>
      <w:r w:rsidR="004F59D3">
        <w:rPr>
          <w:rFonts w:ascii="Times New Roman" w:hAnsi="Times New Roman" w:cs="Times New Roman"/>
          <w:sz w:val="24"/>
          <w:szCs w:val="24"/>
        </w:rPr>
        <w:t xml:space="preserve">16 </w:t>
      </w:r>
      <w:r w:rsidR="00520AC2">
        <w:rPr>
          <w:rFonts w:ascii="Times New Roman" w:hAnsi="Times New Roman" w:cs="Times New Roman"/>
          <w:sz w:val="24"/>
          <w:szCs w:val="24"/>
        </w:rPr>
        <w:t xml:space="preserve">safety professionals and </w:t>
      </w:r>
      <w:r w:rsidR="004F59D3">
        <w:rPr>
          <w:rFonts w:ascii="Times New Roman" w:hAnsi="Times New Roman" w:cs="Times New Roman"/>
          <w:sz w:val="24"/>
          <w:szCs w:val="24"/>
        </w:rPr>
        <w:t xml:space="preserve">16 </w:t>
      </w:r>
      <w:r w:rsidR="00520AC2">
        <w:rPr>
          <w:rFonts w:ascii="Times New Roman" w:hAnsi="Times New Roman" w:cs="Times New Roman"/>
          <w:sz w:val="24"/>
          <w:szCs w:val="24"/>
        </w:rPr>
        <w:t>students enrolled in mining programs at a college or university will participate.</w:t>
      </w:r>
      <w:r w:rsidR="002C1BED">
        <w:rPr>
          <w:rFonts w:ascii="Times New Roman" w:hAnsi="Times New Roman" w:cs="Times New Roman"/>
          <w:sz w:val="24"/>
          <w:szCs w:val="24"/>
        </w:rPr>
        <w:t xml:space="preserve"> </w:t>
      </w:r>
      <w:r w:rsidR="006E615A">
        <w:rPr>
          <w:rFonts w:ascii="Times New Roman" w:hAnsi="Times New Roman" w:cs="Times New Roman"/>
          <w:sz w:val="24"/>
          <w:szCs w:val="24"/>
        </w:rPr>
        <w:t xml:space="preserve"> Overall, we plan to perform full data collection with</w:t>
      </w:r>
      <w:r w:rsidR="00DA1743">
        <w:rPr>
          <w:rFonts w:ascii="Times New Roman" w:hAnsi="Times New Roman" w:cs="Times New Roman"/>
          <w:sz w:val="24"/>
          <w:szCs w:val="24"/>
        </w:rPr>
        <w:t xml:space="preserve"> </w:t>
      </w:r>
      <w:r w:rsidR="007D2403">
        <w:rPr>
          <w:rFonts w:ascii="Times New Roman" w:hAnsi="Times New Roman" w:cs="Times New Roman"/>
          <w:sz w:val="24"/>
          <w:szCs w:val="24"/>
        </w:rPr>
        <w:t>62</w:t>
      </w:r>
      <w:r w:rsidR="006E615A">
        <w:rPr>
          <w:rFonts w:ascii="Times New Roman" w:hAnsi="Times New Roman" w:cs="Times New Roman"/>
          <w:sz w:val="24"/>
          <w:szCs w:val="24"/>
        </w:rPr>
        <w:t xml:space="preserve"> participants.  </w:t>
      </w:r>
      <w:r w:rsidR="002C1BED">
        <w:rPr>
          <w:rFonts w:ascii="Times New Roman" w:hAnsi="Times New Roman" w:cs="Times New Roman"/>
          <w:sz w:val="24"/>
          <w:szCs w:val="24"/>
        </w:rPr>
        <w:t>Prior to participation, potential participants will be pre-screened to ensure that they meet the qualifications for the study (</w:t>
      </w:r>
      <w:r w:rsidR="002C1BED" w:rsidRPr="00A35C31">
        <w:rPr>
          <w:rFonts w:ascii="Times New Roman" w:hAnsi="Times New Roman" w:cs="Times New Roman"/>
          <w:b/>
          <w:sz w:val="24"/>
          <w:szCs w:val="24"/>
        </w:rPr>
        <w:t>see Appendix D</w:t>
      </w:r>
      <w:r w:rsidR="00DA1743">
        <w:rPr>
          <w:rFonts w:ascii="Times New Roman" w:hAnsi="Times New Roman" w:cs="Times New Roman"/>
          <w:b/>
          <w:sz w:val="24"/>
          <w:szCs w:val="24"/>
        </w:rPr>
        <w:t>)</w:t>
      </w:r>
      <w:r w:rsidR="004F59D3">
        <w:rPr>
          <w:rFonts w:ascii="Times New Roman" w:hAnsi="Times New Roman" w:cs="Times New Roman"/>
          <w:sz w:val="24"/>
          <w:szCs w:val="24"/>
        </w:rPr>
        <w:t>.</w:t>
      </w:r>
      <w:r w:rsidR="00520AC2">
        <w:rPr>
          <w:rFonts w:ascii="Times New Roman" w:hAnsi="Times New Roman" w:cs="Times New Roman"/>
          <w:sz w:val="24"/>
          <w:szCs w:val="24"/>
        </w:rPr>
        <w:t xml:space="preserve"> </w:t>
      </w:r>
    </w:p>
    <w:p w14:paraId="71AB9741" w14:textId="7BBB3DB0" w:rsidR="005B1B28" w:rsidRDefault="004B6A2D" w:rsidP="007C064A">
      <w:pPr>
        <w:rPr>
          <w:rFonts w:ascii="Times New Roman" w:hAnsi="Times New Roman"/>
          <w:sz w:val="24"/>
        </w:rPr>
      </w:pPr>
      <w:r>
        <w:rPr>
          <w:rFonts w:ascii="Times New Roman" w:hAnsi="Times New Roman" w:cs="Times New Roman"/>
          <w:sz w:val="24"/>
          <w:szCs w:val="24"/>
        </w:rPr>
        <w:t xml:space="preserve">Data will be collected from each </w:t>
      </w:r>
      <w:r w:rsidR="00DF2917">
        <w:rPr>
          <w:rFonts w:ascii="Times New Roman" w:hAnsi="Times New Roman" w:cs="Times New Roman"/>
          <w:sz w:val="24"/>
          <w:szCs w:val="24"/>
        </w:rPr>
        <w:t xml:space="preserve">mine </w:t>
      </w:r>
      <w:r w:rsidR="00520AC2">
        <w:rPr>
          <w:rFonts w:ascii="Times New Roman" w:hAnsi="Times New Roman" w:cs="Times New Roman"/>
          <w:sz w:val="24"/>
          <w:szCs w:val="24"/>
        </w:rPr>
        <w:t>worker</w:t>
      </w:r>
      <w:r w:rsidR="00DF2917">
        <w:rPr>
          <w:rFonts w:ascii="Times New Roman" w:hAnsi="Times New Roman" w:cs="Times New Roman"/>
          <w:sz w:val="24"/>
          <w:szCs w:val="24"/>
        </w:rPr>
        <w:t xml:space="preserve">, safety professional, and student </w:t>
      </w:r>
      <w:r>
        <w:rPr>
          <w:rFonts w:ascii="Times New Roman" w:hAnsi="Times New Roman" w:cs="Times New Roman"/>
          <w:sz w:val="24"/>
          <w:szCs w:val="24"/>
        </w:rPr>
        <w:t xml:space="preserve">who volunteers </w:t>
      </w:r>
      <w:r w:rsidR="002C1BED">
        <w:rPr>
          <w:rFonts w:ascii="Times New Roman" w:hAnsi="Times New Roman" w:cs="Times New Roman"/>
          <w:sz w:val="24"/>
          <w:szCs w:val="24"/>
        </w:rPr>
        <w:t xml:space="preserve">and meets the qualification criteria from the pre-screening </w:t>
      </w:r>
      <w:r>
        <w:rPr>
          <w:rFonts w:ascii="Times New Roman" w:hAnsi="Times New Roman" w:cs="Times New Roman"/>
          <w:sz w:val="24"/>
          <w:szCs w:val="24"/>
        </w:rPr>
        <w:t>for the study.  Meaning, each participant will complete each research instrument once during the course of the study.</w:t>
      </w:r>
      <w:r w:rsidR="005B1B28">
        <w:rPr>
          <w:rFonts w:ascii="Times New Roman" w:hAnsi="Times New Roman" w:cs="Times New Roman"/>
          <w:sz w:val="24"/>
          <w:szCs w:val="24"/>
        </w:rPr>
        <w:t xml:space="preserve">  </w:t>
      </w:r>
      <w:r w:rsidR="00DA1743">
        <w:rPr>
          <w:rFonts w:ascii="Times New Roman" w:hAnsi="Times New Roman" w:cs="Times New Roman"/>
          <w:sz w:val="24"/>
          <w:szCs w:val="24"/>
        </w:rPr>
        <w:t xml:space="preserve">For the </w:t>
      </w:r>
      <w:r w:rsidR="002C1BED">
        <w:rPr>
          <w:rFonts w:ascii="Times New Roman" w:hAnsi="Times New Roman" w:cs="Times New Roman"/>
          <w:sz w:val="24"/>
          <w:szCs w:val="24"/>
        </w:rPr>
        <w:t>study</w:t>
      </w:r>
      <w:r w:rsidR="002C1BED">
        <w:rPr>
          <w:rFonts w:ascii="Times New Roman" w:hAnsi="Times New Roman"/>
          <w:sz w:val="24"/>
        </w:rPr>
        <w:t xml:space="preserve"> participants</w:t>
      </w:r>
      <w:r w:rsidR="005B1B28">
        <w:rPr>
          <w:rFonts w:ascii="Times New Roman" w:hAnsi="Times New Roman"/>
          <w:sz w:val="24"/>
        </w:rPr>
        <w:t xml:space="preserve"> will first be presented with large scale panoramic scenes.  These scenes will be presented in a 360</w:t>
      </w:r>
      <w:r w:rsidR="005B1B28">
        <w:rPr>
          <w:rFonts w:ascii="Times New Roman" w:hAnsi="Times New Roman" w:cs="Times New Roman"/>
          <w:sz w:val="24"/>
        </w:rPr>
        <w:t>°</w:t>
      </w:r>
      <w:r w:rsidR="005B1B28">
        <w:rPr>
          <w:rFonts w:ascii="Times New Roman" w:hAnsi="Times New Roman"/>
          <w:sz w:val="24"/>
        </w:rPr>
        <w:t xml:space="preserve"> virtual environment in the Virtual Immersion and Simulation Laboratory (VISLab).</w:t>
      </w:r>
      <w:r w:rsidR="002C1BED">
        <w:rPr>
          <w:rFonts w:ascii="Times New Roman" w:hAnsi="Times New Roman"/>
          <w:sz w:val="24"/>
        </w:rPr>
        <w:t xml:space="preserve">  Participants will be asked to search the panoramic pictures to find potential worksite hazards</w:t>
      </w:r>
      <w:r w:rsidR="007E2E87">
        <w:rPr>
          <w:rFonts w:ascii="Times New Roman" w:hAnsi="Times New Roman"/>
          <w:sz w:val="24"/>
        </w:rPr>
        <w:t>.  Each panoramic picture will be available to the participant for two minutes if the participant decides he has found all of the hazards in the panoramic picture, he can press a button and the picture will disappear.</w:t>
      </w:r>
      <w:r w:rsidR="002C1BED">
        <w:rPr>
          <w:rFonts w:ascii="Times New Roman" w:hAnsi="Times New Roman"/>
          <w:sz w:val="24"/>
        </w:rPr>
        <w:t xml:space="preserve">.  Once all panoramic scenes have been searched, participants will complete the remaining data collection instruments. </w:t>
      </w:r>
      <w:r w:rsidR="005B1B28">
        <w:rPr>
          <w:rFonts w:ascii="Times New Roman" w:hAnsi="Times New Roman"/>
          <w:sz w:val="24"/>
        </w:rPr>
        <w:t xml:space="preserve">  </w:t>
      </w:r>
      <w:r w:rsidR="002C1BED">
        <w:rPr>
          <w:rFonts w:ascii="Times New Roman" w:hAnsi="Times New Roman" w:cs="Times New Roman"/>
          <w:sz w:val="24"/>
          <w:szCs w:val="24"/>
        </w:rPr>
        <w:t>Data will be collected through the use of several survey instruments, these survey instruments are included as appendices to this document (</w:t>
      </w:r>
      <w:r w:rsidR="002C1BED" w:rsidRPr="00281279">
        <w:rPr>
          <w:rFonts w:ascii="Times New Roman" w:hAnsi="Times New Roman" w:cs="Times New Roman"/>
          <w:b/>
          <w:sz w:val="24"/>
          <w:szCs w:val="24"/>
        </w:rPr>
        <w:t>see Appendix C through G</w:t>
      </w:r>
      <w:r w:rsidR="0066677A">
        <w:rPr>
          <w:rFonts w:ascii="Times New Roman" w:hAnsi="Times New Roman" w:cs="Times New Roman"/>
          <w:b/>
          <w:sz w:val="24"/>
          <w:szCs w:val="24"/>
        </w:rPr>
        <w:t>, &amp; Appendix K</w:t>
      </w:r>
      <w:r w:rsidR="002C1BED">
        <w:rPr>
          <w:rFonts w:ascii="Times New Roman" w:hAnsi="Times New Roman" w:cs="Times New Roman"/>
          <w:sz w:val="24"/>
          <w:szCs w:val="24"/>
        </w:rPr>
        <w:t>) as well as open-ended questions (</w:t>
      </w:r>
      <w:r w:rsidR="002C1BED" w:rsidRPr="00281279">
        <w:rPr>
          <w:rFonts w:ascii="Times New Roman" w:hAnsi="Times New Roman" w:cs="Times New Roman"/>
          <w:b/>
          <w:sz w:val="24"/>
          <w:szCs w:val="24"/>
        </w:rPr>
        <w:t>see Appendix H</w:t>
      </w:r>
      <w:r w:rsidR="002C1BED">
        <w:rPr>
          <w:rFonts w:ascii="Times New Roman" w:hAnsi="Times New Roman" w:cs="Times New Roman"/>
          <w:sz w:val="24"/>
          <w:szCs w:val="24"/>
        </w:rPr>
        <w:t>).  This data will be used in conjunction with behavioral metrics (e.g., eye-movement, reaction time, body position, etc.) in order to better understand how mine workers, safety professionals, and students search for and find hazards.</w:t>
      </w:r>
      <w:r w:rsidR="007E2E87">
        <w:rPr>
          <w:rFonts w:ascii="Times New Roman" w:hAnsi="Times New Roman" w:cs="Times New Roman"/>
          <w:sz w:val="24"/>
          <w:szCs w:val="24"/>
        </w:rPr>
        <w:t xml:space="preserve">  Eye-movement data will be collected using eye-tracking glasses, reaction time will be measured with a button the participant holds in the dominant hand, and body position is measured using a motion capture system.</w:t>
      </w:r>
      <w:r w:rsidR="002C1BED">
        <w:rPr>
          <w:rFonts w:ascii="Times New Roman" w:hAnsi="Times New Roman" w:cs="Times New Roman"/>
          <w:sz w:val="24"/>
          <w:szCs w:val="24"/>
        </w:rPr>
        <w:t xml:space="preserve">    </w:t>
      </w:r>
    </w:p>
    <w:p w14:paraId="5ED67A51" w14:textId="77777777" w:rsidR="00BA4168" w:rsidRDefault="00224328" w:rsidP="007C064A">
      <w:pPr>
        <w:rPr>
          <w:rFonts w:ascii="Times New Roman" w:hAnsi="Times New Roman" w:cs="Times New Roman"/>
          <w:sz w:val="24"/>
          <w:szCs w:val="24"/>
        </w:rPr>
      </w:pPr>
      <w:r w:rsidRPr="00A35C31">
        <w:rPr>
          <w:rFonts w:ascii="Times New Roman" w:hAnsi="Times New Roman"/>
          <w:sz w:val="24"/>
        </w:rPr>
        <w:t>Mine workers, safety professionals, and students will be recruited through the use of contacts that project personnel have accumulated through experience within the mining industry.</w:t>
      </w:r>
      <w:r>
        <w:rPr>
          <w:rFonts w:ascii="Times New Roman" w:hAnsi="Times New Roman"/>
          <w:sz w:val="24"/>
        </w:rPr>
        <w:t xml:space="preserve">  Mine workers and safety professionals will be recruited from several mine sites within the Pittsburgh area.</w:t>
      </w:r>
      <w:r w:rsidR="002C1BED">
        <w:rPr>
          <w:rFonts w:ascii="Times New Roman" w:hAnsi="Times New Roman"/>
          <w:sz w:val="24"/>
        </w:rPr>
        <w:t xml:space="preserve">  These mine workers and safety professionals will be recruited through contacts that research personnel have made at stakeholder meetings as well as from previous research contacts.</w:t>
      </w:r>
      <w:r>
        <w:rPr>
          <w:rFonts w:ascii="Times New Roman" w:hAnsi="Times New Roman"/>
          <w:sz w:val="24"/>
        </w:rPr>
        <w:t xml:space="preserve">  Students will be recruited from nearby universities with mining programs (e.g., University of Pittsburgh and West Virginia University).  </w:t>
      </w:r>
      <w:r w:rsidR="002C1BED">
        <w:rPr>
          <w:rFonts w:ascii="Times New Roman" w:hAnsi="Times New Roman"/>
          <w:sz w:val="24"/>
        </w:rPr>
        <w:t>Those students who are recruited will be enrolled in mining engineering programs or occupational safety health programs</w:t>
      </w:r>
      <w:r w:rsidR="00E83101">
        <w:rPr>
          <w:rFonts w:ascii="Times New Roman" w:hAnsi="Times New Roman"/>
          <w:sz w:val="24"/>
        </w:rPr>
        <w:t xml:space="preserve">.  Students will be recruited through faculty and previous research contacts.  </w:t>
      </w:r>
      <w:r w:rsidR="00BA4168">
        <w:rPr>
          <w:rFonts w:ascii="Times New Roman" w:hAnsi="Times New Roman" w:cs="Times New Roman"/>
          <w:sz w:val="24"/>
          <w:szCs w:val="24"/>
        </w:rPr>
        <w:t xml:space="preserve"> </w:t>
      </w:r>
    </w:p>
    <w:p w14:paraId="651F703B" w14:textId="77777777" w:rsidR="00520AC2" w:rsidRDefault="004B6A2D" w:rsidP="007C064A">
      <w:pPr>
        <w:rPr>
          <w:rFonts w:ascii="Times New Roman" w:hAnsi="Times New Roman" w:cs="Times New Roman"/>
          <w:sz w:val="24"/>
          <w:szCs w:val="24"/>
        </w:rPr>
      </w:pPr>
      <w:r>
        <w:rPr>
          <w:rFonts w:ascii="Times New Roman" w:hAnsi="Times New Roman" w:cs="Times New Roman"/>
          <w:sz w:val="24"/>
          <w:szCs w:val="24"/>
        </w:rPr>
        <w:t xml:space="preserve"> </w:t>
      </w:r>
      <w:r w:rsidR="00BF084F" w:rsidRPr="00BF084F">
        <w:rPr>
          <w:rFonts w:ascii="Times New Roman" w:hAnsi="Times New Roman" w:cs="Times New Roman"/>
          <w:sz w:val="24"/>
          <w:szCs w:val="24"/>
        </w:rPr>
        <w:t xml:space="preserve">The successful completion of the research will have several impacts. The goal of this research project </w:t>
      </w:r>
      <w:r w:rsidR="00DF2917">
        <w:rPr>
          <w:rFonts w:ascii="Times New Roman" w:hAnsi="Times New Roman" w:cs="Times New Roman"/>
          <w:sz w:val="24"/>
          <w:szCs w:val="24"/>
        </w:rPr>
        <w:t xml:space="preserve">is </w:t>
      </w:r>
      <w:r w:rsidR="00BF084F" w:rsidRPr="00BF084F">
        <w:rPr>
          <w:rFonts w:ascii="Times New Roman" w:hAnsi="Times New Roman" w:cs="Times New Roman"/>
          <w:sz w:val="24"/>
          <w:szCs w:val="24"/>
        </w:rPr>
        <w:t>to further our understanding of the SSG miner’s ability to recognize worksite hazards.</w:t>
      </w:r>
      <w:r w:rsidR="00520AC2">
        <w:rPr>
          <w:rFonts w:ascii="Times New Roman" w:hAnsi="Times New Roman" w:cs="Times New Roman"/>
          <w:sz w:val="24"/>
          <w:szCs w:val="24"/>
        </w:rPr>
        <w:t xml:space="preserve">  To do this, we plan to collect data from experienced and less experienced/novice mine workers to understand how experience affect hazard recognition ability.  In order to fully understand how experience – not just work experience, but also hazard recognition and risk </w:t>
      </w:r>
      <w:r w:rsidR="007C4E29">
        <w:rPr>
          <w:rFonts w:ascii="Times New Roman" w:hAnsi="Times New Roman" w:cs="Times New Roman"/>
          <w:sz w:val="24"/>
          <w:szCs w:val="24"/>
        </w:rPr>
        <w:t>assessment</w:t>
      </w:r>
      <w:r w:rsidR="00520AC2">
        <w:rPr>
          <w:rFonts w:ascii="Times New Roman" w:hAnsi="Times New Roman" w:cs="Times New Roman"/>
          <w:sz w:val="24"/>
          <w:szCs w:val="24"/>
        </w:rPr>
        <w:t xml:space="preserve"> training experience – affect ability, we are including safety professionals and students as participants.  Within a mining company, safety professionals are likely to people administering hazard recognition and risk </w:t>
      </w:r>
      <w:r w:rsidR="007C4E29">
        <w:rPr>
          <w:rFonts w:ascii="Times New Roman" w:hAnsi="Times New Roman" w:cs="Times New Roman"/>
          <w:sz w:val="24"/>
          <w:szCs w:val="24"/>
        </w:rPr>
        <w:t>assessment</w:t>
      </w:r>
      <w:r w:rsidR="00520AC2">
        <w:rPr>
          <w:rFonts w:ascii="Times New Roman" w:hAnsi="Times New Roman" w:cs="Times New Roman"/>
          <w:sz w:val="24"/>
          <w:szCs w:val="24"/>
        </w:rPr>
        <w:t xml:space="preserve"> training.  They are also likely to be the people responsible for performing health and safety audits at mines.  Therefore, these people should have </w:t>
      </w:r>
      <w:r w:rsidR="007C4E29">
        <w:rPr>
          <w:rFonts w:ascii="Times New Roman" w:hAnsi="Times New Roman" w:cs="Times New Roman"/>
          <w:sz w:val="24"/>
          <w:szCs w:val="24"/>
        </w:rPr>
        <w:t>a great deal of knowledge about mine site hazards and the risk associated with them.  Students on the other hand are considered true novice mine workers because they likely have no work experience at a mine site.  However, students are likely to have recent hazard recognition and risk assessment training.  Therefore, the safety professionals and students are inclu</w:t>
      </w:r>
      <w:r w:rsidR="00224328">
        <w:rPr>
          <w:rFonts w:ascii="Times New Roman" w:hAnsi="Times New Roman" w:cs="Times New Roman"/>
          <w:sz w:val="24"/>
          <w:szCs w:val="24"/>
        </w:rPr>
        <w:t xml:space="preserve">ded to understand how work experience influences hazard recognition and risk assessment abilities.  </w:t>
      </w:r>
      <w:r w:rsidR="007C4E29">
        <w:rPr>
          <w:rFonts w:ascii="Times New Roman" w:hAnsi="Times New Roman" w:cs="Times New Roman"/>
          <w:sz w:val="24"/>
          <w:szCs w:val="24"/>
        </w:rPr>
        <w:t xml:space="preserve">    </w:t>
      </w:r>
      <w:r w:rsidR="00BF084F" w:rsidRPr="00BF084F">
        <w:rPr>
          <w:rFonts w:ascii="Times New Roman" w:hAnsi="Times New Roman" w:cs="Times New Roman"/>
          <w:sz w:val="24"/>
          <w:szCs w:val="24"/>
        </w:rPr>
        <w:t xml:space="preserve">  </w:t>
      </w:r>
    </w:p>
    <w:p w14:paraId="02217C7A" w14:textId="77777777" w:rsidR="00380787" w:rsidRDefault="00BF084F" w:rsidP="00380787">
      <w:pPr>
        <w:rPr>
          <w:rFonts w:ascii="Times New Roman" w:hAnsi="Times New Roman" w:cs="Times New Roman"/>
          <w:sz w:val="24"/>
          <w:szCs w:val="24"/>
        </w:rPr>
      </w:pPr>
      <w:r w:rsidRPr="00BF084F">
        <w:rPr>
          <w:rFonts w:ascii="Times New Roman" w:hAnsi="Times New Roman" w:cs="Times New Roman"/>
          <w:sz w:val="24"/>
          <w:szCs w:val="24"/>
        </w:rPr>
        <w:t>Only by better understanding hazard recognition and the specific factors that influence the miner’s abilities to recognize hazards will we be able to produce effective training materials so that the SSG mine worker is empowered to proactively identify hazards during pre-shift inspections and worksite examinations.</w:t>
      </w:r>
      <w:r>
        <w:rPr>
          <w:rFonts w:ascii="Times New Roman" w:hAnsi="Times New Roman" w:cs="Times New Roman"/>
          <w:sz w:val="24"/>
          <w:szCs w:val="24"/>
        </w:rPr>
        <w:t xml:space="preserve">  </w:t>
      </w:r>
      <w:r w:rsidR="009C1291">
        <w:rPr>
          <w:rFonts w:ascii="Times New Roman" w:hAnsi="Times New Roman" w:cs="Times New Roman"/>
          <w:sz w:val="24"/>
          <w:szCs w:val="24"/>
        </w:rPr>
        <w:t xml:space="preserve">Failure to acquire the data for the study would halt these efforts. </w:t>
      </w:r>
      <w:r w:rsidRPr="00BF084F">
        <w:rPr>
          <w:rFonts w:ascii="Times New Roman" w:hAnsi="Times New Roman" w:cs="Times New Roman"/>
          <w:sz w:val="24"/>
          <w:szCs w:val="24"/>
        </w:rPr>
        <w:t xml:space="preserve">On a broader scale, it is anticipated that this research will benefit other industries given that hazard recognition and risk perception have been a challenge in the industrial sector for many years. Specifically, today’s industries contain many hazards that cannot be seen, cannot be easily or fully understood, or are latent or dependent upon a chain of events.  Understanding the hazard recognition process within a dynamic work environment is therefore critical.     </w:t>
      </w:r>
      <w:bookmarkStart w:id="2" w:name="_Toc350432817"/>
    </w:p>
    <w:p w14:paraId="59B0FD28" w14:textId="77777777" w:rsidR="007C064A" w:rsidRPr="00380787" w:rsidRDefault="007C064A" w:rsidP="00380787">
      <w:pPr>
        <w:pStyle w:val="Heading1"/>
        <w:rPr>
          <w:rFonts w:eastAsiaTheme="minorHAnsi" w:cs="Times New Roman"/>
          <w:sz w:val="24"/>
          <w:szCs w:val="24"/>
        </w:rPr>
      </w:pPr>
      <w:r w:rsidRPr="007149BE">
        <w:t>Use</w:t>
      </w:r>
      <w:r w:rsidRPr="007C064A">
        <w:t xml:space="preserve"> of Improved Information Technology and Burden Reduction</w:t>
      </w:r>
      <w:bookmarkEnd w:id="2"/>
    </w:p>
    <w:p w14:paraId="75ECC125" w14:textId="593A949B" w:rsidR="002B19A5" w:rsidRDefault="00EA1D34" w:rsidP="002B19A5">
      <w:pPr>
        <w:rPr>
          <w:rFonts w:ascii="Times New Roman" w:hAnsi="Times New Roman"/>
          <w:sz w:val="24"/>
        </w:rPr>
      </w:pPr>
      <w:r>
        <w:rPr>
          <w:rFonts w:ascii="Times New Roman" w:hAnsi="Times New Roman"/>
          <w:sz w:val="24"/>
        </w:rPr>
        <w:t xml:space="preserve"> During the telephone call, A NIOSH researcher will ask potential participants the questions from the prescreening questionnaire.  The NIOSH researcher will record the potential participant’s responses on a copy of the prescreening questionnaire.  After the prescreening questionnaire is completed, it will be scanned and saved, either as the only data file for a potential participant (if he/she did not pass the prescreen) or along with all of the other completed data collection instruments (if he/she does pass the prescreen and agrees to participate in the study).  </w:t>
      </w:r>
      <w:r w:rsidR="00767906">
        <w:rPr>
          <w:rFonts w:ascii="Times New Roman" w:hAnsi="Times New Roman"/>
          <w:sz w:val="24"/>
        </w:rPr>
        <w:t xml:space="preserve">All data will be collected on site at the NIOSH/OMSHR Bruceton Research site.  </w:t>
      </w:r>
      <w:r w:rsidR="00C854AC">
        <w:rPr>
          <w:rFonts w:ascii="Times New Roman" w:hAnsi="Times New Roman"/>
          <w:sz w:val="24"/>
        </w:rPr>
        <w:t>While we understand that OMB considers electronic respond</w:t>
      </w:r>
      <w:r w:rsidR="006C0408">
        <w:rPr>
          <w:rFonts w:ascii="Times New Roman" w:hAnsi="Times New Roman"/>
          <w:sz w:val="24"/>
        </w:rPr>
        <w:t>ent reporting a critical issue, d</w:t>
      </w:r>
      <w:r w:rsidR="00767906">
        <w:rPr>
          <w:rFonts w:ascii="Times New Roman" w:hAnsi="Times New Roman"/>
          <w:sz w:val="24"/>
        </w:rPr>
        <w:t xml:space="preserve">ata collection has to take place on site because of the nature of the study.  </w:t>
      </w:r>
      <w:r w:rsidR="006C0408">
        <w:rPr>
          <w:rFonts w:ascii="Times New Roman" w:hAnsi="Times New Roman"/>
          <w:sz w:val="24"/>
        </w:rPr>
        <w:t>While we cannot collect data electronically, all a</w:t>
      </w:r>
      <w:r w:rsidR="00C854AC">
        <w:rPr>
          <w:rFonts w:ascii="Times New Roman" w:hAnsi="Times New Roman"/>
          <w:sz w:val="24"/>
        </w:rPr>
        <w:t xml:space="preserve">ttempts </w:t>
      </w:r>
      <w:r w:rsidR="006C0408">
        <w:rPr>
          <w:rFonts w:ascii="Times New Roman" w:hAnsi="Times New Roman"/>
          <w:sz w:val="24"/>
        </w:rPr>
        <w:t>have</w:t>
      </w:r>
      <w:r w:rsidR="00C854AC">
        <w:rPr>
          <w:rFonts w:ascii="Times New Roman" w:hAnsi="Times New Roman"/>
          <w:sz w:val="24"/>
        </w:rPr>
        <w:t xml:space="preserve"> be</w:t>
      </w:r>
      <w:r w:rsidR="006C0408">
        <w:rPr>
          <w:rFonts w:ascii="Times New Roman" w:hAnsi="Times New Roman"/>
          <w:sz w:val="24"/>
        </w:rPr>
        <w:t>en</w:t>
      </w:r>
      <w:r w:rsidR="00C854AC">
        <w:rPr>
          <w:rFonts w:ascii="Times New Roman" w:hAnsi="Times New Roman"/>
          <w:sz w:val="24"/>
        </w:rPr>
        <w:t xml:space="preserve"> made to minimize the amount of time it takes to complete data collection</w:t>
      </w:r>
      <w:r w:rsidR="006C0408">
        <w:rPr>
          <w:rFonts w:ascii="Times New Roman" w:hAnsi="Times New Roman"/>
          <w:sz w:val="24"/>
        </w:rPr>
        <w:t>.</w:t>
      </w:r>
    </w:p>
    <w:p w14:paraId="16BAA294" w14:textId="77777777" w:rsidR="007C064A" w:rsidRPr="002B19A5" w:rsidRDefault="002B19A5" w:rsidP="002B19A5">
      <w:pPr>
        <w:rPr>
          <w:rFonts w:ascii="Times New Roman" w:hAnsi="Times New Roman"/>
          <w:sz w:val="24"/>
        </w:rPr>
      </w:pPr>
      <w:r w:rsidRPr="00380787">
        <w:rPr>
          <w:rFonts w:ascii="Times New Roman" w:hAnsi="Times New Roman" w:cs="Times New Roman"/>
          <w:b/>
          <w:sz w:val="32"/>
          <w:szCs w:val="32"/>
        </w:rPr>
        <w:t>4.</w:t>
      </w:r>
      <w:r w:rsidR="00B05031" w:rsidRPr="00380787">
        <w:rPr>
          <w:rFonts w:ascii="Times New Roman" w:hAnsi="Times New Roman" w:cs="Times New Roman"/>
          <w:b/>
          <w:sz w:val="32"/>
          <w:szCs w:val="32"/>
        </w:rPr>
        <w:t xml:space="preserve">  </w:t>
      </w:r>
      <w:r w:rsidR="007722C0" w:rsidRPr="00380787">
        <w:rPr>
          <w:rFonts w:ascii="Times New Roman" w:hAnsi="Times New Roman" w:cs="Times New Roman"/>
          <w:b/>
          <w:sz w:val="32"/>
          <w:szCs w:val="32"/>
        </w:rPr>
        <w:t xml:space="preserve">  </w:t>
      </w:r>
      <w:bookmarkStart w:id="3" w:name="_Toc350432818"/>
      <w:r w:rsidR="007C064A" w:rsidRPr="002B19A5">
        <w:rPr>
          <w:rFonts w:ascii="Times New Roman" w:hAnsi="Times New Roman" w:cs="Times New Roman"/>
          <w:b/>
          <w:sz w:val="32"/>
          <w:szCs w:val="32"/>
        </w:rPr>
        <w:t>Efforts to Identify Duplication and Use of Similar Information</w:t>
      </w:r>
      <w:bookmarkEnd w:id="3"/>
      <w:r w:rsidR="007C064A" w:rsidRPr="002B19A5">
        <w:rPr>
          <w:rFonts w:ascii="Times New Roman" w:hAnsi="Times New Roman" w:cs="Times New Roman"/>
          <w:b/>
          <w:sz w:val="32"/>
          <w:szCs w:val="32"/>
        </w:rPr>
        <w:t xml:space="preserve"> </w:t>
      </w:r>
    </w:p>
    <w:p w14:paraId="10FBBE3E" w14:textId="77777777" w:rsidR="001313B6" w:rsidRDefault="00E40A53" w:rsidP="009E0CC4">
      <w:pPr>
        <w:rPr>
          <w:rFonts w:ascii="Times New Roman" w:hAnsi="Times New Roman" w:cs="Times New Roman"/>
          <w:sz w:val="24"/>
          <w:szCs w:val="24"/>
        </w:rPr>
      </w:pPr>
      <w:r>
        <w:rPr>
          <w:rFonts w:ascii="Times New Roman" w:hAnsi="Times New Roman" w:cs="Times New Roman"/>
          <w:sz w:val="24"/>
          <w:szCs w:val="24"/>
        </w:rPr>
        <w:t>To determine whether duplicate or similar information currently exists, an</w:t>
      </w:r>
      <w:r w:rsidR="002800E2">
        <w:rPr>
          <w:rFonts w:ascii="Times New Roman" w:hAnsi="Times New Roman" w:cs="Times New Roman"/>
          <w:sz w:val="24"/>
          <w:szCs w:val="24"/>
        </w:rPr>
        <w:t xml:space="preserve"> extensive literature review</w:t>
      </w:r>
      <w:r>
        <w:rPr>
          <w:rFonts w:ascii="Times New Roman" w:hAnsi="Times New Roman" w:cs="Times New Roman"/>
          <w:sz w:val="24"/>
          <w:szCs w:val="24"/>
        </w:rPr>
        <w:t xml:space="preserve"> was conducted and we</w:t>
      </w:r>
      <w:r w:rsidR="002800E2">
        <w:rPr>
          <w:rFonts w:ascii="Times New Roman" w:hAnsi="Times New Roman" w:cs="Times New Roman"/>
          <w:sz w:val="24"/>
          <w:szCs w:val="24"/>
        </w:rPr>
        <w:t xml:space="preserve"> determined that no published resul</w:t>
      </w:r>
      <w:r w:rsidR="00281286">
        <w:rPr>
          <w:rFonts w:ascii="Times New Roman" w:hAnsi="Times New Roman" w:cs="Times New Roman"/>
          <w:sz w:val="24"/>
          <w:szCs w:val="24"/>
        </w:rPr>
        <w:t xml:space="preserve">ts exist </w:t>
      </w:r>
      <w:r>
        <w:rPr>
          <w:rFonts w:ascii="Times New Roman" w:hAnsi="Times New Roman" w:cs="Times New Roman"/>
          <w:sz w:val="24"/>
          <w:szCs w:val="24"/>
        </w:rPr>
        <w:t>that specifically address the research questions proposed in this study</w:t>
      </w:r>
      <w:r w:rsidR="002800E2">
        <w:rPr>
          <w:rFonts w:ascii="Times New Roman" w:hAnsi="Times New Roman" w:cs="Times New Roman"/>
          <w:sz w:val="24"/>
          <w:szCs w:val="24"/>
        </w:rPr>
        <w:t xml:space="preserve">. </w:t>
      </w:r>
    </w:p>
    <w:p w14:paraId="24BE0606" w14:textId="5719AB7D" w:rsidR="009E0CC4" w:rsidRDefault="009E0CC4" w:rsidP="009E0CC4">
      <w:pPr>
        <w:rPr>
          <w:rFonts w:ascii="Times New Roman" w:hAnsi="Times New Roman" w:cs="Times New Roman"/>
          <w:sz w:val="24"/>
          <w:szCs w:val="24"/>
        </w:rPr>
      </w:pPr>
      <w:r w:rsidRPr="009E0CC4">
        <w:rPr>
          <w:rFonts w:ascii="Times New Roman" w:hAnsi="Times New Roman" w:cs="Times New Roman"/>
          <w:sz w:val="24"/>
          <w:szCs w:val="24"/>
        </w:rPr>
        <w:t xml:space="preserve">Several years ago, the Bureau of Mines published an Information Circular </w:t>
      </w:r>
      <w:bookmarkStart w:id="4" w:name="_GoBack"/>
      <w:bookmarkEnd w:id="4"/>
      <w:r w:rsidR="00B97E0E">
        <w:rPr>
          <w:rFonts w:ascii="Times New Roman" w:hAnsi="Times New Roman" w:cs="Times New Roman"/>
          <w:sz w:val="24"/>
          <w:szCs w:val="24"/>
        </w:rPr>
        <w:t>(</w:t>
      </w:r>
      <w:r w:rsidRPr="009E0CC4">
        <w:rPr>
          <w:rFonts w:ascii="Times New Roman" w:hAnsi="Times New Roman" w:cs="Times New Roman"/>
          <w:sz w:val="24"/>
          <w:szCs w:val="24"/>
        </w:rPr>
        <w:t>Perdue, Kowalski &amp; Barrett, 1995) that includes a summary of the psychological principles that could be applied to hazard recognition as well as a relatively simple information processing model that conceptualizes hazard recognition</w:t>
      </w:r>
      <w:r>
        <w:rPr>
          <w:rFonts w:ascii="Times New Roman" w:hAnsi="Times New Roman" w:cs="Times New Roman"/>
          <w:sz w:val="24"/>
          <w:szCs w:val="24"/>
        </w:rPr>
        <w:t>.</w:t>
      </w:r>
      <w:r w:rsidR="001313B6">
        <w:rPr>
          <w:rFonts w:ascii="Times New Roman" w:hAnsi="Times New Roman" w:cs="Times New Roman"/>
          <w:sz w:val="24"/>
          <w:szCs w:val="24"/>
        </w:rPr>
        <w:t xml:space="preserve">  In general, th</w:t>
      </w:r>
      <w:r w:rsidR="00B97E0E">
        <w:rPr>
          <w:rFonts w:ascii="Times New Roman" w:hAnsi="Times New Roman" w:cs="Times New Roman"/>
          <w:sz w:val="24"/>
          <w:szCs w:val="24"/>
        </w:rPr>
        <w:t xml:space="preserve">e Information Circular </w:t>
      </w:r>
      <w:r w:rsidR="001313B6">
        <w:rPr>
          <w:rFonts w:ascii="Times New Roman" w:hAnsi="Times New Roman" w:cs="Times New Roman"/>
          <w:sz w:val="24"/>
          <w:szCs w:val="24"/>
        </w:rPr>
        <w:t xml:space="preserve">suggests the importance of visual attention and visual search to finding and identifying hazard recognition.  However, no research studies were ever conducted by the Bureau of Mine or later by OMSHR </w:t>
      </w:r>
      <w:r w:rsidR="00E96FBD">
        <w:rPr>
          <w:rFonts w:ascii="Times New Roman" w:hAnsi="Times New Roman" w:cs="Times New Roman"/>
          <w:sz w:val="24"/>
          <w:szCs w:val="24"/>
        </w:rPr>
        <w:t xml:space="preserve">researchers </w:t>
      </w:r>
      <w:r w:rsidR="001313B6">
        <w:rPr>
          <w:rFonts w:ascii="Times New Roman" w:hAnsi="Times New Roman" w:cs="Times New Roman"/>
          <w:sz w:val="24"/>
          <w:szCs w:val="24"/>
        </w:rPr>
        <w:t xml:space="preserve">to support this suggestion.  </w:t>
      </w:r>
    </w:p>
    <w:p w14:paraId="28F9E22F" w14:textId="77777777" w:rsidR="00E96FBD" w:rsidRDefault="001313B6" w:rsidP="009B7215">
      <w:pPr>
        <w:rPr>
          <w:rFonts w:ascii="Times New Roman" w:hAnsi="Times New Roman" w:cs="Times New Roman"/>
          <w:sz w:val="24"/>
          <w:szCs w:val="24"/>
        </w:rPr>
      </w:pPr>
      <w:r>
        <w:rPr>
          <w:rFonts w:ascii="Times New Roman" w:hAnsi="Times New Roman" w:cs="Times New Roman"/>
          <w:sz w:val="24"/>
          <w:szCs w:val="24"/>
        </w:rPr>
        <w:t xml:space="preserve">Within the construction industry, recent work has been done to </w:t>
      </w:r>
      <w:r w:rsidR="009B7215" w:rsidRPr="009B7215">
        <w:rPr>
          <w:rFonts w:ascii="Times New Roman" w:hAnsi="Times New Roman" w:cs="Times New Roman"/>
          <w:sz w:val="24"/>
          <w:szCs w:val="24"/>
        </w:rPr>
        <w:t xml:space="preserve">investigate the influence of experience on hazard recognition and risk perception.  </w:t>
      </w:r>
      <w:r w:rsidR="00E96FBD">
        <w:rPr>
          <w:rFonts w:ascii="Times New Roman" w:hAnsi="Times New Roman" w:cs="Times New Roman"/>
          <w:sz w:val="24"/>
          <w:szCs w:val="24"/>
        </w:rPr>
        <w:t xml:space="preserve">While there are differences in construction jobs and processes compared to mining jobs and processes, both industries rely on the use of similar tools, personal protective equipment (PPE), and machinery.  Moreover, construction workers encounter some of the same hazards that mine workers encounter – for instance, both encounter electrical hazards that can be avoided by locking and tagging out </w:t>
      </w:r>
      <w:r w:rsidR="0083662E">
        <w:rPr>
          <w:rFonts w:ascii="Times New Roman" w:hAnsi="Times New Roman" w:cs="Times New Roman"/>
          <w:sz w:val="24"/>
          <w:szCs w:val="24"/>
        </w:rPr>
        <w:t>an electrical source.</w:t>
      </w:r>
      <w:r w:rsidR="00E96FBD">
        <w:rPr>
          <w:rFonts w:ascii="Times New Roman" w:hAnsi="Times New Roman" w:cs="Times New Roman"/>
          <w:sz w:val="24"/>
          <w:szCs w:val="24"/>
        </w:rPr>
        <w:t xml:space="preserve">  </w:t>
      </w:r>
      <w:r w:rsidR="009B7215" w:rsidRPr="009B7215">
        <w:rPr>
          <w:rFonts w:ascii="Times New Roman" w:hAnsi="Times New Roman" w:cs="Times New Roman"/>
          <w:sz w:val="24"/>
          <w:szCs w:val="24"/>
        </w:rPr>
        <w:t xml:space="preserve">In </w:t>
      </w:r>
      <w:r w:rsidR="0083662E">
        <w:rPr>
          <w:rFonts w:ascii="Times New Roman" w:hAnsi="Times New Roman" w:cs="Times New Roman"/>
          <w:sz w:val="24"/>
          <w:szCs w:val="24"/>
        </w:rPr>
        <w:t>one</w:t>
      </w:r>
      <w:r w:rsidR="0083662E" w:rsidRPr="009B7215">
        <w:rPr>
          <w:rFonts w:ascii="Times New Roman" w:hAnsi="Times New Roman" w:cs="Times New Roman"/>
          <w:sz w:val="24"/>
          <w:szCs w:val="24"/>
        </w:rPr>
        <w:t xml:space="preserve"> </w:t>
      </w:r>
      <w:r w:rsidR="009B7215" w:rsidRPr="009B7215">
        <w:rPr>
          <w:rFonts w:ascii="Times New Roman" w:hAnsi="Times New Roman" w:cs="Times New Roman"/>
          <w:sz w:val="24"/>
          <w:szCs w:val="24"/>
        </w:rPr>
        <w:t xml:space="preserve">study, </w:t>
      </w:r>
      <w:r w:rsidRPr="009B7215">
        <w:rPr>
          <w:rFonts w:ascii="Times New Roman" w:hAnsi="Times New Roman" w:cs="Times New Roman"/>
          <w:sz w:val="24"/>
          <w:szCs w:val="24"/>
        </w:rPr>
        <w:t xml:space="preserve">Perlman et al., (2014) </w:t>
      </w:r>
      <w:r>
        <w:rPr>
          <w:rFonts w:ascii="Times New Roman" w:hAnsi="Times New Roman" w:cs="Times New Roman"/>
          <w:sz w:val="24"/>
          <w:szCs w:val="24"/>
        </w:rPr>
        <w:t xml:space="preserve">asked </w:t>
      </w:r>
      <w:r w:rsidR="009B7215" w:rsidRPr="009B7215">
        <w:rPr>
          <w:rFonts w:ascii="Times New Roman" w:hAnsi="Times New Roman" w:cs="Times New Roman"/>
          <w:sz w:val="24"/>
          <w:szCs w:val="24"/>
        </w:rPr>
        <w:t xml:space="preserve">construction superintendents, safety directors, and civil engineering students searched for hazards within a virtual construction site and then assessed the level of risk associated with construction site hazards.  Counter to the author’s predictions, superintendents were unable to identify all of the hazards in the work environment.  In fact, safety directors outperformed both superintendents and civil engineering students when recognizing hazards, a difference Perlman et al. attribute to experience and formal safety training which the other two groups respectively did not have.  </w:t>
      </w:r>
      <w:r>
        <w:rPr>
          <w:rFonts w:ascii="Times New Roman" w:hAnsi="Times New Roman" w:cs="Times New Roman"/>
          <w:sz w:val="24"/>
          <w:szCs w:val="24"/>
        </w:rPr>
        <w:t xml:space="preserve">  </w:t>
      </w:r>
      <w:r w:rsidR="00E96FBD">
        <w:rPr>
          <w:rFonts w:ascii="Times New Roman" w:hAnsi="Times New Roman" w:cs="Times New Roman"/>
          <w:sz w:val="24"/>
          <w:szCs w:val="24"/>
        </w:rPr>
        <w:t xml:space="preserve">One issue with the Perlman et al. study is that data was not collected from construction workers.  Because of this, it is not known how construction workers perform on a hazard recognition task relative to the safety directors, superintendent, and civil engineering students.  </w:t>
      </w:r>
      <w:r w:rsidR="00892817">
        <w:rPr>
          <w:rFonts w:ascii="Times New Roman" w:hAnsi="Times New Roman" w:cs="Times New Roman"/>
          <w:sz w:val="24"/>
          <w:szCs w:val="24"/>
        </w:rPr>
        <w:t xml:space="preserve">In the current research study, data will be collected from safety directors and students.  In addition, and critical to the study of mine worker hazard recognition abilities, we will collect data from mine workers currently employed at a SSG mine.  In order to be able to draw conclusions about how a group of people performs, it is necessary to collect data from that group.  To our knowledge, this has not been done with </w:t>
      </w:r>
      <w:r w:rsidR="005A65D1">
        <w:rPr>
          <w:rFonts w:ascii="Times New Roman" w:hAnsi="Times New Roman" w:cs="Times New Roman"/>
          <w:sz w:val="24"/>
          <w:szCs w:val="24"/>
        </w:rPr>
        <w:t>any type of mine workers – and specifically it has not been done with SSG mine workers</w:t>
      </w:r>
      <w:r w:rsidR="00892817">
        <w:rPr>
          <w:rFonts w:ascii="Times New Roman" w:hAnsi="Times New Roman" w:cs="Times New Roman"/>
          <w:sz w:val="24"/>
          <w:szCs w:val="24"/>
        </w:rPr>
        <w:t>.</w:t>
      </w:r>
    </w:p>
    <w:p w14:paraId="1566DBED" w14:textId="77777777" w:rsidR="007C064A" w:rsidRDefault="007C064A" w:rsidP="00380787">
      <w:pPr>
        <w:pStyle w:val="Heading1"/>
        <w:numPr>
          <w:ilvl w:val="0"/>
          <w:numId w:val="14"/>
        </w:numPr>
      </w:pPr>
      <w:r>
        <w:t>Impact on Small Businesses or Other Small Entities</w:t>
      </w:r>
    </w:p>
    <w:p w14:paraId="260FC514" w14:textId="77777777" w:rsidR="00380787" w:rsidRDefault="00104668" w:rsidP="00380787">
      <w:pPr>
        <w:rPr>
          <w:rFonts w:ascii="Times New Roman" w:hAnsi="Times New Roman" w:cs="Times New Roman"/>
          <w:sz w:val="24"/>
          <w:szCs w:val="24"/>
        </w:rPr>
      </w:pPr>
      <w:r>
        <w:rPr>
          <w:rFonts w:ascii="Times New Roman" w:hAnsi="Times New Roman" w:cs="Times New Roman"/>
          <w:sz w:val="24"/>
          <w:szCs w:val="24"/>
        </w:rPr>
        <w:t>Small mines will be included in the data collection</w:t>
      </w:r>
      <w:r w:rsidR="004B7E35" w:rsidRPr="009C4FE8">
        <w:rPr>
          <w:rFonts w:ascii="Times New Roman" w:hAnsi="Times New Roman" w:cs="Times New Roman"/>
          <w:sz w:val="24"/>
          <w:szCs w:val="24"/>
        </w:rPr>
        <w:t xml:space="preserve"> </w:t>
      </w:r>
      <w:r w:rsidR="006F1448">
        <w:rPr>
          <w:rFonts w:ascii="Times New Roman" w:hAnsi="Times New Roman" w:cs="Times New Roman"/>
          <w:sz w:val="24"/>
          <w:szCs w:val="24"/>
        </w:rPr>
        <w:t xml:space="preserve">because a large number of SSG mines are </w:t>
      </w:r>
      <w:r w:rsidR="00B05031">
        <w:rPr>
          <w:rFonts w:ascii="Times New Roman" w:hAnsi="Times New Roman" w:cs="Times New Roman"/>
          <w:sz w:val="24"/>
          <w:szCs w:val="24"/>
        </w:rPr>
        <w:t xml:space="preserve">categorized as </w:t>
      </w:r>
      <w:r w:rsidR="006F1448">
        <w:rPr>
          <w:rFonts w:ascii="Times New Roman" w:hAnsi="Times New Roman" w:cs="Times New Roman"/>
          <w:sz w:val="24"/>
          <w:szCs w:val="24"/>
        </w:rPr>
        <w:t>small mines</w:t>
      </w:r>
      <w:r w:rsidR="004B7E35" w:rsidRPr="009C4FE8">
        <w:rPr>
          <w:rFonts w:ascii="Times New Roman" w:hAnsi="Times New Roman" w:cs="Times New Roman"/>
          <w:sz w:val="24"/>
          <w:szCs w:val="24"/>
        </w:rPr>
        <w:t xml:space="preserve"> </w:t>
      </w:r>
      <w:r w:rsidR="00FE19F3">
        <w:rPr>
          <w:rFonts w:ascii="Times New Roman" w:hAnsi="Times New Roman" w:cs="Times New Roman"/>
          <w:sz w:val="24"/>
          <w:szCs w:val="24"/>
        </w:rPr>
        <w:t xml:space="preserve">(with operations of 50 or fewer employees).  </w:t>
      </w:r>
      <w:r w:rsidR="004B7E35" w:rsidRPr="009C4FE8">
        <w:rPr>
          <w:rFonts w:ascii="Times New Roman" w:hAnsi="Times New Roman" w:cs="Times New Roman"/>
          <w:sz w:val="24"/>
          <w:szCs w:val="24"/>
        </w:rPr>
        <w:t>All data collection will take place on site at the Office of Mine Safety and Health Research (OMSHR) Bruceton location in Pittsburgh, PA.  Efforts will be made to minimize the amount of time it takes to complete data collection</w:t>
      </w:r>
      <w:r w:rsidR="00037BB5">
        <w:rPr>
          <w:rFonts w:ascii="Times New Roman" w:hAnsi="Times New Roman" w:cs="Times New Roman"/>
          <w:sz w:val="24"/>
          <w:szCs w:val="24"/>
        </w:rPr>
        <w:t xml:space="preserve">.  In order to minimize the burden on small mines, the number of data collection instruments and the number of questions have been held to the absolute minimum required for the intended use of the data.  </w:t>
      </w:r>
    </w:p>
    <w:p w14:paraId="460849A9" w14:textId="77777777" w:rsidR="007C064A" w:rsidRPr="00380787" w:rsidRDefault="007C064A" w:rsidP="00380787">
      <w:pPr>
        <w:pStyle w:val="Heading1"/>
        <w:numPr>
          <w:ilvl w:val="0"/>
          <w:numId w:val="14"/>
        </w:numPr>
        <w:rPr>
          <w:rFonts w:cs="Times New Roman"/>
          <w:sz w:val="24"/>
          <w:szCs w:val="24"/>
        </w:rPr>
      </w:pPr>
      <w:r w:rsidRPr="00DD4F18">
        <w:t>Consequences of Collecting the Information Less Frequently</w:t>
      </w:r>
    </w:p>
    <w:p w14:paraId="46FEB77A" w14:textId="77777777" w:rsidR="00037BB5" w:rsidRDefault="00037BB5" w:rsidP="00606051">
      <w:pPr>
        <w:rPr>
          <w:rFonts w:ascii="Times New Roman" w:hAnsi="Times New Roman" w:cs="Times New Roman"/>
          <w:sz w:val="24"/>
          <w:szCs w:val="24"/>
        </w:rPr>
      </w:pPr>
      <w:r>
        <w:rPr>
          <w:rFonts w:ascii="Times New Roman" w:hAnsi="Times New Roman" w:cs="Times New Roman"/>
          <w:sz w:val="24"/>
          <w:szCs w:val="24"/>
        </w:rPr>
        <w:t xml:space="preserve">This is a request for a one time data collection.  All </w:t>
      </w:r>
      <w:r w:rsidR="002B19A5">
        <w:rPr>
          <w:rFonts w:ascii="Times New Roman" w:hAnsi="Times New Roman" w:cs="Times New Roman"/>
          <w:sz w:val="24"/>
          <w:szCs w:val="24"/>
        </w:rPr>
        <w:t>participants will</w:t>
      </w:r>
      <w:r>
        <w:rPr>
          <w:rFonts w:ascii="Times New Roman" w:hAnsi="Times New Roman" w:cs="Times New Roman"/>
          <w:sz w:val="24"/>
          <w:szCs w:val="24"/>
        </w:rPr>
        <w:t xml:space="preserve"> be asked to complete all data collection instruments one time only.  </w:t>
      </w:r>
    </w:p>
    <w:p w14:paraId="34D1B06B" w14:textId="77777777" w:rsidR="00014636" w:rsidRPr="00606051" w:rsidRDefault="00037BB5" w:rsidP="00606051">
      <w:pPr>
        <w:rPr>
          <w:rFonts w:ascii="Times New Roman" w:hAnsi="Times New Roman" w:cs="Times New Roman"/>
          <w:sz w:val="24"/>
          <w:szCs w:val="24"/>
        </w:rPr>
      </w:pPr>
      <w:r>
        <w:rPr>
          <w:rFonts w:ascii="Times New Roman" w:hAnsi="Times New Roman" w:cs="Times New Roman"/>
          <w:sz w:val="24"/>
          <w:szCs w:val="24"/>
        </w:rPr>
        <w:t>The goal of this research project is to understand how</w:t>
      </w:r>
      <w:r w:rsidRPr="00ED3136">
        <w:rPr>
          <w:rFonts w:ascii="Times New Roman" w:hAnsi="Times New Roman" w:cs="Times New Roman"/>
          <w:sz w:val="24"/>
          <w:szCs w:val="24"/>
        </w:rPr>
        <w:t xml:space="preserve"> SSG mine workers</w:t>
      </w:r>
      <w:r>
        <w:rPr>
          <w:rFonts w:ascii="Times New Roman" w:hAnsi="Times New Roman" w:cs="Times New Roman"/>
          <w:sz w:val="24"/>
          <w:szCs w:val="24"/>
        </w:rPr>
        <w:t xml:space="preserve"> with varying levels of mining experience search for and </w:t>
      </w:r>
      <w:r w:rsidRPr="00ED3136">
        <w:rPr>
          <w:rFonts w:ascii="Times New Roman" w:hAnsi="Times New Roman" w:cs="Times New Roman"/>
          <w:sz w:val="24"/>
          <w:szCs w:val="24"/>
        </w:rPr>
        <w:t xml:space="preserve">recognize worksite hazards, </w:t>
      </w:r>
      <w:r>
        <w:rPr>
          <w:rFonts w:ascii="Times New Roman" w:hAnsi="Times New Roman" w:cs="Times New Roman"/>
          <w:sz w:val="24"/>
          <w:szCs w:val="24"/>
        </w:rPr>
        <w:t xml:space="preserve">and </w:t>
      </w:r>
      <w:r w:rsidRPr="00ED3136">
        <w:rPr>
          <w:rFonts w:ascii="Times New Roman" w:hAnsi="Times New Roman" w:cs="Times New Roman"/>
          <w:sz w:val="24"/>
          <w:szCs w:val="24"/>
        </w:rPr>
        <w:t xml:space="preserve">to </w:t>
      </w:r>
      <w:r>
        <w:rPr>
          <w:rFonts w:ascii="Times New Roman" w:hAnsi="Times New Roman" w:cs="Times New Roman"/>
          <w:sz w:val="24"/>
          <w:szCs w:val="24"/>
        </w:rPr>
        <w:t xml:space="preserve">also </w:t>
      </w:r>
      <w:r w:rsidRPr="00ED3136">
        <w:rPr>
          <w:rFonts w:ascii="Times New Roman" w:hAnsi="Times New Roman" w:cs="Times New Roman"/>
          <w:sz w:val="24"/>
          <w:szCs w:val="24"/>
        </w:rPr>
        <w:t xml:space="preserve">understand how this </w:t>
      </w:r>
      <w:r>
        <w:rPr>
          <w:rFonts w:ascii="Times New Roman" w:hAnsi="Times New Roman" w:cs="Times New Roman"/>
          <w:sz w:val="24"/>
          <w:szCs w:val="24"/>
        </w:rPr>
        <w:t xml:space="preserve">hazard recognition </w:t>
      </w:r>
      <w:r w:rsidRPr="00ED3136">
        <w:rPr>
          <w:rFonts w:ascii="Times New Roman" w:hAnsi="Times New Roman" w:cs="Times New Roman"/>
          <w:sz w:val="24"/>
          <w:szCs w:val="24"/>
        </w:rPr>
        <w:t>ability relates to perceived and measured risk</w:t>
      </w:r>
      <w:r>
        <w:rPr>
          <w:rFonts w:ascii="Times New Roman" w:hAnsi="Times New Roman" w:cs="Times New Roman"/>
          <w:sz w:val="24"/>
          <w:szCs w:val="24"/>
        </w:rPr>
        <w:t xml:space="preserve">.  The results of this research study will be used to develop necessary training programs and recommendations documents that will be used to address critical issues related to safety not only for SSG mines but also for surface coal and metal/nonmetal mines.  </w:t>
      </w:r>
      <w:r w:rsidR="00F75DB5">
        <w:rPr>
          <w:rFonts w:ascii="Times New Roman" w:hAnsi="Times New Roman" w:cs="Times New Roman"/>
          <w:sz w:val="24"/>
          <w:szCs w:val="24"/>
        </w:rPr>
        <w:t>Given that this type of research has never been conducted within the mining industry, a</w:t>
      </w:r>
      <w:r>
        <w:rPr>
          <w:rFonts w:ascii="Times New Roman" w:hAnsi="Times New Roman" w:cs="Times New Roman"/>
          <w:sz w:val="24"/>
          <w:szCs w:val="24"/>
        </w:rPr>
        <w:t xml:space="preserve"> consequence of not collecting this data would be that </w:t>
      </w:r>
      <w:r w:rsidR="00F75DB5">
        <w:rPr>
          <w:rFonts w:ascii="Times New Roman" w:hAnsi="Times New Roman" w:cs="Times New Roman"/>
          <w:sz w:val="24"/>
          <w:szCs w:val="24"/>
        </w:rPr>
        <w:t>NIOSH/OMSHR would not be able to use the results to inform the development of much needed training programs and recommendations documents focused on increasing hazard recognition knowledge, skill</w:t>
      </w:r>
      <w:r w:rsidR="00B05031">
        <w:rPr>
          <w:rFonts w:ascii="Times New Roman" w:hAnsi="Times New Roman" w:cs="Times New Roman"/>
          <w:sz w:val="24"/>
          <w:szCs w:val="24"/>
        </w:rPr>
        <w:t>s</w:t>
      </w:r>
      <w:r w:rsidR="00F75DB5">
        <w:rPr>
          <w:rFonts w:ascii="Times New Roman" w:hAnsi="Times New Roman" w:cs="Times New Roman"/>
          <w:sz w:val="24"/>
          <w:szCs w:val="24"/>
        </w:rPr>
        <w:t xml:space="preserve"> and abil</w:t>
      </w:r>
      <w:r w:rsidR="002B19A5">
        <w:rPr>
          <w:rFonts w:ascii="Times New Roman" w:hAnsi="Times New Roman" w:cs="Times New Roman"/>
          <w:sz w:val="24"/>
          <w:szCs w:val="24"/>
        </w:rPr>
        <w:t xml:space="preserve">ities for the mining industry. </w:t>
      </w:r>
    </w:p>
    <w:p w14:paraId="6B69BE54" w14:textId="77777777" w:rsidR="007C064A" w:rsidRDefault="007C064A" w:rsidP="00F75DB5">
      <w:pPr>
        <w:pStyle w:val="Heading1"/>
      </w:pPr>
      <w:r>
        <w:t>Special Circumstances Relating to the Guidelines of 5 CFR 1320.5</w:t>
      </w:r>
    </w:p>
    <w:p w14:paraId="52B784F7" w14:textId="77777777" w:rsidR="007C064A" w:rsidRDefault="007C064A" w:rsidP="007C064A">
      <w:pPr>
        <w:rPr>
          <w:rFonts w:ascii="Times New Roman" w:hAnsi="Times New Roman" w:cs="Times New Roman"/>
          <w:sz w:val="24"/>
          <w:szCs w:val="24"/>
        </w:rPr>
      </w:pPr>
      <w:r w:rsidRPr="007C064A">
        <w:rPr>
          <w:rFonts w:ascii="Times New Roman" w:hAnsi="Times New Roman" w:cs="Times New Roman"/>
          <w:sz w:val="24"/>
          <w:szCs w:val="24"/>
        </w:rPr>
        <w:t>This request fully complies with the regulation 5 CFR 1320.5</w:t>
      </w:r>
    </w:p>
    <w:p w14:paraId="6574D9A9" w14:textId="77777777" w:rsidR="007C064A" w:rsidRPr="007C064A" w:rsidRDefault="007C064A" w:rsidP="007C064A">
      <w:pPr>
        <w:pStyle w:val="Heading1"/>
      </w:pPr>
      <w:bookmarkStart w:id="5" w:name="_Toc350432822"/>
      <w:r w:rsidRPr="007C064A">
        <w:t>Comments in Response to the Federal Register Notice and Efforts to Consult Outside the Agency</w:t>
      </w:r>
      <w:bookmarkEnd w:id="5"/>
      <w:r w:rsidRPr="007C064A">
        <w:t xml:space="preserve"> </w:t>
      </w:r>
    </w:p>
    <w:p w14:paraId="4ECF11BE" w14:textId="0ED4B7C6" w:rsidR="007C064A" w:rsidRPr="007C064A" w:rsidRDefault="007C064A" w:rsidP="007C064A">
      <w:pPr>
        <w:spacing w:after="120" w:line="240" w:lineRule="auto"/>
        <w:jc w:val="both"/>
        <w:rPr>
          <w:rFonts w:ascii="Times New Roman" w:hAnsi="Times New Roman"/>
          <w:sz w:val="24"/>
        </w:rPr>
      </w:pPr>
      <w:r w:rsidRPr="007C064A">
        <w:rPr>
          <w:rFonts w:ascii="Times New Roman" w:hAnsi="Times New Roman"/>
          <w:sz w:val="24"/>
        </w:rPr>
        <w:t xml:space="preserve"> A 60-day Federal Register Notice was published in the </w:t>
      </w:r>
      <w:r w:rsidRPr="007C064A">
        <w:rPr>
          <w:rFonts w:ascii="Times New Roman" w:hAnsi="Times New Roman"/>
          <w:i/>
          <w:sz w:val="24"/>
        </w:rPr>
        <w:t>Federal Register</w:t>
      </w:r>
      <w:r w:rsidRPr="007C064A">
        <w:rPr>
          <w:rFonts w:ascii="Times New Roman" w:hAnsi="Times New Roman"/>
          <w:sz w:val="24"/>
        </w:rPr>
        <w:t xml:space="preserve"> </w:t>
      </w:r>
      <w:r w:rsidRPr="00B2292F">
        <w:rPr>
          <w:rFonts w:ascii="Times New Roman" w:hAnsi="Times New Roman"/>
          <w:sz w:val="24"/>
        </w:rPr>
        <w:t xml:space="preserve">on </w:t>
      </w:r>
      <w:r w:rsidR="0040771D">
        <w:rPr>
          <w:rFonts w:ascii="Times New Roman" w:hAnsi="Times New Roman"/>
          <w:sz w:val="24"/>
        </w:rPr>
        <w:t>April 08, 2015</w:t>
      </w:r>
      <w:r w:rsidR="00047747">
        <w:rPr>
          <w:rFonts w:ascii="Times New Roman" w:hAnsi="Times New Roman"/>
          <w:sz w:val="24"/>
        </w:rPr>
        <w:t>,</w:t>
      </w:r>
      <w:r w:rsidRPr="007C064A">
        <w:rPr>
          <w:rFonts w:ascii="Times New Roman" w:hAnsi="Times New Roman"/>
          <w:sz w:val="24"/>
        </w:rPr>
        <w:t xml:space="preserve"> </w:t>
      </w:r>
      <w:r w:rsidR="0040771D">
        <w:rPr>
          <w:rFonts w:ascii="Times New Roman" w:hAnsi="Times New Roman"/>
          <w:sz w:val="24"/>
        </w:rPr>
        <w:t xml:space="preserve">vol.80, No.67, pp.1884-86 </w:t>
      </w:r>
      <w:r w:rsidRPr="007C064A">
        <w:rPr>
          <w:rFonts w:ascii="Times New Roman" w:hAnsi="Times New Roman"/>
          <w:sz w:val="24"/>
        </w:rPr>
        <w:t>(</w:t>
      </w:r>
      <w:r w:rsidR="0040771D" w:rsidRPr="00A35C31">
        <w:rPr>
          <w:rFonts w:ascii="Times New Roman" w:hAnsi="Times New Roman"/>
          <w:b/>
          <w:sz w:val="24"/>
        </w:rPr>
        <w:t>see Att B</w:t>
      </w:r>
      <w:r w:rsidR="0040771D">
        <w:rPr>
          <w:rFonts w:ascii="Times New Roman" w:hAnsi="Times New Roman"/>
          <w:sz w:val="24"/>
        </w:rPr>
        <w:t>). CDC did not receive public comments related to this notice.</w:t>
      </w:r>
      <w:r w:rsidRPr="007C064A">
        <w:rPr>
          <w:rFonts w:ascii="Times New Roman" w:hAnsi="Times New Roman"/>
          <w:sz w:val="24"/>
        </w:rPr>
        <w:t xml:space="preserve"> </w:t>
      </w:r>
    </w:p>
    <w:p w14:paraId="78E88EB2" w14:textId="119AE6D9" w:rsidR="007C064A" w:rsidRPr="007C064A" w:rsidRDefault="007C064A" w:rsidP="007C064A">
      <w:pPr>
        <w:spacing w:after="120" w:line="240" w:lineRule="auto"/>
        <w:jc w:val="both"/>
        <w:rPr>
          <w:rFonts w:ascii="Times New Roman" w:hAnsi="Times New Roman"/>
          <w:sz w:val="24"/>
        </w:rPr>
      </w:pPr>
      <w:r w:rsidRPr="007C064A">
        <w:rPr>
          <w:rFonts w:ascii="Times New Roman" w:hAnsi="Times New Roman"/>
          <w:sz w:val="24"/>
        </w:rPr>
        <w:t xml:space="preserve">An extensive literature review was conducted. There were no personal consults outside NIOSH. </w:t>
      </w:r>
    </w:p>
    <w:p w14:paraId="0CB7395B" w14:textId="77777777" w:rsidR="007C064A" w:rsidRDefault="007C064A" w:rsidP="007C064A">
      <w:pPr>
        <w:rPr>
          <w:rFonts w:ascii="Times New Roman" w:hAnsi="Times New Roman" w:cs="Times New Roman"/>
          <w:sz w:val="24"/>
          <w:szCs w:val="24"/>
        </w:rPr>
      </w:pPr>
    </w:p>
    <w:p w14:paraId="6C2000BE" w14:textId="77777777" w:rsidR="007C064A" w:rsidRPr="007C064A" w:rsidRDefault="007C064A" w:rsidP="007C064A">
      <w:pPr>
        <w:pStyle w:val="Heading1"/>
        <w:rPr>
          <w:b w:val="0"/>
          <w:bCs w:val="0"/>
          <w:szCs w:val="24"/>
        </w:rPr>
      </w:pPr>
      <w:bookmarkStart w:id="6" w:name="_Toc350432823"/>
      <w:r w:rsidRPr="007C064A">
        <w:rPr>
          <w:rFonts w:eastAsia="Times New Roman"/>
        </w:rPr>
        <w:t>Explanation of Any Payment or Gift to Respondents</w:t>
      </w:r>
      <w:bookmarkEnd w:id="6"/>
      <w:r w:rsidRPr="007C064A">
        <w:rPr>
          <w:rFonts w:eastAsia="Times New Roman"/>
        </w:rPr>
        <w:t xml:space="preserve"> </w:t>
      </w:r>
    </w:p>
    <w:p w14:paraId="22C96B11" w14:textId="77777777" w:rsidR="007C064A" w:rsidRPr="007C064A" w:rsidRDefault="007C064A" w:rsidP="007C064A">
      <w:pPr>
        <w:keepNext/>
        <w:spacing w:after="120" w:line="240" w:lineRule="auto"/>
        <w:ind w:left="360"/>
        <w:contextualSpacing/>
        <w:jc w:val="both"/>
        <w:outlineLvl w:val="0"/>
        <w:rPr>
          <w:rFonts w:ascii="Times New Roman" w:eastAsiaTheme="majorEastAsia" w:hAnsi="Times New Roman" w:cstheme="majorBidi"/>
          <w:b/>
          <w:bCs/>
          <w:sz w:val="32"/>
          <w:szCs w:val="24"/>
        </w:rPr>
      </w:pPr>
    </w:p>
    <w:p w14:paraId="241D3056" w14:textId="77777777" w:rsidR="007C064A" w:rsidRDefault="00D9113B" w:rsidP="007C064A">
      <w:pPr>
        <w:spacing w:after="120" w:line="240" w:lineRule="auto"/>
        <w:jc w:val="both"/>
        <w:rPr>
          <w:rFonts w:ascii="Times New Roman" w:hAnsi="Times New Roman"/>
          <w:sz w:val="24"/>
        </w:rPr>
      </w:pPr>
      <w:r>
        <w:rPr>
          <w:rFonts w:ascii="Times New Roman" w:hAnsi="Times New Roman"/>
          <w:sz w:val="24"/>
        </w:rPr>
        <w:t xml:space="preserve">     No remuneration will be paid to respondents.</w:t>
      </w:r>
    </w:p>
    <w:p w14:paraId="0ED41FD2" w14:textId="77777777" w:rsidR="007C064A" w:rsidRDefault="007C064A" w:rsidP="007C064A">
      <w:pPr>
        <w:spacing w:after="120" w:line="240" w:lineRule="auto"/>
        <w:jc w:val="both"/>
        <w:rPr>
          <w:rFonts w:ascii="Times New Roman" w:hAnsi="Times New Roman"/>
          <w:sz w:val="24"/>
        </w:rPr>
      </w:pPr>
    </w:p>
    <w:p w14:paraId="7AD58730" w14:textId="77777777" w:rsidR="007C064A" w:rsidRPr="007C064A" w:rsidRDefault="00C07397" w:rsidP="007C064A">
      <w:pPr>
        <w:pStyle w:val="Heading1"/>
      </w:pPr>
      <w:bookmarkStart w:id="7" w:name="_Toc350432824"/>
      <w:r>
        <w:t xml:space="preserve">Protection </w:t>
      </w:r>
      <w:bookmarkEnd w:id="7"/>
      <w:r>
        <w:t>of the Privacy and Confidentiality of Information Provided by Respondents</w:t>
      </w:r>
    </w:p>
    <w:p w14:paraId="6CB03CB6" w14:textId="77777777" w:rsidR="00852A8B" w:rsidRPr="00852A8B" w:rsidRDefault="004011A8" w:rsidP="00852A8B">
      <w:pPr>
        <w:rPr>
          <w:rFonts w:ascii="Times New Roman" w:hAnsi="Times New Roman" w:cs="Times New Roman"/>
          <w:sz w:val="24"/>
          <w:szCs w:val="24"/>
        </w:rPr>
      </w:pPr>
      <w:r>
        <w:rPr>
          <w:rFonts w:ascii="Times New Roman" w:hAnsi="Times New Roman" w:cs="Times New Roman"/>
          <w:sz w:val="24"/>
          <w:szCs w:val="24"/>
        </w:rPr>
        <w:t xml:space="preserve">The </w:t>
      </w:r>
      <w:r w:rsidR="00104668">
        <w:rPr>
          <w:rFonts w:ascii="Times New Roman" w:hAnsi="Times New Roman" w:cs="Times New Roman"/>
          <w:sz w:val="24"/>
          <w:szCs w:val="24"/>
        </w:rPr>
        <w:t>NIOSH Information</w:t>
      </w:r>
      <w:r>
        <w:rPr>
          <w:rFonts w:ascii="Times New Roman" w:hAnsi="Times New Roman" w:cs="Times New Roman"/>
          <w:sz w:val="24"/>
          <w:szCs w:val="24"/>
        </w:rPr>
        <w:t xml:space="preserve"> Systems Security Officer reviewed this submission and determined that the Privacy Act does not </w:t>
      </w:r>
      <w:r w:rsidR="00EF5EF1">
        <w:rPr>
          <w:rFonts w:ascii="Times New Roman" w:hAnsi="Times New Roman" w:cs="Times New Roman"/>
          <w:sz w:val="24"/>
          <w:szCs w:val="24"/>
        </w:rPr>
        <w:t xml:space="preserve">apply </w:t>
      </w:r>
      <w:r w:rsidR="00EF5EF1" w:rsidRPr="00852A8B">
        <w:rPr>
          <w:rFonts w:ascii="Times New Roman" w:hAnsi="Times New Roman" w:cs="Times New Roman"/>
          <w:sz w:val="24"/>
          <w:szCs w:val="24"/>
        </w:rPr>
        <w:t>to</w:t>
      </w:r>
      <w:r w:rsidR="00852A8B" w:rsidRPr="00852A8B">
        <w:rPr>
          <w:rFonts w:ascii="Times New Roman" w:hAnsi="Times New Roman" w:cs="Times New Roman"/>
          <w:sz w:val="24"/>
          <w:szCs w:val="24"/>
        </w:rPr>
        <w:t xml:space="preserve"> this submission as no personally identifiable information will be collected at any point during the study. </w:t>
      </w:r>
    </w:p>
    <w:p w14:paraId="4016111F" w14:textId="77777777" w:rsidR="007C064A" w:rsidRPr="007C064A" w:rsidRDefault="00C07397" w:rsidP="007C064A">
      <w:pPr>
        <w:spacing w:after="120" w:line="240" w:lineRule="auto"/>
        <w:jc w:val="both"/>
        <w:rPr>
          <w:rFonts w:ascii="Times New Roman" w:hAnsi="Times New Roman"/>
          <w:sz w:val="24"/>
        </w:rPr>
      </w:pPr>
      <w:r w:rsidRPr="00C07397">
        <w:rPr>
          <w:rFonts w:ascii="Times New Roman" w:hAnsi="Times New Roman" w:cs="Times New Roman"/>
          <w:sz w:val="24"/>
          <w:szCs w:val="24"/>
        </w:rPr>
        <w:t>NIOSH Internal Review Board provides researchers with a Model Informed Consent Form.  This form is modifiable and is the template that NIOSH researchers use as the basis for the Informed Consent submitted for approval</w:t>
      </w:r>
      <w:r>
        <w:rPr>
          <w:rFonts w:ascii="Times New Roman" w:hAnsi="Times New Roman" w:cs="Times New Roman"/>
          <w:sz w:val="24"/>
          <w:szCs w:val="24"/>
        </w:rPr>
        <w:t xml:space="preserve"> and also with this submission (</w:t>
      </w:r>
      <w:r w:rsidRPr="00B2570C">
        <w:rPr>
          <w:rFonts w:ascii="Times New Roman" w:hAnsi="Times New Roman" w:cs="Times New Roman"/>
          <w:b/>
          <w:sz w:val="24"/>
          <w:szCs w:val="24"/>
        </w:rPr>
        <w:t>see Attachment I for the informed consent</w:t>
      </w:r>
      <w:r>
        <w:rPr>
          <w:rFonts w:ascii="Times New Roman" w:hAnsi="Times New Roman" w:cs="Times New Roman"/>
          <w:sz w:val="24"/>
          <w:szCs w:val="24"/>
        </w:rPr>
        <w:t>)</w:t>
      </w:r>
      <w:r w:rsidRPr="00C07397">
        <w:rPr>
          <w:rFonts w:ascii="Times New Roman" w:hAnsi="Times New Roman" w:cs="Times New Roman"/>
          <w:sz w:val="24"/>
          <w:szCs w:val="24"/>
        </w:rPr>
        <w:t>.</w:t>
      </w:r>
      <w:r w:rsidR="007C064A" w:rsidRPr="007C064A">
        <w:rPr>
          <w:rFonts w:ascii="Times New Roman" w:hAnsi="Times New Roman"/>
          <w:sz w:val="24"/>
        </w:rPr>
        <w:t>Miners</w:t>
      </w:r>
      <w:r w:rsidR="00363358">
        <w:rPr>
          <w:rFonts w:ascii="Times New Roman" w:hAnsi="Times New Roman"/>
          <w:sz w:val="24"/>
        </w:rPr>
        <w:t>, safety professionals, and</w:t>
      </w:r>
      <w:r w:rsidR="00984120">
        <w:rPr>
          <w:rFonts w:ascii="Times New Roman" w:hAnsi="Times New Roman"/>
          <w:sz w:val="24"/>
        </w:rPr>
        <w:t xml:space="preserve"> </w:t>
      </w:r>
      <w:r w:rsidR="00852A8B">
        <w:rPr>
          <w:rFonts w:ascii="Times New Roman" w:hAnsi="Times New Roman"/>
          <w:sz w:val="24"/>
        </w:rPr>
        <w:t xml:space="preserve">students </w:t>
      </w:r>
      <w:r w:rsidR="007C064A" w:rsidRPr="007C064A">
        <w:rPr>
          <w:rFonts w:ascii="Times New Roman" w:hAnsi="Times New Roman"/>
          <w:sz w:val="24"/>
        </w:rPr>
        <w:t xml:space="preserve">who volunteer to participate will not be asked to provide any form of identifying information (e.g., name, SSN, etc.). Thus, no IIF will be included in the data records. All participants will be assigned a coding number that will not be linked with a name or any other identifying information. All information provided by participants will be stored by CDC/NIOSH researchers in a secure manner unless compelled otherwise by law. The data will be analyzed in the aggregate form and no individual participants will be identified.  </w:t>
      </w:r>
    </w:p>
    <w:p w14:paraId="299BA79B" w14:textId="77777777" w:rsidR="00274633" w:rsidRPr="00274633" w:rsidRDefault="00274633" w:rsidP="00274633">
      <w:pPr>
        <w:spacing w:after="120" w:line="240" w:lineRule="auto"/>
        <w:jc w:val="both"/>
        <w:rPr>
          <w:rFonts w:ascii="Times New Roman" w:hAnsi="Times New Roman"/>
          <w:sz w:val="24"/>
        </w:rPr>
      </w:pPr>
      <w:r w:rsidRPr="00274633">
        <w:rPr>
          <w:rFonts w:ascii="Times New Roman" w:hAnsi="Times New Roman"/>
          <w:sz w:val="24"/>
        </w:rPr>
        <w:t>In terms of physical controls, the completed data collection instruments will be stored in a locked file cabinet at NIOSH’s Office of Mine Safety and Health Research (OMSHR) Pittsburgh Office. This is a secure, gated facility with 24-hour security guard service. Only personnel with proper identification badges are allowed access to the site. All of the data will be entered and combined into data files that will be stored with technical safeguards in a secure, password-protected location on the CDC/NIOSH computer network. This computer network is only accessible to NIOSH employees. All networks at NIOSH are firewall protected and utilize a virtual private network. Access to this information will be restricted to researchers directly involved with the study and those who need to view the data. A training session will be conducted for all researchers about the data collection and how the data will be stored. At this training session, all researchers will be made aware of their responsibilities for protecting information being collected and maintained. At the end of the data collection, the surveys will be destroyed.</w:t>
      </w:r>
    </w:p>
    <w:p w14:paraId="5379BAE0" w14:textId="77777777" w:rsidR="00274633" w:rsidRPr="00274633" w:rsidRDefault="00274633" w:rsidP="00274633">
      <w:pPr>
        <w:spacing w:after="120" w:line="240" w:lineRule="auto"/>
        <w:jc w:val="both"/>
        <w:rPr>
          <w:rFonts w:ascii="Times New Roman" w:hAnsi="Times New Roman"/>
          <w:sz w:val="24"/>
        </w:rPr>
      </w:pPr>
      <w:r w:rsidRPr="00984120">
        <w:rPr>
          <w:rFonts w:ascii="Times New Roman" w:hAnsi="Times New Roman"/>
          <w:sz w:val="24"/>
        </w:rPr>
        <w:t>No Individually identifiable information will be collected.</w:t>
      </w:r>
      <w:r w:rsidRPr="00274633">
        <w:rPr>
          <w:rFonts w:ascii="Times New Roman" w:hAnsi="Times New Roman"/>
          <w:sz w:val="24"/>
        </w:rPr>
        <w:t xml:space="preserve">  </w:t>
      </w:r>
    </w:p>
    <w:p w14:paraId="00030DDA" w14:textId="77777777" w:rsidR="0042307D" w:rsidRDefault="0042307D" w:rsidP="007C064A">
      <w:pPr>
        <w:spacing w:after="120" w:line="240" w:lineRule="auto"/>
        <w:jc w:val="both"/>
      </w:pPr>
    </w:p>
    <w:p w14:paraId="10371BF2" w14:textId="77777777" w:rsidR="00E75933" w:rsidRDefault="00C07397" w:rsidP="00E75933">
      <w:pPr>
        <w:pStyle w:val="Heading1"/>
      </w:pPr>
      <w:bookmarkStart w:id="8" w:name="_Toc350432825"/>
      <w:r>
        <w:t xml:space="preserve">Institutional Review Board (IRB) and </w:t>
      </w:r>
      <w:r w:rsidR="00E75933" w:rsidRPr="00E75933">
        <w:t>Justification for Sensitive Questions</w:t>
      </w:r>
      <w:bookmarkEnd w:id="8"/>
    </w:p>
    <w:p w14:paraId="2D37CBCA" w14:textId="77777777" w:rsidR="00E75933" w:rsidRPr="00E75933" w:rsidRDefault="00E75933" w:rsidP="00E75933">
      <w:pPr>
        <w:keepNext/>
        <w:spacing w:after="120" w:line="240" w:lineRule="auto"/>
        <w:ind w:left="360"/>
        <w:contextualSpacing/>
        <w:jc w:val="both"/>
        <w:outlineLvl w:val="0"/>
        <w:rPr>
          <w:rFonts w:ascii="Times New Roman" w:eastAsiaTheme="majorEastAsia" w:hAnsi="Times New Roman" w:cstheme="majorBidi"/>
          <w:b/>
          <w:bCs/>
          <w:sz w:val="32"/>
          <w:szCs w:val="28"/>
        </w:rPr>
      </w:pPr>
    </w:p>
    <w:p w14:paraId="5091C083" w14:textId="77777777" w:rsidR="00C07397" w:rsidRPr="002B19A5" w:rsidRDefault="00C07397" w:rsidP="00C07397">
      <w:pPr>
        <w:spacing w:after="120" w:line="240" w:lineRule="auto"/>
        <w:jc w:val="both"/>
        <w:rPr>
          <w:rFonts w:ascii="Times New Roman" w:hAnsi="Times New Roman"/>
          <w:sz w:val="24"/>
        </w:rPr>
      </w:pPr>
      <w:r w:rsidRPr="002B19A5">
        <w:rPr>
          <w:rFonts w:ascii="Times New Roman" w:hAnsi="Times New Roman"/>
          <w:sz w:val="24"/>
        </w:rPr>
        <w:t>IRB Approval</w:t>
      </w:r>
    </w:p>
    <w:p w14:paraId="029345A9" w14:textId="77777777" w:rsidR="00C07397" w:rsidRDefault="00C07397" w:rsidP="00C07397">
      <w:pPr>
        <w:spacing w:after="120" w:line="240" w:lineRule="auto"/>
        <w:jc w:val="both"/>
      </w:pPr>
      <w:r w:rsidRPr="007C064A">
        <w:rPr>
          <w:rFonts w:ascii="Times New Roman" w:hAnsi="Times New Roman"/>
          <w:sz w:val="24"/>
        </w:rPr>
        <w:t xml:space="preserve">The data collection </w:t>
      </w:r>
      <w:r>
        <w:rPr>
          <w:rFonts w:ascii="Times New Roman" w:hAnsi="Times New Roman"/>
          <w:sz w:val="24"/>
        </w:rPr>
        <w:t>has been</w:t>
      </w:r>
      <w:r w:rsidRPr="007C064A">
        <w:rPr>
          <w:rFonts w:ascii="Times New Roman" w:hAnsi="Times New Roman"/>
          <w:sz w:val="24"/>
        </w:rPr>
        <w:t xml:space="preserve"> reviewed by the NIOSH Internal Review Board (IRB).</w:t>
      </w:r>
      <w:r>
        <w:rPr>
          <w:rFonts w:ascii="Times New Roman" w:hAnsi="Times New Roman"/>
          <w:sz w:val="24"/>
        </w:rPr>
        <w:t xml:space="preserve">  The research protocol has been developed.  The Informed Consent is included with this submission (</w:t>
      </w:r>
      <w:r w:rsidRPr="00B2570C">
        <w:rPr>
          <w:rFonts w:ascii="Times New Roman" w:hAnsi="Times New Roman"/>
          <w:b/>
          <w:sz w:val="24"/>
        </w:rPr>
        <w:t>see Appendix I</w:t>
      </w:r>
      <w:r>
        <w:rPr>
          <w:rFonts w:ascii="Times New Roman" w:hAnsi="Times New Roman"/>
          <w:sz w:val="24"/>
        </w:rPr>
        <w:t>) as</w:t>
      </w:r>
      <w:r w:rsidRPr="0042307D">
        <w:rPr>
          <w:rFonts w:ascii="Times New Roman" w:hAnsi="Times New Roman" w:cs="Times New Roman"/>
          <w:sz w:val="24"/>
          <w:szCs w:val="24"/>
        </w:rPr>
        <w:t xml:space="preserve"> </w:t>
      </w:r>
      <w:r>
        <w:rPr>
          <w:rFonts w:ascii="Times New Roman" w:hAnsi="Times New Roman" w:cs="Times New Roman"/>
          <w:sz w:val="24"/>
          <w:szCs w:val="24"/>
        </w:rPr>
        <w:t xml:space="preserve">well as documentation of </w:t>
      </w:r>
      <w:r w:rsidRPr="0042307D">
        <w:rPr>
          <w:rFonts w:ascii="Times New Roman" w:hAnsi="Times New Roman" w:cs="Times New Roman"/>
          <w:sz w:val="24"/>
          <w:szCs w:val="24"/>
        </w:rPr>
        <w:t>IRB approval</w:t>
      </w:r>
      <w:r>
        <w:rPr>
          <w:rFonts w:ascii="Times New Roman" w:hAnsi="Times New Roman" w:cs="Times New Roman"/>
          <w:sz w:val="24"/>
          <w:szCs w:val="24"/>
        </w:rPr>
        <w:t xml:space="preserve"> </w:t>
      </w:r>
      <w:r w:rsidRPr="00B2570C">
        <w:rPr>
          <w:rFonts w:ascii="Times New Roman" w:hAnsi="Times New Roman" w:cs="Times New Roman"/>
          <w:b/>
          <w:sz w:val="24"/>
          <w:szCs w:val="24"/>
        </w:rPr>
        <w:t>(see Appendix J</w:t>
      </w:r>
      <w:r>
        <w:rPr>
          <w:rFonts w:ascii="Times New Roman" w:hAnsi="Times New Roman" w:cs="Times New Roman"/>
          <w:sz w:val="24"/>
          <w:szCs w:val="24"/>
        </w:rPr>
        <w:t>).</w:t>
      </w:r>
      <w:r w:rsidRPr="0042307D">
        <w:rPr>
          <w:rFonts w:ascii="Times New Roman" w:hAnsi="Times New Roman" w:cs="Times New Roman"/>
          <w:sz w:val="24"/>
          <w:szCs w:val="24"/>
        </w:rPr>
        <w:t xml:space="preserve"> </w:t>
      </w:r>
      <w:r>
        <w:t xml:space="preserve">   </w:t>
      </w:r>
    </w:p>
    <w:p w14:paraId="66E41AF1" w14:textId="77777777" w:rsidR="00C07397" w:rsidRPr="002B19A5" w:rsidRDefault="00C07397" w:rsidP="00E75933">
      <w:pPr>
        <w:rPr>
          <w:rFonts w:ascii="Times New Roman" w:hAnsi="Times New Roman"/>
          <w:sz w:val="24"/>
        </w:rPr>
      </w:pPr>
      <w:r w:rsidRPr="002B19A5">
        <w:rPr>
          <w:rFonts w:ascii="Times New Roman" w:hAnsi="Times New Roman"/>
          <w:sz w:val="24"/>
        </w:rPr>
        <w:t>Sensitive Questions</w:t>
      </w:r>
    </w:p>
    <w:p w14:paraId="57EA7262" w14:textId="77777777" w:rsidR="00E75933" w:rsidRPr="0011568C" w:rsidRDefault="00E75933" w:rsidP="00E75933">
      <w:pPr>
        <w:rPr>
          <w:rFonts w:ascii="Times New Roman" w:hAnsi="Times New Roman"/>
          <w:sz w:val="24"/>
        </w:rPr>
      </w:pPr>
      <w:r w:rsidRPr="0011568C">
        <w:rPr>
          <w:rFonts w:ascii="Times New Roman" w:hAnsi="Times New Roman"/>
          <w:sz w:val="24"/>
        </w:rPr>
        <w:t xml:space="preserve">Participants will not be asked questions of a sensitive nature at any point during data collection. </w:t>
      </w:r>
    </w:p>
    <w:p w14:paraId="5832FA7C" w14:textId="77777777" w:rsidR="00E75933" w:rsidRPr="0011568C" w:rsidRDefault="00E75933" w:rsidP="00E75933">
      <w:pPr>
        <w:pStyle w:val="Heading1"/>
      </w:pPr>
      <w:bookmarkStart w:id="9" w:name="_Toc350432826"/>
      <w:r w:rsidRPr="0011568C">
        <w:t>Estimates of Annualized Burden Hours and Costs</w:t>
      </w:r>
      <w:bookmarkEnd w:id="9"/>
    </w:p>
    <w:p w14:paraId="36C03B91" w14:textId="77777777" w:rsidR="006F1448" w:rsidRDefault="005D4F83" w:rsidP="005D4F83">
      <w:pPr>
        <w:rPr>
          <w:rFonts w:ascii="Times New Roman" w:hAnsi="Times New Roman" w:cs="Times New Roman"/>
          <w:sz w:val="24"/>
          <w:szCs w:val="24"/>
        </w:rPr>
      </w:pPr>
      <w:r>
        <w:rPr>
          <w:rFonts w:ascii="Times New Roman" w:hAnsi="Times New Roman" w:cs="Times New Roman"/>
          <w:sz w:val="24"/>
          <w:szCs w:val="24"/>
        </w:rPr>
        <w:t xml:space="preserve">A. </w:t>
      </w:r>
      <w:r w:rsidRPr="00C03959">
        <w:rPr>
          <w:rFonts w:ascii="Times New Roman" w:hAnsi="Times New Roman" w:cs="Times New Roman"/>
          <w:sz w:val="24"/>
          <w:szCs w:val="24"/>
        </w:rPr>
        <w:t>The respondents targeted for this study include</w:t>
      </w:r>
      <w:r w:rsidR="00104668">
        <w:rPr>
          <w:rFonts w:ascii="Times New Roman" w:hAnsi="Times New Roman" w:cs="Times New Roman"/>
          <w:sz w:val="24"/>
          <w:szCs w:val="24"/>
        </w:rPr>
        <w:t>s</w:t>
      </w:r>
      <w:r w:rsidRPr="00C03959">
        <w:rPr>
          <w:rFonts w:ascii="Times New Roman" w:hAnsi="Times New Roman" w:cs="Times New Roman"/>
          <w:sz w:val="24"/>
          <w:szCs w:val="24"/>
        </w:rPr>
        <w:t xml:space="preserve"> SSG mine workers, mine safety professionals, and mining engineering students</w:t>
      </w:r>
      <w:r w:rsidRPr="00984120">
        <w:rPr>
          <w:rFonts w:ascii="Times New Roman" w:hAnsi="Times New Roman" w:cs="Times New Roman"/>
          <w:sz w:val="24"/>
          <w:szCs w:val="24"/>
        </w:rPr>
        <w:t>. Up to 45 mine workers, 2</w:t>
      </w:r>
      <w:r w:rsidR="00075D5F" w:rsidRPr="00984120">
        <w:rPr>
          <w:rFonts w:ascii="Times New Roman" w:hAnsi="Times New Roman" w:cs="Times New Roman"/>
          <w:sz w:val="24"/>
          <w:szCs w:val="24"/>
        </w:rPr>
        <w:t>0</w:t>
      </w:r>
      <w:r w:rsidRPr="00984120">
        <w:rPr>
          <w:rFonts w:ascii="Times New Roman" w:hAnsi="Times New Roman" w:cs="Times New Roman"/>
          <w:sz w:val="24"/>
          <w:szCs w:val="24"/>
        </w:rPr>
        <w:t xml:space="preserve"> safety professionals, and 2</w:t>
      </w:r>
      <w:r w:rsidR="00075D5F" w:rsidRPr="00984120">
        <w:rPr>
          <w:rFonts w:ascii="Times New Roman" w:hAnsi="Times New Roman" w:cs="Times New Roman"/>
          <w:sz w:val="24"/>
          <w:szCs w:val="24"/>
        </w:rPr>
        <w:t>0</w:t>
      </w:r>
      <w:r w:rsidRPr="00C03959">
        <w:rPr>
          <w:rFonts w:ascii="Times New Roman" w:hAnsi="Times New Roman" w:cs="Times New Roman"/>
          <w:sz w:val="24"/>
          <w:szCs w:val="24"/>
        </w:rPr>
        <w:t xml:space="preserve"> students will be administered the pre-screening questionnaire </w:t>
      </w:r>
      <w:r w:rsidR="00075D5F" w:rsidRPr="002B19A5">
        <w:rPr>
          <w:rFonts w:ascii="Times New Roman" w:hAnsi="Times New Roman" w:cs="Times New Roman"/>
          <w:b/>
          <w:sz w:val="24"/>
          <w:szCs w:val="24"/>
        </w:rPr>
        <w:t>(Appendix</w:t>
      </w:r>
      <w:r w:rsidR="006F1448" w:rsidRPr="002B19A5">
        <w:rPr>
          <w:rFonts w:ascii="Times New Roman" w:hAnsi="Times New Roman" w:cs="Times New Roman"/>
          <w:b/>
          <w:sz w:val="24"/>
          <w:szCs w:val="24"/>
        </w:rPr>
        <w:t xml:space="preserve"> D).</w:t>
      </w:r>
      <w:r w:rsidR="006F1448">
        <w:rPr>
          <w:rFonts w:ascii="Times New Roman" w:hAnsi="Times New Roman" w:cs="Times New Roman"/>
          <w:sz w:val="24"/>
          <w:szCs w:val="24"/>
        </w:rPr>
        <w:t xml:space="preserve">  The pre-screening questionnaire should take approximately 15 minutes to complete.  This will be done over the telephone to identify participants who qualify to take part in the study.  Only those participants who qualify for the study will be invited to take part.  </w:t>
      </w:r>
      <w:r w:rsidRPr="00C03959">
        <w:rPr>
          <w:rFonts w:ascii="Times New Roman" w:hAnsi="Times New Roman" w:cs="Times New Roman"/>
          <w:sz w:val="24"/>
          <w:szCs w:val="24"/>
        </w:rPr>
        <w:t xml:space="preserve">It is anticipated that some percentage of </w:t>
      </w:r>
      <w:r w:rsidR="00B66B06">
        <w:rPr>
          <w:rFonts w:ascii="Times New Roman" w:hAnsi="Times New Roman" w:cs="Times New Roman"/>
          <w:sz w:val="24"/>
          <w:szCs w:val="24"/>
        </w:rPr>
        <w:t>those participants who are contacted</w:t>
      </w:r>
      <w:r w:rsidR="00B66B06" w:rsidRPr="00C03959">
        <w:rPr>
          <w:rFonts w:ascii="Times New Roman" w:hAnsi="Times New Roman" w:cs="Times New Roman"/>
          <w:sz w:val="24"/>
          <w:szCs w:val="24"/>
        </w:rPr>
        <w:t xml:space="preserve"> </w:t>
      </w:r>
      <w:r w:rsidRPr="00C03959">
        <w:rPr>
          <w:rFonts w:ascii="Times New Roman" w:hAnsi="Times New Roman" w:cs="Times New Roman"/>
          <w:sz w:val="24"/>
          <w:szCs w:val="24"/>
        </w:rPr>
        <w:t xml:space="preserve">will </w:t>
      </w:r>
      <w:r w:rsidR="001318D7">
        <w:rPr>
          <w:rFonts w:ascii="Times New Roman" w:hAnsi="Times New Roman" w:cs="Times New Roman"/>
          <w:sz w:val="24"/>
          <w:szCs w:val="24"/>
        </w:rPr>
        <w:t xml:space="preserve">not be interested in participating in the study or will </w:t>
      </w:r>
      <w:r w:rsidRPr="00C03959">
        <w:rPr>
          <w:rFonts w:ascii="Times New Roman" w:hAnsi="Times New Roman" w:cs="Times New Roman"/>
          <w:sz w:val="24"/>
          <w:szCs w:val="24"/>
        </w:rPr>
        <w:t xml:space="preserve">not pass the </w:t>
      </w:r>
      <w:r w:rsidR="00F75DB5">
        <w:rPr>
          <w:rFonts w:ascii="Times New Roman" w:hAnsi="Times New Roman" w:cs="Times New Roman"/>
          <w:sz w:val="24"/>
          <w:szCs w:val="24"/>
        </w:rPr>
        <w:t>pre-screening</w:t>
      </w:r>
      <w:r w:rsidRPr="00C03959">
        <w:rPr>
          <w:rFonts w:ascii="Times New Roman" w:hAnsi="Times New Roman" w:cs="Times New Roman"/>
          <w:sz w:val="24"/>
          <w:szCs w:val="24"/>
        </w:rPr>
        <w:t xml:space="preserve"> criteria</w:t>
      </w:r>
      <w:r w:rsidR="00F75DB5">
        <w:rPr>
          <w:rFonts w:ascii="Times New Roman" w:hAnsi="Times New Roman" w:cs="Times New Roman"/>
          <w:sz w:val="24"/>
          <w:szCs w:val="24"/>
        </w:rPr>
        <w:t>;</w:t>
      </w:r>
      <w:r w:rsidRPr="00C03959">
        <w:rPr>
          <w:rFonts w:ascii="Times New Roman" w:hAnsi="Times New Roman" w:cs="Times New Roman"/>
          <w:sz w:val="24"/>
          <w:szCs w:val="24"/>
        </w:rPr>
        <w:t xml:space="preserve"> therefore</w:t>
      </w:r>
      <w:r w:rsidR="00F75DB5">
        <w:rPr>
          <w:rFonts w:ascii="Times New Roman" w:hAnsi="Times New Roman" w:cs="Times New Roman"/>
          <w:sz w:val="24"/>
          <w:szCs w:val="24"/>
        </w:rPr>
        <w:t>,</w:t>
      </w:r>
      <w:r w:rsidRPr="00C03959">
        <w:rPr>
          <w:rFonts w:ascii="Times New Roman" w:hAnsi="Times New Roman" w:cs="Times New Roman"/>
          <w:sz w:val="24"/>
          <w:szCs w:val="24"/>
        </w:rPr>
        <w:t xml:space="preserve"> the estimated burden hours for the remainder of the study will be reduced to </w:t>
      </w:r>
      <w:r w:rsidR="007D2403">
        <w:rPr>
          <w:rFonts w:ascii="Times New Roman" w:hAnsi="Times New Roman" w:cs="Times New Roman"/>
          <w:sz w:val="24"/>
          <w:szCs w:val="24"/>
        </w:rPr>
        <w:t>62</w:t>
      </w:r>
      <w:r w:rsidR="000A02C0">
        <w:rPr>
          <w:rFonts w:ascii="Times New Roman" w:hAnsi="Times New Roman" w:cs="Times New Roman"/>
          <w:sz w:val="24"/>
          <w:szCs w:val="24"/>
        </w:rPr>
        <w:t xml:space="preserve"> </w:t>
      </w:r>
      <w:r w:rsidRPr="00C03959">
        <w:rPr>
          <w:rFonts w:ascii="Times New Roman" w:hAnsi="Times New Roman" w:cs="Times New Roman"/>
          <w:sz w:val="24"/>
          <w:szCs w:val="24"/>
        </w:rPr>
        <w:t>total respondents (30 mine workers</w:t>
      </w:r>
      <w:r w:rsidR="00075D5F">
        <w:rPr>
          <w:rFonts w:ascii="Times New Roman" w:hAnsi="Times New Roman" w:cs="Times New Roman"/>
          <w:sz w:val="24"/>
          <w:szCs w:val="24"/>
        </w:rPr>
        <w:t xml:space="preserve"> – 15 of these mine workers will be considered experienced and 15 will be considered inexperienced</w:t>
      </w:r>
      <w:r w:rsidRPr="00C03959">
        <w:rPr>
          <w:rFonts w:ascii="Times New Roman" w:hAnsi="Times New Roman" w:cs="Times New Roman"/>
          <w:sz w:val="24"/>
          <w:szCs w:val="24"/>
        </w:rPr>
        <w:t xml:space="preserve">, </w:t>
      </w:r>
      <w:r w:rsidR="00DD4F18">
        <w:rPr>
          <w:rFonts w:ascii="Times New Roman" w:hAnsi="Times New Roman" w:cs="Times New Roman"/>
          <w:sz w:val="24"/>
          <w:szCs w:val="24"/>
        </w:rPr>
        <w:t>16</w:t>
      </w:r>
      <w:r w:rsidR="000A02C0">
        <w:rPr>
          <w:rFonts w:ascii="Times New Roman" w:hAnsi="Times New Roman" w:cs="Times New Roman"/>
          <w:sz w:val="24"/>
          <w:szCs w:val="24"/>
        </w:rPr>
        <w:t xml:space="preserve"> </w:t>
      </w:r>
      <w:r w:rsidRPr="00C03959">
        <w:rPr>
          <w:rFonts w:ascii="Times New Roman" w:hAnsi="Times New Roman" w:cs="Times New Roman"/>
          <w:sz w:val="24"/>
          <w:szCs w:val="24"/>
        </w:rPr>
        <w:t xml:space="preserve">safety professionals, and </w:t>
      </w:r>
      <w:r w:rsidR="00DD4F18">
        <w:rPr>
          <w:rFonts w:ascii="Times New Roman" w:hAnsi="Times New Roman" w:cs="Times New Roman"/>
          <w:sz w:val="24"/>
          <w:szCs w:val="24"/>
        </w:rPr>
        <w:t>16</w:t>
      </w:r>
      <w:r w:rsidR="00DD4F18" w:rsidRPr="00C03959">
        <w:rPr>
          <w:rFonts w:ascii="Times New Roman" w:hAnsi="Times New Roman" w:cs="Times New Roman"/>
          <w:sz w:val="24"/>
          <w:szCs w:val="24"/>
        </w:rPr>
        <w:t xml:space="preserve"> </w:t>
      </w:r>
      <w:r w:rsidRPr="00C03959">
        <w:rPr>
          <w:rFonts w:ascii="Times New Roman" w:hAnsi="Times New Roman" w:cs="Times New Roman"/>
          <w:sz w:val="24"/>
          <w:szCs w:val="24"/>
        </w:rPr>
        <w:t xml:space="preserve">students). </w:t>
      </w:r>
      <w:r w:rsidR="006F1448">
        <w:rPr>
          <w:rFonts w:ascii="Times New Roman" w:hAnsi="Times New Roman" w:cs="Times New Roman"/>
          <w:sz w:val="24"/>
          <w:szCs w:val="24"/>
        </w:rPr>
        <w:t xml:space="preserve">  The </w:t>
      </w:r>
      <w:r w:rsidR="007D2403">
        <w:rPr>
          <w:rFonts w:ascii="Times New Roman" w:hAnsi="Times New Roman" w:cs="Times New Roman"/>
          <w:sz w:val="24"/>
          <w:szCs w:val="24"/>
        </w:rPr>
        <w:t>62</w:t>
      </w:r>
      <w:r w:rsidR="00B2570C">
        <w:rPr>
          <w:rFonts w:ascii="Times New Roman" w:hAnsi="Times New Roman" w:cs="Times New Roman"/>
          <w:sz w:val="24"/>
          <w:szCs w:val="24"/>
        </w:rPr>
        <w:t xml:space="preserve"> </w:t>
      </w:r>
      <w:r w:rsidR="006F1448">
        <w:rPr>
          <w:rFonts w:ascii="Times New Roman" w:hAnsi="Times New Roman" w:cs="Times New Roman"/>
          <w:sz w:val="24"/>
          <w:szCs w:val="24"/>
        </w:rPr>
        <w:t xml:space="preserve">total respondents will complete several data collection instruments.  The following is a brief description of who will complete each instrument and how long it will take to complete the instrument.  </w:t>
      </w:r>
    </w:p>
    <w:p w14:paraId="07B9FF53" w14:textId="77777777" w:rsidR="00B66B06" w:rsidRDefault="00B041E4" w:rsidP="005D4F83">
      <w:pPr>
        <w:rPr>
          <w:rFonts w:ascii="Times New Roman" w:hAnsi="Times New Roman" w:cs="Times New Roman"/>
          <w:sz w:val="24"/>
          <w:szCs w:val="24"/>
        </w:rPr>
      </w:pPr>
      <w:r>
        <w:rPr>
          <w:rFonts w:ascii="Times New Roman" w:hAnsi="Times New Roman" w:cs="Times New Roman"/>
          <w:sz w:val="24"/>
          <w:szCs w:val="24"/>
        </w:rPr>
        <w:t xml:space="preserve">All </w:t>
      </w:r>
      <w:r w:rsidR="007D2403">
        <w:rPr>
          <w:rFonts w:ascii="Times New Roman" w:hAnsi="Times New Roman" w:cs="Times New Roman"/>
          <w:sz w:val="24"/>
          <w:szCs w:val="24"/>
        </w:rPr>
        <w:t>62</w:t>
      </w:r>
      <w:r w:rsidR="000A02C0">
        <w:rPr>
          <w:rFonts w:ascii="Times New Roman" w:hAnsi="Times New Roman" w:cs="Times New Roman"/>
          <w:sz w:val="24"/>
          <w:szCs w:val="24"/>
        </w:rPr>
        <w:t xml:space="preserve"> </w:t>
      </w:r>
      <w:r>
        <w:rPr>
          <w:rFonts w:ascii="Times New Roman" w:hAnsi="Times New Roman" w:cs="Times New Roman"/>
          <w:sz w:val="24"/>
          <w:szCs w:val="24"/>
        </w:rPr>
        <w:t xml:space="preserve">respondents will complete the </w:t>
      </w:r>
      <w:r w:rsidR="0090342E">
        <w:rPr>
          <w:rFonts w:ascii="Times New Roman" w:hAnsi="Times New Roman" w:cs="Times New Roman"/>
          <w:sz w:val="24"/>
          <w:szCs w:val="24"/>
        </w:rPr>
        <w:t xml:space="preserve">demographic questionnaire </w:t>
      </w:r>
      <w:r w:rsidR="0090342E" w:rsidRPr="002B19A5">
        <w:rPr>
          <w:rFonts w:ascii="Times New Roman" w:hAnsi="Times New Roman" w:cs="Times New Roman"/>
          <w:b/>
          <w:sz w:val="24"/>
          <w:szCs w:val="24"/>
        </w:rPr>
        <w:t>(Appendix C)</w:t>
      </w:r>
      <w:r w:rsidR="0090342E">
        <w:rPr>
          <w:rFonts w:ascii="Times New Roman" w:hAnsi="Times New Roman" w:cs="Times New Roman"/>
          <w:sz w:val="24"/>
          <w:szCs w:val="24"/>
        </w:rPr>
        <w:t>.    This should take approximately 6 minutes for each respondent to complete.</w:t>
      </w:r>
      <w:r w:rsidR="00A35C31">
        <w:rPr>
          <w:rFonts w:ascii="Times New Roman" w:hAnsi="Times New Roman" w:cs="Times New Roman"/>
          <w:sz w:val="24"/>
          <w:szCs w:val="24"/>
        </w:rPr>
        <w:t xml:space="preserve"> </w:t>
      </w:r>
      <w:r w:rsidR="0090342E">
        <w:rPr>
          <w:rFonts w:ascii="Times New Roman" w:hAnsi="Times New Roman" w:cs="Times New Roman"/>
          <w:sz w:val="24"/>
          <w:szCs w:val="24"/>
        </w:rPr>
        <w:t xml:space="preserve">All </w:t>
      </w:r>
      <w:r w:rsidR="007D2403">
        <w:rPr>
          <w:rFonts w:ascii="Times New Roman" w:hAnsi="Times New Roman" w:cs="Times New Roman"/>
          <w:sz w:val="24"/>
          <w:szCs w:val="24"/>
        </w:rPr>
        <w:t>62</w:t>
      </w:r>
      <w:r w:rsidR="00B2570C">
        <w:rPr>
          <w:rFonts w:ascii="Times New Roman" w:hAnsi="Times New Roman" w:cs="Times New Roman"/>
          <w:sz w:val="24"/>
          <w:szCs w:val="24"/>
        </w:rPr>
        <w:t xml:space="preserve"> </w:t>
      </w:r>
      <w:r w:rsidR="0090342E">
        <w:rPr>
          <w:rFonts w:ascii="Times New Roman" w:hAnsi="Times New Roman" w:cs="Times New Roman"/>
          <w:sz w:val="24"/>
          <w:szCs w:val="24"/>
        </w:rPr>
        <w:t xml:space="preserve">respondents will </w:t>
      </w:r>
      <w:r w:rsidR="003B3A96">
        <w:rPr>
          <w:rFonts w:ascii="Times New Roman" w:hAnsi="Times New Roman" w:cs="Times New Roman"/>
          <w:sz w:val="24"/>
          <w:szCs w:val="24"/>
        </w:rPr>
        <w:t xml:space="preserve">then </w:t>
      </w:r>
      <w:r w:rsidR="0090342E">
        <w:rPr>
          <w:rFonts w:ascii="Times New Roman" w:hAnsi="Times New Roman" w:cs="Times New Roman"/>
          <w:sz w:val="24"/>
          <w:szCs w:val="24"/>
        </w:rPr>
        <w:t xml:space="preserve">complete the experimental task. Completing the </w:t>
      </w:r>
      <w:r w:rsidR="0090342E" w:rsidRPr="0066677A">
        <w:rPr>
          <w:rFonts w:ascii="Times New Roman" w:hAnsi="Times New Roman" w:cs="Times New Roman"/>
          <w:sz w:val="24"/>
          <w:szCs w:val="24"/>
        </w:rPr>
        <w:t xml:space="preserve">experimental task </w:t>
      </w:r>
      <w:r w:rsidR="0066677A" w:rsidRPr="0066677A">
        <w:rPr>
          <w:rFonts w:ascii="Times New Roman" w:hAnsi="Times New Roman" w:cs="Times New Roman"/>
          <w:sz w:val="24"/>
          <w:szCs w:val="24"/>
        </w:rPr>
        <w:t>(</w:t>
      </w:r>
      <w:r w:rsidR="0066677A" w:rsidRPr="0066677A">
        <w:rPr>
          <w:rFonts w:ascii="Times New Roman" w:hAnsi="Times New Roman" w:cs="Times New Roman"/>
          <w:b/>
          <w:sz w:val="24"/>
          <w:szCs w:val="24"/>
        </w:rPr>
        <w:t>Appendix K</w:t>
      </w:r>
      <w:r w:rsidR="0066677A" w:rsidRPr="0066677A">
        <w:rPr>
          <w:rFonts w:ascii="Times New Roman" w:hAnsi="Times New Roman" w:cs="Times New Roman"/>
          <w:sz w:val="24"/>
          <w:szCs w:val="24"/>
        </w:rPr>
        <w:t xml:space="preserve">) </w:t>
      </w:r>
      <w:r w:rsidR="0090342E">
        <w:rPr>
          <w:rFonts w:ascii="Times New Roman" w:hAnsi="Times New Roman" w:cs="Times New Roman"/>
          <w:sz w:val="24"/>
          <w:szCs w:val="24"/>
        </w:rPr>
        <w:t>requires the respondent to identify mine site hazards.  This should take approximately 60 minutes</w:t>
      </w:r>
      <w:r w:rsidR="003B3A96">
        <w:rPr>
          <w:rFonts w:ascii="Times New Roman" w:hAnsi="Times New Roman" w:cs="Times New Roman"/>
          <w:sz w:val="24"/>
          <w:szCs w:val="24"/>
        </w:rPr>
        <w:t xml:space="preserve"> to complete.  All 60 respondents will </w:t>
      </w:r>
      <w:r w:rsidR="00B66B06">
        <w:rPr>
          <w:rFonts w:ascii="Times New Roman" w:hAnsi="Times New Roman" w:cs="Times New Roman"/>
          <w:sz w:val="24"/>
          <w:szCs w:val="24"/>
        </w:rPr>
        <w:t xml:space="preserve">then </w:t>
      </w:r>
      <w:r w:rsidR="003B3A96">
        <w:rPr>
          <w:rFonts w:ascii="Times New Roman" w:hAnsi="Times New Roman" w:cs="Times New Roman"/>
          <w:sz w:val="24"/>
          <w:szCs w:val="24"/>
        </w:rPr>
        <w:t xml:space="preserve">complete the Risk Assessment Measure (time to complete, 20 minutes; </w:t>
      </w:r>
      <w:r w:rsidR="003B3A96" w:rsidRPr="00B2570C">
        <w:rPr>
          <w:rFonts w:ascii="Times New Roman" w:hAnsi="Times New Roman" w:cs="Times New Roman"/>
          <w:b/>
          <w:sz w:val="24"/>
          <w:szCs w:val="24"/>
        </w:rPr>
        <w:t>Appendix E</w:t>
      </w:r>
      <w:r w:rsidR="003B3A96">
        <w:rPr>
          <w:rFonts w:ascii="Times New Roman" w:hAnsi="Times New Roman" w:cs="Times New Roman"/>
          <w:sz w:val="24"/>
          <w:szCs w:val="24"/>
        </w:rPr>
        <w:t xml:space="preserve">), the Risk Propensity Scale (time to complete, 6 minutes; </w:t>
      </w:r>
      <w:r w:rsidR="003B3A96" w:rsidRPr="00B2570C">
        <w:rPr>
          <w:rFonts w:ascii="Times New Roman" w:hAnsi="Times New Roman" w:cs="Times New Roman"/>
          <w:b/>
          <w:sz w:val="24"/>
          <w:szCs w:val="24"/>
        </w:rPr>
        <w:t>Appendix F</w:t>
      </w:r>
      <w:r w:rsidR="003B3A96">
        <w:rPr>
          <w:rFonts w:ascii="Times New Roman" w:hAnsi="Times New Roman" w:cs="Times New Roman"/>
          <w:sz w:val="24"/>
          <w:szCs w:val="24"/>
        </w:rPr>
        <w:t xml:space="preserve">), the Mine Specific Risk Tolerance Measure (time to complete, 6 minutes; Appendix G), and the Open-ended Questions (time to complete, 30 minutes; </w:t>
      </w:r>
      <w:r w:rsidR="003B3A96" w:rsidRPr="00B2570C">
        <w:rPr>
          <w:rFonts w:ascii="Times New Roman" w:hAnsi="Times New Roman" w:cs="Times New Roman"/>
          <w:b/>
          <w:sz w:val="24"/>
          <w:szCs w:val="24"/>
        </w:rPr>
        <w:t>Appendix H</w:t>
      </w:r>
      <w:r w:rsidR="003B3A96">
        <w:rPr>
          <w:rFonts w:ascii="Times New Roman" w:hAnsi="Times New Roman" w:cs="Times New Roman"/>
          <w:sz w:val="24"/>
          <w:szCs w:val="24"/>
        </w:rPr>
        <w:t>).</w:t>
      </w:r>
    </w:p>
    <w:p w14:paraId="0584B7DF" w14:textId="77777777" w:rsidR="005D4F83" w:rsidRPr="00C03959" w:rsidRDefault="005D4F83" w:rsidP="005D4F83">
      <w:pPr>
        <w:rPr>
          <w:rFonts w:ascii="Times New Roman" w:hAnsi="Times New Roman" w:cs="Times New Roman"/>
          <w:sz w:val="24"/>
          <w:szCs w:val="24"/>
        </w:rPr>
      </w:pPr>
      <w:r w:rsidRPr="00C03959">
        <w:rPr>
          <w:rFonts w:ascii="Times New Roman" w:hAnsi="Times New Roman" w:cs="Times New Roman"/>
          <w:sz w:val="24"/>
          <w:szCs w:val="24"/>
        </w:rPr>
        <w:t>We do not anticipate a disruption of the miners’ normal work schedules as data will be collected during the winter months when the mine(s) will be shut down. Scheduling students and safety professionals will be arranged to minimize disruption to their class or work schedules as needed. All data will be collected at the NIOSH Visual Interactive Simulation Laboratory (VIS Lab).</w:t>
      </w:r>
    </w:p>
    <w:p w14:paraId="4F8E99A3" w14:textId="77777777" w:rsidR="005D4F83" w:rsidRPr="00C03959" w:rsidRDefault="005D4F83" w:rsidP="005D4F83">
      <w:pPr>
        <w:rPr>
          <w:rFonts w:ascii="Times New Roman" w:hAnsi="Times New Roman" w:cs="Times New Roman"/>
          <w:sz w:val="24"/>
          <w:szCs w:val="24"/>
        </w:rPr>
      </w:pPr>
      <w:r w:rsidRPr="00C03959">
        <w:rPr>
          <w:rFonts w:ascii="Times New Roman" w:hAnsi="Times New Roman" w:cs="Times New Roman"/>
          <w:sz w:val="24"/>
          <w:szCs w:val="24"/>
        </w:rPr>
        <w:t xml:space="preserve">The following table provides an estimate of </w:t>
      </w:r>
      <w:r w:rsidR="00104668" w:rsidRPr="00C03959">
        <w:rPr>
          <w:rFonts w:ascii="Times New Roman" w:hAnsi="Times New Roman" w:cs="Times New Roman"/>
          <w:sz w:val="24"/>
          <w:szCs w:val="24"/>
        </w:rPr>
        <w:t>the</w:t>
      </w:r>
      <w:r w:rsidR="00104668">
        <w:rPr>
          <w:rFonts w:ascii="Times New Roman" w:hAnsi="Times New Roman" w:cs="Times New Roman"/>
          <w:sz w:val="24"/>
          <w:szCs w:val="24"/>
        </w:rPr>
        <w:t xml:space="preserve"> annualized</w:t>
      </w:r>
      <w:r w:rsidRPr="00C03959">
        <w:rPr>
          <w:rFonts w:ascii="Times New Roman" w:hAnsi="Times New Roman" w:cs="Times New Roman"/>
          <w:sz w:val="24"/>
          <w:szCs w:val="24"/>
        </w:rPr>
        <w:t xml:space="preserve"> burden hours</w:t>
      </w:r>
      <w:r w:rsidR="00104668">
        <w:rPr>
          <w:rFonts w:ascii="Times New Roman" w:hAnsi="Times New Roman" w:cs="Times New Roman"/>
          <w:sz w:val="24"/>
          <w:szCs w:val="24"/>
        </w:rPr>
        <w:t xml:space="preserve"> over a two year approval period</w:t>
      </w:r>
      <w:r w:rsidR="008148CC">
        <w:rPr>
          <w:rFonts w:ascii="Times New Roman" w:hAnsi="Times New Roman" w:cs="Times New Roman"/>
          <w:sz w:val="24"/>
          <w:szCs w:val="24"/>
        </w:rPr>
        <w:t xml:space="preserve">.  </w:t>
      </w:r>
      <w:r w:rsidRPr="00C03959">
        <w:rPr>
          <w:rFonts w:ascii="Times New Roman" w:hAnsi="Times New Roman" w:cs="Times New Roman"/>
          <w:sz w:val="24"/>
          <w:szCs w:val="24"/>
        </w:rPr>
        <w:t xml:space="preserve"> </w:t>
      </w:r>
    </w:p>
    <w:p w14:paraId="2CA8E1D3" w14:textId="77777777" w:rsidR="005D4F83" w:rsidRPr="00C03959" w:rsidRDefault="005D4F83" w:rsidP="005D4F83">
      <w:pPr>
        <w:rPr>
          <w:rFonts w:ascii="Times New Roman" w:hAnsi="Times New Roman" w:cs="Times New Roman"/>
          <w:sz w:val="24"/>
          <w:szCs w:val="24"/>
        </w:rPr>
      </w:pPr>
      <w:r w:rsidRPr="00C03959">
        <w:rPr>
          <w:rFonts w:ascii="Times New Roman" w:hAnsi="Times New Roman" w:cs="Times New Roman"/>
          <w:sz w:val="24"/>
          <w:szCs w:val="24"/>
        </w:rPr>
        <w:t>Estimated Annualized Burden Hours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5D4F83" w:rsidRPr="00C03959" w14:paraId="78698FA1" w14:textId="77777777" w:rsidTr="00124A82">
        <w:tc>
          <w:tcPr>
            <w:tcW w:w="1678" w:type="dxa"/>
            <w:vAlign w:val="center"/>
          </w:tcPr>
          <w:p w14:paraId="65EC2CCC" w14:textId="77777777" w:rsidR="005D4F83" w:rsidRPr="00C03959" w:rsidRDefault="005D4F83" w:rsidP="00124A82">
            <w:pPr>
              <w:jc w:val="center"/>
              <w:rPr>
                <w:rFonts w:ascii="Times New Roman" w:hAnsi="Times New Roman" w:cs="Times New Roman"/>
                <w:sz w:val="24"/>
                <w:szCs w:val="24"/>
                <w:highlight w:val="yellow"/>
              </w:rPr>
            </w:pPr>
            <w:r w:rsidRPr="00C03959">
              <w:rPr>
                <w:rFonts w:ascii="Times New Roman" w:hAnsi="Times New Roman" w:cs="Times New Roman"/>
                <w:sz w:val="24"/>
                <w:szCs w:val="24"/>
              </w:rPr>
              <w:t>Type of Respondent</w:t>
            </w:r>
          </w:p>
        </w:tc>
        <w:tc>
          <w:tcPr>
            <w:tcW w:w="1678" w:type="dxa"/>
            <w:vAlign w:val="center"/>
          </w:tcPr>
          <w:p w14:paraId="307F8373" w14:textId="77777777" w:rsidR="005D4F83" w:rsidRPr="00C03959" w:rsidRDefault="005D4F83" w:rsidP="00124A82">
            <w:pPr>
              <w:jc w:val="center"/>
              <w:rPr>
                <w:rFonts w:ascii="Times New Roman" w:hAnsi="Times New Roman" w:cs="Times New Roman"/>
                <w:sz w:val="24"/>
                <w:szCs w:val="24"/>
              </w:rPr>
            </w:pPr>
            <w:r w:rsidRPr="00C03959">
              <w:rPr>
                <w:rFonts w:ascii="Times New Roman" w:hAnsi="Times New Roman" w:cs="Times New Roman"/>
                <w:sz w:val="24"/>
                <w:szCs w:val="24"/>
              </w:rPr>
              <w:t>Form Name</w:t>
            </w:r>
          </w:p>
        </w:tc>
        <w:tc>
          <w:tcPr>
            <w:tcW w:w="1678" w:type="dxa"/>
            <w:vAlign w:val="center"/>
          </w:tcPr>
          <w:p w14:paraId="26E2977D" w14:textId="77777777" w:rsidR="005D4F83" w:rsidRPr="00C03959" w:rsidRDefault="005D4F83" w:rsidP="00124A82">
            <w:pPr>
              <w:jc w:val="center"/>
              <w:rPr>
                <w:rFonts w:ascii="Times New Roman" w:hAnsi="Times New Roman" w:cs="Times New Roman"/>
                <w:sz w:val="24"/>
                <w:szCs w:val="24"/>
              </w:rPr>
            </w:pPr>
            <w:r w:rsidRPr="00C03959">
              <w:rPr>
                <w:rFonts w:ascii="Times New Roman" w:hAnsi="Times New Roman" w:cs="Times New Roman"/>
                <w:sz w:val="24"/>
                <w:szCs w:val="24"/>
              </w:rPr>
              <w:t>No. of Respondents</w:t>
            </w:r>
          </w:p>
        </w:tc>
        <w:tc>
          <w:tcPr>
            <w:tcW w:w="1678" w:type="dxa"/>
            <w:vAlign w:val="center"/>
          </w:tcPr>
          <w:p w14:paraId="5DDA5F8A" w14:textId="77777777" w:rsidR="005D4F83" w:rsidRPr="00C03959" w:rsidRDefault="005D4F83" w:rsidP="00124A82">
            <w:pPr>
              <w:jc w:val="center"/>
              <w:rPr>
                <w:rFonts w:ascii="Times New Roman" w:hAnsi="Times New Roman" w:cs="Times New Roman"/>
                <w:sz w:val="24"/>
                <w:szCs w:val="24"/>
              </w:rPr>
            </w:pPr>
            <w:r w:rsidRPr="00C03959">
              <w:rPr>
                <w:rFonts w:ascii="Times New Roman" w:hAnsi="Times New Roman" w:cs="Times New Roman"/>
                <w:sz w:val="24"/>
                <w:szCs w:val="24"/>
              </w:rPr>
              <w:t xml:space="preserve">No. Responses per Respondent </w:t>
            </w:r>
          </w:p>
        </w:tc>
        <w:tc>
          <w:tcPr>
            <w:tcW w:w="1679" w:type="dxa"/>
            <w:vAlign w:val="center"/>
          </w:tcPr>
          <w:p w14:paraId="1D9015C4" w14:textId="77777777" w:rsidR="005D4F83" w:rsidRPr="00C03959" w:rsidRDefault="005D4F83" w:rsidP="00124A82">
            <w:pPr>
              <w:jc w:val="center"/>
              <w:rPr>
                <w:rFonts w:ascii="Times New Roman" w:hAnsi="Times New Roman" w:cs="Times New Roman"/>
                <w:sz w:val="24"/>
                <w:szCs w:val="24"/>
              </w:rPr>
            </w:pPr>
            <w:r w:rsidRPr="00C03959">
              <w:rPr>
                <w:rFonts w:ascii="Times New Roman" w:hAnsi="Times New Roman" w:cs="Times New Roman"/>
                <w:sz w:val="24"/>
                <w:szCs w:val="24"/>
              </w:rPr>
              <w:t>Average Burden per Response (in hours)</w:t>
            </w:r>
          </w:p>
        </w:tc>
        <w:tc>
          <w:tcPr>
            <w:tcW w:w="1679" w:type="dxa"/>
            <w:vAlign w:val="center"/>
          </w:tcPr>
          <w:p w14:paraId="3B9FB182" w14:textId="77777777" w:rsidR="005D4F83" w:rsidRPr="00C03959" w:rsidRDefault="005D4F83" w:rsidP="00124A82">
            <w:pPr>
              <w:jc w:val="center"/>
              <w:rPr>
                <w:rFonts w:ascii="Times New Roman" w:hAnsi="Times New Roman" w:cs="Times New Roman"/>
                <w:sz w:val="24"/>
                <w:szCs w:val="24"/>
              </w:rPr>
            </w:pPr>
            <w:r w:rsidRPr="00C03959">
              <w:rPr>
                <w:rFonts w:ascii="Times New Roman" w:hAnsi="Times New Roman" w:cs="Times New Roman"/>
                <w:sz w:val="24"/>
                <w:szCs w:val="24"/>
              </w:rPr>
              <w:t>Total Burden Hours</w:t>
            </w:r>
          </w:p>
        </w:tc>
      </w:tr>
      <w:tr w:rsidR="008B1B72" w:rsidRPr="00C03959" w14:paraId="131E399A" w14:textId="77777777" w:rsidTr="00124A82">
        <w:tc>
          <w:tcPr>
            <w:tcW w:w="1678" w:type="dxa"/>
            <w:vAlign w:val="center"/>
          </w:tcPr>
          <w:p w14:paraId="04B817AA" w14:textId="77777777" w:rsidR="008B1B72" w:rsidRPr="00C03959" w:rsidRDefault="008B1B72" w:rsidP="00124A82">
            <w:pPr>
              <w:jc w:val="center"/>
              <w:rPr>
                <w:rFonts w:ascii="Times New Roman" w:hAnsi="Times New Roman" w:cs="Times New Roman"/>
                <w:sz w:val="24"/>
                <w:szCs w:val="24"/>
              </w:rPr>
            </w:pPr>
            <w:r w:rsidRPr="00C03959">
              <w:rPr>
                <w:rFonts w:ascii="Times New Roman" w:hAnsi="Times New Roman" w:cs="Times New Roman"/>
                <w:sz w:val="24"/>
                <w:szCs w:val="24"/>
              </w:rPr>
              <w:t>Mine Employee</w:t>
            </w:r>
          </w:p>
        </w:tc>
        <w:tc>
          <w:tcPr>
            <w:tcW w:w="1678" w:type="dxa"/>
            <w:vMerge w:val="restart"/>
            <w:vAlign w:val="center"/>
          </w:tcPr>
          <w:p w14:paraId="2570981F" w14:textId="77777777" w:rsidR="008B1B72" w:rsidRPr="00C03959" w:rsidRDefault="008B1B72" w:rsidP="00124A82">
            <w:pPr>
              <w:jc w:val="center"/>
              <w:rPr>
                <w:rFonts w:ascii="Times New Roman" w:hAnsi="Times New Roman" w:cs="Times New Roman"/>
                <w:sz w:val="24"/>
                <w:szCs w:val="24"/>
              </w:rPr>
            </w:pPr>
            <w:r w:rsidRPr="00C03959">
              <w:rPr>
                <w:rFonts w:ascii="Times New Roman" w:hAnsi="Times New Roman" w:cs="Times New Roman"/>
                <w:sz w:val="24"/>
                <w:szCs w:val="24"/>
              </w:rPr>
              <w:t>Prescreening Questionnaire</w:t>
            </w:r>
          </w:p>
        </w:tc>
        <w:tc>
          <w:tcPr>
            <w:tcW w:w="1678" w:type="dxa"/>
            <w:vAlign w:val="center"/>
          </w:tcPr>
          <w:p w14:paraId="6B889C0D" w14:textId="77777777" w:rsidR="008B1B72" w:rsidRPr="00C03959" w:rsidRDefault="008B1B72" w:rsidP="00124A82">
            <w:pPr>
              <w:jc w:val="center"/>
              <w:rPr>
                <w:rFonts w:ascii="Times New Roman" w:hAnsi="Times New Roman" w:cs="Times New Roman"/>
                <w:sz w:val="24"/>
                <w:szCs w:val="24"/>
              </w:rPr>
            </w:pPr>
            <w:r>
              <w:rPr>
                <w:rFonts w:ascii="Times New Roman" w:hAnsi="Times New Roman" w:cs="Times New Roman"/>
                <w:sz w:val="24"/>
                <w:szCs w:val="24"/>
              </w:rPr>
              <w:t>23</w:t>
            </w:r>
          </w:p>
        </w:tc>
        <w:tc>
          <w:tcPr>
            <w:tcW w:w="1678" w:type="dxa"/>
            <w:vMerge w:val="restart"/>
            <w:vAlign w:val="center"/>
          </w:tcPr>
          <w:p w14:paraId="72D780CD" w14:textId="77777777" w:rsidR="008B1B72" w:rsidRPr="00C03959" w:rsidRDefault="008B1B72" w:rsidP="00124A82">
            <w:pPr>
              <w:jc w:val="center"/>
              <w:rPr>
                <w:rFonts w:ascii="Times New Roman" w:hAnsi="Times New Roman" w:cs="Times New Roman"/>
                <w:sz w:val="24"/>
                <w:szCs w:val="24"/>
              </w:rPr>
            </w:pPr>
            <w:r w:rsidRPr="00C03959">
              <w:rPr>
                <w:rFonts w:ascii="Times New Roman" w:hAnsi="Times New Roman" w:cs="Times New Roman"/>
                <w:sz w:val="24"/>
                <w:szCs w:val="24"/>
              </w:rPr>
              <w:t>1</w:t>
            </w:r>
          </w:p>
          <w:p w14:paraId="50752FD5" w14:textId="77777777" w:rsidR="008B1B72" w:rsidRPr="00C03959" w:rsidRDefault="008B1B72" w:rsidP="00124A82">
            <w:pPr>
              <w:jc w:val="center"/>
              <w:rPr>
                <w:rFonts w:ascii="Times New Roman" w:hAnsi="Times New Roman" w:cs="Times New Roman"/>
                <w:sz w:val="24"/>
                <w:szCs w:val="24"/>
              </w:rPr>
            </w:pPr>
          </w:p>
        </w:tc>
        <w:tc>
          <w:tcPr>
            <w:tcW w:w="1679" w:type="dxa"/>
            <w:vMerge w:val="restart"/>
            <w:vAlign w:val="center"/>
          </w:tcPr>
          <w:p w14:paraId="3AB8E5DB" w14:textId="77777777" w:rsidR="008B1B72" w:rsidRPr="00C03959" w:rsidRDefault="008B1B72" w:rsidP="00124A82">
            <w:pPr>
              <w:jc w:val="center"/>
              <w:rPr>
                <w:rFonts w:ascii="Times New Roman" w:hAnsi="Times New Roman" w:cs="Times New Roman"/>
                <w:sz w:val="24"/>
                <w:szCs w:val="24"/>
              </w:rPr>
            </w:pPr>
            <w:r w:rsidRPr="00C03959">
              <w:rPr>
                <w:rFonts w:ascii="Times New Roman" w:hAnsi="Times New Roman" w:cs="Times New Roman"/>
                <w:sz w:val="24"/>
                <w:szCs w:val="24"/>
              </w:rPr>
              <w:t>15/60</w:t>
            </w:r>
          </w:p>
          <w:p w14:paraId="6256D67A" w14:textId="77777777" w:rsidR="008B1B72" w:rsidRPr="00C03959" w:rsidRDefault="008B1B72" w:rsidP="00124A82">
            <w:pPr>
              <w:jc w:val="center"/>
              <w:rPr>
                <w:rFonts w:ascii="Times New Roman" w:hAnsi="Times New Roman" w:cs="Times New Roman"/>
                <w:sz w:val="24"/>
                <w:szCs w:val="24"/>
              </w:rPr>
            </w:pPr>
          </w:p>
        </w:tc>
        <w:tc>
          <w:tcPr>
            <w:tcW w:w="1679" w:type="dxa"/>
            <w:vMerge w:val="restart"/>
            <w:vAlign w:val="center"/>
          </w:tcPr>
          <w:p w14:paraId="386EF0F2" w14:textId="77777777" w:rsidR="008B1B72" w:rsidRPr="00C03959" w:rsidRDefault="008B1B72" w:rsidP="00124A82">
            <w:pPr>
              <w:jc w:val="center"/>
              <w:rPr>
                <w:rFonts w:ascii="Times New Roman" w:hAnsi="Times New Roman" w:cs="Times New Roman"/>
                <w:sz w:val="24"/>
                <w:szCs w:val="24"/>
              </w:rPr>
            </w:pPr>
            <w:r>
              <w:rPr>
                <w:rFonts w:ascii="Times New Roman" w:hAnsi="Times New Roman" w:cs="Times New Roman"/>
                <w:sz w:val="24"/>
                <w:szCs w:val="24"/>
              </w:rPr>
              <w:t>11</w:t>
            </w:r>
          </w:p>
        </w:tc>
      </w:tr>
      <w:tr w:rsidR="008B1B72" w:rsidRPr="00C03959" w14:paraId="2F7268ED" w14:textId="77777777" w:rsidTr="00124A82">
        <w:tc>
          <w:tcPr>
            <w:tcW w:w="1678" w:type="dxa"/>
            <w:vAlign w:val="center"/>
          </w:tcPr>
          <w:p w14:paraId="09947994" w14:textId="77777777" w:rsidR="008B1B72" w:rsidRPr="00C03959" w:rsidRDefault="008B1B72" w:rsidP="00124A82">
            <w:pPr>
              <w:jc w:val="center"/>
              <w:rPr>
                <w:rFonts w:ascii="Times New Roman" w:hAnsi="Times New Roman" w:cs="Times New Roman"/>
                <w:sz w:val="24"/>
                <w:szCs w:val="24"/>
              </w:rPr>
            </w:pPr>
            <w:r w:rsidRPr="00C03959">
              <w:rPr>
                <w:rFonts w:ascii="Times New Roman" w:hAnsi="Times New Roman" w:cs="Times New Roman"/>
                <w:sz w:val="24"/>
                <w:szCs w:val="24"/>
              </w:rPr>
              <w:t>Safety Professional</w:t>
            </w:r>
          </w:p>
        </w:tc>
        <w:tc>
          <w:tcPr>
            <w:tcW w:w="1678" w:type="dxa"/>
            <w:vMerge/>
            <w:vAlign w:val="center"/>
          </w:tcPr>
          <w:p w14:paraId="2008D1D3" w14:textId="77777777" w:rsidR="008B1B72" w:rsidRPr="00C03959" w:rsidRDefault="008B1B72" w:rsidP="00124A82">
            <w:pPr>
              <w:jc w:val="center"/>
              <w:rPr>
                <w:rFonts w:ascii="Times New Roman" w:hAnsi="Times New Roman" w:cs="Times New Roman"/>
                <w:sz w:val="24"/>
                <w:szCs w:val="24"/>
              </w:rPr>
            </w:pPr>
          </w:p>
        </w:tc>
        <w:tc>
          <w:tcPr>
            <w:tcW w:w="1678" w:type="dxa"/>
            <w:vAlign w:val="center"/>
          </w:tcPr>
          <w:p w14:paraId="0D6641D4" w14:textId="77777777" w:rsidR="008B1B72" w:rsidRPr="00C03959" w:rsidRDefault="008B1B72" w:rsidP="00124A82">
            <w:pPr>
              <w:jc w:val="center"/>
              <w:rPr>
                <w:rFonts w:ascii="Times New Roman" w:hAnsi="Times New Roman" w:cs="Times New Roman"/>
                <w:sz w:val="24"/>
                <w:szCs w:val="24"/>
              </w:rPr>
            </w:pPr>
            <w:r>
              <w:rPr>
                <w:rFonts w:ascii="Times New Roman" w:hAnsi="Times New Roman" w:cs="Times New Roman"/>
                <w:sz w:val="24"/>
                <w:szCs w:val="24"/>
              </w:rPr>
              <w:t>10</w:t>
            </w:r>
          </w:p>
        </w:tc>
        <w:tc>
          <w:tcPr>
            <w:tcW w:w="1678" w:type="dxa"/>
            <w:vMerge/>
            <w:vAlign w:val="center"/>
          </w:tcPr>
          <w:p w14:paraId="26F82202" w14:textId="77777777" w:rsidR="008B1B72" w:rsidRPr="00C03959" w:rsidRDefault="008B1B72" w:rsidP="00124A82">
            <w:pPr>
              <w:jc w:val="center"/>
              <w:rPr>
                <w:rFonts w:ascii="Times New Roman" w:hAnsi="Times New Roman" w:cs="Times New Roman"/>
                <w:sz w:val="24"/>
                <w:szCs w:val="24"/>
              </w:rPr>
            </w:pPr>
          </w:p>
        </w:tc>
        <w:tc>
          <w:tcPr>
            <w:tcW w:w="1679" w:type="dxa"/>
            <w:vMerge/>
            <w:vAlign w:val="center"/>
          </w:tcPr>
          <w:p w14:paraId="183D5EDA" w14:textId="77777777" w:rsidR="008B1B72" w:rsidRPr="00C03959" w:rsidRDefault="008B1B72" w:rsidP="00124A82">
            <w:pPr>
              <w:jc w:val="center"/>
              <w:rPr>
                <w:rFonts w:ascii="Times New Roman" w:hAnsi="Times New Roman" w:cs="Times New Roman"/>
                <w:sz w:val="24"/>
                <w:szCs w:val="24"/>
              </w:rPr>
            </w:pPr>
          </w:p>
        </w:tc>
        <w:tc>
          <w:tcPr>
            <w:tcW w:w="1679" w:type="dxa"/>
            <w:vMerge/>
            <w:vAlign w:val="center"/>
          </w:tcPr>
          <w:p w14:paraId="056C868C" w14:textId="77777777" w:rsidR="008B1B72" w:rsidRPr="00C03959" w:rsidRDefault="008B1B72" w:rsidP="00124A82">
            <w:pPr>
              <w:jc w:val="center"/>
              <w:rPr>
                <w:rFonts w:ascii="Times New Roman" w:hAnsi="Times New Roman" w:cs="Times New Roman"/>
                <w:sz w:val="24"/>
                <w:szCs w:val="24"/>
              </w:rPr>
            </w:pPr>
          </w:p>
        </w:tc>
      </w:tr>
      <w:tr w:rsidR="008B1B72" w:rsidRPr="00C03959" w14:paraId="3C1F8549" w14:textId="77777777" w:rsidTr="00124A82">
        <w:tc>
          <w:tcPr>
            <w:tcW w:w="1678" w:type="dxa"/>
            <w:vAlign w:val="center"/>
          </w:tcPr>
          <w:p w14:paraId="53300B30" w14:textId="77777777" w:rsidR="008B1B72" w:rsidRPr="00C03959" w:rsidRDefault="008B1B72" w:rsidP="00124A82">
            <w:pPr>
              <w:jc w:val="center"/>
              <w:rPr>
                <w:rFonts w:ascii="Times New Roman" w:hAnsi="Times New Roman" w:cs="Times New Roman"/>
                <w:sz w:val="24"/>
                <w:szCs w:val="24"/>
              </w:rPr>
            </w:pPr>
            <w:r w:rsidRPr="00C03959">
              <w:rPr>
                <w:rFonts w:ascii="Times New Roman" w:hAnsi="Times New Roman" w:cs="Times New Roman"/>
                <w:sz w:val="24"/>
                <w:szCs w:val="24"/>
              </w:rPr>
              <w:t>Student</w:t>
            </w:r>
          </w:p>
        </w:tc>
        <w:tc>
          <w:tcPr>
            <w:tcW w:w="1678" w:type="dxa"/>
            <w:vMerge/>
            <w:vAlign w:val="center"/>
          </w:tcPr>
          <w:p w14:paraId="752A0807" w14:textId="77777777" w:rsidR="008B1B72" w:rsidRPr="00C03959" w:rsidRDefault="008B1B72" w:rsidP="00124A82">
            <w:pPr>
              <w:jc w:val="center"/>
              <w:rPr>
                <w:rFonts w:ascii="Times New Roman" w:hAnsi="Times New Roman" w:cs="Times New Roman"/>
                <w:sz w:val="24"/>
                <w:szCs w:val="24"/>
              </w:rPr>
            </w:pPr>
          </w:p>
        </w:tc>
        <w:tc>
          <w:tcPr>
            <w:tcW w:w="1678" w:type="dxa"/>
            <w:vAlign w:val="center"/>
          </w:tcPr>
          <w:p w14:paraId="6882DB58" w14:textId="77777777" w:rsidR="008B1B72" w:rsidRPr="00C03959" w:rsidRDefault="008B1B72" w:rsidP="00124A82">
            <w:pPr>
              <w:jc w:val="center"/>
              <w:rPr>
                <w:rFonts w:ascii="Times New Roman" w:hAnsi="Times New Roman" w:cs="Times New Roman"/>
                <w:sz w:val="24"/>
                <w:szCs w:val="24"/>
              </w:rPr>
            </w:pPr>
            <w:r>
              <w:rPr>
                <w:rFonts w:ascii="Times New Roman" w:hAnsi="Times New Roman" w:cs="Times New Roman"/>
                <w:sz w:val="24"/>
                <w:szCs w:val="24"/>
              </w:rPr>
              <w:t>10</w:t>
            </w:r>
          </w:p>
        </w:tc>
        <w:tc>
          <w:tcPr>
            <w:tcW w:w="1678" w:type="dxa"/>
            <w:vMerge/>
            <w:vAlign w:val="center"/>
          </w:tcPr>
          <w:p w14:paraId="7F25A0E6" w14:textId="77777777" w:rsidR="008B1B72" w:rsidRPr="00C03959" w:rsidRDefault="008B1B72" w:rsidP="00124A82">
            <w:pPr>
              <w:jc w:val="center"/>
              <w:rPr>
                <w:rFonts w:ascii="Times New Roman" w:hAnsi="Times New Roman" w:cs="Times New Roman"/>
                <w:sz w:val="24"/>
                <w:szCs w:val="24"/>
              </w:rPr>
            </w:pPr>
          </w:p>
        </w:tc>
        <w:tc>
          <w:tcPr>
            <w:tcW w:w="1679" w:type="dxa"/>
            <w:vMerge/>
            <w:vAlign w:val="center"/>
          </w:tcPr>
          <w:p w14:paraId="619A80E7" w14:textId="77777777" w:rsidR="008B1B72" w:rsidRPr="00C03959" w:rsidRDefault="008B1B72" w:rsidP="00124A82">
            <w:pPr>
              <w:jc w:val="center"/>
              <w:rPr>
                <w:rFonts w:ascii="Times New Roman" w:hAnsi="Times New Roman" w:cs="Times New Roman"/>
                <w:sz w:val="24"/>
                <w:szCs w:val="24"/>
              </w:rPr>
            </w:pPr>
          </w:p>
        </w:tc>
        <w:tc>
          <w:tcPr>
            <w:tcW w:w="1679" w:type="dxa"/>
            <w:vMerge/>
            <w:vAlign w:val="center"/>
          </w:tcPr>
          <w:p w14:paraId="7F5006BD" w14:textId="77777777" w:rsidR="008B1B72" w:rsidRPr="00C03959" w:rsidRDefault="008B1B72" w:rsidP="00124A82">
            <w:pPr>
              <w:jc w:val="center"/>
              <w:rPr>
                <w:rFonts w:ascii="Times New Roman" w:hAnsi="Times New Roman" w:cs="Times New Roman"/>
                <w:sz w:val="24"/>
                <w:szCs w:val="24"/>
              </w:rPr>
            </w:pPr>
          </w:p>
        </w:tc>
      </w:tr>
      <w:tr w:rsidR="008B1B72" w:rsidRPr="00C03959" w14:paraId="15F29755" w14:textId="77777777" w:rsidTr="00124A82">
        <w:tc>
          <w:tcPr>
            <w:tcW w:w="1678" w:type="dxa"/>
            <w:vAlign w:val="center"/>
          </w:tcPr>
          <w:p w14:paraId="2049087B" w14:textId="77777777" w:rsidR="008B1B72" w:rsidRPr="00C03959" w:rsidRDefault="008B1B72" w:rsidP="00124A82">
            <w:pPr>
              <w:jc w:val="center"/>
              <w:rPr>
                <w:rFonts w:ascii="Times New Roman" w:hAnsi="Times New Roman" w:cs="Times New Roman"/>
                <w:sz w:val="24"/>
                <w:szCs w:val="24"/>
              </w:rPr>
            </w:pPr>
            <w:r w:rsidRPr="00C03959">
              <w:rPr>
                <w:rFonts w:ascii="Times New Roman" w:hAnsi="Times New Roman" w:cs="Times New Roman"/>
                <w:sz w:val="24"/>
                <w:szCs w:val="24"/>
              </w:rPr>
              <w:t>Mine Employee</w:t>
            </w:r>
          </w:p>
        </w:tc>
        <w:tc>
          <w:tcPr>
            <w:tcW w:w="1678" w:type="dxa"/>
            <w:vMerge w:val="restart"/>
            <w:vAlign w:val="center"/>
          </w:tcPr>
          <w:p w14:paraId="2CD70AAF" w14:textId="77777777" w:rsidR="008B1B72" w:rsidRPr="00C03959" w:rsidRDefault="008B1B72" w:rsidP="00124A82">
            <w:pPr>
              <w:jc w:val="center"/>
              <w:rPr>
                <w:rFonts w:ascii="Times New Roman" w:hAnsi="Times New Roman" w:cs="Times New Roman"/>
                <w:sz w:val="24"/>
                <w:szCs w:val="24"/>
              </w:rPr>
            </w:pPr>
            <w:r w:rsidRPr="00C03959">
              <w:rPr>
                <w:rFonts w:ascii="Times New Roman" w:hAnsi="Times New Roman" w:cs="Times New Roman"/>
                <w:sz w:val="24"/>
                <w:szCs w:val="24"/>
              </w:rPr>
              <w:t>Demographic Questionnaire</w:t>
            </w:r>
          </w:p>
        </w:tc>
        <w:tc>
          <w:tcPr>
            <w:tcW w:w="1678" w:type="dxa"/>
            <w:vAlign w:val="center"/>
          </w:tcPr>
          <w:p w14:paraId="50C1B7A9" w14:textId="77777777" w:rsidR="008B1B72" w:rsidRPr="00C03959" w:rsidRDefault="008B1B72" w:rsidP="00124A82">
            <w:pPr>
              <w:jc w:val="center"/>
              <w:rPr>
                <w:rFonts w:ascii="Times New Roman" w:hAnsi="Times New Roman" w:cs="Times New Roman"/>
                <w:sz w:val="24"/>
                <w:szCs w:val="24"/>
              </w:rPr>
            </w:pPr>
            <w:r>
              <w:rPr>
                <w:rFonts w:ascii="Times New Roman" w:hAnsi="Times New Roman" w:cs="Times New Roman"/>
                <w:sz w:val="24"/>
                <w:szCs w:val="24"/>
              </w:rPr>
              <w:t>15</w:t>
            </w:r>
          </w:p>
        </w:tc>
        <w:tc>
          <w:tcPr>
            <w:tcW w:w="1678" w:type="dxa"/>
            <w:vMerge w:val="restart"/>
            <w:vAlign w:val="center"/>
          </w:tcPr>
          <w:p w14:paraId="32AFB14D" w14:textId="77777777" w:rsidR="008B1B72" w:rsidRPr="00C03959" w:rsidRDefault="008B1B72" w:rsidP="00124A82">
            <w:pPr>
              <w:jc w:val="center"/>
              <w:rPr>
                <w:rFonts w:ascii="Times New Roman" w:hAnsi="Times New Roman" w:cs="Times New Roman"/>
                <w:sz w:val="24"/>
                <w:szCs w:val="24"/>
              </w:rPr>
            </w:pPr>
            <w:r w:rsidRPr="00C03959">
              <w:rPr>
                <w:rFonts w:ascii="Times New Roman" w:hAnsi="Times New Roman" w:cs="Times New Roman"/>
                <w:sz w:val="24"/>
                <w:szCs w:val="24"/>
              </w:rPr>
              <w:t>1</w:t>
            </w:r>
          </w:p>
        </w:tc>
        <w:tc>
          <w:tcPr>
            <w:tcW w:w="1679" w:type="dxa"/>
            <w:vMerge w:val="restart"/>
            <w:vAlign w:val="center"/>
          </w:tcPr>
          <w:p w14:paraId="1931A7D3" w14:textId="77777777" w:rsidR="008B1B72" w:rsidRPr="00C03959" w:rsidRDefault="008B1B72" w:rsidP="00124A82">
            <w:pPr>
              <w:jc w:val="center"/>
              <w:rPr>
                <w:rFonts w:ascii="Times New Roman" w:hAnsi="Times New Roman" w:cs="Times New Roman"/>
                <w:sz w:val="24"/>
                <w:szCs w:val="24"/>
              </w:rPr>
            </w:pPr>
            <w:r w:rsidRPr="00C03959">
              <w:rPr>
                <w:rFonts w:ascii="Times New Roman" w:hAnsi="Times New Roman" w:cs="Times New Roman"/>
                <w:sz w:val="24"/>
                <w:szCs w:val="24"/>
              </w:rPr>
              <w:t>6/60</w:t>
            </w:r>
          </w:p>
          <w:p w14:paraId="20FFFCC1" w14:textId="77777777" w:rsidR="008B1B72" w:rsidRPr="00C03959" w:rsidRDefault="008B1B72" w:rsidP="00124A82">
            <w:pPr>
              <w:jc w:val="center"/>
              <w:rPr>
                <w:rFonts w:ascii="Times New Roman" w:hAnsi="Times New Roman" w:cs="Times New Roman"/>
                <w:sz w:val="24"/>
                <w:szCs w:val="24"/>
              </w:rPr>
            </w:pPr>
          </w:p>
        </w:tc>
        <w:tc>
          <w:tcPr>
            <w:tcW w:w="1679" w:type="dxa"/>
            <w:vMerge w:val="restart"/>
            <w:vAlign w:val="center"/>
          </w:tcPr>
          <w:p w14:paraId="17904D4F" w14:textId="77777777" w:rsidR="008B1B72" w:rsidRPr="00C03959" w:rsidRDefault="008B1B72" w:rsidP="00124A82">
            <w:pPr>
              <w:jc w:val="center"/>
              <w:rPr>
                <w:rFonts w:ascii="Times New Roman" w:hAnsi="Times New Roman" w:cs="Times New Roman"/>
                <w:sz w:val="24"/>
                <w:szCs w:val="24"/>
              </w:rPr>
            </w:pPr>
            <w:r>
              <w:rPr>
                <w:rFonts w:ascii="Times New Roman" w:hAnsi="Times New Roman" w:cs="Times New Roman"/>
                <w:sz w:val="24"/>
                <w:szCs w:val="24"/>
              </w:rPr>
              <w:t>3</w:t>
            </w:r>
          </w:p>
        </w:tc>
      </w:tr>
      <w:tr w:rsidR="008B1B72" w:rsidRPr="00C03959" w14:paraId="28488790" w14:textId="77777777" w:rsidTr="00124A82">
        <w:tc>
          <w:tcPr>
            <w:tcW w:w="1678" w:type="dxa"/>
            <w:vAlign w:val="center"/>
          </w:tcPr>
          <w:p w14:paraId="16A4643C" w14:textId="77777777" w:rsidR="008B1B72" w:rsidRPr="00C03959" w:rsidRDefault="008B1B72" w:rsidP="00124A82">
            <w:pPr>
              <w:jc w:val="center"/>
              <w:rPr>
                <w:rFonts w:ascii="Times New Roman" w:hAnsi="Times New Roman" w:cs="Times New Roman"/>
                <w:sz w:val="24"/>
                <w:szCs w:val="24"/>
              </w:rPr>
            </w:pPr>
            <w:r w:rsidRPr="00C03959">
              <w:rPr>
                <w:rFonts w:ascii="Times New Roman" w:hAnsi="Times New Roman" w:cs="Times New Roman"/>
                <w:sz w:val="24"/>
                <w:szCs w:val="24"/>
              </w:rPr>
              <w:t>Safety Professional</w:t>
            </w:r>
          </w:p>
        </w:tc>
        <w:tc>
          <w:tcPr>
            <w:tcW w:w="1678" w:type="dxa"/>
            <w:vMerge/>
            <w:vAlign w:val="center"/>
          </w:tcPr>
          <w:p w14:paraId="3BA608CB" w14:textId="77777777" w:rsidR="008B1B72" w:rsidRPr="00C03959" w:rsidRDefault="008B1B72" w:rsidP="00124A82">
            <w:pPr>
              <w:jc w:val="center"/>
              <w:rPr>
                <w:rFonts w:ascii="Times New Roman" w:hAnsi="Times New Roman" w:cs="Times New Roman"/>
                <w:sz w:val="24"/>
                <w:szCs w:val="24"/>
              </w:rPr>
            </w:pPr>
          </w:p>
        </w:tc>
        <w:tc>
          <w:tcPr>
            <w:tcW w:w="1678" w:type="dxa"/>
            <w:vAlign w:val="center"/>
          </w:tcPr>
          <w:p w14:paraId="6BAC3A05" w14:textId="77777777" w:rsidR="008B1B72" w:rsidRPr="00C03959" w:rsidRDefault="008B1B72" w:rsidP="00124A82">
            <w:pPr>
              <w:jc w:val="center"/>
              <w:rPr>
                <w:rFonts w:ascii="Times New Roman" w:hAnsi="Times New Roman" w:cs="Times New Roman"/>
                <w:sz w:val="24"/>
                <w:szCs w:val="24"/>
              </w:rPr>
            </w:pPr>
            <w:r>
              <w:rPr>
                <w:rFonts w:ascii="Times New Roman" w:hAnsi="Times New Roman" w:cs="Times New Roman"/>
                <w:sz w:val="24"/>
                <w:szCs w:val="24"/>
              </w:rPr>
              <w:t>8</w:t>
            </w:r>
          </w:p>
        </w:tc>
        <w:tc>
          <w:tcPr>
            <w:tcW w:w="1678" w:type="dxa"/>
            <w:vMerge/>
            <w:vAlign w:val="center"/>
          </w:tcPr>
          <w:p w14:paraId="493ACFB2" w14:textId="77777777" w:rsidR="008B1B72" w:rsidRPr="00C03959" w:rsidRDefault="008B1B72" w:rsidP="00124A82">
            <w:pPr>
              <w:jc w:val="center"/>
              <w:rPr>
                <w:rFonts w:ascii="Times New Roman" w:hAnsi="Times New Roman" w:cs="Times New Roman"/>
                <w:sz w:val="24"/>
                <w:szCs w:val="24"/>
              </w:rPr>
            </w:pPr>
          </w:p>
        </w:tc>
        <w:tc>
          <w:tcPr>
            <w:tcW w:w="1679" w:type="dxa"/>
            <w:vMerge/>
            <w:vAlign w:val="center"/>
          </w:tcPr>
          <w:p w14:paraId="703EBF7F" w14:textId="77777777" w:rsidR="008B1B72" w:rsidRPr="00C03959" w:rsidRDefault="008B1B72" w:rsidP="00124A82">
            <w:pPr>
              <w:jc w:val="center"/>
              <w:rPr>
                <w:rFonts w:ascii="Times New Roman" w:hAnsi="Times New Roman" w:cs="Times New Roman"/>
                <w:sz w:val="24"/>
                <w:szCs w:val="24"/>
              </w:rPr>
            </w:pPr>
          </w:p>
        </w:tc>
        <w:tc>
          <w:tcPr>
            <w:tcW w:w="1679" w:type="dxa"/>
            <w:vMerge/>
            <w:vAlign w:val="center"/>
          </w:tcPr>
          <w:p w14:paraId="32455131" w14:textId="77777777" w:rsidR="008B1B72" w:rsidRPr="00C03959" w:rsidRDefault="008B1B72" w:rsidP="00124A82">
            <w:pPr>
              <w:jc w:val="center"/>
              <w:rPr>
                <w:rFonts w:ascii="Times New Roman" w:hAnsi="Times New Roman" w:cs="Times New Roman"/>
                <w:sz w:val="24"/>
                <w:szCs w:val="24"/>
              </w:rPr>
            </w:pPr>
          </w:p>
        </w:tc>
      </w:tr>
      <w:tr w:rsidR="008B1B72" w:rsidRPr="00C03959" w14:paraId="53E5FFC5" w14:textId="77777777" w:rsidTr="00124A82">
        <w:tc>
          <w:tcPr>
            <w:tcW w:w="1678" w:type="dxa"/>
            <w:vAlign w:val="center"/>
          </w:tcPr>
          <w:p w14:paraId="01857316" w14:textId="77777777" w:rsidR="008B1B72" w:rsidRPr="00C03959" w:rsidRDefault="008B1B72" w:rsidP="00124A82">
            <w:pPr>
              <w:jc w:val="center"/>
              <w:rPr>
                <w:rFonts w:ascii="Times New Roman" w:hAnsi="Times New Roman" w:cs="Times New Roman"/>
                <w:sz w:val="24"/>
                <w:szCs w:val="24"/>
              </w:rPr>
            </w:pPr>
            <w:r w:rsidRPr="00C03959">
              <w:rPr>
                <w:rFonts w:ascii="Times New Roman" w:hAnsi="Times New Roman" w:cs="Times New Roman"/>
                <w:sz w:val="24"/>
                <w:szCs w:val="24"/>
              </w:rPr>
              <w:t>Student</w:t>
            </w:r>
          </w:p>
        </w:tc>
        <w:tc>
          <w:tcPr>
            <w:tcW w:w="1678" w:type="dxa"/>
            <w:vMerge/>
            <w:vAlign w:val="center"/>
          </w:tcPr>
          <w:p w14:paraId="779CC950" w14:textId="77777777" w:rsidR="008B1B72" w:rsidRPr="00C03959" w:rsidRDefault="008B1B72" w:rsidP="00124A82">
            <w:pPr>
              <w:jc w:val="center"/>
              <w:rPr>
                <w:rFonts w:ascii="Times New Roman" w:hAnsi="Times New Roman" w:cs="Times New Roman"/>
                <w:sz w:val="24"/>
                <w:szCs w:val="24"/>
              </w:rPr>
            </w:pPr>
          </w:p>
        </w:tc>
        <w:tc>
          <w:tcPr>
            <w:tcW w:w="1678" w:type="dxa"/>
            <w:vAlign w:val="center"/>
          </w:tcPr>
          <w:p w14:paraId="54E3F65A" w14:textId="77777777" w:rsidR="008B1B72" w:rsidRPr="00C03959" w:rsidRDefault="008B1B72" w:rsidP="00124A82">
            <w:pPr>
              <w:jc w:val="center"/>
              <w:rPr>
                <w:rFonts w:ascii="Times New Roman" w:hAnsi="Times New Roman" w:cs="Times New Roman"/>
                <w:sz w:val="24"/>
                <w:szCs w:val="24"/>
              </w:rPr>
            </w:pPr>
            <w:r>
              <w:rPr>
                <w:rFonts w:ascii="Times New Roman" w:hAnsi="Times New Roman" w:cs="Times New Roman"/>
                <w:sz w:val="24"/>
                <w:szCs w:val="24"/>
              </w:rPr>
              <w:t>8</w:t>
            </w:r>
          </w:p>
        </w:tc>
        <w:tc>
          <w:tcPr>
            <w:tcW w:w="1678" w:type="dxa"/>
            <w:vMerge/>
            <w:vAlign w:val="center"/>
          </w:tcPr>
          <w:p w14:paraId="486EBC7A" w14:textId="77777777" w:rsidR="008B1B72" w:rsidRPr="00C03959" w:rsidRDefault="008B1B72" w:rsidP="00124A82">
            <w:pPr>
              <w:jc w:val="center"/>
              <w:rPr>
                <w:rFonts w:ascii="Times New Roman" w:hAnsi="Times New Roman" w:cs="Times New Roman"/>
                <w:sz w:val="24"/>
                <w:szCs w:val="24"/>
              </w:rPr>
            </w:pPr>
          </w:p>
        </w:tc>
        <w:tc>
          <w:tcPr>
            <w:tcW w:w="1679" w:type="dxa"/>
            <w:vMerge/>
            <w:vAlign w:val="center"/>
          </w:tcPr>
          <w:p w14:paraId="5B416FBB" w14:textId="77777777" w:rsidR="008B1B72" w:rsidRPr="00C03959" w:rsidRDefault="008B1B72" w:rsidP="00124A82">
            <w:pPr>
              <w:jc w:val="center"/>
              <w:rPr>
                <w:rFonts w:ascii="Times New Roman" w:hAnsi="Times New Roman" w:cs="Times New Roman"/>
                <w:sz w:val="24"/>
                <w:szCs w:val="24"/>
              </w:rPr>
            </w:pPr>
          </w:p>
        </w:tc>
        <w:tc>
          <w:tcPr>
            <w:tcW w:w="1679" w:type="dxa"/>
            <w:vMerge/>
            <w:vAlign w:val="center"/>
          </w:tcPr>
          <w:p w14:paraId="786849D9" w14:textId="77777777" w:rsidR="008B1B72" w:rsidRPr="00C03959" w:rsidRDefault="008B1B72" w:rsidP="00124A82">
            <w:pPr>
              <w:jc w:val="center"/>
              <w:rPr>
                <w:rFonts w:ascii="Times New Roman" w:hAnsi="Times New Roman" w:cs="Times New Roman"/>
                <w:sz w:val="24"/>
                <w:szCs w:val="24"/>
              </w:rPr>
            </w:pPr>
          </w:p>
        </w:tc>
      </w:tr>
      <w:tr w:rsidR="00DE31F0" w:rsidRPr="00C03959" w14:paraId="31A2F189" w14:textId="77777777" w:rsidTr="00124A82">
        <w:tc>
          <w:tcPr>
            <w:tcW w:w="1678" w:type="dxa"/>
            <w:vAlign w:val="center"/>
          </w:tcPr>
          <w:p w14:paraId="3991FECF" w14:textId="77777777" w:rsidR="00DE31F0" w:rsidRPr="00C03959" w:rsidRDefault="00DE31F0" w:rsidP="00124A82">
            <w:pPr>
              <w:jc w:val="center"/>
              <w:rPr>
                <w:rFonts w:ascii="Times New Roman" w:hAnsi="Times New Roman" w:cs="Times New Roman"/>
                <w:sz w:val="24"/>
                <w:szCs w:val="24"/>
              </w:rPr>
            </w:pPr>
            <w:r w:rsidRPr="00C03959">
              <w:rPr>
                <w:rFonts w:ascii="Times New Roman" w:hAnsi="Times New Roman" w:cs="Times New Roman"/>
                <w:sz w:val="24"/>
                <w:szCs w:val="24"/>
              </w:rPr>
              <w:t>Mine Employee</w:t>
            </w:r>
          </w:p>
        </w:tc>
        <w:tc>
          <w:tcPr>
            <w:tcW w:w="1678" w:type="dxa"/>
            <w:vMerge w:val="restart"/>
            <w:vAlign w:val="center"/>
          </w:tcPr>
          <w:p w14:paraId="30E927A9" w14:textId="77777777" w:rsidR="00DE31F0" w:rsidRPr="00C03959" w:rsidRDefault="00DE31F0" w:rsidP="00124A82">
            <w:pPr>
              <w:jc w:val="center"/>
              <w:rPr>
                <w:rFonts w:ascii="Times New Roman" w:hAnsi="Times New Roman" w:cs="Times New Roman"/>
                <w:sz w:val="24"/>
                <w:szCs w:val="24"/>
              </w:rPr>
            </w:pPr>
            <w:r w:rsidRPr="00C03959">
              <w:rPr>
                <w:rFonts w:ascii="Times New Roman" w:hAnsi="Times New Roman" w:cs="Times New Roman"/>
                <w:sz w:val="24"/>
                <w:szCs w:val="24"/>
              </w:rPr>
              <w:t>Experimental Task</w:t>
            </w:r>
          </w:p>
        </w:tc>
        <w:tc>
          <w:tcPr>
            <w:tcW w:w="1678" w:type="dxa"/>
            <w:vAlign w:val="center"/>
          </w:tcPr>
          <w:p w14:paraId="7BA35DC6" w14:textId="77777777" w:rsidR="00DE31F0" w:rsidRPr="00C03959" w:rsidRDefault="00DE31F0" w:rsidP="00124A82">
            <w:pPr>
              <w:jc w:val="center"/>
              <w:rPr>
                <w:rFonts w:ascii="Times New Roman" w:hAnsi="Times New Roman" w:cs="Times New Roman"/>
                <w:sz w:val="24"/>
                <w:szCs w:val="24"/>
              </w:rPr>
            </w:pPr>
            <w:r>
              <w:rPr>
                <w:rFonts w:ascii="Times New Roman" w:hAnsi="Times New Roman" w:cs="Times New Roman"/>
                <w:sz w:val="24"/>
                <w:szCs w:val="24"/>
              </w:rPr>
              <w:t>15</w:t>
            </w:r>
          </w:p>
        </w:tc>
        <w:tc>
          <w:tcPr>
            <w:tcW w:w="1678" w:type="dxa"/>
            <w:vMerge w:val="restart"/>
            <w:vAlign w:val="center"/>
          </w:tcPr>
          <w:p w14:paraId="45517DE6" w14:textId="77777777" w:rsidR="00DE31F0" w:rsidRPr="00C03959" w:rsidRDefault="00DE31F0" w:rsidP="00124A82">
            <w:pPr>
              <w:jc w:val="center"/>
              <w:rPr>
                <w:rFonts w:ascii="Times New Roman" w:hAnsi="Times New Roman" w:cs="Times New Roman"/>
                <w:sz w:val="24"/>
                <w:szCs w:val="24"/>
              </w:rPr>
            </w:pPr>
            <w:r w:rsidRPr="00C03959">
              <w:rPr>
                <w:rFonts w:ascii="Times New Roman" w:hAnsi="Times New Roman" w:cs="Times New Roman"/>
                <w:sz w:val="24"/>
                <w:szCs w:val="24"/>
              </w:rPr>
              <w:t>1</w:t>
            </w:r>
          </w:p>
          <w:p w14:paraId="6257BBE4" w14:textId="77777777" w:rsidR="00DE31F0" w:rsidRPr="00C03959" w:rsidRDefault="00DE31F0" w:rsidP="00124A82">
            <w:pPr>
              <w:jc w:val="center"/>
              <w:rPr>
                <w:rFonts w:ascii="Times New Roman" w:hAnsi="Times New Roman" w:cs="Times New Roman"/>
                <w:sz w:val="24"/>
                <w:szCs w:val="24"/>
              </w:rPr>
            </w:pPr>
          </w:p>
        </w:tc>
        <w:tc>
          <w:tcPr>
            <w:tcW w:w="1679" w:type="dxa"/>
            <w:vMerge w:val="restart"/>
            <w:vAlign w:val="center"/>
          </w:tcPr>
          <w:p w14:paraId="5AD003C7" w14:textId="77777777" w:rsidR="00DE31F0" w:rsidRPr="00C03959" w:rsidRDefault="00DE31F0" w:rsidP="00124A82">
            <w:pPr>
              <w:jc w:val="center"/>
              <w:rPr>
                <w:rFonts w:ascii="Times New Roman" w:hAnsi="Times New Roman" w:cs="Times New Roman"/>
                <w:sz w:val="24"/>
                <w:szCs w:val="24"/>
              </w:rPr>
            </w:pPr>
            <w:r w:rsidRPr="00C03959">
              <w:rPr>
                <w:rFonts w:ascii="Times New Roman" w:hAnsi="Times New Roman" w:cs="Times New Roman"/>
                <w:sz w:val="24"/>
                <w:szCs w:val="24"/>
              </w:rPr>
              <w:t>1</w:t>
            </w:r>
          </w:p>
          <w:p w14:paraId="792DBCFC" w14:textId="77777777" w:rsidR="00DE31F0" w:rsidRPr="00C03959" w:rsidRDefault="00DE31F0" w:rsidP="00124A82">
            <w:pPr>
              <w:jc w:val="center"/>
              <w:rPr>
                <w:rFonts w:ascii="Times New Roman" w:hAnsi="Times New Roman" w:cs="Times New Roman"/>
                <w:sz w:val="24"/>
                <w:szCs w:val="24"/>
              </w:rPr>
            </w:pPr>
          </w:p>
        </w:tc>
        <w:tc>
          <w:tcPr>
            <w:tcW w:w="1679" w:type="dxa"/>
            <w:vMerge w:val="restart"/>
            <w:vAlign w:val="center"/>
          </w:tcPr>
          <w:p w14:paraId="6AB80BA0" w14:textId="77777777" w:rsidR="00DE31F0" w:rsidRPr="00C03959" w:rsidRDefault="00DE31F0" w:rsidP="00124A82">
            <w:pPr>
              <w:jc w:val="center"/>
              <w:rPr>
                <w:rFonts w:ascii="Times New Roman" w:hAnsi="Times New Roman" w:cs="Times New Roman"/>
                <w:sz w:val="24"/>
                <w:szCs w:val="24"/>
              </w:rPr>
            </w:pPr>
            <w:r>
              <w:rPr>
                <w:rFonts w:ascii="Times New Roman" w:hAnsi="Times New Roman" w:cs="Times New Roman"/>
                <w:sz w:val="24"/>
                <w:szCs w:val="24"/>
              </w:rPr>
              <w:t>31</w:t>
            </w:r>
          </w:p>
        </w:tc>
      </w:tr>
      <w:tr w:rsidR="00DE31F0" w:rsidRPr="00C03959" w14:paraId="56E14D4B" w14:textId="77777777" w:rsidTr="00124A82">
        <w:tc>
          <w:tcPr>
            <w:tcW w:w="1678" w:type="dxa"/>
            <w:vAlign w:val="center"/>
          </w:tcPr>
          <w:p w14:paraId="5318EAA3" w14:textId="77777777" w:rsidR="00DE31F0" w:rsidRPr="00C03959" w:rsidRDefault="00DE31F0" w:rsidP="00124A82">
            <w:pPr>
              <w:jc w:val="center"/>
              <w:rPr>
                <w:rFonts w:ascii="Times New Roman" w:hAnsi="Times New Roman" w:cs="Times New Roman"/>
                <w:sz w:val="24"/>
                <w:szCs w:val="24"/>
              </w:rPr>
            </w:pPr>
            <w:r w:rsidRPr="00C03959">
              <w:rPr>
                <w:rFonts w:ascii="Times New Roman" w:hAnsi="Times New Roman" w:cs="Times New Roman"/>
                <w:sz w:val="24"/>
                <w:szCs w:val="24"/>
              </w:rPr>
              <w:t xml:space="preserve">Safety Professional </w:t>
            </w:r>
          </w:p>
        </w:tc>
        <w:tc>
          <w:tcPr>
            <w:tcW w:w="1678" w:type="dxa"/>
            <w:vMerge/>
            <w:vAlign w:val="center"/>
          </w:tcPr>
          <w:p w14:paraId="7DEE4F32" w14:textId="77777777" w:rsidR="00DE31F0" w:rsidRPr="00C03959" w:rsidRDefault="00DE31F0" w:rsidP="00124A82">
            <w:pPr>
              <w:jc w:val="center"/>
              <w:rPr>
                <w:rFonts w:ascii="Times New Roman" w:hAnsi="Times New Roman" w:cs="Times New Roman"/>
                <w:sz w:val="24"/>
                <w:szCs w:val="24"/>
              </w:rPr>
            </w:pPr>
          </w:p>
        </w:tc>
        <w:tc>
          <w:tcPr>
            <w:tcW w:w="1678" w:type="dxa"/>
            <w:vAlign w:val="center"/>
          </w:tcPr>
          <w:p w14:paraId="3A612527" w14:textId="77777777" w:rsidR="00DE31F0" w:rsidRPr="00C03959" w:rsidRDefault="00DE31F0" w:rsidP="00124A82">
            <w:pPr>
              <w:jc w:val="center"/>
              <w:rPr>
                <w:rFonts w:ascii="Times New Roman" w:hAnsi="Times New Roman" w:cs="Times New Roman"/>
                <w:sz w:val="24"/>
                <w:szCs w:val="24"/>
              </w:rPr>
            </w:pPr>
            <w:r>
              <w:rPr>
                <w:rFonts w:ascii="Times New Roman" w:hAnsi="Times New Roman" w:cs="Times New Roman"/>
                <w:sz w:val="24"/>
                <w:szCs w:val="24"/>
              </w:rPr>
              <w:t>8</w:t>
            </w:r>
          </w:p>
        </w:tc>
        <w:tc>
          <w:tcPr>
            <w:tcW w:w="1678" w:type="dxa"/>
            <w:vMerge/>
            <w:vAlign w:val="center"/>
          </w:tcPr>
          <w:p w14:paraId="3BDB29E7" w14:textId="77777777" w:rsidR="00DE31F0" w:rsidRPr="00C03959" w:rsidRDefault="00DE31F0" w:rsidP="00124A82">
            <w:pPr>
              <w:jc w:val="center"/>
              <w:rPr>
                <w:rFonts w:ascii="Times New Roman" w:hAnsi="Times New Roman" w:cs="Times New Roman"/>
                <w:sz w:val="24"/>
                <w:szCs w:val="24"/>
              </w:rPr>
            </w:pPr>
          </w:p>
        </w:tc>
        <w:tc>
          <w:tcPr>
            <w:tcW w:w="1679" w:type="dxa"/>
            <w:vMerge/>
            <w:vAlign w:val="center"/>
          </w:tcPr>
          <w:p w14:paraId="61E34980" w14:textId="77777777" w:rsidR="00DE31F0" w:rsidRPr="00C03959" w:rsidRDefault="00DE31F0" w:rsidP="00124A82">
            <w:pPr>
              <w:jc w:val="center"/>
              <w:rPr>
                <w:rFonts w:ascii="Times New Roman" w:hAnsi="Times New Roman" w:cs="Times New Roman"/>
                <w:sz w:val="24"/>
                <w:szCs w:val="24"/>
              </w:rPr>
            </w:pPr>
          </w:p>
        </w:tc>
        <w:tc>
          <w:tcPr>
            <w:tcW w:w="1679" w:type="dxa"/>
            <w:vMerge/>
            <w:vAlign w:val="center"/>
          </w:tcPr>
          <w:p w14:paraId="67879162" w14:textId="77777777" w:rsidR="00DE31F0" w:rsidRPr="00C03959" w:rsidRDefault="00DE31F0" w:rsidP="00124A82">
            <w:pPr>
              <w:jc w:val="center"/>
              <w:rPr>
                <w:rFonts w:ascii="Times New Roman" w:hAnsi="Times New Roman" w:cs="Times New Roman"/>
                <w:sz w:val="24"/>
                <w:szCs w:val="24"/>
              </w:rPr>
            </w:pPr>
          </w:p>
        </w:tc>
      </w:tr>
      <w:tr w:rsidR="00DE31F0" w:rsidRPr="00C03959" w14:paraId="39638939" w14:textId="77777777" w:rsidTr="00124A82">
        <w:tc>
          <w:tcPr>
            <w:tcW w:w="1678" w:type="dxa"/>
            <w:vAlign w:val="center"/>
          </w:tcPr>
          <w:p w14:paraId="1C5F1748" w14:textId="77777777" w:rsidR="00DE31F0" w:rsidRPr="00C03959" w:rsidRDefault="00DE31F0" w:rsidP="00124A82">
            <w:pPr>
              <w:jc w:val="center"/>
              <w:rPr>
                <w:rFonts w:ascii="Times New Roman" w:hAnsi="Times New Roman" w:cs="Times New Roman"/>
                <w:sz w:val="24"/>
                <w:szCs w:val="24"/>
              </w:rPr>
            </w:pPr>
            <w:r w:rsidRPr="00C03959">
              <w:rPr>
                <w:rFonts w:ascii="Times New Roman" w:hAnsi="Times New Roman" w:cs="Times New Roman"/>
                <w:sz w:val="24"/>
                <w:szCs w:val="24"/>
              </w:rPr>
              <w:t>Student</w:t>
            </w:r>
          </w:p>
        </w:tc>
        <w:tc>
          <w:tcPr>
            <w:tcW w:w="1678" w:type="dxa"/>
            <w:vMerge/>
            <w:vAlign w:val="center"/>
          </w:tcPr>
          <w:p w14:paraId="070CE141" w14:textId="77777777" w:rsidR="00DE31F0" w:rsidRPr="00C03959" w:rsidRDefault="00DE31F0" w:rsidP="00124A82">
            <w:pPr>
              <w:jc w:val="center"/>
              <w:rPr>
                <w:rFonts w:ascii="Times New Roman" w:hAnsi="Times New Roman" w:cs="Times New Roman"/>
                <w:sz w:val="24"/>
                <w:szCs w:val="24"/>
              </w:rPr>
            </w:pPr>
          </w:p>
        </w:tc>
        <w:tc>
          <w:tcPr>
            <w:tcW w:w="1678" w:type="dxa"/>
            <w:vAlign w:val="center"/>
          </w:tcPr>
          <w:p w14:paraId="142A21A7" w14:textId="77777777" w:rsidR="00DE31F0" w:rsidRPr="00C03959" w:rsidRDefault="00DE31F0" w:rsidP="00124A82">
            <w:pPr>
              <w:jc w:val="center"/>
              <w:rPr>
                <w:rFonts w:ascii="Times New Roman" w:hAnsi="Times New Roman" w:cs="Times New Roman"/>
                <w:sz w:val="24"/>
                <w:szCs w:val="24"/>
              </w:rPr>
            </w:pPr>
            <w:r>
              <w:rPr>
                <w:rFonts w:ascii="Times New Roman" w:hAnsi="Times New Roman" w:cs="Times New Roman"/>
                <w:sz w:val="24"/>
                <w:szCs w:val="24"/>
              </w:rPr>
              <w:t>8</w:t>
            </w:r>
          </w:p>
        </w:tc>
        <w:tc>
          <w:tcPr>
            <w:tcW w:w="1678" w:type="dxa"/>
            <w:vMerge/>
            <w:vAlign w:val="center"/>
          </w:tcPr>
          <w:p w14:paraId="2F59CF7F" w14:textId="77777777" w:rsidR="00DE31F0" w:rsidRPr="00C03959" w:rsidRDefault="00DE31F0" w:rsidP="00124A82">
            <w:pPr>
              <w:jc w:val="center"/>
              <w:rPr>
                <w:rFonts w:ascii="Times New Roman" w:hAnsi="Times New Roman" w:cs="Times New Roman"/>
                <w:sz w:val="24"/>
                <w:szCs w:val="24"/>
              </w:rPr>
            </w:pPr>
          </w:p>
        </w:tc>
        <w:tc>
          <w:tcPr>
            <w:tcW w:w="1679" w:type="dxa"/>
            <w:vMerge/>
            <w:vAlign w:val="center"/>
          </w:tcPr>
          <w:p w14:paraId="237A0E16" w14:textId="77777777" w:rsidR="00DE31F0" w:rsidRPr="00C03959" w:rsidRDefault="00DE31F0" w:rsidP="00124A82">
            <w:pPr>
              <w:jc w:val="center"/>
              <w:rPr>
                <w:rFonts w:ascii="Times New Roman" w:hAnsi="Times New Roman" w:cs="Times New Roman"/>
                <w:sz w:val="24"/>
                <w:szCs w:val="24"/>
              </w:rPr>
            </w:pPr>
          </w:p>
        </w:tc>
        <w:tc>
          <w:tcPr>
            <w:tcW w:w="1679" w:type="dxa"/>
            <w:vMerge/>
            <w:vAlign w:val="center"/>
          </w:tcPr>
          <w:p w14:paraId="1C7B1865" w14:textId="77777777" w:rsidR="00DE31F0" w:rsidRPr="00C03959" w:rsidRDefault="00DE31F0" w:rsidP="00124A82">
            <w:pPr>
              <w:jc w:val="center"/>
              <w:rPr>
                <w:rFonts w:ascii="Times New Roman" w:hAnsi="Times New Roman" w:cs="Times New Roman"/>
                <w:sz w:val="24"/>
                <w:szCs w:val="24"/>
              </w:rPr>
            </w:pPr>
          </w:p>
        </w:tc>
      </w:tr>
      <w:tr w:rsidR="00DE31F0" w:rsidRPr="00C03959" w14:paraId="4ED8FA2F" w14:textId="77777777" w:rsidTr="00124A82">
        <w:tc>
          <w:tcPr>
            <w:tcW w:w="1678" w:type="dxa"/>
            <w:vAlign w:val="center"/>
          </w:tcPr>
          <w:p w14:paraId="3A9421D4" w14:textId="77777777" w:rsidR="00DE31F0" w:rsidRPr="00C03959" w:rsidRDefault="00DE31F0" w:rsidP="00124A82">
            <w:pPr>
              <w:jc w:val="center"/>
              <w:rPr>
                <w:rFonts w:ascii="Times New Roman" w:hAnsi="Times New Roman" w:cs="Times New Roman"/>
                <w:sz w:val="24"/>
                <w:szCs w:val="24"/>
              </w:rPr>
            </w:pPr>
            <w:r w:rsidRPr="00C03959">
              <w:rPr>
                <w:rFonts w:ascii="Times New Roman" w:hAnsi="Times New Roman" w:cs="Times New Roman"/>
                <w:sz w:val="24"/>
                <w:szCs w:val="24"/>
              </w:rPr>
              <w:t>Mine Employee</w:t>
            </w:r>
          </w:p>
        </w:tc>
        <w:tc>
          <w:tcPr>
            <w:tcW w:w="1678" w:type="dxa"/>
            <w:vMerge w:val="restart"/>
            <w:vAlign w:val="center"/>
          </w:tcPr>
          <w:p w14:paraId="5FE29EDA" w14:textId="77777777" w:rsidR="00DE31F0" w:rsidRPr="00C03959" w:rsidRDefault="00DE31F0" w:rsidP="00124A82">
            <w:pPr>
              <w:jc w:val="center"/>
              <w:rPr>
                <w:rFonts w:ascii="Times New Roman" w:hAnsi="Times New Roman" w:cs="Times New Roman"/>
                <w:sz w:val="24"/>
                <w:szCs w:val="24"/>
              </w:rPr>
            </w:pPr>
            <w:r w:rsidRPr="00C03959">
              <w:rPr>
                <w:rFonts w:ascii="Times New Roman" w:hAnsi="Times New Roman" w:cs="Times New Roman"/>
                <w:sz w:val="24"/>
                <w:szCs w:val="24"/>
              </w:rPr>
              <w:t>Risk Assessment Measure</w:t>
            </w:r>
          </w:p>
        </w:tc>
        <w:tc>
          <w:tcPr>
            <w:tcW w:w="1678" w:type="dxa"/>
            <w:vAlign w:val="center"/>
          </w:tcPr>
          <w:p w14:paraId="13F4ED0F" w14:textId="77777777" w:rsidR="00DE31F0" w:rsidRPr="00C03959" w:rsidRDefault="00DE31F0" w:rsidP="00124A82">
            <w:pPr>
              <w:jc w:val="center"/>
              <w:rPr>
                <w:rFonts w:ascii="Times New Roman" w:hAnsi="Times New Roman" w:cs="Times New Roman"/>
                <w:sz w:val="24"/>
                <w:szCs w:val="24"/>
              </w:rPr>
            </w:pPr>
            <w:r>
              <w:rPr>
                <w:rFonts w:ascii="Times New Roman" w:hAnsi="Times New Roman" w:cs="Times New Roman"/>
                <w:sz w:val="24"/>
                <w:szCs w:val="24"/>
              </w:rPr>
              <w:t>15</w:t>
            </w:r>
          </w:p>
        </w:tc>
        <w:tc>
          <w:tcPr>
            <w:tcW w:w="1678" w:type="dxa"/>
            <w:vMerge w:val="restart"/>
            <w:vAlign w:val="center"/>
          </w:tcPr>
          <w:p w14:paraId="36372673" w14:textId="77777777" w:rsidR="00DE31F0" w:rsidRPr="00C03959" w:rsidRDefault="00DE31F0" w:rsidP="00124A82">
            <w:pPr>
              <w:jc w:val="center"/>
              <w:rPr>
                <w:rFonts w:ascii="Times New Roman" w:hAnsi="Times New Roman" w:cs="Times New Roman"/>
                <w:sz w:val="24"/>
                <w:szCs w:val="24"/>
              </w:rPr>
            </w:pPr>
            <w:r w:rsidRPr="00C03959">
              <w:rPr>
                <w:rFonts w:ascii="Times New Roman" w:hAnsi="Times New Roman" w:cs="Times New Roman"/>
                <w:sz w:val="24"/>
                <w:szCs w:val="24"/>
              </w:rPr>
              <w:t>1</w:t>
            </w:r>
          </w:p>
          <w:p w14:paraId="7CCAE6FC" w14:textId="77777777" w:rsidR="00DE31F0" w:rsidRPr="00C03959" w:rsidRDefault="00DE31F0" w:rsidP="00124A82">
            <w:pPr>
              <w:jc w:val="center"/>
              <w:rPr>
                <w:rFonts w:ascii="Times New Roman" w:hAnsi="Times New Roman" w:cs="Times New Roman"/>
                <w:sz w:val="24"/>
                <w:szCs w:val="24"/>
              </w:rPr>
            </w:pPr>
          </w:p>
        </w:tc>
        <w:tc>
          <w:tcPr>
            <w:tcW w:w="1679" w:type="dxa"/>
            <w:vMerge w:val="restart"/>
            <w:vAlign w:val="center"/>
          </w:tcPr>
          <w:p w14:paraId="0F0C5041" w14:textId="77777777" w:rsidR="00DE31F0" w:rsidRPr="00C03959" w:rsidRDefault="00DE31F0" w:rsidP="00124A82">
            <w:pPr>
              <w:jc w:val="center"/>
              <w:rPr>
                <w:rFonts w:ascii="Times New Roman" w:hAnsi="Times New Roman" w:cs="Times New Roman"/>
                <w:sz w:val="24"/>
                <w:szCs w:val="24"/>
              </w:rPr>
            </w:pPr>
            <w:r>
              <w:rPr>
                <w:rFonts w:ascii="Times New Roman" w:hAnsi="Times New Roman" w:cs="Times New Roman"/>
                <w:sz w:val="24"/>
                <w:szCs w:val="24"/>
              </w:rPr>
              <w:t>20</w:t>
            </w:r>
            <w:r w:rsidRPr="00C03959">
              <w:rPr>
                <w:rFonts w:ascii="Times New Roman" w:hAnsi="Times New Roman" w:cs="Times New Roman"/>
                <w:sz w:val="24"/>
                <w:szCs w:val="24"/>
              </w:rPr>
              <w:t>/60</w:t>
            </w:r>
          </w:p>
          <w:p w14:paraId="666F8715" w14:textId="77777777" w:rsidR="00DE31F0" w:rsidRPr="00C03959" w:rsidRDefault="00DE31F0" w:rsidP="00124A82">
            <w:pPr>
              <w:jc w:val="center"/>
              <w:rPr>
                <w:rFonts w:ascii="Times New Roman" w:hAnsi="Times New Roman" w:cs="Times New Roman"/>
                <w:sz w:val="24"/>
                <w:szCs w:val="24"/>
              </w:rPr>
            </w:pPr>
          </w:p>
        </w:tc>
        <w:tc>
          <w:tcPr>
            <w:tcW w:w="1679" w:type="dxa"/>
            <w:vMerge w:val="restart"/>
            <w:vAlign w:val="center"/>
          </w:tcPr>
          <w:p w14:paraId="5F9E16AE" w14:textId="77777777" w:rsidR="00DE31F0" w:rsidRPr="00C03959" w:rsidRDefault="00DE31F0" w:rsidP="00124A82">
            <w:pPr>
              <w:jc w:val="center"/>
              <w:rPr>
                <w:rFonts w:ascii="Times New Roman" w:hAnsi="Times New Roman" w:cs="Times New Roman"/>
                <w:sz w:val="24"/>
                <w:szCs w:val="24"/>
              </w:rPr>
            </w:pPr>
            <w:r>
              <w:rPr>
                <w:rFonts w:ascii="Times New Roman" w:hAnsi="Times New Roman" w:cs="Times New Roman"/>
                <w:sz w:val="24"/>
                <w:szCs w:val="24"/>
              </w:rPr>
              <w:t>10</w:t>
            </w:r>
          </w:p>
        </w:tc>
      </w:tr>
      <w:tr w:rsidR="00DE31F0" w:rsidRPr="00C03959" w14:paraId="1EC3C24F" w14:textId="77777777" w:rsidTr="00124A82">
        <w:tc>
          <w:tcPr>
            <w:tcW w:w="1678" w:type="dxa"/>
            <w:vAlign w:val="center"/>
          </w:tcPr>
          <w:p w14:paraId="7502C945" w14:textId="77777777" w:rsidR="00DE31F0" w:rsidRPr="00C03959" w:rsidRDefault="00DE31F0" w:rsidP="00124A82">
            <w:pPr>
              <w:jc w:val="center"/>
              <w:rPr>
                <w:rFonts w:ascii="Times New Roman" w:hAnsi="Times New Roman" w:cs="Times New Roman"/>
                <w:sz w:val="24"/>
                <w:szCs w:val="24"/>
              </w:rPr>
            </w:pPr>
            <w:r w:rsidRPr="00C03959">
              <w:rPr>
                <w:rFonts w:ascii="Times New Roman" w:hAnsi="Times New Roman" w:cs="Times New Roman"/>
                <w:sz w:val="24"/>
                <w:szCs w:val="24"/>
              </w:rPr>
              <w:t>Safety Professional</w:t>
            </w:r>
          </w:p>
        </w:tc>
        <w:tc>
          <w:tcPr>
            <w:tcW w:w="1678" w:type="dxa"/>
            <w:vMerge/>
            <w:vAlign w:val="center"/>
          </w:tcPr>
          <w:p w14:paraId="06F04100" w14:textId="77777777" w:rsidR="00DE31F0" w:rsidRPr="00C03959" w:rsidRDefault="00DE31F0" w:rsidP="00124A82">
            <w:pPr>
              <w:jc w:val="center"/>
              <w:rPr>
                <w:rFonts w:ascii="Times New Roman" w:hAnsi="Times New Roman" w:cs="Times New Roman"/>
                <w:sz w:val="24"/>
                <w:szCs w:val="24"/>
              </w:rPr>
            </w:pPr>
          </w:p>
        </w:tc>
        <w:tc>
          <w:tcPr>
            <w:tcW w:w="1678" w:type="dxa"/>
            <w:vAlign w:val="center"/>
          </w:tcPr>
          <w:p w14:paraId="49FA43E3" w14:textId="77777777" w:rsidR="00DE31F0" w:rsidRPr="00C03959" w:rsidRDefault="00DE31F0" w:rsidP="00124A82">
            <w:pPr>
              <w:jc w:val="center"/>
              <w:rPr>
                <w:rFonts w:ascii="Times New Roman" w:hAnsi="Times New Roman" w:cs="Times New Roman"/>
                <w:sz w:val="24"/>
                <w:szCs w:val="24"/>
              </w:rPr>
            </w:pPr>
            <w:r>
              <w:rPr>
                <w:rFonts w:ascii="Times New Roman" w:hAnsi="Times New Roman" w:cs="Times New Roman"/>
                <w:sz w:val="24"/>
                <w:szCs w:val="24"/>
              </w:rPr>
              <w:t>8</w:t>
            </w:r>
          </w:p>
        </w:tc>
        <w:tc>
          <w:tcPr>
            <w:tcW w:w="1678" w:type="dxa"/>
            <w:vMerge/>
            <w:vAlign w:val="center"/>
          </w:tcPr>
          <w:p w14:paraId="210B3FB9" w14:textId="77777777" w:rsidR="00DE31F0" w:rsidRPr="00C03959" w:rsidRDefault="00DE31F0" w:rsidP="00124A82">
            <w:pPr>
              <w:jc w:val="center"/>
              <w:rPr>
                <w:rFonts w:ascii="Times New Roman" w:hAnsi="Times New Roman" w:cs="Times New Roman"/>
                <w:sz w:val="24"/>
                <w:szCs w:val="24"/>
              </w:rPr>
            </w:pPr>
          </w:p>
        </w:tc>
        <w:tc>
          <w:tcPr>
            <w:tcW w:w="1679" w:type="dxa"/>
            <w:vMerge/>
            <w:vAlign w:val="center"/>
          </w:tcPr>
          <w:p w14:paraId="47985108" w14:textId="77777777" w:rsidR="00DE31F0" w:rsidRPr="00C03959" w:rsidRDefault="00DE31F0" w:rsidP="00124A82">
            <w:pPr>
              <w:jc w:val="center"/>
              <w:rPr>
                <w:rFonts w:ascii="Times New Roman" w:hAnsi="Times New Roman" w:cs="Times New Roman"/>
                <w:sz w:val="24"/>
                <w:szCs w:val="24"/>
              </w:rPr>
            </w:pPr>
          </w:p>
        </w:tc>
        <w:tc>
          <w:tcPr>
            <w:tcW w:w="1679" w:type="dxa"/>
            <w:vMerge/>
            <w:vAlign w:val="center"/>
          </w:tcPr>
          <w:p w14:paraId="39697BEB" w14:textId="77777777" w:rsidR="00DE31F0" w:rsidRPr="00C03959" w:rsidRDefault="00DE31F0" w:rsidP="00124A82">
            <w:pPr>
              <w:jc w:val="center"/>
              <w:rPr>
                <w:rFonts w:ascii="Times New Roman" w:hAnsi="Times New Roman" w:cs="Times New Roman"/>
                <w:sz w:val="24"/>
                <w:szCs w:val="24"/>
              </w:rPr>
            </w:pPr>
          </w:p>
        </w:tc>
      </w:tr>
      <w:tr w:rsidR="00DE31F0" w:rsidRPr="00C03959" w14:paraId="3F0C456D" w14:textId="77777777" w:rsidTr="00124A82">
        <w:tc>
          <w:tcPr>
            <w:tcW w:w="1678" w:type="dxa"/>
            <w:vAlign w:val="center"/>
          </w:tcPr>
          <w:p w14:paraId="570225AB" w14:textId="77777777" w:rsidR="00DE31F0" w:rsidRPr="00C03959" w:rsidRDefault="00DE31F0" w:rsidP="00124A82">
            <w:pPr>
              <w:jc w:val="center"/>
              <w:rPr>
                <w:rFonts w:ascii="Times New Roman" w:hAnsi="Times New Roman" w:cs="Times New Roman"/>
                <w:sz w:val="24"/>
                <w:szCs w:val="24"/>
              </w:rPr>
            </w:pPr>
            <w:r w:rsidRPr="00C03959">
              <w:rPr>
                <w:rFonts w:ascii="Times New Roman" w:hAnsi="Times New Roman" w:cs="Times New Roman"/>
                <w:sz w:val="24"/>
                <w:szCs w:val="24"/>
              </w:rPr>
              <w:t>Student</w:t>
            </w:r>
          </w:p>
        </w:tc>
        <w:tc>
          <w:tcPr>
            <w:tcW w:w="1678" w:type="dxa"/>
            <w:vMerge/>
            <w:vAlign w:val="center"/>
          </w:tcPr>
          <w:p w14:paraId="086BEA37" w14:textId="77777777" w:rsidR="00DE31F0" w:rsidRPr="00C03959" w:rsidRDefault="00DE31F0" w:rsidP="00124A82">
            <w:pPr>
              <w:jc w:val="center"/>
              <w:rPr>
                <w:rFonts w:ascii="Times New Roman" w:hAnsi="Times New Roman" w:cs="Times New Roman"/>
                <w:sz w:val="24"/>
                <w:szCs w:val="24"/>
              </w:rPr>
            </w:pPr>
          </w:p>
        </w:tc>
        <w:tc>
          <w:tcPr>
            <w:tcW w:w="1678" w:type="dxa"/>
            <w:vAlign w:val="center"/>
          </w:tcPr>
          <w:p w14:paraId="2F04F255" w14:textId="77777777" w:rsidR="00DE31F0" w:rsidRPr="00C03959" w:rsidRDefault="00DE31F0" w:rsidP="00124A82">
            <w:pPr>
              <w:jc w:val="center"/>
              <w:rPr>
                <w:rFonts w:ascii="Times New Roman" w:hAnsi="Times New Roman" w:cs="Times New Roman"/>
                <w:sz w:val="24"/>
                <w:szCs w:val="24"/>
              </w:rPr>
            </w:pPr>
            <w:r>
              <w:rPr>
                <w:rFonts w:ascii="Times New Roman" w:hAnsi="Times New Roman" w:cs="Times New Roman"/>
                <w:sz w:val="24"/>
                <w:szCs w:val="24"/>
              </w:rPr>
              <w:t>8</w:t>
            </w:r>
          </w:p>
        </w:tc>
        <w:tc>
          <w:tcPr>
            <w:tcW w:w="1678" w:type="dxa"/>
            <w:vMerge/>
            <w:vAlign w:val="center"/>
          </w:tcPr>
          <w:p w14:paraId="6BD1831D" w14:textId="77777777" w:rsidR="00DE31F0" w:rsidRPr="00C03959" w:rsidRDefault="00DE31F0" w:rsidP="00124A82">
            <w:pPr>
              <w:jc w:val="center"/>
              <w:rPr>
                <w:rFonts w:ascii="Times New Roman" w:hAnsi="Times New Roman" w:cs="Times New Roman"/>
                <w:sz w:val="24"/>
                <w:szCs w:val="24"/>
              </w:rPr>
            </w:pPr>
          </w:p>
        </w:tc>
        <w:tc>
          <w:tcPr>
            <w:tcW w:w="1679" w:type="dxa"/>
            <w:vMerge/>
            <w:vAlign w:val="center"/>
          </w:tcPr>
          <w:p w14:paraId="5F9FE060" w14:textId="77777777" w:rsidR="00DE31F0" w:rsidRPr="00C03959" w:rsidRDefault="00DE31F0" w:rsidP="00124A82">
            <w:pPr>
              <w:jc w:val="center"/>
              <w:rPr>
                <w:rFonts w:ascii="Times New Roman" w:hAnsi="Times New Roman" w:cs="Times New Roman"/>
                <w:sz w:val="24"/>
                <w:szCs w:val="24"/>
              </w:rPr>
            </w:pPr>
          </w:p>
        </w:tc>
        <w:tc>
          <w:tcPr>
            <w:tcW w:w="1679" w:type="dxa"/>
            <w:vMerge/>
            <w:vAlign w:val="center"/>
          </w:tcPr>
          <w:p w14:paraId="136FB1FF" w14:textId="77777777" w:rsidR="00DE31F0" w:rsidRPr="00C03959" w:rsidRDefault="00DE31F0" w:rsidP="00124A82">
            <w:pPr>
              <w:jc w:val="center"/>
              <w:rPr>
                <w:rFonts w:ascii="Times New Roman" w:hAnsi="Times New Roman" w:cs="Times New Roman"/>
                <w:sz w:val="24"/>
                <w:szCs w:val="24"/>
              </w:rPr>
            </w:pPr>
          </w:p>
        </w:tc>
      </w:tr>
      <w:tr w:rsidR="00317491" w:rsidRPr="00C03959" w14:paraId="21CB04CB" w14:textId="77777777" w:rsidTr="00124A82">
        <w:tc>
          <w:tcPr>
            <w:tcW w:w="1678" w:type="dxa"/>
            <w:vAlign w:val="center"/>
          </w:tcPr>
          <w:p w14:paraId="54D02C81" w14:textId="77777777" w:rsidR="00317491" w:rsidRPr="00C03959" w:rsidRDefault="00317491" w:rsidP="00124A82">
            <w:pPr>
              <w:jc w:val="center"/>
              <w:rPr>
                <w:rFonts w:ascii="Times New Roman" w:hAnsi="Times New Roman" w:cs="Times New Roman"/>
                <w:sz w:val="24"/>
                <w:szCs w:val="24"/>
              </w:rPr>
            </w:pPr>
            <w:r w:rsidRPr="00C03959">
              <w:rPr>
                <w:rFonts w:ascii="Times New Roman" w:hAnsi="Times New Roman" w:cs="Times New Roman"/>
                <w:sz w:val="24"/>
                <w:szCs w:val="24"/>
              </w:rPr>
              <w:t>Mine Employee</w:t>
            </w:r>
          </w:p>
        </w:tc>
        <w:tc>
          <w:tcPr>
            <w:tcW w:w="1678" w:type="dxa"/>
            <w:vMerge w:val="restart"/>
            <w:vAlign w:val="center"/>
          </w:tcPr>
          <w:p w14:paraId="51483CC2" w14:textId="77777777" w:rsidR="00317491" w:rsidRPr="00C03959" w:rsidRDefault="00317491" w:rsidP="00124A82">
            <w:pPr>
              <w:jc w:val="center"/>
              <w:rPr>
                <w:rFonts w:ascii="Times New Roman" w:hAnsi="Times New Roman" w:cs="Times New Roman"/>
                <w:sz w:val="24"/>
                <w:szCs w:val="24"/>
              </w:rPr>
            </w:pPr>
            <w:r w:rsidRPr="00C03959">
              <w:rPr>
                <w:rFonts w:ascii="Times New Roman" w:hAnsi="Times New Roman" w:cs="Times New Roman"/>
                <w:sz w:val="24"/>
                <w:szCs w:val="24"/>
              </w:rPr>
              <w:t>Risk Propensity Scale</w:t>
            </w:r>
          </w:p>
        </w:tc>
        <w:tc>
          <w:tcPr>
            <w:tcW w:w="1678" w:type="dxa"/>
            <w:vAlign w:val="center"/>
          </w:tcPr>
          <w:p w14:paraId="5B4FCDE5" w14:textId="77777777" w:rsidR="00317491" w:rsidRPr="00C03959" w:rsidRDefault="00317491" w:rsidP="00124A82">
            <w:pPr>
              <w:jc w:val="center"/>
              <w:rPr>
                <w:rFonts w:ascii="Times New Roman" w:hAnsi="Times New Roman" w:cs="Times New Roman"/>
                <w:sz w:val="24"/>
                <w:szCs w:val="24"/>
              </w:rPr>
            </w:pPr>
            <w:r>
              <w:rPr>
                <w:rFonts w:ascii="Times New Roman" w:hAnsi="Times New Roman" w:cs="Times New Roman"/>
                <w:sz w:val="24"/>
                <w:szCs w:val="24"/>
              </w:rPr>
              <w:t>15</w:t>
            </w:r>
          </w:p>
        </w:tc>
        <w:tc>
          <w:tcPr>
            <w:tcW w:w="1678" w:type="dxa"/>
            <w:vMerge w:val="restart"/>
            <w:vAlign w:val="center"/>
          </w:tcPr>
          <w:p w14:paraId="1F9AA7DB" w14:textId="77777777" w:rsidR="00317491" w:rsidRPr="00C03959" w:rsidRDefault="00317491" w:rsidP="00124A82">
            <w:pPr>
              <w:jc w:val="center"/>
              <w:rPr>
                <w:rFonts w:ascii="Times New Roman" w:hAnsi="Times New Roman" w:cs="Times New Roman"/>
                <w:sz w:val="24"/>
                <w:szCs w:val="24"/>
              </w:rPr>
            </w:pPr>
            <w:r w:rsidRPr="00C03959">
              <w:rPr>
                <w:rFonts w:ascii="Times New Roman" w:hAnsi="Times New Roman" w:cs="Times New Roman"/>
                <w:sz w:val="24"/>
                <w:szCs w:val="24"/>
              </w:rPr>
              <w:t>1</w:t>
            </w:r>
          </w:p>
          <w:p w14:paraId="0B2631FC" w14:textId="77777777" w:rsidR="00317491" w:rsidRPr="00C03959" w:rsidRDefault="00317491" w:rsidP="00124A82">
            <w:pPr>
              <w:jc w:val="center"/>
              <w:rPr>
                <w:rFonts w:ascii="Times New Roman" w:hAnsi="Times New Roman" w:cs="Times New Roman"/>
                <w:sz w:val="24"/>
                <w:szCs w:val="24"/>
              </w:rPr>
            </w:pPr>
          </w:p>
        </w:tc>
        <w:tc>
          <w:tcPr>
            <w:tcW w:w="1679" w:type="dxa"/>
            <w:vMerge w:val="restart"/>
            <w:vAlign w:val="center"/>
          </w:tcPr>
          <w:p w14:paraId="53585794" w14:textId="77777777" w:rsidR="00317491" w:rsidRPr="00C03959" w:rsidRDefault="00317491" w:rsidP="00124A82">
            <w:pPr>
              <w:jc w:val="center"/>
              <w:rPr>
                <w:rFonts w:ascii="Times New Roman" w:hAnsi="Times New Roman" w:cs="Times New Roman"/>
                <w:sz w:val="24"/>
                <w:szCs w:val="24"/>
              </w:rPr>
            </w:pPr>
            <w:r w:rsidRPr="00C03959">
              <w:rPr>
                <w:rFonts w:ascii="Times New Roman" w:hAnsi="Times New Roman" w:cs="Times New Roman"/>
                <w:sz w:val="24"/>
                <w:szCs w:val="24"/>
              </w:rPr>
              <w:t>6/60</w:t>
            </w:r>
          </w:p>
          <w:p w14:paraId="7F24AA18" w14:textId="77777777" w:rsidR="00317491" w:rsidRPr="00C03959" w:rsidRDefault="00317491" w:rsidP="00124A82">
            <w:pPr>
              <w:jc w:val="center"/>
              <w:rPr>
                <w:rFonts w:ascii="Times New Roman" w:hAnsi="Times New Roman" w:cs="Times New Roman"/>
                <w:sz w:val="24"/>
                <w:szCs w:val="24"/>
              </w:rPr>
            </w:pPr>
          </w:p>
        </w:tc>
        <w:tc>
          <w:tcPr>
            <w:tcW w:w="1679" w:type="dxa"/>
            <w:vMerge w:val="restart"/>
            <w:vAlign w:val="center"/>
          </w:tcPr>
          <w:p w14:paraId="3C9E590C" w14:textId="77777777" w:rsidR="00317491" w:rsidRPr="00C03959" w:rsidRDefault="00317491" w:rsidP="00124A82">
            <w:pPr>
              <w:jc w:val="center"/>
              <w:rPr>
                <w:rFonts w:ascii="Times New Roman" w:hAnsi="Times New Roman" w:cs="Times New Roman"/>
                <w:sz w:val="24"/>
                <w:szCs w:val="24"/>
              </w:rPr>
            </w:pPr>
            <w:r>
              <w:rPr>
                <w:rFonts w:ascii="Times New Roman" w:hAnsi="Times New Roman" w:cs="Times New Roman"/>
                <w:sz w:val="24"/>
                <w:szCs w:val="24"/>
              </w:rPr>
              <w:t>3</w:t>
            </w:r>
          </w:p>
        </w:tc>
      </w:tr>
      <w:tr w:rsidR="00317491" w:rsidRPr="00C03959" w14:paraId="0F77BB7E" w14:textId="77777777" w:rsidTr="00124A82">
        <w:tc>
          <w:tcPr>
            <w:tcW w:w="1678" w:type="dxa"/>
            <w:vAlign w:val="center"/>
          </w:tcPr>
          <w:p w14:paraId="048394A6" w14:textId="77777777" w:rsidR="00317491" w:rsidRPr="00C03959" w:rsidRDefault="00317491" w:rsidP="00124A82">
            <w:pPr>
              <w:jc w:val="center"/>
              <w:rPr>
                <w:rFonts w:ascii="Times New Roman" w:hAnsi="Times New Roman" w:cs="Times New Roman"/>
                <w:sz w:val="24"/>
                <w:szCs w:val="24"/>
              </w:rPr>
            </w:pPr>
            <w:r w:rsidRPr="00C03959">
              <w:rPr>
                <w:rFonts w:ascii="Times New Roman" w:hAnsi="Times New Roman" w:cs="Times New Roman"/>
                <w:sz w:val="24"/>
                <w:szCs w:val="24"/>
              </w:rPr>
              <w:t>Safety Professional</w:t>
            </w:r>
          </w:p>
        </w:tc>
        <w:tc>
          <w:tcPr>
            <w:tcW w:w="1678" w:type="dxa"/>
            <w:vMerge/>
            <w:vAlign w:val="center"/>
          </w:tcPr>
          <w:p w14:paraId="46EA60EC" w14:textId="77777777" w:rsidR="00317491" w:rsidRPr="00C03959" w:rsidRDefault="00317491" w:rsidP="00124A82">
            <w:pPr>
              <w:jc w:val="center"/>
              <w:rPr>
                <w:rFonts w:ascii="Times New Roman" w:hAnsi="Times New Roman" w:cs="Times New Roman"/>
                <w:sz w:val="24"/>
                <w:szCs w:val="24"/>
              </w:rPr>
            </w:pPr>
          </w:p>
        </w:tc>
        <w:tc>
          <w:tcPr>
            <w:tcW w:w="1678" w:type="dxa"/>
            <w:vAlign w:val="center"/>
          </w:tcPr>
          <w:p w14:paraId="2895158D" w14:textId="77777777" w:rsidR="00317491" w:rsidRPr="00C03959" w:rsidRDefault="00317491" w:rsidP="00124A82">
            <w:pPr>
              <w:jc w:val="center"/>
              <w:rPr>
                <w:rFonts w:ascii="Times New Roman" w:hAnsi="Times New Roman" w:cs="Times New Roman"/>
                <w:sz w:val="24"/>
                <w:szCs w:val="24"/>
              </w:rPr>
            </w:pPr>
            <w:r>
              <w:rPr>
                <w:rFonts w:ascii="Times New Roman" w:hAnsi="Times New Roman" w:cs="Times New Roman"/>
                <w:sz w:val="24"/>
                <w:szCs w:val="24"/>
              </w:rPr>
              <w:t>8</w:t>
            </w:r>
          </w:p>
        </w:tc>
        <w:tc>
          <w:tcPr>
            <w:tcW w:w="1678" w:type="dxa"/>
            <w:vMerge/>
            <w:vAlign w:val="center"/>
          </w:tcPr>
          <w:p w14:paraId="7A689790" w14:textId="77777777" w:rsidR="00317491" w:rsidRPr="00C03959" w:rsidRDefault="00317491" w:rsidP="00124A82">
            <w:pPr>
              <w:jc w:val="center"/>
              <w:rPr>
                <w:rFonts w:ascii="Times New Roman" w:hAnsi="Times New Roman" w:cs="Times New Roman"/>
                <w:sz w:val="24"/>
                <w:szCs w:val="24"/>
              </w:rPr>
            </w:pPr>
          </w:p>
        </w:tc>
        <w:tc>
          <w:tcPr>
            <w:tcW w:w="1679" w:type="dxa"/>
            <w:vMerge/>
            <w:vAlign w:val="center"/>
          </w:tcPr>
          <w:p w14:paraId="198B6B3F" w14:textId="77777777" w:rsidR="00317491" w:rsidRPr="00C03959" w:rsidRDefault="00317491" w:rsidP="00124A82">
            <w:pPr>
              <w:jc w:val="center"/>
              <w:rPr>
                <w:rFonts w:ascii="Times New Roman" w:hAnsi="Times New Roman" w:cs="Times New Roman"/>
                <w:sz w:val="24"/>
                <w:szCs w:val="24"/>
              </w:rPr>
            </w:pPr>
          </w:p>
        </w:tc>
        <w:tc>
          <w:tcPr>
            <w:tcW w:w="1679" w:type="dxa"/>
            <w:vMerge/>
            <w:vAlign w:val="center"/>
          </w:tcPr>
          <w:p w14:paraId="149E1426" w14:textId="77777777" w:rsidR="00317491" w:rsidRPr="00C03959" w:rsidRDefault="00317491" w:rsidP="00124A82">
            <w:pPr>
              <w:jc w:val="center"/>
              <w:rPr>
                <w:rFonts w:ascii="Times New Roman" w:hAnsi="Times New Roman" w:cs="Times New Roman"/>
                <w:sz w:val="24"/>
                <w:szCs w:val="24"/>
              </w:rPr>
            </w:pPr>
          </w:p>
        </w:tc>
      </w:tr>
      <w:tr w:rsidR="00317491" w:rsidRPr="00C03959" w14:paraId="77DF6CA0" w14:textId="77777777" w:rsidTr="00124A82">
        <w:tc>
          <w:tcPr>
            <w:tcW w:w="1678" w:type="dxa"/>
            <w:vAlign w:val="center"/>
          </w:tcPr>
          <w:p w14:paraId="7F608166" w14:textId="77777777" w:rsidR="00317491" w:rsidRPr="00C03959" w:rsidRDefault="00317491" w:rsidP="00124A82">
            <w:pPr>
              <w:jc w:val="center"/>
              <w:rPr>
                <w:rFonts w:ascii="Times New Roman" w:hAnsi="Times New Roman" w:cs="Times New Roman"/>
                <w:sz w:val="24"/>
                <w:szCs w:val="24"/>
              </w:rPr>
            </w:pPr>
            <w:r w:rsidRPr="00C03959">
              <w:rPr>
                <w:rFonts w:ascii="Times New Roman" w:hAnsi="Times New Roman" w:cs="Times New Roman"/>
                <w:sz w:val="24"/>
                <w:szCs w:val="24"/>
              </w:rPr>
              <w:t>Student</w:t>
            </w:r>
          </w:p>
        </w:tc>
        <w:tc>
          <w:tcPr>
            <w:tcW w:w="1678" w:type="dxa"/>
            <w:vMerge/>
            <w:vAlign w:val="center"/>
          </w:tcPr>
          <w:p w14:paraId="345121D6" w14:textId="77777777" w:rsidR="00317491" w:rsidRPr="00C03959" w:rsidRDefault="00317491" w:rsidP="00124A82">
            <w:pPr>
              <w:jc w:val="center"/>
              <w:rPr>
                <w:rFonts w:ascii="Times New Roman" w:hAnsi="Times New Roman" w:cs="Times New Roman"/>
                <w:sz w:val="24"/>
                <w:szCs w:val="24"/>
              </w:rPr>
            </w:pPr>
          </w:p>
        </w:tc>
        <w:tc>
          <w:tcPr>
            <w:tcW w:w="1678" w:type="dxa"/>
            <w:vAlign w:val="center"/>
          </w:tcPr>
          <w:p w14:paraId="278BEB48" w14:textId="77777777" w:rsidR="00317491" w:rsidRPr="00C03959" w:rsidRDefault="00317491" w:rsidP="00124A82">
            <w:pPr>
              <w:jc w:val="center"/>
              <w:rPr>
                <w:rFonts w:ascii="Times New Roman" w:hAnsi="Times New Roman" w:cs="Times New Roman"/>
                <w:sz w:val="24"/>
                <w:szCs w:val="24"/>
              </w:rPr>
            </w:pPr>
            <w:r>
              <w:rPr>
                <w:rFonts w:ascii="Times New Roman" w:hAnsi="Times New Roman" w:cs="Times New Roman"/>
                <w:sz w:val="24"/>
                <w:szCs w:val="24"/>
              </w:rPr>
              <w:t>8</w:t>
            </w:r>
          </w:p>
        </w:tc>
        <w:tc>
          <w:tcPr>
            <w:tcW w:w="1678" w:type="dxa"/>
            <w:vMerge/>
            <w:vAlign w:val="center"/>
          </w:tcPr>
          <w:p w14:paraId="3DCDE925" w14:textId="77777777" w:rsidR="00317491" w:rsidRPr="00C03959" w:rsidRDefault="00317491" w:rsidP="00124A82">
            <w:pPr>
              <w:jc w:val="center"/>
              <w:rPr>
                <w:rFonts w:ascii="Times New Roman" w:hAnsi="Times New Roman" w:cs="Times New Roman"/>
                <w:sz w:val="24"/>
                <w:szCs w:val="24"/>
              </w:rPr>
            </w:pPr>
          </w:p>
        </w:tc>
        <w:tc>
          <w:tcPr>
            <w:tcW w:w="1679" w:type="dxa"/>
            <w:vMerge/>
            <w:vAlign w:val="center"/>
          </w:tcPr>
          <w:p w14:paraId="1F760EEE" w14:textId="77777777" w:rsidR="00317491" w:rsidRPr="00C03959" w:rsidRDefault="00317491" w:rsidP="00124A82">
            <w:pPr>
              <w:jc w:val="center"/>
              <w:rPr>
                <w:rFonts w:ascii="Times New Roman" w:hAnsi="Times New Roman" w:cs="Times New Roman"/>
                <w:sz w:val="24"/>
                <w:szCs w:val="24"/>
              </w:rPr>
            </w:pPr>
          </w:p>
        </w:tc>
        <w:tc>
          <w:tcPr>
            <w:tcW w:w="1679" w:type="dxa"/>
            <w:vMerge/>
            <w:vAlign w:val="center"/>
          </w:tcPr>
          <w:p w14:paraId="0F2775D0" w14:textId="77777777" w:rsidR="00317491" w:rsidRPr="00C03959" w:rsidRDefault="00317491" w:rsidP="00124A82">
            <w:pPr>
              <w:jc w:val="center"/>
              <w:rPr>
                <w:rFonts w:ascii="Times New Roman" w:hAnsi="Times New Roman" w:cs="Times New Roman"/>
                <w:sz w:val="24"/>
                <w:szCs w:val="24"/>
              </w:rPr>
            </w:pPr>
          </w:p>
        </w:tc>
      </w:tr>
      <w:tr w:rsidR="00317491" w:rsidRPr="00C03959" w14:paraId="5E228ACB" w14:textId="77777777" w:rsidTr="00124A82">
        <w:tc>
          <w:tcPr>
            <w:tcW w:w="1678" w:type="dxa"/>
            <w:vAlign w:val="center"/>
          </w:tcPr>
          <w:p w14:paraId="51571B94" w14:textId="77777777" w:rsidR="00317491" w:rsidRPr="00C03959" w:rsidRDefault="00317491" w:rsidP="00124A82">
            <w:pPr>
              <w:jc w:val="center"/>
              <w:rPr>
                <w:rFonts w:ascii="Times New Roman" w:hAnsi="Times New Roman" w:cs="Times New Roman"/>
                <w:sz w:val="24"/>
                <w:szCs w:val="24"/>
              </w:rPr>
            </w:pPr>
            <w:r w:rsidRPr="00C03959">
              <w:rPr>
                <w:rFonts w:ascii="Times New Roman" w:hAnsi="Times New Roman" w:cs="Times New Roman"/>
                <w:sz w:val="24"/>
                <w:szCs w:val="24"/>
              </w:rPr>
              <w:t>Mine Employee</w:t>
            </w:r>
          </w:p>
        </w:tc>
        <w:tc>
          <w:tcPr>
            <w:tcW w:w="1678" w:type="dxa"/>
            <w:vMerge w:val="restart"/>
            <w:vAlign w:val="center"/>
          </w:tcPr>
          <w:p w14:paraId="15C9D482" w14:textId="77777777" w:rsidR="00317491" w:rsidRPr="00C03959" w:rsidRDefault="00317491" w:rsidP="00124A82">
            <w:pPr>
              <w:jc w:val="center"/>
              <w:rPr>
                <w:rFonts w:ascii="Times New Roman" w:hAnsi="Times New Roman" w:cs="Times New Roman"/>
                <w:sz w:val="24"/>
                <w:szCs w:val="24"/>
              </w:rPr>
            </w:pPr>
            <w:r w:rsidRPr="00C03959">
              <w:rPr>
                <w:rFonts w:ascii="Times New Roman" w:hAnsi="Times New Roman" w:cs="Times New Roman"/>
                <w:sz w:val="24"/>
                <w:szCs w:val="24"/>
              </w:rPr>
              <w:t>Mine Specific Risk Tolerance Measure</w:t>
            </w:r>
          </w:p>
        </w:tc>
        <w:tc>
          <w:tcPr>
            <w:tcW w:w="1678" w:type="dxa"/>
            <w:vAlign w:val="center"/>
          </w:tcPr>
          <w:p w14:paraId="7AEA4D99" w14:textId="77777777" w:rsidR="00317491" w:rsidRPr="00C03959" w:rsidRDefault="00317491" w:rsidP="00124A82">
            <w:pPr>
              <w:jc w:val="center"/>
              <w:rPr>
                <w:rFonts w:ascii="Times New Roman" w:hAnsi="Times New Roman" w:cs="Times New Roman"/>
                <w:sz w:val="24"/>
                <w:szCs w:val="24"/>
              </w:rPr>
            </w:pPr>
            <w:r>
              <w:rPr>
                <w:rFonts w:ascii="Times New Roman" w:hAnsi="Times New Roman" w:cs="Times New Roman"/>
                <w:sz w:val="24"/>
                <w:szCs w:val="24"/>
              </w:rPr>
              <w:t>15</w:t>
            </w:r>
          </w:p>
        </w:tc>
        <w:tc>
          <w:tcPr>
            <w:tcW w:w="1678" w:type="dxa"/>
            <w:vMerge w:val="restart"/>
            <w:vAlign w:val="center"/>
          </w:tcPr>
          <w:p w14:paraId="09AFE6A3" w14:textId="77777777" w:rsidR="00317491" w:rsidRPr="00C03959" w:rsidRDefault="00317491" w:rsidP="00124A82">
            <w:pPr>
              <w:jc w:val="center"/>
              <w:rPr>
                <w:rFonts w:ascii="Times New Roman" w:hAnsi="Times New Roman" w:cs="Times New Roman"/>
                <w:sz w:val="24"/>
                <w:szCs w:val="24"/>
              </w:rPr>
            </w:pPr>
            <w:r w:rsidRPr="00C03959">
              <w:rPr>
                <w:rFonts w:ascii="Times New Roman" w:hAnsi="Times New Roman" w:cs="Times New Roman"/>
                <w:sz w:val="24"/>
                <w:szCs w:val="24"/>
              </w:rPr>
              <w:t>1</w:t>
            </w:r>
          </w:p>
          <w:p w14:paraId="3C2FBF07" w14:textId="77777777" w:rsidR="00317491" w:rsidRPr="00C03959" w:rsidRDefault="00317491" w:rsidP="00124A82">
            <w:pPr>
              <w:jc w:val="center"/>
              <w:rPr>
                <w:rFonts w:ascii="Times New Roman" w:hAnsi="Times New Roman" w:cs="Times New Roman"/>
                <w:sz w:val="24"/>
                <w:szCs w:val="24"/>
              </w:rPr>
            </w:pPr>
          </w:p>
        </w:tc>
        <w:tc>
          <w:tcPr>
            <w:tcW w:w="1679" w:type="dxa"/>
            <w:vMerge w:val="restart"/>
            <w:vAlign w:val="center"/>
          </w:tcPr>
          <w:p w14:paraId="0EC031C8" w14:textId="77777777" w:rsidR="00317491" w:rsidRPr="00C03959" w:rsidRDefault="00317491" w:rsidP="00124A82">
            <w:pPr>
              <w:jc w:val="center"/>
              <w:rPr>
                <w:rFonts w:ascii="Times New Roman" w:hAnsi="Times New Roman" w:cs="Times New Roman"/>
                <w:sz w:val="24"/>
                <w:szCs w:val="24"/>
              </w:rPr>
            </w:pPr>
            <w:r w:rsidRPr="00C03959">
              <w:rPr>
                <w:rFonts w:ascii="Times New Roman" w:hAnsi="Times New Roman" w:cs="Times New Roman"/>
                <w:sz w:val="24"/>
                <w:szCs w:val="24"/>
              </w:rPr>
              <w:t>6/60</w:t>
            </w:r>
          </w:p>
          <w:p w14:paraId="7E428F02" w14:textId="77777777" w:rsidR="00317491" w:rsidRPr="00C03959" w:rsidRDefault="00317491" w:rsidP="00124A82">
            <w:pPr>
              <w:jc w:val="center"/>
              <w:rPr>
                <w:rFonts w:ascii="Times New Roman" w:hAnsi="Times New Roman" w:cs="Times New Roman"/>
                <w:sz w:val="24"/>
                <w:szCs w:val="24"/>
              </w:rPr>
            </w:pPr>
          </w:p>
        </w:tc>
        <w:tc>
          <w:tcPr>
            <w:tcW w:w="1679" w:type="dxa"/>
            <w:vMerge w:val="restart"/>
            <w:vAlign w:val="center"/>
          </w:tcPr>
          <w:p w14:paraId="5A753942" w14:textId="77777777" w:rsidR="00317491" w:rsidRPr="00C03959" w:rsidRDefault="00317491" w:rsidP="00124A82">
            <w:pPr>
              <w:jc w:val="center"/>
              <w:rPr>
                <w:rFonts w:ascii="Times New Roman" w:hAnsi="Times New Roman" w:cs="Times New Roman"/>
                <w:sz w:val="24"/>
                <w:szCs w:val="24"/>
              </w:rPr>
            </w:pPr>
            <w:r>
              <w:rPr>
                <w:rFonts w:ascii="Times New Roman" w:hAnsi="Times New Roman" w:cs="Times New Roman"/>
                <w:sz w:val="24"/>
                <w:szCs w:val="24"/>
              </w:rPr>
              <w:t>3</w:t>
            </w:r>
          </w:p>
        </w:tc>
      </w:tr>
      <w:tr w:rsidR="00317491" w:rsidRPr="00C03959" w14:paraId="6FEDF62E" w14:textId="77777777" w:rsidTr="00124A82">
        <w:tc>
          <w:tcPr>
            <w:tcW w:w="1678" w:type="dxa"/>
            <w:vAlign w:val="center"/>
          </w:tcPr>
          <w:p w14:paraId="6E336436" w14:textId="77777777" w:rsidR="00317491" w:rsidRPr="00C03959" w:rsidRDefault="00317491" w:rsidP="00124A82">
            <w:pPr>
              <w:jc w:val="center"/>
              <w:rPr>
                <w:rFonts w:ascii="Times New Roman" w:hAnsi="Times New Roman" w:cs="Times New Roman"/>
                <w:sz w:val="24"/>
                <w:szCs w:val="24"/>
              </w:rPr>
            </w:pPr>
            <w:r w:rsidRPr="00C03959">
              <w:rPr>
                <w:rFonts w:ascii="Times New Roman" w:hAnsi="Times New Roman" w:cs="Times New Roman"/>
                <w:sz w:val="24"/>
                <w:szCs w:val="24"/>
              </w:rPr>
              <w:t>Safety Professional</w:t>
            </w:r>
          </w:p>
        </w:tc>
        <w:tc>
          <w:tcPr>
            <w:tcW w:w="1678" w:type="dxa"/>
            <w:vMerge/>
            <w:vAlign w:val="center"/>
          </w:tcPr>
          <w:p w14:paraId="44985CFC" w14:textId="77777777" w:rsidR="00317491" w:rsidRPr="00C03959" w:rsidRDefault="00317491" w:rsidP="00124A82">
            <w:pPr>
              <w:jc w:val="center"/>
              <w:rPr>
                <w:rFonts w:ascii="Times New Roman" w:hAnsi="Times New Roman" w:cs="Times New Roman"/>
                <w:sz w:val="24"/>
                <w:szCs w:val="24"/>
              </w:rPr>
            </w:pPr>
          </w:p>
        </w:tc>
        <w:tc>
          <w:tcPr>
            <w:tcW w:w="1678" w:type="dxa"/>
            <w:vAlign w:val="center"/>
          </w:tcPr>
          <w:p w14:paraId="243402A5" w14:textId="77777777" w:rsidR="00317491" w:rsidRPr="00C03959" w:rsidRDefault="00317491" w:rsidP="00124A82">
            <w:pPr>
              <w:jc w:val="center"/>
              <w:rPr>
                <w:rFonts w:ascii="Times New Roman" w:hAnsi="Times New Roman" w:cs="Times New Roman"/>
                <w:sz w:val="24"/>
                <w:szCs w:val="24"/>
              </w:rPr>
            </w:pPr>
            <w:r>
              <w:rPr>
                <w:rFonts w:ascii="Times New Roman" w:hAnsi="Times New Roman" w:cs="Times New Roman"/>
                <w:sz w:val="24"/>
                <w:szCs w:val="24"/>
              </w:rPr>
              <w:t>8</w:t>
            </w:r>
          </w:p>
        </w:tc>
        <w:tc>
          <w:tcPr>
            <w:tcW w:w="1678" w:type="dxa"/>
            <w:vMerge/>
            <w:vAlign w:val="center"/>
          </w:tcPr>
          <w:p w14:paraId="7A563846" w14:textId="77777777" w:rsidR="00317491" w:rsidRPr="00C03959" w:rsidRDefault="00317491" w:rsidP="00124A82">
            <w:pPr>
              <w:jc w:val="center"/>
              <w:rPr>
                <w:rFonts w:ascii="Times New Roman" w:hAnsi="Times New Roman" w:cs="Times New Roman"/>
                <w:sz w:val="24"/>
                <w:szCs w:val="24"/>
              </w:rPr>
            </w:pPr>
          </w:p>
        </w:tc>
        <w:tc>
          <w:tcPr>
            <w:tcW w:w="1679" w:type="dxa"/>
            <w:vMerge/>
            <w:vAlign w:val="center"/>
          </w:tcPr>
          <w:p w14:paraId="58B9C872" w14:textId="77777777" w:rsidR="00317491" w:rsidRPr="00C03959" w:rsidRDefault="00317491" w:rsidP="00124A82">
            <w:pPr>
              <w:jc w:val="center"/>
              <w:rPr>
                <w:rFonts w:ascii="Times New Roman" w:hAnsi="Times New Roman" w:cs="Times New Roman"/>
                <w:sz w:val="24"/>
                <w:szCs w:val="24"/>
              </w:rPr>
            </w:pPr>
          </w:p>
        </w:tc>
        <w:tc>
          <w:tcPr>
            <w:tcW w:w="1679" w:type="dxa"/>
            <w:vMerge/>
            <w:vAlign w:val="center"/>
          </w:tcPr>
          <w:p w14:paraId="6A4B905C" w14:textId="77777777" w:rsidR="00317491" w:rsidRPr="00C03959" w:rsidRDefault="00317491" w:rsidP="00124A82">
            <w:pPr>
              <w:jc w:val="center"/>
              <w:rPr>
                <w:rFonts w:ascii="Times New Roman" w:hAnsi="Times New Roman" w:cs="Times New Roman"/>
                <w:sz w:val="24"/>
                <w:szCs w:val="24"/>
              </w:rPr>
            </w:pPr>
          </w:p>
        </w:tc>
      </w:tr>
      <w:tr w:rsidR="00317491" w:rsidRPr="00C03959" w14:paraId="0AD07551" w14:textId="77777777" w:rsidTr="00124A82">
        <w:tc>
          <w:tcPr>
            <w:tcW w:w="1678" w:type="dxa"/>
            <w:vAlign w:val="center"/>
          </w:tcPr>
          <w:p w14:paraId="170A3DF9" w14:textId="77777777" w:rsidR="00317491" w:rsidRPr="00C03959" w:rsidRDefault="00317491" w:rsidP="00124A82">
            <w:pPr>
              <w:jc w:val="center"/>
              <w:rPr>
                <w:rFonts w:ascii="Times New Roman" w:hAnsi="Times New Roman" w:cs="Times New Roman"/>
                <w:sz w:val="24"/>
                <w:szCs w:val="24"/>
              </w:rPr>
            </w:pPr>
            <w:r w:rsidRPr="00C03959">
              <w:rPr>
                <w:rFonts w:ascii="Times New Roman" w:hAnsi="Times New Roman" w:cs="Times New Roman"/>
                <w:sz w:val="24"/>
                <w:szCs w:val="24"/>
              </w:rPr>
              <w:t>Student</w:t>
            </w:r>
          </w:p>
        </w:tc>
        <w:tc>
          <w:tcPr>
            <w:tcW w:w="1678" w:type="dxa"/>
            <w:vMerge/>
            <w:vAlign w:val="center"/>
          </w:tcPr>
          <w:p w14:paraId="7EF82549" w14:textId="77777777" w:rsidR="00317491" w:rsidRPr="00C03959" w:rsidRDefault="00317491" w:rsidP="00124A82">
            <w:pPr>
              <w:jc w:val="center"/>
              <w:rPr>
                <w:rFonts w:ascii="Times New Roman" w:hAnsi="Times New Roman" w:cs="Times New Roman"/>
                <w:sz w:val="24"/>
                <w:szCs w:val="24"/>
              </w:rPr>
            </w:pPr>
          </w:p>
        </w:tc>
        <w:tc>
          <w:tcPr>
            <w:tcW w:w="1678" w:type="dxa"/>
            <w:vAlign w:val="center"/>
          </w:tcPr>
          <w:p w14:paraId="10BB6BB1" w14:textId="77777777" w:rsidR="00317491" w:rsidRPr="00C03959" w:rsidRDefault="00317491" w:rsidP="00124A82">
            <w:pPr>
              <w:jc w:val="center"/>
              <w:rPr>
                <w:rFonts w:ascii="Times New Roman" w:hAnsi="Times New Roman" w:cs="Times New Roman"/>
                <w:sz w:val="24"/>
                <w:szCs w:val="24"/>
              </w:rPr>
            </w:pPr>
            <w:r>
              <w:rPr>
                <w:rFonts w:ascii="Times New Roman" w:hAnsi="Times New Roman" w:cs="Times New Roman"/>
                <w:sz w:val="24"/>
                <w:szCs w:val="24"/>
              </w:rPr>
              <w:t>8</w:t>
            </w:r>
          </w:p>
        </w:tc>
        <w:tc>
          <w:tcPr>
            <w:tcW w:w="1678" w:type="dxa"/>
            <w:vMerge/>
            <w:vAlign w:val="center"/>
          </w:tcPr>
          <w:p w14:paraId="011F16AF" w14:textId="77777777" w:rsidR="00317491" w:rsidRPr="00C03959" w:rsidRDefault="00317491" w:rsidP="00124A82">
            <w:pPr>
              <w:jc w:val="center"/>
              <w:rPr>
                <w:rFonts w:ascii="Times New Roman" w:hAnsi="Times New Roman" w:cs="Times New Roman"/>
                <w:sz w:val="24"/>
                <w:szCs w:val="24"/>
              </w:rPr>
            </w:pPr>
          </w:p>
        </w:tc>
        <w:tc>
          <w:tcPr>
            <w:tcW w:w="1679" w:type="dxa"/>
            <w:vMerge/>
            <w:vAlign w:val="center"/>
          </w:tcPr>
          <w:p w14:paraId="20B5DF97" w14:textId="77777777" w:rsidR="00317491" w:rsidRPr="00C03959" w:rsidRDefault="00317491" w:rsidP="00124A82">
            <w:pPr>
              <w:jc w:val="center"/>
              <w:rPr>
                <w:rFonts w:ascii="Times New Roman" w:hAnsi="Times New Roman" w:cs="Times New Roman"/>
                <w:sz w:val="24"/>
                <w:szCs w:val="24"/>
              </w:rPr>
            </w:pPr>
          </w:p>
        </w:tc>
        <w:tc>
          <w:tcPr>
            <w:tcW w:w="1679" w:type="dxa"/>
            <w:vMerge/>
            <w:vAlign w:val="center"/>
          </w:tcPr>
          <w:p w14:paraId="7C4F572E" w14:textId="77777777" w:rsidR="00317491" w:rsidRPr="00C03959" w:rsidRDefault="00317491" w:rsidP="00124A82">
            <w:pPr>
              <w:jc w:val="center"/>
              <w:rPr>
                <w:rFonts w:ascii="Times New Roman" w:hAnsi="Times New Roman" w:cs="Times New Roman"/>
                <w:sz w:val="24"/>
                <w:szCs w:val="24"/>
              </w:rPr>
            </w:pPr>
          </w:p>
        </w:tc>
      </w:tr>
      <w:tr w:rsidR="00FA500D" w:rsidRPr="00C03959" w14:paraId="4809D69C" w14:textId="77777777" w:rsidTr="00124A82">
        <w:trPr>
          <w:trHeight w:val="602"/>
        </w:trPr>
        <w:tc>
          <w:tcPr>
            <w:tcW w:w="1678" w:type="dxa"/>
            <w:vAlign w:val="center"/>
          </w:tcPr>
          <w:p w14:paraId="7A314803" w14:textId="77777777" w:rsidR="00FA500D" w:rsidRPr="00C03959" w:rsidRDefault="00FA500D" w:rsidP="00124A82">
            <w:pPr>
              <w:jc w:val="center"/>
              <w:rPr>
                <w:rFonts w:ascii="Times New Roman" w:hAnsi="Times New Roman" w:cs="Times New Roman"/>
                <w:sz w:val="24"/>
                <w:szCs w:val="24"/>
              </w:rPr>
            </w:pPr>
            <w:r w:rsidRPr="00C03959">
              <w:rPr>
                <w:rFonts w:ascii="Times New Roman" w:hAnsi="Times New Roman" w:cs="Times New Roman"/>
                <w:sz w:val="24"/>
                <w:szCs w:val="24"/>
              </w:rPr>
              <w:t>Mine Employee</w:t>
            </w:r>
          </w:p>
        </w:tc>
        <w:tc>
          <w:tcPr>
            <w:tcW w:w="1678" w:type="dxa"/>
            <w:vMerge w:val="restart"/>
            <w:vAlign w:val="center"/>
          </w:tcPr>
          <w:p w14:paraId="4FA4A602" w14:textId="77777777" w:rsidR="00FA500D" w:rsidRPr="00C03959" w:rsidRDefault="00FA500D" w:rsidP="00124A82">
            <w:pPr>
              <w:jc w:val="center"/>
              <w:rPr>
                <w:rFonts w:ascii="Times New Roman" w:hAnsi="Times New Roman" w:cs="Times New Roman"/>
                <w:sz w:val="24"/>
                <w:szCs w:val="24"/>
              </w:rPr>
            </w:pPr>
            <w:r w:rsidRPr="00C03959">
              <w:rPr>
                <w:rFonts w:ascii="Times New Roman" w:hAnsi="Times New Roman" w:cs="Times New Roman"/>
                <w:sz w:val="24"/>
                <w:szCs w:val="24"/>
              </w:rPr>
              <w:t>Open Ended Questions</w:t>
            </w:r>
          </w:p>
        </w:tc>
        <w:tc>
          <w:tcPr>
            <w:tcW w:w="1678" w:type="dxa"/>
            <w:vAlign w:val="center"/>
          </w:tcPr>
          <w:p w14:paraId="7A816B92" w14:textId="77777777" w:rsidR="00FA500D" w:rsidRPr="00C03959" w:rsidRDefault="00FA500D" w:rsidP="00124A82">
            <w:pPr>
              <w:jc w:val="center"/>
              <w:rPr>
                <w:rFonts w:ascii="Times New Roman" w:hAnsi="Times New Roman" w:cs="Times New Roman"/>
                <w:sz w:val="24"/>
                <w:szCs w:val="24"/>
              </w:rPr>
            </w:pPr>
            <w:r>
              <w:rPr>
                <w:rFonts w:ascii="Times New Roman" w:hAnsi="Times New Roman" w:cs="Times New Roman"/>
                <w:sz w:val="24"/>
                <w:szCs w:val="24"/>
              </w:rPr>
              <w:t>15</w:t>
            </w:r>
          </w:p>
        </w:tc>
        <w:tc>
          <w:tcPr>
            <w:tcW w:w="1678" w:type="dxa"/>
            <w:vMerge w:val="restart"/>
            <w:vAlign w:val="center"/>
          </w:tcPr>
          <w:p w14:paraId="5208BFDE" w14:textId="77777777" w:rsidR="00FA500D" w:rsidRPr="00C03959" w:rsidRDefault="00FA500D" w:rsidP="00124A82">
            <w:pPr>
              <w:jc w:val="center"/>
              <w:rPr>
                <w:rFonts w:ascii="Times New Roman" w:hAnsi="Times New Roman" w:cs="Times New Roman"/>
                <w:sz w:val="24"/>
                <w:szCs w:val="24"/>
              </w:rPr>
            </w:pPr>
            <w:r w:rsidRPr="00C03959">
              <w:rPr>
                <w:rFonts w:ascii="Times New Roman" w:hAnsi="Times New Roman" w:cs="Times New Roman"/>
                <w:sz w:val="24"/>
                <w:szCs w:val="24"/>
              </w:rPr>
              <w:t>1</w:t>
            </w:r>
          </w:p>
          <w:p w14:paraId="34B57CFE" w14:textId="77777777" w:rsidR="00FA500D" w:rsidRPr="00C03959" w:rsidRDefault="00FA500D" w:rsidP="00124A82">
            <w:pPr>
              <w:jc w:val="center"/>
              <w:rPr>
                <w:rFonts w:ascii="Times New Roman" w:hAnsi="Times New Roman" w:cs="Times New Roman"/>
                <w:sz w:val="24"/>
                <w:szCs w:val="24"/>
              </w:rPr>
            </w:pPr>
          </w:p>
        </w:tc>
        <w:tc>
          <w:tcPr>
            <w:tcW w:w="1679" w:type="dxa"/>
            <w:vMerge w:val="restart"/>
            <w:vAlign w:val="center"/>
          </w:tcPr>
          <w:p w14:paraId="3188F1D8" w14:textId="77777777" w:rsidR="00FA500D" w:rsidRPr="00C03959" w:rsidRDefault="00FA500D" w:rsidP="00124A82">
            <w:pPr>
              <w:jc w:val="center"/>
              <w:rPr>
                <w:rFonts w:ascii="Times New Roman" w:hAnsi="Times New Roman" w:cs="Times New Roman"/>
                <w:sz w:val="24"/>
                <w:szCs w:val="24"/>
              </w:rPr>
            </w:pPr>
            <w:r>
              <w:rPr>
                <w:rFonts w:ascii="Times New Roman" w:hAnsi="Times New Roman" w:cs="Times New Roman"/>
                <w:sz w:val="24"/>
                <w:szCs w:val="24"/>
              </w:rPr>
              <w:t>30/60</w:t>
            </w:r>
          </w:p>
          <w:p w14:paraId="6DB2AF93" w14:textId="77777777" w:rsidR="00FA500D" w:rsidRPr="00C03959" w:rsidRDefault="00FA500D" w:rsidP="00124A82">
            <w:pPr>
              <w:jc w:val="center"/>
              <w:rPr>
                <w:rFonts w:ascii="Times New Roman" w:hAnsi="Times New Roman" w:cs="Times New Roman"/>
                <w:sz w:val="24"/>
                <w:szCs w:val="24"/>
              </w:rPr>
            </w:pPr>
          </w:p>
        </w:tc>
        <w:tc>
          <w:tcPr>
            <w:tcW w:w="1679" w:type="dxa"/>
            <w:vMerge w:val="restart"/>
            <w:vAlign w:val="center"/>
          </w:tcPr>
          <w:p w14:paraId="7B069EDF" w14:textId="77777777" w:rsidR="00FA500D" w:rsidRPr="00C03959" w:rsidRDefault="00FA500D" w:rsidP="00124A82">
            <w:pPr>
              <w:jc w:val="center"/>
              <w:rPr>
                <w:rFonts w:ascii="Times New Roman" w:hAnsi="Times New Roman" w:cs="Times New Roman"/>
                <w:sz w:val="24"/>
                <w:szCs w:val="24"/>
              </w:rPr>
            </w:pPr>
            <w:r>
              <w:rPr>
                <w:rFonts w:ascii="Times New Roman" w:hAnsi="Times New Roman" w:cs="Times New Roman"/>
                <w:sz w:val="24"/>
                <w:szCs w:val="24"/>
              </w:rPr>
              <w:t>16</w:t>
            </w:r>
          </w:p>
        </w:tc>
      </w:tr>
      <w:tr w:rsidR="00FA500D" w:rsidRPr="00C03959" w14:paraId="4C4BB289" w14:textId="77777777" w:rsidTr="00124A82">
        <w:tc>
          <w:tcPr>
            <w:tcW w:w="1678" w:type="dxa"/>
            <w:vAlign w:val="center"/>
          </w:tcPr>
          <w:p w14:paraId="3C7AF36B" w14:textId="77777777" w:rsidR="00FA500D" w:rsidRPr="00C03959" w:rsidRDefault="00FA500D" w:rsidP="00124A82">
            <w:pPr>
              <w:jc w:val="center"/>
              <w:rPr>
                <w:rFonts w:ascii="Times New Roman" w:hAnsi="Times New Roman" w:cs="Times New Roman"/>
                <w:sz w:val="24"/>
                <w:szCs w:val="24"/>
              </w:rPr>
            </w:pPr>
            <w:r w:rsidRPr="00C03959">
              <w:rPr>
                <w:rFonts w:ascii="Times New Roman" w:hAnsi="Times New Roman" w:cs="Times New Roman"/>
                <w:sz w:val="24"/>
                <w:szCs w:val="24"/>
              </w:rPr>
              <w:t>Safety Professional</w:t>
            </w:r>
          </w:p>
        </w:tc>
        <w:tc>
          <w:tcPr>
            <w:tcW w:w="1678" w:type="dxa"/>
            <w:vMerge/>
            <w:vAlign w:val="center"/>
          </w:tcPr>
          <w:p w14:paraId="53D9140E" w14:textId="77777777" w:rsidR="00FA500D" w:rsidRPr="00C03959" w:rsidRDefault="00FA500D" w:rsidP="00124A82">
            <w:pPr>
              <w:jc w:val="center"/>
              <w:rPr>
                <w:rFonts w:ascii="Times New Roman" w:hAnsi="Times New Roman" w:cs="Times New Roman"/>
                <w:sz w:val="24"/>
                <w:szCs w:val="24"/>
              </w:rPr>
            </w:pPr>
          </w:p>
        </w:tc>
        <w:tc>
          <w:tcPr>
            <w:tcW w:w="1678" w:type="dxa"/>
            <w:vAlign w:val="center"/>
          </w:tcPr>
          <w:p w14:paraId="49E3422A" w14:textId="77777777" w:rsidR="00FA500D" w:rsidRPr="00C03959" w:rsidRDefault="00FA500D" w:rsidP="00124A82">
            <w:pPr>
              <w:jc w:val="center"/>
              <w:rPr>
                <w:rFonts w:ascii="Times New Roman" w:hAnsi="Times New Roman" w:cs="Times New Roman"/>
                <w:sz w:val="24"/>
                <w:szCs w:val="24"/>
              </w:rPr>
            </w:pPr>
            <w:r>
              <w:rPr>
                <w:rFonts w:ascii="Times New Roman" w:hAnsi="Times New Roman" w:cs="Times New Roman"/>
                <w:sz w:val="24"/>
                <w:szCs w:val="24"/>
              </w:rPr>
              <w:t>8</w:t>
            </w:r>
          </w:p>
        </w:tc>
        <w:tc>
          <w:tcPr>
            <w:tcW w:w="1678" w:type="dxa"/>
            <w:vMerge/>
            <w:vAlign w:val="center"/>
          </w:tcPr>
          <w:p w14:paraId="2E6E205F" w14:textId="77777777" w:rsidR="00FA500D" w:rsidRPr="00C03959" w:rsidRDefault="00FA500D" w:rsidP="00124A82">
            <w:pPr>
              <w:jc w:val="center"/>
              <w:rPr>
                <w:rFonts w:ascii="Times New Roman" w:hAnsi="Times New Roman" w:cs="Times New Roman"/>
                <w:sz w:val="24"/>
                <w:szCs w:val="24"/>
              </w:rPr>
            </w:pPr>
          </w:p>
        </w:tc>
        <w:tc>
          <w:tcPr>
            <w:tcW w:w="1679" w:type="dxa"/>
            <w:vMerge/>
            <w:vAlign w:val="center"/>
          </w:tcPr>
          <w:p w14:paraId="51DCB18E" w14:textId="77777777" w:rsidR="00FA500D" w:rsidRPr="00C03959" w:rsidRDefault="00FA500D" w:rsidP="00124A82">
            <w:pPr>
              <w:jc w:val="center"/>
              <w:rPr>
                <w:rFonts w:ascii="Times New Roman" w:hAnsi="Times New Roman" w:cs="Times New Roman"/>
                <w:sz w:val="24"/>
                <w:szCs w:val="24"/>
              </w:rPr>
            </w:pPr>
          </w:p>
        </w:tc>
        <w:tc>
          <w:tcPr>
            <w:tcW w:w="1679" w:type="dxa"/>
            <w:vMerge/>
            <w:vAlign w:val="center"/>
          </w:tcPr>
          <w:p w14:paraId="1A9474A6" w14:textId="77777777" w:rsidR="00FA500D" w:rsidRPr="00C03959" w:rsidRDefault="00FA500D" w:rsidP="00124A82">
            <w:pPr>
              <w:jc w:val="center"/>
              <w:rPr>
                <w:rFonts w:ascii="Times New Roman" w:hAnsi="Times New Roman" w:cs="Times New Roman"/>
                <w:sz w:val="24"/>
                <w:szCs w:val="24"/>
              </w:rPr>
            </w:pPr>
          </w:p>
        </w:tc>
      </w:tr>
      <w:tr w:rsidR="00FA500D" w:rsidRPr="00C03959" w14:paraId="1E04ACA2" w14:textId="77777777" w:rsidTr="00124A82">
        <w:tc>
          <w:tcPr>
            <w:tcW w:w="1678" w:type="dxa"/>
            <w:vAlign w:val="center"/>
          </w:tcPr>
          <w:p w14:paraId="0F0D0E62" w14:textId="77777777" w:rsidR="00FA500D" w:rsidRPr="00C03959" w:rsidRDefault="00FA500D" w:rsidP="00124A82">
            <w:pPr>
              <w:jc w:val="center"/>
              <w:rPr>
                <w:rFonts w:ascii="Times New Roman" w:hAnsi="Times New Roman" w:cs="Times New Roman"/>
                <w:sz w:val="24"/>
                <w:szCs w:val="24"/>
              </w:rPr>
            </w:pPr>
            <w:r w:rsidRPr="00C03959">
              <w:rPr>
                <w:rFonts w:ascii="Times New Roman" w:hAnsi="Times New Roman" w:cs="Times New Roman"/>
                <w:sz w:val="24"/>
                <w:szCs w:val="24"/>
              </w:rPr>
              <w:t>Student</w:t>
            </w:r>
          </w:p>
        </w:tc>
        <w:tc>
          <w:tcPr>
            <w:tcW w:w="1678" w:type="dxa"/>
            <w:vMerge/>
            <w:vAlign w:val="center"/>
          </w:tcPr>
          <w:p w14:paraId="02ED8C90" w14:textId="77777777" w:rsidR="00FA500D" w:rsidRPr="00C03959" w:rsidRDefault="00FA500D" w:rsidP="00124A82">
            <w:pPr>
              <w:jc w:val="center"/>
              <w:rPr>
                <w:rFonts w:ascii="Times New Roman" w:hAnsi="Times New Roman" w:cs="Times New Roman"/>
                <w:sz w:val="24"/>
                <w:szCs w:val="24"/>
              </w:rPr>
            </w:pPr>
          </w:p>
        </w:tc>
        <w:tc>
          <w:tcPr>
            <w:tcW w:w="1678" w:type="dxa"/>
            <w:vAlign w:val="center"/>
          </w:tcPr>
          <w:p w14:paraId="6E36244F" w14:textId="77777777" w:rsidR="00FA500D" w:rsidRPr="00C03959" w:rsidRDefault="00FA500D" w:rsidP="00124A82">
            <w:pPr>
              <w:jc w:val="center"/>
              <w:rPr>
                <w:rFonts w:ascii="Times New Roman" w:hAnsi="Times New Roman" w:cs="Times New Roman"/>
                <w:sz w:val="24"/>
                <w:szCs w:val="24"/>
              </w:rPr>
            </w:pPr>
            <w:r>
              <w:rPr>
                <w:rFonts w:ascii="Times New Roman" w:hAnsi="Times New Roman" w:cs="Times New Roman"/>
                <w:sz w:val="24"/>
                <w:szCs w:val="24"/>
              </w:rPr>
              <w:t>8</w:t>
            </w:r>
          </w:p>
        </w:tc>
        <w:tc>
          <w:tcPr>
            <w:tcW w:w="1678" w:type="dxa"/>
            <w:vMerge/>
            <w:vAlign w:val="center"/>
          </w:tcPr>
          <w:p w14:paraId="2E1BED27" w14:textId="77777777" w:rsidR="00FA500D" w:rsidRPr="00C03959" w:rsidRDefault="00FA500D" w:rsidP="00124A82">
            <w:pPr>
              <w:jc w:val="center"/>
              <w:rPr>
                <w:rFonts w:ascii="Times New Roman" w:hAnsi="Times New Roman" w:cs="Times New Roman"/>
                <w:sz w:val="24"/>
                <w:szCs w:val="24"/>
              </w:rPr>
            </w:pPr>
          </w:p>
        </w:tc>
        <w:tc>
          <w:tcPr>
            <w:tcW w:w="1679" w:type="dxa"/>
            <w:vMerge/>
            <w:vAlign w:val="center"/>
          </w:tcPr>
          <w:p w14:paraId="0065C4B8" w14:textId="77777777" w:rsidR="00FA500D" w:rsidRPr="00C03959" w:rsidRDefault="00FA500D" w:rsidP="00124A82">
            <w:pPr>
              <w:jc w:val="center"/>
              <w:rPr>
                <w:rFonts w:ascii="Times New Roman" w:hAnsi="Times New Roman" w:cs="Times New Roman"/>
                <w:sz w:val="24"/>
                <w:szCs w:val="24"/>
              </w:rPr>
            </w:pPr>
          </w:p>
        </w:tc>
        <w:tc>
          <w:tcPr>
            <w:tcW w:w="1679" w:type="dxa"/>
            <w:vMerge/>
            <w:vAlign w:val="center"/>
          </w:tcPr>
          <w:p w14:paraId="5B386843" w14:textId="77777777" w:rsidR="00FA500D" w:rsidRPr="00C03959" w:rsidRDefault="00FA500D" w:rsidP="00124A82">
            <w:pPr>
              <w:jc w:val="center"/>
              <w:rPr>
                <w:rFonts w:ascii="Times New Roman" w:hAnsi="Times New Roman" w:cs="Times New Roman"/>
                <w:sz w:val="24"/>
                <w:szCs w:val="24"/>
              </w:rPr>
            </w:pPr>
          </w:p>
        </w:tc>
      </w:tr>
      <w:tr w:rsidR="00223DF4" w:rsidRPr="00C03959" w14:paraId="36A91444" w14:textId="77777777" w:rsidTr="00124A82">
        <w:tc>
          <w:tcPr>
            <w:tcW w:w="1678" w:type="dxa"/>
            <w:vAlign w:val="center"/>
          </w:tcPr>
          <w:p w14:paraId="345F7FFE" w14:textId="77777777" w:rsidR="00223DF4" w:rsidRPr="00C03959" w:rsidRDefault="00223DF4" w:rsidP="00124A82">
            <w:pPr>
              <w:jc w:val="center"/>
              <w:rPr>
                <w:rFonts w:ascii="Times New Roman" w:hAnsi="Times New Roman" w:cs="Times New Roman"/>
                <w:sz w:val="24"/>
                <w:szCs w:val="24"/>
              </w:rPr>
            </w:pPr>
            <w:r>
              <w:rPr>
                <w:rFonts w:ascii="Times New Roman" w:hAnsi="Times New Roman" w:cs="Times New Roman"/>
                <w:sz w:val="24"/>
                <w:szCs w:val="24"/>
              </w:rPr>
              <w:t xml:space="preserve">Total </w:t>
            </w:r>
          </w:p>
        </w:tc>
        <w:tc>
          <w:tcPr>
            <w:tcW w:w="1678" w:type="dxa"/>
            <w:vAlign w:val="center"/>
          </w:tcPr>
          <w:p w14:paraId="4EBE1581" w14:textId="77777777" w:rsidR="00223DF4" w:rsidRPr="00C03959" w:rsidRDefault="00223DF4" w:rsidP="00124A82">
            <w:pPr>
              <w:jc w:val="center"/>
              <w:rPr>
                <w:rFonts w:ascii="Times New Roman" w:hAnsi="Times New Roman" w:cs="Times New Roman"/>
                <w:sz w:val="24"/>
                <w:szCs w:val="24"/>
              </w:rPr>
            </w:pPr>
          </w:p>
        </w:tc>
        <w:tc>
          <w:tcPr>
            <w:tcW w:w="1678" w:type="dxa"/>
            <w:vAlign w:val="center"/>
          </w:tcPr>
          <w:p w14:paraId="6D4BD4B8" w14:textId="77777777" w:rsidR="00223DF4" w:rsidRPr="00C03959" w:rsidRDefault="00A35C31" w:rsidP="00124A82">
            <w:pPr>
              <w:jc w:val="center"/>
              <w:rPr>
                <w:rFonts w:ascii="Times New Roman" w:hAnsi="Times New Roman" w:cs="Times New Roman"/>
                <w:sz w:val="24"/>
                <w:szCs w:val="24"/>
              </w:rPr>
            </w:pPr>
            <w:r>
              <w:rPr>
                <w:rFonts w:ascii="Times New Roman" w:hAnsi="Times New Roman" w:cs="Times New Roman"/>
                <w:sz w:val="24"/>
                <w:szCs w:val="24"/>
              </w:rPr>
              <w:t>31</w:t>
            </w:r>
          </w:p>
        </w:tc>
        <w:tc>
          <w:tcPr>
            <w:tcW w:w="1678" w:type="dxa"/>
            <w:vAlign w:val="center"/>
          </w:tcPr>
          <w:p w14:paraId="112C9567" w14:textId="77777777" w:rsidR="00223DF4" w:rsidRPr="00C03959" w:rsidRDefault="00223DF4" w:rsidP="00124A82">
            <w:pPr>
              <w:jc w:val="center"/>
              <w:rPr>
                <w:rFonts w:ascii="Times New Roman" w:hAnsi="Times New Roman" w:cs="Times New Roman"/>
                <w:sz w:val="24"/>
                <w:szCs w:val="24"/>
              </w:rPr>
            </w:pPr>
          </w:p>
        </w:tc>
        <w:tc>
          <w:tcPr>
            <w:tcW w:w="1679" w:type="dxa"/>
            <w:vAlign w:val="center"/>
          </w:tcPr>
          <w:p w14:paraId="766C3BF3" w14:textId="77777777" w:rsidR="00223DF4" w:rsidRPr="00C03959" w:rsidRDefault="00223DF4" w:rsidP="00124A82">
            <w:pPr>
              <w:jc w:val="center"/>
              <w:rPr>
                <w:rFonts w:ascii="Times New Roman" w:hAnsi="Times New Roman" w:cs="Times New Roman"/>
                <w:sz w:val="24"/>
                <w:szCs w:val="24"/>
              </w:rPr>
            </w:pPr>
          </w:p>
        </w:tc>
        <w:tc>
          <w:tcPr>
            <w:tcW w:w="1679" w:type="dxa"/>
            <w:vAlign w:val="center"/>
          </w:tcPr>
          <w:p w14:paraId="3144C793" w14:textId="77777777" w:rsidR="00223DF4" w:rsidRPr="00C03959" w:rsidRDefault="006870F1" w:rsidP="008C119E">
            <w:pPr>
              <w:jc w:val="center"/>
              <w:rPr>
                <w:rFonts w:ascii="Times New Roman" w:hAnsi="Times New Roman" w:cs="Times New Roman"/>
                <w:sz w:val="24"/>
                <w:szCs w:val="24"/>
              </w:rPr>
            </w:pPr>
            <w:r>
              <w:rPr>
                <w:rFonts w:ascii="Times New Roman" w:hAnsi="Times New Roman" w:cs="Times New Roman"/>
                <w:sz w:val="24"/>
                <w:szCs w:val="24"/>
              </w:rPr>
              <w:t>77</w:t>
            </w:r>
          </w:p>
        </w:tc>
      </w:tr>
    </w:tbl>
    <w:p w14:paraId="0F7B4195" w14:textId="77777777" w:rsidR="005D4F83" w:rsidRPr="00C03959" w:rsidRDefault="005D4F83" w:rsidP="005D4F83">
      <w:pPr>
        <w:rPr>
          <w:rFonts w:ascii="Times New Roman" w:hAnsi="Times New Roman" w:cs="Times New Roman"/>
          <w:sz w:val="24"/>
          <w:szCs w:val="24"/>
          <w:highlight w:val="yellow"/>
        </w:rPr>
      </w:pPr>
    </w:p>
    <w:p w14:paraId="068FB28C" w14:textId="77777777" w:rsidR="005D4F83" w:rsidRPr="00C03959" w:rsidRDefault="005D4F83" w:rsidP="005D4F83">
      <w:pPr>
        <w:spacing w:after="120" w:line="240" w:lineRule="auto"/>
        <w:jc w:val="both"/>
        <w:rPr>
          <w:rFonts w:ascii="Times New Roman" w:hAnsi="Times New Roman" w:cs="Times New Roman"/>
          <w:sz w:val="24"/>
          <w:szCs w:val="24"/>
        </w:rPr>
      </w:pPr>
    </w:p>
    <w:p w14:paraId="51C147ED" w14:textId="77777777" w:rsidR="005D4F83" w:rsidRPr="00C03959" w:rsidRDefault="005D4F83" w:rsidP="005D4F83">
      <w:pPr>
        <w:spacing w:after="120" w:line="240" w:lineRule="auto"/>
        <w:jc w:val="both"/>
        <w:rPr>
          <w:rFonts w:ascii="Times New Roman" w:hAnsi="Times New Roman" w:cs="Times New Roman"/>
          <w:sz w:val="24"/>
          <w:szCs w:val="24"/>
          <w:highlight w:val="yellow"/>
        </w:rPr>
      </w:pPr>
      <w:r w:rsidRPr="00C03959">
        <w:rPr>
          <w:rFonts w:ascii="Times New Roman" w:hAnsi="Times New Roman" w:cs="Times New Roman"/>
          <w:sz w:val="24"/>
          <w:szCs w:val="24"/>
        </w:rPr>
        <w:t>B. The estimated annualized cost for this information collection is $</w:t>
      </w:r>
      <w:r w:rsidR="00F647EA">
        <w:rPr>
          <w:rFonts w:ascii="Times New Roman" w:hAnsi="Times New Roman" w:cs="Times New Roman"/>
          <w:sz w:val="24"/>
          <w:szCs w:val="24"/>
        </w:rPr>
        <w:t>1664.25</w:t>
      </w:r>
    </w:p>
    <w:p w14:paraId="7EF1293C" w14:textId="77777777" w:rsidR="005D4F83" w:rsidRPr="00C03959" w:rsidRDefault="005D4F83" w:rsidP="005D4F83">
      <w:pPr>
        <w:spacing w:after="120" w:line="240" w:lineRule="auto"/>
        <w:jc w:val="both"/>
        <w:rPr>
          <w:rFonts w:ascii="Times New Roman" w:hAnsi="Times New Roman" w:cs="Times New Roman"/>
          <w:sz w:val="24"/>
          <w:szCs w:val="24"/>
        </w:rPr>
      </w:pPr>
      <w:r w:rsidRPr="00C03959">
        <w:rPr>
          <w:rFonts w:ascii="Times New Roman" w:hAnsi="Times New Roman" w:cs="Times New Roman"/>
          <w:sz w:val="24"/>
          <w:szCs w:val="24"/>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2310"/>
        <w:gridCol w:w="1980"/>
        <w:gridCol w:w="2850"/>
      </w:tblGrid>
      <w:tr w:rsidR="005D4F83" w:rsidRPr="00C03959" w14:paraId="6800D2AF" w14:textId="77777777" w:rsidTr="00124A82">
        <w:tc>
          <w:tcPr>
            <w:tcW w:w="1455" w:type="pct"/>
            <w:vAlign w:val="center"/>
          </w:tcPr>
          <w:p w14:paraId="04C7D059" w14:textId="77777777" w:rsidR="005D4F83" w:rsidRPr="00C03959" w:rsidRDefault="005D4F83" w:rsidP="00124A82">
            <w:pPr>
              <w:autoSpaceDE w:val="0"/>
              <w:autoSpaceDN w:val="0"/>
              <w:adjustRightInd w:val="0"/>
              <w:spacing w:after="0" w:line="240" w:lineRule="auto"/>
              <w:jc w:val="center"/>
              <w:rPr>
                <w:rFonts w:ascii="Times New Roman" w:hAnsi="Times New Roman" w:cs="Times New Roman"/>
                <w:b/>
                <w:color w:val="000000"/>
                <w:sz w:val="24"/>
                <w:szCs w:val="24"/>
              </w:rPr>
            </w:pPr>
            <w:r w:rsidRPr="00C03959">
              <w:rPr>
                <w:rFonts w:ascii="Times New Roman" w:hAnsi="Times New Roman" w:cs="Times New Roman"/>
                <w:b/>
                <w:color w:val="000000"/>
                <w:sz w:val="24"/>
                <w:szCs w:val="24"/>
              </w:rPr>
              <w:t>Type of Respondent</w:t>
            </w:r>
          </w:p>
        </w:tc>
        <w:tc>
          <w:tcPr>
            <w:tcW w:w="1147" w:type="pct"/>
            <w:vAlign w:val="center"/>
          </w:tcPr>
          <w:p w14:paraId="00908907" w14:textId="77777777" w:rsidR="005D4F83" w:rsidRPr="00C03959" w:rsidRDefault="005D4F83" w:rsidP="00124A82">
            <w:pPr>
              <w:autoSpaceDE w:val="0"/>
              <w:autoSpaceDN w:val="0"/>
              <w:adjustRightInd w:val="0"/>
              <w:spacing w:after="0" w:line="240" w:lineRule="auto"/>
              <w:jc w:val="center"/>
              <w:rPr>
                <w:rFonts w:ascii="Times New Roman" w:hAnsi="Times New Roman" w:cs="Times New Roman"/>
                <w:b/>
                <w:color w:val="000000"/>
                <w:sz w:val="24"/>
                <w:szCs w:val="24"/>
              </w:rPr>
            </w:pPr>
            <w:r w:rsidRPr="00C03959">
              <w:rPr>
                <w:rFonts w:ascii="Times New Roman" w:hAnsi="Times New Roman" w:cs="Times New Roman"/>
                <w:b/>
                <w:color w:val="000000"/>
                <w:sz w:val="24"/>
                <w:szCs w:val="24"/>
              </w:rPr>
              <w:t>Total Burden Hours</w:t>
            </w:r>
          </w:p>
        </w:tc>
        <w:tc>
          <w:tcPr>
            <w:tcW w:w="983" w:type="pct"/>
            <w:vAlign w:val="center"/>
          </w:tcPr>
          <w:p w14:paraId="43E588D7" w14:textId="77777777" w:rsidR="005D4F83" w:rsidRPr="00C03959" w:rsidRDefault="005D4F83" w:rsidP="00124A82">
            <w:pPr>
              <w:autoSpaceDE w:val="0"/>
              <w:autoSpaceDN w:val="0"/>
              <w:adjustRightInd w:val="0"/>
              <w:spacing w:after="0" w:line="240" w:lineRule="auto"/>
              <w:jc w:val="center"/>
              <w:rPr>
                <w:rFonts w:ascii="Times New Roman" w:hAnsi="Times New Roman" w:cs="Times New Roman"/>
                <w:b/>
                <w:color w:val="000000"/>
                <w:sz w:val="24"/>
                <w:szCs w:val="24"/>
              </w:rPr>
            </w:pPr>
            <w:r w:rsidRPr="00C03959">
              <w:rPr>
                <w:rFonts w:ascii="Times New Roman" w:hAnsi="Times New Roman" w:cs="Times New Roman"/>
                <w:b/>
                <w:color w:val="000000"/>
                <w:sz w:val="24"/>
                <w:szCs w:val="24"/>
              </w:rPr>
              <w:t>Mean Hourly Wage Rate</w:t>
            </w:r>
          </w:p>
        </w:tc>
        <w:tc>
          <w:tcPr>
            <w:tcW w:w="1415" w:type="pct"/>
            <w:vAlign w:val="center"/>
          </w:tcPr>
          <w:p w14:paraId="57BF7BE5" w14:textId="77777777" w:rsidR="005D4F83" w:rsidRPr="00C03959" w:rsidRDefault="005D4F83" w:rsidP="00124A82">
            <w:pPr>
              <w:autoSpaceDE w:val="0"/>
              <w:autoSpaceDN w:val="0"/>
              <w:adjustRightInd w:val="0"/>
              <w:spacing w:after="0" w:line="240" w:lineRule="auto"/>
              <w:jc w:val="center"/>
              <w:rPr>
                <w:rFonts w:ascii="Times New Roman" w:hAnsi="Times New Roman" w:cs="Times New Roman"/>
                <w:b/>
                <w:color w:val="000000"/>
                <w:sz w:val="24"/>
                <w:szCs w:val="24"/>
                <w:highlight w:val="yellow"/>
              </w:rPr>
            </w:pPr>
            <w:r w:rsidRPr="00C03959">
              <w:rPr>
                <w:rFonts w:ascii="Times New Roman" w:hAnsi="Times New Roman" w:cs="Times New Roman"/>
                <w:b/>
                <w:color w:val="000000"/>
                <w:sz w:val="24"/>
                <w:szCs w:val="24"/>
              </w:rPr>
              <w:t>Total Respondent Costs</w:t>
            </w:r>
          </w:p>
        </w:tc>
      </w:tr>
      <w:tr w:rsidR="005D4F83" w:rsidRPr="00C03959" w14:paraId="4C0089E0" w14:textId="77777777" w:rsidTr="00124A82">
        <w:tc>
          <w:tcPr>
            <w:tcW w:w="1455" w:type="pct"/>
            <w:vAlign w:val="center"/>
          </w:tcPr>
          <w:p w14:paraId="029F8342" w14:textId="77777777" w:rsidR="005D4F83" w:rsidRPr="00C03959" w:rsidRDefault="005D4F83" w:rsidP="00124A82">
            <w:pPr>
              <w:autoSpaceDE w:val="0"/>
              <w:autoSpaceDN w:val="0"/>
              <w:adjustRightInd w:val="0"/>
              <w:spacing w:after="0" w:line="240" w:lineRule="auto"/>
              <w:jc w:val="center"/>
              <w:rPr>
                <w:rFonts w:ascii="Times New Roman" w:hAnsi="Times New Roman" w:cs="Times New Roman"/>
                <w:color w:val="000000"/>
                <w:sz w:val="24"/>
                <w:szCs w:val="24"/>
              </w:rPr>
            </w:pPr>
            <w:r w:rsidRPr="00C03959">
              <w:rPr>
                <w:rFonts w:ascii="Times New Roman" w:hAnsi="Times New Roman" w:cs="Times New Roman"/>
                <w:color w:val="000000"/>
                <w:sz w:val="24"/>
                <w:szCs w:val="24"/>
              </w:rPr>
              <w:t>Sand, Stone, and Gravel Mine Worker</w:t>
            </w:r>
          </w:p>
        </w:tc>
        <w:tc>
          <w:tcPr>
            <w:tcW w:w="1147" w:type="pct"/>
            <w:vAlign w:val="center"/>
          </w:tcPr>
          <w:p w14:paraId="3C7B1BDF" w14:textId="77777777" w:rsidR="005D4F83" w:rsidRPr="00C03959" w:rsidRDefault="00104668" w:rsidP="00D74AC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983" w:type="pct"/>
            <w:vAlign w:val="center"/>
          </w:tcPr>
          <w:p w14:paraId="59E909E3" w14:textId="77777777" w:rsidR="005D4F83" w:rsidRPr="00C03959" w:rsidRDefault="005D4F83" w:rsidP="00124A82">
            <w:pPr>
              <w:autoSpaceDE w:val="0"/>
              <w:autoSpaceDN w:val="0"/>
              <w:adjustRightInd w:val="0"/>
              <w:spacing w:after="0" w:line="240" w:lineRule="auto"/>
              <w:jc w:val="center"/>
              <w:rPr>
                <w:rFonts w:ascii="Times New Roman" w:hAnsi="Times New Roman" w:cs="Times New Roman"/>
                <w:color w:val="000000"/>
                <w:sz w:val="24"/>
                <w:szCs w:val="24"/>
              </w:rPr>
            </w:pPr>
            <w:r w:rsidRPr="00C03959">
              <w:rPr>
                <w:rFonts w:ascii="Times New Roman" w:hAnsi="Times New Roman" w:cs="Times New Roman"/>
                <w:color w:val="000000"/>
                <w:sz w:val="24"/>
                <w:szCs w:val="24"/>
              </w:rPr>
              <w:t>$21.00</w:t>
            </w:r>
          </w:p>
        </w:tc>
        <w:tc>
          <w:tcPr>
            <w:tcW w:w="1415" w:type="pct"/>
            <w:vAlign w:val="center"/>
          </w:tcPr>
          <w:p w14:paraId="5C2D2C12" w14:textId="77777777" w:rsidR="005D4F83" w:rsidRPr="00C03959" w:rsidRDefault="005D4F83" w:rsidP="00104668">
            <w:pPr>
              <w:autoSpaceDE w:val="0"/>
              <w:autoSpaceDN w:val="0"/>
              <w:adjustRightInd w:val="0"/>
              <w:spacing w:after="0" w:line="240" w:lineRule="auto"/>
              <w:jc w:val="center"/>
              <w:rPr>
                <w:rFonts w:ascii="Times New Roman" w:hAnsi="Times New Roman" w:cs="Times New Roman"/>
                <w:color w:val="000000"/>
                <w:sz w:val="24"/>
                <w:szCs w:val="24"/>
              </w:rPr>
            </w:pPr>
            <w:r w:rsidRPr="00C03959">
              <w:rPr>
                <w:rFonts w:ascii="Times New Roman" w:hAnsi="Times New Roman" w:cs="Times New Roman"/>
                <w:color w:val="000000"/>
                <w:sz w:val="24"/>
                <w:szCs w:val="24"/>
              </w:rPr>
              <w:t>$</w:t>
            </w:r>
            <w:r w:rsidR="00104668">
              <w:rPr>
                <w:rFonts w:ascii="Times New Roman" w:hAnsi="Times New Roman" w:cs="Times New Roman"/>
                <w:color w:val="000000"/>
                <w:sz w:val="24"/>
                <w:szCs w:val="24"/>
              </w:rPr>
              <w:t>840</w:t>
            </w:r>
          </w:p>
        </w:tc>
      </w:tr>
      <w:tr w:rsidR="005D4F83" w:rsidRPr="00C03959" w14:paraId="18ECAD03" w14:textId="77777777" w:rsidTr="00124A82">
        <w:tc>
          <w:tcPr>
            <w:tcW w:w="1455" w:type="pct"/>
            <w:vAlign w:val="center"/>
          </w:tcPr>
          <w:p w14:paraId="4BB64053" w14:textId="77777777" w:rsidR="005D4F83" w:rsidRPr="00C03959" w:rsidRDefault="005D4F83" w:rsidP="00124A82">
            <w:pPr>
              <w:autoSpaceDE w:val="0"/>
              <w:autoSpaceDN w:val="0"/>
              <w:adjustRightInd w:val="0"/>
              <w:spacing w:after="0" w:line="240" w:lineRule="auto"/>
              <w:jc w:val="center"/>
              <w:rPr>
                <w:rFonts w:ascii="Times New Roman" w:hAnsi="Times New Roman" w:cs="Times New Roman"/>
                <w:color w:val="000000"/>
                <w:sz w:val="24"/>
                <w:szCs w:val="24"/>
              </w:rPr>
            </w:pPr>
            <w:r w:rsidRPr="00C03959">
              <w:rPr>
                <w:rFonts w:ascii="Times New Roman" w:hAnsi="Times New Roman" w:cs="Times New Roman"/>
                <w:color w:val="000000"/>
                <w:sz w:val="24"/>
                <w:szCs w:val="24"/>
              </w:rPr>
              <w:t>Sand, Stone, and Gravel Safety Personnel</w:t>
            </w:r>
          </w:p>
        </w:tc>
        <w:tc>
          <w:tcPr>
            <w:tcW w:w="1147" w:type="pct"/>
            <w:vAlign w:val="center"/>
          </w:tcPr>
          <w:p w14:paraId="29CE83D9" w14:textId="77777777" w:rsidR="005D4F83" w:rsidRPr="00C03959" w:rsidRDefault="00104668" w:rsidP="0010466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83" w:type="pct"/>
            <w:vAlign w:val="center"/>
          </w:tcPr>
          <w:p w14:paraId="72A4F18C" w14:textId="77777777" w:rsidR="005D4F83" w:rsidRPr="00C03959" w:rsidRDefault="005D4F83" w:rsidP="00124A82">
            <w:pPr>
              <w:autoSpaceDE w:val="0"/>
              <w:autoSpaceDN w:val="0"/>
              <w:adjustRightInd w:val="0"/>
              <w:spacing w:after="0" w:line="240" w:lineRule="auto"/>
              <w:jc w:val="center"/>
              <w:rPr>
                <w:rFonts w:ascii="Times New Roman" w:hAnsi="Times New Roman" w:cs="Times New Roman"/>
                <w:color w:val="000000"/>
                <w:sz w:val="24"/>
                <w:szCs w:val="24"/>
              </w:rPr>
            </w:pPr>
            <w:r w:rsidRPr="00C03959">
              <w:rPr>
                <w:rFonts w:ascii="Times New Roman" w:hAnsi="Times New Roman" w:cs="Times New Roman"/>
                <w:color w:val="000000"/>
                <w:sz w:val="24"/>
                <w:szCs w:val="24"/>
              </w:rPr>
              <w:t>$32.00</w:t>
            </w:r>
          </w:p>
        </w:tc>
        <w:tc>
          <w:tcPr>
            <w:tcW w:w="1415" w:type="pct"/>
            <w:vAlign w:val="center"/>
          </w:tcPr>
          <w:p w14:paraId="3CD38045" w14:textId="77777777" w:rsidR="005D4F83" w:rsidRPr="00C03959" w:rsidRDefault="005D4F83" w:rsidP="00104668">
            <w:pPr>
              <w:autoSpaceDE w:val="0"/>
              <w:autoSpaceDN w:val="0"/>
              <w:adjustRightInd w:val="0"/>
              <w:spacing w:after="0" w:line="240" w:lineRule="auto"/>
              <w:jc w:val="center"/>
              <w:rPr>
                <w:rFonts w:ascii="Times New Roman" w:hAnsi="Times New Roman" w:cs="Times New Roman"/>
                <w:color w:val="000000"/>
                <w:sz w:val="24"/>
                <w:szCs w:val="24"/>
              </w:rPr>
            </w:pPr>
            <w:r w:rsidRPr="00C03959">
              <w:rPr>
                <w:rFonts w:ascii="Times New Roman" w:hAnsi="Times New Roman" w:cs="Times New Roman"/>
                <w:color w:val="000000"/>
                <w:sz w:val="24"/>
                <w:szCs w:val="24"/>
              </w:rPr>
              <w:t>$</w:t>
            </w:r>
            <w:r w:rsidR="00104668">
              <w:rPr>
                <w:rFonts w:ascii="Times New Roman" w:hAnsi="Times New Roman" w:cs="Times New Roman"/>
                <w:color w:val="000000"/>
                <w:sz w:val="24"/>
                <w:szCs w:val="24"/>
              </w:rPr>
              <w:t>672</w:t>
            </w:r>
          </w:p>
        </w:tc>
      </w:tr>
      <w:tr w:rsidR="005D4F83" w:rsidRPr="00C03959" w14:paraId="32FDC6DF" w14:textId="77777777" w:rsidTr="00124A82">
        <w:tc>
          <w:tcPr>
            <w:tcW w:w="1455" w:type="pct"/>
            <w:vAlign w:val="center"/>
          </w:tcPr>
          <w:p w14:paraId="4AB60CAD" w14:textId="77777777" w:rsidR="005D4F83" w:rsidRPr="00C03959" w:rsidRDefault="005D4F83" w:rsidP="00124A82">
            <w:pPr>
              <w:autoSpaceDE w:val="0"/>
              <w:autoSpaceDN w:val="0"/>
              <w:adjustRightInd w:val="0"/>
              <w:spacing w:after="0" w:line="240" w:lineRule="auto"/>
              <w:jc w:val="center"/>
              <w:rPr>
                <w:rFonts w:ascii="Times New Roman" w:hAnsi="Times New Roman" w:cs="Times New Roman"/>
                <w:color w:val="000000"/>
                <w:sz w:val="24"/>
                <w:szCs w:val="24"/>
              </w:rPr>
            </w:pPr>
            <w:r w:rsidRPr="00C03959">
              <w:rPr>
                <w:rFonts w:ascii="Times New Roman" w:hAnsi="Times New Roman" w:cs="Times New Roman"/>
                <w:color w:val="000000"/>
                <w:sz w:val="24"/>
                <w:szCs w:val="24"/>
              </w:rPr>
              <w:t>University Student</w:t>
            </w:r>
          </w:p>
        </w:tc>
        <w:tc>
          <w:tcPr>
            <w:tcW w:w="1147" w:type="pct"/>
            <w:vAlign w:val="center"/>
          </w:tcPr>
          <w:p w14:paraId="451138B7" w14:textId="77777777" w:rsidR="005D4F83" w:rsidRPr="00C03959" w:rsidRDefault="00104668" w:rsidP="00124A8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p w14:paraId="40B9A596" w14:textId="77777777" w:rsidR="005D4F83" w:rsidRPr="00C03959" w:rsidRDefault="005D4F83" w:rsidP="00124A82">
            <w:pPr>
              <w:autoSpaceDE w:val="0"/>
              <w:autoSpaceDN w:val="0"/>
              <w:adjustRightInd w:val="0"/>
              <w:spacing w:after="0" w:line="240" w:lineRule="auto"/>
              <w:jc w:val="center"/>
              <w:rPr>
                <w:rFonts w:ascii="Times New Roman" w:hAnsi="Times New Roman" w:cs="Times New Roman"/>
                <w:color w:val="000000"/>
                <w:sz w:val="24"/>
                <w:szCs w:val="24"/>
              </w:rPr>
            </w:pPr>
          </w:p>
        </w:tc>
        <w:tc>
          <w:tcPr>
            <w:tcW w:w="983" w:type="pct"/>
            <w:vAlign w:val="center"/>
          </w:tcPr>
          <w:p w14:paraId="2D1254EB" w14:textId="77777777" w:rsidR="005D4F83" w:rsidRPr="00C03959" w:rsidRDefault="005D4F83" w:rsidP="00124A82">
            <w:pPr>
              <w:autoSpaceDE w:val="0"/>
              <w:autoSpaceDN w:val="0"/>
              <w:adjustRightInd w:val="0"/>
              <w:spacing w:after="0" w:line="240" w:lineRule="auto"/>
              <w:jc w:val="center"/>
              <w:rPr>
                <w:rFonts w:ascii="Times New Roman" w:hAnsi="Times New Roman" w:cs="Times New Roman"/>
                <w:color w:val="000000"/>
                <w:sz w:val="24"/>
                <w:szCs w:val="24"/>
              </w:rPr>
            </w:pPr>
            <w:r w:rsidRPr="00C03959">
              <w:rPr>
                <w:rFonts w:ascii="Times New Roman" w:hAnsi="Times New Roman" w:cs="Times New Roman"/>
                <w:color w:val="000000"/>
                <w:sz w:val="24"/>
                <w:szCs w:val="24"/>
              </w:rPr>
              <w:t>$7.25</w:t>
            </w:r>
          </w:p>
        </w:tc>
        <w:tc>
          <w:tcPr>
            <w:tcW w:w="1415" w:type="pct"/>
            <w:vAlign w:val="center"/>
          </w:tcPr>
          <w:p w14:paraId="335084A7" w14:textId="77777777" w:rsidR="005D4F83" w:rsidRPr="00C03959" w:rsidRDefault="005D4F83" w:rsidP="00104668">
            <w:pPr>
              <w:autoSpaceDE w:val="0"/>
              <w:autoSpaceDN w:val="0"/>
              <w:adjustRightInd w:val="0"/>
              <w:spacing w:after="0" w:line="240" w:lineRule="auto"/>
              <w:jc w:val="center"/>
              <w:rPr>
                <w:rFonts w:ascii="Times New Roman" w:hAnsi="Times New Roman" w:cs="Times New Roman"/>
                <w:color w:val="000000"/>
                <w:sz w:val="24"/>
                <w:szCs w:val="24"/>
              </w:rPr>
            </w:pPr>
            <w:r w:rsidRPr="00C03959">
              <w:rPr>
                <w:rFonts w:ascii="Times New Roman" w:hAnsi="Times New Roman" w:cs="Times New Roman"/>
                <w:color w:val="000000"/>
                <w:sz w:val="24"/>
                <w:szCs w:val="24"/>
              </w:rPr>
              <w:t>$</w:t>
            </w:r>
            <w:r w:rsidR="00104668">
              <w:rPr>
                <w:rFonts w:ascii="Times New Roman" w:hAnsi="Times New Roman" w:cs="Times New Roman"/>
                <w:color w:val="000000"/>
                <w:sz w:val="24"/>
                <w:szCs w:val="24"/>
              </w:rPr>
              <w:t>152.25</w:t>
            </w:r>
          </w:p>
        </w:tc>
      </w:tr>
    </w:tbl>
    <w:p w14:paraId="4CC3286F" w14:textId="77777777" w:rsidR="005D4F83" w:rsidRPr="00C03959" w:rsidRDefault="005D4F83" w:rsidP="005D4F83">
      <w:pPr>
        <w:spacing w:after="120" w:line="240" w:lineRule="auto"/>
        <w:jc w:val="both"/>
        <w:rPr>
          <w:rFonts w:ascii="Times New Roman" w:hAnsi="Times New Roman" w:cs="Times New Roman"/>
          <w:sz w:val="24"/>
          <w:szCs w:val="24"/>
        </w:rPr>
      </w:pPr>
    </w:p>
    <w:p w14:paraId="75F318D7" w14:textId="77777777" w:rsidR="008148CC" w:rsidRDefault="005D4F83" w:rsidP="005D4F83">
      <w:pPr>
        <w:spacing w:after="120" w:line="240" w:lineRule="auto"/>
        <w:jc w:val="both"/>
        <w:rPr>
          <w:rFonts w:ascii="Times New Roman" w:hAnsi="Times New Roman"/>
          <w:sz w:val="24"/>
        </w:rPr>
      </w:pPr>
      <w:r w:rsidRPr="00C03959">
        <w:rPr>
          <w:rFonts w:ascii="Times New Roman" w:hAnsi="Times New Roman"/>
          <w:sz w:val="24"/>
        </w:rPr>
        <w:t>The value assigned for the hourly wage rate is based on the average U.S. hourly wage rate for coal miners available in the following report: Bureau of Labor Statistics, U.S. Department of Labor, NAICS 212300</w:t>
      </w:r>
      <w:r w:rsidR="008148CC">
        <w:rPr>
          <w:rFonts w:ascii="Times New Roman" w:hAnsi="Times New Roman"/>
          <w:sz w:val="24"/>
        </w:rPr>
        <w:t xml:space="preserve"> Nonmetallic Mineral Mining and Quarrying, on the Internet at the following address: </w:t>
      </w:r>
      <w:hyperlink r:id="rId10" w:history="1">
        <w:r w:rsidR="008148CC" w:rsidRPr="00821087">
          <w:rPr>
            <w:rStyle w:val="Hyperlink"/>
            <w:rFonts w:ascii="Times New Roman" w:hAnsi="Times New Roman"/>
            <w:sz w:val="24"/>
          </w:rPr>
          <w:t>http://www.bls.gov/oes/current/naics4_212300.htm</w:t>
        </w:r>
      </w:hyperlink>
      <w:r w:rsidR="008148CC">
        <w:rPr>
          <w:rFonts w:ascii="Times New Roman" w:hAnsi="Times New Roman"/>
          <w:sz w:val="24"/>
        </w:rPr>
        <w:t xml:space="preserve"> (visited March 9, 2015). </w:t>
      </w:r>
    </w:p>
    <w:p w14:paraId="0A0CED3D" w14:textId="77777777" w:rsidR="005D4F83" w:rsidRDefault="005D4F83" w:rsidP="005D4F83"/>
    <w:p w14:paraId="2CF5FDD3" w14:textId="77777777" w:rsidR="005D4F83" w:rsidRPr="005D4F83" w:rsidRDefault="005D4F83" w:rsidP="005D4F83"/>
    <w:p w14:paraId="7417581F" w14:textId="77777777" w:rsidR="005D4F83" w:rsidRDefault="005D4F83" w:rsidP="005D4F83">
      <w:bookmarkStart w:id="10" w:name="_Toc350432827"/>
    </w:p>
    <w:p w14:paraId="3E9CA09D" w14:textId="77777777" w:rsidR="004001A4" w:rsidRDefault="004001A4" w:rsidP="004001A4">
      <w:pPr>
        <w:pStyle w:val="Heading1"/>
      </w:pPr>
      <w:r w:rsidRPr="004001A4">
        <w:t>Estimates of Other total Annual Cost Burden to Respondents or Record Keepers</w:t>
      </w:r>
      <w:bookmarkEnd w:id="10"/>
    </w:p>
    <w:p w14:paraId="19CA6A8C" w14:textId="77777777" w:rsidR="004001A4" w:rsidRPr="004001A4" w:rsidRDefault="004001A4" w:rsidP="004001A4">
      <w:pPr>
        <w:keepNext/>
        <w:spacing w:after="120" w:line="240" w:lineRule="auto"/>
        <w:ind w:left="360"/>
        <w:contextualSpacing/>
        <w:jc w:val="both"/>
        <w:outlineLvl w:val="0"/>
        <w:rPr>
          <w:rFonts w:ascii="Times New Roman" w:eastAsiaTheme="majorEastAsia" w:hAnsi="Times New Roman" w:cstheme="majorBidi"/>
          <w:b/>
          <w:bCs/>
          <w:sz w:val="32"/>
          <w:szCs w:val="28"/>
        </w:rPr>
      </w:pPr>
    </w:p>
    <w:p w14:paraId="05664997" w14:textId="77777777" w:rsidR="004001A4" w:rsidRPr="004001A4" w:rsidRDefault="004001A4" w:rsidP="004001A4">
      <w:pPr>
        <w:spacing w:after="120" w:line="240" w:lineRule="auto"/>
        <w:jc w:val="both"/>
        <w:rPr>
          <w:rFonts w:ascii="Times New Roman" w:hAnsi="Times New Roman"/>
          <w:sz w:val="24"/>
        </w:rPr>
      </w:pPr>
      <w:r w:rsidRPr="004001A4">
        <w:rPr>
          <w:rFonts w:ascii="Times New Roman" w:hAnsi="Times New Roman"/>
          <w:sz w:val="24"/>
        </w:rPr>
        <w:t xml:space="preserve">None. </w:t>
      </w:r>
    </w:p>
    <w:p w14:paraId="4021D955" w14:textId="77777777" w:rsidR="004001A4" w:rsidRPr="006940C7" w:rsidRDefault="004001A4" w:rsidP="004001A4">
      <w:pPr>
        <w:pStyle w:val="Heading1"/>
      </w:pPr>
      <w:bookmarkStart w:id="11" w:name="_Toc350432828"/>
      <w:r w:rsidRPr="006940C7">
        <w:t>Annualized Cost to the Government</w:t>
      </w:r>
      <w:bookmarkEnd w:id="11"/>
    </w:p>
    <w:p w14:paraId="6D9B638C" w14:textId="77777777" w:rsidR="004001A4" w:rsidRPr="004001A4" w:rsidRDefault="004001A4" w:rsidP="004001A4">
      <w:pPr>
        <w:rPr>
          <w:rFonts w:ascii="Times New Roman" w:hAnsi="Times New Roman" w:cs="Times New Roman"/>
          <w:sz w:val="24"/>
          <w:szCs w:val="24"/>
        </w:rPr>
      </w:pPr>
      <w:r w:rsidRPr="004001A4">
        <w:rPr>
          <w:rFonts w:ascii="Times New Roman" w:hAnsi="Times New Roman" w:cs="Times New Roman"/>
          <w:sz w:val="24"/>
          <w:szCs w:val="24"/>
        </w:rPr>
        <w:t xml:space="preserve">The time allotted for the project is </w:t>
      </w:r>
      <w:r w:rsidR="008148CC">
        <w:rPr>
          <w:rFonts w:ascii="Times New Roman" w:hAnsi="Times New Roman" w:cs="Times New Roman"/>
          <w:sz w:val="24"/>
          <w:szCs w:val="24"/>
        </w:rPr>
        <w:t>2</w:t>
      </w:r>
      <w:r w:rsidRPr="004001A4">
        <w:rPr>
          <w:rFonts w:ascii="Times New Roman" w:hAnsi="Times New Roman" w:cs="Times New Roman"/>
          <w:sz w:val="24"/>
          <w:szCs w:val="24"/>
        </w:rPr>
        <w:t xml:space="preserve"> years.  During this </w:t>
      </w:r>
      <w:r w:rsidR="008148CC">
        <w:rPr>
          <w:rFonts w:ascii="Times New Roman" w:hAnsi="Times New Roman" w:cs="Times New Roman"/>
          <w:sz w:val="24"/>
          <w:szCs w:val="24"/>
        </w:rPr>
        <w:t>two</w:t>
      </w:r>
      <w:r w:rsidR="008148CC" w:rsidRPr="004001A4">
        <w:rPr>
          <w:rFonts w:ascii="Times New Roman" w:hAnsi="Times New Roman" w:cs="Times New Roman"/>
          <w:sz w:val="24"/>
          <w:szCs w:val="24"/>
        </w:rPr>
        <w:t xml:space="preserve"> </w:t>
      </w:r>
      <w:r w:rsidRPr="004001A4">
        <w:rPr>
          <w:rFonts w:ascii="Times New Roman" w:hAnsi="Times New Roman" w:cs="Times New Roman"/>
          <w:sz w:val="24"/>
          <w:szCs w:val="24"/>
        </w:rPr>
        <w:t xml:space="preserve">year period, instrument development, data collection, analysis and presentation are expected to occur. The estimated hourly cost to the Federal Government is $33.72 per hour. This includes data collection by CDC/NIOSH employees, data analysis, and report writing. The hours designated for government staff were calculated as shown in the table below. The total cost average for a </w:t>
      </w:r>
      <w:r w:rsidR="00166A75">
        <w:rPr>
          <w:rFonts w:ascii="Times New Roman" w:hAnsi="Times New Roman" w:cs="Times New Roman"/>
          <w:sz w:val="24"/>
          <w:szCs w:val="24"/>
        </w:rPr>
        <w:t>two</w:t>
      </w:r>
      <w:r w:rsidR="00166A75" w:rsidRPr="004001A4">
        <w:rPr>
          <w:rFonts w:ascii="Times New Roman" w:hAnsi="Times New Roman" w:cs="Times New Roman"/>
          <w:sz w:val="24"/>
          <w:szCs w:val="24"/>
        </w:rPr>
        <w:t xml:space="preserve"> </w:t>
      </w:r>
      <w:r w:rsidRPr="004001A4">
        <w:rPr>
          <w:rFonts w:ascii="Times New Roman" w:hAnsi="Times New Roman" w:cs="Times New Roman"/>
          <w:sz w:val="24"/>
          <w:szCs w:val="24"/>
        </w:rPr>
        <w:t>year period is $</w:t>
      </w:r>
      <w:r w:rsidR="00166A75">
        <w:rPr>
          <w:rFonts w:ascii="Times New Roman" w:hAnsi="Times New Roman" w:cs="Times New Roman"/>
          <w:sz w:val="24"/>
          <w:szCs w:val="24"/>
        </w:rPr>
        <w:t>257,775</w:t>
      </w:r>
      <w:r w:rsidRPr="004001A4">
        <w:rPr>
          <w:rFonts w:ascii="Times New Roman" w:hAnsi="Times New Roman" w:cs="Times New Roman"/>
          <w:sz w:val="24"/>
          <w:szCs w:val="24"/>
        </w:rPr>
        <w:t>.</w:t>
      </w:r>
      <w:r w:rsidR="00A23284">
        <w:rPr>
          <w:rFonts w:ascii="Times New Roman" w:hAnsi="Times New Roman" w:cs="Times New Roman"/>
          <w:sz w:val="24"/>
          <w:szCs w:val="24"/>
        </w:rPr>
        <w:t xml:space="preserve">  </w:t>
      </w:r>
    </w:p>
    <w:p w14:paraId="7D46F19C" w14:textId="77777777" w:rsidR="004001A4" w:rsidRPr="004001A4" w:rsidRDefault="004001A4" w:rsidP="004001A4">
      <w:pPr>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857"/>
        <w:gridCol w:w="1244"/>
        <w:gridCol w:w="1749"/>
        <w:gridCol w:w="2547"/>
        <w:gridCol w:w="1116"/>
      </w:tblGrid>
      <w:tr w:rsidR="004001A4" w:rsidRPr="004001A4" w14:paraId="1E91EE3E" w14:textId="77777777" w:rsidTr="00537F9B">
        <w:trPr>
          <w:trHeight w:val="1052"/>
        </w:trPr>
        <w:tc>
          <w:tcPr>
            <w:tcW w:w="0" w:type="auto"/>
            <w:vAlign w:val="center"/>
          </w:tcPr>
          <w:p w14:paraId="25AFE256" w14:textId="77777777" w:rsidR="004001A4" w:rsidRPr="004001A4" w:rsidRDefault="004001A4" w:rsidP="00537F9B">
            <w:pPr>
              <w:spacing w:after="0"/>
              <w:jc w:val="center"/>
              <w:rPr>
                <w:rFonts w:ascii="Times New Roman" w:hAnsi="Times New Roman" w:cs="Times New Roman"/>
                <w:sz w:val="24"/>
                <w:szCs w:val="24"/>
              </w:rPr>
            </w:pPr>
          </w:p>
        </w:tc>
        <w:tc>
          <w:tcPr>
            <w:tcW w:w="0" w:type="auto"/>
            <w:vAlign w:val="center"/>
          </w:tcPr>
          <w:p w14:paraId="678AD009" w14:textId="77777777" w:rsidR="004001A4" w:rsidRPr="004001A4" w:rsidRDefault="004001A4" w:rsidP="00537F9B">
            <w:pPr>
              <w:spacing w:after="0"/>
              <w:jc w:val="center"/>
              <w:rPr>
                <w:rFonts w:ascii="Times New Roman" w:hAnsi="Times New Roman" w:cs="Times New Roman"/>
                <w:b/>
                <w:sz w:val="24"/>
                <w:szCs w:val="24"/>
              </w:rPr>
            </w:pPr>
            <w:r w:rsidRPr="004001A4">
              <w:rPr>
                <w:rFonts w:ascii="Times New Roman" w:hAnsi="Times New Roman" w:cs="Times New Roman"/>
                <w:b/>
                <w:sz w:val="24"/>
                <w:szCs w:val="24"/>
              </w:rPr>
              <w:t>Hours</w:t>
            </w:r>
          </w:p>
        </w:tc>
        <w:tc>
          <w:tcPr>
            <w:tcW w:w="0" w:type="auto"/>
            <w:vAlign w:val="center"/>
          </w:tcPr>
          <w:p w14:paraId="535BDE75" w14:textId="77777777" w:rsidR="004001A4" w:rsidRPr="004001A4" w:rsidRDefault="004001A4" w:rsidP="00537F9B">
            <w:pPr>
              <w:spacing w:after="0"/>
              <w:jc w:val="center"/>
              <w:rPr>
                <w:rFonts w:ascii="Times New Roman" w:hAnsi="Times New Roman" w:cs="Times New Roman"/>
                <w:b/>
                <w:sz w:val="24"/>
                <w:szCs w:val="24"/>
              </w:rPr>
            </w:pPr>
            <w:r w:rsidRPr="004001A4">
              <w:rPr>
                <w:rFonts w:ascii="Times New Roman" w:hAnsi="Times New Roman" w:cs="Times New Roman"/>
                <w:b/>
                <w:sz w:val="24"/>
                <w:szCs w:val="24"/>
              </w:rPr>
              <w:t>Hourly Rate</w:t>
            </w:r>
          </w:p>
        </w:tc>
        <w:tc>
          <w:tcPr>
            <w:tcW w:w="0" w:type="auto"/>
            <w:vAlign w:val="center"/>
          </w:tcPr>
          <w:p w14:paraId="06720BA5" w14:textId="77777777" w:rsidR="004001A4" w:rsidRPr="004001A4" w:rsidRDefault="004001A4" w:rsidP="00537F9B">
            <w:pPr>
              <w:spacing w:after="0"/>
              <w:jc w:val="center"/>
              <w:rPr>
                <w:rFonts w:ascii="Times New Roman" w:hAnsi="Times New Roman" w:cs="Times New Roman"/>
                <w:b/>
                <w:sz w:val="24"/>
                <w:szCs w:val="24"/>
              </w:rPr>
            </w:pPr>
            <w:r w:rsidRPr="004001A4">
              <w:rPr>
                <w:rFonts w:ascii="Times New Roman" w:hAnsi="Times New Roman" w:cs="Times New Roman"/>
                <w:b/>
                <w:sz w:val="24"/>
                <w:szCs w:val="24"/>
              </w:rPr>
              <w:t>Cost at Hourly Rate</w:t>
            </w:r>
          </w:p>
        </w:tc>
        <w:tc>
          <w:tcPr>
            <w:tcW w:w="0" w:type="auto"/>
            <w:vAlign w:val="center"/>
          </w:tcPr>
          <w:p w14:paraId="603563F3" w14:textId="77777777" w:rsidR="004001A4" w:rsidRPr="004001A4" w:rsidRDefault="004001A4" w:rsidP="00537F9B">
            <w:pPr>
              <w:spacing w:after="0"/>
              <w:jc w:val="center"/>
              <w:rPr>
                <w:rFonts w:ascii="Times New Roman" w:hAnsi="Times New Roman" w:cs="Times New Roman"/>
                <w:b/>
                <w:sz w:val="24"/>
                <w:szCs w:val="24"/>
              </w:rPr>
            </w:pPr>
            <w:r w:rsidRPr="004001A4">
              <w:rPr>
                <w:rFonts w:ascii="Times New Roman" w:hAnsi="Times New Roman" w:cs="Times New Roman"/>
                <w:b/>
                <w:sz w:val="24"/>
                <w:szCs w:val="24"/>
              </w:rPr>
              <w:t>Other Costs (data collection, etc.)</w:t>
            </w:r>
          </w:p>
        </w:tc>
        <w:tc>
          <w:tcPr>
            <w:tcW w:w="0" w:type="auto"/>
            <w:vAlign w:val="center"/>
          </w:tcPr>
          <w:p w14:paraId="7B484527" w14:textId="77777777" w:rsidR="004001A4" w:rsidRPr="004001A4" w:rsidRDefault="004001A4" w:rsidP="00537F9B">
            <w:pPr>
              <w:spacing w:after="0"/>
              <w:jc w:val="center"/>
              <w:rPr>
                <w:rFonts w:ascii="Times New Roman" w:hAnsi="Times New Roman" w:cs="Times New Roman"/>
                <w:b/>
                <w:sz w:val="24"/>
                <w:szCs w:val="24"/>
              </w:rPr>
            </w:pPr>
            <w:r w:rsidRPr="004001A4">
              <w:rPr>
                <w:rFonts w:ascii="Times New Roman" w:hAnsi="Times New Roman" w:cs="Times New Roman"/>
                <w:b/>
                <w:sz w:val="24"/>
                <w:szCs w:val="24"/>
              </w:rPr>
              <w:t>Total</w:t>
            </w:r>
          </w:p>
        </w:tc>
      </w:tr>
      <w:tr w:rsidR="004001A4" w:rsidRPr="004001A4" w14:paraId="58678B59" w14:textId="77777777" w:rsidTr="00537F9B">
        <w:trPr>
          <w:trHeight w:val="804"/>
        </w:trPr>
        <w:tc>
          <w:tcPr>
            <w:tcW w:w="0" w:type="auto"/>
            <w:vAlign w:val="center"/>
          </w:tcPr>
          <w:p w14:paraId="5F6D8AC7" w14:textId="77777777" w:rsidR="004001A4" w:rsidRPr="004001A4" w:rsidRDefault="004001A4" w:rsidP="00537F9B">
            <w:pPr>
              <w:spacing w:after="0"/>
              <w:jc w:val="center"/>
              <w:rPr>
                <w:rFonts w:ascii="Times New Roman" w:hAnsi="Times New Roman" w:cs="Times New Roman"/>
                <w:b/>
                <w:sz w:val="24"/>
                <w:szCs w:val="24"/>
              </w:rPr>
            </w:pPr>
            <w:r w:rsidRPr="004001A4">
              <w:rPr>
                <w:rFonts w:ascii="Times New Roman" w:hAnsi="Times New Roman" w:cs="Times New Roman"/>
                <w:b/>
                <w:sz w:val="24"/>
                <w:szCs w:val="24"/>
              </w:rPr>
              <w:t>Federal Government Employee</w:t>
            </w:r>
          </w:p>
        </w:tc>
        <w:tc>
          <w:tcPr>
            <w:tcW w:w="0" w:type="auto"/>
            <w:vAlign w:val="center"/>
          </w:tcPr>
          <w:p w14:paraId="0871CE5C" w14:textId="77777777" w:rsidR="004001A4" w:rsidRPr="004001A4" w:rsidRDefault="008148CC" w:rsidP="00537F9B">
            <w:pPr>
              <w:spacing w:after="0"/>
              <w:jc w:val="center"/>
              <w:rPr>
                <w:rFonts w:ascii="Times New Roman" w:hAnsi="Times New Roman" w:cs="Times New Roman"/>
                <w:sz w:val="24"/>
                <w:szCs w:val="24"/>
              </w:rPr>
            </w:pPr>
            <w:r>
              <w:rPr>
                <w:rFonts w:ascii="Times New Roman" w:hAnsi="Times New Roman" w:cs="Times New Roman"/>
                <w:sz w:val="24"/>
                <w:szCs w:val="24"/>
              </w:rPr>
              <w:t>6,500</w:t>
            </w:r>
          </w:p>
        </w:tc>
        <w:tc>
          <w:tcPr>
            <w:tcW w:w="0" w:type="auto"/>
            <w:vAlign w:val="center"/>
          </w:tcPr>
          <w:p w14:paraId="11065FA3" w14:textId="77777777" w:rsidR="004001A4" w:rsidRPr="004001A4" w:rsidRDefault="004001A4" w:rsidP="00537F9B">
            <w:pPr>
              <w:spacing w:after="0"/>
              <w:jc w:val="center"/>
              <w:rPr>
                <w:rFonts w:ascii="Times New Roman" w:hAnsi="Times New Roman" w:cs="Times New Roman"/>
                <w:sz w:val="24"/>
                <w:szCs w:val="24"/>
              </w:rPr>
            </w:pPr>
            <w:r w:rsidRPr="004001A4">
              <w:rPr>
                <w:rFonts w:ascii="Times New Roman" w:hAnsi="Times New Roman" w:cs="Times New Roman"/>
                <w:sz w:val="24"/>
                <w:szCs w:val="24"/>
              </w:rPr>
              <w:t>$33.72</w:t>
            </w:r>
          </w:p>
        </w:tc>
        <w:tc>
          <w:tcPr>
            <w:tcW w:w="0" w:type="auto"/>
            <w:vAlign w:val="center"/>
          </w:tcPr>
          <w:p w14:paraId="3C8FBD3E" w14:textId="77777777" w:rsidR="004001A4" w:rsidRPr="004001A4" w:rsidRDefault="004001A4" w:rsidP="008148CC">
            <w:pPr>
              <w:spacing w:after="0"/>
              <w:jc w:val="center"/>
              <w:rPr>
                <w:rFonts w:ascii="Times New Roman" w:hAnsi="Times New Roman" w:cs="Times New Roman"/>
                <w:sz w:val="24"/>
                <w:szCs w:val="24"/>
              </w:rPr>
            </w:pPr>
            <w:r w:rsidRPr="004001A4">
              <w:rPr>
                <w:rFonts w:ascii="Times New Roman" w:hAnsi="Times New Roman" w:cs="Times New Roman"/>
                <w:sz w:val="24"/>
                <w:szCs w:val="24"/>
              </w:rPr>
              <w:t>$</w:t>
            </w:r>
            <w:r w:rsidR="008148CC">
              <w:rPr>
                <w:rFonts w:ascii="Times New Roman" w:hAnsi="Times New Roman" w:cs="Times New Roman"/>
                <w:sz w:val="24"/>
                <w:szCs w:val="24"/>
              </w:rPr>
              <w:t>219,375</w:t>
            </w:r>
          </w:p>
        </w:tc>
        <w:tc>
          <w:tcPr>
            <w:tcW w:w="0" w:type="auto"/>
            <w:vAlign w:val="center"/>
          </w:tcPr>
          <w:p w14:paraId="715BC2DF" w14:textId="77777777" w:rsidR="004001A4" w:rsidRPr="004001A4" w:rsidRDefault="004001A4" w:rsidP="008621E5">
            <w:pPr>
              <w:spacing w:after="0"/>
              <w:jc w:val="center"/>
              <w:rPr>
                <w:rFonts w:ascii="Times New Roman" w:hAnsi="Times New Roman" w:cs="Times New Roman"/>
                <w:sz w:val="24"/>
                <w:szCs w:val="24"/>
              </w:rPr>
            </w:pPr>
            <w:r w:rsidRPr="004001A4">
              <w:rPr>
                <w:rFonts w:ascii="Times New Roman" w:hAnsi="Times New Roman" w:cs="Times New Roman"/>
                <w:sz w:val="24"/>
                <w:szCs w:val="24"/>
              </w:rPr>
              <w:t>$</w:t>
            </w:r>
            <w:r w:rsidR="008621E5">
              <w:rPr>
                <w:rFonts w:ascii="Times New Roman" w:hAnsi="Times New Roman" w:cs="Times New Roman"/>
                <w:sz w:val="24"/>
                <w:szCs w:val="24"/>
              </w:rPr>
              <w:t>38,400</w:t>
            </w:r>
          </w:p>
        </w:tc>
        <w:tc>
          <w:tcPr>
            <w:tcW w:w="0" w:type="auto"/>
            <w:vAlign w:val="center"/>
          </w:tcPr>
          <w:p w14:paraId="684FCC8F" w14:textId="77777777" w:rsidR="004001A4" w:rsidRPr="004001A4" w:rsidRDefault="004001A4" w:rsidP="008148CC">
            <w:pPr>
              <w:spacing w:after="0"/>
              <w:jc w:val="center"/>
              <w:rPr>
                <w:rFonts w:ascii="Times New Roman" w:hAnsi="Times New Roman" w:cs="Times New Roman"/>
                <w:sz w:val="24"/>
                <w:szCs w:val="24"/>
              </w:rPr>
            </w:pPr>
            <w:r w:rsidRPr="004001A4">
              <w:rPr>
                <w:rFonts w:ascii="Times New Roman" w:hAnsi="Times New Roman" w:cs="Times New Roman"/>
                <w:sz w:val="24"/>
                <w:szCs w:val="24"/>
              </w:rPr>
              <w:t>$</w:t>
            </w:r>
            <w:r w:rsidR="008148CC">
              <w:rPr>
                <w:rFonts w:ascii="Times New Roman" w:hAnsi="Times New Roman" w:cs="Times New Roman"/>
                <w:sz w:val="24"/>
                <w:szCs w:val="24"/>
              </w:rPr>
              <w:t>257,775</w:t>
            </w:r>
          </w:p>
        </w:tc>
      </w:tr>
      <w:tr w:rsidR="008621E5" w:rsidRPr="004001A4" w14:paraId="118B5A61" w14:textId="77777777" w:rsidTr="00537F9B">
        <w:trPr>
          <w:trHeight w:val="804"/>
        </w:trPr>
        <w:tc>
          <w:tcPr>
            <w:tcW w:w="0" w:type="auto"/>
            <w:vAlign w:val="center"/>
          </w:tcPr>
          <w:p w14:paraId="1759C9C6" w14:textId="77777777" w:rsidR="008621E5" w:rsidRPr="004001A4" w:rsidRDefault="008621E5" w:rsidP="00537F9B">
            <w:pPr>
              <w:spacing w:after="0"/>
              <w:jc w:val="center"/>
              <w:rPr>
                <w:rFonts w:ascii="Times New Roman" w:hAnsi="Times New Roman" w:cs="Times New Roman"/>
                <w:b/>
                <w:sz w:val="24"/>
                <w:szCs w:val="24"/>
              </w:rPr>
            </w:pPr>
            <w:r>
              <w:rPr>
                <w:rFonts w:ascii="Times New Roman" w:hAnsi="Times New Roman" w:cs="Times New Roman"/>
                <w:b/>
                <w:sz w:val="24"/>
                <w:szCs w:val="24"/>
              </w:rPr>
              <w:t>Contractor Cost</w:t>
            </w:r>
          </w:p>
        </w:tc>
        <w:tc>
          <w:tcPr>
            <w:tcW w:w="0" w:type="auto"/>
            <w:vAlign w:val="center"/>
          </w:tcPr>
          <w:p w14:paraId="6A9E6EBE" w14:textId="77777777" w:rsidR="008621E5" w:rsidRDefault="008621E5" w:rsidP="00537F9B">
            <w:pPr>
              <w:spacing w:after="0"/>
              <w:jc w:val="center"/>
              <w:rPr>
                <w:rFonts w:ascii="Times New Roman" w:hAnsi="Times New Roman" w:cs="Times New Roman"/>
                <w:sz w:val="24"/>
                <w:szCs w:val="24"/>
              </w:rPr>
            </w:pPr>
          </w:p>
        </w:tc>
        <w:tc>
          <w:tcPr>
            <w:tcW w:w="0" w:type="auto"/>
            <w:vAlign w:val="center"/>
          </w:tcPr>
          <w:p w14:paraId="5B0B699B" w14:textId="77777777" w:rsidR="008621E5" w:rsidRPr="004001A4" w:rsidRDefault="008621E5" w:rsidP="00537F9B">
            <w:pPr>
              <w:spacing w:after="0"/>
              <w:jc w:val="center"/>
              <w:rPr>
                <w:rFonts w:ascii="Times New Roman" w:hAnsi="Times New Roman" w:cs="Times New Roman"/>
                <w:sz w:val="24"/>
                <w:szCs w:val="24"/>
              </w:rPr>
            </w:pPr>
          </w:p>
        </w:tc>
        <w:tc>
          <w:tcPr>
            <w:tcW w:w="0" w:type="auto"/>
            <w:vAlign w:val="center"/>
          </w:tcPr>
          <w:p w14:paraId="5FDF3F71" w14:textId="77777777" w:rsidR="008621E5" w:rsidRPr="004001A4" w:rsidRDefault="008621E5" w:rsidP="00C7153D">
            <w:pPr>
              <w:spacing w:after="0"/>
              <w:jc w:val="center"/>
              <w:rPr>
                <w:rFonts w:ascii="Times New Roman" w:hAnsi="Times New Roman" w:cs="Times New Roman"/>
                <w:sz w:val="24"/>
                <w:szCs w:val="24"/>
              </w:rPr>
            </w:pPr>
          </w:p>
        </w:tc>
        <w:tc>
          <w:tcPr>
            <w:tcW w:w="0" w:type="auto"/>
            <w:vAlign w:val="center"/>
          </w:tcPr>
          <w:p w14:paraId="1291AD9E" w14:textId="77777777" w:rsidR="008621E5" w:rsidRPr="004001A4" w:rsidRDefault="008621E5" w:rsidP="00537F9B">
            <w:pPr>
              <w:spacing w:after="0"/>
              <w:jc w:val="center"/>
              <w:rPr>
                <w:rFonts w:ascii="Times New Roman" w:hAnsi="Times New Roman" w:cs="Times New Roman"/>
                <w:sz w:val="24"/>
                <w:szCs w:val="24"/>
              </w:rPr>
            </w:pPr>
          </w:p>
        </w:tc>
        <w:tc>
          <w:tcPr>
            <w:tcW w:w="0" w:type="auto"/>
            <w:vAlign w:val="center"/>
          </w:tcPr>
          <w:p w14:paraId="79BE3886" w14:textId="77777777" w:rsidR="008621E5" w:rsidRPr="004001A4" w:rsidRDefault="008621E5" w:rsidP="008621E5">
            <w:pPr>
              <w:spacing w:after="0"/>
              <w:jc w:val="center"/>
              <w:rPr>
                <w:rFonts w:ascii="Times New Roman" w:hAnsi="Times New Roman" w:cs="Times New Roman"/>
                <w:sz w:val="24"/>
                <w:szCs w:val="24"/>
              </w:rPr>
            </w:pPr>
          </w:p>
        </w:tc>
      </w:tr>
    </w:tbl>
    <w:p w14:paraId="2A16EBB8" w14:textId="77777777" w:rsidR="00E75933" w:rsidRPr="00E75933" w:rsidRDefault="00E75933" w:rsidP="00E75933"/>
    <w:p w14:paraId="4C5DB953" w14:textId="77777777" w:rsidR="0042307D" w:rsidRPr="0042307D" w:rsidRDefault="0042307D" w:rsidP="0042307D">
      <w:pPr>
        <w:spacing w:after="120" w:line="240" w:lineRule="auto"/>
        <w:jc w:val="both"/>
        <w:rPr>
          <w:rFonts w:ascii="Times New Roman" w:hAnsi="Times New Roman"/>
          <w:sz w:val="24"/>
        </w:rPr>
      </w:pPr>
    </w:p>
    <w:p w14:paraId="429B89EE" w14:textId="77777777" w:rsidR="004001A4" w:rsidRPr="004001A4" w:rsidRDefault="004001A4" w:rsidP="004001A4">
      <w:pPr>
        <w:pStyle w:val="Heading1"/>
      </w:pPr>
      <w:bookmarkStart w:id="12" w:name="_Toc283114260"/>
      <w:bookmarkStart w:id="13" w:name="_Toc350432829"/>
      <w:r w:rsidRPr="004001A4">
        <w:t>Explanation for Program Changes or Adjustments</w:t>
      </w:r>
      <w:bookmarkEnd w:id="12"/>
      <w:bookmarkEnd w:id="13"/>
      <w:r w:rsidRPr="004001A4">
        <w:t xml:space="preserve"> </w:t>
      </w:r>
    </w:p>
    <w:p w14:paraId="64075510" w14:textId="77777777" w:rsidR="004001A4" w:rsidRDefault="004001A4" w:rsidP="004001A4">
      <w:pPr>
        <w:spacing w:after="120" w:line="240" w:lineRule="auto"/>
        <w:jc w:val="both"/>
        <w:rPr>
          <w:rFonts w:ascii="Times New Roman" w:hAnsi="Times New Roman"/>
          <w:sz w:val="24"/>
        </w:rPr>
      </w:pPr>
      <w:r w:rsidRPr="004001A4">
        <w:rPr>
          <w:rFonts w:ascii="Times New Roman" w:hAnsi="Times New Roman"/>
          <w:sz w:val="24"/>
        </w:rPr>
        <w:t>This is a new data collection.</w:t>
      </w:r>
    </w:p>
    <w:p w14:paraId="08572C58" w14:textId="77777777" w:rsidR="00223DF4" w:rsidRPr="004001A4" w:rsidRDefault="00223DF4" w:rsidP="004001A4">
      <w:pPr>
        <w:spacing w:after="120" w:line="240" w:lineRule="auto"/>
        <w:jc w:val="both"/>
        <w:rPr>
          <w:rFonts w:ascii="Times New Roman" w:hAnsi="Times New Roman"/>
          <w:sz w:val="24"/>
        </w:rPr>
      </w:pPr>
    </w:p>
    <w:p w14:paraId="134CE42B" w14:textId="77777777" w:rsidR="004001A4" w:rsidRPr="004001A4" w:rsidRDefault="004001A4" w:rsidP="004001A4">
      <w:pPr>
        <w:pStyle w:val="Heading1"/>
        <w:rPr>
          <w:szCs w:val="32"/>
        </w:rPr>
      </w:pPr>
      <w:bookmarkStart w:id="14" w:name="_Toc350432830"/>
      <w:r w:rsidRPr="004001A4">
        <w:rPr>
          <w:szCs w:val="32"/>
        </w:rPr>
        <w:t>Plans for Tabulation and Publication and Project Time Schedule</w:t>
      </w:r>
      <w:bookmarkEnd w:id="14"/>
    </w:p>
    <w:p w14:paraId="07DA01F1" w14:textId="77777777" w:rsidR="004001A4" w:rsidRDefault="004001A4" w:rsidP="004001A4">
      <w:pPr>
        <w:spacing w:after="120" w:line="240" w:lineRule="auto"/>
        <w:jc w:val="both"/>
        <w:rPr>
          <w:rFonts w:ascii="Times New Roman" w:hAnsi="Times New Roman"/>
          <w:sz w:val="24"/>
        </w:rPr>
      </w:pPr>
      <w:r w:rsidRPr="004001A4">
        <w:rPr>
          <w:rFonts w:ascii="Times New Roman" w:hAnsi="Times New Roman"/>
          <w:sz w:val="24"/>
        </w:rPr>
        <w:t xml:space="preserve">Data analyses will be conducted over the life of the project. The project schedules below provide an estimate of data collection activities, analysis, and dissemination. We are requesting OMB clearance for the maximum </w:t>
      </w:r>
      <w:r w:rsidR="008148CC">
        <w:rPr>
          <w:rFonts w:ascii="Times New Roman" w:hAnsi="Times New Roman"/>
          <w:sz w:val="24"/>
        </w:rPr>
        <w:t>2</w:t>
      </w:r>
      <w:r w:rsidR="008148CC" w:rsidRPr="004001A4">
        <w:rPr>
          <w:rFonts w:ascii="Times New Roman" w:hAnsi="Times New Roman"/>
          <w:sz w:val="24"/>
        </w:rPr>
        <w:t xml:space="preserve"> </w:t>
      </w:r>
      <w:r w:rsidRPr="004001A4">
        <w:rPr>
          <w:rFonts w:ascii="Times New Roman" w:hAnsi="Times New Roman"/>
          <w:sz w:val="24"/>
        </w:rPr>
        <w:t xml:space="preserve">years because data collection is likely to extend into the </w:t>
      </w:r>
      <w:r w:rsidR="008148CC">
        <w:rPr>
          <w:rFonts w:ascii="Times New Roman" w:hAnsi="Times New Roman"/>
          <w:sz w:val="24"/>
        </w:rPr>
        <w:t>second</w:t>
      </w:r>
      <w:r w:rsidR="008148CC" w:rsidRPr="004001A4">
        <w:rPr>
          <w:rFonts w:ascii="Times New Roman" w:hAnsi="Times New Roman"/>
          <w:sz w:val="24"/>
        </w:rPr>
        <w:t xml:space="preserve"> </w:t>
      </w:r>
      <w:r w:rsidRPr="004001A4">
        <w:rPr>
          <w:rFonts w:ascii="Times New Roman" w:hAnsi="Times New Roman"/>
          <w:sz w:val="24"/>
        </w:rPr>
        <w:t>year.</w:t>
      </w:r>
    </w:p>
    <w:p w14:paraId="5189367E" w14:textId="77777777" w:rsidR="00223DF4" w:rsidRDefault="00223DF4" w:rsidP="004001A4">
      <w:pPr>
        <w:spacing w:after="120" w:line="240" w:lineRule="auto"/>
        <w:jc w:val="both"/>
        <w:rPr>
          <w:rFonts w:ascii="Times New Roman" w:hAnsi="Times New Roman"/>
          <w:b/>
          <w:sz w:val="24"/>
          <w:u w:val="single"/>
        </w:rPr>
      </w:pPr>
    </w:p>
    <w:p w14:paraId="17FC659B" w14:textId="77777777" w:rsidR="004001A4" w:rsidRDefault="004001A4" w:rsidP="004001A4">
      <w:pPr>
        <w:spacing w:after="120" w:line="240" w:lineRule="auto"/>
        <w:jc w:val="both"/>
        <w:rPr>
          <w:rFonts w:ascii="Times New Roman" w:hAnsi="Times New Roman"/>
          <w:b/>
          <w:sz w:val="24"/>
          <w:u w:val="single"/>
        </w:rPr>
      </w:pPr>
      <w:r w:rsidRPr="004001A4">
        <w:rPr>
          <w:rFonts w:ascii="Times New Roman" w:hAnsi="Times New Roman"/>
          <w:b/>
          <w:sz w:val="24"/>
          <w:u w:val="single"/>
        </w:rPr>
        <w:t xml:space="preserve">Project Schedule: </w:t>
      </w:r>
    </w:p>
    <w:tbl>
      <w:tblPr>
        <w:tblStyle w:val="TableGrid"/>
        <w:tblW w:w="0" w:type="auto"/>
        <w:tblLook w:val="04A0" w:firstRow="1" w:lastRow="0" w:firstColumn="1" w:lastColumn="0" w:noHBand="0" w:noVBand="1"/>
      </w:tblPr>
      <w:tblGrid>
        <w:gridCol w:w="5035"/>
        <w:gridCol w:w="5035"/>
      </w:tblGrid>
      <w:tr w:rsidR="004001A4" w14:paraId="3C36C41C" w14:textId="77777777" w:rsidTr="004001A4">
        <w:tc>
          <w:tcPr>
            <w:tcW w:w="5035" w:type="dxa"/>
          </w:tcPr>
          <w:p w14:paraId="48D29904" w14:textId="77777777" w:rsidR="004001A4" w:rsidRPr="004001A4" w:rsidRDefault="004001A4" w:rsidP="004001A4">
            <w:pPr>
              <w:spacing w:after="120"/>
              <w:jc w:val="both"/>
              <w:rPr>
                <w:rFonts w:ascii="Times New Roman" w:hAnsi="Times New Roman"/>
                <w:b/>
                <w:sz w:val="24"/>
              </w:rPr>
            </w:pPr>
            <w:r w:rsidRPr="004001A4">
              <w:rPr>
                <w:rFonts w:ascii="Times New Roman" w:hAnsi="Times New Roman"/>
                <w:b/>
                <w:sz w:val="24"/>
              </w:rPr>
              <w:t>Activity</w:t>
            </w:r>
          </w:p>
        </w:tc>
        <w:tc>
          <w:tcPr>
            <w:tcW w:w="5035" w:type="dxa"/>
          </w:tcPr>
          <w:p w14:paraId="524500A6" w14:textId="77777777" w:rsidR="004001A4" w:rsidRPr="004001A4" w:rsidRDefault="004001A4" w:rsidP="004001A4">
            <w:pPr>
              <w:spacing w:after="120"/>
              <w:jc w:val="both"/>
              <w:rPr>
                <w:rFonts w:ascii="Times New Roman" w:hAnsi="Times New Roman"/>
                <w:b/>
                <w:sz w:val="24"/>
              </w:rPr>
            </w:pPr>
            <w:r w:rsidRPr="004001A4">
              <w:rPr>
                <w:rFonts w:ascii="Times New Roman" w:hAnsi="Times New Roman"/>
                <w:b/>
                <w:sz w:val="24"/>
              </w:rPr>
              <w:t>Time Schedule</w:t>
            </w:r>
          </w:p>
        </w:tc>
      </w:tr>
      <w:tr w:rsidR="004001A4" w14:paraId="23D0714B" w14:textId="77777777" w:rsidTr="004001A4">
        <w:tc>
          <w:tcPr>
            <w:tcW w:w="5035" w:type="dxa"/>
          </w:tcPr>
          <w:p w14:paraId="1C0E3DEA" w14:textId="77777777" w:rsidR="004001A4" w:rsidRPr="00EC6B21" w:rsidRDefault="00EC6B21" w:rsidP="008148CC">
            <w:pPr>
              <w:spacing w:after="120"/>
              <w:jc w:val="both"/>
              <w:rPr>
                <w:rFonts w:ascii="Times New Roman" w:hAnsi="Times New Roman"/>
                <w:sz w:val="24"/>
              </w:rPr>
            </w:pPr>
            <w:r w:rsidRPr="00EC6B21">
              <w:rPr>
                <w:rFonts w:ascii="Times New Roman" w:hAnsi="Times New Roman"/>
                <w:sz w:val="24"/>
              </w:rPr>
              <w:t>Contact Mines for Data Collection</w:t>
            </w:r>
          </w:p>
        </w:tc>
        <w:tc>
          <w:tcPr>
            <w:tcW w:w="5035" w:type="dxa"/>
          </w:tcPr>
          <w:p w14:paraId="696A0861" w14:textId="77777777" w:rsidR="004001A4" w:rsidRPr="00EC6B21" w:rsidRDefault="00E32FCB" w:rsidP="001302A0">
            <w:pPr>
              <w:spacing w:after="120"/>
              <w:jc w:val="both"/>
              <w:rPr>
                <w:rFonts w:ascii="Times New Roman" w:hAnsi="Times New Roman"/>
                <w:sz w:val="24"/>
              </w:rPr>
            </w:pPr>
            <w:r>
              <w:rPr>
                <w:rFonts w:ascii="Times New Roman" w:hAnsi="Times New Roman"/>
                <w:sz w:val="24"/>
              </w:rPr>
              <w:t>1-</w:t>
            </w:r>
            <w:r w:rsidR="001302A0">
              <w:rPr>
                <w:rFonts w:ascii="Times New Roman" w:hAnsi="Times New Roman"/>
                <w:sz w:val="24"/>
              </w:rPr>
              <w:t xml:space="preserve">6 </w:t>
            </w:r>
            <w:r>
              <w:rPr>
                <w:rFonts w:ascii="Times New Roman" w:hAnsi="Times New Roman"/>
                <w:sz w:val="24"/>
              </w:rPr>
              <w:t>months after OMB approval</w:t>
            </w:r>
          </w:p>
        </w:tc>
      </w:tr>
      <w:tr w:rsidR="008148CC" w14:paraId="276A1A67" w14:textId="77777777" w:rsidTr="004001A4">
        <w:tc>
          <w:tcPr>
            <w:tcW w:w="5035" w:type="dxa"/>
          </w:tcPr>
          <w:p w14:paraId="0E970DFC" w14:textId="77777777" w:rsidR="008148CC" w:rsidRPr="00EC6B21" w:rsidRDefault="008148CC" w:rsidP="004001A4">
            <w:pPr>
              <w:spacing w:after="120"/>
              <w:jc w:val="both"/>
              <w:rPr>
                <w:rFonts w:ascii="Times New Roman" w:hAnsi="Times New Roman"/>
                <w:sz w:val="24"/>
              </w:rPr>
            </w:pPr>
            <w:r>
              <w:rPr>
                <w:rFonts w:ascii="Times New Roman" w:hAnsi="Times New Roman"/>
                <w:sz w:val="24"/>
              </w:rPr>
              <w:t>Contact Colleges and Universities for Data Collection</w:t>
            </w:r>
          </w:p>
        </w:tc>
        <w:tc>
          <w:tcPr>
            <w:tcW w:w="5035" w:type="dxa"/>
          </w:tcPr>
          <w:p w14:paraId="540037D0" w14:textId="77777777" w:rsidR="008148CC" w:rsidRDefault="008148CC" w:rsidP="001302A0">
            <w:pPr>
              <w:spacing w:after="120"/>
              <w:jc w:val="both"/>
              <w:rPr>
                <w:rFonts w:ascii="Times New Roman" w:hAnsi="Times New Roman"/>
                <w:sz w:val="24"/>
              </w:rPr>
            </w:pPr>
            <w:r>
              <w:rPr>
                <w:rFonts w:ascii="Times New Roman" w:hAnsi="Times New Roman"/>
                <w:sz w:val="24"/>
              </w:rPr>
              <w:t>2-12 months after OMB approval</w:t>
            </w:r>
          </w:p>
        </w:tc>
      </w:tr>
      <w:tr w:rsidR="004001A4" w14:paraId="0CE56BFA" w14:textId="77777777" w:rsidTr="004001A4">
        <w:tc>
          <w:tcPr>
            <w:tcW w:w="5035" w:type="dxa"/>
          </w:tcPr>
          <w:p w14:paraId="2C83B437" w14:textId="77777777" w:rsidR="004001A4" w:rsidRPr="00EC6B21" w:rsidRDefault="00EC6B21" w:rsidP="004001A4">
            <w:pPr>
              <w:spacing w:after="120"/>
              <w:jc w:val="both"/>
              <w:rPr>
                <w:rFonts w:ascii="Times New Roman" w:hAnsi="Times New Roman"/>
                <w:sz w:val="24"/>
              </w:rPr>
            </w:pPr>
            <w:r>
              <w:rPr>
                <w:rFonts w:ascii="Times New Roman" w:hAnsi="Times New Roman"/>
                <w:sz w:val="24"/>
              </w:rPr>
              <w:t>Conduct Research Study</w:t>
            </w:r>
          </w:p>
        </w:tc>
        <w:tc>
          <w:tcPr>
            <w:tcW w:w="5035" w:type="dxa"/>
          </w:tcPr>
          <w:p w14:paraId="53A570CE" w14:textId="77777777" w:rsidR="004001A4" w:rsidRPr="00EC6B21" w:rsidRDefault="00E32FCB" w:rsidP="008148CC">
            <w:pPr>
              <w:spacing w:after="120"/>
              <w:jc w:val="both"/>
              <w:rPr>
                <w:rFonts w:ascii="Times New Roman" w:hAnsi="Times New Roman"/>
                <w:sz w:val="24"/>
              </w:rPr>
            </w:pPr>
            <w:r>
              <w:rPr>
                <w:rFonts w:ascii="Times New Roman" w:hAnsi="Times New Roman"/>
                <w:sz w:val="24"/>
              </w:rPr>
              <w:t>2-</w:t>
            </w:r>
            <w:r w:rsidR="001302A0">
              <w:rPr>
                <w:rFonts w:ascii="Times New Roman" w:hAnsi="Times New Roman"/>
                <w:sz w:val="24"/>
              </w:rPr>
              <w:t>1</w:t>
            </w:r>
            <w:r w:rsidR="008148CC">
              <w:rPr>
                <w:rFonts w:ascii="Times New Roman" w:hAnsi="Times New Roman"/>
                <w:sz w:val="24"/>
              </w:rPr>
              <w:t>8</w:t>
            </w:r>
            <w:r w:rsidR="001302A0">
              <w:rPr>
                <w:rFonts w:ascii="Times New Roman" w:hAnsi="Times New Roman"/>
                <w:sz w:val="24"/>
              </w:rPr>
              <w:t xml:space="preserve"> </w:t>
            </w:r>
            <w:r>
              <w:rPr>
                <w:rFonts w:ascii="Times New Roman" w:hAnsi="Times New Roman"/>
                <w:sz w:val="24"/>
              </w:rPr>
              <w:t>months after OMB approval</w:t>
            </w:r>
          </w:p>
        </w:tc>
      </w:tr>
      <w:tr w:rsidR="004001A4" w14:paraId="442437E7" w14:textId="77777777" w:rsidTr="004001A4">
        <w:tc>
          <w:tcPr>
            <w:tcW w:w="5035" w:type="dxa"/>
          </w:tcPr>
          <w:p w14:paraId="586C00D4" w14:textId="77777777" w:rsidR="004001A4" w:rsidRPr="00EC6B21" w:rsidRDefault="00EC6B21" w:rsidP="00EC6B21">
            <w:pPr>
              <w:spacing w:after="120"/>
              <w:jc w:val="both"/>
              <w:rPr>
                <w:rFonts w:ascii="Times New Roman" w:hAnsi="Times New Roman"/>
                <w:sz w:val="24"/>
              </w:rPr>
            </w:pPr>
            <w:r>
              <w:rPr>
                <w:rFonts w:ascii="Times New Roman" w:hAnsi="Times New Roman"/>
                <w:sz w:val="24"/>
              </w:rPr>
              <w:t>Analyze Research Study data</w:t>
            </w:r>
          </w:p>
        </w:tc>
        <w:tc>
          <w:tcPr>
            <w:tcW w:w="5035" w:type="dxa"/>
          </w:tcPr>
          <w:p w14:paraId="4268A8E5" w14:textId="77777777" w:rsidR="004001A4" w:rsidRPr="00EC6B21" w:rsidRDefault="00E32FCB" w:rsidP="004001A4">
            <w:pPr>
              <w:spacing w:after="120"/>
              <w:jc w:val="both"/>
              <w:rPr>
                <w:rFonts w:ascii="Times New Roman" w:hAnsi="Times New Roman"/>
                <w:sz w:val="24"/>
              </w:rPr>
            </w:pPr>
            <w:r>
              <w:rPr>
                <w:rFonts w:ascii="Times New Roman" w:hAnsi="Times New Roman"/>
                <w:sz w:val="24"/>
              </w:rPr>
              <w:t>6-9 months after OMB approval</w:t>
            </w:r>
          </w:p>
        </w:tc>
      </w:tr>
      <w:tr w:rsidR="004001A4" w14:paraId="38B8D7F0" w14:textId="77777777" w:rsidTr="004001A4">
        <w:tc>
          <w:tcPr>
            <w:tcW w:w="5035" w:type="dxa"/>
          </w:tcPr>
          <w:p w14:paraId="3C81632C" w14:textId="77777777" w:rsidR="004001A4" w:rsidRPr="00EC6B21" w:rsidRDefault="00EC6B21" w:rsidP="004001A4">
            <w:pPr>
              <w:spacing w:after="120"/>
              <w:jc w:val="both"/>
              <w:rPr>
                <w:rFonts w:ascii="Times New Roman" w:hAnsi="Times New Roman"/>
                <w:sz w:val="24"/>
              </w:rPr>
            </w:pPr>
            <w:r>
              <w:rPr>
                <w:rFonts w:ascii="Times New Roman" w:hAnsi="Times New Roman"/>
                <w:sz w:val="24"/>
              </w:rPr>
              <w:t>Publish findings from studies</w:t>
            </w:r>
          </w:p>
        </w:tc>
        <w:tc>
          <w:tcPr>
            <w:tcW w:w="5035" w:type="dxa"/>
          </w:tcPr>
          <w:p w14:paraId="4AC6690C" w14:textId="77777777" w:rsidR="004001A4" w:rsidRPr="00EC6B21" w:rsidRDefault="00E32FCB" w:rsidP="004001A4">
            <w:pPr>
              <w:spacing w:after="120"/>
              <w:jc w:val="both"/>
              <w:rPr>
                <w:rFonts w:ascii="Times New Roman" w:hAnsi="Times New Roman"/>
                <w:sz w:val="24"/>
              </w:rPr>
            </w:pPr>
            <w:r>
              <w:rPr>
                <w:rFonts w:ascii="Times New Roman" w:hAnsi="Times New Roman"/>
                <w:sz w:val="24"/>
              </w:rPr>
              <w:t>9-18 months after OMB approval</w:t>
            </w:r>
          </w:p>
        </w:tc>
      </w:tr>
      <w:tr w:rsidR="004001A4" w14:paraId="603F4E11" w14:textId="77777777" w:rsidTr="004001A4">
        <w:tc>
          <w:tcPr>
            <w:tcW w:w="5035" w:type="dxa"/>
          </w:tcPr>
          <w:p w14:paraId="2640DF37" w14:textId="77777777" w:rsidR="004001A4" w:rsidRPr="00EC6B21" w:rsidRDefault="00EC6B21" w:rsidP="004001A4">
            <w:pPr>
              <w:spacing w:after="120"/>
              <w:jc w:val="both"/>
              <w:rPr>
                <w:rFonts w:ascii="Times New Roman" w:hAnsi="Times New Roman"/>
                <w:sz w:val="24"/>
              </w:rPr>
            </w:pPr>
            <w:r>
              <w:rPr>
                <w:rFonts w:ascii="Times New Roman" w:hAnsi="Times New Roman"/>
                <w:sz w:val="24"/>
              </w:rPr>
              <w:t>Create Training Materials</w:t>
            </w:r>
          </w:p>
        </w:tc>
        <w:tc>
          <w:tcPr>
            <w:tcW w:w="5035" w:type="dxa"/>
          </w:tcPr>
          <w:p w14:paraId="21C01055" w14:textId="77777777" w:rsidR="004001A4" w:rsidRPr="00EC6B21" w:rsidRDefault="00E32FCB" w:rsidP="004001A4">
            <w:pPr>
              <w:spacing w:after="120"/>
              <w:jc w:val="both"/>
              <w:rPr>
                <w:rFonts w:ascii="Times New Roman" w:hAnsi="Times New Roman"/>
                <w:sz w:val="24"/>
              </w:rPr>
            </w:pPr>
            <w:r>
              <w:rPr>
                <w:rFonts w:ascii="Times New Roman" w:hAnsi="Times New Roman"/>
                <w:sz w:val="24"/>
              </w:rPr>
              <w:t>9-18 months after OMB approval</w:t>
            </w:r>
          </w:p>
        </w:tc>
      </w:tr>
    </w:tbl>
    <w:p w14:paraId="77A2BD10" w14:textId="77777777" w:rsidR="004001A4" w:rsidRDefault="004001A4" w:rsidP="004001A4">
      <w:pPr>
        <w:spacing w:after="120" w:line="240" w:lineRule="auto"/>
        <w:jc w:val="both"/>
        <w:rPr>
          <w:rFonts w:ascii="Times New Roman" w:hAnsi="Times New Roman"/>
          <w:b/>
          <w:sz w:val="24"/>
          <w:u w:val="single"/>
        </w:rPr>
      </w:pPr>
    </w:p>
    <w:p w14:paraId="393BF551" w14:textId="77777777" w:rsidR="00982F12" w:rsidRPr="004B7C24" w:rsidRDefault="00982F12" w:rsidP="00982F12">
      <w:pPr>
        <w:rPr>
          <w:rFonts w:ascii="Times New Roman" w:hAnsi="Times New Roman" w:cs="Times New Roman"/>
          <w:sz w:val="24"/>
          <w:szCs w:val="24"/>
        </w:rPr>
      </w:pPr>
      <w:bookmarkStart w:id="15" w:name="_Toc350432831"/>
      <w:r>
        <w:rPr>
          <w:rFonts w:ascii="Times New Roman" w:hAnsi="Times New Roman" w:cs="Times New Roman"/>
          <w:sz w:val="24"/>
          <w:szCs w:val="24"/>
        </w:rPr>
        <w:t xml:space="preserve">This is primarily a laboratory based quasi-experimental research study which also uses a mixed methodological approach.  Objective data collection will occur during Phase 1 of the study when accuracy and eye movement data will be collected from participants.  This is considered a mixed methodological approach (see Johnson, Onwuegbuzie, &amp; Turner, 2007) because additional qualitative data will be collected during Phase 2 of the study.  This qualitative data will benefit the overall understanding of the objective data collected during Phase 1 because it will potentially provide a subjective explanation for any observed differences in the accuracy and eye movement data.  </w:t>
      </w:r>
    </w:p>
    <w:p w14:paraId="4C3EEA7C" w14:textId="77777777" w:rsidR="00585E01" w:rsidRDefault="00585E01" w:rsidP="00982F1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 Plan:</w:t>
      </w:r>
    </w:p>
    <w:p w14:paraId="24B66A85" w14:textId="77777777" w:rsidR="00982F12" w:rsidRDefault="00982F12" w:rsidP="00982F12">
      <w:pPr>
        <w:rPr>
          <w:rFonts w:ascii="Times New Roman" w:eastAsia="Times New Roman" w:hAnsi="Times New Roman" w:cs="Times New Roman"/>
          <w:sz w:val="24"/>
          <w:szCs w:val="24"/>
        </w:rPr>
      </w:pPr>
    </w:p>
    <w:p w14:paraId="05213122" w14:textId="77777777" w:rsidR="00D7768F" w:rsidRDefault="00D7768F" w:rsidP="00D7768F">
      <w:pPr>
        <w:rPr>
          <w:rFonts w:ascii="Times New Roman" w:hAnsi="Times New Roman" w:cs="Times New Roman"/>
          <w:sz w:val="24"/>
          <w:szCs w:val="24"/>
        </w:rPr>
      </w:pPr>
      <w:r w:rsidRPr="00223DF4">
        <w:rPr>
          <w:rFonts w:ascii="Times New Roman" w:eastAsia="Times New Roman" w:hAnsi="Times New Roman" w:cs="Times New Roman"/>
          <w:i/>
          <w:sz w:val="24"/>
          <w:szCs w:val="24"/>
        </w:rPr>
        <w:t>Primary Research Question:</w:t>
      </w:r>
      <w:r>
        <w:rPr>
          <w:rFonts w:ascii="Times New Roman" w:eastAsia="Times New Roman" w:hAnsi="Times New Roman" w:cs="Times New Roman"/>
          <w:sz w:val="24"/>
          <w:szCs w:val="24"/>
        </w:rPr>
        <w:t xml:space="preserve"> The overall goal of this research study is to answer the primary research question: </w:t>
      </w:r>
      <w:r w:rsidRPr="003A5DEB">
        <w:rPr>
          <w:rFonts w:ascii="Times New Roman" w:hAnsi="Times New Roman" w:cs="Times New Roman"/>
          <w:sz w:val="24"/>
          <w:szCs w:val="24"/>
        </w:rPr>
        <w:t>Do experienced SSG mine workers visually search static scenes for hazards differently than less experienced and novice mine workers?</w:t>
      </w:r>
      <w:r>
        <w:rPr>
          <w:rFonts w:ascii="Times New Roman" w:hAnsi="Times New Roman" w:cs="Times New Roman"/>
          <w:sz w:val="24"/>
          <w:szCs w:val="24"/>
        </w:rPr>
        <w:t xml:space="preserve">  To answer this question, we plan to collect data from experienced and less experienced/novice mine workers to understand how experience affect hazard recognition ability.  In order to fully understand how experience – not just work experience, but also hazard recognition and risk assessment training experience – affect ability, we are including safety professionals and students as participants.  Within a mining company, safety professionals are likely to people administering hazard recognition and risk assessment training.  They are also likely to be the people responsible for performing health and safety audits at mines.  Therefore, these people should have a great deal of knowledge about mine site hazards and the risk associated with them.  Students on the other hand are considered true novice mine workers because they likely have no work experience at a mine site.  However, students are likely to have recent hazard recognition and risk assessment training.    Prior to analyzing the data, regions of interest (ROIs) will be drawn around each of the hazards included within a panoramic scene.  The purpose of these ROIs is to establish a series of targets within a scene.  This will allow us to determine whether the participant accurately identifies the included hazards as hazards and it also a typical means of studying eye-movement behavior during scene viewing (Holmqvist et al., 2011).  </w:t>
      </w:r>
    </w:p>
    <w:p w14:paraId="65669D65" w14:textId="77777777" w:rsidR="00D7768F" w:rsidRDefault="00D7768F" w:rsidP="00D7768F">
      <w:pPr>
        <w:rPr>
          <w:rFonts w:ascii="Times New Roman" w:hAnsi="Times New Roman" w:cs="Times New Roman"/>
          <w:sz w:val="24"/>
          <w:szCs w:val="24"/>
        </w:rPr>
      </w:pPr>
      <w:r>
        <w:rPr>
          <w:rFonts w:ascii="Times New Roman" w:hAnsi="Times New Roman" w:cs="Times New Roman"/>
          <w:sz w:val="24"/>
          <w:szCs w:val="24"/>
        </w:rPr>
        <w:t xml:space="preserve">To address the question, data collected using the SMI Eye-tracking Glasses will be used.  Visual search is characterized by scanpaths which are comprised of a sequence of fixations and saccades – or eye-movements (Goldberg &amp;Kotval, 1999).  For the purposes of this study, we are interested in determining whether there are differences in the number of fixations and the duration of fixations on a hazard as well as the number of saccades, and the length of saccades to a hazard for experienced, less experienced, and novice mine workers.  These measures were chosen because Rayner (1998), in his seminal review of eye-movement research, points out that fixation durations decrease and saccade amplitude increase when visual search increases.  Thus, measures related to fixation duration and saccade size will likely show differences while mine workers are searching panoramic scenes for hazards.   </w:t>
      </w:r>
    </w:p>
    <w:p w14:paraId="2CB126CD" w14:textId="77777777" w:rsidR="00D7768F" w:rsidRDefault="00D7768F" w:rsidP="00D7768F">
      <w:pPr>
        <w:rPr>
          <w:rFonts w:ascii="Times New Roman" w:hAnsi="Times New Roman" w:cs="Times New Roman"/>
          <w:sz w:val="24"/>
          <w:szCs w:val="24"/>
        </w:rPr>
      </w:pPr>
      <w:r>
        <w:rPr>
          <w:rFonts w:ascii="Times New Roman" w:hAnsi="Times New Roman" w:cs="Times New Roman"/>
          <w:sz w:val="24"/>
          <w:szCs w:val="24"/>
        </w:rPr>
        <w:t xml:space="preserve">In addition, prior research indicates differences in eye-movement behavior between experts and non-experts (novices) in a number of areas, for instance driving a car (Chapman &amp; Underwood, 1998), operating a motorcycle (Hosking, Liu, &amp; Bayly, 2010), and playing chess (de Groot 1946, 1965).  Crundall and Underwood (1998) provide evidence supporting a difference in how experienced and inexperienced drivers scan roads.  Novice drivers have longer fixation durations than expert drivers when scanning a scene (Chapman &amp; Underwood, 1998), this is especially true in dangerous situations.      As this is the first study – to our knowledge – designed to identify whether experience level influences how mine workers search for and find mine site hazards, it is critical to determine whether there are differences in these eye-movement measures.  </w:t>
      </w:r>
    </w:p>
    <w:p w14:paraId="232A4AA9" w14:textId="77777777" w:rsidR="00D7768F" w:rsidRDefault="00D7768F" w:rsidP="00D7768F">
      <w:pPr>
        <w:rPr>
          <w:rFonts w:ascii="Times New Roman" w:hAnsi="Times New Roman" w:cs="Times New Roman"/>
          <w:sz w:val="24"/>
          <w:szCs w:val="24"/>
        </w:rPr>
      </w:pPr>
      <w:r>
        <w:rPr>
          <w:rFonts w:ascii="Times New Roman" w:hAnsi="Times New Roman" w:cs="Times New Roman"/>
          <w:sz w:val="24"/>
          <w:szCs w:val="24"/>
        </w:rPr>
        <w:t xml:space="preserve">Differences in these eye-movement measures will also be used to begin to define effective search patterns.  One way of determining whether search patterns are effective is combining eye-movement data with accuracy data.  Accuracy data will be measured through a button press while the mine worker is performing the hazard assessment task.  The button press will be linked with fixation location through timestamp within the SMI Eyelink software.  A response will be recorded as accurate when the button press/fixation location corresponds with a previously established ROI.  A response will be recorded as an error when the button press/fixation location corresponds with an object not previously established as a ROI or when a previously established ROI is not selected.  Experienced participants (both safety professionals and experienced mine workers) are expected to find a greater number of hazards than inexperienced and novice participants (both inexperienced mine workers and students).  Thus, differences between experts and novices should be evident in both accuracy scores as well as eye-movement measures.     </w:t>
      </w:r>
    </w:p>
    <w:p w14:paraId="287EF41C" w14:textId="77777777" w:rsidR="00D7768F" w:rsidRDefault="00D7768F" w:rsidP="00D7768F">
      <w:pPr>
        <w:rPr>
          <w:rFonts w:ascii="Times New Roman" w:hAnsi="Times New Roman" w:cs="Times New Roman"/>
          <w:sz w:val="24"/>
          <w:szCs w:val="24"/>
        </w:rPr>
      </w:pPr>
      <w:r>
        <w:rPr>
          <w:rFonts w:ascii="Times New Roman" w:hAnsi="Times New Roman" w:cs="Times New Roman"/>
          <w:sz w:val="24"/>
          <w:szCs w:val="24"/>
        </w:rPr>
        <w:t xml:space="preserve">In addition to eye-movements, qualitative data will be used to more fully understand (1) why participants do/do not identify certain hazards within the panoramic scenes and also to subjectively define (2) how participants search for work site hazards during the hazard assessment task.  Accuracy data collected during Phase 1 of the study provides general information about which hazards are and are not identified.  A limitation to this accuracy data is that it does not provide information as to why the participant did not identify the hazard as a hazard.  In order to more fully understand the hazard recognition process, we have to understand why participants do not recognize some hazards as hazards.  During Phase 2 of the study, a smaller subset of hazards will be probed.  This subset will include hazards that the participant accurately identified as well as hazards the mine worker did not accurately identify (this includes hazards that went unidentified as well as items that were inaccurately identified as hazards). Probes for accuracy and probes for errors (see Appendix H) will be used to gain additional information from participants.  </w:t>
      </w:r>
    </w:p>
    <w:p w14:paraId="2967B149" w14:textId="77777777" w:rsidR="00D7768F" w:rsidRDefault="00D7768F" w:rsidP="00D7768F">
      <w:pPr>
        <w:rPr>
          <w:rFonts w:ascii="Times New Roman" w:hAnsi="Times New Roman" w:cs="Times New Roman"/>
          <w:sz w:val="24"/>
          <w:szCs w:val="24"/>
        </w:rPr>
      </w:pPr>
      <w:r>
        <w:rPr>
          <w:rFonts w:ascii="Times New Roman" w:hAnsi="Times New Roman" w:cs="Times New Roman"/>
          <w:sz w:val="24"/>
          <w:szCs w:val="24"/>
        </w:rPr>
        <w:t xml:space="preserve">To more fully understand potential differences in scanpaths, probes for visual search (see Appendix H) will be used.  Qualitative data will be collected through a series of open ended questions.  The questions are designed to provide a subjective account of the eye-movement patterns obtained during Phase 1 of data collection.  Qualitative data collection materials and the analysis plan were designed following the retrospective think aloud methodology (RTA; Ericsson &amp; Simon, 1993) where participants verbalize their thoughts after completing a task.  It’s critical to verbalize after completing the task because the eye-movement data will also be analyzed.  Verbalizing while performing Phase 1 is likely to change the way the participant processes the panoramic scene and therefore either change the eye-movement pattern or compromise the eye-movement pattern.  Therefore, Phase 1 will be performed in silence. After data collection, all hand written notes will be typed in order to preserve the raw data in as ‘hard’ a form as possible so that the data can be clearly analyzed through coding.  We will follow Ericsson and Simon’s suggestion regarding analysis:  </w:t>
      </w:r>
      <w:r w:rsidRPr="006D3242">
        <w:rPr>
          <w:rFonts w:ascii="Times New Roman" w:hAnsi="Times New Roman" w:cs="Times New Roman"/>
          <w:sz w:val="24"/>
          <w:szCs w:val="24"/>
        </w:rPr>
        <w:t>the encoding scheme is not defined formally, but the search for</w:t>
      </w:r>
      <w:r>
        <w:rPr>
          <w:rFonts w:ascii="Times New Roman" w:hAnsi="Times New Roman" w:cs="Times New Roman"/>
          <w:sz w:val="24"/>
          <w:szCs w:val="24"/>
        </w:rPr>
        <w:t xml:space="preserve"> </w:t>
      </w:r>
      <w:r w:rsidRPr="006D3242">
        <w:rPr>
          <w:rFonts w:ascii="Times New Roman" w:hAnsi="Times New Roman" w:cs="Times New Roman"/>
          <w:sz w:val="24"/>
          <w:szCs w:val="24"/>
        </w:rPr>
        <w:t>interpretations proceeds in parallel with the search for an appropriate model or</w:t>
      </w:r>
      <w:r>
        <w:rPr>
          <w:rFonts w:ascii="Times New Roman" w:hAnsi="Times New Roman" w:cs="Times New Roman"/>
          <w:sz w:val="24"/>
          <w:szCs w:val="24"/>
        </w:rPr>
        <w:t xml:space="preserve"> </w:t>
      </w:r>
      <w:r w:rsidRPr="006D3242">
        <w:rPr>
          <w:rFonts w:ascii="Times New Roman" w:hAnsi="Times New Roman" w:cs="Times New Roman"/>
          <w:sz w:val="24"/>
          <w:szCs w:val="24"/>
        </w:rPr>
        <w:t>theory.</w:t>
      </w:r>
      <w:r>
        <w:rPr>
          <w:rFonts w:ascii="Times New Roman" w:hAnsi="Times New Roman" w:cs="Times New Roman"/>
          <w:sz w:val="24"/>
          <w:szCs w:val="24"/>
        </w:rPr>
        <w:t xml:space="preserve">  Ultimately, it is of interest to use this qualitative data as a means to describe any differences found in how experienced, less experienced, and novice participants search the work environment.       </w:t>
      </w:r>
    </w:p>
    <w:p w14:paraId="0A091291" w14:textId="77777777" w:rsidR="00D7768F" w:rsidRDefault="00D7768F" w:rsidP="00D7768F">
      <w:pPr>
        <w:rPr>
          <w:rFonts w:ascii="Times New Roman" w:hAnsi="Times New Roman" w:cs="Times New Roman"/>
          <w:sz w:val="24"/>
          <w:szCs w:val="24"/>
        </w:rPr>
      </w:pPr>
      <w:r>
        <w:rPr>
          <w:rFonts w:ascii="Times New Roman" w:hAnsi="Times New Roman" w:cs="Times New Roman"/>
          <w:sz w:val="24"/>
          <w:szCs w:val="24"/>
        </w:rPr>
        <w:t xml:space="preserve">Additional questions will also be addressed with this study related to risk tolerance and perceived risk.  The initial goal in collecting this data from participants is to determine whether there are differences in the risk tolerance measures and the perceived risk measure between experienced, less experienced and novice participants.  </w:t>
      </w:r>
    </w:p>
    <w:p w14:paraId="1919FE60" w14:textId="77777777" w:rsidR="00D7768F" w:rsidRDefault="00D7768F" w:rsidP="00D7768F">
      <w:pPr>
        <w:rPr>
          <w:rFonts w:ascii="Times New Roman" w:hAnsi="Times New Roman" w:cs="Times New Roman"/>
          <w:sz w:val="24"/>
          <w:szCs w:val="24"/>
        </w:rPr>
      </w:pPr>
      <w:r>
        <w:rPr>
          <w:rFonts w:ascii="Times New Roman" w:hAnsi="Times New Roman" w:cs="Times New Roman"/>
          <w:sz w:val="24"/>
          <w:szCs w:val="24"/>
        </w:rPr>
        <w:t xml:space="preserve">And we will also explore possible differences based on risk tolerance.  Specifically, risk tolerance will be used as an independent variable in conjunction with demographic information such as experience and age, hazard recognition accuracy scores, eye movement measures, and the perceived risk scores as dependent variables for this exploration.  Specifically, two different groups of participants will be created using the risk tolerance measures – those that score high on the measure and those that score low [it is likely we will use the median score as the cutoff to establish these two groups].  Demographics, accuracy scores, eye movement measures, and perceived risk scores for high risk tolerant participants will be compared to those for low risk tolerant participants.  </w:t>
      </w:r>
    </w:p>
    <w:p w14:paraId="1540571C" w14:textId="77777777" w:rsidR="00982F12" w:rsidRDefault="00D7768F" w:rsidP="00982F12">
      <w:r>
        <w:rPr>
          <w:rFonts w:ascii="Times New Roman" w:hAnsi="Times New Roman" w:cs="Times New Roman"/>
          <w:sz w:val="24"/>
          <w:szCs w:val="24"/>
        </w:rPr>
        <w:t xml:space="preserve">The perceived risk scores will also be used in conjunction with hazard recognition accuracy scores.  Specifically, we are interested in determining whether there are differences in perceived risk for accurately identified hazards compared to hazards that participants do not identify during the hazard assessment.  This could provide a possible explanation for hazards that are not identified – participants may not perceive certain hazards as risky.    </w:t>
      </w:r>
      <w:r w:rsidR="00982F12">
        <w:rPr>
          <w:rFonts w:ascii="Times New Roman" w:hAnsi="Times New Roman" w:cs="Times New Roman"/>
          <w:sz w:val="24"/>
          <w:szCs w:val="24"/>
        </w:rPr>
        <w:t xml:space="preserve">.        </w:t>
      </w:r>
    </w:p>
    <w:p w14:paraId="605A836B" w14:textId="77777777" w:rsidR="00982F12" w:rsidRDefault="00982F12" w:rsidP="00982F12">
      <w:pPr>
        <w:rPr>
          <w:rFonts w:ascii="Times New Roman" w:eastAsia="Times New Roman" w:hAnsi="Times New Roman" w:cs="Times New Roman"/>
          <w:sz w:val="24"/>
          <w:szCs w:val="24"/>
        </w:rPr>
      </w:pPr>
      <w:r w:rsidRPr="00A60D34">
        <w:rPr>
          <w:rFonts w:ascii="Times New Roman" w:eastAsia="Times New Roman" w:hAnsi="Times New Roman" w:cs="Times New Roman"/>
          <w:sz w:val="24"/>
          <w:szCs w:val="24"/>
        </w:rPr>
        <w:t xml:space="preserve">Descriptive and inferential statistics will be conducted on data including (but not limited to): (M)ANOVA, </w:t>
      </w:r>
      <w:r>
        <w:rPr>
          <w:rFonts w:ascii="Times New Roman" w:eastAsia="Times New Roman" w:hAnsi="Times New Roman" w:cs="Times New Roman"/>
          <w:sz w:val="24"/>
          <w:szCs w:val="24"/>
        </w:rPr>
        <w:t xml:space="preserve">ANCOVA, multiple regression, </w:t>
      </w:r>
      <w:r w:rsidRPr="00A60D34">
        <w:rPr>
          <w:rFonts w:ascii="Times New Roman" w:eastAsia="Times New Roman" w:hAnsi="Times New Roman" w:cs="Times New Roman"/>
          <w:sz w:val="24"/>
          <w:szCs w:val="24"/>
        </w:rPr>
        <w:t>and mean and standard deviation reports.</w:t>
      </w:r>
      <w:r>
        <w:rPr>
          <w:rFonts w:ascii="Times New Roman" w:eastAsia="Times New Roman" w:hAnsi="Times New Roman" w:cs="Times New Roman"/>
          <w:sz w:val="24"/>
          <w:szCs w:val="24"/>
        </w:rPr>
        <w:t xml:space="preserve">  </w:t>
      </w:r>
    </w:p>
    <w:p w14:paraId="0B708D32" w14:textId="77777777" w:rsidR="004001A4" w:rsidRPr="004001A4" w:rsidRDefault="004001A4" w:rsidP="004001A4">
      <w:pPr>
        <w:pStyle w:val="Heading1"/>
        <w:rPr>
          <w:rFonts w:eastAsia="Times New Roman"/>
        </w:rPr>
      </w:pPr>
      <w:r w:rsidRPr="004001A4">
        <w:rPr>
          <w:rFonts w:eastAsia="Times New Roman"/>
        </w:rPr>
        <w:t>Reason(s) Display of OMB Expiration Date is Inappropriate</w:t>
      </w:r>
      <w:bookmarkEnd w:id="15"/>
      <w:r w:rsidRPr="004001A4">
        <w:rPr>
          <w:rFonts w:eastAsia="Times New Roman"/>
        </w:rPr>
        <w:t xml:space="preserve">  </w:t>
      </w:r>
    </w:p>
    <w:p w14:paraId="77E56B29" w14:textId="77777777" w:rsidR="00380787" w:rsidRDefault="004001A4" w:rsidP="00380787">
      <w:pPr>
        <w:spacing w:after="120" w:line="240" w:lineRule="auto"/>
        <w:jc w:val="both"/>
        <w:rPr>
          <w:rFonts w:ascii="Times New Roman" w:hAnsi="Times New Roman"/>
          <w:sz w:val="24"/>
        </w:rPr>
      </w:pPr>
      <w:r w:rsidRPr="004001A4">
        <w:rPr>
          <w:rFonts w:ascii="Times New Roman" w:hAnsi="Times New Roman"/>
          <w:sz w:val="24"/>
        </w:rPr>
        <w:t xml:space="preserve">Not applicable. The OMB expiration date will be displayed. </w:t>
      </w:r>
      <w:bookmarkStart w:id="16" w:name="_Toc283114263"/>
      <w:bookmarkStart w:id="17" w:name="_Toc350432832"/>
    </w:p>
    <w:p w14:paraId="374D0658" w14:textId="77777777" w:rsidR="004001A4" w:rsidRPr="00B2570C" w:rsidRDefault="00380787" w:rsidP="00380787">
      <w:pPr>
        <w:spacing w:after="120" w:line="240" w:lineRule="auto"/>
        <w:jc w:val="both"/>
        <w:rPr>
          <w:rFonts w:ascii="Times New Roman" w:hAnsi="Times New Roman" w:cs="Times New Roman"/>
          <w:b/>
          <w:sz w:val="32"/>
          <w:szCs w:val="32"/>
        </w:rPr>
      </w:pPr>
      <w:r w:rsidRPr="00B2570C">
        <w:rPr>
          <w:rFonts w:ascii="Times New Roman" w:hAnsi="Times New Roman" w:cs="Times New Roman"/>
          <w:b/>
          <w:sz w:val="32"/>
          <w:szCs w:val="32"/>
        </w:rPr>
        <w:t xml:space="preserve">18. </w:t>
      </w:r>
      <w:r w:rsidR="004001A4" w:rsidRPr="00B2570C">
        <w:rPr>
          <w:rFonts w:ascii="Times New Roman" w:eastAsia="Times New Roman" w:hAnsi="Times New Roman" w:cs="Times New Roman"/>
          <w:b/>
          <w:sz w:val="32"/>
          <w:szCs w:val="32"/>
        </w:rPr>
        <w:t>Exceptions to Certification for Paperwork Reduction Act Submissions</w:t>
      </w:r>
      <w:bookmarkEnd w:id="16"/>
      <w:bookmarkEnd w:id="17"/>
      <w:r w:rsidR="004001A4" w:rsidRPr="00B2570C">
        <w:rPr>
          <w:rFonts w:ascii="Times New Roman" w:eastAsia="Times New Roman" w:hAnsi="Times New Roman" w:cs="Times New Roman"/>
          <w:b/>
          <w:sz w:val="32"/>
          <w:szCs w:val="32"/>
        </w:rPr>
        <w:t xml:space="preserve"> </w:t>
      </w:r>
    </w:p>
    <w:p w14:paraId="20F940F4" w14:textId="77777777" w:rsidR="0006055C" w:rsidRDefault="004001A4" w:rsidP="004001A4">
      <w:pPr>
        <w:rPr>
          <w:rFonts w:ascii="Times New Roman" w:hAnsi="Times New Roman"/>
          <w:sz w:val="24"/>
        </w:rPr>
      </w:pPr>
      <w:r w:rsidRPr="004001A4">
        <w:rPr>
          <w:rFonts w:ascii="Times New Roman" w:hAnsi="Times New Roman"/>
          <w:sz w:val="24"/>
        </w:rPr>
        <w:t xml:space="preserve">There are no exceptions to the certification.  </w:t>
      </w:r>
    </w:p>
    <w:p w14:paraId="153D8219" w14:textId="77777777" w:rsidR="0006055C" w:rsidRDefault="0006055C">
      <w:pPr>
        <w:rPr>
          <w:rFonts w:ascii="Times New Roman" w:hAnsi="Times New Roman"/>
          <w:sz w:val="24"/>
        </w:rPr>
      </w:pPr>
      <w:r>
        <w:rPr>
          <w:rFonts w:ascii="Times New Roman" w:hAnsi="Times New Roman"/>
          <w:sz w:val="24"/>
        </w:rPr>
        <w:br w:type="page"/>
      </w:r>
    </w:p>
    <w:p w14:paraId="73B4A80F" w14:textId="77777777" w:rsidR="0006055C" w:rsidRDefault="0006055C" w:rsidP="0006055C">
      <w:pPr>
        <w:jc w:val="center"/>
        <w:rPr>
          <w:rFonts w:ascii="Times New Roman" w:hAnsi="Times New Roman"/>
          <w:sz w:val="24"/>
        </w:rPr>
      </w:pPr>
      <w:r>
        <w:rPr>
          <w:rFonts w:ascii="Times New Roman" w:hAnsi="Times New Roman"/>
          <w:sz w:val="24"/>
        </w:rPr>
        <w:t>References</w:t>
      </w:r>
    </w:p>
    <w:p w14:paraId="74A04361" w14:textId="77777777" w:rsidR="0066323B" w:rsidRPr="0066323B" w:rsidRDefault="0066323B" w:rsidP="0066323B">
      <w:pPr>
        <w:spacing w:after="0" w:line="240" w:lineRule="auto"/>
        <w:rPr>
          <w:rFonts w:ascii="Times New Roman" w:eastAsia="Times New Roman" w:hAnsi="Times New Roman" w:cs="Arial"/>
          <w:color w:val="222222"/>
          <w:sz w:val="24"/>
          <w:szCs w:val="20"/>
        </w:rPr>
      </w:pPr>
      <w:r w:rsidRPr="0066323B">
        <w:rPr>
          <w:rFonts w:ascii="Times New Roman" w:eastAsia="Times New Roman" w:hAnsi="Times New Roman" w:cs="Arial"/>
          <w:color w:val="222222"/>
          <w:sz w:val="24"/>
          <w:szCs w:val="20"/>
        </w:rPr>
        <w:t xml:space="preserve">Abdelhamid, T. S., &amp; Everett, J. G. (2000). Identifying root causes of construction accidents. </w:t>
      </w:r>
      <w:r w:rsidRPr="0066323B">
        <w:rPr>
          <w:rFonts w:ascii="Times New Roman" w:eastAsia="Times New Roman" w:hAnsi="Times New Roman" w:cs="Arial"/>
          <w:i/>
          <w:iCs/>
          <w:color w:val="222222"/>
          <w:sz w:val="24"/>
          <w:szCs w:val="20"/>
        </w:rPr>
        <w:t>Journal of Construction Engineering and Management</w:t>
      </w:r>
      <w:r w:rsidRPr="0066323B">
        <w:rPr>
          <w:rFonts w:ascii="Times New Roman" w:eastAsia="Times New Roman" w:hAnsi="Times New Roman" w:cs="Arial"/>
          <w:color w:val="222222"/>
          <w:sz w:val="24"/>
          <w:szCs w:val="20"/>
        </w:rPr>
        <w:t xml:space="preserve">, </w:t>
      </w:r>
      <w:r w:rsidRPr="0066323B">
        <w:rPr>
          <w:rFonts w:ascii="Times New Roman" w:eastAsia="Times New Roman" w:hAnsi="Times New Roman" w:cs="Arial"/>
          <w:i/>
          <w:iCs/>
          <w:color w:val="222222"/>
          <w:sz w:val="24"/>
          <w:szCs w:val="20"/>
        </w:rPr>
        <w:t>126</w:t>
      </w:r>
      <w:r w:rsidRPr="0066323B">
        <w:rPr>
          <w:rFonts w:ascii="Times New Roman" w:eastAsia="Times New Roman" w:hAnsi="Times New Roman" w:cs="Arial"/>
          <w:color w:val="222222"/>
          <w:sz w:val="24"/>
          <w:szCs w:val="20"/>
        </w:rPr>
        <w:t>(1), 52-60.</w:t>
      </w:r>
    </w:p>
    <w:p w14:paraId="4345CADD" w14:textId="77777777" w:rsidR="0066323B" w:rsidRDefault="0066323B" w:rsidP="00BF67DB">
      <w:pPr>
        <w:spacing w:after="0" w:line="240" w:lineRule="auto"/>
        <w:rPr>
          <w:rFonts w:ascii="Times New Roman" w:eastAsia="Times New Roman" w:hAnsi="Times New Roman" w:cs="Helvetica"/>
          <w:noProof/>
          <w:sz w:val="24"/>
          <w:szCs w:val="24"/>
          <w:lang w:bidi="x-none"/>
        </w:rPr>
      </w:pPr>
    </w:p>
    <w:p w14:paraId="6784460B" w14:textId="77777777" w:rsidR="00BF67DB" w:rsidRDefault="00BF67DB" w:rsidP="00BF67DB">
      <w:pPr>
        <w:spacing w:after="0" w:line="240" w:lineRule="auto"/>
        <w:rPr>
          <w:rFonts w:ascii="Times New Roman" w:eastAsia="Times New Roman" w:hAnsi="Times New Roman" w:cs="Helvetica"/>
          <w:noProof/>
          <w:sz w:val="24"/>
          <w:szCs w:val="24"/>
          <w:lang w:bidi="x-none"/>
        </w:rPr>
      </w:pPr>
      <w:r w:rsidRPr="00BF67DB">
        <w:rPr>
          <w:rFonts w:ascii="Times New Roman" w:eastAsia="Times New Roman" w:hAnsi="Times New Roman" w:cs="Helvetica"/>
          <w:noProof/>
          <w:sz w:val="24"/>
          <w:szCs w:val="24"/>
          <w:lang w:bidi="x-none"/>
        </w:rPr>
        <w:t>Barrett-E; Kowalski-K. Effective hazard recognition training using a latent-image, three-dimensional slide simulation exercise Bureau of Mines, RI 9527, 1995 Apr; :1-36</w:t>
      </w:r>
    </w:p>
    <w:p w14:paraId="587FF1F4" w14:textId="77777777" w:rsidR="00BF67DB" w:rsidRDefault="00BF67DB" w:rsidP="00BF67DB">
      <w:pPr>
        <w:spacing w:after="0" w:line="240" w:lineRule="auto"/>
        <w:rPr>
          <w:rFonts w:ascii="Times New Roman" w:hAnsi="Times New Roman"/>
          <w:sz w:val="24"/>
        </w:rPr>
      </w:pPr>
    </w:p>
    <w:p w14:paraId="3F72154D" w14:textId="77777777" w:rsidR="00BF67DB" w:rsidRPr="00BF67DB" w:rsidRDefault="00BF67DB" w:rsidP="00BF67DB">
      <w:pPr>
        <w:spacing w:after="0" w:line="240" w:lineRule="auto"/>
        <w:rPr>
          <w:rFonts w:ascii="Times New Roman" w:eastAsia="Times New Roman" w:hAnsi="Times New Roman" w:cs="Arial"/>
          <w:color w:val="222222"/>
          <w:sz w:val="24"/>
          <w:szCs w:val="20"/>
        </w:rPr>
      </w:pPr>
      <w:r w:rsidRPr="00BF67DB">
        <w:rPr>
          <w:rFonts w:ascii="Times New Roman" w:eastAsia="Times New Roman" w:hAnsi="Times New Roman" w:cs="Arial"/>
          <w:color w:val="222222"/>
          <w:sz w:val="24"/>
          <w:szCs w:val="20"/>
        </w:rPr>
        <w:t xml:space="preserve">Blignaut, C. J. H. (1979a). The perception of hazard I. Hazard analysis and the contribution of visual search to hazard perception. </w:t>
      </w:r>
      <w:r w:rsidRPr="00BF67DB">
        <w:rPr>
          <w:rFonts w:ascii="Times New Roman" w:eastAsia="Times New Roman" w:hAnsi="Times New Roman" w:cs="Arial"/>
          <w:i/>
          <w:iCs/>
          <w:color w:val="222222"/>
          <w:sz w:val="24"/>
          <w:szCs w:val="20"/>
        </w:rPr>
        <w:t>Ergonomics</w:t>
      </w:r>
      <w:r w:rsidRPr="00BF67DB">
        <w:rPr>
          <w:rFonts w:ascii="Times New Roman" w:eastAsia="Times New Roman" w:hAnsi="Times New Roman" w:cs="Arial"/>
          <w:color w:val="222222"/>
          <w:sz w:val="24"/>
          <w:szCs w:val="20"/>
        </w:rPr>
        <w:t xml:space="preserve">, </w:t>
      </w:r>
      <w:r w:rsidRPr="00BF67DB">
        <w:rPr>
          <w:rFonts w:ascii="Times New Roman" w:eastAsia="Times New Roman" w:hAnsi="Times New Roman" w:cs="Arial"/>
          <w:i/>
          <w:iCs/>
          <w:color w:val="222222"/>
          <w:sz w:val="24"/>
          <w:szCs w:val="20"/>
        </w:rPr>
        <w:t>22</w:t>
      </w:r>
      <w:r w:rsidRPr="00BF67DB">
        <w:rPr>
          <w:rFonts w:ascii="Times New Roman" w:eastAsia="Times New Roman" w:hAnsi="Times New Roman" w:cs="Arial"/>
          <w:color w:val="222222"/>
          <w:sz w:val="24"/>
          <w:szCs w:val="20"/>
        </w:rPr>
        <w:t>(9), 991-999.</w:t>
      </w:r>
    </w:p>
    <w:p w14:paraId="16A807E3" w14:textId="77777777" w:rsidR="00BF67DB" w:rsidRPr="00BF67DB" w:rsidRDefault="00BF67DB" w:rsidP="00BF67DB">
      <w:pPr>
        <w:spacing w:after="0" w:line="240" w:lineRule="auto"/>
        <w:rPr>
          <w:rFonts w:ascii="Times New Roman" w:eastAsia="Times New Roman" w:hAnsi="Times New Roman" w:cs="Helvetica"/>
          <w:noProof/>
          <w:sz w:val="24"/>
          <w:szCs w:val="24"/>
          <w:lang w:bidi="x-none"/>
        </w:rPr>
      </w:pPr>
    </w:p>
    <w:p w14:paraId="47434BEF" w14:textId="77777777" w:rsidR="00BF67DB" w:rsidRDefault="00BF67DB" w:rsidP="00BF67DB">
      <w:pPr>
        <w:spacing w:after="0" w:line="240" w:lineRule="auto"/>
        <w:rPr>
          <w:rFonts w:ascii="Times New Roman" w:eastAsia="Times New Roman" w:hAnsi="Times New Roman" w:cs="Arial"/>
          <w:color w:val="222222"/>
          <w:sz w:val="24"/>
          <w:szCs w:val="20"/>
        </w:rPr>
      </w:pPr>
      <w:r w:rsidRPr="00BF67DB">
        <w:rPr>
          <w:rFonts w:ascii="Times New Roman" w:eastAsia="Times New Roman" w:hAnsi="Times New Roman" w:cs="Arial"/>
          <w:color w:val="222222"/>
          <w:sz w:val="24"/>
          <w:szCs w:val="20"/>
        </w:rPr>
        <w:t xml:space="preserve">Blignaut, C. J. H. (1979b). The perception of hazard II. The contribution of signal detection to hazard perception. </w:t>
      </w:r>
      <w:r w:rsidRPr="00BF67DB">
        <w:rPr>
          <w:rFonts w:ascii="Times New Roman" w:eastAsia="Times New Roman" w:hAnsi="Times New Roman" w:cs="Arial"/>
          <w:i/>
          <w:iCs/>
          <w:color w:val="222222"/>
          <w:sz w:val="24"/>
          <w:szCs w:val="20"/>
        </w:rPr>
        <w:t>Ergonomics</w:t>
      </w:r>
      <w:r w:rsidRPr="00BF67DB">
        <w:rPr>
          <w:rFonts w:ascii="Times New Roman" w:eastAsia="Times New Roman" w:hAnsi="Times New Roman" w:cs="Arial"/>
          <w:color w:val="222222"/>
          <w:sz w:val="24"/>
          <w:szCs w:val="20"/>
        </w:rPr>
        <w:t xml:space="preserve">, </w:t>
      </w:r>
      <w:r w:rsidRPr="00BF67DB">
        <w:rPr>
          <w:rFonts w:ascii="Times New Roman" w:eastAsia="Times New Roman" w:hAnsi="Times New Roman" w:cs="Arial"/>
          <w:i/>
          <w:iCs/>
          <w:color w:val="222222"/>
          <w:sz w:val="24"/>
          <w:szCs w:val="20"/>
        </w:rPr>
        <w:t>22</w:t>
      </w:r>
      <w:r w:rsidRPr="00BF67DB">
        <w:rPr>
          <w:rFonts w:ascii="Times New Roman" w:eastAsia="Times New Roman" w:hAnsi="Times New Roman" w:cs="Arial"/>
          <w:color w:val="222222"/>
          <w:sz w:val="24"/>
          <w:szCs w:val="20"/>
        </w:rPr>
        <w:t>(11), 1177-1183.</w:t>
      </w:r>
    </w:p>
    <w:p w14:paraId="7BC4D9B3" w14:textId="77777777" w:rsidR="00BF67DB" w:rsidRPr="00BF67DB" w:rsidRDefault="00BF67DB" w:rsidP="00BF67DB">
      <w:pPr>
        <w:spacing w:after="0" w:line="240" w:lineRule="auto"/>
        <w:rPr>
          <w:rFonts w:ascii="Times New Roman" w:eastAsia="Times New Roman" w:hAnsi="Times New Roman" w:cs="Arial"/>
          <w:color w:val="222222"/>
          <w:sz w:val="24"/>
          <w:szCs w:val="20"/>
        </w:rPr>
      </w:pPr>
    </w:p>
    <w:p w14:paraId="49E0ABFA" w14:textId="77777777" w:rsidR="00BF67DB" w:rsidRDefault="00BF67DB">
      <w:pPr>
        <w:rPr>
          <w:rFonts w:ascii="Times New Roman" w:hAnsi="Times New Roman"/>
          <w:sz w:val="24"/>
        </w:rPr>
      </w:pPr>
      <w:r w:rsidRPr="00BF67DB">
        <w:rPr>
          <w:rFonts w:ascii="Times New Roman" w:hAnsi="Times New Roman"/>
          <w:sz w:val="24"/>
        </w:rPr>
        <w:t xml:space="preserve">Brown, I.D., &amp; Groeger, J.A. (1988). Risk perception and decision taking during the transition between novice and experienced driver status.  </w:t>
      </w:r>
      <w:r w:rsidRPr="00BF67DB">
        <w:rPr>
          <w:rFonts w:ascii="Times New Roman" w:hAnsi="Times New Roman"/>
          <w:i/>
          <w:sz w:val="24"/>
        </w:rPr>
        <w:t>Ergonomics, 31</w:t>
      </w:r>
      <w:r w:rsidRPr="00BF67DB">
        <w:rPr>
          <w:rFonts w:ascii="Times New Roman" w:hAnsi="Times New Roman"/>
          <w:sz w:val="24"/>
        </w:rPr>
        <w:t xml:space="preserve">(4), 585-597. </w:t>
      </w:r>
    </w:p>
    <w:p w14:paraId="4B326AB7" w14:textId="77777777" w:rsidR="00982F12" w:rsidRDefault="00982F12" w:rsidP="00982F12">
      <w:pPr>
        <w:rPr>
          <w:rFonts w:ascii="Times New Roman" w:hAnsi="Times New Roman" w:cs="Times New Roman"/>
          <w:color w:val="222222"/>
          <w:sz w:val="24"/>
          <w:szCs w:val="24"/>
        </w:rPr>
      </w:pPr>
      <w:r w:rsidRPr="001E3FD9">
        <w:rPr>
          <w:rFonts w:ascii="Times New Roman" w:hAnsi="Times New Roman" w:cs="Times New Roman"/>
          <w:color w:val="222222"/>
          <w:sz w:val="24"/>
          <w:szCs w:val="24"/>
        </w:rPr>
        <w:t>Chapman, P. R., &amp; Underwood, G. (1998). Visual search of driving situations: Danger and experience. PERCEPTION-LONDON-, 27, 951-964.</w:t>
      </w:r>
    </w:p>
    <w:p w14:paraId="6834C09A" w14:textId="77777777" w:rsidR="00982F12" w:rsidRDefault="00982F12" w:rsidP="00982F12">
      <w:pPr>
        <w:rPr>
          <w:rFonts w:ascii="Times New Roman" w:hAnsi="Times New Roman"/>
          <w:sz w:val="24"/>
        </w:rPr>
      </w:pPr>
      <w:r w:rsidRPr="007276AC">
        <w:rPr>
          <w:rFonts w:ascii="Times New Roman" w:hAnsi="Times New Roman"/>
          <w:sz w:val="24"/>
        </w:rPr>
        <w:t>Crundall, D. E., &amp; Underwood, G. (1998). Effects of experience and processing demands on visual information acquisition in drivers. Ergonomics, 41(4), 448-458.</w:t>
      </w:r>
    </w:p>
    <w:p w14:paraId="4ACDB0C8" w14:textId="77777777" w:rsidR="00982F12" w:rsidRDefault="00982F12" w:rsidP="00982F12">
      <w:pPr>
        <w:rPr>
          <w:rFonts w:ascii="Times New Roman" w:hAnsi="Times New Roman"/>
          <w:sz w:val="24"/>
        </w:rPr>
      </w:pPr>
      <w:r w:rsidRPr="007276AC">
        <w:rPr>
          <w:rFonts w:ascii="Times New Roman" w:hAnsi="Times New Roman"/>
          <w:sz w:val="24"/>
        </w:rPr>
        <w:t>De Groot, A. D. (1946). Het denken van den schaker [Thinking processes in chess players]. Den Haag, The Netherlands: Noord Holland.</w:t>
      </w:r>
    </w:p>
    <w:p w14:paraId="5003C485" w14:textId="77777777" w:rsidR="00982F12" w:rsidRDefault="00982F12" w:rsidP="00982F12">
      <w:pPr>
        <w:rPr>
          <w:rFonts w:ascii="Times New Roman" w:hAnsi="Times New Roman"/>
          <w:sz w:val="24"/>
        </w:rPr>
      </w:pPr>
      <w:r w:rsidRPr="007276AC">
        <w:rPr>
          <w:rFonts w:ascii="Times New Roman" w:hAnsi="Times New Roman"/>
          <w:sz w:val="24"/>
        </w:rPr>
        <w:t>De Groot, A. D. (1965). Thought and Choice in Chess (traduction remaniée de de Groot, 1946), The Hague.</w:t>
      </w:r>
    </w:p>
    <w:p w14:paraId="3B96F051" w14:textId="77777777" w:rsidR="0066323B" w:rsidRDefault="0066323B" w:rsidP="0066323B">
      <w:pPr>
        <w:spacing w:after="0" w:line="240" w:lineRule="auto"/>
        <w:rPr>
          <w:rFonts w:ascii="Times New Roman" w:eastAsia="Times New Roman" w:hAnsi="Times New Roman" w:cs="Times New Roman"/>
          <w:color w:val="222222"/>
          <w:sz w:val="24"/>
          <w:szCs w:val="24"/>
        </w:rPr>
      </w:pPr>
      <w:r w:rsidRPr="0066323B">
        <w:rPr>
          <w:rFonts w:ascii="Times New Roman" w:eastAsia="Times New Roman" w:hAnsi="Times New Roman" w:cs="Times New Roman"/>
          <w:color w:val="222222"/>
          <w:sz w:val="24"/>
          <w:szCs w:val="24"/>
        </w:rPr>
        <w:t xml:space="preserve">Duke, W.F., &amp; Bevan, W. (1967). Stimulus variation and repetition in the acquisition of naming responses.  </w:t>
      </w:r>
      <w:r w:rsidRPr="0066323B">
        <w:rPr>
          <w:rFonts w:ascii="Times New Roman" w:eastAsia="Times New Roman" w:hAnsi="Times New Roman" w:cs="Times New Roman"/>
          <w:i/>
          <w:color w:val="222222"/>
          <w:sz w:val="24"/>
          <w:szCs w:val="24"/>
        </w:rPr>
        <w:t>Journal of Experimental Psychology, 74</w:t>
      </w:r>
      <w:r w:rsidRPr="0066323B">
        <w:rPr>
          <w:rFonts w:ascii="Times New Roman" w:eastAsia="Times New Roman" w:hAnsi="Times New Roman" w:cs="Times New Roman"/>
          <w:color w:val="222222"/>
          <w:sz w:val="24"/>
          <w:szCs w:val="24"/>
        </w:rPr>
        <w:t xml:space="preserve">, 178-181. </w:t>
      </w:r>
    </w:p>
    <w:p w14:paraId="288E30A3" w14:textId="77777777" w:rsidR="0066323B" w:rsidRPr="0066323B" w:rsidRDefault="0066323B" w:rsidP="0066323B">
      <w:pPr>
        <w:spacing w:after="0" w:line="240" w:lineRule="auto"/>
        <w:rPr>
          <w:rFonts w:ascii="Times New Roman" w:eastAsia="Times New Roman" w:hAnsi="Times New Roman" w:cs="Times New Roman"/>
          <w:color w:val="222222"/>
          <w:sz w:val="24"/>
          <w:szCs w:val="24"/>
        </w:rPr>
      </w:pPr>
    </w:p>
    <w:p w14:paraId="71ECB58D" w14:textId="77777777" w:rsidR="00982F12" w:rsidRDefault="00982F12" w:rsidP="00982F12">
      <w:pPr>
        <w:rPr>
          <w:rFonts w:ascii="Times New Roman" w:hAnsi="Times New Roman"/>
          <w:sz w:val="24"/>
        </w:rPr>
      </w:pPr>
      <w:r w:rsidRPr="007276AC">
        <w:rPr>
          <w:rFonts w:ascii="Times New Roman" w:hAnsi="Times New Roman"/>
          <w:sz w:val="24"/>
        </w:rPr>
        <w:t>Ericsson, K. A., &amp; Simon, H. A. (1993). Protocol analysis.</w:t>
      </w:r>
    </w:p>
    <w:p w14:paraId="20FDE859" w14:textId="77777777" w:rsidR="00982F12" w:rsidRDefault="00982F12" w:rsidP="00982F12">
      <w:pPr>
        <w:rPr>
          <w:rFonts w:ascii="Times New Roman" w:hAnsi="Times New Roman"/>
          <w:sz w:val="24"/>
        </w:rPr>
      </w:pPr>
      <w:r w:rsidRPr="001E3FD9">
        <w:rPr>
          <w:rFonts w:ascii="Times New Roman" w:hAnsi="Times New Roman"/>
          <w:sz w:val="24"/>
        </w:rPr>
        <w:t>Goldberg, J. H., &amp; Kotval, X. P. (1999). Computer interface evaluation using eye movements: methods and constructs. International Journal of Industrial Ergonomics, 24(6), 631-645.</w:t>
      </w:r>
    </w:p>
    <w:p w14:paraId="47C75734" w14:textId="77777777" w:rsidR="00982F12" w:rsidRDefault="00982F12" w:rsidP="00982F12">
      <w:pPr>
        <w:rPr>
          <w:rFonts w:ascii="Times New Roman" w:hAnsi="Times New Roman"/>
          <w:sz w:val="24"/>
        </w:rPr>
      </w:pPr>
      <w:r w:rsidRPr="001E3FD9">
        <w:rPr>
          <w:rFonts w:ascii="Times New Roman" w:hAnsi="Times New Roman"/>
          <w:sz w:val="24"/>
        </w:rPr>
        <w:t>Holmqvist, K., Nyström, M., Andersson, R., Dewhurst, R., Jarodzka, H., &amp; Van de Weijer, J. (2011). Eye tracking: A comprehensive guide to methods and measures. Oxford University Press.</w:t>
      </w:r>
    </w:p>
    <w:p w14:paraId="45693A8F" w14:textId="77777777" w:rsidR="00982F12" w:rsidRDefault="00982F12" w:rsidP="00982F12">
      <w:pPr>
        <w:rPr>
          <w:rFonts w:ascii="Times New Roman" w:hAnsi="Times New Roman"/>
          <w:sz w:val="24"/>
        </w:rPr>
      </w:pPr>
      <w:r w:rsidRPr="001E3FD9">
        <w:rPr>
          <w:rFonts w:ascii="Times New Roman" w:hAnsi="Times New Roman"/>
          <w:sz w:val="24"/>
        </w:rPr>
        <w:t>Hosking, S. G., Liu, C. C., &amp; Bayly, M. (2010). The visual search patterns and hazard responses of experienced and inexperienced motorcycle riders. Accident Analysis &amp; Prevention, 42(1), 196-202.</w:t>
      </w:r>
    </w:p>
    <w:p w14:paraId="70F86387" w14:textId="77777777" w:rsidR="00BF67DB" w:rsidRDefault="00BF67DB" w:rsidP="00BF67DB">
      <w:pPr>
        <w:rPr>
          <w:rFonts w:ascii="Times New Roman" w:eastAsia="Times New Roman" w:hAnsi="Times New Roman" w:cs="Helvetica"/>
          <w:noProof/>
          <w:sz w:val="24"/>
          <w:szCs w:val="24"/>
          <w:lang w:bidi="x-none"/>
        </w:rPr>
      </w:pPr>
      <w:r w:rsidRPr="00BF67DB">
        <w:rPr>
          <w:rFonts w:ascii="Times New Roman" w:hAnsi="Times New Roman"/>
          <w:sz w:val="24"/>
        </w:rPr>
        <w:t>Hunter, D.R. (2002). Risk Perception and Risk Tolerance in Aircraft Pilots. Federal Aviation</w:t>
      </w:r>
      <w:r>
        <w:rPr>
          <w:rFonts w:ascii="Times New Roman" w:hAnsi="Times New Roman"/>
          <w:sz w:val="24"/>
        </w:rPr>
        <w:t xml:space="preserve"> </w:t>
      </w:r>
      <w:r w:rsidRPr="00BF67DB">
        <w:rPr>
          <w:rFonts w:ascii="Times New Roman" w:hAnsi="Times New Roman"/>
          <w:sz w:val="24"/>
        </w:rPr>
        <w:t>Administration Report No. PB2003100818.</w:t>
      </w:r>
    </w:p>
    <w:p w14:paraId="040F1B3F" w14:textId="77777777" w:rsidR="00982F12" w:rsidRDefault="00982F12" w:rsidP="00982F12">
      <w:pPr>
        <w:rPr>
          <w:rFonts w:ascii="Times New Roman" w:hAnsi="Times New Roman" w:cs="Times New Roman"/>
          <w:color w:val="222222"/>
          <w:sz w:val="24"/>
        </w:rPr>
      </w:pPr>
      <w:r w:rsidRPr="001419DD">
        <w:rPr>
          <w:rFonts w:ascii="Times New Roman" w:hAnsi="Times New Roman" w:cs="Times New Roman"/>
          <w:color w:val="222222"/>
          <w:sz w:val="24"/>
        </w:rPr>
        <w:t>Johnson, R. B., Onwuegbuzie, A. J., &amp; Turner, L. A. (2007). Toward a Definition Mixed Methods Research. Journal of Mixed Methods Research, 1, 112-133</w:t>
      </w:r>
      <w:r>
        <w:rPr>
          <w:rFonts w:ascii="Times New Roman" w:hAnsi="Times New Roman" w:cs="Times New Roman"/>
          <w:color w:val="222222"/>
          <w:sz w:val="24"/>
        </w:rPr>
        <w:t>.</w:t>
      </w:r>
    </w:p>
    <w:p w14:paraId="5294F443" w14:textId="77777777" w:rsidR="0066323B" w:rsidRDefault="0066323B" w:rsidP="0066323B">
      <w:pPr>
        <w:spacing w:after="0" w:line="240" w:lineRule="auto"/>
        <w:rPr>
          <w:rFonts w:ascii="Times New Roman" w:eastAsia="Times New Roman" w:hAnsi="Times New Roman" w:cs="Times New Roman"/>
          <w:sz w:val="24"/>
          <w:szCs w:val="20"/>
        </w:rPr>
      </w:pPr>
      <w:r w:rsidRPr="0066323B">
        <w:rPr>
          <w:rFonts w:ascii="Times New Roman" w:eastAsia="Times New Roman" w:hAnsi="Times New Roman" w:cs="Times New Roman"/>
          <w:sz w:val="24"/>
          <w:szCs w:val="20"/>
        </w:rPr>
        <w:t>Kowalski-Trakofler, K., Barrett, E. (2003). The concept of degraded images applied to hazard recognition training in mining for reduction of lost-time injuries. J Saf Res 2003 34(5): Jul-Sept: 515-525</w:t>
      </w:r>
    </w:p>
    <w:p w14:paraId="376B86E8" w14:textId="77777777" w:rsidR="0066323B" w:rsidRPr="0066323B" w:rsidRDefault="0066323B" w:rsidP="0066323B">
      <w:pPr>
        <w:spacing w:after="0" w:line="240" w:lineRule="auto"/>
        <w:rPr>
          <w:rFonts w:ascii="Times New Roman" w:eastAsia="Times New Roman" w:hAnsi="Times New Roman" w:cs="Times New Roman"/>
          <w:sz w:val="24"/>
          <w:szCs w:val="20"/>
        </w:rPr>
      </w:pPr>
    </w:p>
    <w:p w14:paraId="33234095" w14:textId="77777777" w:rsidR="00BF67DB" w:rsidRPr="00A946BA" w:rsidRDefault="00BF67DB" w:rsidP="00BF67DB">
      <w:pPr>
        <w:rPr>
          <w:rFonts w:ascii="Times New Roman" w:hAnsi="Times New Roman" w:cs="Times New Roman"/>
          <w:color w:val="222222"/>
          <w:sz w:val="24"/>
        </w:rPr>
      </w:pPr>
      <w:r w:rsidRPr="00A946BA">
        <w:rPr>
          <w:rFonts w:ascii="Times New Roman" w:hAnsi="Times New Roman" w:cs="Times New Roman"/>
          <w:color w:val="222222"/>
          <w:sz w:val="24"/>
        </w:rPr>
        <w:t>Lehmann, C.C., Haight, J.M., &amp; Michael, J.H. (2009). Effect of safety training on risk tolerance: An examination of male workers in the surface mining industry. Journal of Safety, Health, and Environmental Research, 4(3).</w:t>
      </w:r>
    </w:p>
    <w:p w14:paraId="6A7166D9" w14:textId="77777777" w:rsidR="0066323B" w:rsidRPr="0066323B" w:rsidRDefault="0066323B" w:rsidP="0066323B">
      <w:pPr>
        <w:spacing w:after="0" w:line="240" w:lineRule="auto"/>
        <w:rPr>
          <w:rFonts w:ascii="Times New Roman" w:eastAsia="Times New Roman" w:hAnsi="Times New Roman" w:cs="Times New Roman"/>
          <w:color w:val="222222"/>
          <w:sz w:val="24"/>
          <w:szCs w:val="24"/>
        </w:rPr>
      </w:pPr>
      <w:r w:rsidRPr="0066323B">
        <w:rPr>
          <w:rFonts w:ascii="Times New Roman" w:eastAsia="Times New Roman" w:hAnsi="Times New Roman" w:cs="Times New Roman"/>
          <w:color w:val="222222"/>
          <w:sz w:val="24"/>
          <w:szCs w:val="24"/>
        </w:rPr>
        <w:t xml:space="preserve">Medin, D. L. (1989). Concepts and conceptual structure. </w:t>
      </w:r>
      <w:r w:rsidRPr="0066323B">
        <w:rPr>
          <w:rFonts w:ascii="Times New Roman" w:eastAsia="Times New Roman" w:hAnsi="Times New Roman" w:cs="Times New Roman"/>
          <w:i/>
          <w:iCs/>
          <w:color w:val="222222"/>
          <w:sz w:val="24"/>
          <w:szCs w:val="24"/>
        </w:rPr>
        <w:t>American psychologist</w:t>
      </w:r>
      <w:r w:rsidRPr="0066323B">
        <w:rPr>
          <w:rFonts w:ascii="Times New Roman" w:eastAsia="Times New Roman" w:hAnsi="Times New Roman" w:cs="Times New Roman"/>
          <w:color w:val="222222"/>
          <w:sz w:val="24"/>
          <w:szCs w:val="24"/>
        </w:rPr>
        <w:t xml:space="preserve">, </w:t>
      </w:r>
      <w:r w:rsidRPr="0066323B">
        <w:rPr>
          <w:rFonts w:ascii="Times New Roman" w:eastAsia="Times New Roman" w:hAnsi="Times New Roman" w:cs="Times New Roman"/>
          <w:i/>
          <w:iCs/>
          <w:color w:val="222222"/>
          <w:sz w:val="24"/>
          <w:szCs w:val="24"/>
        </w:rPr>
        <w:t>44</w:t>
      </w:r>
      <w:r w:rsidRPr="0066323B">
        <w:rPr>
          <w:rFonts w:ascii="Times New Roman" w:eastAsia="Times New Roman" w:hAnsi="Times New Roman" w:cs="Times New Roman"/>
          <w:color w:val="222222"/>
          <w:sz w:val="24"/>
          <w:szCs w:val="24"/>
        </w:rPr>
        <w:t>(12), 1469.</w:t>
      </w:r>
    </w:p>
    <w:p w14:paraId="1B83810E" w14:textId="77777777" w:rsidR="0066323B" w:rsidRPr="0066323B" w:rsidRDefault="0066323B" w:rsidP="0066323B">
      <w:pPr>
        <w:spacing w:after="0" w:line="240" w:lineRule="auto"/>
        <w:rPr>
          <w:rFonts w:ascii="Times New Roman" w:eastAsia="Times New Roman" w:hAnsi="Times New Roman" w:cs="Times New Roman"/>
          <w:sz w:val="24"/>
          <w:szCs w:val="24"/>
        </w:rPr>
      </w:pPr>
    </w:p>
    <w:p w14:paraId="1EFAB0FB" w14:textId="77777777" w:rsidR="00BF67DB" w:rsidRDefault="00BF67DB" w:rsidP="00BF67DB">
      <w:pPr>
        <w:rPr>
          <w:rFonts w:ascii="Times New Roman" w:hAnsi="Times New Roman" w:cs="Times New Roman"/>
          <w:sz w:val="24"/>
          <w:szCs w:val="24"/>
        </w:rPr>
      </w:pPr>
      <w:r w:rsidRPr="00F9040F">
        <w:rPr>
          <w:rFonts w:ascii="Times New Roman" w:hAnsi="Times New Roman" w:cs="Times New Roman"/>
          <w:sz w:val="24"/>
          <w:szCs w:val="24"/>
        </w:rPr>
        <w:t xml:space="preserve">Meertens, R. M., &amp; Lion, R. (2008). Measuring an Individual's Tendency to Take Risks: The Risk Propensity Scale1. </w:t>
      </w:r>
      <w:r w:rsidRPr="00F9040F">
        <w:rPr>
          <w:rFonts w:ascii="Times New Roman" w:hAnsi="Times New Roman" w:cs="Times New Roman"/>
          <w:i/>
          <w:iCs/>
          <w:sz w:val="24"/>
          <w:szCs w:val="24"/>
        </w:rPr>
        <w:t>Journal of Applied Social Psychology</w:t>
      </w:r>
      <w:r w:rsidRPr="00F9040F">
        <w:rPr>
          <w:rFonts w:ascii="Times New Roman" w:hAnsi="Times New Roman" w:cs="Times New Roman"/>
          <w:sz w:val="24"/>
          <w:szCs w:val="24"/>
        </w:rPr>
        <w:t xml:space="preserve">, </w:t>
      </w:r>
      <w:r w:rsidRPr="00F9040F">
        <w:rPr>
          <w:rFonts w:ascii="Times New Roman" w:hAnsi="Times New Roman" w:cs="Times New Roman"/>
          <w:i/>
          <w:iCs/>
          <w:sz w:val="24"/>
          <w:szCs w:val="24"/>
        </w:rPr>
        <w:t>38</w:t>
      </w:r>
      <w:r w:rsidRPr="00F9040F">
        <w:rPr>
          <w:rFonts w:ascii="Times New Roman" w:hAnsi="Times New Roman" w:cs="Times New Roman"/>
          <w:sz w:val="24"/>
          <w:szCs w:val="24"/>
        </w:rPr>
        <w:t>(6), 1506-1520.</w:t>
      </w:r>
    </w:p>
    <w:p w14:paraId="12645E2F" w14:textId="77777777" w:rsidR="00BF67DB" w:rsidRPr="00BF67DB" w:rsidRDefault="00BF67DB" w:rsidP="00BF67DB">
      <w:pPr>
        <w:spacing w:after="0" w:line="240" w:lineRule="auto"/>
        <w:rPr>
          <w:rFonts w:ascii="Times New Roman" w:eastAsia="Times New Roman" w:hAnsi="Times New Roman" w:cs="Times New Roman"/>
          <w:sz w:val="24"/>
          <w:szCs w:val="20"/>
        </w:rPr>
      </w:pPr>
      <w:r w:rsidRPr="00BF67DB">
        <w:rPr>
          <w:rFonts w:ascii="Times New Roman" w:eastAsia="Times New Roman" w:hAnsi="Times New Roman" w:cs="Times New Roman"/>
          <w:sz w:val="24"/>
          <w:szCs w:val="20"/>
        </w:rPr>
        <w:t>National Research Council. (2013). Improving Self-Escape from Underground Coal Mines. Committee on Mine Safety: Essential Components of Self-Escape, Board on Human-Systems Integration, Division of Behavioral and Social Sciences and Education. Washington, DC: The National Academies Press. Committee members: William S. Marras, David Beerbower, Sian L. Beilock, David Cliff, James Dean, David M. DeJoy, Albert W. Holland, Dennis B. O’Dell, David H. Wegman, Toby Warden, Julie Anne Schuck, Renée L. Wilson Gaines.</w:t>
      </w:r>
    </w:p>
    <w:p w14:paraId="2F7DF21D" w14:textId="77777777" w:rsidR="00BF67DB" w:rsidRDefault="00BF67DB" w:rsidP="00BF67DB">
      <w:pPr>
        <w:spacing w:after="0" w:line="240" w:lineRule="auto"/>
        <w:rPr>
          <w:rFonts w:ascii="Times New Roman" w:eastAsia="Times New Roman" w:hAnsi="Times New Roman" w:cs="Helvetica"/>
          <w:noProof/>
          <w:sz w:val="24"/>
          <w:szCs w:val="24"/>
          <w:lang w:bidi="x-none"/>
        </w:rPr>
      </w:pPr>
    </w:p>
    <w:p w14:paraId="0DBE0F7D" w14:textId="77777777" w:rsidR="00BF67DB" w:rsidRPr="00BF67DB" w:rsidRDefault="00BF67DB" w:rsidP="00BF67DB">
      <w:pPr>
        <w:autoSpaceDE w:val="0"/>
        <w:autoSpaceDN w:val="0"/>
        <w:adjustRightInd w:val="0"/>
        <w:spacing w:after="0" w:line="240" w:lineRule="auto"/>
        <w:rPr>
          <w:rFonts w:ascii="Times New Roman" w:eastAsia="Times New Roman" w:hAnsi="Times New Roman" w:cs="Times New Roman"/>
          <w:color w:val="1F497D"/>
          <w:sz w:val="24"/>
          <w:szCs w:val="20"/>
        </w:rPr>
      </w:pPr>
      <w:r w:rsidRPr="00BF67DB">
        <w:rPr>
          <w:rFonts w:ascii="Times New Roman" w:eastAsia="Times New Roman" w:hAnsi="Times New Roman" w:cs="Times New Roman"/>
          <w:sz w:val="24"/>
          <w:szCs w:val="20"/>
        </w:rPr>
        <w:t>Perdue, C., Kowalski, K. M., &amp; Barrett, E. A. (1995). Hazard Recognition in Mining: A Psychological Perspective. IC 9422. Washington, DC: United States Department of the Interior.</w:t>
      </w:r>
    </w:p>
    <w:p w14:paraId="4F64F6CA" w14:textId="77777777" w:rsidR="00BF67DB" w:rsidRPr="00BF67DB" w:rsidRDefault="00BF67DB" w:rsidP="00BF67DB">
      <w:pPr>
        <w:spacing w:after="0" w:line="240" w:lineRule="auto"/>
        <w:rPr>
          <w:rFonts w:ascii="Times New Roman" w:eastAsia="Times New Roman" w:hAnsi="Times New Roman" w:cs="Arial"/>
          <w:color w:val="222222"/>
          <w:sz w:val="24"/>
          <w:szCs w:val="20"/>
        </w:rPr>
      </w:pPr>
    </w:p>
    <w:p w14:paraId="6F5C8F0D" w14:textId="77777777" w:rsidR="00BF67DB" w:rsidRPr="00BF67DB" w:rsidRDefault="00BF67DB" w:rsidP="00BF67DB">
      <w:pPr>
        <w:spacing w:after="0" w:line="240" w:lineRule="auto"/>
        <w:rPr>
          <w:rFonts w:ascii="Times New Roman" w:eastAsia="Times New Roman" w:hAnsi="Times New Roman" w:cs="Arial"/>
          <w:color w:val="222222"/>
          <w:sz w:val="24"/>
          <w:szCs w:val="20"/>
        </w:rPr>
      </w:pPr>
      <w:r w:rsidRPr="00BF67DB">
        <w:rPr>
          <w:rFonts w:ascii="Times New Roman" w:eastAsia="Times New Roman" w:hAnsi="Times New Roman" w:cs="Arial"/>
          <w:color w:val="222222"/>
          <w:sz w:val="24"/>
          <w:szCs w:val="20"/>
        </w:rPr>
        <w:t xml:space="preserve">Perlman, A., Sacks, R., &amp; Barak, R. (2014). Hazard recognition and risk perception in construction. </w:t>
      </w:r>
      <w:r w:rsidRPr="00BF67DB">
        <w:rPr>
          <w:rFonts w:ascii="Times New Roman" w:eastAsia="Times New Roman" w:hAnsi="Times New Roman" w:cs="Arial"/>
          <w:i/>
          <w:iCs/>
          <w:color w:val="222222"/>
          <w:sz w:val="24"/>
          <w:szCs w:val="20"/>
        </w:rPr>
        <w:t>Safety science</w:t>
      </w:r>
      <w:r w:rsidRPr="00BF67DB">
        <w:rPr>
          <w:rFonts w:ascii="Times New Roman" w:eastAsia="Times New Roman" w:hAnsi="Times New Roman" w:cs="Arial"/>
          <w:color w:val="222222"/>
          <w:sz w:val="24"/>
          <w:szCs w:val="20"/>
        </w:rPr>
        <w:t xml:space="preserve">, </w:t>
      </w:r>
      <w:r w:rsidRPr="00BF67DB">
        <w:rPr>
          <w:rFonts w:ascii="Times New Roman" w:eastAsia="Times New Roman" w:hAnsi="Times New Roman" w:cs="Arial"/>
          <w:i/>
          <w:iCs/>
          <w:color w:val="222222"/>
          <w:sz w:val="24"/>
          <w:szCs w:val="20"/>
        </w:rPr>
        <w:t>64</w:t>
      </w:r>
      <w:r w:rsidRPr="00BF67DB">
        <w:rPr>
          <w:rFonts w:ascii="Times New Roman" w:eastAsia="Times New Roman" w:hAnsi="Times New Roman" w:cs="Arial"/>
          <w:color w:val="222222"/>
          <w:sz w:val="24"/>
          <w:szCs w:val="20"/>
        </w:rPr>
        <w:t>, 22-31.</w:t>
      </w:r>
    </w:p>
    <w:p w14:paraId="4CE8E699" w14:textId="77777777" w:rsidR="00BF67DB" w:rsidRDefault="00BF67DB" w:rsidP="00BF67DB">
      <w:pPr>
        <w:spacing w:after="0" w:line="240" w:lineRule="auto"/>
        <w:rPr>
          <w:rFonts w:ascii="Times New Roman" w:eastAsia="Times New Roman" w:hAnsi="Times New Roman" w:cs="Helvetica"/>
          <w:noProof/>
          <w:sz w:val="24"/>
          <w:szCs w:val="24"/>
          <w:lang w:bidi="x-none"/>
        </w:rPr>
      </w:pPr>
    </w:p>
    <w:p w14:paraId="1DE3659C" w14:textId="77777777" w:rsidR="00982F12" w:rsidRDefault="00982F12" w:rsidP="00982F12">
      <w:pPr>
        <w:spacing w:after="0" w:line="240" w:lineRule="auto"/>
        <w:rPr>
          <w:rFonts w:ascii="Times New Roman" w:eastAsia="Times New Roman" w:hAnsi="Times New Roman" w:cs="Times New Roman"/>
          <w:sz w:val="24"/>
          <w:szCs w:val="20"/>
        </w:rPr>
      </w:pPr>
      <w:r w:rsidRPr="001E3FD9">
        <w:rPr>
          <w:rFonts w:ascii="Times New Roman" w:eastAsia="Times New Roman" w:hAnsi="Times New Roman" w:cs="Times New Roman"/>
          <w:sz w:val="24"/>
          <w:szCs w:val="20"/>
        </w:rPr>
        <w:t>Rayner, K. (1998). Eye movements in reading and information processing: 20 years of research. Psychological bulletin, 124(3), 372.</w:t>
      </w:r>
    </w:p>
    <w:p w14:paraId="37BDC5F9" w14:textId="77777777" w:rsidR="00982F12" w:rsidRDefault="00982F12" w:rsidP="00BF67DB">
      <w:pPr>
        <w:spacing w:after="0" w:line="240" w:lineRule="auto"/>
        <w:rPr>
          <w:rFonts w:ascii="Times New Roman" w:eastAsia="Times New Roman" w:hAnsi="Times New Roman" w:cs="Times New Roman"/>
          <w:sz w:val="24"/>
          <w:szCs w:val="20"/>
        </w:rPr>
      </w:pPr>
    </w:p>
    <w:p w14:paraId="0660B30F" w14:textId="77777777" w:rsidR="00BF67DB" w:rsidRPr="00BF67DB" w:rsidRDefault="00BF67DB" w:rsidP="00BF67DB">
      <w:pPr>
        <w:spacing w:after="0" w:line="240" w:lineRule="auto"/>
        <w:rPr>
          <w:rFonts w:ascii="Times New Roman" w:eastAsia="Times New Roman" w:hAnsi="Times New Roman" w:cs="Times New Roman"/>
          <w:sz w:val="24"/>
          <w:szCs w:val="20"/>
        </w:rPr>
      </w:pPr>
      <w:r w:rsidRPr="00BF67DB">
        <w:rPr>
          <w:rFonts w:ascii="Times New Roman" w:eastAsia="Times New Roman" w:hAnsi="Times New Roman" w:cs="Times New Roman"/>
          <w:sz w:val="24"/>
          <w:szCs w:val="20"/>
        </w:rPr>
        <w:t>Rethi-LL; Flick-JP; Kowalski-KM; Calhoun-RA; Barrett-EA; Cornelius-KM; Haggerty-JJ; Saksena-N. (1999).  Hazard recognition training program for construction, maintenance and repair activities. (NIOSH) 99-158.</w:t>
      </w:r>
    </w:p>
    <w:p w14:paraId="46C1F282" w14:textId="77777777" w:rsidR="00BF67DB" w:rsidRDefault="00BF67DB" w:rsidP="00BF67DB">
      <w:pPr>
        <w:spacing w:after="0" w:line="240" w:lineRule="auto"/>
        <w:rPr>
          <w:rFonts w:ascii="Times New Roman" w:eastAsia="Times New Roman" w:hAnsi="Times New Roman" w:cs="Helvetica"/>
          <w:noProof/>
          <w:sz w:val="24"/>
          <w:szCs w:val="24"/>
          <w:lang w:bidi="x-none"/>
        </w:rPr>
      </w:pPr>
    </w:p>
    <w:p w14:paraId="19813793" w14:textId="77777777" w:rsidR="00BF67DB" w:rsidRPr="00BF67DB" w:rsidRDefault="00BF67DB" w:rsidP="00BF67DB">
      <w:pPr>
        <w:spacing w:after="0" w:line="240" w:lineRule="auto"/>
        <w:rPr>
          <w:rFonts w:ascii="Times New Roman" w:eastAsia="Times New Roman" w:hAnsi="Times New Roman" w:cs="Helvetica"/>
          <w:noProof/>
          <w:sz w:val="24"/>
          <w:szCs w:val="24"/>
          <w:lang w:bidi="x-none"/>
        </w:rPr>
      </w:pPr>
    </w:p>
    <w:p w14:paraId="0D3DCDC9" w14:textId="77777777" w:rsidR="00BF67DB" w:rsidRPr="00BF67DB" w:rsidRDefault="00BF67DB" w:rsidP="00BF67DB">
      <w:pPr>
        <w:rPr>
          <w:rFonts w:ascii="Times New Roman" w:hAnsi="Times New Roman"/>
          <w:sz w:val="24"/>
        </w:rPr>
      </w:pPr>
    </w:p>
    <w:p w14:paraId="170C4128" w14:textId="77777777" w:rsidR="000248DA" w:rsidRPr="00EC1066" w:rsidRDefault="000248DA" w:rsidP="00EC1066">
      <w:pPr>
        <w:rPr>
          <w:rFonts w:ascii="Times New Roman" w:hAnsi="Times New Roman"/>
          <w:sz w:val="24"/>
        </w:rPr>
      </w:pPr>
    </w:p>
    <w:sectPr w:rsidR="000248DA" w:rsidRPr="00EC1066" w:rsidSect="00855FD7">
      <w:footerReference w:type="default" r:id="rId11"/>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60E62" w14:textId="77777777" w:rsidR="00E249A7" w:rsidRDefault="00E249A7" w:rsidP="008B5D54">
      <w:pPr>
        <w:spacing w:after="0" w:line="240" w:lineRule="auto"/>
      </w:pPr>
      <w:r>
        <w:separator/>
      </w:r>
    </w:p>
  </w:endnote>
  <w:endnote w:type="continuationSeparator" w:id="0">
    <w:p w14:paraId="0500BADD" w14:textId="77777777" w:rsidR="00E249A7" w:rsidRDefault="00E249A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61657"/>
      <w:docPartObj>
        <w:docPartGallery w:val="Page Numbers (Bottom of Page)"/>
        <w:docPartUnique/>
      </w:docPartObj>
    </w:sdtPr>
    <w:sdtEndPr>
      <w:rPr>
        <w:color w:val="7F7F7F" w:themeColor="background1" w:themeShade="7F"/>
        <w:spacing w:val="60"/>
      </w:rPr>
    </w:sdtEndPr>
    <w:sdtContent>
      <w:p w14:paraId="7877AD6F" w14:textId="77777777" w:rsidR="00A31FAE" w:rsidRDefault="00A31FA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9533A">
          <w:rPr>
            <w:noProof/>
          </w:rPr>
          <w:t>8</w:t>
        </w:r>
        <w:r>
          <w:rPr>
            <w:noProof/>
          </w:rPr>
          <w:fldChar w:fldCharType="end"/>
        </w:r>
        <w:r>
          <w:t xml:space="preserve"> | </w:t>
        </w:r>
        <w:r>
          <w:rPr>
            <w:color w:val="7F7F7F" w:themeColor="background1" w:themeShade="7F"/>
            <w:spacing w:val="60"/>
          </w:rPr>
          <w:t>Page</w:t>
        </w:r>
      </w:p>
    </w:sdtContent>
  </w:sdt>
  <w:p w14:paraId="22457995" w14:textId="77777777" w:rsidR="00A31FAE" w:rsidRDefault="00A31FAE" w:rsidP="00855FD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469C5" w14:textId="77777777" w:rsidR="00E249A7" w:rsidRDefault="00E249A7" w:rsidP="008B5D54">
      <w:pPr>
        <w:spacing w:after="0" w:line="240" w:lineRule="auto"/>
      </w:pPr>
      <w:r>
        <w:separator/>
      </w:r>
    </w:p>
  </w:footnote>
  <w:footnote w:type="continuationSeparator" w:id="0">
    <w:p w14:paraId="64B85D85" w14:textId="77777777" w:rsidR="00E249A7" w:rsidRDefault="00E249A7"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64DE4"/>
    <w:multiLevelType w:val="hybridMultilevel"/>
    <w:tmpl w:val="CE008B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233C8"/>
    <w:multiLevelType w:val="hybridMultilevel"/>
    <w:tmpl w:val="835AB93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FB848F9"/>
    <w:multiLevelType w:val="hybridMultilevel"/>
    <w:tmpl w:val="1DF48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005CD5"/>
    <w:multiLevelType w:val="hybridMultilevel"/>
    <w:tmpl w:val="06CE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E339A7"/>
    <w:multiLevelType w:val="hybridMultilevel"/>
    <w:tmpl w:val="E72C4022"/>
    <w:lvl w:ilvl="0" w:tplc="D1D0CEA0">
      <w:start w:val="1"/>
      <w:numFmt w:val="decimal"/>
      <w:pStyle w:val="Heading1"/>
      <w:lvlText w:val="%1."/>
      <w:lvlJc w:val="left"/>
      <w:pPr>
        <w:ind w:left="360" w:hanging="360"/>
      </w:pPr>
      <w:rPr>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701098"/>
    <w:multiLevelType w:val="hybridMultilevel"/>
    <w:tmpl w:val="9670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64578"/>
    <w:multiLevelType w:val="hybridMultilevel"/>
    <w:tmpl w:val="A7F4BF4E"/>
    <w:lvl w:ilvl="0" w:tplc="91504216">
      <w:start w:val="1"/>
      <w:numFmt w:val="upperLetter"/>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3B4652"/>
    <w:multiLevelType w:val="hybridMultilevel"/>
    <w:tmpl w:val="114E6194"/>
    <w:lvl w:ilvl="0" w:tplc="D4FA14B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C73AAA"/>
    <w:multiLevelType w:val="hybridMultilevel"/>
    <w:tmpl w:val="AEF0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E20AB0"/>
    <w:multiLevelType w:val="hybridMultilevel"/>
    <w:tmpl w:val="A88E03A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78AA7383"/>
    <w:multiLevelType w:val="hybridMultilevel"/>
    <w:tmpl w:val="2A240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5917DC"/>
    <w:multiLevelType w:val="hybridMultilevel"/>
    <w:tmpl w:val="19C285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7"/>
  </w:num>
  <w:num w:numId="3">
    <w:abstractNumId w:val="6"/>
  </w:num>
  <w:num w:numId="4">
    <w:abstractNumId w:val="10"/>
  </w:num>
  <w:num w:numId="5">
    <w:abstractNumId w:val="8"/>
  </w:num>
  <w:num w:numId="6">
    <w:abstractNumId w:val="3"/>
  </w:num>
  <w:num w:numId="7">
    <w:abstractNumId w:val="12"/>
  </w:num>
  <w:num w:numId="8">
    <w:abstractNumId w:val="11"/>
  </w:num>
  <w:num w:numId="9">
    <w:abstractNumId w:val="4"/>
  </w:num>
  <w:num w:numId="10">
    <w:abstractNumId w:val="1"/>
  </w:num>
  <w:num w:numId="11">
    <w:abstractNumId w:val="9"/>
  </w:num>
  <w:num w:numId="12">
    <w:abstractNumId w:val="0"/>
  </w:num>
  <w:num w:numId="13">
    <w:abstractNumId w:val="2"/>
  </w:num>
  <w:num w:numId="14">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1D"/>
    <w:rsid w:val="0000401F"/>
    <w:rsid w:val="00007AF2"/>
    <w:rsid w:val="00014636"/>
    <w:rsid w:val="000248DA"/>
    <w:rsid w:val="00024CED"/>
    <w:rsid w:val="00037BB5"/>
    <w:rsid w:val="00047747"/>
    <w:rsid w:val="0006055C"/>
    <w:rsid w:val="00075D5F"/>
    <w:rsid w:val="00080872"/>
    <w:rsid w:val="000A02C0"/>
    <w:rsid w:val="000E4CF8"/>
    <w:rsid w:val="000E7329"/>
    <w:rsid w:val="000F4AFA"/>
    <w:rsid w:val="0010015F"/>
    <w:rsid w:val="00104668"/>
    <w:rsid w:val="0011568C"/>
    <w:rsid w:val="00116001"/>
    <w:rsid w:val="001212F5"/>
    <w:rsid w:val="00124A82"/>
    <w:rsid w:val="001302A0"/>
    <w:rsid w:val="001313B6"/>
    <w:rsid w:val="001318D7"/>
    <w:rsid w:val="00132860"/>
    <w:rsid w:val="001410B5"/>
    <w:rsid w:val="00154394"/>
    <w:rsid w:val="00166A75"/>
    <w:rsid w:val="00186744"/>
    <w:rsid w:val="001A2269"/>
    <w:rsid w:val="001B4FD5"/>
    <w:rsid w:val="001B5322"/>
    <w:rsid w:val="001C55CD"/>
    <w:rsid w:val="00211E23"/>
    <w:rsid w:val="00216949"/>
    <w:rsid w:val="00223925"/>
    <w:rsid w:val="00223DF4"/>
    <w:rsid w:val="00224328"/>
    <w:rsid w:val="00226C6F"/>
    <w:rsid w:val="00230ACF"/>
    <w:rsid w:val="00233ACE"/>
    <w:rsid w:val="0025605A"/>
    <w:rsid w:val="002713C0"/>
    <w:rsid w:val="00274633"/>
    <w:rsid w:val="0027721A"/>
    <w:rsid w:val="002800E2"/>
    <w:rsid w:val="00281286"/>
    <w:rsid w:val="002846BE"/>
    <w:rsid w:val="00297C4F"/>
    <w:rsid w:val="002B19A5"/>
    <w:rsid w:val="002C1BED"/>
    <w:rsid w:val="002D6EAA"/>
    <w:rsid w:val="002D7515"/>
    <w:rsid w:val="00312F56"/>
    <w:rsid w:val="00312FB9"/>
    <w:rsid w:val="00317491"/>
    <w:rsid w:val="003216AF"/>
    <w:rsid w:val="00326F86"/>
    <w:rsid w:val="00332121"/>
    <w:rsid w:val="00334753"/>
    <w:rsid w:val="0035080B"/>
    <w:rsid w:val="003548E2"/>
    <w:rsid w:val="00356D49"/>
    <w:rsid w:val="00363358"/>
    <w:rsid w:val="00366CD8"/>
    <w:rsid w:val="0037057E"/>
    <w:rsid w:val="003705D9"/>
    <w:rsid w:val="00380787"/>
    <w:rsid w:val="00397917"/>
    <w:rsid w:val="003B0E91"/>
    <w:rsid w:val="003B3A96"/>
    <w:rsid w:val="003C08B2"/>
    <w:rsid w:val="003C7821"/>
    <w:rsid w:val="003D07B5"/>
    <w:rsid w:val="003F0C33"/>
    <w:rsid w:val="003F26B9"/>
    <w:rsid w:val="003F2F1D"/>
    <w:rsid w:val="004001A4"/>
    <w:rsid w:val="004011A8"/>
    <w:rsid w:val="0040771D"/>
    <w:rsid w:val="0042307D"/>
    <w:rsid w:val="004243C7"/>
    <w:rsid w:val="0043105F"/>
    <w:rsid w:val="00456410"/>
    <w:rsid w:val="004640BE"/>
    <w:rsid w:val="00464F5B"/>
    <w:rsid w:val="004663D8"/>
    <w:rsid w:val="004B6A2D"/>
    <w:rsid w:val="004B7E35"/>
    <w:rsid w:val="004C0A8F"/>
    <w:rsid w:val="004C3E65"/>
    <w:rsid w:val="004E127B"/>
    <w:rsid w:val="004F1C40"/>
    <w:rsid w:val="004F59D3"/>
    <w:rsid w:val="004F6931"/>
    <w:rsid w:val="004F6B51"/>
    <w:rsid w:val="00513395"/>
    <w:rsid w:val="00520AC2"/>
    <w:rsid w:val="00525B65"/>
    <w:rsid w:val="0053243D"/>
    <w:rsid w:val="00537F9B"/>
    <w:rsid w:val="005652E4"/>
    <w:rsid w:val="00576E19"/>
    <w:rsid w:val="00585E01"/>
    <w:rsid w:val="00590818"/>
    <w:rsid w:val="00596665"/>
    <w:rsid w:val="005A1976"/>
    <w:rsid w:val="005A65D1"/>
    <w:rsid w:val="005B1B28"/>
    <w:rsid w:val="005D19BC"/>
    <w:rsid w:val="005D4F83"/>
    <w:rsid w:val="005F1D23"/>
    <w:rsid w:val="00606051"/>
    <w:rsid w:val="00606278"/>
    <w:rsid w:val="006109AF"/>
    <w:rsid w:val="006142CE"/>
    <w:rsid w:val="0061479E"/>
    <w:rsid w:val="006150A8"/>
    <w:rsid w:val="00617ED4"/>
    <w:rsid w:val="00642EE1"/>
    <w:rsid w:val="00646638"/>
    <w:rsid w:val="00650AAF"/>
    <w:rsid w:val="0066323B"/>
    <w:rsid w:val="0066677A"/>
    <w:rsid w:val="006760A4"/>
    <w:rsid w:val="006870F1"/>
    <w:rsid w:val="006940C7"/>
    <w:rsid w:val="006A45BD"/>
    <w:rsid w:val="006A4D95"/>
    <w:rsid w:val="006B5EAC"/>
    <w:rsid w:val="006C0408"/>
    <w:rsid w:val="006C1CF0"/>
    <w:rsid w:val="006C6578"/>
    <w:rsid w:val="006E293B"/>
    <w:rsid w:val="006E615A"/>
    <w:rsid w:val="006F1448"/>
    <w:rsid w:val="006F1479"/>
    <w:rsid w:val="00702D6D"/>
    <w:rsid w:val="00712D22"/>
    <w:rsid w:val="007149BE"/>
    <w:rsid w:val="0072343E"/>
    <w:rsid w:val="00725B57"/>
    <w:rsid w:val="00741BA2"/>
    <w:rsid w:val="00750AA1"/>
    <w:rsid w:val="007535C6"/>
    <w:rsid w:val="007612AB"/>
    <w:rsid w:val="00767906"/>
    <w:rsid w:val="007722C0"/>
    <w:rsid w:val="00793837"/>
    <w:rsid w:val="007A4E4D"/>
    <w:rsid w:val="007A54A2"/>
    <w:rsid w:val="007B0E7D"/>
    <w:rsid w:val="007B285F"/>
    <w:rsid w:val="007B4A06"/>
    <w:rsid w:val="007B7F22"/>
    <w:rsid w:val="007C0530"/>
    <w:rsid w:val="007C064A"/>
    <w:rsid w:val="007C4E29"/>
    <w:rsid w:val="007D2403"/>
    <w:rsid w:val="007E13E2"/>
    <w:rsid w:val="007E2E87"/>
    <w:rsid w:val="007F35C5"/>
    <w:rsid w:val="0080408B"/>
    <w:rsid w:val="008148CC"/>
    <w:rsid w:val="00814F63"/>
    <w:rsid w:val="00824CF5"/>
    <w:rsid w:val="00830498"/>
    <w:rsid w:val="0083662E"/>
    <w:rsid w:val="00844C28"/>
    <w:rsid w:val="00852A8B"/>
    <w:rsid w:val="00855FD7"/>
    <w:rsid w:val="00856399"/>
    <w:rsid w:val="008621E5"/>
    <w:rsid w:val="008643F1"/>
    <w:rsid w:val="008745B0"/>
    <w:rsid w:val="00892817"/>
    <w:rsid w:val="008A1262"/>
    <w:rsid w:val="008A7FA1"/>
    <w:rsid w:val="008B0B36"/>
    <w:rsid w:val="008B1B72"/>
    <w:rsid w:val="008B5D54"/>
    <w:rsid w:val="008C119E"/>
    <w:rsid w:val="008C2031"/>
    <w:rsid w:val="008D1D57"/>
    <w:rsid w:val="0090342E"/>
    <w:rsid w:val="00906972"/>
    <w:rsid w:val="00906A2B"/>
    <w:rsid w:val="0091593A"/>
    <w:rsid w:val="00942101"/>
    <w:rsid w:val="00952AFD"/>
    <w:rsid w:val="009640CD"/>
    <w:rsid w:val="00964E1C"/>
    <w:rsid w:val="0097716F"/>
    <w:rsid w:val="009775EC"/>
    <w:rsid w:val="00982F12"/>
    <w:rsid w:val="00984120"/>
    <w:rsid w:val="009856C8"/>
    <w:rsid w:val="00990618"/>
    <w:rsid w:val="00991178"/>
    <w:rsid w:val="00992324"/>
    <w:rsid w:val="009A1C6A"/>
    <w:rsid w:val="009B1C2F"/>
    <w:rsid w:val="009B4F5E"/>
    <w:rsid w:val="009B7215"/>
    <w:rsid w:val="009C1291"/>
    <w:rsid w:val="009C1419"/>
    <w:rsid w:val="009C191D"/>
    <w:rsid w:val="009C4FE8"/>
    <w:rsid w:val="009D6F57"/>
    <w:rsid w:val="009E0CC4"/>
    <w:rsid w:val="00A06E91"/>
    <w:rsid w:val="00A1067C"/>
    <w:rsid w:val="00A22EF9"/>
    <w:rsid w:val="00A23284"/>
    <w:rsid w:val="00A237FE"/>
    <w:rsid w:val="00A268F9"/>
    <w:rsid w:val="00A30263"/>
    <w:rsid w:val="00A31FAE"/>
    <w:rsid w:val="00A35C31"/>
    <w:rsid w:val="00A35FD2"/>
    <w:rsid w:val="00A42C85"/>
    <w:rsid w:val="00A53789"/>
    <w:rsid w:val="00A75B27"/>
    <w:rsid w:val="00A849B4"/>
    <w:rsid w:val="00AA0313"/>
    <w:rsid w:val="00AB6B17"/>
    <w:rsid w:val="00AC3A9D"/>
    <w:rsid w:val="00AF1B53"/>
    <w:rsid w:val="00AF3880"/>
    <w:rsid w:val="00AF594E"/>
    <w:rsid w:val="00B041E4"/>
    <w:rsid w:val="00B05031"/>
    <w:rsid w:val="00B2292F"/>
    <w:rsid w:val="00B2489F"/>
    <w:rsid w:val="00B2570C"/>
    <w:rsid w:val="00B32636"/>
    <w:rsid w:val="00B3328D"/>
    <w:rsid w:val="00B33413"/>
    <w:rsid w:val="00B5474B"/>
    <w:rsid w:val="00B55735"/>
    <w:rsid w:val="00B608AC"/>
    <w:rsid w:val="00B66003"/>
    <w:rsid w:val="00B66B06"/>
    <w:rsid w:val="00B67045"/>
    <w:rsid w:val="00B86B56"/>
    <w:rsid w:val="00B86C20"/>
    <w:rsid w:val="00B97E0E"/>
    <w:rsid w:val="00BA0D8D"/>
    <w:rsid w:val="00BA4168"/>
    <w:rsid w:val="00BD1A8E"/>
    <w:rsid w:val="00BF084F"/>
    <w:rsid w:val="00BF1F3D"/>
    <w:rsid w:val="00BF67DB"/>
    <w:rsid w:val="00C01661"/>
    <w:rsid w:val="00C07397"/>
    <w:rsid w:val="00C11978"/>
    <w:rsid w:val="00C2245F"/>
    <w:rsid w:val="00C34E0B"/>
    <w:rsid w:val="00C359E7"/>
    <w:rsid w:val="00C468CD"/>
    <w:rsid w:val="00C571F1"/>
    <w:rsid w:val="00C7153D"/>
    <w:rsid w:val="00C854AC"/>
    <w:rsid w:val="00C877F6"/>
    <w:rsid w:val="00C92347"/>
    <w:rsid w:val="00CB5680"/>
    <w:rsid w:val="00CF7A9F"/>
    <w:rsid w:val="00D056F8"/>
    <w:rsid w:val="00D1354B"/>
    <w:rsid w:val="00D16DCD"/>
    <w:rsid w:val="00D31532"/>
    <w:rsid w:val="00D37002"/>
    <w:rsid w:val="00D55301"/>
    <w:rsid w:val="00D74AC5"/>
    <w:rsid w:val="00D76640"/>
    <w:rsid w:val="00D7768F"/>
    <w:rsid w:val="00D80744"/>
    <w:rsid w:val="00D80783"/>
    <w:rsid w:val="00D83D53"/>
    <w:rsid w:val="00D9113B"/>
    <w:rsid w:val="00DA1743"/>
    <w:rsid w:val="00DA1BA9"/>
    <w:rsid w:val="00DC57CC"/>
    <w:rsid w:val="00DD22F1"/>
    <w:rsid w:val="00DD4F18"/>
    <w:rsid w:val="00DE31F0"/>
    <w:rsid w:val="00DF154A"/>
    <w:rsid w:val="00DF19F4"/>
    <w:rsid w:val="00DF2917"/>
    <w:rsid w:val="00DF2AA9"/>
    <w:rsid w:val="00DF58BC"/>
    <w:rsid w:val="00DF6446"/>
    <w:rsid w:val="00E249A7"/>
    <w:rsid w:val="00E30DFF"/>
    <w:rsid w:val="00E32FCB"/>
    <w:rsid w:val="00E40A53"/>
    <w:rsid w:val="00E532B0"/>
    <w:rsid w:val="00E75933"/>
    <w:rsid w:val="00E81CB6"/>
    <w:rsid w:val="00E83101"/>
    <w:rsid w:val="00E9533A"/>
    <w:rsid w:val="00E96FBD"/>
    <w:rsid w:val="00EA1D34"/>
    <w:rsid w:val="00EA61E9"/>
    <w:rsid w:val="00EB0847"/>
    <w:rsid w:val="00EC1066"/>
    <w:rsid w:val="00EC41E9"/>
    <w:rsid w:val="00EC6B21"/>
    <w:rsid w:val="00ED02F0"/>
    <w:rsid w:val="00ED3136"/>
    <w:rsid w:val="00ED6B35"/>
    <w:rsid w:val="00EF4D80"/>
    <w:rsid w:val="00EF5EF1"/>
    <w:rsid w:val="00F01174"/>
    <w:rsid w:val="00F02090"/>
    <w:rsid w:val="00F233AF"/>
    <w:rsid w:val="00F26193"/>
    <w:rsid w:val="00F306D6"/>
    <w:rsid w:val="00F3197E"/>
    <w:rsid w:val="00F42A9C"/>
    <w:rsid w:val="00F4545C"/>
    <w:rsid w:val="00F51721"/>
    <w:rsid w:val="00F519F0"/>
    <w:rsid w:val="00F647EA"/>
    <w:rsid w:val="00F75DB5"/>
    <w:rsid w:val="00F819BD"/>
    <w:rsid w:val="00FA29CF"/>
    <w:rsid w:val="00FA2D5F"/>
    <w:rsid w:val="00FA500D"/>
    <w:rsid w:val="00FB01EE"/>
    <w:rsid w:val="00FB212E"/>
    <w:rsid w:val="00FD38E9"/>
    <w:rsid w:val="00FE19F3"/>
    <w:rsid w:val="00FF48EB"/>
    <w:rsid w:val="00FF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66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7F22"/>
    <w:pPr>
      <w:keepNext/>
      <w:numPr>
        <w:numId w:val="1"/>
      </w:numPr>
      <w:spacing w:after="120" w:line="240" w:lineRule="auto"/>
      <w:contextualSpacing/>
      <w:jc w:val="both"/>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5D1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7B0E7D"/>
    <w:rPr>
      <w:color w:val="0000FF" w:themeColor="hyperlink"/>
      <w:u w:val="single"/>
    </w:rPr>
  </w:style>
  <w:style w:type="paragraph" w:styleId="TOC1">
    <w:name w:val="toc 1"/>
    <w:basedOn w:val="Normal"/>
    <w:next w:val="Normal"/>
    <w:autoRedefine/>
    <w:uiPriority w:val="39"/>
    <w:unhideWhenUsed/>
    <w:rsid w:val="007B0E7D"/>
    <w:pPr>
      <w:spacing w:after="100" w:line="240" w:lineRule="auto"/>
      <w:jc w:val="both"/>
    </w:pPr>
    <w:rPr>
      <w:rFonts w:ascii="Times New Roman" w:hAnsi="Times New Roman"/>
      <w:sz w:val="24"/>
    </w:rPr>
  </w:style>
  <w:style w:type="character" w:customStyle="1" w:styleId="Heading1Char">
    <w:name w:val="Heading 1 Char"/>
    <w:basedOn w:val="DefaultParagraphFont"/>
    <w:link w:val="Heading1"/>
    <w:uiPriority w:val="9"/>
    <w:rsid w:val="007B7F22"/>
    <w:rPr>
      <w:rFonts w:ascii="Times New Roman" w:eastAsiaTheme="majorEastAsia" w:hAnsi="Times New Roman" w:cstheme="majorBidi"/>
      <w:b/>
      <w:bCs/>
      <w:sz w:val="32"/>
      <w:szCs w:val="28"/>
    </w:rPr>
  </w:style>
  <w:style w:type="paragraph" w:styleId="Title">
    <w:name w:val="Title"/>
    <w:basedOn w:val="Normal"/>
    <w:next w:val="Normal"/>
    <w:link w:val="TitleChar"/>
    <w:uiPriority w:val="10"/>
    <w:qFormat/>
    <w:rsid w:val="007B7F22"/>
    <w:pPr>
      <w:numPr>
        <w:numId w:val="2"/>
      </w:numPr>
      <w:spacing w:before="360" w:after="360" w:line="240" w:lineRule="auto"/>
      <w:contextualSpacing/>
      <w:jc w:val="center"/>
    </w:pPr>
    <w:rPr>
      <w:rFonts w:ascii="Times New Roman" w:eastAsiaTheme="majorEastAsia" w:hAnsi="Times New Roman" w:cstheme="majorBidi"/>
      <w:b/>
      <w:spacing w:val="5"/>
      <w:kern w:val="28"/>
      <w:sz w:val="36"/>
      <w:szCs w:val="52"/>
    </w:rPr>
  </w:style>
  <w:style w:type="character" w:customStyle="1" w:styleId="TitleChar">
    <w:name w:val="Title Char"/>
    <w:basedOn w:val="DefaultParagraphFont"/>
    <w:link w:val="Title"/>
    <w:uiPriority w:val="10"/>
    <w:rsid w:val="007B7F22"/>
    <w:rPr>
      <w:rFonts w:ascii="Times New Roman" w:eastAsiaTheme="majorEastAsia" w:hAnsi="Times New Roman" w:cstheme="majorBidi"/>
      <w:b/>
      <w:spacing w:val="5"/>
      <w:kern w:val="28"/>
      <w:sz w:val="36"/>
      <w:szCs w:val="52"/>
    </w:rPr>
  </w:style>
  <w:style w:type="paragraph" w:styleId="ListParagraph">
    <w:name w:val="List Paragraph"/>
    <w:basedOn w:val="Normal"/>
    <w:uiPriority w:val="99"/>
    <w:qFormat/>
    <w:rsid w:val="00E532B0"/>
    <w:pPr>
      <w:ind w:left="720"/>
      <w:contextualSpacing/>
    </w:pPr>
  </w:style>
  <w:style w:type="character" w:customStyle="1" w:styleId="Heading2Char">
    <w:name w:val="Heading 2 Char"/>
    <w:basedOn w:val="DefaultParagraphFont"/>
    <w:link w:val="Heading2"/>
    <w:uiPriority w:val="9"/>
    <w:rsid w:val="005D19B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E75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uiPriority w:val="52"/>
    <w:rsid w:val="009C4FE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BF6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7DB"/>
    <w:rPr>
      <w:rFonts w:ascii="Segoe UI" w:hAnsi="Segoe UI" w:cs="Segoe UI"/>
      <w:sz w:val="18"/>
      <w:szCs w:val="18"/>
    </w:rPr>
  </w:style>
  <w:style w:type="character" w:styleId="CommentReference">
    <w:name w:val="annotation reference"/>
    <w:basedOn w:val="DefaultParagraphFont"/>
    <w:uiPriority w:val="99"/>
    <w:semiHidden/>
    <w:unhideWhenUsed/>
    <w:rsid w:val="007C0530"/>
    <w:rPr>
      <w:sz w:val="16"/>
      <w:szCs w:val="16"/>
    </w:rPr>
  </w:style>
  <w:style w:type="paragraph" w:styleId="CommentText">
    <w:name w:val="annotation text"/>
    <w:basedOn w:val="Normal"/>
    <w:link w:val="CommentTextChar"/>
    <w:uiPriority w:val="99"/>
    <w:semiHidden/>
    <w:unhideWhenUsed/>
    <w:rsid w:val="007C0530"/>
    <w:pPr>
      <w:spacing w:line="240" w:lineRule="auto"/>
    </w:pPr>
    <w:rPr>
      <w:sz w:val="20"/>
      <w:szCs w:val="20"/>
    </w:rPr>
  </w:style>
  <w:style w:type="character" w:customStyle="1" w:styleId="CommentTextChar">
    <w:name w:val="Comment Text Char"/>
    <w:basedOn w:val="DefaultParagraphFont"/>
    <w:link w:val="CommentText"/>
    <w:uiPriority w:val="99"/>
    <w:semiHidden/>
    <w:rsid w:val="007C0530"/>
    <w:rPr>
      <w:sz w:val="20"/>
      <w:szCs w:val="20"/>
    </w:rPr>
  </w:style>
  <w:style w:type="paragraph" w:styleId="CommentSubject">
    <w:name w:val="annotation subject"/>
    <w:basedOn w:val="CommentText"/>
    <w:next w:val="CommentText"/>
    <w:link w:val="CommentSubjectChar"/>
    <w:uiPriority w:val="99"/>
    <w:semiHidden/>
    <w:unhideWhenUsed/>
    <w:rsid w:val="007C0530"/>
    <w:rPr>
      <w:b/>
      <w:bCs/>
    </w:rPr>
  </w:style>
  <w:style w:type="character" w:customStyle="1" w:styleId="CommentSubjectChar">
    <w:name w:val="Comment Subject Char"/>
    <w:basedOn w:val="CommentTextChar"/>
    <w:link w:val="CommentSubject"/>
    <w:uiPriority w:val="99"/>
    <w:semiHidden/>
    <w:rsid w:val="007C0530"/>
    <w:rPr>
      <w:b/>
      <w:bCs/>
      <w:sz w:val="20"/>
      <w:szCs w:val="20"/>
    </w:rPr>
  </w:style>
  <w:style w:type="character" w:styleId="SubtleEmphasis">
    <w:name w:val="Subtle Emphasis"/>
    <w:uiPriority w:val="19"/>
    <w:qFormat/>
    <w:rsid w:val="00CF7A9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iter@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current/naics4_212300.ht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A17B2-2C72-4B28-87E0-06504704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6428</Words>
  <Characters>36646</Characters>
  <Application>Microsoft Office Word</Application>
  <DocSecurity>4</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2016-07-05T15:08:00Z</dcterms:created>
  <dcterms:modified xsi:type="dcterms:W3CDTF">2016-07-05T15:08:00Z</dcterms:modified>
</cp:coreProperties>
</file>