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4642F" w14:textId="77777777" w:rsidR="00913EDB" w:rsidRPr="00A93EB5" w:rsidRDefault="00913EDB" w:rsidP="00D875EA">
      <w:pPr>
        <w:autoSpaceDE w:val="0"/>
        <w:autoSpaceDN w:val="0"/>
        <w:adjustRightInd w:val="0"/>
        <w:ind w:left="720"/>
        <w:rPr>
          <w:b/>
          <w:bCs/>
          <w:color w:val="FF0000"/>
        </w:rPr>
      </w:pPr>
    </w:p>
    <w:p w14:paraId="73F46430" w14:textId="77777777" w:rsidR="00203955" w:rsidRPr="005C388F" w:rsidRDefault="00203955" w:rsidP="00A64C0E">
      <w:pPr>
        <w:autoSpaceDE w:val="0"/>
        <w:autoSpaceDN w:val="0"/>
        <w:adjustRightInd w:val="0"/>
        <w:ind w:left="720"/>
        <w:jc w:val="center"/>
        <w:rPr>
          <w:b/>
          <w:bCs/>
        </w:rPr>
      </w:pPr>
      <w:r w:rsidRPr="005C388F">
        <w:rPr>
          <w:b/>
          <w:bCs/>
        </w:rPr>
        <w:t>Supporting Statement</w:t>
      </w:r>
    </w:p>
    <w:p w14:paraId="73F46431" w14:textId="77777777" w:rsidR="00972DEF" w:rsidRPr="005C388F" w:rsidRDefault="009901D4" w:rsidP="00A64C0E">
      <w:pPr>
        <w:autoSpaceDE w:val="0"/>
        <w:autoSpaceDN w:val="0"/>
        <w:adjustRightInd w:val="0"/>
        <w:ind w:left="720"/>
        <w:jc w:val="center"/>
        <w:rPr>
          <w:b/>
          <w:bCs/>
        </w:rPr>
      </w:pPr>
      <w:r w:rsidRPr="005C388F">
        <w:rPr>
          <w:b/>
          <w:bCs/>
        </w:rPr>
        <w:t>F</w:t>
      </w:r>
      <w:r w:rsidR="00972DEF" w:rsidRPr="005C388F">
        <w:rPr>
          <w:b/>
          <w:bCs/>
        </w:rPr>
        <w:t>or</w:t>
      </w:r>
      <w:r w:rsidR="008D1EBA" w:rsidRPr="005C388F">
        <w:rPr>
          <w:b/>
          <w:bCs/>
        </w:rPr>
        <w:t xml:space="preserve"> OMB Information Collection R</w:t>
      </w:r>
      <w:r w:rsidRPr="005C388F">
        <w:rPr>
          <w:b/>
          <w:bCs/>
        </w:rPr>
        <w:t>equest</w:t>
      </w:r>
    </w:p>
    <w:p w14:paraId="73F46432" w14:textId="77777777" w:rsidR="00384074" w:rsidRPr="005C388F" w:rsidRDefault="00384074" w:rsidP="00A64C0E">
      <w:pPr>
        <w:autoSpaceDE w:val="0"/>
        <w:autoSpaceDN w:val="0"/>
        <w:adjustRightInd w:val="0"/>
        <w:ind w:left="1440"/>
        <w:jc w:val="center"/>
        <w:rPr>
          <w:b/>
          <w:bCs/>
        </w:rPr>
      </w:pPr>
    </w:p>
    <w:p w14:paraId="73F46433" w14:textId="77777777" w:rsidR="00211558" w:rsidRPr="005C388F" w:rsidRDefault="00211558" w:rsidP="00A64C0E">
      <w:pPr>
        <w:autoSpaceDE w:val="0"/>
        <w:autoSpaceDN w:val="0"/>
        <w:adjustRightInd w:val="0"/>
        <w:ind w:left="1440"/>
        <w:jc w:val="center"/>
        <w:rPr>
          <w:b/>
          <w:bCs/>
        </w:rPr>
      </w:pPr>
    </w:p>
    <w:p w14:paraId="73F46434" w14:textId="77777777" w:rsidR="00384074" w:rsidRPr="005C388F" w:rsidRDefault="00384074" w:rsidP="00A64C0E">
      <w:pPr>
        <w:keepNext/>
        <w:keepLines/>
        <w:ind w:left="720"/>
        <w:jc w:val="center"/>
        <w:outlineLvl w:val="6"/>
        <w:rPr>
          <w:rFonts w:eastAsiaTheme="majorEastAsia"/>
          <w:i/>
          <w:iCs/>
          <w:color w:val="404040" w:themeColor="text1" w:themeTint="BF"/>
        </w:rPr>
      </w:pPr>
      <w:r w:rsidRPr="005C388F">
        <w:rPr>
          <w:rFonts w:eastAsiaTheme="majorEastAsia"/>
          <w:b/>
          <w:i/>
          <w:iCs/>
          <w:color w:val="404040" w:themeColor="text1" w:themeTint="BF"/>
        </w:rPr>
        <w:t xml:space="preserve">SUPPORTING STATEMENT:  </w:t>
      </w:r>
      <w:r w:rsidRPr="005C388F">
        <w:rPr>
          <w:rFonts w:eastAsiaTheme="majorEastAsia"/>
          <w:i/>
          <w:iCs/>
          <w:color w:val="404040" w:themeColor="text1" w:themeTint="BF"/>
        </w:rPr>
        <w:t>PART A</w:t>
      </w:r>
    </w:p>
    <w:p w14:paraId="73F46435" w14:textId="77777777" w:rsidR="00972DEF" w:rsidRPr="005C388F" w:rsidRDefault="00972DEF" w:rsidP="00A64C0E">
      <w:pPr>
        <w:pStyle w:val="BalloonText"/>
        <w:ind w:left="720"/>
        <w:jc w:val="center"/>
        <w:rPr>
          <w:sz w:val="24"/>
          <w:szCs w:val="24"/>
        </w:rPr>
      </w:pPr>
    </w:p>
    <w:p w14:paraId="73F46436" w14:textId="77777777" w:rsidR="00972DEF" w:rsidRPr="005C388F" w:rsidRDefault="00972DEF" w:rsidP="00A64C0E">
      <w:pPr>
        <w:autoSpaceDE w:val="0"/>
        <w:autoSpaceDN w:val="0"/>
        <w:adjustRightInd w:val="0"/>
        <w:ind w:left="720"/>
        <w:jc w:val="center"/>
        <w:rPr>
          <w:b/>
          <w:bCs/>
        </w:rPr>
      </w:pPr>
    </w:p>
    <w:p w14:paraId="73F46437" w14:textId="1AFA56D8" w:rsidR="00972DEF" w:rsidRPr="005C388F" w:rsidRDefault="005068B0" w:rsidP="00A64C0E">
      <w:pPr>
        <w:ind w:left="720"/>
        <w:jc w:val="center"/>
        <w:rPr>
          <w:b/>
        </w:rPr>
      </w:pPr>
      <w:r w:rsidRPr="005C388F">
        <w:rPr>
          <w:b/>
        </w:rPr>
        <w:t>OMB</w:t>
      </w:r>
      <w:r w:rsidR="003B1062" w:rsidRPr="005C388F">
        <w:rPr>
          <w:b/>
        </w:rPr>
        <w:t xml:space="preserve"># </w:t>
      </w:r>
      <w:r w:rsidR="007974C4" w:rsidRPr="005C388F">
        <w:rPr>
          <w:b/>
        </w:rPr>
        <w:t>0920-</w:t>
      </w:r>
      <w:r w:rsidR="00AF57D8" w:rsidRPr="00640EB3">
        <w:rPr>
          <w:b/>
        </w:rPr>
        <w:t>16BZ</w:t>
      </w:r>
    </w:p>
    <w:p w14:paraId="73F46438" w14:textId="77777777" w:rsidR="00972DEF" w:rsidRPr="005C388F" w:rsidRDefault="00972DEF" w:rsidP="00A64C0E">
      <w:pPr>
        <w:ind w:left="720"/>
        <w:jc w:val="center"/>
        <w:rPr>
          <w:b/>
        </w:rPr>
      </w:pPr>
    </w:p>
    <w:p w14:paraId="73F46439" w14:textId="77777777" w:rsidR="00972DEF" w:rsidRPr="005C388F" w:rsidRDefault="00972DEF" w:rsidP="00A64C0E">
      <w:pPr>
        <w:ind w:left="720"/>
        <w:jc w:val="center"/>
      </w:pPr>
    </w:p>
    <w:p w14:paraId="4773AC36" w14:textId="5694A367" w:rsidR="009E411F" w:rsidRPr="005C388F" w:rsidRDefault="00AF57D8" w:rsidP="00A64C0E">
      <w:pPr>
        <w:ind w:left="720"/>
        <w:jc w:val="center"/>
        <w:rPr>
          <w:b/>
        </w:rPr>
      </w:pPr>
      <w:r w:rsidRPr="005C388F">
        <w:rPr>
          <w:b/>
        </w:rPr>
        <w:t xml:space="preserve">February </w:t>
      </w:r>
      <w:r w:rsidR="008F1FA3">
        <w:rPr>
          <w:b/>
        </w:rPr>
        <w:t>11</w:t>
      </w:r>
      <w:r w:rsidRPr="005C388F">
        <w:rPr>
          <w:b/>
        </w:rPr>
        <w:t>, 2016</w:t>
      </w:r>
    </w:p>
    <w:p w14:paraId="644A90C6" w14:textId="77777777" w:rsidR="009E411F" w:rsidRDefault="009E411F" w:rsidP="00A64C0E">
      <w:pPr>
        <w:ind w:left="720"/>
        <w:jc w:val="center"/>
        <w:rPr>
          <w:b/>
        </w:rPr>
      </w:pPr>
    </w:p>
    <w:p w14:paraId="299C5E0B" w14:textId="77777777" w:rsidR="008F1FA3" w:rsidRPr="00640EB3" w:rsidRDefault="008F1FA3" w:rsidP="00A64C0E">
      <w:pPr>
        <w:ind w:left="720"/>
        <w:jc w:val="center"/>
        <w:rPr>
          <w:b/>
        </w:rPr>
      </w:pPr>
    </w:p>
    <w:p w14:paraId="680C70E0" w14:textId="45A1F6D6" w:rsidR="009E411F" w:rsidRPr="005C388F" w:rsidRDefault="00FB432B" w:rsidP="00A64C0E">
      <w:pPr>
        <w:ind w:left="720"/>
        <w:jc w:val="center"/>
        <w:rPr>
          <w:b/>
        </w:rPr>
      </w:pPr>
      <w:r w:rsidRPr="005C388F">
        <w:rPr>
          <w:b/>
          <w:bCs/>
        </w:rPr>
        <w:t>“</w:t>
      </w:r>
      <w:r w:rsidR="009E411F" w:rsidRPr="005C388F">
        <w:rPr>
          <w:b/>
          <w:bCs/>
        </w:rPr>
        <w:t>MONITORING AND REPORTING FOR THE</w:t>
      </w:r>
    </w:p>
    <w:p w14:paraId="1AB1F935" w14:textId="7D685772" w:rsidR="009E411F" w:rsidRPr="005C388F" w:rsidRDefault="009E411F" w:rsidP="00A64C0E">
      <w:pPr>
        <w:autoSpaceDE w:val="0"/>
        <w:autoSpaceDN w:val="0"/>
        <w:adjustRightInd w:val="0"/>
        <w:ind w:left="1440"/>
        <w:jc w:val="center"/>
        <w:rPr>
          <w:b/>
          <w:bCs/>
        </w:rPr>
      </w:pPr>
      <w:r w:rsidRPr="005C388F">
        <w:rPr>
          <w:b/>
          <w:bCs/>
        </w:rPr>
        <w:t xml:space="preserve">CORE </w:t>
      </w:r>
      <w:r w:rsidR="007A6DDA" w:rsidRPr="005C388F">
        <w:rPr>
          <w:b/>
          <w:bCs/>
        </w:rPr>
        <w:t xml:space="preserve">STATE </w:t>
      </w:r>
      <w:r w:rsidRPr="005C388F">
        <w:rPr>
          <w:b/>
          <w:bCs/>
        </w:rPr>
        <w:t>VIOLENCE AND INJURY PREVENTION PROGRAM</w:t>
      </w:r>
    </w:p>
    <w:p w14:paraId="73F4643D" w14:textId="27D07BB9" w:rsidR="009901D4" w:rsidRPr="005C388F" w:rsidRDefault="009E411F" w:rsidP="00A64C0E">
      <w:pPr>
        <w:autoSpaceDE w:val="0"/>
        <w:autoSpaceDN w:val="0"/>
        <w:adjustRightInd w:val="0"/>
        <w:ind w:left="1440"/>
        <w:jc w:val="center"/>
        <w:rPr>
          <w:b/>
          <w:bCs/>
        </w:rPr>
      </w:pPr>
      <w:r w:rsidRPr="005C388F">
        <w:rPr>
          <w:b/>
          <w:bCs/>
        </w:rPr>
        <w:t>COOPERATIVE AGREEMENT</w:t>
      </w:r>
      <w:r w:rsidR="00FB432B" w:rsidRPr="005C388F">
        <w:rPr>
          <w:b/>
          <w:bCs/>
        </w:rPr>
        <w:t>”</w:t>
      </w:r>
    </w:p>
    <w:p w14:paraId="73F4643E" w14:textId="77777777" w:rsidR="00972DEF" w:rsidRPr="005C388F" w:rsidRDefault="00972DEF" w:rsidP="00A64C0E">
      <w:pPr>
        <w:ind w:left="720"/>
        <w:jc w:val="center"/>
      </w:pPr>
    </w:p>
    <w:p w14:paraId="1BA0E5A8" w14:textId="77777777" w:rsidR="009E411F" w:rsidRPr="005C388F" w:rsidRDefault="009E411F" w:rsidP="00A64C0E">
      <w:pPr>
        <w:ind w:left="720"/>
        <w:jc w:val="center"/>
        <w:rPr>
          <w:bCs/>
        </w:rPr>
      </w:pPr>
    </w:p>
    <w:p w14:paraId="334010C5" w14:textId="77777777" w:rsidR="009E411F" w:rsidRPr="005C388F" w:rsidRDefault="009E411F" w:rsidP="00A64C0E">
      <w:pPr>
        <w:ind w:left="720"/>
        <w:jc w:val="center"/>
        <w:rPr>
          <w:bCs/>
        </w:rPr>
      </w:pPr>
    </w:p>
    <w:p w14:paraId="3BD017A7" w14:textId="77777777" w:rsidR="009E411F" w:rsidRPr="005C388F" w:rsidRDefault="009E411F" w:rsidP="00A64C0E">
      <w:pPr>
        <w:ind w:left="720"/>
        <w:jc w:val="center"/>
        <w:rPr>
          <w:bCs/>
        </w:rPr>
      </w:pPr>
    </w:p>
    <w:p w14:paraId="39284373" w14:textId="77777777" w:rsidR="009E411F" w:rsidRPr="005C388F" w:rsidRDefault="009E411F" w:rsidP="00A64C0E">
      <w:pPr>
        <w:ind w:left="720"/>
        <w:jc w:val="center"/>
        <w:rPr>
          <w:bCs/>
        </w:rPr>
      </w:pPr>
    </w:p>
    <w:p w14:paraId="06971CD3" w14:textId="77777777" w:rsidR="009E411F" w:rsidRPr="005C388F" w:rsidRDefault="009E411F" w:rsidP="00A64C0E">
      <w:pPr>
        <w:ind w:left="720"/>
        <w:jc w:val="center"/>
        <w:rPr>
          <w:bCs/>
        </w:rPr>
      </w:pPr>
    </w:p>
    <w:p w14:paraId="73F4643F" w14:textId="77777777" w:rsidR="009901D4" w:rsidRPr="005C388F" w:rsidRDefault="009901D4" w:rsidP="00A64C0E">
      <w:pPr>
        <w:ind w:left="720"/>
        <w:jc w:val="center"/>
        <w:rPr>
          <w:bCs/>
        </w:rPr>
      </w:pPr>
      <w:r w:rsidRPr="005C388F">
        <w:rPr>
          <w:bCs/>
        </w:rPr>
        <w:t>Supported by:</w:t>
      </w:r>
    </w:p>
    <w:p w14:paraId="73F46440" w14:textId="77777777" w:rsidR="009901D4" w:rsidRPr="005C388F" w:rsidRDefault="009901D4" w:rsidP="00A64C0E">
      <w:pPr>
        <w:ind w:left="720"/>
        <w:jc w:val="center"/>
        <w:rPr>
          <w:bCs/>
        </w:rPr>
      </w:pPr>
    </w:p>
    <w:p w14:paraId="73F46441" w14:textId="77777777" w:rsidR="009901D4" w:rsidRPr="005C388F" w:rsidRDefault="009901D4" w:rsidP="00A64C0E">
      <w:pPr>
        <w:ind w:left="720"/>
        <w:jc w:val="center"/>
      </w:pPr>
      <w:r w:rsidRPr="005C388F">
        <w:t>Department of Health and Human Services</w:t>
      </w:r>
    </w:p>
    <w:p w14:paraId="73F46442" w14:textId="77777777" w:rsidR="009901D4" w:rsidRPr="005C388F" w:rsidRDefault="009901D4" w:rsidP="00A64C0E">
      <w:pPr>
        <w:ind w:left="720"/>
        <w:jc w:val="center"/>
      </w:pPr>
      <w:r w:rsidRPr="005C388F">
        <w:t>Centers for Disease Control and Prevention</w:t>
      </w:r>
    </w:p>
    <w:p w14:paraId="73F46443" w14:textId="77777777" w:rsidR="009901D4" w:rsidRPr="005C388F" w:rsidRDefault="009901D4" w:rsidP="00A64C0E">
      <w:pPr>
        <w:ind w:left="720"/>
        <w:jc w:val="center"/>
      </w:pPr>
      <w:r w:rsidRPr="005C388F">
        <w:t>National Center for Injury Prevention and Control</w:t>
      </w:r>
    </w:p>
    <w:p w14:paraId="73F46444" w14:textId="2FE4BB70" w:rsidR="009901D4" w:rsidRPr="005C388F" w:rsidRDefault="009901D4" w:rsidP="00A64C0E">
      <w:pPr>
        <w:ind w:left="720"/>
        <w:jc w:val="center"/>
      </w:pPr>
      <w:r w:rsidRPr="005C388F">
        <w:t>Division of</w:t>
      </w:r>
      <w:r w:rsidR="009E411F" w:rsidRPr="005C388F">
        <w:t xml:space="preserve"> Analysis, Research, and Practice Integration</w:t>
      </w:r>
    </w:p>
    <w:p w14:paraId="73F46445" w14:textId="77777777" w:rsidR="00972DEF" w:rsidRPr="005C388F" w:rsidRDefault="00972DEF" w:rsidP="00A64C0E">
      <w:pPr>
        <w:ind w:left="720"/>
        <w:jc w:val="center"/>
      </w:pPr>
    </w:p>
    <w:p w14:paraId="73F46446" w14:textId="77777777" w:rsidR="00972DEF" w:rsidRPr="005C388F" w:rsidRDefault="00972DEF" w:rsidP="00A64C0E">
      <w:pPr>
        <w:ind w:left="720"/>
        <w:jc w:val="center"/>
      </w:pPr>
    </w:p>
    <w:p w14:paraId="73F46447" w14:textId="77777777" w:rsidR="00972DEF" w:rsidRPr="005C388F" w:rsidRDefault="00972DEF" w:rsidP="00A64C0E">
      <w:pPr>
        <w:ind w:left="720"/>
        <w:jc w:val="center"/>
      </w:pPr>
    </w:p>
    <w:p w14:paraId="73F46449" w14:textId="77777777" w:rsidR="00972DEF" w:rsidRPr="005C388F" w:rsidRDefault="00972DEF" w:rsidP="00A64C0E">
      <w:pPr>
        <w:ind w:left="720"/>
        <w:jc w:val="center"/>
      </w:pPr>
    </w:p>
    <w:p w14:paraId="73F4644A" w14:textId="77777777" w:rsidR="00972DEF" w:rsidRPr="005C388F" w:rsidRDefault="00972DEF" w:rsidP="00A64C0E">
      <w:pPr>
        <w:ind w:left="720"/>
        <w:jc w:val="center"/>
      </w:pPr>
    </w:p>
    <w:p w14:paraId="12360D5A" w14:textId="77777777" w:rsidR="009E411F" w:rsidRPr="005C388F" w:rsidRDefault="009E411F" w:rsidP="00A64C0E">
      <w:pPr>
        <w:ind w:left="720"/>
        <w:jc w:val="right"/>
      </w:pPr>
    </w:p>
    <w:p w14:paraId="3EAAEE6B" w14:textId="77777777" w:rsidR="009E411F" w:rsidRPr="005C388F" w:rsidRDefault="009E411F" w:rsidP="00A64C0E">
      <w:pPr>
        <w:ind w:left="720"/>
        <w:jc w:val="right"/>
      </w:pPr>
    </w:p>
    <w:p w14:paraId="3E89459B" w14:textId="77777777" w:rsidR="009E411F" w:rsidRPr="005C388F" w:rsidRDefault="009E411F" w:rsidP="00A64C0E">
      <w:pPr>
        <w:ind w:left="720"/>
        <w:jc w:val="right"/>
      </w:pPr>
    </w:p>
    <w:p w14:paraId="73F4644C" w14:textId="540A6A77" w:rsidR="00FB432B" w:rsidRPr="005C388F" w:rsidRDefault="009E411F" w:rsidP="00A64C0E">
      <w:pPr>
        <w:ind w:left="720"/>
        <w:jc w:val="right"/>
      </w:pPr>
      <w:r w:rsidRPr="005C388F">
        <w:rPr>
          <w:b/>
        </w:rPr>
        <w:t>Point of Contact:</w:t>
      </w:r>
      <w:r w:rsidRPr="005C388F">
        <w:t xml:space="preserve"> </w:t>
      </w:r>
      <w:r w:rsidRPr="005C388F">
        <w:rPr>
          <w:b/>
        </w:rPr>
        <w:t>Marci Hertz</w:t>
      </w:r>
    </w:p>
    <w:p w14:paraId="73F4644E" w14:textId="77777777" w:rsidR="00972DEF" w:rsidRPr="005C388F" w:rsidRDefault="00972DEF" w:rsidP="00A64C0E">
      <w:pPr>
        <w:pStyle w:val="E-mailSignature"/>
        <w:ind w:left="720"/>
        <w:jc w:val="right"/>
        <w:rPr>
          <w:i/>
          <w:noProof/>
        </w:rPr>
      </w:pPr>
      <w:bookmarkStart w:id="0" w:name="_MailAutoSig"/>
      <w:r w:rsidRPr="005C388F">
        <w:rPr>
          <w:i/>
          <w:noProof/>
        </w:rPr>
        <w:t>Centers for Disease Control and Prevention</w:t>
      </w:r>
    </w:p>
    <w:p w14:paraId="73F4644F" w14:textId="77777777" w:rsidR="00972DEF" w:rsidRPr="005C388F" w:rsidRDefault="00972DEF" w:rsidP="00A64C0E">
      <w:pPr>
        <w:pStyle w:val="E-mailSignature"/>
        <w:ind w:left="720"/>
        <w:jc w:val="right"/>
        <w:rPr>
          <w:i/>
          <w:noProof/>
        </w:rPr>
      </w:pPr>
      <w:r w:rsidRPr="005C388F">
        <w:rPr>
          <w:i/>
          <w:noProof/>
        </w:rPr>
        <w:t>National Center for Injury Prevention and Control</w:t>
      </w:r>
    </w:p>
    <w:p w14:paraId="6123BC9F" w14:textId="77777777" w:rsidR="00AD3B5A" w:rsidRPr="005C388F" w:rsidRDefault="00AD3B5A" w:rsidP="00A64C0E">
      <w:pPr>
        <w:pStyle w:val="E-mailSignature"/>
        <w:ind w:left="720"/>
        <w:jc w:val="right"/>
        <w:rPr>
          <w:noProof/>
        </w:rPr>
      </w:pPr>
    </w:p>
    <w:p w14:paraId="73F46450" w14:textId="77777777" w:rsidR="00CF4520" w:rsidRPr="005C388F" w:rsidRDefault="00CF4520" w:rsidP="00A64C0E">
      <w:pPr>
        <w:pStyle w:val="E-mailSignature"/>
        <w:ind w:left="720"/>
        <w:jc w:val="right"/>
        <w:rPr>
          <w:noProof/>
        </w:rPr>
      </w:pPr>
      <w:r w:rsidRPr="005C388F">
        <w:rPr>
          <w:noProof/>
        </w:rPr>
        <w:t>4770 Buford Highway NE  MS F-64</w:t>
      </w:r>
    </w:p>
    <w:p w14:paraId="73F46451" w14:textId="77777777" w:rsidR="00972DEF" w:rsidRPr="005C388F" w:rsidRDefault="00CF4520" w:rsidP="00A64C0E">
      <w:pPr>
        <w:pStyle w:val="E-mailSignature"/>
        <w:ind w:left="720"/>
        <w:jc w:val="right"/>
        <w:rPr>
          <w:noProof/>
        </w:rPr>
      </w:pPr>
      <w:r w:rsidRPr="005C388F">
        <w:rPr>
          <w:noProof/>
        </w:rPr>
        <w:t>A</w:t>
      </w:r>
      <w:r w:rsidR="00972DEF" w:rsidRPr="005C388F">
        <w:rPr>
          <w:noProof/>
        </w:rPr>
        <w:t>tlanta, GA 30341-3724</w:t>
      </w:r>
    </w:p>
    <w:p w14:paraId="73F46452" w14:textId="4E9BD52A" w:rsidR="00972DEF" w:rsidRPr="005C388F" w:rsidRDefault="00CF4520" w:rsidP="00A64C0E">
      <w:pPr>
        <w:pStyle w:val="E-mailSignature"/>
        <w:ind w:left="720"/>
        <w:jc w:val="right"/>
        <w:rPr>
          <w:noProof/>
        </w:rPr>
      </w:pPr>
      <w:r w:rsidRPr="005C388F">
        <w:rPr>
          <w:noProof/>
        </w:rPr>
        <w:t>phone:</w:t>
      </w:r>
      <w:r w:rsidR="009E411F" w:rsidRPr="005C388F">
        <w:rPr>
          <w:noProof/>
        </w:rPr>
        <w:t xml:space="preserve"> 770-488-2547</w:t>
      </w:r>
    </w:p>
    <w:p w14:paraId="7FE3877C" w14:textId="77777777" w:rsidR="009E411F" w:rsidRPr="005C388F" w:rsidRDefault="00972DEF" w:rsidP="00A64C0E">
      <w:pPr>
        <w:pStyle w:val="E-mailSignature"/>
        <w:ind w:left="720"/>
        <w:jc w:val="right"/>
        <w:rPr>
          <w:noProof/>
        </w:rPr>
      </w:pPr>
      <w:r w:rsidRPr="005C388F">
        <w:rPr>
          <w:noProof/>
        </w:rPr>
        <w:t>fax:</w:t>
      </w:r>
      <w:r w:rsidR="009E411F" w:rsidRPr="005C388F">
        <w:rPr>
          <w:noProof/>
        </w:rPr>
        <w:t xml:space="preserve"> 770-488-3551</w:t>
      </w:r>
    </w:p>
    <w:p w14:paraId="73F46459" w14:textId="33080F08" w:rsidR="00F63E8B" w:rsidRPr="005C388F" w:rsidRDefault="008A02C8" w:rsidP="00AD3B5A">
      <w:pPr>
        <w:pStyle w:val="E-mailSignature"/>
        <w:ind w:left="720"/>
        <w:jc w:val="right"/>
        <w:rPr>
          <w:noProof/>
        </w:rPr>
      </w:pPr>
      <w:r w:rsidRPr="005C388F">
        <w:rPr>
          <w:noProof/>
        </w:rPr>
        <w:t>email:</w:t>
      </w:r>
      <w:r w:rsidR="009E411F" w:rsidRPr="005C388F">
        <w:rPr>
          <w:noProof/>
        </w:rPr>
        <w:t xml:space="preserve"> mvf4@cdc.gov</w:t>
      </w:r>
      <w:bookmarkEnd w:id="0"/>
    </w:p>
    <w:p w14:paraId="73F4645A" w14:textId="77777777" w:rsidR="00972DEF" w:rsidRPr="005C388F" w:rsidRDefault="00972DEF" w:rsidP="00A64C0E">
      <w:pPr>
        <w:ind w:left="720"/>
        <w:jc w:val="center"/>
      </w:pPr>
    </w:p>
    <w:p w14:paraId="73F4645B" w14:textId="50BC541C" w:rsidR="00972DEF" w:rsidRPr="005C388F" w:rsidRDefault="009E411F" w:rsidP="00A64C0E">
      <w:pPr>
        <w:ind w:left="720" w:firstLine="720"/>
        <w:jc w:val="center"/>
        <w:rPr>
          <w:b/>
          <w:bCs/>
          <w:noProof/>
        </w:rPr>
      </w:pPr>
      <w:r w:rsidRPr="005C388F">
        <w:rPr>
          <w:b/>
          <w:bCs/>
        </w:rPr>
        <w:t xml:space="preserve">TABLE OF </w:t>
      </w:r>
      <w:r w:rsidR="00972DEF" w:rsidRPr="005C388F">
        <w:rPr>
          <w:b/>
          <w:bCs/>
        </w:rPr>
        <w:t>CONTE</w:t>
      </w:r>
      <w:r w:rsidR="00972DEF" w:rsidRPr="005C388F">
        <w:rPr>
          <w:b/>
          <w:bCs/>
          <w:noProof/>
        </w:rPr>
        <w:t>NTS</w:t>
      </w:r>
    </w:p>
    <w:p w14:paraId="637AE747" w14:textId="77777777" w:rsidR="0070531D" w:rsidRPr="005C388F" w:rsidRDefault="0070531D" w:rsidP="0070531D">
      <w:pPr>
        <w:pStyle w:val="T0-ChapPgHd"/>
        <w:jc w:val="left"/>
        <w:rPr>
          <w:noProof/>
        </w:rPr>
      </w:pPr>
    </w:p>
    <w:p w14:paraId="73F4645C" w14:textId="77777777" w:rsidR="00972DEF" w:rsidRPr="005C388F" w:rsidRDefault="00972DEF" w:rsidP="0070531D">
      <w:pPr>
        <w:pStyle w:val="T0-ChapPgHd"/>
        <w:jc w:val="left"/>
        <w:rPr>
          <w:noProof/>
        </w:rPr>
      </w:pPr>
      <w:r w:rsidRPr="005C388F">
        <w:rPr>
          <w:noProof/>
        </w:rPr>
        <w:t>Section</w:t>
      </w:r>
      <w:r w:rsidRPr="005C388F">
        <w:rPr>
          <w:noProof/>
        </w:rPr>
        <w:tab/>
        <w:t>Page</w:t>
      </w:r>
    </w:p>
    <w:p w14:paraId="73F4645E" w14:textId="2E6F2648" w:rsidR="00541D30" w:rsidRPr="005C388F" w:rsidRDefault="00582280" w:rsidP="0070531D">
      <w:pPr>
        <w:pStyle w:val="TOC1"/>
        <w:ind w:left="0"/>
        <w:rPr>
          <w:noProof/>
        </w:rPr>
      </w:pPr>
      <w:r w:rsidRPr="005C388F">
        <w:rPr>
          <w:noProof/>
        </w:rPr>
        <w:t>Summary table</w:t>
      </w:r>
      <w:r w:rsidRPr="005C388F">
        <w:rPr>
          <w:noProof/>
        </w:rPr>
        <w:tab/>
      </w:r>
      <w:r w:rsidRPr="005C388F">
        <w:rPr>
          <w:noProof/>
        </w:rPr>
        <w:tab/>
        <w:t>3</w:t>
      </w:r>
    </w:p>
    <w:p w14:paraId="73F4645F" w14:textId="77777777" w:rsidR="00541D30" w:rsidRPr="005C388F" w:rsidRDefault="00541D30" w:rsidP="00A64C0E">
      <w:pPr>
        <w:pStyle w:val="TOC1"/>
        <w:ind w:left="1008"/>
        <w:rPr>
          <w:noProof/>
        </w:rPr>
      </w:pPr>
    </w:p>
    <w:p w14:paraId="73F46460" w14:textId="58382E62" w:rsidR="00972DEF" w:rsidRPr="005C388F" w:rsidRDefault="00972DEF" w:rsidP="0070531D">
      <w:pPr>
        <w:pStyle w:val="TOC1"/>
        <w:ind w:left="0"/>
        <w:rPr>
          <w:noProof/>
        </w:rPr>
      </w:pPr>
      <w:r w:rsidRPr="005C388F">
        <w:rPr>
          <w:noProof/>
        </w:rPr>
        <w:t>Justification</w:t>
      </w:r>
      <w:r w:rsidRPr="005C388F">
        <w:rPr>
          <w:noProof/>
        </w:rPr>
        <w:tab/>
      </w:r>
      <w:r w:rsidRPr="005C388F">
        <w:rPr>
          <w:noProof/>
        </w:rPr>
        <w:tab/>
      </w:r>
      <w:r w:rsidR="00D533A0" w:rsidRPr="005C388F">
        <w:rPr>
          <w:noProof/>
        </w:rPr>
        <w:t>3</w:t>
      </w:r>
    </w:p>
    <w:p w14:paraId="73F46461" w14:textId="77777777" w:rsidR="00972DEF" w:rsidRPr="005C388F" w:rsidRDefault="00972DEF" w:rsidP="00A64C0E">
      <w:pPr>
        <w:pStyle w:val="TOC1"/>
        <w:ind w:left="1008"/>
        <w:rPr>
          <w:noProof/>
        </w:rPr>
      </w:pPr>
    </w:p>
    <w:p w14:paraId="73F46462" w14:textId="1AC30102" w:rsidR="00541D30" w:rsidRPr="005C388F" w:rsidRDefault="00972DEF" w:rsidP="0070531D">
      <w:pPr>
        <w:pStyle w:val="TOC2"/>
        <w:ind w:left="2880" w:hanging="1890"/>
        <w:rPr>
          <w:noProof/>
        </w:rPr>
      </w:pPr>
      <w:r w:rsidRPr="005C388F">
        <w:rPr>
          <w:noProof/>
        </w:rPr>
        <w:t>A.1.</w:t>
      </w:r>
      <w:r w:rsidRPr="005C388F">
        <w:rPr>
          <w:noProof/>
        </w:rPr>
        <w:tab/>
        <w:t>Circumstances Making the Collection of Information Necessary</w:t>
      </w:r>
      <w:r w:rsidRPr="005C388F">
        <w:rPr>
          <w:noProof/>
        </w:rPr>
        <w:tab/>
      </w:r>
      <w:r w:rsidR="00D533A0" w:rsidRPr="005C388F">
        <w:rPr>
          <w:noProof/>
        </w:rPr>
        <w:t>3</w:t>
      </w:r>
    </w:p>
    <w:p w14:paraId="73F46463" w14:textId="1ADF34F0" w:rsidR="00972DEF" w:rsidRPr="005C388F" w:rsidRDefault="00972DEF" w:rsidP="0070531D">
      <w:pPr>
        <w:pStyle w:val="TOC2"/>
        <w:ind w:left="2880" w:hanging="1890"/>
        <w:rPr>
          <w:noProof/>
        </w:rPr>
      </w:pPr>
      <w:r w:rsidRPr="005C388F">
        <w:rPr>
          <w:noProof/>
        </w:rPr>
        <w:t>A.2.</w:t>
      </w:r>
      <w:r w:rsidRPr="005C388F">
        <w:rPr>
          <w:noProof/>
        </w:rPr>
        <w:tab/>
        <w:t>Purpose and Use of Information Collection</w:t>
      </w:r>
      <w:r w:rsidRPr="005C388F">
        <w:rPr>
          <w:noProof/>
        </w:rPr>
        <w:tab/>
      </w:r>
      <w:r w:rsidRPr="005C388F">
        <w:rPr>
          <w:noProof/>
        </w:rPr>
        <w:tab/>
      </w:r>
      <w:r w:rsidR="00D533A0" w:rsidRPr="005C388F">
        <w:rPr>
          <w:noProof/>
        </w:rPr>
        <w:t>6</w:t>
      </w:r>
    </w:p>
    <w:p w14:paraId="73F46464" w14:textId="672379DB" w:rsidR="00972DEF" w:rsidRPr="005C388F" w:rsidRDefault="00972DEF" w:rsidP="0070531D">
      <w:pPr>
        <w:pStyle w:val="TOC2"/>
        <w:ind w:left="2880" w:hanging="1890"/>
        <w:rPr>
          <w:noProof/>
        </w:rPr>
      </w:pPr>
      <w:r w:rsidRPr="005C388F">
        <w:rPr>
          <w:noProof/>
        </w:rPr>
        <w:t>A.3.</w:t>
      </w:r>
      <w:r w:rsidRPr="005C388F">
        <w:rPr>
          <w:noProof/>
        </w:rPr>
        <w:tab/>
        <w:t>Use of Improved Information Technology and Burden Reduction</w:t>
      </w:r>
      <w:r w:rsidRPr="005C388F">
        <w:rPr>
          <w:noProof/>
        </w:rPr>
        <w:tab/>
      </w:r>
      <w:r w:rsidR="00D533A0" w:rsidRPr="005C388F">
        <w:rPr>
          <w:noProof/>
        </w:rPr>
        <w:t>8</w:t>
      </w:r>
    </w:p>
    <w:p w14:paraId="73F46465" w14:textId="34F0B2F8" w:rsidR="00972DEF" w:rsidRPr="005C388F" w:rsidRDefault="00972DEF" w:rsidP="0070531D">
      <w:pPr>
        <w:pStyle w:val="TOC2"/>
        <w:ind w:left="2880" w:hanging="1890"/>
        <w:rPr>
          <w:noProof/>
        </w:rPr>
      </w:pPr>
      <w:r w:rsidRPr="005C388F">
        <w:rPr>
          <w:noProof/>
        </w:rPr>
        <w:t>A.4.</w:t>
      </w:r>
      <w:r w:rsidRPr="005C388F">
        <w:rPr>
          <w:noProof/>
        </w:rPr>
        <w:tab/>
        <w:t>Efforts to Identify Duplication and Use of Similar Information</w:t>
      </w:r>
      <w:r w:rsidRPr="005C388F">
        <w:rPr>
          <w:noProof/>
        </w:rPr>
        <w:tab/>
      </w:r>
      <w:r w:rsidRPr="005C388F">
        <w:rPr>
          <w:noProof/>
        </w:rPr>
        <w:tab/>
      </w:r>
      <w:r w:rsidR="00D533A0" w:rsidRPr="005C388F">
        <w:rPr>
          <w:noProof/>
        </w:rPr>
        <w:t>9</w:t>
      </w:r>
    </w:p>
    <w:p w14:paraId="73F46466" w14:textId="7892D9C1" w:rsidR="00972DEF" w:rsidRPr="005C388F" w:rsidRDefault="00972DEF" w:rsidP="0070531D">
      <w:pPr>
        <w:pStyle w:val="TOC2"/>
        <w:ind w:left="2880" w:hanging="1890"/>
        <w:rPr>
          <w:noProof/>
        </w:rPr>
      </w:pPr>
      <w:r w:rsidRPr="005C388F">
        <w:rPr>
          <w:noProof/>
        </w:rPr>
        <w:t>A.5.</w:t>
      </w:r>
      <w:r w:rsidRPr="005C388F">
        <w:rPr>
          <w:noProof/>
        </w:rPr>
        <w:tab/>
        <w:t>Impact on Small Businesses or Other Small Entities</w:t>
      </w:r>
      <w:r w:rsidRPr="005C388F">
        <w:rPr>
          <w:noProof/>
        </w:rPr>
        <w:tab/>
      </w:r>
      <w:r w:rsidRPr="005C388F">
        <w:rPr>
          <w:noProof/>
        </w:rPr>
        <w:tab/>
      </w:r>
      <w:r w:rsidR="00D533A0" w:rsidRPr="005C388F">
        <w:rPr>
          <w:noProof/>
        </w:rPr>
        <w:t>9</w:t>
      </w:r>
    </w:p>
    <w:p w14:paraId="73F46467" w14:textId="2F9509E6" w:rsidR="00972DEF" w:rsidRPr="005C388F" w:rsidRDefault="00972DEF" w:rsidP="0070531D">
      <w:pPr>
        <w:pStyle w:val="TOC2"/>
        <w:ind w:left="2880" w:hanging="1890"/>
        <w:rPr>
          <w:noProof/>
        </w:rPr>
      </w:pPr>
      <w:r w:rsidRPr="005C388F">
        <w:rPr>
          <w:noProof/>
        </w:rPr>
        <w:t>A.6.</w:t>
      </w:r>
      <w:r w:rsidRPr="005C388F">
        <w:rPr>
          <w:noProof/>
        </w:rPr>
        <w:tab/>
        <w:t>Consequences of Collecting the Information Less Frequently</w:t>
      </w:r>
      <w:r w:rsidRPr="005C388F">
        <w:rPr>
          <w:noProof/>
        </w:rPr>
        <w:tab/>
      </w:r>
      <w:r w:rsidRPr="005C388F">
        <w:rPr>
          <w:noProof/>
        </w:rPr>
        <w:tab/>
      </w:r>
      <w:r w:rsidR="00D533A0" w:rsidRPr="005C388F">
        <w:rPr>
          <w:noProof/>
        </w:rPr>
        <w:t>9</w:t>
      </w:r>
    </w:p>
    <w:p w14:paraId="73F46468" w14:textId="77777777" w:rsidR="00972DEF" w:rsidRPr="005C388F" w:rsidRDefault="00972DEF" w:rsidP="0070531D">
      <w:pPr>
        <w:pStyle w:val="TOC2"/>
        <w:ind w:left="2880" w:hanging="1890"/>
        <w:rPr>
          <w:noProof/>
        </w:rPr>
      </w:pPr>
      <w:r w:rsidRPr="005C388F">
        <w:rPr>
          <w:noProof/>
        </w:rPr>
        <w:t>A.7.</w:t>
      </w:r>
      <w:r w:rsidRPr="005C388F">
        <w:rPr>
          <w:noProof/>
        </w:rPr>
        <w:tab/>
        <w:t xml:space="preserve">Special Circumstances Relating to the Guidelines of </w:t>
      </w:r>
    </w:p>
    <w:p w14:paraId="73F46469" w14:textId="17EDC10D" w:rsidR="00972DEF" w:rsidRPr="005C388F" w:rsidRDefault="00972DEF" w:rsidP="0070531D">
      <w:pPr>
        <w:pStyle w:val="TOC2"/>
        <w:ind w:left="2880" w:hanging="1890"/>
        <w:rPr>
          <w:noProof/>
        </w:rPr>
      </w:pPr>
      <w:r w:rsidRPr="005C388F">
        <w:rPr>
          <w:noProof/>
        </w:rPr>
        <w:tab/>
        <w:t>5 CFR 1320.5(d)2</w:t>
      </w:r>
      <w:r w:rsidRPr="005C388F">
        <w:rPr>
          <w:noProof/>
        </w:rPr>
        <w:tab/>
      </w:r>
      <w:r w:rsidRPr="005C388F">
        <w:rPr>
          <w:noProof/>
        </w:rPr>
        <w:tab/>
      </w:r>
      <w:r w:rsidR="00D533A0" w:rsidRPr="005C388F">
        <w:rPr>
          <w:noProof/>
        </w:rPr>
        <w:t>9</w:t>
      </w:r>
    </w:p>
    <w:p w14:paraId="73F4646A" w14:textId="77777777" w:rsidR="00972DEF" w:rsidRPr="005C388F" w:rsidRDefault="00972DEF" w:rsidP="0070531D">
      <w:pPr>
        <w:pStyle w:val="TOC2"/>
        <w:ind w:left="2880" w:hanging="1890"/>
        <w:rPr>
          <w:noProof/>
        </w:rPr>
      </w:pPr>
      <w:r w:rsidRPr="005C388F">
        <w:rPr>
          <w:noProof/>
        </w:rPr>
        <w:t>A.8.</w:t>
      </w:r>
      <w:r w:rsidRPr="005C388F">
        <w:rPr>
          <w:noProof/>
        </w:rPr>
        <w:tab/>
        <w:t xml:space="preserve">Comments in Response to the Federal Register Notice and </w:t>
      </w:r>
    </w:p>
    <w:p w14:paraId="73F4646B" w14:textId="709DFA5F" w:rsidR="00972DEF" w:rsidRPr="005C388F" w:rsidRDefault="00972DEF" w:rsidP="0070531D">
      <w:pPr>
        <w:pStyle w:val="TOC2"/>
        <w:ind w:left="2880" w:hanging="1890"/>
        <w:rPr>
          <w:noProof/>
        </w:rPr>
      </w:pPr>
      <w:r w:rsidRPr="005C388F">
        <w:rPr>
          <w:noProof/>
        </w:rPr>
        <w:tab/>
        <w:t>Efforts to Consult Outside the Agency</w:t>
      </w:r>
      <w:r w:rsidRPr="005C388F">
        <w:rPr>
          <w:noProof/>
        </w:rPr>
        <w:tab/>
      </w:r>
      <w:r w:rsidRPr="005C388F">
        <w:rPr>
          <w:noProof/>
        </w:rPr>
        <w:tab/>
      </w:r>
      <w:r w:rsidR="00D533A0" w:rsidRPr="005C388F">
        <w:rPr>
          <w:noProof/>
        </w:rPr>
        <w:t>9</w:t>
      </w:r>
    </w:p>
    <w:p w14:paraId="73F4646C" w14:textId="5FD0902A" w:rsidR="00972DEF" w:rsidRPr="005C388F" w:rsidRDefault="00972DEF" w:rsidP="0070531D">
      <w:pPr>
        <w:pStyle w:val="TOC2"/>
        <w:ind w:left="2880" w:hanging="1890"/>
        <w:rPr>
          <w:noProof/>
        </w:rPr>
      </w:pPr>
      <w:r w:rsidRPr="005C388F">
        <w:rPr>
          <w:noProof/>
        </w:rPr>
        <w:t>A.9.</w:t>
      </w:r>
      <w:r w:rsidRPr="005C388F">
        <w:rPr>
          <w:noProof/>
        </w:rPr>
        <w:tab/>
        <w:t>Explanation of Any Payment or Gift to Respondents</w:t>
      </w:r>
      <w:r w:rsidRPr="005C388F">
        <w:rPr>
          <w:noProof/>
        </w:rPr>
        <w:tab/>
      </w:r>
      <w:r w:rsidRPr="005C388F">
        <w:rPr>
          <w:noProof/>
        </w:rPr>
        <w:tab/>
      </w:r>
      <w:r w:rsidR="00D533A0" w:rsidRPr="005C388F">
        <w:rPr>
          <w:noProof/>
        </w:rPr>
        <w:t>10</w:t>
      </w:r>
    </w:p>
    <w:p w14:paraId="5959F7FB" w14:textId="77777777" w:rsidR="00D070B1" w:rsidRPr="005C388F" w:rsidRDefault="00972DEF" w:rsidP="0070531D">
      <w:pPr>
        <w:pStyle w:val="TOC2"/>
        <w:ind w:left="2880" w:hanging="1890"/>
        <w:rPr>
          <w:noProof/>
        </w:rPr>
      </w:pPr>
      <w:r w:rsidRPr="005C388F">
        <w:rPr>
          <w:noProof/>
        </w:rPr>
        <w:t>A.10.</w:t>
      </w:r>
      <w:r w:rsidRPr="005C388F">
        <w:rPr>
          <w:noProof/>
        </w:rPr>
        <w:tab/>
      </w:r>
      <w:r w:rsidR="00D070B1" w:rsidRPr="005C388F">
        <w:rPr>
          <w:noProof/>
        </w:rPr>
        <w:t xml:space="preserve">Protection of the Privacy and Confidentiality of Information </w:t>
      </w:r>
    </w:p>
    <w:p w14:paraId="73F4646D" w14:textId="3D9FD20B" w:rsidR="00972DEF" w:rsidRPr="005C388F" w:rsidRDefault="00D070B1" w:rsidP="0070531D">
      <w:pPr>
        <w:pStyle w:val="TOC2"/>
        <w:ind w:left="2880" w:hanging="1890"/>
        <w:rPr>
          <w:noProof/>
        </w:rPr>
      </w:pPr>
      <w:r w:rsidRPr="005C388F">
        <w:rPr>
          <w:noProof/>
        </w:rPr>
        <w:tab/>
        <w:t>Provided by Respondents</w:t>
      </w:r>
      <w:r w:rsidR="00972DEF" w:rsidRPr="005C388F">
        <w:rPr>
          <w:noProof/>
        </w:rPr>
        <w:tab/>
      </w:r>
      <w:r w:rsidR="00972DEF" w:rsidRPr="005C388F">
        <w:rPr>
          <w:noProof/>
        </w:rPr>
        <w:tab/>
      </w:r>
      <w:r w:rsidR="00D533A0" w:rsidRPr="005C388F">
        <w:rPr>
          <w:noProof/>
        </w:rPr>
        <w:t>10</w:t>
      </w:r>
    </w:p>
    <w:p w14:paraId="34467014" w14:textId="77777777" w:rsidR="00D070B1" w:rsidRPr="005C388F" w:rsidRDefault="00972DEF" w:rsidP="0070531D">
      <w:pPr>
        <w:pStyle w:val="TOC2"/>
        <w:ind w:left="2880" w:hanging="1890"/>
        <w:rPr>
          <w:noProof/>
        </w:rPr>
      </w:pPr>
      <w:r w:rsidRPr="005C388F">
        <w:rPr>
          <w:noProof/>
        </w:rPr>
        <w:t>A.11.</w:t>
      </w:r>
      <w:r w:rsidRPr="005C388F">
        <w:rPr>
          <w:noProof/>
        </w:rPr>
        <w:tab/>
      </w:r>
      <w:r w:rsidR="00D070B1" w:rsidRPr="005C388F">
        <w:rPr>
          <w:noProof/>
        </w:rPr>
        <w:t xml:space="preserve">Institutional Review Board (IRB) and Justification for </w:t>
      </w:r>
    </w:p>
    <w:p w14:paraId="73F4646E" w14:textId="5B7591DF" w:rsidR="00972DEF" w:rsidRPr="005C388F" w:rsidRDefault="00D070B1" w:rsidP="0070531D">
      <w:pPr>
        <w:pStyle w:val="TOC2"/>
        <w:ind w:left="2880" w:hanging="1890"/>
        <w:rPr>
          <w:noProof/>
        </w:rPr>
      </w:pPr>
      <w:r w:rsidRPr="005C388F">
        <w:rPr>
          <w:noProof/>
        </w:rPr>
        <w:tab/>
        <w:t>Sensitive Questions</w:t>
      </w:r>
      <w:r w:rsidR="008E78B9" w:rsidRPr="005C388F">
        <w:rPr>
          <w:noProof/>
        </w:rPr>
        <w:tab/>
      </w:r>
      <w:r w:rsidR="008E78B9" w:rsidRPr="005C388F">
        <w:rPr>
          <w:noProof/>
        </w:rPr>
        <w:tab/>
      </w:r>
      <w:r w:rsidR="00D533A0" w:rsidRPr="005C388F">
        <w:rPr>
          <w:noProof/>
        </w:rPr>
        <w:t>10</w:t>
      </w:r>
    </w:p>
    <w:p w14:paraId="73F4646F" w14:textId="3057812C" w:rsidR="00972DEF" w:rsidRPr="005C388F" w:rsidRDefault="00972DEF" w:rsidP="0070531D">
      <w:pPr>
        <w:pStyle w:val="TOC2"/>
        <w:ind w:left="2880" w:hanging="1890"/>
        <w:rPr>
          <w:noProof/>
        </w:rPr>
      </w:pPr>
      <w:r w:rsidRPr="005C388F">
        <w:rPr>
          <w:noProof/>
        </w:rPr>
        <w:t>A.12.</w:t>
      </w:r>
      <w:r w:rsidRPr="005C388F">
        <w:rPr>
          <w:noProof/>
        </w:rPr>
        <w:tab/>
        <w:t>Estimates of Annualized Burden Hours and Costs</w:t>
      </w:r>
      <w:r w:rsidRPr="005C388F">
        <w:rPr>
          <w:noProof/>
        </w:rPr>
        <w:tab/>
      </w:r>
      <w:r w:rsidRPr="005C388F">
        <w:rPr>
          <w:noProof/>
        </w:rPr>
        <w:tab/>
      </w:r>
      <w:r w:rsidR="00D533A0" w:rsidRPr="005C388F">
        <w:rPr>
          <w:noProof/>
        </w:rPr>
        <w:t>11</w:t>
      </w:r>
    </w:p>
    <w:p w14:paraId="73F46470" w14:textId="77777777" w:rsidR="00972DEF" w:rsidRPr="005C388F" w:rsidRDefault="00972DEF" w:rsidP="0070531D">
      <w:pPr>
        <w:pStyle w:val="TOC2"/>
        <w:ind w:left="2880" w:hanging="1890"/>
        <w:rPr>
          <w:noProof/>
        </w:rPr>
      </w:pPr>
      <w:r w:rsidRPr="005C388F">
        <w:rPr>
          <w:noProof/>
        </w:rPr>
        <w:t>A.13.</w:t>
      </w:r>
      <w:r w:rsidRPr="005C388F">
        <w:rPr>
          <w:noProof/>
        </w:rPr>
        <w:tab/>
        <w:t xml:space="preserve">Estimates of Other Total Annual Cost Burden to Respondents </w:t>
      </w:r>
    </w:p>
    <w:p w14:paraId="73F46471" w14:textId="79CB70FD" w:rsidR="00972DEF" w:rsidRPr="005C388F" w:rsidRDefault="00972DEF" w:rsidP="0070531D">
      <w:pPr>
        <w:pStyle w:val="TOC2"/>
        <w:ind w:left="2880" w:hanging="1890"/>
        <w:rPr>
          <w:noProof/>
        </w:rPr>
      </w:pPr>
      <w:r w:rsidRPr="005C388F">
        <w:rPr>
          <w:noProof/>
        </w:rPr>
        <w:tab/>
        <w:t>or Record Keepers</w:t>
      </w:r>
      <w:r w:rsidRPr="005C388F">
        <w:rPr>
          <w:noProof/>
        </w:rPr>
        <w:tab/>
      </w:r>
      <w:r w:rsidRPr="005C388F">
        <w:rPr>
          <w:noProof/>
        </w:rPr>
        <w:tab/>
      </w:r>
      <w:r w:rsidR="003C6986" w:rsidRPr="005C388F">
        <w:rPr>
          <w:noProof/>
        </w:rPr>
        <w:t>13</w:t>
      </w:r>
    </w:p>
    <w:p w14:paraId="73F46472" w14:textId="6E58150A" w:rsidR="00972DEF" w:rsidRPr="005C388F" w:rsidRDefault="00972DEF" w:rsidP="0070531D">
      <w:pPr>
        <w:pStyle w:val="TOC2"/>
        <w:ind w:left="2880" w:hanging="1890"/>
        <w:rPr>
          <w:noProof/>
        </w:rPr>
      </w:pPr>
      <w:r w:rsidRPr="005C388F">
        <w:rPr>
          <w:noProof/>
        </w:rPr>
        <w:t>A.14.</w:t>
      </w:r>
      <w:r w:rsidRPr="005C388F">
        <w:rPr>
          <w:noProof/>
        </w:rPr>
        <w:tab/>
        <w:t>Annualized Cost to the Government</w:t>
      </w:r>
      <w:r w:rsidRPr="005C388F">
        <w:rPr>
          <w:noProof/>
        </w:rPr>
        <w:tab/>
      </w:r>
      <w:r w:rsidRPr="005C388F">
        <w:rPr>
          <w:noProof/>
        </w:rPr>
        <w:tab/>
      </w:r>
      <w:r w:rsidR="003C6986" w:rsidRPr="005C388F">
        <w:rPr>
          <w:noProof/>
        </w:rPr>
        <w:t>14</w:t>
      </w:r>
    </w:p>
    <w:p w14:paraId="73F46473" w14:textId="4159CD70" w:rsidR="00972DEF" w:rsidRPr="005C388F" w:rsidRDefault="00972DEF" w:rsidP="0070531D">
      <w:pPr>
        <w:pStyle w:val="TOC2"/>
        <w:ind w:left="2880" w:hanging="1890"/>
        <w:rPr>
          <w:noProof/>
        </w:rPr>
      </w:pPr>
      <w:r w:rsidRPr="005C388F">
        <w:rPr>
          <w:noProof/>
        </w:rPr>
        <w:t>A.15.</w:t>
      </w:r>
      <w:r w:rsidRPr="005C388F">
        <w:rPr>
          <w:noProof/>
        </w:rPr>
        <w:tab/>
        <w:t>Explanation for Program Changes or Adjustments</w:t>
      </w:r>
      <w:r w:rsidRPr="005C388F">
        <w:rPr>
          <w:noProof/>
        </w:rPr>
        <w:tab/>
      </w:r>
      <w:r w:rsidRPr="005C388F">
        <w:rPr>
          <w:noProof/>
        </w:rPr>
        <w:tab/>
      </w:r>
      <w:r w:rsidR="003C6986" w:rsidRPr="005C388F">
        <w:rPr>
          <w:noProof/>
        </w:rPr>
        <w:t>14</w:t>
      </w:r>
    </w:p>
    <w:p w14:paraId="73F46474" w14:textId="77EAD631" w:rsidR="00972DEF" w:rsidRPr="005C388F" w:rsidRDefault="00972DEF" w:rsidP="0070531D">
      <w:pPr>
        <w:pStyle w:val="TOC2"/>
        <w:ind w:left="2880" w:hanging="1890"/>
        <w:rPr>
          <w:noProof/>
        </w:rPr>
      </w:pPr>
      <w:r w:rsidRPr="005C388F">
        <w:rPr>
          <w:noProof/>
        </w:rPr>
        <w:t>A.16.</w:t>
      </w:r>
      <w:r w:rsidRPr="005C388F">
        <w:rPr>
          <w:noProof/>
        </w:rPr>
        <w:tab/>
        <w:t>Plans for Tabulation</w:t>
      </w:r>
      <w:r w:rsidR="00203955" w:rsidRPr="005C388F">
        <w:rPr>
          <w:noProof/>
        </w:rPr>
        <w:t xml:space="preserve"> and </w:t>
      </w:r>
      <w:r w:rsidRPr="005C388F">
        <w:rPr>
          <w:noProof/>
        </w:rPr>
        <w:t>Publication and Project Time Schedule</w:t>
      </w:r>
      <w:r w:rsidR="008E78B9" w:rsidRPr="005C388F">
        <w:rPr>
          <w:noProof/>
        </w:rPr>
        <w:tab/>
      </w:r>
      <w:r w:rsidR="003C6986" w:rsidRPr="005C388F">
        <w:rPr>
          <w:noProof/>
        </w:rPr>
        <w:t>14</w:t>
      </w:r>
    </w:p>
    <w:p w14:paraId="73F46475" w14:textId="058C3BC4" w:rsidR="00972DEF" w:rsidRPr="005C388F" w:rsidRDefault="00972DEF" w:rsidP="0070531D">
      <w:pPr>
        <w:pStyle w:val="TOC2"/>
        <w:ind w:left="2880" w:hanging="1890"/>
        <w:rPr>
          <w:noProof/>
        </w:rPr>
      </w:pPr>
      <w:r w:rsidRPr="005C388F">
        <w:rPr>
          <w:noProof/>
        </w:rPr>
        <w:t>A.17.</w:t>
      </w:r>
      <w:r w:rsidRPr="005C388F">
        <w:rPr>
          <w:noProof/>
        </w:rPr>
        <w:tab/>
        <w:t>Reason(s) Display of OMB Expiration Date is Inappropriate</w:t>
      </w:r>
      <w:r w:rsidRPr="005C388F">
        <w:rPr>
          <w:noProof/>
        </w:rPr>
        <w:tab/>
      </w:r>
      <w:r w:rsidRPr="005C388F">
        <w:rPr>
          <w:noProof/>
        </w:rPr>
        <w:tab/>
      </w:r>
      <w:r w:rsidR="003C6986" w:rsidRPr="005C388F">
        <w:rPr>
          <w:noProof/>
        </w:rPr>
        <w:t>15</w:t>
      </w:r>
    </w:p>
    <w:p w14:paraId="73F46476" w14:textId="77777777" w:rsidR="00972DEF" w:rsidRPr="005C388F" w:rsidRDefault="00972DEF" w:rsidP="0070531D">
      <w:pPr>
        <w:pStyle w:val="TOC2"/>
        <w:ind w:left="2880" w:hanging="1890"/>
        <w:rPr>
          <w:noProof/>
        </w:rPr>
      </w:pPr>
      <w:r w:rsidRPr="005C388F">
        <w:rPr>
          <w:noProof/>
        </w:rPr>
        <w:t>A.18.</w:t>
      </w:r>
      <w:r w:rsidRPr="005C388F">
        <w:rPr>
          <w:noProof/>
        </w:rPr>
        <w:tab/>
        <w:t xml:space="preserve">Exceptions to Certification for Paperwork Reducation Act </w:t>
      </w:r>
    </w:p>
    <w:p w14:paraId="73F46477" w14:textId="22120760" w:rsidR="00972DEF" w:rsidRPr="005C388F" w:rsidRDefault="00972DEF" w:rsidP="0070531D">
      <w:pPr>
        <w:pStyle w:val="TOC2"/>
        <w:ind w:left="2880" w:hanging="1890"/>
        <w:rPr>
          <w:noProof/>
        </w:rPr>
      </w:pPr>
      <w:r w:rsidRPr="005C388F">
        <w:rPr>
          <w:noProof/>
        </w:rPr>
        <w:tab/>
        <w:t>Submissions</w:t>
      </w:r>
      <w:r w:rsidRPr="005C388F">
        <w:rPr>
          <w:noProof/>
        </w:rPr>
        <w:tab/>
      </w:r>
      <w:r w:rsidRPr="005C388F">
        <w:rPr>
          <w:noProof/>
        </w:rPr>
        <w:tab/>
      </w:r>
      <w:r w:rsidR="003C6986" w:rsidRPr="005C388F">
        <w:rPr>
          <w:noProof/>
        </w:rPr>
        <w:t>15</w:t>
      </w:r>
    </w:p>
    <w:p w14:paraId="73F46478" w14:textId="77777777" w:rsidR="00972DEF" w:rsidRPr="005C388F" w:rsidRDefault="00972DEF" w:rsidP="00A64C0E">
      <w:pPr>
        <w:pStyle w:val="TOC1"/>
        <w:ind w:left="1008"/>
        <w:rPr>
          <w:noProof/>
        </w:rPr>
      </w:pPr>
    </w:p>
    <w:p w14:paraId="73F46479" w14:textId="77777777" w:rsidR="00972DEF" w:rsidRPr="005C388F" w:rsidRDefault="00972DEF" w:rsidP="00A64C0E">
      <w:pPr>
        <w:pStyle w:val="TOC5"/>
        <w:ind w:left="720"/>
        <w:jc w:val="left"/>
        <w:rPr>
          <w:noProof/>
        </w:rPr>
      </w:pPr>
    </w:p>
    <w:p w14:paraId="73F4647A" w14:textId="77777777" w:rsidR="00233FB1" w:rsidRPr="005C388F" w:rsidRDefault="00233FB1" w:rsidP="00A64C0E">
      <w:pPr>
        <w:pStyle w:val="TOC5"/>
        <w:ind w:left="1008"/>
      </w:pPr>
    </w:p>
    <w:p w14:paraId="73F4647B" w14:textId="2319A59F" w:rsidR="00233FB1" w:rsidRPr="005C388F" w:rsidRDefault="0070531D" w:rsidP="0070531D">
      <w:pPr>
        <w:pStyle w:val="C2-CtrSglSp"/>
        <w:spacing w:after="100" w:afterAutospacing="1"/>
        <w:jc w:val="left"/>
      </w:pPr>
      <w:r w:rsidRPr="005C388F">
        <w:t>LIST OF ATTACHMENTS</w:t>
      </w:r>
    </w:p>
    <w:p w14:paraId="6780A754" w14:textId="77777777" w:rsidR="00975E06" w:rsidRPr="005C388F" w:rsidRDefault="00975E06" w:rsidP="00975E06">
      <w:pPr>
        <w:pStyle w:val="ListParagraph"/>
        <w:numPr>
          <w:ilvl w:val="0"/>
          <w:numId w:val="20"/>
        </w:numPr>
        <w:tabs>
          <w:tab w:val="left" w:pos="2160"/>
        </w:tabs>
        <w:ind w:firstLine="270"/>
        <w:rPr>
          <w:color w:val="000000" w:themeColor="text1"/>
        </w:rPr>
      </w:pPr>
      <w:r w:rsidRPr="005C388F">
        <w:t xml:space="preserve">Public Health Service Act (PHSA) </w:t>
      </w:r>
      <w:r w:rsidRPr="005C388F">
        <w:rPr>
          <w:color w:val="000000" w:themeColor="text1"/>
        </w:rPr>
        <w:t>42 U.S.C. 241(a)</w:t>
      </w:r>
      <w:r w:rsidRPr="005C388F">
        <w:t xml:space="preserve">, </w:t>
      </w:r>
      <w:r w:rsidRPr="005C388F">
        <w:rPr>
          <w:color w:val="000000" w:themeColor="text1"/>
        </w:rPr>
        <w:t>Section 301(a)</w:t>
      </w:r>
    </w:p>
    <w:p w14:paraId="4DA02CBD" w14:textId="77777777" w:rsidR="00975E06" w:rsidRPr="005C388F" w:rsidRDefault="00975E06" w:rsidP="00975E06">
      <w:pPr>
        <w:pStyle w:val="ListParagraph"/>
        <w:numPr>
          <w:ilvl w:val="0"/>
          <w:numId w:val="20"/>
        </w:numPr>
        <w:tabs>
          <w:tab w:val="left" w:pos="2160"/>
        </w:tabs>
        <w:ind w:firstLine="270"/>
      </w:pPr>
      <w:r w:rsidRPr="005C388F">
        <w:t xml:space="preserve">Published 60-Day Federal Register Notice </w:t>
      </w:r>
      <w:r w:rsidRPr="005C388F" w:rsidDel="00BF62FC">
        <w:t xml:space="preserve"> </w:t>
      </w:r>
      <w:r w:rsidRPr="005C388F">
        <w:br/>
        <w:t xml:space="preserve">    B2.</w:t>
      </w:r>
      <w:r w:rsidRPr="005C388F">
        <w:tab/>
        <w:t>60-Day Federal Register Notice Public Comment</w:t>
      </w:r>
    </w:p>
    <w:p w14:paraId="14E125BB" w14:textId="77777777" w:rsidR="00975E06" w:rsidRPr="005C388F" w:rsidRDefault="00975E06" w:rsidP="00975E06">
      <w:pPr>
        <w:pStyle w:val="ListParagraph"/>
        <w:numPr>
          <w:ilvl w:val="0"/>
          <w:numId w:val="20"/>
        </w:numPr>
        <w:tabs>
          <w:tab w:val="left" w:pos="2160"/>
        </w:tabs>
        <w:ind w:firstLine="270"/>
      </w:pPr>
      <w:r w:rsidRPr="005C388F">
        <w:t xml:space="preserve">Annual Performance Report BASE </w:t>
      </w:r>
    </w:p>
    <w:p w14:paraId="1C712CF6" w14:textId="77777777" w:rsidR="00975E06" w:rsidRPr="005C388F" w:rsidRDefault="00975E06" w:rsidP="00975E06">
      <w:pPr>
        <w:tabs>
          <w:tab w:val="left" w:pos="2160"/>
        </w:tabs>
        <w:ind w:left="360"/>
      </w:pPr>
      <w:r w:rsidRPr="005C388F">
        <w:t xml:space="preserve">          C2.  </w:t>
      </w:r>
      <w:r w:rsidRPr="005C388F">
        <w:tab/>
        <w:t>Annual Performance Report Enhanced</w:t>
      </w:r>
    </w:p>
    <w:p w14:paraId="3CD68B6B" w14:textId="77777777" w:rsidR="00975E06" w:rsidRPr="005C388F" w:rsidRDefault="00975E06" w:rsidP="00975E06">
      <w:pPr>
        <w:pStyle w:val="ListParagraph"/>
        <w:numPr>
          <w:ilvl w:val="0"/>
          <w:numId w:val="20"/>
        </w:numPr>
        <w:tabs>
          <w:tab w:val="left" w:pos="2160"/>
        </w:tabs>
        <w:ind w:firstLine="270"/>
      </w:pPr>
      <w:r w:rsidRPr="005C388F">
        <w:t>Evaluation and Performance Management Plan</w:t>
      </w:r>
    </w:p>
    <w:p w14:paraId="0DAF6E9A" w14:textId="77777777" w:rsidR="00975E06" w:rsidRDefault="00975E06" w:rsidP="00975E06">
      <w:pPr>
        <w:pStyle w:val="ListParagraph"/>
        <w:numPr>
          <w:ilvl w:val="0"/>
          <w:numId w:val="20"/>
        </w:numPr>
        <w:tabs>
          <w:tab w:val="left" w:pos="2160"/>
        </w:tabs>
        <w:ind w:firstLine="270"/>
      </w:pPr>
      <w:r w:rsidRPr="005C388F">
        <w:t>Injury Indicator Spreadsheet</w:t>
      </w:r>
      <w:r w:rsidRPr="005C388F">
        <w:br/>
        <w:t xml:space="preserve">    E2. </w:t>
      </w:r>
      <w:r w:rsidRPr="005C388F">
        <w:tab/>
        <w:t>Injury Indicator Spreadsheet Instructions</w:t>
      </w:r>
    </w:p>
    <w:p w14:paraId="0ADB6BF0" w14:textId="1EC892F5" w:rsidR="000208F1" w:rsidRPr="005C388F" w:rsidRDefault="000208F1" w:rsidP="00975E06">
      <w:pPr>
        <w:pStyle w:val="ListParagraph"/>
        <w:numPr>
          <w:ilvl w:val="0"/>
          <w:numId w:val="20"/>
        </w:numPr>
        <w:tabs>
          <w:tab w:val="left" w:pos="2160"/>
        </w:tabs>
        <w:ind w:firstLine="270"/>
      </w:pPr>
      <w:r>
        <w:t>IRB documents</w:t>
      </w:r>
    </w:p>
    <w:p w14:paraId="3F6FA214" w14:textId="3B448D5C" w:rsidR="00275112" w:rsidRPr="00AE77AF" w:rsidRDefault="00275112">
      <w:pPr>
        <w:rPr>
          <w:b/>
          <w:bCs/>
        </w:rPr>
      </w:pPr>
      <w:r w:rsidRPr="00AE77AF">
        <w:rPr>
          <w:b/>
          <w:bCs/>
        </w:rPr>
        <w:lastRenderedPageBreak/>
        <w:t xml:space="preserve">SUMMARY TABLE </w:t>
      </w:r>
    </w:p>
    <w:p w14:paraId="73F46483" w14:textId="38A9BE7F" w:rsidR="00FB1045" w:rsidRPr="00640EB3" w:rsidRDefault="00275112" w:rsidP="00A64C0E">
      <w:pPr>
        <w:ind w:left="720"/>
        <w:rPr>
          <w:b/>
          <w:bCs/>
        </w:rPr>
      </w:pPr>
      <w:r w:rsidRPr="00640EB3">
        <w:rPr>
          <w:noProof/>
        </w:rPr>
        <mc:AlternateContent>
          <mc:Choice Requires="wps">
            <w:drawing>
              <wp:anchor distT="0" distB="0" distL="114300" distR="114300" simplePos="0" relativeHeight="251659264" behindDoc="0" locked="0" layoutInCell="1" allowOverlap="1" wp14:anchorId="73F46525" wp14:editId="4ACE82A5">
                <wp:simplePos x="0" y="0"/>
                <wp:positionH relativeFrom="column">
                  <wp:posOffset>-28575</wp:posOffset>
                </wp:positionH>
                <wp:positionV relativeFrom="paragraph">
                  <wp:posOffset>152400</wp:posOffset>
                </wp:positionV>
                <wp:extent cx="6162675" cy="4572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72000"/>
                        </a:xfrm>
                        <a:prstGeom prst="rect">
                          <a:avLst/>
                        </a:prstGeom>
                        <a:solidFill>
                          <a:srgbClr val="FFFFFF"/>
                        </a:solidFill>
                        <a:ln w="9525">
                          <a:solidFill>
                            <a:srgbClr val="000000"/>
                          </a:solidFill>
                          <a:miter lim="800000"/>
                          <a:headEnd/>
                          <a:tailEnd/>
                        </a:ln>
                      </wps:spPr>
                      <wps:txbx>
                        <w:txbxContent>
                          <w:p w14:paraId="73F4652F" w14:textId="4FEB5737" w:rsidR="00BD0549" w:rsidRPr="00213213" w:rsidRDefault="00BD0549" w:rsidP="000C70D5">
                            <w:pPr>
                              <w:pStyle w:val="ListParagraph"/>
                              <w:numPr>
                                <w:ilvl w:val="0"/>
                                <w:numId w:val="6"/>
                              </w:numPr>
                              <w:spacing w:after="200" w:line="276" w:lineRule="auto"/>
                            </w:pPr>
                            <w:r w:rsidRPr="00213213">
                              <w:rPr>
                                <w:b/>
                              </w:rPr>
                              <w:t>Goal of the study</w:t>
                            </w:r>
                            <w:r w:rsidRPr="00213213">
                              <w:t xml:space="preserve">: </w:t>
                            </w:r>
                            <w:r w:rsidRPr="00213213">
                              <w:rPr>
                                <w:color w:val="000000" w:themeColor="text1"/>
                              </w:rPr>
                              <w:t xml:space="preserve">The goal of this ICR is to collect information </w:t>
                            </w:r>
                            <w:r w:rsidRPr="00213213">
                              <w:t xml:space="preserve">needed to monitor cooperative agreement programs </w:t>
                            </w:r>
                            <w:r w:rsidRPr="00213213">
                              <w:rPr>
                                <w:color w:val="000000" w:themeColor="text1"/>
                              </w:rPr>
                              <w:t xml:space="preserve">funded under the </w:t>
                            </w:r>
                            <w:r w:rsidRPr="00213213">
                              <w:t>Core State Violence and Injury Prevention Program (Core SVIPP) (CDC-RFA-</w:t>
                            </w:r>
                            <w:r w:rsidRPr="00213213">
                              <w:rPr>
                                <w:bCs/>
                              </w:rPr>
                              <w:t>CE16-1602).</w:t>
                            </w:r>
                          </w:p>
                          <w:p w14:paraId="73F46530" w14:textId="77777777" w:rsidR="00BD0549" w:rsidRPr="00213213" w:rsidRDefault="00BD0549" w:rsidP="00FB1045">
                            <w:pPr>
                              <w:pStyle w:val="ListParagraph"/>
                              <w:ind w:left="360"/>
                            </w:pPr>
                          </w:p>
                          <w:p w14:paraId="73F46532" w14:textId="18B7A0B1" w:rsidR="00BD0549" w:rsidRPr="002B4F11" w:rsidRDefault="00BD0549">
                            <w:pPr>
                              <w:pStyle w:val="ListParagraph"/>
                              <w:numPr>
                                <w:ilvl w:val="0"/>
                                <w:numId w:val="6"/>
                              </w:numPr>
                              <w:spacing w:after="200" w:line="276" w:lineRule="auto"/>
                              <w:rPr>
                                <w:color w:val="000000" w:themeColor="text1"/>
                              </w:rPr>
                            </w:pPr>
                            <w:r w:rsidRPr="00213213">
                              <w:rPr>
                                <w:b/>
                              </w:rPr>
                              <w:t>Intended use of the resulting data:</w:t>
                            </w:r>
                            <w:r w:rsidRPr="00213213">
                              <w:t xml:space="preserve"> </w:t>
                            </w:r>
                            <w:r w:rsidRPr="002B4F11">
                              <w:rPr>
                                <w:color w:val="000000" w:themeColor="text1"/>
                              </w:rPr>
                              <w:t xml:space="preserve">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Also, </w:t>
                            </w:r>
                            <w:r w:rsidRPr="00640EB3">
                              <w:t>monitor state health departments’ injury and violence prevention program performance, provide suggestions for improvement, and disseminat</w:t>
                            </w:r>
                            <w:r w:rsidRPr="00213213">
                              <w:t xml:space="preserve">e injury and violence prevention surveillance data. </w:t>
                            </w:r>
                            <w:r w:rsidRPr="00213213">
                              <w:br/>
                              <w:t xml:space="preserve"> </w:t>
                            </w:r>
                          </w:p>
                          <w:p w14:paraId="7A1061FC" w14:textId="536D8DE2" w:rsidR="00BD0549" w:rsidRPr="00213213" w:rsidRDefault="00BD0549" w:rsidP="00636AED">
                            <w:pPr>
                              <w:pStyle w:val="ListParagraph"/>
                              <w:numPr>
                                <w:ilvl w:val="0"/>
                                <w:numId w:val="6"/>
                              </w:numPr>
                            </w:pPr>
                            <w:r w:rsidRPr="00640EB3">
                              <w:rPr>
                                <w:b/>
                              </w:rPr>
                              <w:t>Methods to be used to collect:</w:t>
                            </w:r>
                            <w:r w:rsidRPr="00640EB3">
                              <w:t xml:space="preserve"> </w:t>
                            </w:r>
                            <w:r w:rsidRPr="002B4F11">
                              <w:rPr>
                                <w:color w:val="000000" w:themeColor="text1"/>
                              </w:rPr>
                              <w:t xml:space="preserve">Awardees will report progress and activity information to CDC on an annual schedule using Excel-based </w:t>
                            </w:r>
                            <w:r w:rsidRPr="00640EB3">
                              <w:t xml:space="preserve">fillable electronic templates. No research design or human subjects </w:t>
                            </w:r>
                            <w:r w:rsidRPr="00213213">
                              <w:t>involved.</w:t>
                            </w:r>
                          </w:p>
                          <w:p w14:paraId="73F46534" w14:textId="77777777" w:rsidR="00BD0549" w:rsidRPr="00213213" w:rsidRDefault="00BD0549" w:rsidP="00967A16">
                            <w:pPr>
                              <w:pStyle w:val="ListParagraph"/>
                              <w:spacing w:after="200" w:line="276" w:lineRule="auto"/>
                              <w:ind w:left="360"/>
                            </w:pPr>
                          </w:p>
                          <w:p w14:paraId="73F46536" w14:textId="640F429B" w:rsidR="00BD0549" w:rsidRPr="00213213" w:rsidRDefault="00BD0549" w:rsidP="00FB1045">
                            <w:pPr>
                              <w:pStyle w:val="ListParagraph"/>
                              <w:numPr>
                                <w:ilvl w:val="0"/>
                                <w:numId w:val="6"/>
                              </w:numPr>
                              <w:spacing w:after="200" w:line="276" w:lineRule="auto"/>
                            </w:pPr>
                            <w:r w:rsidRPr="00213213">
                              <w:rPr>
                                <w:b/>
                              </w:rPr>
                              <w:t>The subpopulation to be studied:</w:t>
                            </w:r>
                            <w:r w:rsidRPr="00213213">
                              <w:t xml:space="preserve"> 100% of population, no sampling </w:t>
                            </w:r>
                            <w:r w:rsidRPr="00213213">
                              <w:br/>
                            </w:r>
                          </w:p>
                          <w:p w14:paraId="73F46537" w14:textId="4E1D00AA" w:rsidR="00BD0549" w:rsidRPr="00213213" w:rsidRDefault="00BD0549" w:rsidP="000C70D5">
                            <w:pPr>
                              <w:pStyle w:val="ListParagraph"/>
                              <w:numPr>
                                <w:ilvl w:val="0"/>
                                <w:numId w:val="6"/>
                              </w:numPr>
                              <w:spacing w:after="200" w:line="276" w:lineRule="auto"/>
                            </w:pPr>
                            <w:r w:rsidRPr="00213213">
                              <w:rPr>
                                <w:b/>
                              </w:rPr>
                              <w:t>How data will be analyzed:</w:t>
                            </w:r>
                            <w:r w:rsidRPr="00213213">
                              <w:t xml:space="preserve"> The data will be analyzed using descriptive and summary statistics as well as qualitative summaries.</w:t>
                            </w:r>
                          </w:p>
                          <w:p w14:paraId="73F46538" w14:textId="77777777" w:rsidR="00BD0549" w:rsidRPr="00213213" w:rsidRDefault="00BD0549" w:rsidP="00FB1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46525" id="_x0000_t202" coordsize="21600,21600" o:spt="202" path="m,l,21600r21600,l21600,xe">
                <v:stroke joinstyle="miter"/>
                <v:path gradientshapeok="t" o:connecttype="rect"/>
              </v:shapetype>
              <v:shape id="Text Box 2" o:spid="_x0000_s1026" type="#_x0000_t202" style="position:absolute;left:0;text-align:left;margin-left:-2.25pt;margin-top:12pt;width:485.25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">
                <v:textbox>
                  <w:txbxContent>
                    <w:p w14:paraId="73F4652F" w14:textId="4FEB5737" w:rsidR="00BD0549" w:rsidRPr="00213213" w:rsidRDefault="00BD0549" w:rsidP="000C70D5">
                      <w:pPr>
                        <w:pStyle w:val="ListParagraph"/>
                        <w:numPr>
                          <w:ilvl w:val="0"/>
                          <w:numId w:val="6"/>
                        </w:numPr>
                        <w:spacing w:after="200" w:line="276" w:lineRule="auto"/>
                      </w:pPr>
                      <w:r w:rsidRPr="00213213">
                        <w:rPr>
                          <w:b/>
                        </w:rPr>
                        <w:t>Goal of the study</w:t>
                      </w:r>
                      <w:r w:rsidRPr="00213213">
                        <w:t xml:space="preserve">: </w:t>
                      </w:r>
                      <w:r w:rsidRPr="00213213">
                        <w:rPr>
                          <w:color w:val="000000" w:themeColor="text1"/>
                        </w:rPr>
                        <w:t xml:space="preserve">The goal of this ICR is to collect information </w:t>
                      </w:r>
                      <w:r w:rsidRPr="00213213">
                        <w:t xml:space="preserve">needed to monitor cooperative agreement programs </w:t>
                      </w:r>
                      <w:r w:rsidRPr="00213213">
                        <w:rPr>
                          <w:color w:val="000000" w:themeColor="text1"/>
                        </w:rPr>
                        <w:t xml:space="preserve">funded under the </w:t>
                      </w:r>
                      <w:r w:rsidRPr="00213213">
                        <w:t>Core State Violence and Injury Prevention Program (Core SVIPP) (CDC-RFA-</w:t>
                      </w:r>
                      <w:r w:rsidRPr="00213213">
                        <w:rPr>
                          <w:bCs/>
                        </w:rPr>
                        <w:t>CE16-1602).</w:t>
                      </w:r>
                    </w:p>
                    <w:p w14:paraId="73F46530" w14:textId="77777777" w:rsidR="00BD0549" w:rsidRPr="00213213" w:rsidRDefault="00BD0549" w:rsidP="00FB1045">
                      <w:pPr>
                        <w:pStyle w:val="ListParagraph"/>
                        <w:ind w:left="360"/>
                      </w:pPr>
                    </w:p>
                    <w:p w14:paraId="73F46532" w14:textId="18B7A0B1" w:rsidR="00BD0549" w:rsidRPr="002B4F11" w:rsidRDefault="00BD0549">
                      <w:pPr>
                        <w:pStyle w:val="ListParagraph"/>
                        <w:numPr>
                          <w:ilvl w:val="0"/>
                          <w:numId w:val="6"/>
                        </w:numPr>
                        <w:spacing w:after="200" w:line="276" w:lineRule="auto"/>
                        <w:rPr>
                          <w:color w:val="000000" w:themeColor="text1"/>
                        </w:rPr>
                      </w:pPr>
                      <w:r w:rsidRPr="00213213">
                        <w:rPr>
                          <w:b/>
                        </w:rPr>
                        <w:t>Intended use of the resulting data:</w:t>
                      </w:r>
                      <w:r w:rsidRPr="00213213">
                        <w:t xml:space="preserve"> </w:t>
                      </w:r>
                      <w:r w:rsidRPr="002B4F11">
                        <w:rPr>
                          <w:color w:val="000000" w:themeColor="text1"/>
                        </w:rPr>
                        <w:t xml:space="preserve">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Also, </w:t>
                      </w:r>
                      <w:r w:rsidRPr="00640EB3">
                        <w:t>monitor state health departments’ injury and violence prevention program performance, provide suggestions for improvement, and disseminat</w:t>
                      </w:r>
                      <w:r w:rsidRPr="00213213">
                        <w:t xml:space="preserve">e injury and violence prevention surveillance data. </w:t>
                      </w:r>
                      <w:r w:rsidRPr="00213213">
                        <w:br/>
                        <w:t xml:space="preserve"> </w:t>
                      </w:r>
                    </w:p>
                    <w:p w14:paraId="7A1061FC" w14:textId="536D8DE2" w:rsidR="00BD0549" w:rsidRPr="00213213" w:rsidRDefault="00BD0549" w:rsidP="00636AED">
                      <w:pPr>
                        <w:pStyle w:val="ListParagraph"/>
                        <w:numPr>
                          <w:ilvl w:val="0"/>
                          <w:numId w:val="6"/>
                        </w:numPr>
                      </w:pPr>
                      <w:r w:rsidRPr="00640EB3">
                        <w:rPr>
                          <w:b/>
                        </w:rPr>
                        <w:t>Methods to be used to collect:</w:t>
                      </w:r>
                      <w:r w:rsidRPr="00640EB3">
                        <w:t xml:space="preserve"> </w:t>
                      </w:r>
                      <w:r w:rsidRPr="002B4F11">
                        <w:rPr>
                          <w:color w:val="000000" w:themeColor="text1"/>
                        </w:rPr>
                        <w:t xml:space="preserve">Awardees will report progress and activity information to CDC on an annual schedule using Excel-based </w:t>
                      </w:r>
                      <w:r w:rsidRPr="00640EB3">
                        <w:t xml:space="preserve">fillable electronic templates. No research design or human subjects </w:t>
                      </w:r>
                      <w:r w:rsidRPr="00213213">
                        <w:t>involved.</w:t>
                      </w:r>
                    </w:p>
                    <w:p w14:paraId="73F46534" w14:textId="77777777" w:rsidR="00BD0549" w:rsidRPr="00213213" w:rsidRDefault="00BD0549" w:rsidP="00967A16">
                      <w:pPr>
                        <w:pStyle w:val="ListParagraph"/>
                        <w:spacing w:after="200" w:line="276" w:lineRule="auto"/>
                        <w:ind w:left="360"/>
                      </w:pPr>
                    </w:p>
                    <w:p w14:paraId="73F46536" w14:textId="640F429B" w:rsidR="00BD0549" w:rsidRPr="00213213" w:rsidRDefault="00BD0549" w:rsidP="00FB1045">
                      <w:pPr>
                        <w:pStyle w:val="ListParagraph"/>
                        <w:numPr>
                          <w:ilvl w:val="0"/>
                          <w:numId w:val="6"/>
                        </w:numPr>
                        <w:spacing w:after="200" w:line="276" w:lineRule="auto"/>
                      </w:pPr>
                      <w:r w:rsidRPr="00213213">
                        <w:rPr>
                          <w:b/>
                        </w:rPr>
                        <w:t>The subpopulation to be studied:</w:t>
                      </w:r>
                      <w:r w:rsidRPr="00213213">
                        <w:t xml:space="preserve"> 100% of population, no sampling </w:t>
                      </w:r>
                      <w:r w:rsidRPr="00213213">
                        <w:br/>
                      </w:r>
                    </w:p>
                    <w:p w14:paraId="73F46537" w14:textId="4E1D00AA" w:rsidR="00BD0549" w:rsidRPr="00213213" w:rsidRDefault="00BD0549" w:rsidP="000C70D5">
                      <w:pPr>
                        <w:pStyle w:val="ListParagraph"/>
                        <w:numPr>
                          <w:ilvl w:val="0"/>
                          <w:numId w:val="6"/>
                        </w:numPr>
                        <w:spacing w:after="200" w:line="276" w:lineRule="auto"/>
                      </w:pPr>
                      <w:r w:rsidRPr="00213213">
                        <w:rPr>
                          <w:b/>
                        </w:rPr>
                        <w:t>How data will be analyzed:</w:t>
                      </w:r>
                      <w:r w:rsidRPr="00213213">
                        <w:t xml:space="preserve"> The data will be analyzed using descriptive and summary statistics as well as qualitative summaries.</w:t>
                      </w:r>
                    </w:p>
                    <w:p w14:paraId="73F46538" w14:textId="77777777" w:rsidR="00BD0549" w:rsidRPr="00213213" w:rsidRDefault="00BD0549" w:rsidP="00FB1045"/>
                  </w:txbxContent>
                </v:textbox>
              </v:shape>
            </w:pict>
          </mc:Fallback>
        </mc:AlternateContent>
      </w:r>
    </w:p>
    <w:p w14:paraId="73F46484" w14:textId="0277003F" w:rsidR="00FB1045" w:rsidRPr="005C388F" w:rsidRDefault="00FB1045" w:rsidP="00A64C0E">
      <w:pPr>
        <w:ind w:left="720"/>
        <w:rPr>
          <w:b/>
          <w:bCs/>
        </w:rPr>
      </w:pPr>
    </w:p>
    <w:p w14:paraId="73F46485" w14:textId="000499C5" w:rsidR="00FB1045" w:rsidRPr="005C388F" w:rsidRDefault="00FB1045" w:rsidP="00A64C0E">
      <w:pPr>
        <w:ind w:left="720"/>
        <w:rPr>
          <w:b/>
          <w:bCs/>
        </w:rPr>
      </w:pPr>
    </w:p>
    <w:p w14:paraId="73F46486" w14:textId="1EEDA45C" w:rsidR="00FB1045" w:rsidRPr="005C388F" w:rsidRDefault="00FB1045" w:rsidP="00A64C0E">
      <w:pPr>
        <w:ind w:left="720"/>
        <w:rPr>
          <w:b/>
          <w:bCs/>
        </w:rPr>
      </w:pPr>
    </w:p>
    <w:p w14:paraId="73F46487" w14:textId="77777777" w:rsidR="00FB1045" w:rsidRPr="005C388F" w:rsidRDefault="00FB1045" w:rsidP="00A64C0E">
      <w:pPr>
        <w:ind w:left="720"/>
        <w:rPr>
          <w:b/>
          <w:bCs/>
        </w:rPr>
      </w:pPr>
    </w:p>
    <w:p w14:paraId="73F46488" w14:textId="77777777" w:rsidR="00FB1045" w:rsidRPr="005C388F" w:rsidRDefault="00FB1045" w:rsidP="00A64C0E">
      <w:pPr>
        <w:ind w:left="720"/>
        <w:rPr>
          <w:b/>
          <w:bCs/>
        </w:rPr>
      </w:pPr>
    </w:p>
    <w:p w14:paraId="73F46489" w14:textId="77777777" w:rsidR="00FB1045" w:rsidRPr="005C388F" w:rsidRDefault="00FB1045" w:rsidP="00A64C0E">
      <w:pPr>
        <w:ind w:left="720"/>
        <w:rPr>
          <w:b/>
          <w:bCs/>
        </w:rPr>
      </w:pPr>
    </w:p>
    <w:p w14:paraId="73F4648A" w14:textId="77777777" w:rsidR="00FB1045" w:rsidRPr="005C388F" w:rsidRDefault="00FB1045" w:rsidP="00A64C0E">
      <w:pPr>
        <w:ind w:left="720"/>
        <w:rPr>
          <w:b/>
          <w:bCs/>
        </w:rPr>
      </w:pPr>
    </w:p>
    <w:p w14:paraId="73F4648B" w14:textId="77777777" w:rsidR="00FB1045" w:rsidRPr="005C388F" w:rsidRDefault="00FB1045" w:rsidP="00A64C0E">
      <w:pPr>
        <w:ind w:left="720"/>
        <w:rPr>
          <w:b/>
          <w:bCs/>
        </w:rPr>
      </w:pPr>
    </w:p>
    <w:p w14:paraId="73F4648C" w14:textId="77777777" w:rsidR="00FB1045" w:rsidRPr="005C388F" w:rsidRDefault="00FB1045" w:rsidP="00A64C0E">
      <w:pPr>
        <w:ind w:left="720"/>
        <w:rPr>
          <w:b/>
          <w:bCs/>
        </w:rPr>
      </w:pPr>
    </w:p>
    <w:p w14:paraId="73F4648D" w14:textId="77777777" w:rsidR="00FB1045" w:rsidRPr="005C388F" w:rsidRDefault="00FB1045" w:rsidP="00A64C0E">
      <w:pPr>
        <w:ind w:left="720"/>
        <w:rPr>
          <w:b/>
          <w:bCs/>
        </w:rPr>
      </w:pPr>
    </w:p>
    <w:p w14:paraId="73F4648E" w14:textId="77777777" w:rsidR="00FB1045" w:rsidRPr="005C388F" w:rsidRDefault="00FB1045" w:rsidP="00A64C0E">
      <w:pPr>
        <w:ind w:left="720"/>
        <w:rPr>
          <w:b/>
          <w:bCs/>
        </w:rPr>
      </w:pPr>
    </w:p>
    <w:p w14:paraId="73F4648F" w14:textId="77777777" w:rsidR="00FB1045" w:rsidRPr="005C388F" w:rsidRDefault="00FB1045" w:rsidP="00A64C0E">
      <w:pPr>
        <w:ind w:left="720"/>
        <w:rPr>
          <w:b/>
          <w:bCs/>
        </w:rPr>
      </w:pPr>
    </w:p>
    <w:p w14:paraId="73F46490" w14:textId="77777777" w:rsidR="00D629FE" w:rsidRPr="005C388F" w:rsidRDefault="00D629FE" w:rsidP="00A64C0E">
      <w:pPr>
        <w:ind w:left="720"/>
        <w:rPr>
          <w:b/>
          <w:bCs/>
        </w:rPr>
      </w:pPr>
    </w:p>
    <w:p w14:paraId="32A5AB30" w14:textId="77777777" w:rsidR="00582280" w:rsidRPr="005C388F" w:rsidRDefault="00582280" w:rsidP="0070531D">
      <w:pPr>
        <w:rPr>
          <w:b/>
          <w:bCs/>
        </w:rPr>
      </w:pPr>
    </w:p>
    <w:p w14:paraId="18A51ED1" w14:textId="77777777" w:rsidR="00582280" w:rsidRPr="005C388F" w:rsidRDefault="00582280" w:rsidP="0070531D">
      <w:pPr>
        <w:rPr>
          <w:b/>
          <w:bCs/>
        </w:rPr>
      </w:pPr>
    </w:p>
    <w:p w14:paraId="135E5715" w14:textId="77777777" w:rsidR="00582280" w:rsidRPr="005C388F" w:rsidRDefault="00582280" w:rsidP="0070531D">
      <w:pPr>
        <w:rPr>
          <w:b/>
          <w:bCs/>
        </w:rPr>
      </w:pPr>
    </w:p>
    <w:p w14:paraId="5624CF3F" w14:textId="77777777" w:rsidR="00636AED" w:rsidRPr="005C388F" w:rsidRDefault="00636AED" w:rsidP="0070531D">
      <w:pPr>
        <w:rPr>
          <w:b/>
          <w:bCs/>
        </w:rPr>
      </w:pPr>
    </w:p>
    <w:p w14:paraId="5D2F896A" w14:textId="77777777" w:rsidR="00636AED" w:rsidRPr="005C388F" w:rsidRDefault="00636AED" w:rsidP="0070531D">
      <w:pPr>
        <w:rPr>
          <w:b/>
          <w:bCs/>
        </w:rPr>
      </w:pPr>
    </w:p>
    <w:p w14:paraId="03B78612" w14:textId="77777777" w:rsidR="00636AED" w:rsidRPr="005C388F" w:rsidRDefault="00636AED" w:rsidP="0070531D">
      <w:pPr>
        <w:rPr>
          <w:b/>
          <w:bCs/>
        </w:rPr>
      </w:pPr>
    </w:p>
    <w:p w14:paraId="329F1CDC" w14:textId="77777777" w:rsidR="00636AED" w:rsidRPr="005C388F" w:rsidRDefault="00636AED" w:rsidP="0070531D">
      <w:pPr>
        <w:rPr>
          <w:b/>
          <w:bCs/>
        </w:rPr>
      </w:pPr>
    </w:p>
    <w:p w14:paraId="1D22DFDE" w14:textId="77777777" w:rsidR="00636AED" w:rsidRPr="005C388F" w:rsidRDefault="00636AED" w:rsidP="0070531D">
      <w:pPr>
        <w:rPr>
          <w:b/>
          <w:bCs/>
        </w:rPr>
      </w:pPr>
    </w:p>
    <w:p w14:paraId="618C07F1" w14:textId="77777777" w:rsidR="00636AED" w:rsidRPr="005C388F" w:rsidRDefault="00636AED" w:rsidP="0070531D">
      <w:pPr>
        <w:rPr>
          <w:b/>
          <w:bCs/>
        </w:rPr>
      </w:pPr>
    </w:p>
    <w:p w14:paraId="54198B15" w14:textId="77777777" w:rsidR="00636AED" w:rsidRPr="005C388F" w:rsidRDefault="00636AED" w:rsidP="0070531D">
      <w:pPr>
        <w:rPr>
          <w:b/>
          <w:bCs/>
        </w:rPr>
      </w:pPr>
    </w:p>
    <w:p w14:paraId="72F978FF" w14:textId="77777777" w:rsidR="00636AED" w:rsidRPr="005C388F" w:rsidRDefault="00636AED" w:rsidP="0070531D">
      <w:pPr>
        <w:rPr>
          <w:b/>
          <w:bCs/>
        </w:rPr>
      </w:pPr>
    </w:p>
    <w:p w14:paraId="449481BA" w14:textId="77777777" w:rsidR="00275112" w:rsidRPr="005C388F" w:rsidRDefault="00275112" w:rsidP="0070531D">
      <w:pPr>
        <w:rPr>
          <w:b/>
          <w:bCs/>
        </w:rPr>
      </w:pPr>
    </w:p>
    <w:p w14:paraId="1041925E" w14:textId="77777777" w:rsidR="00275112" w:rsidRPr="005C388F" w:rsidRDefault="00275112" w:rsidP="0070531D">
      <w:pPr>
        <w:rPr>
          <w:b/>
          <w:bCs/>
        </w:rPr>
      </w:pPr>
    </w:p>
    <w:p w14:paraId="3E98D2CD" w14:textId="77777777" w:rsidR="00275112" w:rsidRPr="005C388F" w:rsidRDefault="00275112" w:rsidP="0070531D">
      <w:pPr>
        <w:rPr>
          <w:b/>
          <w:bCs/>
        </w:rPr>
      </w:pPr>
    </w:p>
    <w:p w14:paraId="73F46491" w14:textId="77777777" w:rsidR="00972DEF" w:rsidRPr="005C388F" w:rsidRDefault="00972DEF" w:rsidP="0070531D">
      <w:pPr>
        <w:rPr>
          <w:b/>
          <w:bCs/>
        </w:rPr>
      </w:pPr>
      <w:r w:rsidRPr="005C388F">
        <w:rPr>
          <w:b/>
          <w:bCs/>
        </w:rPr>
        <w:t xml:space="preserve">A.  JUSTIFICATION </w:t>
      </w:r>
    </w:p>
    <w:p w14:paraId="73F46492" w14:textId="77777777" w:rsidR="00660ED8" w:rsidRPr="005C388F" w:rsidRDefault="00660ED8" w:rsidP="0070531D">
      <w:pPr>
        <w:autoSpaceDE w:val="0"/>
        <w:autoSpaceDN w:val="0"/>
        <w:adjustRightInd w:val="0"/>
        <w:rPr>
          <w:b/>
          <w:bCs/>
        </w:rPr>
      </w:pPr>
    </w:p>
    <w:p w14:paraId="73F46493" w14:textId="77777777" w:rsidR="00972DEF" w:rsidRPr="00640EB3" w:rsidRDefault="00972DEF" w:rsidP="0070531D">
      <w:pPr>
        <w:tabs>
          <w:tab w:val="left" w:pos="360"/>
        </w:tabs>
        <w:autoSpaceDE w:val="0"/>
        <w:autoSpaceDN w:val="0"/>
        <w:adjustRightInd w:val="0"/>
        <w:rPr>
          <w:b/>
          <w:bCs/>
        </w:rPr>
      </w:pPr>
      <w:r w:rsidRPr="005C388F">
        <w:rPr>
          <w:b/>
          <w:bCs/>
        </w:rPr>
        <w:t xml:space="preserve">A.1. </w:t>
      </w:r>
      <w:r w:rsidRPr="005C388F">
        <w:rPr>
          <w:b/>
          <w:bCs/>
        </w:rPr>
        <w:tab/>
        <w:t>Circumstances Making the Collection of Information Necessary</w:t>
      </w:r>
    </w:p>
    <w:p w14:paraId="3402125D" w14:textId="77777777" w:rsidR="008A0740" w:rsidRPr="005C388F" w:rsidRDefault="008A0740" w:rsidP="0070531D"/>
    <w:p w14:paraId="4439AA98" w14:textId="2A96B8A9" w:rsidR="009B0591" w:rsidRPr="005C388F" w:rsidRDefault="009B0591" w:rsidP="008A0740">
      <w:pPr>
        <w:rPr>
          <w:color w:val="000000" w:themeColor="text1"/>
        </w:rPr>
      </w:pPr>
      <w:r w:rsidRPr="005C388F">
        <w:t>The Centers for Disease Control and Prevention (CDC)</w:t>
      </w:r>
      <w:r w:rsidRPr="005C388F">
        <w:rPr>
          <w:color w:val="000000" w:themeColor="text1"/>
        </w:rPr>
        <w:t xml:space="preserve"> seeks</w:t>
      </w:r>
      <w:r w:rsidR="0046057F" w:rsidRPr="005C388F">
        <w:rPr>
          <w:color w:val="000000" w:themeColor="text1"/>
        </w:rPr>
        <w:t xml:space="preserve"> </w:t>
      </w:r>
      <w:r w:rsidR="00F95A1E" w:rsidRPr="005C388F">
        <w:rPr>
          <w:color w:val="000000" w:themeColor="text1"/>
        </w:rPr>
        <w:t xml:space="preserve">approval for a NEW information collection request for </w:t>
      </w:r>
      <w:r w:rsidR="00FB728E" w:rsidRPr="005C388F">
        <w:rPr>
          <w:color w:val="000000" w:themeColor="text1"/>
        </w:rPr>
        <w:t xml:space="preserve">3 years. </w:t>
      </w:r>
      <w:r w:rsidR="00FB728E" w:rsidRPr="002B4F11">
        <w:t xml:space="preserve">This is a new request for collection of annual </w:t>
      </w:r>
      <w:r w:rsidR="00D83E8F" w:rsidRPr="002B4F11">
        <w:t xml:space="preserve">progress reports </w:t>
      </w:r>
      <w:r w:rsidRPr="005C388F">
        <w:rPr>
          <w:color w:val="000000" w:themeColor="text1"/>
        </w:rPr>
        <w:t xml:space="preserve">from awardees funded under the </w:t>
      </w:r>
      <w:r w:rsidR="00A64C0E" w:rsidRPr="005C388F">
        <w:rPr>
          <w:color w:val="000000" w:themeColor="text1"/>
        </w:rPr>
        <w:t xml:space="preserve">Core </w:t>
      </w:r>
      <w:r w:rsidR="007A6DDA" w:rsidRPr="005C388F">
        <w:rPr>
          <w:color w:val="000000" w:themeColor="text1"/>
        </w:rPr>
        <w:t xml:space="preserve">State </w:t>
      </w:r>
      <w:r w:rsidR="00A64C0E" w:rsidRPr="005C388F">
        <w:rPr>
          <w:color w:val="000000" w:themeColor="text1"/>
        </w:rPr>
        <w:t>Violence and Injury Prevention Program cooperative</w:t>
      </w:r>
      <w:r w:rsidRPr="005C388F">
        <w:rPr>
          <w:color w:val="000000" w:themeColor="text1"/>
        </w:rPr>
        <w:t xml:space="preserve"> agreement program, hereafter known as </w:t>
      </w:r>
      <w:r w:rsidR="00A64C0E" w:rsidRPr="005C388F">
        <w:rPr>
          <w:color w:val="000000" w:themeColor="text1"/>
        </w:rPr>
        <w:t>Core</w:t>
      </w:r>
      <w:r w:rsidR="007A6DDA" w:rsidRPr="005C388F">
        <w:rPr>
          <w:color w:val="000000" w:themeColor="text1"/>
        </w:rPr>
        <w:t xml:space="preserve"> S</w:t>
      </w:r>
      <w:r w:rsidR="00A64C0E" w:rsidRPr="005C388F">
        <w:rPr>
          <w:color w:val="000000" w:themeColor="text1"/>
        </w:rPr>
        <w:t>VIPP</w:t>
      </w:r>
      <w:r w:rsidRPr="005C388F">
        <w:rPr>
          <w:color w:val="000000" w:themeColor="text1"/>
        </w:rPr>
        <w:t xml:space="preserve">. </w:t>
      </w:r>
      <w:r w:rsidR="005C388F" w:rsidRPr="002B4F11">
        <w:t>Progress reports will be used to monitor and report progress toward meeting established goals and objectives.</w:t>
      </w:r>
      <w:r w:rsidRPr="00640EB3">
        <w:rPr>
          <w:color w:val="000000" w:themeColor="text1"/>
        </w:rPr>
        <w:t xml:space="preserve"> </w:t>
      </w:r>
      <w:r w:rsidR="005C388F" w:rsidRPr="002B4F11">
        <w:rPr>
          <w:color w:val="000000" w:themeColor="text1"/>
        </w:rPr>
        <w:t>Information to be collected will also prov</w:t>
      </w:r>
      <w:r w:rsidR="00FE1774" w:rsidRPr="00640EB3">
        <w:rPr>
          <w:color w:val="000000" w:themeColor="text1"/>
        </w:rPr>
        <w:t xml:space="preserve">ide </w:t>
      </w:r>
      <w:r w:rsidR="005C388F" w:rsidRPr="002B4F11">
        <w:rPr>
          <w:color w:val="000000" w:themeColor="text1"/>
        </w:rPr>
        <w:t>CDC with the capacity to respond</w:t>
      </w:r>
      <w:r w:rsidR="00FE1774">
        <w:rPr>
          <w:color w:val="000000" w:themeColor="text1"/>
        </w:rPr>
        <w:t>,</w:t>
      </w:r>
      <w:r w:rsidR="005C388F" w:rsidRPr="002B4F11">
        <w:rPr>
          <w:color w:val="000000" w:themeColor="text1"/>
        </w:rPr>
        <w:t xml:space="preserve"> in a timely manner</w:t>
      </w:r>
      <w:r w:rsidR="00FE1774">
        <w:rPr>
          <w:color w:val="000000" w:themeColor="text1"/>
        </w:rPr>
        <w:t>,</w:t>
      </w:r>
      <w:r w:rsidR="005C388F" w:rsidRPr="002B4F11">
        <w:rPr>
          <w:color w:val="000000" w:themeColor="text1"/>
        </w:rPr>
        <w:t xml:space="preserve"> to requests for information about the program from the Department of Health and Human Services (HHS), the White House, Congress, and other sources. </w:t>
      </w:r>
    </w:p>
    <w:p w14:paraId="08A772BD" w14:textId="77777777" w:rsidR="004B21CF" w:rsidRPr="00640EB3" w:rsidRDefault="004B21CF" w:rsidP="008A0740">
      <w:pPr>
        <w:rPr>
          <w:color w:val="000000" w:themeColor="text1"/>
        </w:rPr>
      </w:pPr>
    </w:p>
    <w:p w14:paraId="5B019AD6" w14:textId="77777777" w:rsidR="008A0740" w:rsidRPr="00640EB3" w:rsidRDefault="008A0740" w:rsidP="008A0740"/>
    <w:p w14:paraId="39F96779" w14:textId="721AC54F" w:rsidR="00403F01" w:rsidRPr="005C388F" w:rsidRDefault="004866F0" w:rsidP="000665B4">
      <w:pPr>
        <w:spacing w:after="120"/>
        <w:rPr>
          <w:rFonts w:eastAsia="SimSun"/>
        </w:rPr>
      </w:pPr>
      <w:r w:rsidRPr="005C388F">
        <w:rPr>
          <w:rFonts w:eastAsia="SimSun"/>
          <w:u w:val="single"/>
        </w:rPr>
        <w:t xml:space="preserve">Background </w:t>
      </w:r>
    </w:p>
    <w:p w14:paraId="2EADC5A9" w14:textId="77777777" w:rsidR="000665B4" w:rsidRPr="005C388F" w:rsidRDefault="000665B4" w:rsidP="000665B4">
      <w:r w:rsidRPr="005C388F">
        <w:t xml:space="preserve">CDC’s National Center for Injury Prevention and Control (NCIPC) is committed to working with its partners to promote action that reduces injuries, violence, and disabilities, by providing </w:t>
      </w:r>
      <w:r w:rsidRPr="005C388F">
        <w:lastRenderedPageBreak/>
        <w:t>leadership in identifying priorities, promoting prevention strategies, developing useful tools, and monitoring the effectiveness of Injury and Violence Prevention (IVP) program activities.</w:t>
      </w:r>
    </w:p>
    <w:p w14:paraId="2DE96A81" w14:textId="796D5E42" w:rsidR="006B6797" w:rsidRPr="005C388F" w:rsidRDefault="000665B4" w:rsidP="008A0740">
      <w:r w:rsidRPr="005C388F">
        <w:t xml:space="preserve">Unintentional and violence-related injuries and their consequences are the leading causes of death for the first four decades of life, regardless of gender, race, or socioeconomic status. More than 192,000 individuals in the United States die each year as a result of unintentional injuries and violence, and more than 31 million others suffer non-fatal injuries requiring emergency department visits each year. </w:t>
      </w:r>
    </w:p>
    <w:p w14:paraId="3B14BD30" w14:textId="77777777" w:rsidR="00D070B1" w:rsidRPr="005C388F" w:rsidRDefault="00D070B1" w:rsidP="00A87B42"/>
    <w:p w14:paraId="6536D836" w14:textId="55E5ADD3" w:rsidR="003F3D99" w:rsidRPr="005C388F" w:rsidRDefault="008A0740" w:rsidP="00A87B42">
      <w:pPr>
        <w:rPr>
          <w:b/>
          <w:bCs/>
        </w:rPr>
      </w:pPr>
      <w:r w:rsidRPr="005C388F">
        <w:t>NCIPC recognizes that most events that result in injury and/or death from injury could be prevented through the use of evidence-based public health strategies, practices, and policies and many of these strategies are cross-cutting, addressing shared risk and protective factors among varying types of injury. Given these factors, the Public Health Service Act (PHS Act) provides an important opportunity for states to advance public health across the lifespan and to reduce health disparities.</w:t>
      </w:r>
      <w:r w:rsidR="000D6544" w:rsidRPr="005C388F">
        <w:t xml:space="preserve"> Section 301(a) of the PHS Act 42 U.S.C. 241(a), </w:t>
      </w:r>
      <w:r w:rsidR="00FE6F2F" w:rsidRPr="005C388F">
        <w:t xml:space="preserve">(Attachment A) </w:t>
      </w:r>
      <w:r w:rsidR="000D6544" w:rsidRPr="005C388F">
        <w:t xml:space="preserve">authorizes grants to aid other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w:t>
      </w:r>
      <w:r w:rsidRPr="005C388F">
        <w:t xml:space="preserve">Based on this legislation, </w:t>
      </w:r>
      <w:r w:rsidR="000D6544" w:rsidRPr="005C388F">
        <w:t>NCIPC</w:t>
      </w:r>
      <w:r w:rsidRPr="005C388F">
        <w:t xml:space="preserve"> i</w:t>
      </w:r>
      <w:r w:rsidR="000D6544" w:rsidRPr="005C388F">
        <w:t xml:space="preserve">s </w:t>
      </w:r>
      <w:r w:rsidR="00D57449" w:rsidRPr="005C388F">
        <w:t>requesting to collect data from Core SVIPP awardees that describes state health departments’</w:t>
      </w:r>
      <w:r w:rsidRPr="005C388F">
        <w:t xml:space="preserve"> approach</w:t>
      </w:r>
      <w:r w:rsidR="00D57449" w:rsidRPr="005C388F">
        <w:t>es</w:t>
      </w:r>
      <w:r w:rsidRPr="005C388F">
        <w:t xml:space="preserve"> to preventing and reducing </w:t>
      </w:r>
      <w:r w:rsidR="000D6544" w:rsidRPr="005C388F">
        <w:t xml:space="preserve">unintentional and intentional injuries </w:t>
      </w:r>
      <w:r w:rsidR="00D57449" w:rsidRPr="005C388F">
        <w:t>and associated outcomes from program activities</w:t>
      </w:r>
      <w:r w:rsidR="000D6544" w:rsidRPr="005C388F">
        <w:t xml:space="preserve"> </w:t>
      </w:r>
      <w:r w:rsidRPr="005C388F">
        <w:t>(“</w:t>
      </w:r>
      <w:r w:rsidR="006B6797" w:rsidRPr="005C388F">
        <w:t>2016-2021 Core State Violence and Injury Prevention Program (Core SVIPP)</w:t>
      </w:r>
      <w:r w:rsidRPr="005C388F">
        <w:t xml:space="preserve">,” FOA </w:t>
      </w:r>
      <w:r w:rsidR="00403F01" w:rsidRPr="005C388F">
        <w:rPr>
          <w:bCs/>
        </w:rPr>
        <w:t>CE16-1602</w:t>
      </w:r>
      <w:r w:rsidRPr="005C388F">
        <w:t>, also called “</w:t>
      </w:r>
      <w:r w:rsidR="006B6797" w:rsidRPr="005C388F">
        <w:t>Core SVIPP</w:t>
      </w:r>
      <w:r w:rsidRPr="005C388F">
        <w:t>”).</w:t>
      </w:r>
    </w:p>
    <w:p w14:paraId="53264CC3" w14:textId="77777777" w:rsidR="00A87B42" w:rsidRPr="005C388F" w:rsidRDefault="00A87B42" w:rsidP="00A87B42">
      <w:pPr>
        <w:rPr>
          <w:b/>
          <w:bCs/>
        </w:rPr>
      </w:pPr>
    </w:p>
    <w:p w14:paraId="79E46657" w14:textId="77777777" w:rsidR="001B6D5A" w:rsidRPr="00640EB3" w:rsidRDefault="00972DEF" w:rsidP="007053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40EB3">
        <w:rPr>
          <w:b/>
          <w:bCs/>
        </w:rPr>
        <w:t>A.2. Purpose and Use of Information Colle</w:t>
      </w:r>
      <w:r w:rsidRPr="005C388F">
        <w:rPr>
          <w:b/>
          <w:bCs/>
        </w:rPr>
        <w:t>ction</w:t>
      </w:r>
    </w:p>
    <w:p w14:paraId="66ECC601" w14:textId="77777777" w:rsidR="008D1A68" w:rsidRPr="00640EB3" w:rsidRDefault="008D1A68" w:rsidP="001B6D5A"/>
    <w:p w14:paraId="4C573233" w14:textId="77777777" w:rsidR="00AB1040" w:rsidRPr="005C388F" w:rsidRDefault="00AB1040" w:rsidP="00AB1040">
      <w:pPr>
        <w:spacing w:after="120"/>
      </w:pPr>
      <w:r w:rsidRPr="005C388F">
        <w:t xml:space="preserve">Core SVIPP awardees will be expected to employ cross-cutting strategies to prevent violence and unintentional injuries and address shared risk and protective factors associated with the following public health priorities: 1) Child abuse and neglect, 2) Motor vehicle crash injuries, 3) Intimate Partner/Sexual Violence, and 4) Traumatic brain injury (TBI). </w:t>
      </w:r>
    </w:p>
    <w:p w14:paraId="482DA3F2" w14:textId="77777777" w:rsidR="00AB1040" w:rsidRPr="00640EB3" w:rsidRDefault="00AB1040" w:rsidP="00AB1040">
      <w:pPr>
        <w:spacing w:after="120"/>
      </w:pPr>
      <w:r w:rsidRPr="005C388F">
        <w:t xml:space="preserve">Core SVIPP is comprised of three separate components: BASE, Regional Network Coordinating Organization (RNCO), and Surveillance Quality Improvement (SQI). All awardees are funded to do activities related to the BASE component during the project cycle; however those successfully competing for BASE funding may also be funded for one or more of the Enhanced Components (RNCO or SQI) which is determined at time of application funding review.  </w:t>
      </w:r>
    </w:p>
    <w:p w14:paraId="71F2DE0B" w14:textId="77777777" w:rsidR="00D83E8F" w:rsidRDefault="00D83E8F" w:rsidP="00D83E8F">
      <w:pPr>
        <w:rPr>
          <w:bCs/>
        </w:rPr>
      </w:pPr>
      <w:r w:rsidRPr="00640EB3">
        <w:rPr>
          <w:bCs/>
        </w:rPr>
        <w:t>All awardees will monitor and report progress on their program goals, objectives, activities, and performance measures using the Annual Progress Report (Attachment C). Awardees will also document a process for deve</w:t>
      </w:r>
      <w:r w:rsidRPr="005C388F">
        <w:rPr>
          <w:bCs/>
        </w:rPr>
        <w:t xml:space="preserve">loping program evaluation questions, data collection procedures, and program management using the Evaluation and Performance Management Plan (Attachment D). A draft of this plan will be required at time of application to the Core SVIPP FOA, thus awardees will be required to revisit and revise annually in conjunction with the submission of the APR. Finally, awardees will collect surveillance data on causes of unintentional and intentional injuries using the Injury Indicator Spreadsheet (Attachment E). Information will be transmitted to CDC electronically through an email to assigned Project Officers. </w:t>
      </w:r>
    </w:p>
    <w:p w14:paraId="428CEACB" w14:textId="77777777" w:rsidR="00640EB3" w:rsidRDefault="00640EB3" w:rsidP="00D83E8F">
      <w:pPr>
        <w:rPr>
          <w:bCs/>
        </w:rPr>
      </w:pPr>
    </w:p>
    <w:p w14:paraId="23987EE0" w14:textId="77777777" w:rsidR="00640EB3" w:rsidRPr="005C388F" w:rsidRDefault="00640EB3" w:rsidP="00D83E8F">
      <w:pPr>
        <w:rPr>
          <w:bCs/>
        </w:rPr>
      </w:pPr>
    </w:p>
    <w:p w14:paraId="0D3D4F33" w14:textId="77777777" w:rsidR="00D83E8F" w:rsidRPr="005C388F" w:rsidRDefault="00D83E8F" w:rsidP="00D83E8F">
      <w:pPr>
        <w:rPr>
          <w:bCs/>
        </w:rPr>
      </w:pPr>
    </w:p>
    <w:tbl>
      <w:tblPr>
        <w:tblStyle w:val="TableGrid"/>
        <w:tblW w:w="9360" w:type="dxa"/>
        <w:tblInd w:w="85" w:type="dxa"/>
        <w:tblLook w:val="04A0" w:firstRow="1" w:lastRow="0" w:firstColumn="1" w:lastColumn="0" w:noHBand="0" w:noVBand="1"/>
      </w:tblPr>
      <w:tblGrid>
        <w:gridCol w:w="5370"/>
        <w:gridCol w:w="3990"/>
      </w:tblGrid>
      <w:tr w:rsidR="00D83E8F" w:rsidRPr="005C388F" w14:paraId="1047736B" w14:textId="77777777" w:rsidTr="00D83E8F">
        <w:trPr>
          <w:trHeight w:val="143"/>
        </w:trPr>
        <w:tc>
          <w:tcPr>
            <w:tcW w:w="9360" w:type="dxa"/>
            <w:gridSpan w:val="2"/>
          </w:tcPr>
          <w:p w14:paraId="04140D1B" w14:textId="77777777" w:rsidR="00D83E8F" w:rsidRPr="005C388F" w:rsidRDefault="00D83E8F" w:rsidP="00D83E8F">
            <w:pPr>
              <w:tabs>
                <w:tab w:val="left" w:pos="1005"/>
              </w:tabs>
              <w:jc w:val="center"/>
            </w:pPr>
            <w:r w:rsidRPr="005C388F">
              <w:t>Data Collection Schedule</w:t>
            </w:r>
          </w:p>
        </w:tc>
      </w:tr>
      <w:tr w:rsidR="00D83E8F" w:rsidRPr="005C388F" w14:paraId="37563FD9" w14:textId="77777777" w:rsidTr="00D83E8F">
        <w:tc>
          <w:tcPr>
            <w:tcW w:w="5370" w:type="dxa"/>
          </w:tcPr>
          <w:p w14:paraId="2023829A" w14:textId="77777777" w:rsidR="00D83E8F" w:rsidRPr="005C388F" w:rsidRDefault="00D83E8F" w:rsidP="00D83E8F">
            <w:pPr>
              <w:tabs>
                <w:tab w:val="left" w:pos="1005"/>
              </w:tabs>
            </w:pPr>
            <w:r w:rsidRPr="005C388F">
              <w:t>Annual Progress Report (Attachment C)</w:t>
            </w:r>
          </w:p>
        </w:tc>
        <w:tc>
          <w:tcPr>
            <w:tcW w:w="3990" w:type="dxa"/>
          </w:tcPr>
          <w:p w14:paraId="0D56004D" w14:textId="77777777" w:rsidR="00D83E8F" w:rsidRPr="005C388F" w:rsidRDefault="00D83E8F" w:rsidP="00D83E8F">
            <w:pPr>
              <w:tabs>
                <w:tab w:val="left" w:pos="1005"/>
              </w:tabs>
            </w:pPr>
            <w:r w:rsidRPr="005C388F">
              <w:t>1 year post award and annually thereafter</w:t>
            </w:r>
          </w:p>
        </w:tc>
      </w:tr>
      <w:tr w:rsidR="00D83E8F" w:rsidRPr="005C388F" w14:paraId="3E314D56" w14:textId="77777777" w:rsidTr="00D83E8F">
        <w:tc>
          <w:tcPr>
            <w:tcW w:w="5370" w:type="dxa"/>
          </w:tcPr>
          <w:p w14:paraId="02DC3251" w14:textId="77777777" w:rsidR="00D83E8F" w:rsidRPr="005C388F" w:rsidRDefault="00D83E8F" w:rsidP="00D83E8F">
            <w:pPr>
              <w:tabs>
                <w:tab w:val="left" w:pos="1005"/>
              </w:tabs>
            </w:pPr>
            <w:r w:rsidRPr="005C388F">
              <w:rPr>
                <w:bCs/>
              </w:rPr>
              <w:t>Evaluation and Performance Management Plan (Attachment D)</w:t>
            </w:r>
          </w:p>
        </w:tc>
        <w:tc>
          <w:tcPr>
            <w:tcW w:w="3990" w:type="dxa"/>
          </w:tcPr>
          <w:p w14:paraId="5482EFAB" w14:textId="77777777" w:rsidR="00D83E8F" w:rsidRPr="005C388F" w:rsidRDefault="00D83E8F" w:rsidP="00D83E8F">
            <w:pPr>
              <w:tabs>
                <w:tab w:val="left" w:pos="1005"/>
              </w:tabs>
            </w:pPr>
            <w:r w:rsidRPr="005C388F">
              <w:t>6 months post award and annually thereafter</w:t>
            </w:r>
          </w:p>
        </w:tc>
      </w:tr>
      <w:tr w:rsidR="00D83E8F" w:rsidRPr="005C388F" w14:paraId="56F479DA" w14:textId="77777777" w:rsidTr="00D83E8F">
        <w:tc>
          <w:tcPr>
            <w:tcW w:w="5370" w:type="dxa"/>
          </w:tcPr>
          <w:p w14:paraId="0470C166" w14:textId="77777777" w:rsidR="00D83E8F" w:rsidRPr="005C388F" w:rsidRDefault="00D83E8F" w:rsidP="00D83E8F">
            <w:pPr>
              <w:tabs>
                <w:tab w:val="left" w:pos="1005"/>
              </w:tabs>
            </w:pPr>
            <w:r w:rsidRPr="005C388F">
              <w:rPr>
                <w:bCs/>
              </w:rPr>
              <w:t>Injury Indicator Spreadsheet (Attachment E)</w:t>
            </w:r>
          </w:p>
        </w:tc>
        <w:tc>
          <w:tcPr>
            <w:tcW w:w="3990" w:type="dxa"/>
          </w:tcPr>
          <w:p w14:paraId="74B821C5" w14:textId="77777777" w:rsidR="00D83E8F" w:rsidRPr="005C388F" w:rsidRDefault="00D83E8F" w:rsidP="00D83E8F">
            <w:pPr>
              <w:tabs>
                <w:tab w:val="left" w:pos="1005"/>
              </w:tabs>
            </w:pPr>
            <w:r w:rsidRPr="005C388F">
              <w:t>1 year post award and annually thereafter</w:t>
            </w:r>
          </w:p>
        </w:tc>
      </w:tr>
    </w:tbl>
    <w:p w14:paraId="7BF380A0" w14:textId="77777777" w:rsidR="00D83E8F" w:rsidRPr="00640EB3" w:rsidRDefault="00D83E8F" w:rsidP="00D83E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A7D4E57" w14:textId="539069B6" w:rsidR="00DD1DE7" w:rsidRPr="005C388F" w:rsidRDefault="006E4981" w:rsidP="001B6D5A">
      <w:r w:rsidRPr="00640EB3">
        <w:t>Evaluati</w:t>
      </w:r>
      <w:r w:rsidR="003D069B" w:rsidRPr="005C388F">
        <w:t xml:space="preserve">ng </w:t>
      </w:r>
      <w:r w:rsidRPr="005C388F">
        <w:t xml:space="preserve">the </w:t>
      </w:r>
      <w:r w:rsidR="00DF55E0" w:rsidRPr="005C388F">
        <w:t xml:space="preserve">impact of population-based strategies </w:t>
      </w:r>
      <w:r w:rsidRPr="005C388F">
        <w:t xml:space="preserve">and </w:t>
      </w:r>
      <w:r w:rsidR="00DF55E0" w:rsidRPr="005C388F">
        <w:t xml:space="preserve">identifying </w:t>
      </w:r>
      <w:r w:rsidRPr="005C388F">
        <w:t xml:space="preserve">new insights and innovative solutions to health problems are two of the noted public health activities that all public health systems should undertake. For NCIPC, these objectives cannot be satisfied without the systematic collection of data and information from state health departments. </w:t>
      </w:r>
      <w:r w:rsidR="001B6D5A" w:rsidRPr="005C388F">
        <w:t>The information collection will enable the accurate, reliable, uniform and timely</w:t>
      </w:r>
      <w:r w:rsidR="0091756A" w:rsidRPr="005C388F">
        <w:t xml:space="preserve"> s</w:t>
      </w:r>
      <w:r w:rsidR="001B6D5A" w:rsidRPr="005C388F">
        <w:t xml:space="preserve">ubmission to </w:t>
      </w:r>
      <w:r w:rsidR="003230B8" w:rsidRPr="005C388F">
        <w:t xml:space="preserve">NCIPC </w:t>
      </w:r>
      <w:r w:rsidR="001B6D5A" w:rsidRPr="005C388F">
        <w:t xml:space="preserve">of each awardee’s </w:t>
      </w:r>
      <w:r w:rsidR="00BB42B4" w:rsidRPr="005C388F">
        <w:t>evaluation plan and progress report</w:t>
      </w:r>
      <w:r w:rsidR="001B6D5A" w:rsidRPr="005C388F">
        <w:t xml:space="preserve">, including strategies and performance measures.  The information collection plan </w:t>
      </w:r>
      <w:r w:rsidR="00DD1DE7" w:rsidRPr="005C388F">
        <w:t xml:space="preserve">proposed here </w:t>
      </w:r>
      <w:r w:rsidR="001B6D5A" w:rsidRPr="005C388F">
        <w:t xml:space="preserve">will </w:t>
      </w:r>
      <w:r w:rsidR="00C8628A" w:rsidRPr="005C388F">
        <w:t xml:space="preserve">also </w:t>
      </w:r>
      <w:r w:rsidR="001B6D5A" w:rsidRPr="005C388F">
        <w:t xml:space="preserve">generate a variety of routine and customizable reports.  </w:t>
      </w:r>
      <w:r w:rsidR="00C8628A" w:rsidRPr="005C388F">
        <w:t>State specific</w:t>
      </w:r>
      <w:r w:rsidR="001B6D5A" w:rsidRPr="005C388F">
        <w:t xml:space="preserve"> reports will allow each awardee to summarize activities and progress towards meeting strategies and performance measure targets</w:t>
      </w:r>
      <w:r w:rsidRPr="005C388F">
        <w:t xml:space="preserve"> related to the reduction and prevention of unintentional and intentional injuries</w:t>
      </w:r>
      <w:r w:rsidR="001B6D5A" w:rsidRPr="005C388F">
        <w:t xml:space="preserve">.  </w:t>
      </w:r>
      <w:r w:rsidR="003230B8" w:rsidRPr="005C388F">
        <w:t>NCIPC</w:t>
      </w:r>
      <w:r w:rsidR="001B6D5A" w:rsidRPr="005C388F">
        <w:t xml:space="preserve"> will also have the capacity to generate reports that describe activities </w:t>
      </w:r>
      <w:r w:rsidR="00E75620" w:rsidRPr="005C388F">
        <w:t xml:space="preserve">and health outcomes </w:t>
      </w:r>
      <w:r w:rsidR="001B6D5A" w:rsidRPr="005C388F">
        <w:t>across multiple awardees</w:t>
      </w:r>
      <w:r w:rsidRPr="005C388F">
        <w:t>, which will enable better reporting of trends and provision of technical assistance through linking partners</w:t>
      </w:r>
      <w:r w:rsidR="00DD1DE7" w:rsidRPr="005C388F">
        <w:t xml:space="preserve"> across state health departments, RNCOs, and collaborating divisions within CDC</w:t>
      </w:r>
      <w:r w:rsidR="001B6D5A" w:rsidRPr="005C388F">
        <w:t>.</w:t>
      </w:r>
      <w:r w:rsidR="00E75620" w:rsidRPr="005C388F">
        <w:t xml:space="preserve"> </w:t>
      </w:r>
    </w:p>
    <w:p w14:paraId="7A133465" w14:textId="77777777" w:rsidR="00DD1DE7" w:rsidRPr="005C388F" w:rsidRDefault="00DD1DE7" w:rsidP="001B6D5A"/>
    <w:p w14:paraId="2F4576AD" w14:textId="7E84601B" w:rsidR="00E75620" w:rsidRPr="005C388F" w:rsidRDefault="00DD1DE7" w:rsidP="001B6D5A">
      <w:r w:rsidRPr="005C388F">
        <w:t xml:space="preserve">The information collection and reporting requirements have been carefully designed to align with and support the specific goals and outcomes outlined in the Core SVIPP cooperative agreement. </w:t>
      </w:r>
      <w:r w:rsidR="00F74C10" w:rsidRPr="005C388F">
        <w:t>Although the</w:t>
      </w:r>
      <w:r w:rsidR="00E75620" w:rsidRPr="005C388F">
        <w:t xml:space="preserve"> evaluation results and data </w:t>
      </w:r>
      <w:r w:rsidR="00F74C10" w:rsidRPr="005C388F">
        <w:t>are</w:t>
      </w:r>
      <w:r w:rsidR="00C8628A" w:rsidRPr="005C388F">
        <w:t xml:space="preserve"> </w:t>
      </w:r>
      <w:r w:rsidR="00E75620" w:rsidRPr="005C388F">
        <w:t xml:space="preserve">limited to the </w:t>
      </w:r>
      <w:r w:rsidR="00F74C10" w:rsidRPr="005C388F">
        <w:t xml:space="preserve">20 </w:t>
      </w:r>
      <w:r w:rsidR="00E75620" w:rsidRPr="005C388F">
        <w:t xml:space="preserve">awardees of the Core SVIPP FOA, </w:t>
      </w:r>
      <w:r w:rsidR="00F74C10" w:rsidRPr="005C388F">
        <w:t xml:space="preserve">the results can be generalizable and inform the injury and violence prevention work. Moreover, </w:t>
      </w:r>
      <w:r w:rsidR="00E75620" w:rsidRPr="005C388F">
        <w:t>it is steadfastly asserted that the results of the data collection a</w:t>
      </w:r>
      <w:r w:rsidRPr="005C388F">
        <w:t xml:space="preserve">re vital to ensuring the Core SVIPPs </w:t>
      </w:r>
      <w:r w:rsidR="00FB24A9" w:rsidRPr="005C388F">
        <w:t>efficient management</w:t>
      </w:r>
      <w:r w:rsidRPr="005C388F">
        <w:t xml:space="preserve">. Results will not only allow NCIPC staff to provide data-driven technical assistance, but also to assess patterns across other NCIPC injury and violence prevention programs such as, Prescription Drug Overdose Prevention for States and the Injury Control Research Centers. </w:t>
      </w:r>
      <w:r w:rsidR="00FB24A9" w:rsidRPr="005C388F">
        <w:t xml:space="preserve">In addition, the data collection will inform the continuous quality improvement process and allow NCIPC staff to make mid-course corrections and describe the impact on health outcomes. </w:t>
      </w:r>
    </w:p>
    <w:p w14:paraId="28D00B0B" w14:textId="77777777" w:rsidR="00E75620" w:rsidRPr="005C388F" w:rsidRDefault="00E75620" w:rsidP="001B6D5A"/>
    <w:p w14:paraId="54022A30" w14:textId="3767F6CE" w:rsidR="001B6D5A" w:rsidRPr="005C388F" w:rsidRDefault="00F74C10" w:rsidP="00395197">
      <w:r w:rsidRPr="005C388F">
        <w:t xml:space="preserve">The </w:t>
      </w:r>
      <w:r w:rsidR="00E75620" w:rsidRPr="005C388F">
        <w:t xml:space="preserve">information collection procedures </w:t>
      </w:r>
      <w:r w:rsidR="003230B8" w:rsidRPr="005C388F">
        <w:t xml:space="preserve">will </w:t>
      </w:r>
      <w:r w:rsidRPr="005C388F">
        <w:t xml:space="preserve">also </w:t>
      </w:r>
      <w:r w:rsidR="003230B8" w:rsidRPr="005C388F">
        <w:t>allow NCIPC to respond to inquiries from the HHS, the White House, Congress and other stakeholder</w:t>
      </w:r>
      <w:r w:rsidR="00B939B1" w:rsidRPr="005C388F">
        <w:t>s</w:t>
      </w:r>
      <w:r w:rsidR="003230B8" w:rsidRPr="005C388F">
        <w:t xml:space="preserve"> about program activities and their impact; as well as, work towards CDCs overarching mission to protect America from health, safety and security threats, both foreign and in the U.S. </w:t>
      </w:r>
    </w:p>
    <w:p w14:paraId="051B3694" w14:textId="77777777" w:rsidR="00395197" w:rsidRPr="005C388F" w:rsidRDefault="00395197" w:rsidP="00395197"/>
    <w:p w14:paraId="3CA02061" w14:textId="36BBE494" w:rsidR="00CC7943" w:rsidRPr="005C388F" w:rsidRDefault="00DD1DE7" w:rsidP="00E02CAC">
      <w:r w:rsidRPr="005C388F">
        <w:t>NCIPC</w:t>
      </w:r>
      <w:r w:rsidR="001B6D5A" w:rsidRPr="005C388F">
        <w:t xml:space="preserve"> will use the information collected </w:t>
      </w:r>
      <w:r w:rsidR="00CC7943" w:rsidRPr="005C388F">
        <w:t xml:space="preserve">to perform program and evaluation activities to accomplish the following objectives: </w:t>
      </w:r>
    </w:p>
    <w:p w14:paraId="60D483D4" w14:textId="6B3463F9" w:rsidR="00CC7943" w:rsidRPr="005C388F" w:rsidRDefault="00CC7943" w:rsidP="00CC7943">
      <w:pPr>
        <w:pStyle w:val="ListParagraph"/>
        <w:numPr>
          <w:ilvl w:val="0"/>
          <w:numId w:val="21"/>
        </w:numPr>
        <w:rPr>
          <w:color w:val="000000" w:themeColor="text1"/>
        </w:rPr>
      </w:pPr>
      <w:r w:rsidRPr="005C388F">
        <w:t>M</w:t>
      </w:r>
      <w:r w:rsidR="001B6D5A" w:rsidRPr="005C388F">
        <w:t>onito</w:t>
      </w:r>
      <w:r w:rsidRPr="005C388F">
        <w:t xml:space="preserve">r each awardee’s progress and </w:t>
      </w:r>
      <w:r w:rsidR="001B6D5A" w:rsidRPr="005C388F">
        <w:t xml:space="preserve">identify facilitators and </w:t>
      </w:r>
      <w:r w:rsidR="00E02CAC" w:rsidRPr="005C388F">
        <w:t>barriers</w:t>
      </w:r>
      <w:r w:rsidR="001B6D5A" w:rsidRPr="005C388F">
        <w:t xml:space="preserve"> to program implementation and achievement of outcomes.  Monitoring allows </w:t>
      </w:r>
      <w:r w:rsidR="00DD1DE7" w:rsidRPr="005C388F">
        <w:t>NCIPC</w:t>
      </w:r>
      <w:r w:rsidR="001B6D5A" w:rsidRPr="005C388F">
        <w:t xml:space="preserve"> to determine whether an awardee is meeting performance goals</w:t>
      </w:r>
      <w:r w:rsidR="00B939B1" w:rsidRPr="005C388F">
        <w:t xml:space="preserve">, to inform awardee continuous quality improvements, </w:t>
      </w:r>
      <w:r w:rsidR="001B6D5A" w:rsidRPr="005C388F">
        <w:t xml:space="preserve">and to </w:t>
      </w:r>
      <w:r w:rsidR="00B939B1" w:rsidRPr="005C388F">
        <w:t>inform the type of intensity of CDC-provided</w:t>
      </w:r>
      <w:r w:rsidR="001B6D5A" w:rsidRPr="005C388F">
        <w:t xml:space="preserve"> technical assistance to support attainment of their performance measures.  </w:t>
      </w:r>
    </w:p>
    <w:p w14:paraId="55DB5621" w14:textId="27B87A37" w:rsidR="00CC7943" w:rsidRPr="005C388F" w:rsidRDefault="00CC7943" w:rsidP="00CC7943">
      <w:pPr>
        <w:pStyle w:val="ListParagraph"/>
        <w:numPr>
          <w:ilvl w:val="0"/>
          <w:numId w:val="21"/>
        </w:numPr>
        <w:rPr>
          <w:color w:val="000000" w:themeColor="text1"/>
        </w:rPr>
      </w:pPr>
      <w:r w:rsidRPr="005C388F">
        <w:t xml:space="preserve">Identify trends in unintentional and intentional injury surveillance data to inform the </w:t>
      </w:r>
      <w:r w:rsidR="00872762" w:rsidRPr="005C388F">
        <w:t xml:space="preserve">state the </w:t>
      </w:r>
      <w:r w:rsidR="00B939B1" w:rsidRPr="005C388F">
        <w:t xml:space="preserve">targeting of prevention and intervention strategies as well as the </w:t>
      </w:r>
      <w:r w:rsidRPr="005C388F">
        <w:t xml:space="preserve">production of relevant reports, journal articles, and resources for state health departments. </w:t>
      </w:r>
    </w:p>
    <w:p w14:paraId="694214EF" w14:textId="6B3554FD" w:rsidR="00CC7943" w:rsidRPr="005C388F" w:rsidRDefault="00CC7943" w:rsidP="00CC7943">
      <w:pPr>
        <w:pStyle w:val="ListParagraph"/>
        <w:numPr>
          <w:ilvl w:val="0"/>
          <w:numId w:val="21"/>
        </w:numPr>
        <w:rPr>
          <w:color w:val="000000" w:themeColor="text1"/>
        </w:rPr>
      </w:pPr>
      <w:r w:rsidRPr="005C388F">
        <w:t>I</w:t>
      </w:r>
      <w:r w:rsidR="001B6D5A" w:rsidRPr="005C388F">
        <w:t>dentify</w:t>
      </w:r>
      <w:r w:rsidR="00872762" w:rsidRPr="005C388F">
        <w:t>, translate,</w:t>
      </w:r>
      <w:r w:rsidR="001B6D5A" w:rsidRPr="005C388F">
        <w:t xml:space="preserve"> and disseminate information about successful prevention and control strategies implemented by awardees</w:t>
      </w:r>
      <w:r w:rsidRPr="005C388F">
        <w:t xml:space="preserve"> through the development of journal articles, tools, templates, and other unintentional and intentional violence prevention resources/products</w:t>
      </w:r>
      <w:r w:rsidR="001B6D5A" w:rsidRPr="005C388F">
        <w:t xml:space="preserve">.  </w:t>
      </w:r>
    </w:p>
    <w:p w14:paraId="22E04A3E" w14:textId="7E0D1C2D" w:rsidR="00E02CAC" w:rsidRPr="005C388F" w:rsidRDefault="00CC7943" w:rsidP="00CC7943">
      <w:pPr>
        <w:pStyle w:val="ListParagraph"/>
        <w:numPr>
          <w:ilvl w:val="0"/>
          <w:numId w:val="21"/>
        </w:numPr>
        <w:rPr>
          <w:color w:val="000000" w:themeColor="text1"/>
        </w:rPr>
      </w:pPr>
      <w:r w:rsidRPr="005C388F">
        <w:t>M</w:t>
      </w:r>
      <w:r w:rsidR="001B6D5A" w:rsidRPr="005C388F">
        <w:t>onitor the increased emphasis on strategies that affect health outcomes and impact</w:t>
      </w:r>
      <w:r w:rsidR="00CF3606" w:rsidRPr="005C388F">
        <w:t xml:space="preserve"> through addressing shared risk and protection factors. This strategy is</w:t>
      </w:r>
      <w:r w:rsidR="001B6D5A" w:rsidRPr="005C388F">
        <w:t xml:space="preserve"> </w:t>
      </w:r>
      <w:r w:rsidRPr="005C388F">
        <w:t xml:space="preserve">expected to </w:t>
      </w:r>
      <w:r w:rsidR="00CF3606" w:rsidRPr="005C388F">
        <w:t>reduce</w:t>
      </w:r>
      <w:r w:rsidR="001B6D5A" w:rsidRPr="005C388F">
        <w:t xml:space="preserve"> duplication of effort, enhance</w:t>
      </w:r>
      <w:r w:rsidR="00CF3606" w:rsidRPr="005C388F">
        <w:t xml:space="preserve"> program impact and maximize</w:t>
      </w:r>
      <w:r w:rsidR="001B6D5A" w:rsidRPr="005C388F">
        <w:t xml:space="preserve"> use of federal funds.</w:t>
      </w:r>
      <w:r w:rsidR="00E02CAC" w:rsidRPr="005C388F">
        <w:t xml:space="preserve"> In addition, </w:t>
      </w:r>
      <w:r w:rsidR="00CF3606" w:rsidRPr="005C388F">
        <w:t>NCIPC</w:t>
      </w:r>
      <w:r w:rsidR="00E02CAC" w:rsidRPr="005C388F">
        <w:t xml:space="preserve"> will use the results of this information collection to appraise the model for future program reporting efforts and improvement. </w:t>
      </w:r>
    </w:p>
    <w:p w14:paraId="51099F34" w14:textId="68AA616E" w:rsidR="001B6D5A" w:rsidRPr="005C388F" w:rsidRDefault="00E02CAC" w:rsidP="00E02CA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C388F">
        <w:rPr>
          <w:b/>
          <w:bCs/>
        </w:rPr>
        <w:t xml:space="preserve"> </w:t>
      </w:r>
    </w:p>
    <w:p w14:paraId="792D73B7" w14:textId="7B301E18" w:rsidR="001B6D5A" w:rsidRPr="005C388F" w:rsidRDefault="00872762" w:rsidP="001B6D5A">
      <w:r w:rsidRPr="005C388F">
        <w:t>P</w:t>
      </w:r>
      <w:r w:rsidR="001B6D5A" w:rsidRPr="005C388F">
        <w:t xml:space="preserve">rogram awardees will use the information collected to manage and coordinate their activities and to improve their efforts to prevent and control </w:t>
      </w:r>
      <w:r w:rsidR="003E55D9" w:rsidRPr="005C388F">
        <w:t>unintentional and intentional injuries</w:t>
      </w:r>
      <w:r w:rsidR="001B6D5A" w:rsidRPr="005C388F">
        <w:t>.  The tools will allow awardees to fulfill their annual reporting obligations efficient</w:t>
      </w:r>
      <w:r w:rsidRPr="005C388F">
        <w:t>ly</w:t>
      </w:r>
      <w:r w:rsidR="001B6D5A" w:rsidRPr="005C388F">
        <w:t xml:space="preserve"> by employing user-friendly instruments to collect necessary information for both progress reports and continuation applications including work plans.  This approach, which enables awardees to save pertinent information from one reporting period to the next, will reduce the administrative burden on the yearly continuation application and the progress review process.  Awardee program staff will be able to review the completeness of data needed to generate required reports, enter basic summary data for reports annually, and finalize and save required reports for upload into other reporting systems as required. </w:t>
      </w:r>
    </w:p>
    <w:p w14:paraId="2853493F" w14:textId="77777777" w:rsidR="005E42CC" w:rsidRPr="005C388F" w:rsidRDefault="005E42CC" w:rsidP="0070531D">
      <w:pPr>
        <w:autoSpaceDE w:val="0"/>
        <w:autoSpaceDN w:val="0"/>
        <w:adjustRightInd w:val="0"/>
      </w:pPr>
    </w:p>
    <w:p w14:paraId="73F4649A" w14:textId="77777777" w:rsidR="00972DEF" w:rsidRPr="00640EB3" w:rsidRDefault="00972DEF" w:rsidP="0070531D">
      <w:pPr>
        <w:autoSpaceDE w:val="0"/>
        <w:autoSpaceDN w:val="0"/>
        <w:adjustRightInd w:val="0"/>
        <w:rPr>
          <w:b/>
          <w:bCs/>
        </w:rPr>
      </w:pPr>
      <w:r w:rsidRPr="005C388F">
        <w:rPr>
          <w:b/>
          <w:bCs/>
        </w:rPr>
        <w:t xml:space="preserve">A.3. </w:t>
      </w:r>
      <w:r w:rsidRPr="005C388F">
        <w:rPr>
          <w:b/>
          <w:bCs/>
        </w:rPr>
        <w:tab/>
        <w:t>Use of Improved Information Technology and Burden Reduction</w:t>
      </w:r>
    </w:p>
    <w:p w14:paraId="2475134B" w14:textId="77777777" w:rsidR="008D1A68" w:rsidRPr="00640EB3" w:rsidRDefault="008D1A68" w:rsidP="003E55D9"/>
    <w:p w14:paraId="43C1EA80" w14:textId="77777777" w:rsidR="001D3732" w:rsidRPr="00C87FC5" w:rsidRDefault="001D3732" w:rsidP="001D3732">
      <w:pPr>
        <w:tabs>
          <w:tab w:val="num" w:pos="720"/>
        </w:tabs>
      </w:pPr>
      <w:r>
        <w:t>Taking</w:t>
      </w:r>
      <w:r w:rsidRPr="00D7337B">
        <w:t xml:space="preserve"> advantage of electronic technology</w:t>
      </w:r>
      <w:r>
        <w:t>, 100 percent</w:t>
      </w:r>
      <w:r w:rsidRPr="00D7337B">
        <w:t xml:space="preserve"> </w:t>
      </w:r>
      <w:r>
        <w:t xml:space="preserve">of responses to this information collection occur using email. </w:t>
      </w:r>
      <w:r w:rsidRPr="00C87FC5">
        <w:t>Awardees will email completed Excel spreadsheets, tailored for their specific work plans, and Word documents to the assigned NCIPC staff on an annual basis.  CDC staff will input the data into NCIPC’s internal Monitoring and Evaluation Tool Access database for examination and reporting.</w:t>
      </w:r>
      <w:r>
        <w:t xml:space="preserve"> </w:t>
      </w:r>
      <w:r w:rsidRPr="00C87FC5">
        <w:t xml:space="preserve">These tools improve information quality by minimizing errors and redundancy.  Having all of the information collected in the same place in the same manner will reduce the level of burden attributable to redundancy and reduce the workload to enter and maintain the data.  Programs will have data self-populated from one year to another, which minimizes data re-entry, burden, and potential errors. </w:t>
      </w:r>
    </w:p>
    <w:p w14:paraId="014E034D" w14:textId="77777777" w:rsidR="001D3732" w:rsidRDefault="001D3732" w:rsidP="003E55D9"/>
    <w:p w14:paraId="2A2FE019" w14:textId="602E405F" w:rsidR="00395197" w:rsidRPr="005C388F" w:rsidRDefault="00395197" w:rsidP="003E55D9">
      <w:r w:rsidRPr="005C388F">
        <w:t>NCIPC ha</w:t>
      </w:r>
      <w:r w:rsidR="00F134FA" w:rsidRPr="005C388F">
        <w:t>s</w:t>
      </w:r>
      <w:r w:rsidR="003E55D9" w:rsidRPr="005C388F">
        <w:t xml:space="preserve"> developed the </w:t>
      </w:r>
      <w:r w:rsidR="00FF21DF" w:rsidRPr="005C388F">
        <w:t>Annual Progress Report</w:t>
      </w:r>
      <w:r w:rsidR="003E55D9" w:rsidRPr="005C388F">
        <w:t xml:space="preserve"> </w:t>
      </w:r>
      <w:r w:rsidRPr="005C388F">
        <w:t xml:space="preserve">(Attachment C) and Injury Indicator Spreadsheet (Attachment E) </w:t>
      </w:r>
      <w:r w:rsidR="003E55D9" w:rsidRPr="005C388F">
        <w:t xml:space="preserve">using the Excel platform. Additionally, </w:t>
      </w:r>
      <w:r w:rsidRPr="005C388F">
        <w:t xml:space="preserve">the </w:t>
      </w:r>
      <w:r w:rsidR="003E55D9" w:rsidRPr="005C388F">
        <w:t xml:space="preserve">Evaluation </w:t>
      </w:r>
      <w:r w:rsidRPr="005C388F">
        <w:t xml:space="preserve">and Program Management </w:t>
      </w:r>
      <w:r w:rsidR="003E55D9" w:rsidRPr="005C388F">
        <w:t>Plan t</w:t>
      </w:r>
      <w:r w:rsidR="004839C3" w:rsidRPr="005C388F">
        <w:t>ool</w:t>
      </w:r>
      <w:r w:rsidR="003E55D9" w:rsidRPr="005C388F">
        <w:t xml:space="preserve"> has </w:t>
      </w:r>
      <w:r w:rsidR="00595E1B" w:rsidRPr="005C388F">
        <w:t xml:space="preserve">been developed using MS Word. </w:t>
      </w:r>
      <w:r w:rsidR="003E55D9" w:rsidRPr="005C388F">
        <w:t xml:space="preserve">Since the use of Excel, Word and similar Microsoft products is common, </w:t>
      </w:r>
      <w:r w:rsidRPr="005C388F">
        <w:t>it is proposed</w:t>
      </w:r>
      <w:r w:rsidR="003E55D9" w:rsidRPr="005C388F">
        <w:t xml:space="preserve"> these user-friendly interfaces will be easier and more intuitive for awardees to use than special-purpose tools or software.  Use of Excel and Word will require very little training and awardees will use the t</w:t>
      </w:r>
      <w:r w:rsidR="004839C3" w:rsidRPr="005C388F">
        <w:t xml:space="preserve">ools </w:t>
      </w:r>
      <w:r w:rsidR="003E55D9" w:rsidRPr="005C388F">
        <w:t xml:space="preserve">provided to record and update grant information.  </w:t>
      </w:r>
    </w:p>
    <w:p w14:paraId="7EC12746" w14:textId="77777777" w:rsidR="00395197" w:rsidRPr="005C388F" w:rsidRDefault="00395197" w:rsidP="003E55D9"/>
    <w:p w14:paraId="2F76AE88" w14:textId="1A38E439" w:rsidR="00595E1B" w:rsidRPr="005C388F" w:rsidRDefault="00595E1B" w:rsidP="00595E1B">
      <w:pPr>
        <w:spacing w:after="120"/>
      </w:pPr>
      <w:r w:rsidRPr="005C388F">
        <w:t>There are significant advantages to collecting information using these reporting tools:</w:t>
      </w:r>
    </w:p>
    <w:p w14:paraId="7712688D" w14:textId="77777777" w:rsidR="00595E1B" w:rsidRPr="005C388F" w:rsidRDefault="00595E1B" w:rsidP="00595E1B">
      <w:pPr>
        <w:pStyle w:val="ListParagraph"/>
        <w:numPr>
          <w:ilvl w:val="0"/>
          <w:numId w:val="9"/>
        </w:numPr>
        <w:spacing w:after="120"/>
      </w:pPr>
      <w:r w:rsidRPr="005C388F">
        <w:t>The data structures and business rules will help awardees formulate performance measures that are specific, measurable, achievable, relevant and time-framed (SMART).  This formulation is intended to facilitate successful achievement of performance measures and is integral to CDC’s program evaluation strategy for the program.</w:t>
      </w:r>
    </w:p>
    <w:p w14:paraId="1841DE90" w14:textId="77777777" w:rsidR="00595E1B" w:rsidRPr="005C388F" w:rsidRDefault="00595E1B" w:rsidP="00595E1B">
      <w:pPr>
        <w:pStyle w:val="ListParagraph"/>
        <w:numPr>
          <w:ilvl w:val="0"/>
          <w:numId w:val="9"/>
        </w:numPr>
        <w:spacing w:after="120"/>
      </w:pPr>
      <w:r w:rsidRPr="005C388F">
        <w:t xml:space="preserve">The information being collected provides crucial information about each awardee’s work plan, activities, partnerships, successes, challenges and progress over the award period.  </w:t>
      </w:r>
    </w:p>
    <w:p w14:paraId="3203FF2C" w14:textId="77777777" w:rsidR="00595E1B" w:rsidRPr="005C388F" w:rsidRDefault="00595E1B" w:rsidP="00595E1B">
      <w:pPr>
        <w:pStyle w:val="ListParagraph"/>
        <w:numPr>
          <w:ilvl w:val="0"/>
          <w:numId w:val="9"/>
        </w:numPr>
        <w:spacing w:after="120"/>
      </w:pPr>
      <w:r w:rsidRPr="005C388F">
        <w:t xml:space="preserve">Excel-based tools contain built in data definitions, formulas, and macros to allow for easy entry, calculations, data validation, and reporting. </w:t>
      </w:r>
    </w:p>
    <w:p w14:paraId="530CA40F" w14:textId="6AC35E0D" w:rsidR="00395197" w:rsidRPr="005C388F" w:rsidRDefault="00595E1B" w:rsidP="003E55D9">
      <w:pPr>
        <w:pStyle w:val="ListParagraph"/>
        <w:numPr>
          <w:ilvl w:val="0"/>
          <w:numId w:val="9"/>
        </w:numPr>
        <w:spacing w:after="120"/>
      </w:pPr>
      <w:r w:rsidRPr="005C388F">
        <w:t>Capturing the required information uniformly will allow CDC to formulate ad hoc analyses and reports for program evaluation and manuscript development.</w:t>
      </w:r>
    </w:p>
    <w:p w14:paraId="7813FD1F" w14:textId="77777777" w:rsidR="003E55D9" w:rsidRPr="005C388F" w:rsidRDefault="003E55D9" w:rsidP="003E55D9">
      <w:pPr>
        <w:tabs>
          <w:tab w:val="num" w:pos="720"/>
        </w:tabs>
      </w:pPr>
    </w:p>
    <w:p w14:paraId="31E279C9" w14:textId="154B7A0C" w:rsidR="003E55D9" w:rsidRPr="005C388F" w:rsidRDefault="00E065CA" w:rsidP="003E55D9">
      <w:r>
        <w:t>T</w:t>
      </w:r>
      <w:r w:rsidR="003E55D9" w:rsidRPr="005C388F">
        <w:t>he</w:t>
      </w:r>
      <w:r>
        <w:t>se</w:t>
      </w:r>
      <w:r w:rsidR="003E55D9" w:rsidRPr="005C388F">
        <w:t xml:space="preserve"> tools</w:t>
      </w:r>
      <w:r>
        <w:t xml:space="preserve"> and </w:t>
      </w:r>
      <w:r w:rsidR="003E55D9" w:rsidRPr="005C388F">
        <w:t xml:space="preserve">the use of a standard set of data elements, definitions and specifications at all levels will help to improve the quality and comparability of performance information that is received by CDC for multiple awardees and multiple award types.  Further, standardization will enhance the consistency of plans and reports, enable </w:t>
      </w:r>
      <w:r w:rsidR="008D1A68" w:rsidRPr="005C388F">
        <w:t xml:space="preserve">examination of </w:t>
      </w:r>
      <w:r w:rsidR="003E55D9" w:rsidRPr="005C388F">
        <w:t xml:space="preserve">cross-program </w:t>
      </w:r>
      <w:r w:rsidR="008D1A68" w:rsidRPr="005C388F">
        <w:t>performance and strategies</w:t>
      </w:r>
      <w:r w:rsidR="003E55D9" w:rsidRPr="005C388F">
        <w:t>, and will facilitate a higher degree of reliability by ensuring that the same information is collected on all strategies and performance measures with slightly different areas of emphasis, depending on the awardee type (</w:t>
      </w:r>
      <w:r w:rsidR="00595E1B" w:rsidRPr="005C388F">
        <w:t>BASE, SQI, RNCO</w:t>
      </w:r>
      <w:r w:rsidR="003E55D9" w:rsidRPr="005C388F">
        <w:t xml:space="preserve">). Finally, the report generation capabilities of the </w:t>
      </w:r>
      <w:r w:rsidR="00595E1B" w:rsidRPr="005C388F">
        <w:t>tools</w:t>
      </w:r>
      <w:r w:rsidR="003E55D9" w:rsidRPr="005C388F">
        <w:t xml:space="preserve"> will reduce the respondent burden associated with paper-based reports.  Without the reporting tools and the integrated approach to information collection and reporting, awardees and CDC would need to continue to use time consuming, labor intensive procedures for information collection and reporting.</w:t>
      </w:r>
    </w:p>
    <w:p w14:paraId="73F4649C" w14:textId="77777777" w:rsidR="00972DEF" w:rsidRPr="005C388F" w:rsidRDefault="00972DEF" w:rsidP="0070531D">
      <w:pPr>
        <w:autoSpaceDE w:val="0"/>
        <w:autoSpaceDN w:val="0"/>
        <w:adjustRightInd w:val="0"/>
      </w:pPr>
    </w:p>
    <w:p w14:paraId="73F4649D" w14:textId="77777777" w:rsidR="00972DEF" w:rsidRPr="00640EB3" w:rsidRDefault="00972DEF" w:rsidP="0070531D">
      <w:pPr>
        <w:autoSpaceDE w:val="0"/>
        <w:autoSpaceDN w:val="0"/>
        <w:adjustRightInd w:val="0"/>
        <w:rPr>
          <w:b/>
          <w:bCs/>
        </w:rPr>
      </w:pPr>
      <w:r w:rsidRPr="005C388F">
        <w:rPr>
          <w:b/>
          <w:bCs/>
        </w:rPr>
        <w:t xml:space="preserve">A.4. </w:t>
      </w:r>
      <w:r w:rsidRPr="005C388F">
        <w:rPr>
          <w:b/>
          <w:bCs/>
        </w:rPr>
        <w:tab/>
        <w:t>Efforts to Identify Duplication and Use of Similar Information</w:t>
      </w:r>
    </w:p>
    <w:p w14:paraId="3A71F28C" w14:textId="77777777" w:rsidR="008D1A68" w:rsidRPr="00640EB3" w:rsidRDefault="008D1A68" w:rsidP="008D1A68"/>
    <w:p w14:paraId="0CE472E2" w14:textId="1233347E" w:rsidR="008D1A68" w:rsidRPr="005C388F" w:rsidRDefault="00E0477C" w:rsidP="008D1A68">
      <w:r>
        <w:t xml:space="preserve">Since CDC is the only federal agency providing funding for </w:t>
      </w:r>
      <w:r w:rsidRPr="00C21E57">
        <w:t>state</w:t>
      </w:r>
      <w:r>
        <w:t xml:space="preserve"> </w:t>
      </w:r>
      <w:r w:rsidR="008E7401">
        <w:t xml:space="preserve">violence and injury prevention </w:t>
      </w:r>
      <w:r>
        <w:t>to conduct prevention work</w:t>
      </w:r>
      <w:r w:rsidR="00730779">
        <w:t>, the</w:t>
      </w:r>
      <w:r w:rsidRPr="000124D2">
        <w:rPr>
          <w:color w:val="A6A6A6" w:themeColor="background1" w:themeShade="A6"/>
        </w:rPr>
        <w:t xml:space="preserve"> </w:t>
      </w:r>
      <w:r>
        <w:t xml:space="preserve">information collected from </w:t>
      </w:r>
      <w:r w:rsidRPr="00213213">
        <w:t>Core State Violence and Injury Prevention Program (Core SVIPP) (CDC-RFA-</w:t>
      </w:r>
      <w:r w:rsidR="006C3231">
        <w:rPr>
          <w:bCs/>
        </w:rPr>
        <w:t xml:space="preserve">CE16-1602) </w:t>
      </w:r>
      <w:r w:rsidRPr="000445A7">
        <w:t>awardees is n</w:t>
      </w:r>
      <w:r>
        <w:t xml:space="preserve">ot available from other sources. </w:t>
      </w:r>
      <w:r w:rsidR="008D1A68" w:rsidRPr="005C388F">
        <w:t xml:space="preserve">The collection of this information is part of a federal reporting requirement for funds received by awardees. The tools will consolidate information necessary for both continuation applications and progress reports so that information entered once can be used to generate multiple types of reports without having to duplicate efforts.  The information collected from awardees is not available from other sources.  </w:t>
      </w:r>
    </w:p>
    <w:p w14:paraId="73F4649F" w14:textId="77777777" w:rsidR="003E1523" w:rsidRPr="005C388F" w:rsidRDefault="003E1523" w:rsidP="007053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F464A0" w14:textId="77777777" w:rsidR="00972DEF" w:rsidRPr="005C388F" w:rsidRDefault="00972DEF" w:rsidP="0070531D">
      <w:pPr>
        <w:autoSpaceDE w:val="0"/>
        <w:autoSpaceDN w:val="0"/>
        <w:adjustRightInd w:val="0"/>
        <w:rPr>
          <w:b/>
          <w:bCs/>
        </w:rPr>
      </w:pPr>
      <w:r w:rsidRPr="005C388F">
        <w:rPr>
          <w:b/>
          <w:bCs/>
        </w:rPr>
        <w:t xml:space="preserve">A.5. </w:t>
      </w:r>
      <w:r w:rsidRPr="005C388F">
        <w:rPr>
          <w:b/>
          <w:bCs/>
        </w:rPr>
        <w:tab/>
        <w:t xml:space="preserve">Impact on Small Businesses or Other Small Entities </w:t>
      </w:r>
    </w:p>
    <w:p w14:paraId="73F464A1" w14:textId="77777777" w:rsidR="00972DEF" w:rsidRPr="005C388F" w:rsidRDefault="00972DEF" w:rsidP="0070531D">
      <w:pPr>
        <w:autoSpaceDE w:val="0"/>
        <w:autoSpaceDN w:val="0"/>
        <w:adjustRightInd w:val="0"/>
        <w:rPr>
          <w:b/>
          <w:bCs/>
        </w:rPr>
      </w:pPr>
    </w:p>
    <w:p w14:paraId="73F464A2" w14:textId="77777777" w:rsidR="0027700E" w:rsidRPr="005C388F" w:rsidRDefault="0027700E" w:rsidP="0070531D">
      <w:pPr>
        <w:autoSpaceDE w:val="0"/>
        <w:autoSpaceDN w:val="0"/>
        <w:adjustRightInd w:val="0"/>
      </w:pPr>
      <w:r w:rsidRPr="005C388F">
        <w:t>No small businesses will be involved in this data collection.</w:t>
      </w:r>
    </w:p>
    <w:p w14:paraId="215CD324" w14:textId="77777777" w:rsidR="004866F0" w:rsidRPr="005C388F" w:rsidRDefault="004866F0" w:rsidP="0070531D">
      <w:pPr>
        <w:autoSpaceDE w:val="0"/>
        <w:autoSpaceDN w:val="0"/>
        <w:adjustRightInd w:val="0"/>
        <w:rPr>
          <w:i/>
          <w:iCs/>
        </w:rPr>
      </w:pPr>
    </w:p>
    <w:p w14:paraId="73F464A4" w14:textId="77777777" w:rsidR="00972DEF" w:rsidRPr="005C388F" w:rsidRDefault="00972DEF" w:rsidP="0070531D">
      <w:pPr>
        <w:autoSpaceDE w:val="0"/>
        <w:autoSpaceDN w:val="0"/>
        <w:adjustRightInd w:val="0"/>
        <w:rPr>
          <w:b/>
          <w:bCs/>
        </w:rPr>
      </w:pPr>
      <w:r w:rsidRPr="005C388F">
        <w:rPr>
          <w:b/>
          <w:bCs/>
        </w:rPr>
        <w:t xml:space="preserve">A.6. </w:t>
      </w:r>
      <w:r w:rsidRPr="005C388F">
        <w:rPr>
          <w:b/>
          <w:bCs/>
        </w:rPr>
        <w:tab/>
        <w:t xml:space="preserve">Consequences of Collecting the Information Less Frequently </w:t>
      </w:r>
    </w:p>
    <w:p w14:paraId="00DC2279" w14:textId="77777777" w:rsidR="00016B84" w:rsidRPr="005C388F" w:rsidRDefault="00016B84" w:rsidP="008D1A68">
      <w:pPr>
        <w:rPr>
          <w:color w:val="000000" w:themeColor="text1"/>
        </w:rPr>
      </w:pPr>
    </w:p>
    <w:p w14:paraId="1E926972" w14:textId="77777777" w:rsidR="008D1A68" w:rsidRPr="005C388F" w:rsidRDefault="008D1A68" w:rsidP="008D1A68">
      <w:pPr>
        <w:rPr>
          <w:color w:val="000000" w:themeColor="text1"/>
        </w:rPr>
      </w:pPr>
      <w:r w:rsidRPr="005C388F">
        <w:rPr>
          <w:color w:val="000000" w:themeColor="text1"/>
        </w:rPr>
        <w:t>Reports will be collected annually. The annual progress report is due 120 days before the end of the budget period and serves as a non-competing continuation application. Less frequent reporting would undermine accountability efforts at all levels and negatively impact monitoring awardee progress. The annual reporting schedule ensures that CDC responses to inquiries from HHS, the White House, Congress and other stakeholders are based on timely and up-to-date information.</w:t>
      </w:r>
    </w:p>
    <w:p w14:paraId="73F464A6" w14:textId="77777777" w:rsidR="00972DEF" w:rsidRPr="005C388F" w:rsidRDefault="00972DEF" w:rsidP="0070531D">
      <w:pPr>
        <w:autoSpaceDE w:val="0"/>
        <w:autoSpaceDN w:val="0"/>
        <w:adjustRightInd w:val="0"/>
      </w:pPr>
    </w:p>
    <w:p w14:paraId="73F464A7" w14:textId="77777777" w:rsidR="00972DEF" w:rsidRPr="005C388F" w:rsidRDefault="00972DEF" w:rsidP="0070531D">
      <w:pPr>
        <w:autoSpaceDE w:val="0"/>
        <w:autoSpaceDN w:val="0"/>
        <w:adjustRightInd w:val="0"/>
      </w:pPr>
      <w:r w:rsidRPr="005C388F">
        <w:rPr>
          <w:b/>
          <w:bCs/>
        </w:rPr>
        <w:t xml:space="preserve">A.7. </w:t>
      </w:r>
      <w:r w:rsidRPr="005C388F">
        <w:rPr>
          <w:b/>
          <w:bCs/>
        </w:rPr>
        <w:tab/>
        <w:t>Special Circumstances Relating to the Guidelines of 5 CFR 1320.5</w:t>
      </w:r>
    </w:p>
    <w:p w14:paraId="73F464A8" w14:textId="77777777" w:rsidR="00972DEF" w:rsidRPr="005C388F" w:rsidRDefault="00972DEF" w:rsidP="0070531D">
      <w:pPr>
        <w:autoSpaceDE w:val="0"/>
        <w:autoSpaceDN w:val="0"/>
        <w:adjustRightInd w:val="0"/>
      </w:pPr>
    </w:p>
    <w:p w14:paraId="73F464A9" w14:textId="77777777" w:rsidR="00972DEF" w:rsidRPr="005C388F" w:rsidRDefault="00972DEF" w:rsidP="0070531D">
      <w:pPr>
        <w:pStyle w:val="SL-FlLftSgl"/>
      </w:pPr>
      <w:r w:rsidRPr="005C388F">
        <w:t xml:space="preserve">The request fully complies with the regulation 5 CFR 1320.5. </w:t>
      </w:r>
    </w:p>
    <w:p w14:paraId="73F464AA" w14:textId="77777777" w:rsidR="00972DEF" w:rsidRPr="005C388F" w:rsidRDefault="00972DEF" w:rsidP="0070531D">
      <w:pPr>
        <w:autoSpaceDE w:val="0"/>
        <w:autoSpaceDN w:val="0"/>
        <w:adjustRightInd w:val="0"/>
      </w:pPr>
    </w:p>
    <w:p w14:paraId="73F464AB" w14:textId="77777777" w:rsidR="00972DEF" w:rsidRPr="005C388F" w:rsidRDefault="00972DEF" w:rsidP="0070531D">
      <w:pPr>
        <w:autoSpaceDE w:val="0"/>
        <w:autoSpaceDN w:val="0"/>
        <w:adjustRightInd w:val="0"/>
        <w:rPr>
          <w:b/>
          <w:bCs/>
        </w:rPr>
      </w:pPr>
      <w:r w:rsidRPr="005C388F">
        <w:rPr>
          <w:b/>
          <w:bCs/>
        </w:rPr>
        <w:t xml:space="preserve">A.8. </w:t>
      </w:r>
      <w:r w:rsidRPr="005C388F">
        <w:rPr>
          <w:b/>
          <w:bCs/>
        </w:rPr>
        <w:tab/>
        <w:t xml:space="preserve">Comments in Response to the Federal Register Notice and Efforts to Consult </w:t>
      </w:r>
      <w:r w:rsidRPr="005C388F">
        <w:rPr>
          <w:b/>
          <w:bCs/>
        </w:rPr>
        <w:tab/>
      </w:r>
      <w:r w:rsidRPr="005C388F">
        <w:rPr>
          <w:b/>
          <w:bCs/>
        </w:rPr>
        <w:tab/>
      </w:r>
      <w:r w:rsidRPr="005C388F">
        <w:rPr>
          <w:b/>
          <w:bCs/>
        </w:rPr>
        <w:tab/>
        <w:t xml:space="preserve">Outside the Agency </w:t>
      </w:r>
    </w:p>
    <w:p w14:paraId="73F464AC" w14:textId="77777777" w:rsidR="00972DEF" w:rsidRPr="005C388F" w:rsidRDefault="00972DEF" w:rsidP="0070531D">
      <w:pPr>
        <w:autoSpaceDE w:val="0"/>
        <w:autoSpaceDN w:val="0"/>
        <w:adjustRightInd w:val="0"/>
      </w:pPr>
    </w:p>
    <w:p w14:paraId="0A976AF3" w14:textId="77777777" w:rsidR="00B16C0C" w:rsidRPr="005C388F" w:rsidRDefault="00B16C0C" w:rsidP="00B16C0C">
      <w:pPr>
        <w:ind w:left="720"/>
        <w:rPr>
          <w:noProof/>
        </w:rPr>
      </w:pPr>
      <w:r w:rsidRPr="005C388F">
        <w:rPr>
          <w:b/>
        </w:rPr>
        <w:t>A.8.a)</w:t>
      </w:r>
      <w:r w:rsidRPr="005C388F">
        <w:tab/>
      </w:r>
      <w:r w:rsidRPr="005C388F">
        <w:rPr>
          <w:noProof/>
        </w:rPr>
        <w:t>Federal Register Notice</w:t>
      </w:r>
    </w:p>
    <w:p w14:paraId="5F902ED4" w14:textId="31DA34E1" w:rsidR="00B16C0C" w:rsidRPr="005C388F" w:rsidRDefault="00975E06" w:rsidP="005170E8">
      <w:pPr>
        <w:ind w:left="720"/>
      </w:pPr>
      <w:r w:rsidRPr="002B4F11">
        <w:t xml:space="preserve">A 60-day Federal Register Notice was published in the Federal Register on November 9, 2015 vol. 80 No. 216, pp. 69225-69226 </w:t>
      </w:r>
      <w:r w:rsidRPr="005C388F">
        <w:t>(Attachment B). CDC received one non-substantive response (Attachment B2)</w:t>
      </w:r>
      <w:r w:rsidR="00D707D1" w:rsidRPr="005C388F">
        <w:t xml:space="preserve">. </w:t>
      </w:r>
      <w:bookmarkStart w:id="1" w:name="_GoBack"/>
      <w:bookmarkEnd w:id="1"/>
      <w:r w:rsidR="00D707D1" w:rsidRPr="005C388F">
        <w:t>There were no replies with the standard CDC response. Contact information wasn’t provided.</w:t>
      </w:r>
      <w:r w:rsidRPr="005C388F">
        <w:t xml:space="preserve"> </w:t>
      </w:r>
    </w:p>
    <w:p w14:paraId="2F230151" w14:textId="77777777" w:rsidR="005170E8" w:rsidRPr="005C388F" w:rsidRDefault="005170E8" w:rsidP="005170E8">
      <w:pPr>
        <w:ind w:left="720"/>
      </w:pPr>
    </w:p>
    <w:p w14:paraId="39617274" w14:textId="77777777" w:rsidR="00B16C0C" w:rsidRPr="005C388F" w:rsidRDefault="00B16C0C" w:rsidP="00B16C0C">
      <w:pPr>
        <w:ind w:left="720"/>
        <w:rPr>
          <w:noProof/>
        </w:rPr>
      </w:pPr>
      <w:r w:rsidRPr="005C388F">
        <w:rPr>
          <w:b/>
        </w:rPr>
        <w:t>A.8.b)</w:t>
      </w:r>
      <w:r w:rsidRPr="005C388F">
        <w:t xml:space="preserve"> </w:t>
      </w:r>
      <w:r w:rsidRPr="005C388F">
        <w:rPr>
          <w:noProof/>
        </w:rPr>
        <w:t>Efforts to Consult Outside the Agency</w:t>
      </w:r>
    </w:p>
    <w:p w14:paraId="1704BDFB" w14:textId="40F97FAC" w:rsidR="008D1A68" w:rsidRPr="005C388F" w:rsidRDefault="00B16C0C" w:rsidP="00967A16">
      <w:pPr>
        <w:ind w:left="720"/>
      </w:pPr>
      <w:r w:rsidRPr="005C388F">
        <w:rPr>
          <w:noProof/>
        </w:rPr>
        <w:t>T</w:t>
      </w:r>
      <w:r w:rsidRPr="005C388F">
        <w:t>he data collection instruments were designed by CDC, t</w:t>
      </w:r>
      <w:r w:rsidR="008D1A68" w:rsidRPr="005C388F">
        <w:t>here were no external</w:t>
      </w:r>
      <w:r w:rsidRPr="005C388F">
        <w:t xml:space="preserve"> </w:t>
      </w:r>
      <w:r w:rsidR="008D1A68" w:rsidRPr="005C388F">
        <w:t>cons</w:t>
      </w:r>
      <w:r w:rsidR="00AD3B5A" w:rsidRPr="005C388F">
        <w:t>ultations.</w:t>
      </w:r>
    </w:p>
    <w:p w14:paraId="53969F5F" w14:textId="77777777" w:rsidR="00595E1B" w:rsidRPr="005C388F" w:rsidRDefault="00595E1B" w:rsidP="0070531D">
      <w:pPr>
        <w:rPr>
          <w:b/>
          <w:bCs/>
        </w:rPr>
      </w:pPr>
    </w:p>
    <w:p w14:paraId="73F464B2" w14:textId="77777777" w:rsidR="00972DEF" w:rsidRPr="005C388F" w:rsidRDefault="00972DEF" w:rsidP="0070531D">
      <w:pPr>
        <w:rPr>
          <w:b/>
          <w:bCs/>
        </w:rPr>
      </w:pPr>
      <w:r w:rsidRPr="005C388F">
        <w:rPr>
          <w:b/>
          <w:bCs/>
        </w:rPr>
        <w:t xml:space="preserve">A.9. </w:t>
      </w:r>
      <w:r w:rsidRPr="005C388F">
        <w:rPr>
          <w:b/>
          <w:bCs/>
        </w:rPr>
        <w:tab/>
        <w:t xml:space="preserve">Explanation of Any Payment or Gift to Respondents </w:t>
      </w:r>
    </w:p>
    <w:p w14:paraId="0BF996FD" w14:textId="77777777" w:rsidR="008D1A68" w:rsidRPr="005C388F" w:rsidRDefault="008D1A68" w:rsidP="008D1A68"/>
    <w:p w14:paraId="73F464B3" w14:textId="19EDBE13" w:rsidR="00972DEF" w:rsidRPr="005C388F" w:rsidRDefault="008D1A68" w:rsidP="008D1A68">
      <w:r w:rsidRPr="005C388F">
        <w:t xml:space="preserve">Respondents will not receive payments or gifts for providing information.  </w:t>
      </w:r>
    </w:p>
    <w:p w14:paraId="73F464B4" w14:textId="77777777" w:rsidR="00F7286B" w:rsidRPr="005C388F" w:rsidRDefault="00F7286B" w:rsidP="0070531D"/>
    <w:p w14:paraId="73F464B5" w14:textId="0F039AB4" w:rsidR="00972DEF" w:rsidRPr="005C388F" w:rsidRDefault="00972DEF" w:rsidP="00D070B1">
      <w:pPr>
        <w:autoSpaceDE w:val="0"/>
        <w:autoSpaceDN w:val="0"/>
        <w:adjustRightInd w:val="0"/>
        <w:rPr>
          <w:b/>
          <w:bCs/>
        </w:rPr>
      </w:pPr>
      <w:r w:rsidRPr="005C388F">
        <w:rPr>
          <w:b/>
          <w:bCs/>
        </w:rPr>
        <w:t xml:space="preserve">A.10. </w:t>
      </w:r>
      <w:r w:rsidRPr="005C388F">
        <w:rPr>
          <w:b/>
          <w:bCs/>
        </w:rPr>
        <w:tab/>
      </w:r>
      <w:r w:rsidR="00D070B1" w:rsidRPr="005C388F">
        <w:rPr>
          <w:b/>
          <w:bCs/>
        </w:rPr>
        <w:t>Protection of the Privacy and Confidentiality of Information Provided by Respondents</w:t>
      </w:r>
    </w:p>
    <w:p w14:paraId="012222CF" w14:textId="77777777" w:rsidR="008D1A68" w:rsidRPr="005C388F" w:rsidRDefault="008D1A68" w:rsidP="008D1A68">
      <w:pPr>
        <w:tabs>
          <w:tab w:val="left" w:pos="810"/>
        </w:tabs>
      </w:pPr>
    </w:p>
    <w:p w14:paraId="5689D533" w14:textId="4A2B20AD" w:rsidR="00F874A3" w:rsidRPr="005C388F" w:rsidRDefault="00F874A3" w:rsidP="00F874A3">
      <w:r w:rsidRPr="005C388F">
        <w:t>The</w:t>
      </w:r>
      <w:r w:rsidR="00197F26" w:rsidRPr="004E16FF">
        <w:rPr>
          <w:rFonts w:cs="ITC Franklin Gothic Std Book"/>
          <w:b/>
          <w:color w:val="FF0000"/>
          <w:sz w:val="22"/>
          <w:szCs w:val="22"/>
        </w:rPr>
        <w:t xml:space="preserve"> </w:t>
      </w:r>
      <w:r w:rsidR="00197F26" w:rsidRPr="002B4F11">
        <w:t>CIO’s Information Systems Security Officer reviewed this submission and determined that the Privacy Act does not apply</w:t>
      </w:r>
      <w:r w:rsidR="00197F26" w:rsidRPr="005C388F" w:rsidDel="00197F26">
        <w:t xml:space="preserve"> </w:t>
      </w:r>
      <w:r w:rsidR="00197F26">
        <w:t>f</w:t>
      </w:r>
      <w:r w:rsidRPr="00640EB3">
        <w:t xml:space="preserve">or this information collection request. The Privacy Act of 1974 refers to an individual in a “system of records” where information is retrieved by the name of an individual or by some identifying number, symbol, or other identifying particular. Respondents are cooperative agreement awardees.  </w:t>
      </w:r>
      <w:r w:rsidRPr="005C388F">
        <w:t xml:space="preserve">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w:t>
      </w:r>
      <w:r w:rsidR="004C1CC6" w:rsidRPr="00491BF5">
        <w:rPr>
          <w:color w:val="000000" w:themeColor="text1"/>
        </w:rPr>
        <w:t>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w:t>
      </w:r>
      <w:r w:rsidR="004C1CC6" w:rsidRPr="00491BF5">
        <w:t xml:space="preserve"> </w:t>
      </w:r>
      <w:r w:rsidRPr="005C388F">
        <w:t>All procedures have been developed, in accordance with federal, state, and local guidelines, to ensure that the rights and privacy of key awardees’ program staff (e.g. program director) will be protected and maintained.</w:t>
      </w:r>
      <w:r w:rsidR="0049676D" w:rsidRPr="005C388F">
        <w:t xml:space="preserve">  Activities do not involve the collection of individually identified information.</w:t>
      </w:r>
    </w:p>
    <w:p w14:paraId="00C4D9AD" w14:textId="77777777" w:rsidR="00F874A3" w:rsidRPr="005C388F" w:rsidRDefault="00F874A3" w:rsidP="00F874A3"/>
    <w:p w14:paraId="1ADF74A7" w14:textId="77777777" w:rsidR="00F874A3" w:rsidRPr="005C388F" w:rsidRDefault="00F874A3" w:rsidP="00F874A3">
      <w:pPr>
        <w:tabs>
          <w:tab w:val="left" w:pos="810"/>
        </w:tabs>
      </w:pPr>
      <w:r w:rsidRPr="005C388F">
        <w:t xml:space="preserve">While consent is not required to report aggregate data, awardee approval will be obtained if specific state data is used for publications, reports, or other publicly disseminated information. Respondents are </w:t>
      </w:r>
      <w:r w:rsidRPr="005C388F">
        <w:rPr>
          <w:color w:val="000000" w:themeColor="text1"/>
        </w:rPr>
        <w:t>state governmental agencies.</w:t>
      </w:r>
      <w:r w:rsidRPr="005C388F">
        <w:t xml:space="preserve"> Although contact information is obtained for each awardee, the contact person provides information about the organization, not personal information.  No system of records will be created under the Privacy Act. Submission and access to state data will be controlled by a password-protected login to the secure Monitoring and Evaluation Tool site.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14:paraId="30594487" w14:textId="77777777" w:rsidR="00F874A3" w:rsidRPr="005C388F" w:rsidRDefault="00F874A3" w:rsidP="00D070B1">
      <w:pPr>
        <w:rPr>
          <w:b/>
        </w:rPr>
      </w:pPr>
    </w:p>
    <w:p w14:paraId="51FE6739" w14:textId="77777777" w:rsidR="00FE3C79" w:rsidRPr="005C388F" w:rsidRDefault="00FE3C79" w:rsidP="00D070B1">
      <w:pPr>
        <w:rPr>
          <w:b/>
        </w:rPr>
      </w:pPr>
    </w:p>
    <w:p w14:paraId="40C66057" w14:textId="77777777" w:rsidR="00714331" w:rsidRDefault="00714331" w:rsidP="00714331">
      <w:pPr>
        <w:rPr>
          <w:b/>
          <w:bCs/>
        </w:rPr>
      </w:pPr>
      <w:r w:rsidRPr="00691454">
        <w:rPr>
          <w:b/>
          <w:bCs/>
        </w:rPr>
        <w:t>A.11.</w:t>
      </w:r>
      <w:r w:rsidRPr="00691454">
        <w:rPr>
          <w:b/>
          <w:bCs/>
        </w:rPr>
        <w:tab/>
      </w:r>
      <w:r w:rsidRPr="00CA5DC1">
        <w:rPr>
          <w:b/>
          <w:bCs/>
        </w:rPr>
        <w:t>Instit</w:t>
      </w:r>
      <w:r>
        <w:rPr>
          <w:b/>
          <w:bCs/>
        </w:rPr>
        <w:t xml:space="preserve">utional Review Board (IRB) and </w:t>
      </w:r>
      <w:r w:rsidRPr="00CA5DC1">
        <w:rPr>
          <w:b/>
          <w:bCs/>
        </w:rPr>
        <w:t>Justification for Sensitive Questions</w:t>
      </w:r>
      <w:r w:rsidRPr="00691454">
        <w:rPr>
          <w:b/>
          <w:bCs/>
        </w:rPr>
        <w:tab/>
      </w:r>
    </w:p>
    <w:p w14:paraId="156AD282" w14:textId="77777777" w:rsidR="00714331" w:rsidRDefault="00714331" w:rsidP="00714331">
      <w:pPr>
        <w:rPr>
          <w:b/>
          <w:bCs/>
        </w:rPr>
      </w:pPr>
    </w:p>
    <w:p w14:paraId="3E1A8418" w14:textId="77777777" w:rsidR="00714331" w:rsidRPr="00691454" w:rsidRDefault="00714331" w:rsidP="00714331">
      <w:pPr>
        <w:rPr>
          <w:b/>
        </w:rPr>
      </w:pPr>
      <w:r w:rsidRPr="00691454">
        <w:rPr>
          <w:b/>
        </w:rPr>
        <w:t>IRB Approval</w:t>
      </w:r>
    </w:p>
    <w:p w14:paraId="1A4A4F68" w14:textId="77777777" w:rsidR="00714331" w:rsidRPr="00691454" w:rsidRDefault="00714331" w:rsidP="00714331">
      <w:pPr>
        <w:rPr>
          <w:u w:val="single"/>
        </w:rPr>
      </w:pPr>
    </w:p>
    <w:p w14:paraId="2FD51596" w14:textId="0AACADC2" w:rsidR="00714331" w:rsidRPr="00691454" w:rsidRDefault="00714331" w:rsidP="00714331">
      <w:pPr>
        <w:tabs>
          <w:tab w:val="left" w:pos="810"/>
        </w:tabs>
      </w:pPr>
      <w:r w:rsidRPr="00691454">
        <w:t xml:space="preserve">The CDC/NCIPC Human Subject Contact has determined that </w:t>
      </w:r>
      <w:r>
        <w:t>IRB approval is not required because t</w:t>
      </w:r>
      <w:r w:rsidRPr="006A6F15">
        <w:t xml:space="preserve">he data collection </w:t>
      </w:r>
      <w:r>
        <w:t>is not</w:t>
      </w:r>
      <w:r w:rsidRPr="006A6F15">
        <w:t xml:space="preserve"> research </w:t>
      </w:r>
      <w:r>
        <w:t>involving</w:t>
      </w:r>
      <w:r w:rsidRPr="006A6F15">
        <w:t xml:space="preserve"> human subjects</w:t>
      </w:r>
      <w:r>
        <w:t xml:space="preserve">. See Attachment </w:t>
      </w:r>
      <w:r w:rsidR="00730779">
        <w:t>F</w:t>
      </w:r>
      <w:r>
        <w:t xml:space="preserve"> </w:t>
      </w:r>
      <w:r w:rsidRPr="00691454">
        <w:t xml:space="preserve">for a copy of the IRB </w:t>
      </w:r>
      <w:r>
        <w:t>documents.</w:t>
      </w:r>
      <w:r w:rsidRPr="00691454">
        <w:t xml:space="preserve"> </w:t>
      </w:r>
    </w:p>
    <w:p w14:paraId="1CA9D5F0" w14:textId="77777777" w:rsidR="00714331" w:rsidRPr="00691454" w:rsidRDefault="00714331" w:rsidP="00714331">
      <w:pPr>
        <w:rPr>
          <w:b/>
          <w:bCs/>
        </w:rPr>
      </w:pPr>
    </w:p>
    <w:p w14:paraId="3A8125BD" w14:textId="77777777" w:rsidR="00714331" w:rsidRDefault="00714331" w:rsidP="00714331">
      <w:pPr>
        <w:rPr>
          <w:b/>
          <w:bCs/>
        </w:rPr>
      </w:pPr>
      <w:r w:rsidRPr="00CA5DC1">
        <w:rPr>
          <w:b/>
          <w:bCs/>
        </w:rPr>
        <w:t>Sensitive Questions</w:t>
      </w:r>
    </w:p>
    <w:p w14:paraId="1473852F" w14:textId="77777777" w:rsidR="00041FCE" w:rsidRPr="00640EB3" w:rsidRDefault="00041FCE" w:rsidP="0070531D">
      <w:pPr>
        <w:rPr>
          <w:bCs/>
        </w:rPr>
      </w:pPr>
    </w:p>
    <w:p w14:paraId="779B05F2" w14:textId="4A8A8BDD" w:rsidR="00D533A0" w:rsidRPr="005C388F" w:rsidRDefault="00D9754E" w:rsidP="0070531D">
      <w:pPr>
        <w:rPr>
          <w:bCs/>
        </w:rPr>
      </w:pPr>
      <w:r w:rsidRPr="00640EB3">
        <w:rPr>
          <w:bCs/>
        </w:rPr>
        <w:t>The proposed tools do not collect se</w:t>
      </w:r>
      <w:r w:rsidRPr="005C388F">
        <w:rPr>
          <w:bCs/>
        </w:rPr>
        <w:t xml:space="preserve">nsitive information. </w:t>
      </w:r>
    </w:p>
    <w:p w14:paraId="6530D719" w14:textId="77777777" w:rsidR="00041FCE" w:rsidRPr="005C388F" w:rsidRDefault="00041FCE" w:rsidP="0070531D">
      <w:pPr>
        <w:rPr>
          <w:bCs/>
        </w:rPr>
      </w:pPr>
    </w:p>
    <w:p w14:paraId="4600FE96" w14:textId="77777777" w:rsidR="009A5022" w:rsidRPr="005C388F" w:rsidRDefault="009A5022" w:rsidP="0070531D">
      <w:pPr>
        <w:autoSpaceDE w:val="0"/>
        <w:autoSpaceDN w:val="0"/>
        <w:adjustRightInd w:val="0"/>
        <w:rPr>
          <w:b/>
          <w:bCs/>
          <w:highlight w:val="yellow"/>
        </w:rPr>
      </w:pPr>
    </w:p>
    <w:p w14:paraId="73F464CF" w14:textId="77777777" w:rsidR="00972DEF" w:rsidRPr="005C388F" w:rsidRDefault="00972DEF" w:rsidP="0070531D">
      <w:pPr>
        <w:autoSpaceDE w:val="0"/>
        <w:autoSpaceDN w:val="0"/>
        <w:adjustRightInd w:val="0"/>
      </w:pPr>
      <w:r w:rsidRPr="005C388F">
        <w:rPr>
          <w:b/>
          <w:bCs/>
        </w:rPr>
        <w:t xml:space="preserve">A.12. </w:t>
      </w:r>
      <w:r w:rsidRPr="005C388F">
        <w:rPr>
          <w:b/>
          <w:bCs/>
        </w:rPr>
        <w:tab/>
        <w:t xml:space="preserve">Estimates of Annualized Burden Hours and Costs </w:t>
      </w:r>
    </w:p>
    <w:p w14:paraId="67C4FEB8" w14:textId="77777777" w:rsidR="00675742" w:rsidRPr="005C388F" w:rsidRDefault="00675742" w:rsidP="00675742"/>
    <w:p w14:paraId="6F88E169" w14:textId="77777777" w:rsidR="00624EF7" w:rsidRPr="005C388F" w:rsidRDefault="00624EF7" w:rsidP="002B4F11">
      <w:pPr>
        <w:pStyle w:val="ListParagraph"/>
        <w:numPr>
          <w:ilvl w:val="0"/>
          <w:numId w:val="27"/>
        </w:numPr>
      </w:pPr>
      <w:r w:rsidRPr="005C388F">
        <w:t>Annualized Burden Hours</w:t>
      </w:r>
    </w:p>
    <w:p w14:paraId="3C843EA5" w14:textId="713C6411" w:rsidR="00675742" w:rsidRPr="005C388F" w:rsidRDefault="00035889" w:rsidP="002B4F11">
      <w:pPr>
        <w:pStyle w:val="ListParagraph"/>
      </w:pPr>
      <w:r w:rsidRPr="005C388F">
        <w:t>Respondents will be</w:t>
      </w:r>
      <w:r w:rsidR="00675742" w:rsidRPr="005C388F">
        <w:t xml:space="preserve"> the</w:t>
      </w:r>
      <w:r w:rsidR="00FA7D60" w:rsidRPr="005C388F">
        <w:t xml:space="preserve"> </w:t>
      </w:r>
      <w:r w:rsidR="00675742" w:rsidRPr="005C388F">
        <w:t xml:space="preserve">awardees </w:t>
      </w:r>
      <w:r w:rsidR="00FA7D60" w:rsidRPr="005C388F">
        <w:t>of</w:t>
      </w:r>
      <w:r w:rsidR="00675742" w:rsidRPr="005C388F">
        <w:t xml:space="preserve"> the </w:t>
      </w:r>
      <w:r w:rsidR="007A6DDA" w:rsidRPr="005C388F">
        <w:t>Core SVIPP</w:t>
      </w:r>
      <w:r w:rsidR="00675742" w:rsidRPr="005C388F">
        <w:t xml:space="preserve"> cooperative agreement</w:t>
      </w:r>
      <w:r w:rsidR="00FA7D60" w:rsidRPr="005C388F">
        <w:t xml:space="preserve">. </w:t>
      </w:r>
      <w:r w:rsidR="00675742" w:rsidRPr="005C388F">
        <w:t xml:space="preserve">Awardees will report information to </w:t>
      </w:r>
      <w:r w:rsidR="009A5022" w:rsidRPr="005C388F">
        <w:t>NCIPC</w:t>
      </w:r>
      <w:r w:rsidR="00675742" w:rsidRPr="005C388F">
        <w:t xml:space="preserve"> about their activities</w:t>
      </w:r>
      <w:r w:rsidR="002B7E2E" w:rsidRPr="005C388F">
        <w:t xml:space="preserve">, </w:t>
      </w:r>
      <w:r w:rsidR="00675742" w:rsidRPr="005C388F">
        <w:t xml:space="preserve">performance measures, </w:t>
      </w:r>
      <w:r w:rsidR="002B7E2E" w:rsidRPr="005C388F">
        <w:t xml:space="preserve">outcomes, </w:t>
      </w:r>
      <w:r w:rsidR="00675742" w:rsidRPr="005C388F">
        <w:t xml:space="preserve">and evaluation progress.  Three information collection </w:t>
      </w:r>
      <w:r w:rsidR="00A5296F" w:rsidRPr="005C388F">
        <w:t>tools</w:t>
      </w:r>
      <w:r w:rsidRPr="005C388F">
        <w:t xml:space="preserve"> will be used: </w:t>
      </w:r>
      <w:r w:rsidR="009A5022" w:rsidRPr="005C388F">
        <w:t>Annual Progress Report</w:t>
      </w:r>
      <w:r w:rsidR="00675742" w:rsidRPr="005C388F">
        <w:t xml:space="preserve"> (</w:t>
      </w:r>
      <w:r w:rsidR="009A5022" w:rsidRPr="005C388F">
        <w:t>Attachment C</w:t>
      </w:r>
      <w:r w:rsidR="005D3E7E" w:rsidRPr="005C388F">
        <w:t xml:space="preserve"> and C2</w:t>
      </w:r>
      <w:r w:rsidR="00675742" w:rsidRPr="005C388F">
        <w:t xml:space="preserve">), </w:t>
      </w:r>
      <w:r w:rsidR="009A5022" w:rsidRPr="005C388F">
        <w:t>Evaluation and Performance Management Plan</w:t>
      </w:r>
      <w:r w:rsidR="00675742" w:rsidRPr="005C388F">
        <w:t xml:space="preserve"> (Attachment </w:t>
      </w:r>
      <w:r w:rsidR="009A5022" w:rsidRPr="005C388F">
        <w:t>D</w:t>
      </w:r>
      <w:r w:rsidR="00675742" w:rsidRPr="005C388F">
        <w:t xml:space="preserve">), and </w:t>
      </w:r>
      <w:r w:rsidR="009A5022" w:rsidRPr="005C388F">
        <w:t xml:space="preserve">Injury Indicator Spreadsheets (Attachment E). </w:t>
      </w:r>
    </w:p>
    <w:p w14:paraId="38640314" w14:textId="77777777" w:rsidR="00675742" w:rsidRPr="005C388F" w:rsidRDefault="00675742" w:rsidP="00675742"/>
    <w:p w14:paraId="11CDFC66" w14:textId="77777777" w:rsidR="00D45334" w:rsidRPr="005C388F" w:rsidRDefault="00675742" w:rsidP="009A5022">
      <w:r w:rsidRPr="005C388F">
        <w:t>The same instruments will be used for all information collection and reporting.  However, burden estimates for each informati</w:t>
      </w:r>
      <w:r w:rsidR="009A5022" w:rsidRPr="005C388F">
        <w:t>on collection vary according to</w:t>
      </w:r>
      <w:r w:rsidR="00D45334" w:rsidRPr="005C388F">
        <w:t xml:space="preserve">: </w:t>
      </w:r>
    </w:p>
    <w:p w14:paraId="661B7417" w14:textId="3794A595" w:rsidR="00D45334" w:rsidRPr="005C388F" w:rsidRDefault="00D45334" w:rsidP="00D45334">
      <w:pPr>
        <w:pStyle w:val="ListParagraph"/>
        <w:numPr>
          <w:ilvl w:val="0"/>
          <w:numId w:val="24"/>
        </w:numPr>
      </w:pPr>
      <w:r w:rsidRPr="005C388F">
        <w:rPr>
          <w:u w:val="single"/>
        </w:rPr>
        <w:t>Whether the awardee is funded for BASE only or Enhanced components</w:t>
      </w:r>
      <w:r w:rsidRPr="005C388F">
        <w:t>.  Overall, burden is expected to be greater for awardees funded for Enhanced components than awardees funded for BASE alone, since awardees funded with Enhanced components will report on more domains of activity.</w:t>
      </w:r>
    </w:p>
    <w:p w14:paraId="2F3FC3F4" w14:textId="77777777" w:rsidR="00D45334" w:rsidRPr="005C388F" w:rsidRDefault="00D45334" w:rsidP="00D45334">
      <w:pPr>
        <w:pStyle w:val="ListParagraph"/>
        <w:numPr>
          <w:ilvl w:val="0"/>
          <w:numId w:val="24"/>
        </w:numPr>
      </w:pPr>
      <w:r w:rsidRPr="005C388F">
        <w:rPr>
          <w:u w:val="single"/>
        </w:rPr>
        <w:t>R</w:t>
      </w:r>
      <w:r w:rsidR="00675742" w:rsidRPr="005C388F">
        <w:rPr>
          <w:u w:val="single"/>
        </w:rPr>
        <w:t xml:space="preserve">eporting year (Year 1, vs. Year 2 and Year 3 of the three-year OMB approval period). </w:t>
      </w:r>
      <w:r w:rsidR="00675742" w:rsidRPr="005C388F">
        <w:t xml:space="preserve"> CDC anticipates that burden will vary substantially over the award period. The time commitments for data entry and training will be greatest during the first 6-12 months, and the efficiencies of the reporting tools will be realized in subsequent reporting years, when burden is limited to entering changes, progress information, and new activities.</w:t>
      </w:r>
      <w:r w:rsidR="009A5022" w:rsidRPr="005C388F">
        <w:t xml:space="preserve"> </w:t>
      </w:r>
    </w:p>
    <w:p w14:paraId="79F0A2FD" w14:textId="77777777" w:rsidR="00D45334" w:rsidRPr="005C388F" w:rsidRDefault="00D45334" w:rsidP="00D45334"/>
    <w:p w14:paraId="5CCB0F11" w14:textId="202B56B5" w:rsidR="00675742" w:rsidRPr="005C388F" w:rsidRDefault="00AF239A" w:rsidP="00D45334">
      <w:r w:rsidRPr="005C388F">
        <w:t xml:space="preserve">To facilitate completion of the Injury Indicator Spreadsheets </w:t>
      </w:r>
      <w:r w:rsidR="009A5022" w:rsidRPr="005C388F">
        <w:t>in the first year, NCIPC has developed a detailed guidance document for completing the Injury Indicator Spreadsheets</w:t>
      </w:r>
      <w:r w:rsidR="00AE37B1" w:rsidRPr="005C388F">
        <w:t xml:space="preserve"> (Attachment E</w:t>
      </w:r>
      <w:r w:rsidR="000F3C37" w:rsidRPr="005C388F">
        <w:t>2</w:t>
      </w:r>
      <w:r w:rsidR="00AE37B1" w:rsidRPr="005C388F">
        <w:t xml:space="preserve">). The Injury Indicator Spreadsheets (Attachment E) and Annual Progress Report (Attachment C) </w:t>
      </w:r>
      <w:r w:rsidR="009A5022" w:rsidRPr="005C388F">
        <w:t>also contain built-in formulas and definitions to aid the user</w:t>
      </w:r>
      <w:r w:rsidR="00AE37B1" w:rsidRPr="005C388F">
        <w:t xml:space="preserve"> in data entry and reporting</w:t>
      </w:r>
      <w:r w:rsidR="009A5022" w:rsidRPr="005C388F">
        <w:t>. NCIPC will also provide technical assistance</w:t>
      </w:r>
      <w:r w:rsidR="005568FE" w:rsidRPr="005C388F">
        <w:t>.</w:t>
      </w:r>
    </w:p>
    <w:p w14:paraId="750DEA2C" w14:textId="77777777" w:rsidR="00675742" w:rsidRPr="005C388F" w:rsidRDefault="00675742" w:rsidP="00675742">
      <w:pPr>
        <w:ind w:left="360"/>
      </w:pPr>
    </w:p>
    <w:p w14:paraId="31DD8283" w14:textId="77777777" w:rsidR="00675742" w:rsidRPr="005C388F" w:rsidRDefault="00675742" w:rsidP="00675742">
      <w:r w:rsidRPr="005C388F">
        <w:t>Therefore, for each information collection, the burden table presents separate estimates for:</w:t>
      </w:r>
    </w:p>
    <w:p w14:paraId="4616A836" w14:textId="4CF4460C" w:rsidR="00D45334" w:rsidRPr="005C388F" w:rsidRDefault="00D45334" w:rsidP="00D45334">
      <w:pPr>
        <w:pStyle w:val="ListParagraph"/>
        <w:numPr>
          <w:ilvl w:val="1"/>
          <w:numId w:val="12"/>
        </w:numPr>
        <w:ind w:left="720"/>
      </w:pPr>
      <w:r w:rsidRPr="005C388F">
        <w:t>Awardees funded for BASE versus Enhanced components.</w:t>
      </w:r>
    </w:p>
    <w:p w14:paraId="729036FB" w14:textId="38B7802B" w:rsidR="00675742" w:rsidRPr="005C388F" w:rsidRDefault="00FE3C79" w:rsidP="000C70D5">
      <w:pPr>
        <w:pStyle w:val="ListParagraph"/>
        <w:numPr>
          <w:ilvl w:val="1"/>
          <w:numId w:val="12"/>
        </w:numPr>
        <w:ind w:left="720"/>
      </w:pPr>
      <w:r w:rsidRPr="005C388F">
        <w:t>A</w:t>
      </w:r>
      <w:r w:rsidR="00675742" w:rsidRPr="005C388F">
        <w:t>nnual reporting versus initial start-up burden.</w:t>
      </w:r>
    </w:p>
    <w:p w14:paraId="219A285B" w14:textId="161FCD37" w:rsidR="00675742" w:rsidRPr="005C388F" w:rsidRDefault="002C06FE" w:rsidP="000C70D5">
      <w:pPr>
        <w:pStyle w:val="ListParagraph"/>
        <w:numPr>
          <w:ilvl w:val="2"/>
          <w:numId w:val="13"/>
        </w:numPr>
        <w:ind w:left="1080" w:hanging="360"/>
      </w:pPr>
      <w:r w:rsidRPr="005C388F">
        <w:t>A</w:t>
      </w:r>
      <w:r w:rsidR="00675742" w:rsidRPr="005C388F">
        <w:t xml:space="preserve">nnual reporting is applicable to Year 1, Year 2, and Year 3.  The estimated number of respondents is </w:t>
      </w:r>
      <w:r w:rsidR="00A5296F" w:rsidRPr="005C388F">
        <w:t>20</w:t>
      </w:r>
      <w:r w:rsidR="00AE37B1" w:rsidRPr="005C388F">
        <w:t xml:space="preserve"> awardees</w:t>
      </w:r>
      <w:r w:rsidR="005D5ADF" w:rsidRPr="005C388F">
        <w:t xml:space="preserve"> for BASE and 5 for Enhanced components</w:t>
      </w:r>
      <w:r w:rsidR="00AE37B1" w:rsidRPr="005C388F">
        <w:t xml:space="preserve">. </w:t>
      </w:r>
    </w:p>
    <w:p w14:paraId="320AF790" w14:textId="010EF14F" w:rsidR="00675742" w:rsidRPr="005C388F" w:rsidRDefault="00675742" w:rsidP="000C70D5">
      <w:pPr>
        <w:pStyle w:val="ListParagraph"/>
        <w:numPr>
          <w:ilvl w:val="2"/>
          <w:numId w:val="13"/>
        </w:numPr>
        <w:ind w:left="1080" w:hanging="360"/>
      </w:pPr>
      <w:r w:rsidRPr="005C388F">
        <w:t xml:space="preserve">A supplemental allocation for initial start-up burden which will occur one time only in Year 1. </w:t>
      </w:r>
    </w:p>
    <w:p w14:paraId="3BBD92EC" w14:textId="77777777" w:rsidR="00675742" w:rsidRPr="005C388F" w:rsidRDefault="00675742" w:rsidP="00675742"/>
    <w:p w14:paraId="0BF5246A" w14:textId="2994D125" w:rsidR="00AB1044" w:rsidRPr="005C388F" w:rsidRDefault="00675742" w:rsidP="00675742">
      <w:r w:rsidRPr="005C388F">
        <w:t xml:space="preserve">Annually, all </w:t>
      </w:r>
      <w:r w:rsidR="002C06FE" w:rsidRPr="005C388F">
        <w:t>respondents</w:t>
      </w:r>
      <w:r w:rsidRPr="005C388F">
        <w:t xml:space="preserve"> will complete the </w:t>
      </w:r>
      <w:r w:rsidR="00AB1044" w:rsidRPr="005C388F">
        <w:t>Word-based</w:t>
      </w:r>
      <w:r w:rsidRPr="005C388F">
        <w:t xml:space="preserve"> </w:t>
      </w:r>
      <w:r w:rsidR="00AE37B1" w:rsidRPr="005C388F">
        <w:t>Annual Progress Report</w:t>
      </w:r>
      <w:r w:rsidRPr="005C388F">
        <w:t xml:space="preserve"> (</w:t>
      </w:r>
      <w:r w:rsidR="00AE37B1" w:rsidRPr="005C388F">
        <w:t>Attachment C</w:t>
      </w:r>
      <w:r w:rsidRPr="005C388F">
        <w:t xml:space="preserve">). </w:t>
      </w:r>
      <w:r w:rsidR="00D45334" w:rsidRPr="005C388F">
        <w:t xml:space="preserve">For the 20 awardees funded for BASE component, the burden per response is estimated to be </w:t>
      </w:r>
      <w:r w:rsidR="005D5ADF" w:rsidRPr="005C388F">
        <w:t>22</w:t>
      </w:r>
      <w:r w:rsidR="00D45334" w:rsidRPr="005C388F">
        <w:t xml:space="preserve"> hours for initial population of the tool</w:t>
      </w:r>
      <w:r w:rsidR="00AE6AAD" w:rsidRPr="005C388F">
        <w:t>, and t</w:t>
      </w:r>
      <w:r w:rsidR="00D45334" w:rsidRPr="005C388F">
        <w:t xml:space="preserve">he annual burden per response is estimated at </w:t>
      </w:r>
      <w:r w:rsidR="005D5ADF" w:rsidRPr="005C388F">
        <w:t>11</w:t>
      </w:r>
      <w:r w:rsidR="00D45334" w:rsidRPr="005C388F">
        <w:t xml:space="preserve"> hours.   For the </w:t>
      </w:r>
      <w:r w:rsidR="005D5ADF" w:rsidRPr="005C388F">
        <w:t xml:space="preserve">5 </w:t>
      </w:r>
      <w:r w:rsidR="008B117C" w:rsidRPr="005C388F">
        <w:t>respondents</w:t>
      </w:r>
      <w:r w:rsidR="00D45334" w:rsidRPr="005C388F">
        <w:t xml:space="preserve"> funded for </w:t>
      </w:r>
      <w:r w:rsidR="005D5ADF" w:rsidRPr="005C388F">
        <w:t>1-Enhanced component</w:t>
      </w:r>
      <w:r w:rsidR="00D45334" w:rsidRPr="005C388F">
        <w:t xml:space="preserve">, the burden per response for the </w:t>
      </w:r>
      <w:r w:rsidR="00FA7D60" w:rsidRPr="005C388F">
        <w:t>Annual Progress Report</w:t>
      </w:r>
      <w:r w:rsidR="005D5ADF" w:rsidRPr="005C388F">
        <w:t xml:space="preserve"> (Attachment C</w:t>
      </w:r>
      <w:r w:rsidR="005D3E7E" w:rsidRPr="005C388F">
        <w:t>2</w:t>
      </w:r>
      <w:r w:rsidR="005D5ADF" w:rsidRPr="005C388F">
        <w:t>)</w:t>
      </w:r>
      <w:r w:rsidR="00D45334" w:rsidRPr="005C388F">
        <w:t xml:space="preserve"> is initially estimated at </w:t>
      </w:r>
      <w:r w:rsidR="005D5ADF" w:rsidRPr="005C388F">
        <w:t>73</w:t>
      </w:r>
      <w:r w:rsidR="00D45334" w:rsidRPr="005C388F">
        <w:t xml:space="preserve"> hours</w:t>
      </w:r>
      <w:r w:rsidR="00AE6AAD" w:rsidRPr="005C388F">
        <w:t>, and t</w:t>
      </w:r>
      <w:r w:rsidR="00D45334" w:rsidRPr="005C388F">
        <w:t xml:space="preserve">he annual burden per response is estimated at </w:t>
      </w:r>
      <w:r w:rsidR="005D5ADF" w:rsidRPr="005C388F">
        <w:t>58</w:t>
      </w:r>
      <w:r w:rsidR="00D45334" w:rsidRPr="005C388F">
        <w:t xml:space="preserve"> hours.  </w:t>
      </w:r>
      <w:r w:rsidR="005D5ADF" w:rsidRPr="005C388F">
        <w:t>For the 5 respondents funded for 2-Enhanced components, the burden per response for the Annual Progress Report (Attachment C</w:t>
      </w:r>
      <w:r w:rsidR="005D3E7E" w:rsidRPr="005C388F">
        <w:t>2</w:t>
      </w:r>
      <w:r w:rsidR="00DB4002">
        <w:t>) is initially estimated at 146</w:t>
      </w:r>
      <w:r w:rsidR="005D5ADF" w:rsidRPr="005C388F">
        <w:t xml:space="preserve"> hours</w:t>
      </w:r>
      <w:r w:rsidR="00AE6AAD" w:rsidRPr="005C388F">
        <w:t xml:space="preserve">, and the </w:t>
      </w:r>
      <w:r w:rsidR="005D5ADF" w:rsidRPr="005C388F">
        <w:t>annual burde</w:t>
      </w:r>
      <w:r w:rsidR="00DB4002">
        <w:t>n per response is estimated at 11</w:t>
      </w:r>
      <w:r w:rsidR="005D5ADF" w:rsidRPr="005C388F">
        <w:t xml:space="preserve">6 hours.  </w:t>
      </w:r>
    </w:p>
    <w:p w14:paraId="6E3618CA" w14:textId="77777777" w:rsidR="00675742" w:rsidRPr="005C388F" w:rsidRDefault="00675742" w:rsidP="00675742"/>
    <w:p w14:paraId="2C61E0AA" w14:textId="42781257" w:rsidR="00675742" w:rsidRPr="005C388F" w:rsidRDefault="00675742" w:rsidP="00675742">
      <w:r w:rsidRPr="005C388F">
        <w:t xml:space="preserve">Annually, all </w:t>
      </w:r>
      <w:r w:rsidR="002C06FE" w:rsidRPr="005C388F">
        <w:t>respondents</w:t>
      </w:r>
      <w:r w:rsidRPr="005C388F">
        <w:t xml:space="preserve"> will complete the </w:t>
      </w:r>
      <w:r w:rsidR="00AE37B1" w:rsidRPr="005C388F">
        <w:t>Word</w:t>
      </w:r>
      <w:r w:rsidRPr="005C388F">
        <w:t xml:space="preserve">-based </w:t>
      </w:r>
      <w:r w:rsidR="00AE37B1" w:rsidRPr="005C388F">
        <w:t>Evaluation and Performance Management Plan</w:t>
      </w:r>
      <w:r w:rsidRPr="005C388F">
        <w:t xml:space="preserve"> (</w:t>
      </w:r>
      <w:r w:rsidR="00AE37B1" w:rsidRPr="005C388F">
        <w:t>Attachment D</w:t>
      </w:r>
      <w:r w:rsidRPr="005C388F">
        <w:t xml:space="preserve">).  </w:t>
      </w:r>
      <w:r w:rsidR="00FA7D60" w:rsidRPr="005C388F">
        <w:t xml:space="preserve">For the 20 awardees funded for BASE component, the annual burden per response is estimated at </w:t>
      </w:r>
      <w:r w:rsidR="005D5ADF" w:rsidRPr="005C388F">
        <w:t>2</w:t>
      </w:r>
      <w:r w:rsidR="00FA7D60" w:rsidRPr="005C388F">
        <w:t xml:space="preserve"> hours.   For the </w:t>
      </w:r>
      <w:r w:rsidR="005D5ADF" w:rsidRPr="005C388F">
        <w:t xml:space="preserve">5 </w:t>
      </w:r>
      <w:r w:rsidR="008B117C" w:rsidRPr="005C388F">
        <w:t>respondents</w:t>
      </w:r>
      <w:r w:rsidR="00FA7D60" w:rsidRPr="005C388F">
        <w:t xml:space="preserve"> funded for </w:t>
      </w:r>
      <w:r w:rsidR="005D5ADF" w:rsidRPr="005C388F">
        <w:t>1-Enhanced component</w:t>
      </w:r>
      <w:r w:rsidR="00FA7D60" w:rsidRPr="005C388F">
        <w:t xml:space="preserve">, the annual burden per response is estimated at </w:t>
      </w:r>
      <w:r w:rsidR="005D5ADF" w:rsidRPr="005C388F">
        <w:t>3</w:t>
      </w:r>
      <w:r w:rsidR="00FA7D60" w:rsidRPr="005C388F">
        <w:t xml:space="preserve"> hours.  </w:t>
      </w:r>
      <w:r w:rsidR="005D5ADF" w:rsidRPr="005C388F">
        <w:t xml:space="preserve">For the 5 respondents funded for 2-Enhanced components, the annual burden per response is estimated at 4 hours.  </w:t>
      </w:r>
    </w:p>
    <w:p w14:paraId="41F4A729" w14:textId="77777777" w:rsidR="00675742" w:rsidRPr="005C388F" w:rsidRDefault="00675742" w:rsidP="00675742"/>
    <w:p w14:paraId="5AF6D616" w14:textId="0B8EA9B8" w:rsidR="00640DEA" w:rsidRPr="005C388F" w:rsidRDefault="00675742" w:rsidP="00640DEA">
      <w:r w:rsidRPr="005C388F">
        <w:t xml:space="preserve">Annually, all </w:t>
      </w:r>
      <w:r w:rsidR="00AE37B1" w:rsidRPr="005C388F">
        <w:t xml:space="preserve">20 </w:t>
      </w:r>
      <w:r w:rsidR="002C06FE" w:rsidRPr="005C388F">
        <w:t>respondents</w:t>
      </w:r>
      <w:r w:rsidRPr="005C388F">
        <w:t xml:space="preserve"> will complete the </w:t>
      </w:r>
      <w:r w:rsidR="00AE37B1" w:rsidRPr="005C388F">
        <w:t>Excel</w:t>
      </w:r>
      <w:r w:rsidRPr="005C388F">
        <w:t xml:space="preserve">-based </w:t>
      </w:r>
      <w:r w:rsidR="00AE37B1" w:rsidRPr="005C388F">
        <w:t xml:space="preserve">Injury Indicator Spreadsheet (Attachment E). </w:t>
      </w:r>
      <w:r w:rsidR="00FA7D60" w:rsidRPr="005C388F">
        <w:t xml:space="preserve">For the 20 awardees funded for BASE component, the annual burden per response is estimated at </w:t>
      </w:r>
      <w:r w:rsidR="00640DEA" w:rsidRPr="005C388F">
        <w:t>14</w:t>
      </w:r>
      <w:r w:rsidR="00FA7D60" w:rsidRPr="005C388F">
        <w:t xml:space="preserve"> hours.   For the </w:t>
      </w:r>
      <w:r w:rsidR="00640DEA" w:rsidRPr="005C388F">
        <w:t xml:space="preserve">5 </w:t>
      </w:r>
      <w:r w:rsidR="008B117C" w:rsidRPr="005C388F">
        <w:t>respondents</w:t>
      </w:r>
      <w:r w:rsidR="00FA7D60" w:rsidRPr="005C388F">
        <w:t xml:space="preserve"> funded for </w:t>
      </w:r>
      <w:r w:rsidR="00640DEA" w:rsidRPr="005C388F">
        <w:t>1-Enhanced component</w:t>
      </w:r>
      <w:r w:rsidR="00FA7D60" w:rsidRPr="005C388F">
        <w:t xml:space="preserve">, the annual burden per response is estimated at </w:t>
      </w:r>
      <w:r w:rsidR="00640DEA" w:rsidRPr="005C388F">
        <w:t>14</w:t>
      </w:r>
      <w:r w:rsidR="00FA7D60" w:rsidRPr="005C388F">
        <w:t xml:space="preserve"> hours.  </w:t>
      </w:r>
      <w:r w:rsidR="00640DEA" w:rsidRPr="005C388F">
        <w:t xml:space="preserve">For the 5 respondents funded for 2-Enhanced components, the annual burden per response is estimated at 14 hours.  </w:t>
      </w:r>
    </w:p>
    <w:p w14:paraId="0EBF6FAE" w14:textId="77777777" w:rsidR="00FA7D60" w:rsidRPr="005C388F" w:rsidRDefault="00FA7D60" w:rsidP="00675742"/>
    <w:p w14:paraId="5BE343EE" w14:textId="677B4CFC" w:rsidR="00675742" w:rsidRPr="005C388F" w:rsidRDefault="00675742" w:rsidP="00675742">
      <w:r w:rsidRPr="005C388F">
        <w:t>Over the three-year period of this information collection request, the total estimated annualized burden for the</w:t>
      </w:r>
      <w:r w:rsidR="005D3E7E" w:rsidRPr="005C388F">
        <w:t xml:space="preserve"> </w:t>
      </w:r>
      <w:r w:rsidRPr="005C388F">
        <w:t xml:space="preserve">current awardees is </w:t>
      </w:r>
      <w:r w:rsidR="00A0517F" w:rsidRPr="005C388F">
        <w:t>3120</w:t>
      </w:r>
      <w:r w:rsidRPr="005C388F">
        <w:t xml:space="preserve"> hours, as summarized in Table A.12-A.</w:t>
      </w:r>
    </w:p>
    <w:p w14:paraId="121FEE4D" w14:textId="52B3EFE3" w:rsidR="00035889" w:rsidRPr="005C388F" w:rsidRDefault="00035889" w:rsidP="00675742">
      <w:pPr>
        <w:pStyle w:val="a"/>
        <w:tabs>
          <w:tab w:val="left" w:pos="-1440"/>
        </w:tabs>
        <w:ind w:left="0" w:firstLine="0"/>
      </w:pPr>
    </w:p>
    <w:p w14:paraId="3C3000E7" w14:textId="77777777" w:rsidR="00F33E74" w:rsidRPr="005C388F" w:rsidRDefault="00F33E74" w:rsidP="00675742">
      <w:pPr>
        <w:pStyle w:val="a"/>
        <w:tabs>
          <w:tab w:val="left" w:pos="-1440"/>
        </w:tabs>
        <w:ind w:left="0" w:firstLine="0"/>
      </w:pPr>
    </w:p>
    <w:p w14:paraId="73F464D1" w14:textId="6140B790" w:rsidR="00203779" w:rsidRPr="005C388F" w:rsidRDefault="00203779" w:rsidP="00675742">
      <w:pPr>
        <w:pStyle w:val="a"/>
        <w:tabs>
          <w:tab w:val="left" w:pos="-1440"/>
        </w:tabs>
        <w:ind w:left="0" w:firstLine="0"/>
      </w:pPr>
      <w:r w:rsidRPr="005C388F">
        <w:t xml:space="preserve">Table </w:t>
      </w:r>
      <w:r w:rsidR="00631A53" w:rsidRPr="005C388F">
        <w:t>A.</w:t>
      </w:r>
      <w:r w:rsidRPr="005C388F">
        <w:t>1</w:t>
      </w:r>
      <w:r w:rsidR="00631A53" w:rsidRPr="005C388F">
        <w:t>2-A</w:t>
      </w:r>
      <w:r w:rsidRPr="005C388F">
        <w:t>.  Estimate</w:t>
      </w:r>
      <w:r w:rsidR="00F820FE" w:rsidRPr="005C388F">
        <w:t>d</w:t>
      </w:r>
      <w:r w:rsidRPr="005C388F">
        <w:t xml:space="preserve"> </w:t>
      </w:r>
      <w:r w:rsidR="0057192D" w:rsidRPr="005C388F">
        <w:t>Annual</w:t>
      </w:r>
      <w:r w:rsidR="003F77E5" w:rsidRPr="005C388F">
        <w:t xml:space="preserve">ized </w:t>
      </w:r>
      <w:r w:rsidR="0057192D" w:rsidRPr="005C388F">
        <w:t>Burden</w:t>
      </w:r>
      <w:r w:rsidR="003F77E5" w:rsidRPr="005C388F">
        <w:t xml:space="preserve"> Hours </w:t>
      </w:r>
    </w:p>
    <w:p w14:paraId="73F464D2" w14:textId="77777777" w:rsidR="00144640" w:rsidRPr="005C388F" w:rsidRDefault="00144640" w:rsidP="0070531D">
      <w:pPr>
        <w:pStyle w:val="a"/>
        <w:tabs>
          <w:tab w:val="left" w:pos="-1440"/>
        </w:tabs>
        <w:ind w:left="0" w:firstLine="0"/>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1822"/>
        <w:gridCol w:w="1669"/>
        <w:gridCol w:w="1670"/>
        <w:gridCol w:w="1719"/>
        <w:gridCol w:w="1620"/>
      </w:tblGrid>
      <w:tr w:rsidR="00122751" w:rsidRPr="005C388F" w14:paraId="73F464DB" w14:textId="77777777" w:rsidTr="005D5ADF">
        <w:trPr>
          <w:cantSplit/>
          <w:trHeight w:val="1070"/>
        </w:trPr>
        <w:tc>
          <w:tcPr>
            <w:tcW w:w="1513" w:type="dxa"/>
            <w:vAlign w:val="bottom"/>
          </w:tcPr>
          <w:p w14:paraId="73F464D3" w14:textId="77777777" w:rsidR="00122751" w:rsidRPr="005C388F" w:rsidRDefault="00122751" w:rsidP="00341386">
            <w:pPr>
              <w:jc w:val="center"/>
            </w:pPr>
            <w:r w:rsidRPr="005C388F">
              <w:t>Type of Respondents</w:t>
            </w:r>
          </w:p>
        </w:tc>
        <w:tc>
          <w:tcPr>
            <w:tcW w:w="1822" w:type="dxa"/>
            <w:vAlign w:val="bottom"/>
          </w:tcPr>
          <w:p w14:paraId="73F464D4" w14:textId="77777777" w:rsidR="00C55DD2" w:rsidRPr="005C388F" w:rsidRDefault="00C55DD2" w:rsidP="00341386">
            <w:pPr>
              <w:jc w:val="center"/>
            </w:pPr>
          </w:p>
          <w:p w14:paraId="73F464D5" w14:textId="77777777" w:rsidR="00122751" w:rsidRPr="005C388F" w:rsidRDefault="00122751" w:rsidP="00341386">
            <w:pPr>
              <w:jc w:val="center"/>
            </w:pPr>
            <w:r w:rsidRPr="005C388F">
              <w:t>Form Name</w:t>
            </w:r>
          </w:p>
        </w:tc>
        <w:tc>
          <w:tcPr>
            <w:tcW w:w="1669" w:type="dxa"/>
            <w:vAlign w:val="bottom"/>
          </w:tcPr>
          <w:p w14:paraId="73F464D6" w14:textId="77777777" w:rsidR="00122751" w:rsidRPr="005C388F" w:rsidRDefault="00122751" w:rsidP="00341386">
            <w:pPr>
              <w:jc w:val="center"/>
            </w:pPr>
            <w:r w:rsidRPr="005C388F">
              <w:t>Number of Respondents</w:t>
            </w:r>
          </w:p>
        </w:tc>
        <w:tc>
          <w:tcPr>
            <w:tcW w:w="1670" w:type="dxa"/>
            <w:vAlign w:val="bottom"/>
          </w:tcPr>
          <w:p w14:paraId="73F464D7" w14:textId="77777777" w:rsidR="00122751" w:rsidRPr="005C388F" w:rsidRDefault="00122751" w:rsidP="00341386">
            <w:pPr>
              <w:jc w:val="center"/>
            </w:pPr>
            <w:r w:rsidRPr="005C388F">
              <w:t>Number of Responses per Respondent</w:t>
            </w:r>
          </w:p>
        </w:tc>
        <w:tc>
          <w:tcPr>
            <w:tcW w:w="1719" w:type="dxa"/>
            <w:vAlign w:val="bottom"/>
          </w:tcPr>
          <w:p w14:paraId="73F464D8" w14:textId="77777777" w:rsidR="00122751" w:rsidRPr="005C388F" w:rsidRDefault="00122751" w:rsidP="00341386">
            <w:pPr>
              <w:jc w:val="center"/>
            </w:pPr>
            <w:r w:rsidRPr="005C388F">
              <w:t>Average Burden per Response</w:t>
            </w:r>
          </w:p>
          <w:p w14:paraId="73F464D9" w14:textId="77777777" w:rsidR="00122751" w:rsidRPr="005C388F" w:rsidRDefault="00122751" w:rsidP="00341386">
            <w:pPr>
              <w:jc w:val="center"/>
            </w:pPr>
            <w:r w:rsidRPr="005C388F">
              <w:t>(in hours)</w:t>
            </w:r>
          </w:p>
        </w:tc>
        <w:tc>
          <w:tcPr>
            <w:tcW w:w="1620" w:type="dxa"/>
            <w:vAlign w:val="bottom"/>
          </w:tcPr>
          <w:p w14:paraId="73F464DA" w14:textId="77777777" w:rsidR="00122751" w:rsidRPr="005C388F" w:rsidRDefault="00122751" w:rsidP="00341386">
            <w:pPr>
              <w:jc w:val="center"/>
            </w:pPr>
            <w:r w:rsidRPr="005C388F">
              <w:t>Total Burden (in hours)</w:t>
            </w:r>
          </w:p>
        </w:tc>
      </w:tr>
      <w:tr w:rsidR="00631A53" w:rsidRPr="005C388F" w14:paraId="73F464E2" w14:textId="77777777" w:rsidTr="005D5ADF">
        <w:trPr>
          <w:cantSplit/>
          <w:trHeight w:val="566"/>
        </w:trPr>
        <w:tc>
          <w:tcPr>
            <w:tcW w:w="1513" w:type="dxa"/>
            <w:vMerge w:val="restart"/>
          </w:tcPr>
          <w:p w14:paraId="73F464DC" w14:textId="005E8708" w:rsidR="00631A53" w:rsidRPr="005C388F" w:rsidRDefault="002B7E2E" w:rsidP="002B7E2E">
            <w:r w:rsidRPr="005C388F">
              <w:t xml:space="preserve">Core SVIPP </w:t>
            </w:r>
            <w:r w:rsidR="00D87E7F" w:rsidRPr="005C388F">
              <w:t>BASE Awardees</w:t>
            </w:r>
          </w:p>
        </w:tc>
        <w:tc>
          <w:tcPr>
            <w:tcW w:w="1822" w:type="dxa"/>
          </w:tcPr>
          <w:p w14:paraId="73F464DD" w14:textId="43644A4D" w:rsidR="00631A53" w:rsidRPr="005C388F" w:rsidRDefault="002B7E2E" w:rsidP="0070531D">
            <w:r w:rsidRPr="005C388F">
              <w:t>Initial Population-</w:t>
            </w:r>
            <w:r w:rsidR="00AE37B1" w:rsidRPr="005C388F">
              <w:t xml:space="preserve"> Annual Progress Report</w:t>
            </w:r>
            <w:r w:rsidRPr="005C388F">
              <w:t xml:space="preserve"> (Attachment C</w:t>
            </w:r>
            <w:r w:rsidR="005D3E7E" w:rsidRPr="005C388F">
              <w:t xml:space="preserve"> </w:t>
            </w:r>
            <w:r w:rsidR="001466FF" w:rsidRPr="005C388F">
              <w:t>–</w:t>
            </w:r>
            <w:r w:rsidR="006F5A9D" w:rsidRPr="005C388F">
              <w:t>Base</w:t>
            </w:r>
            <w:r w:rsidRPr="005C388F">
              <w:t>)</w:t>
            </w:r>
          </w:p>
        </w:tc>
        <w:tc>
          <w:tcPr>
            <w:tcW w:w="1669" w:type="dxa"/>
            <w:vAlign w:val="bottom"/>
          </w:tcPr>
          <w:p w14:paraId="73F464DE" w14:textId="440D144E" w:rsidR="00631A53" w:rsidRPr="005C388F" w:rsidRDefault="00261426" w:rsidP="00261426">
            <w:pPr>
              <w:jc w:val="center"/>
            </w:pPr>
            <w:r w:rsidRPr="005C388F">
              <w:t>20</w:t>
            </w:r>
          </w:p>
        </w:tc>
        <w:tc>
          <w:tcPr>
            <w:tcW w:w="1670" w:type="dxa"/>
            <w:vAlign w:val="bottom"/>
          </w:tcPr>
          <w:p w14:paraId="73F464DF" w14:textId="33D7141F" w:rsidR="00631A53" w:rsidRPr="005C388F" w:rsidRDefault="00261426" w:rsidP="00261426">
            <w:pPr>
              <w:jc w:val="center"/>
            </w:pPr>
            <w:r w:rsidRPr="005C388F">
              <w:t>1</w:t>
            </w:r>
          </w:p>
        </w:tc>
        <w:tc>
          <w:tcPr>
            <w:tcW w:w="1719" w:type="dxa"/>
            <w:vAlign w:val="bottom"/>
          </w:tcPr>
          <w:p w14:paraId="73F464E0" w14:textId="6096003F" w:rsidR="00631A53" w:rsidRPr="005C388F" w:rsidRDefault="002B7E2E" w:rsidP="00341386">
            <w:pPr>
              <w:jc w:val="center"/>
            </w:pPr>
            <w:r w:rsidRPr="005C388F">
              <w:t>22</w:t>
            </w:r>
          </w:p>
        </w:tc>
        <w:tc>
          <w:tcPr>
            <w:tcW w:w="1620" w:type="dxa"/>
            <w:vAlign w:val="bottom"/>
          </w:tcPr>
          <w:p w14:paraId="73F464E1" w14:textId="0953F434" w:rsidR="00631A53" w:rsidRPr="005C388F" w:rsidRDefault="007D7FCF" w:rsidP="00341386">
            <w:pPr>
              <w:jc w:val="center"/>
            </w:pPr>
            <w:r w:rsidRPr="005C388F">
              <w:t>440</w:t>
            </w:r>
          </w:p>
        </w:tc>
      </w:tr>
      <w:tr w:rsidR="00261426" w:rsidRPr="005C388F" w14:paraId="2B57C99D" w14:textId="77777777" w:rsidTr="005D5ADF">
        <w:trPr>
          <w:cantSplit/>
          <w:trHeight w:val="683"/>
        </w:trPr>
        <w:tc>
          <w:tcPr>
            <w:tcW w:w="1513" w:type="dxa"/>
            <w:vMerge/>
          </w:tcPr>
          <w:p w14:paraId="57744D87" w14:textId="77777777" w:rsidR="00261426" w:rsidRPr="005C388F" w:rsidRDefault="00261426" w:rsidP="00261426"/>
        </w:tc>
        <w:tc>
          <w:tcPr>
            <w:tcW w:w="1822" w:type="dxa"/>
          </w:tcPr>
          <w:p w14:paraId="23CF1CCB" w14:textId="3EC62F75" w:rsidR="00261426" w:rsidRPr="005C388F" w:rsidRDefault="00261426" w:rsidP="00022016">
            <w:r w:rsidRPr="005C388F">
              <w:t>Annual Progress Report</w:t>
            </w:r>
            <w:r w:rsidR="002B7E2E" w:rsidRPr="005C388F">
              <w:t xml:space="preserve"> (Attachment C</w:t>
            </w:r>
            <w:r w:rsidR="005D3E7E" w:rsidRPr="005C388F">
              <w:t xml:space="preserve"> </w:t>
            </w:r>
            <w:r w:rsidR="001466FF" w:rsidRPr="005C388F">
              <w:t>–</w:t>
            </w:r>
            <w:r w:rsidR="005D3E7E" w:rsidRPr="005C388F">
              <w:t xml:space="preserve"> Base</w:t>
            </w:r>
            <w:r w:rsidR="002B7E2E" w:rsidRPr="005C388F">
              <w:t>)</w:t>
            </w:r>
          </w:p>
        </w:tc>
        <w:tc>
          <w:tcPr>
            <w:tcW w:w="1669" w:type="dxa"/>
            <w:vAlign w:val="bottom"/>
          </w:tcPr>
          <w:p w14:paraId="5B906F09" w14:textId="4652B9AF" w:rsidR="00261426" w:rsidRPr="005C388F" w:rsidRDefault="00261426" w:rsidP="00261426">
            <w:pPr>
              <w:jc w:val="center"/>
            </w:pPr>
            <w:r w:rsidRPr="005C388F">
              <w:t>20</w:t>
            </w:r>
          </w:p>
        </w:tc>
        <w:tc>
          <w:tcPr>
            <w:tcW w:w="1670" w:type="dxa"/>
            <w:vAlign w:val="bottom"/>
          </w:tcPr>
          <w:p w14:paraId="4F009D8F" w14:textId="30A0B206" w:rsidR="00261426" w:rsidRPr="005C388F" w:rsidRDefault="00261426" w:rsidP="00261426">
            <w:pPr>
              <w:jc w:val="center"/>
            </w:pPr>
            <w:r w:rsidRPr="005C388F">
              <w:t>1</w:t>
            </w:r>
          </w:p>
        </w:tc>
        <w:tc>
          <w:tcPr>
            <w:tcW w:w="1719" w:type="dxa"/>
            <w:vAlign w:val="bottom"/>
          </w:tcPr>
          <w:p w14:paraId="65A9695D" w14:textId="759453A4" w:rsidR="00261426" w:rsidRPr="005C388F" w:rsidRDefault="002B7E2E" w:rsidP="00341386">
            <w:pPr>
              <w:jc w:val="center"/>
            </w:pPr>
            <w:r w:rsidRPr="005C388F">
              <w:t>11</w:t>
            </w:r>
          </w:p>
        </w:tc>
        <w:tc>
          <w:tcPr>
            <w:tcW w:w="1620" w:type="dxa"/>
            <w:vAlign w:val="bottom"/>
          </w:tcPr>
          <w:p w14:paraId="2F3BFCA3" w14:textId="74CC163A" w:rsidR="00261426" w:rsidRPr="005C388F" w:rsidRDefault="007D7FCF" w:rsidP="00341386">
            <w:pPr>
              <w:jc w:val="center"/>
            </w:pPr>
            <w:r w:rsidRPr="005C388F">
              <w:t>220</w:t>
            </w:r>
          </w:p>
        </w:tc>
      </w:tr>
      <w:tr w:rsidR="00261426" w:rsidRPr="005C388F" w14:paraId="558EB33E" w14:textId="77777777" w:rsidTr="005D5ADF">
        <w:trPr>
          <w:cantSplit/>
          <w:trHeight w:val="476"/>
        </w:trPr>
        <w:tc>
          <w:tcPr>
            <w:tcW w:w="1513" w:type="dxa"/>
            <w:vMerge/>
          </w:tcPr>
          <w:p w14:paraId="61DE620D" w14:textId="77777777" w:rsidR="00261426" w:rsidRPr="005C388F" w:rsidRDefault="00261426" w:rsidP="00261426"/>
        </w:tc>
        <w:tc>
          <w:tcPr>
            <w:tcW w:w="1822" w:type="dxa"/>
          </w:tcPr>
          <w:p w14:paraId="2B647AA5" w14:textId="325D4DAF" w:rsidR="00261426" w:rsidRPr="005C388F" w:rsidRDefault="00261426" w:rsidP="00261426">
            <w:r w:rsidRPr="005C388F">
              <w:t>Evaluation and Performance Management Plan</w:t>
            </w:r>
            <w:r w:rsidR="002B7E2E" w:rsidRPr="005C388F">
              <w:t xml:space="preserve"> (Attachment D)</w:t>
            </w:r>
          </w:p>
        </w:tc>
        <w:tc>
          <w:tcPr>
            <w:tcW w:w="1669" w:type="dxa"/>
            <w:vAlign w:val="bottom"/>
          </w:tcPr>
          <w:p w14:paraId="48C1D153" w14:textId="6EAA3800" w:rsidR="00261426" w:rsidRPr="005C388F" w:rsidRDefault="00261426" w:rsidP="00261426">
            <w:pPr>
              <w:jc w:val="center"/>
            </w:pPr>
            <w:r w:rsidRPr="005C388F">
              <w:t>20</w:t>
            </w:r>
          </w:p>
        </w:tc>
        <w:tc>
          <w:tcPr>
            <w:tcW w:w="1670" w:type="dxa"/>
            <w:vAlign w:val="bottom"/>
          </w:tcPr>
          <w:p w14:paraId="4E883EA2" w14:textId="1FDA61C7" w:rsidR="00261426" w:rsidRPr="005C388F" w:rsidRDefault="00261426" w:rsidP="00261426">
            <w:pPr>
              <w:jc w:val="center"/>
            </w:pPr>
            <w:r w:rsidRPr="005C388F">
              <w:t>1</w:t>
            </w:r>
          </w:p>
        </w:tc>
        <w:tc>
          <w:tcPr>
            <w:tcW w:w="1719" w:type="dxa"/>
            <w:vAlign w:val="bottom"/>
          </w:tcPr>
          <w:p w14:paraId="5BD7B2C1" w14:textId="70B09874" w:rsidR="00261426" w:rsidRPr="005C388F" w:rsidRDefault="007C1E42" w:rsidP="007C1E42">
            <w:pPr>
              <w:jc w:val="center"/>
            </w:pPr>
            <w:r w:rsidRPr="005C388F">
              <w:t>2</w:t>
            </w:r>
          </w:p>
        </w:tc>
        <w:tc>
          <w:tcPr>
            <w:tcW w:w="1620" w:type="dxa"/>
            <w:vAlign w:val="bottom"/>
          </w:tcPr>
          <w:p w14:paraId="7CF17126" w14:textId="547D96C5" w:rsidR="00261426" w:rsidRPr="005C388F" w:rsidRDefault="007D7FCF" w:rsidP="00341386">
            <w:pPr>
              <w:jc w:val="center"/>
            </w:pPr>
            <w:r w:rsidRPr="005C388F">
              <w:t>40</w:t>
            </w:r>
          </w:p>
        </w:tc>
      </w:tr>
      <w:tr w:rsidR="00261426" w:rsidRPr="005C388F" w14:paraId="4F82DE15" w14:textId="77777777" w:rsidTr="005D5ADF">
        <w:trPr>
          <w:cantSplit/>
          <w:trHeight w:val="728"/>
        </w:trPr>
        <w:tc>
          <w:tcPr>
            <w:tcW w:w="1513" w:type="dxa"/>
            <w:vMerge/>
          </w:tcPr>
          <w:p w14:paraId="35FA69A5" w14:textId="77777777" w:rsidR="00261426" w:rsidRPr="005C388F" w:rsidRDefault="00261426" w:rsidP="00261426"/>
        </w:tc>
        <w:tc>
          <w:tcPr>
            <w:tcW w:w="1822" w:type="dxa"/>
          </w:tcPr>
          <w:p w14:paraId="62B3A66C" w14:textId="54175F2A" w:rsidR="00261426" w:rsidRPr="005C388F" w:rsidRDefault="00261426" w:rsidP="00261426">
            <w:r w:rsidRPr="005C388F">
              <w:t>Injury Indicator Spreadsheet</w:t>
            </w:r>
            <w:r w:rsidR="002B7E2E" w:rsidRPr="005C388F">
              <w:t xml:space="preserve"> (Attachment E)</w:t>
            </w:r>
          </w:p>
        </w:tc>
        <w:tc>
          <w:tcPr>
            <w:tcW w:w="1669" w:type="dxa"/>
            <w:vAlign w:val="bottom"/>
          </w:tcPr>
          <w:p w14:paraId="21046204" w14:textId="13335881" w:rsidR="00261426" w:rsidRPr="005C388F" w:rsidRDefault="00261426" w:rsidP="00261426">
            <w:pPr>
              <w:jc w:val="center"/>
            </w:pPr>
            <w:r w:rsidRPr="005C388F">
              <w:t>20</w:t>
            </w:r>
          </w:p>
        </w:tc>
        <w:tc>
          <w:tcPr>
            <w:tcW w:w="1670" w:type="dxa"/>
            <w:vAlign w:val="bottom"/>
          </w:tcPr>
          <w:p w14:paraId="4030F2B1" w14:textId="17E5E1B8" w:rsidR="00261426" w:rsidRPr="005C388F" w:rsidRDefault="00261426" w:rsidP="00261426">
            <w:pPr>
              <w:jc w:val="center"/>
            </w:pPr>
            <w:r w:rsidRPr="005C388F">
              <w:t>1</w:t>
            </w:r>
          </w:p>
        </w:tc>
        <w:tc>
          <w:tcPr>
            <w:tcW w:w="1719" w:type="dxa"/>
            <w:vAlign w:val="bottom"/>
          </w:tcPr>
          <w:p w14:paraId="30DB55D4" w14:textId="300CF43A" w:rsidR="00261426" w:rsidRPr="005C388F" w:rsidRDefault="007C1E42" w:rsidP="00341386">
            <w:pPr>
              <w:jc w:val="center"/>
            </w:pPr>
            <w:r w:rsidRPr="005C388F">
              <w:t>14</w:t>
            </w:r>
          </w:p>
        </w:tc>
        <w:tc>
          <w:tcPr>
            <w:tcW w:w="1620" w:type="dxa"/>
            <w:vAlign w:val="bottom"/>
          </w:tcPr>
          <w:p w14:paraId="69788493" w14:textId="710DEC63" w:rsidR="00261426" w:rsidRPr="005C388F" w:rsidRDefault="007D7FCF" w:rsidP="00341386">
            <w:pPr>
              <w:jc w:val="center"/>
            </w:pPr>
            <w:r w:rsidRPr="005C388F">
              <w:t>280</w:t>
            </w:r>
          </w:p>
        </w:tc>
      </w:tr>
      <w:tr w:rsidR="00D87E7F" w:rsidRPr="005C388F" w14:paraId="21C62801" w14:textId="77777777" w:rsidTr="005D5ADF">
        <w:trPr>
          <w:cantSplit/>
          <w:trHeight w:val="728"/>
        </w:trPr>
        <w:tc>
          <w:tcPr>
            <w:tcW w:w="1513" w:type="dxa"/>
            <w:vMerge w:val="restart"/>
          </w:tcPr>
          <w:p w14:paraId="5EE1CF28" w14:textId="71D4AD46" w:rsidR="00D87E7F" w:rsidRPr="005C388F" w:rsidRDefault="002B7E2E" w:rsidP="002B7E2E">
            <w:r w:rsidRPr="005C388F">
              <w:t xml:space="preserve">Core SVIPP 1- </w:t>
            </w:r>
            <w:r w:rsidR="00D87E7F" w:rsidRPr="005C388F">
              <w:t>Enhanced Component Awardees</w:t>
            </w:r>
          </w:p>
        </w:tc>
        <w:tc>
          <w:tcPr>
            <w:tcW w:w="1822" w:type="dxa"/>
          </w:tcPr>
          <w:p w14:paraId="17D51E8E" w14:textId="1FAAA8EC" w:rsidR="00D87E7F" w:rsidRPr="005C388F" w:rsidRDefault="002B7E2E" w:rsidP="00D87E7F">
            <w:r w:rsidRPr="005C388F">
              <w:t>Initial Population-Annual</w:t>
            </w:r>
            <w:r w:rsidR="00D87E7F" w:rsidRPr="005C388F">
              <w:t xml:space="preserve"> Progress Report</w:t>
            </w:r>
            <w:r w:rsidRPr="005C388F">
              <w:t xml:space="preserve"> (Attachment C</w:t>
            </w:r>
            <w:r w:rsidR="005D3E7E" w:rsidRPr="005C388F">
              <w:t xml:space="preserve">2 </w:t>
            </w:r>
            <w:r w:rsidR="00134B30" w:rsidRPr="005C388F">
              <w:t>–</w:t>
            </w:r>
            <w:r w:rsidR="005D3E7E" w:rsidRPr="005C388F">
              <w:t xml:space="preserve"> Enhanced</w:t>
            </w:r>
            <w:r w:rsidRPr="005C388F">
              <w:t>)</w:t>
            </w:r>
          </w:p>
        </w:tc>
        <w:tc>
          <w:tcPr>
            <w:tcW w:w="1669" w:type="dxa"/>
            <w:vAlign w:val="bottom"/>
          </w:tcPr>
          <w:p w14:paraId="6601EC13" w14:textId="35C7E5D0" w:rsidR="00D87E7F" w:rsidRPr="005C388F" w:rsidRDefault="007D7FCF" w:rsidP="00D87E7F">
            <w:pPr>
              <w:jc w:val="center"/>
            </w:pPr>
            <w:r w:rsidRPr="005C388F">
              <w:t>5</w:t>
            </w:r>
          </w:p>
        </w:tc>
        <w:tc>
          <w:tcPr>
            <w:tcW w:w="1670" w:type="dxa"/>
            <w:vAlign w:val="bottom"/>
          </w:tcPr>
          <w:p w14:paraId="72CA8178" w14:textId="5D666B90" w:rsidR="00D87E7F" w:rsidRPr="005C388F" w:rsidRDefault="00D87E7F" w:rsidP="00D87E7F">
            <w:pPr>
              <w:jc w:val="center"/>
            </w:pPr>
            <w:r w:rsidRPr="005C388F">
              <w:t>1</w:t>
            </w:r>
          </w:p>
        </w:tc>
        <w:tc>
          <w:tcPr>
            <w:tcW w:w="1719" w:type="dxa"/>
            <w:vAlign w:val="bottom"/>
          </w:tcPr>
          <w:p w14:paraId="5DD5E05D" w14:textId="094F8986" w:rsidR="00D87E7F" w:rsidRPr="005C388F" w:rsidRDefault="007C1E42" w:rsidP="00D87E7F">
            <w:pPr>
              <w:jc w:val="center"/>
            </w:pPr>
            <w:r w:rsidRPr="005C388F">
              <w:t>73</w:t>
            </w:r>
          </w:p>
        </w:tc>
        <w:tc>
          <w:tcPr>
            <w:tcW w:w="1620" w:type="dxa"/>
            <w:vAlign w:val="bottom"/>
          </w:tcPr>
          <w:p w14:paraId="710D2EB7" w14:textId="001DAA3B" w:rsidR="00D87E7F" w:rsidRPr="005C388F" w:rsidRDefault="007D7FCF" w:rsidP="00D87E7F">
            <w:pPr>
              <w:jc w:val="center"/>
            </w:pPr>
            <w:r w:rsidRPr="005C388F">
              <w:t>365</w:t>
            </w:r>
          </w:p>
        </w:tc>
      </w:tr>
      <w:tr w:rsidR="00D87E7F" w:rsidRPr="005C388F" w14:paraId="38B6DB46" w14:textId="77777777" w:rsidTr="005D5ADF">
        <w:trPr>
          <w:cantSplit/>
          <w:trHeight w:val="728"/>
        </w:trPr>
        <w:tc>
          <w:tcPr>
            <w:tcW w:w="1513" w:type="dxa"/>
            <w:vMerge/>
          </w:tcPr>
          <w:p w14:paraId="649E9046" w14:textId="77777777" w:rsidR="00D87E7F" w:rsidRPr="005C388F" w:rsidRDefault="00D87E7F" w:rsidP="00D87E7F"/>
        </w:tc>
        <w:tc>
          <w:tcPr>
            <w:tcW w:w="1822" w:type="dxa"/>
          </w:tcPr>
          <w:p w14:paraId="3211B894" w14:textId="711F3754" w:rsidR="00D87E7F" w:rsidRPr="005C388F" w:rsidRDefault="00D87E7F" w:rsidP="00022016">
            <w:r w:rsidRPr="005C388F">
              <w:t>Annual Progress Report</w:t>
            </w:r>
            <w:r w:rsidR="00022016" w:rsidRPr="005C388F">
              <w:t xml:space="preserve"> </w:t>
            </w:r>
            <w:r w:rsidR="002B7E2E" w:rsidRPr="005C388F">
              <w:t>(Attachment C</w:t>
            </w:r>
            <w:r w:rsidR="005D3E7E" w:rsidRPr="005C388F">
              <w:t xml:space="preserve">2 </w:t>
            </w:r>
            <w:r w:rsidR="00134B30" w:rsidRPr="005C388F">
              <w:t>–</w:t>
            </w:r>
            <w:r w:rsidR="005D3E7E" w:rsidRPr="005C388F">
              <w:t xml:space="preserve"> Enhanced</w:t>
            </w:r>
            <w:r w:rsidR="002B7E2E" w:rsidRPr="005C388F">
              <w:t>)</w:t>
            </w:r>
          </w:p>
        </w:tc>
        <w:tc>
          <w:tcPr>
            <w:tcW w:w="1669" w:type="dxa"/>
            <w:vAlign w:val="bottom"/>
          </w:tcPr>
          <w:p w14:paraId="6CE2D5DD" w14:textId="2BEFFE30" w:rsidR="00D87E7F" w:rsidRPr="005C388F" w:rsidRDefault="007D7FCF" w:rsidP="00D87E7F">
            <w:pPr>
              <w:jc w:val="center"/>
            </w:pPr>
            <w:r w:rsidRPr="005C388F">
              <w:t>5</w:t>
            </w:r>
          </w:p>
        </w:tc>
        <w:tc>
          <w:tcPr>
            <w:tcW w:w="1670" w:type="dxa"/>
            <w:vAlign w:val="bottom"/>
          </w:tcPr>
          <w:p w14:paraId="55335FCB" w14:textId="51D672B9" w:rsidR="00D87E7F" w:rsidRPr="005C388F" w:rsidRDefault="00D87E7F" w:rsidP="00D87E7F">
            <w:pPr>
              <w:jc w:val="center"/>
            </w:pPr>
            <w:r w:rsidRPr="005C388F">
              <w:t>1</w:t>
            </w:r>
          </w:p>
        </w:tc>
        <w:tc>
          <w:tcPr>
            <w:tcW w:w="1719" w:type="dxa"/>
            <w:vAlign w:val="bottom"/>
          </w:tcPr>
          <w:p w14:paraId="2EEEC6CA" w14:textId="4B5B91CD" w:rsidR="00D87E7F" w:rsidRPr="005C388F" w:rsidRDefault="007C1E42" w:rsidP="00D87E7F">
            <w:pPr>
              <w:jc w:val="center"/>
            </w:pPr>
            <w:r w:rsidRPr="005C388F">
              <w:t>58</w:t>
            </w:r>
          </w:p>
        </w:tc>
        <w:tc>
          <w:tcPr>
            <w:tcW w:w="1620" w:type="dxa"/>
            <w:vAlign w:val="bottom"/>
          </w:tcPr>
          <w:p w14:paraId="194CF745" w14:textId="0D183F20" w:rsidR="00D87E7F" w:rsidRPr="005C388F" w:rsidRDefault="007D7FCF" w:rsidP="00D87E7F">
            <w:pPr>
              <w:jc w:val="center"/>
            </w:pPr>
            <w:r w:rsidRPr="005C388F">
              <w:t>290</w:t>
            </w:r>
          </w:p>
        </w:tc>
      </w:tr>
      <w:tr w:rsidR="00D87E7F" w:rsidRPr="005C388F" w14:paraId="78262A81" w14:textId="77777777" w:rsidTr="005D5ADF">
        <w:trPr>
          <w:cantSplit/>
          <w:trHeight w:val="728"/>
        </w:trPr>
        <w:tc>
          <w:tcPr>
            <w:tcW w:w="1513" w:type="dxa"/>
            <w:vMerge/>
          </w:tcPr>
          <w:p w14:paraId="5A06D1AA" w14:textId="77777777" w:rsidR="00D87E7F" w:rsidRPr="005C388F" w:rsidRDefault="00D87E7F" w:rsidP="00D87E7F"/>
        </w:tc>
        <w:tc>
          <w:tcPr>
            <w:tcW w:w="1822" w:type="dxa"/>
          </w:tcPr>
          <w:p w14:paraId="52A63A4D" w14:textId="559A8A4D" w:rsidR="00D87E7F" w:rsidRPr="005C388F" w:rsidRDefault="00D87E7F" w:rsidP="00F061B6">
            <w:r w:rsidRPr="005C388F">
              <w:t>Evaluation and Performance Management Plan</w:t>
            </w:r>
            <w:r w:rsidR="002B7E2E" w:rsidRPr="005C388F">
              <w:t xml:space="preserve"> (Attachment </w:t>
            </w:r>
            <w:r w:rsidR="00F061B6" w:rsidRPr="005C388F">
              <w:t>-</w:t>
            </w:r>
            <w:r w:rsidR="002B7E2E" w:rsidRPr="005C388F">
              <w:t>D)</w:t>
            </w:r>
          </w:p>
        </w:tc>
        <w:tc>
          <w:tcPr>
            <w:tcW w:w="1669" w:type="dxa"/>
            <w:vAlign w:val="bottom"/>
          </w:tcPr>
          <w:p w14:paraId="4E178A1E" w14:textId="1691F509" w:rsidR="00D87E7F" w:rsidRPr="005C388F" w:rsidRDefault="007D7FCF" w:rsidP="00D87E7F">
            <w:pPr>
              <w:jc w:val="center"/>
            </w:pPr>
            <w:r w:rsidRPr="005C388F">
              <w:t>5</w:t>
            </w:r>
          </w:p>
        </w:tc>
        <w:tc>
          <w:tcPr>
            <w:tcW w:w="1670" w:type="dxa"/>
            <w:vAlign w:val="bottom"/>
          </w:tcPr>
          <w:p w14:paraId="781A7B2F" w14:textId="4AA9094D" w:rsidR="00D87E7F" w:rsidRPr="005C388F" w:rsidRDefault="00D87E7F" w:rsidP="00D87E7F">
            <w:pPr>
              <w:jc w:val="center"/>
            </w:pPr>
            <w:r w:rsidRPr="005C388F">
              <w:t>1</w:t>
            </w:r>
          </w:p>
        </w:tc>
        <w:tc>
          <w:tcPr>
            <w:tcW w:w="1719" w:type="dxa"/>
            <w:vAlign w:val="bottom"/>
          </w:tcPr>
          <w:p w14:paraId="2AF4B58F" w14:textId="56719BCA" w:rsidR="00D87E7F" w:rsidRPr="005C388F" w:rsidRDefault="007C1E42" w:rsidP="00D87E7F">
            <w:pPr>
              <w:jc w:val="center"/>
            </w:pPr>
            <w:r w:rsidRPr="005C388F">
              <w:t>3</w:t>
            </w:r>
          </w:p>
        </w:tc>
        <w:tc>
          <w:tcPr>
            <w:tcW w:w="1620" w:type="dxa"/>
            <w:vAlign w:val="bottom"/>
          </w:tcPr>
          <w:p w14:paraId="08E5EF9E" w14:textId="763A701C" w:rsidR="00D87E7F" w:rsidRPr="005C388F" w:rsidRDefault="007D7FCF" w:rsidP="00D87E7F">
            <w:pPr>
              <w:jc w:val="center"/>
            </w:pPr>
            <w:r w:rsidRPr="005C388F">
              <w:t>15</w:t>
            </w:r>
          </w:p>
        </w:tc>
      </w:tr>
      <w:tr w:rsidR="00D87E7F" w:rsidRPr="005C388F" w14:paraId="777439AA" w14:textId="77777777" w:rsidTr="005D5ADF">
        <w:trPr>
          <w:cantSplit/>
          <w:trHeight w:val="728"/>
        </w:trPr>
        <w:tc>
          <w:tcPr>
            <w:tcW w:w="1513" w:type="dxa"/>
            <w:vMerge/>
          </w:tcPr>
          <w:p w14:paraId="6B399A36" w14:textId="77777777" w:rsidR="00D87E7F" w:rsidRPr="005C388F" w:rsidRDefault="00D87E7F" w:rsidP="00D87E7F"/>
        </w:tc>
        <w:tc>
          <w:tcPr>
            <w:tcW w:w="1822" w:type="dxa"/>
          </w:tcPr>
          <w:p w14:paraId="1BDDF37E" w14:textId="63FC1C9C" w:rsidR="00D87E7F" w:rsidRPr="005C388F" w:rsidRDefault="00D87E7F" w:rsidP="000D3476">
            <w:r w:rsidRPr="005C388F">
              <w:t>Injury Indicator Spreadsheet</w:t>
            </w:r>
            <w:r w:rsidR="000D3476" w:rsidRPr="005C388F">
              <w:t xml:space="preserve"> (Attachment</w:t>
            </w:r>
            <w:r w:rsidR="006567A7" w:rsidRPr="005C388F">
              <w:t>–</w:t>
            </w:r>
            <w:r w:rsidR="000D3476" w:rsidRPr="005C388F">
              <w:t>E</w:t>
            </w:r>
            <w:r w:rsidR="002B7E2E" w:rsidRPr="005C388F">
              <w:t>)</w:t>
            </w:r>
          </w:p>
        </w:tc>
        <w:tc>
          <w:tcPr>
            <w:tcW w:w="1669" w:type="dxa"/>
            <w:vAlign w:val="bottom"/>
          </w:tcPr>
          <w:p w14:paraId="2CD2F594" w14:textId="4A77CAB4" w:rsidR="00D87E7F" w:rsidRPr="005C388F" w:rsidRDefault="007D7FCF" w:rsidP="00D87E7F">
            <w:pPr>
              <w:jc w:val="center"/>
            </w:pPr>
            <w:r w:rsidRPr="005C388F">
              <w:t>5</w:t>
            </w:r>
          </w:p>
        </w:tc>
        <w:tc>
          <w:tcPr>
            <w:tcW w:w="1670" w:type="dxa"/>
            <w:vAlign w:val="bottom"/>
          </w:tcPr>
          <w:p w14:paraId="3423E936" w14:textId="2DA49230" w:rsidR="00D87E7F" w:rsidRPr="005C388F" w:rsidRDefault="00D87E7F" w:rsidP="00D87E7F">
            <w:pPr>
              <w:jc w:val="center"/>
            </w:pPr>
            <w:r w:rsidRPr="005C388F">
              <w:t>1</w:t>
            </w:r>
          </w:p>
        </w:tc>
        <w:tc>
          <w:tcPr>
            <w:tcW w:w="1719" w:type="dxa"/>
            <w:vAlign w:val="bottom"/>
          </w:tcPr>
          <w:p w14:paraId="60B68A2B" w14:textId="12F54130" w:rsidR="00D87E7F" w:rsidRPr="005C388F" w:rsidRDefault="007C1E42" w:rsidP="00D87E7F">
            <w:pPr>
              <w:jc w:val="center"/>
            </w:pPr>
            <w:r w:rsidRPr="005C388F">
              <w:t>14</w:t>
            </w:r>
          </w:p>
        </w:tc>
        <w:tc>
          <w:tcPr>
            <w:tcW w:w="1620" w:type="dxa"/>
            <w:vAlign w:val="bottom"/>
          </w:tcPr>
          <w:p w14:paraId="55DF6D62" w14:textId="3AEBE750" w:rsidR="00D87E7F" w:rsidRPr="005C388F" w:rsidRDefault="007D7FCF" w:rsidP="00D87E7F">
            <w:pPr>
              <w:jc w:val="center"/>
            </w:pPr>
            <w:r w:rsidRPr="005C388F">
              <w:t>70</w:t>
            </w:r>
          </w:p>
        </w:tc>
      </w:tr>
      <w:tr w:rsidR="002B7E2E" w:rsidRPr="005C388F" w14:paraId="0639F833" w14:textId="77777777" w:rsidTr="005D5ADF">
        <w:trPr>
          <w:cantSplit/>
          <w:trHeight w:val="728"/>
        </w:trPr>
        <w:tc>
          <w:tcPr>
            <w:tcW w:w="1513" w:type="dxa"/>
            <w:vMerge w:val="restart"/>
          </w:tcPr>
          <w:p w14:paraId="2CBB9691" w14:textId="77780048" w:rsidR="002B7E2E" w:rsidRPr="005C388F" w:rsidRDefault="002B7E2E" w:rsidP="002B7E2E">
            <w:r w:rsidRPr="005C388F">
              <w:t>Core SVIPP 2- Enhanced Component Awardees</w:t>
            </w:r>
          </w:p>
        </w:tc>
        <w:tc>
          <w:tcPr>
            <w:tcW w:w="1822" w:type="dxa"/>
          </w:tcPr>
          <w:p w14:paraId="338C082D" w14:textId="6B50F8A8" w:rsidR="002B7E2E" w:rsidRPr="005C388F" w:rsidRDefault="002B7E2E" w:rsidP="002B7E2E">
            <w:r w:rsidRPr="005C388F">
              <w:t xml:space="preserve">Initial Population-Annual Progress Report (Attachment </w:t>
            </w:r>
            <w:r w:rsidR="000D3476" w:rsidRPr="005C388F">
              <w:t>C2 – Enhanced)</w:t>
            </w:r>
          </w:p>
        </w:tc>
        <w:tc>
          <w:tcPr>
            <w:tcW w:w="1669" w:type="dxa"/>
            <w:vAlign w:val="bottom"/>
          </w:tcPr>
          <w:p w14:paraId="1E227579" w14:textId="03170731" w:rsidR="002B7E2E" w:rsidRPr="005C388F" w:rsidRDefault="007D7FCF" w:rsidP="002B7E2E">
            <w:pPr>
              <w:jc w:val="center"/>
            </w:pPr>
            <w:r w:rsidRPr="005C388F">
              <w:t>5</w:t>
            </w:r>
          </w:p>
        </w:tc>
        <w:tc>
          <w:tcPr>
            <w:tcW w:w="1670" w:type="dxa"/>
            <w:vAlign w:val="bottom"/>
          </w:tcPr>
          <w:p w14:paraId="2B01759B" w14:textId="16907C18" w:rsidR="002B7E2E" w:rsidRPr="005C388F" w:rsidRDefault="002B7E2E" w:rsidP="002B7E2E">
            <w:pPr>
              <w:jc w:val="center"/>
            </w:pPr>
            <w:r w:rsidRPr="005C388F">
              <w:t>1</w:t>
            </w:r>
          </w:p>
        </w:tc>
        <w:tc>
          <w:tcPr>
            <w:tcW w:w="1719" w:type="dxa"/>
            <w:vAlign w:val="bottom"/>
          </w:tcPr>
          <w:p w14:paraId="72097C32" w14:textId="759A78B4" w:rsidR="002B7E2E" w:rsidRPr="00640EB3" w:rsidRDefault="007C1E42" w:rsidP="00A0517F">
            <w:pPr>
              <w:jc w:val="center"/>
            </w:pPr>
            <w:r w:rsidRPr="005C388F">
              <w:t>1</w:t>
            </w:r>
            <w:r w:rsidR="00A0517F" w:rsidRPr="005C388F">
              <w:t>46</w:t>
            </w:r>
          </w:p>
        </w:tc>
        <w:tc>
          <w:tcPr>
            <w:tcW w:w="1620" w:type="dxa"/>
            <w:vAlign w:val="bottom"/>
          </w:tcPr>
          <w:p w14:paraId="70EE6F8A" w14:textId="57DAE733" w:rsidR="002B7E2E" w:rsidRPr="005C388F" w:rsidRDefault="00A0517F" w:rsidP="002B7E2E">
            <w:pPr>
              <w:jc w:val="center"/>
            </w:pPr>
            <w:r w:rsidRPr="00640EB3">
              <w:t>730</w:t>
            </w:r>
          </w:p>
        </w:tc>
      </w:tr>
      <w:tr w:rsidR="002B7E2E" w:rsidRPr="005C388F" w14:paraId="69B82AFF" w14:textId="77777777" w:rsidTr="005D5ADF">
        <w:trPr>
          <w:cantSplit/>
          <w:trHeight w:val="728"/>
        </w:trPr>
        <w:tc>
          <w:tcPr>
            <w:tcW w:w="1513" w:type="dxa"/>
            <w:vMerge/>
          </w:tcPr>
          <w:p w14:paraId="78F361C3" w14:textId="77777777" w:rsidR="002B7E2E" w:rsidRPr="005C388F" w:rsidRDefault="002B7E2E" w:rsidP="002B7E2E"/>
        </w:tc>
        <w:tc>
          <w:tcPr>
            <w:tcW w:w="1822" w:type="dxa"/>
          </w:tcPr>
          <w:p w14:paraId="2BFA809C" w14:textId="0B78A135" w:rsidR="002B7E2E" w:rsidRPr="005C388F" w:rsidRDefault="002B7E2E" w:rsidP="00022016">
            <w:r w:rsidRPr="005C388F">
              <w:t>Annual Progress Report</w:t>
            </w:r>
            <w:r w:rsidR="008320A2" w:rsidRPr="005C388F">
              <w:t xml:space="preserve">, </w:t>
            </w:r>
            <w:r w:rsidRPr="005C388F">
              <w:t xml:space="preserve">(Attachment </w:t>
            </w:r>
            <w:r w:rsidR="004D5A0E" w:rsidRPr="005C388F">
              <w:t>C2 – Enhanced)</w:t>
            </w:r>
          </w:p>
        </w:tc>
        <w:tc>
          <w:tcPr>
            <w:tcW w:w="1669" w:type="dxa"/>
            <w:vAlign w:val="bottom"/>
          </w:tcPr>
          <w:p w14:paraId="4424A36F" w14:textId="1129F481" w:rsidR="002B7E2E" w:rsidRPr="005C388F" w:rsidRDefault="007D7FCF" w:rsidP="002B7E2E">
            <w:pPr>
              <w:jc w:val="center"/>
            </w:pPr>
            <w:r w:rsidRPr="005C388F">
              <w:t>5</w:t>
            </w:r>
          </w:p>
        </w:tc>
        <w:tc>
          <w:tcPr>
            <w:tcW w:w="1670" w:type="dxa"/>
            <w:vAlign w:val="bottom"/>
          </w:tcPr>
          <w:p w14:paraId="4C9EAD18" w14:textId="4E1523D5" w:rsidR="002B7E2E" w:rsidRPr="005C388F" w:rsidRDefault="002B7E2E" w:rsidP="002B7E2E">
            <w:pPr>
              <w:jc w:val="center"/>
            </w:pPr>
            <w:r w:rsidRPr="005C388F">
              <w:t>1</w:t>
            </w:r>
          </w:p>
        </w:tc>
        <w:tc>
          <w:tcPr>
            <w:tcW w:w="1719" w:type="dxa"/>
            <w:vAlign w:val="bottom"/>
          </w:tcPr>
          <w:p w14:paraId="7E634E67" w14:textId="05C5ACF6" w:rsidR="002B7E2E" w:rsidRPr="00640EB3" w:rsidRDefault="00A0517F" w:rsidP="002B7E2E">
            <w:pPr>
              <w:jc w:val="center"/>
            </w:pPr>
            <w:r w:rsidRPr="005C388F">
              <w:t>116</w:t>
            </w:r>
          </w:p>
        </w:tc>
        <w:tc>
          <w:tcPr>
            <w:tcW w:w="1620" w:type="dxa"/>
            <w:vAlign w:val="bottom"/>
          </w:tcPr>
          <w:p w14:paraId="42C3B9B5" w14:textId="6FCA28DD" w:rsidR="002B7E2E" w:rsidRPr="005C388F" w:rsidRDefault="00A0517F" w:rsidP="002B7E2E">
            <w:pPr>
              <w:jc w:val="center"/>
            </w:pPr>
            <w:r w:rsidRPr="00640EB3">
              <w:t>5</w:t>
            </w:r>
            <w:r w:rsidR="007D7FCF" w:rsidRPr="005C388F">
              <w:t>80</w:t>
            </w:r>
          </w:p>
        </w:tc>
      </w:tr>
      <w:tr w:rsidR="002B7E2E" w:rsidRPr="005C388F" w14:paraId="6D7C7B90" w14:textId="77777777" w:rsidTr="005D5ADF">
        <w:trPr>
          <w:cantSplit/>
          <w:trHeight w:val="728"/>
        </w:trPr>
        <w:tc>
          <w:tcPr>
            <w:tcW w:w="1513" w:type="dxa"/>
            <w:vMerge/>
          </w:tcPr>
          <w:p w14:paraId="59565519" w14:textId="77777777" w:rsidR="002B7E2E" w:rsidRPr="005C388F" w:rsidRDefault="002B7E2E" w:rsidP="002B7E2E"/>
        </w:tc>
        <w:tc>
          <w:tcPr>
            <w:tcW w:w="1822" w:type="dxa"/>
          </w:tcPr>
          <w:p w14:paraId="600B7F77" w14:textId="370D8079" w:rsidR="002B7E2E" w:rsidRPr="005C388F" w:rsidRDefault="002B7E2E" w:rsidP="002B7E2E">
            <w:r w:rsidRPr="005C388F">
              <w:t>Evaluation and Performan</w:t>
            </w:r>
            <w:r w:rsidR="004D5A0E" w:rsidRPr="005C388F">
              <w:t>ce Management Plan (Attachment D</w:t>
            </w:r>
            <w:r w:rsidRPr="005C388F">
              <w:t>)</w:t>
            </w:r>
          </w:p>
        </w:tc>
        <w:tc>
          <w:tcPr>
            <w:tcW w:w="1669" w:type="dxa"/>
            <w:vAlign w:val="bottom"/>
          </w:tcPr>
          <w:p w14:paraId="3425DAD6" w14:textId="389399AA" w:rsidR="002B7E2E" w:rsidRPr="005C388F" w:rsidRDefault="007D7FCF" w:rsidP="002B7E2E">
            <w:pPr>
              <w:jc w:val="center"/>
            </w:pPr>
            <w:r w:rsidRPr="005C388F">
              <w:t>5</w:t>
            </w:r>
          </w:p>
        </w:tc>
        <w:tc>
          <w:tcPr>
            <w:tcW w:w="1670" w:type="dxa"/>
            <w:vAlign w:val="bottom"/>
          </w:tcPr>
          <w:p w14:paraId="2B491F15" w14:textId="082B11C5" w:rsidR="002B7E2E" w:rsidRPr="005C388F" w:rsidRDefault="002B7E2E" w:rsidP="002B7E2E">
            <w:pPr>
              <w:jc w:val="center"/>
            </w:pPr>
            <w:r w:rsidRPr="005C388F">
              <w:t>1</w:t>
            </w:r>
          </w:p>
        </w:tc>
        <w:tc>
          <w:tcPr>
            <w:tcW w:w="1719" w:type="dxa"/>
            <w:vAlign w:val="bottom"/>
          </w:tcPr>
          <w:p w14:paraId="2F3A2C37" w14:textId="4825CDDD" w:rsidR="002B7E2E" w:rsidRPr="005C388F" w:rsidRDefault="007C1E42" w:rsidP="002B7E2E">
            <w:pPr>
              <w:jc w:val="center"/>
            </w:pPr>
            <w:r w:rsidRPr="005C388F">
              <w:t>4</w:t>
            </w:r>
          </w:p>
        </w:tc>
        <w:tc>
          <w:tcPr>
            <w:tcW w:w="1620" w:type="dxa"/>
            <w:vAlign w:val="bottom"/>
          </w:tcPr>
          <w:p w14:paraId="65BF0DAC" w14:textId="28F2CD04" w:rsidR="002B7E2E" w:rsidRPr="005C388F" w:rsidRDefault="007D7FCF" w:rsidP="002B7E2E">
            <w:pPr>
              <w:jc w:val="center"/>
            </w:pPr>
            <w:r w:rsidRPr="005C388F">
              <w:t>20</w:t>
            </w:r>
          </w:p>
        </w:tc>
      </w:tr>
      <w:tr w:rsidR="002B7E2E" w:rsidRPr="005C388F" w14:paraId="709612FA" w14:textId="77777777" w:rsidTr="005D5ADF">
        <w:trPr>
          <w:cantSplit/>
          <w:trHeight w:val="728"/>
        </w:trPr>
        <w:tc>
          <w:tcPr>
            <w:tcW w:w="1513" w:type="dxa"/>
            <w:vMerge/>
          </w:tcPr>
          <w:p w14:paraId="5B9D3BB9" w14:textId="77777777" w:rsidR="002B7E2E" w:rsidRPr="005C388F" w:rsidRDefault="002B7E2E" w:rsidP="002B7E2E"/>
        </w:tc>
        <w:tc>
          <w:tcPr>
            <w:tcW w:w="1822" w:type="dxa"/>
          </w:tcPr>
          <w:p w14:paraId="3A08FE27" w14:textId="1C0675BB" w:rsidR="002B7E2E" w:rsidRPr="005C388F" w:rsidRDefault="002B7E2E" w:rsidP="009B6829">
            <w:r w:rsidRPr="005C388F">
              <w:t>Injury Indicator Spreadsheet (Attachment</w:t>
            </w:r>
            <w:r w:rsidR="009B6829" w:rsidRPr="005C388F">
              <w:t xml:space="preserve"> E</w:t>
            </w:r>
            <w:r w:rsidRPr="005C388F">
              <w:t>)</w:t>
            </w:r>
          </w:p>
        </w:tc>
        <w:tc>
          <w:tcPr>
            <w:tcW w:w="1669" w:type="dxa"/>
            <w:vAlign w:val="bottom"/>
          </w:tcPr>
          <w:p w14:paraId="060ADEC3" w14:textId="2FB64FBC" w:rsidR="002B7E2E" w:rsidRPr="005C388F" w:rsidRDefault="007D7FCF" w:rsidP="002B7E2E">
            <w:pPr>
              <w:jc w:val="center"/>
            </w:pPr>
            <w:r w:rsidRPr="005C388F">
              <w:t>5</w:t>
            </w:r>
          </w:p>
        </w:tc>
        <w:tc>
          <w:tcPr>
            <w:tcW w:w="1670" w:type="dxa"/>
            <w:vAlign w:val="bottom"/>
          </w:tcPr>
          <w:p w14:paraId="6A1081FB" w14:textId="793BA544" w:rsidR="002B7E2E" w:rsidRPr="005C388F" w:rsidRDefault="002B7E2E" w:rsidP="002B7E2E">
            <w:pPr>
              <w:jc w:val="center"/>
            </w:pPr>
            <w:r w:rsidRPr="005C388F">
              <w:t>1</w:t>
            </w:r>
          </w:p>
        </w:tc>
        <w:tc>
          <w:tcPr>
            <w:tcW w:w="1719" w:type="dxa"/>
            <w:vAlign w:val="bottom"/>
          </w:tcPr>
          <w:p w14:paraId="16575B4B" w14:textId="0FD1CD3C" w:rsidR="002B7E2E" w:rsidRPr="005C388F" w:rsidRDefault="007C1E42" w:rsidP="002B7E2E">
            <w:pPr>
              <w:jc w:val="center"/>
            </w:pPr>
            <w:r w:rsidRPr="005C388F">
              <w:t>14</w:t>
            </w:r>
          </w:p>
        </w:tc>
        <w:tc>
          <w:tcPr>
            <w:tcW w:w="1620" w:type="dxa"/>
            <w:vAlign w:val="bottom"/>
          </w:tcPr>
          <w:p w14:paraId="30560F4F" w14:textId="05AFDCA3" w:rsidR="002B7E2E" w:rsidRPr="005C388F" w:rsidRDefault="007D7FCF" w:rsidP="002B7E2E">
            <w:pPr>
              <w:jc w:val="center"/>
            </w:pPr>
            <w:r w:rsidRPr="005C388F">
              <w:t>70</w:t>
            </w:r>
          </w:p>
        </w:tc>
      </w:tr>
      <w:tr w:rsidR="00026C55" w:rsidRPr="005C388F" w14:paraId="73F464E5" w14:textId="77777777" w:rsidTr="005D5ADF">
        <w:trPr>
          <w:cantSplit/>
          <w:trHeight w:val="276"/>
        </w:trPr>
        <w:tc>
          <w:tcPr>
            <w:tcW w:w="8393" w:type="dxa"/>
            <w:gridSpan w:val="5"/>
          </w:tcPr>
          <w:p w14:paraId="73F464E3" w14:textId="77777777" w:rsidR="00026C55" w:rsidRPr="005C388F" w:rsidRDefault="00026C55" w:rsidP="0070531D">
            <w:pPr>
              <w:jc w:val="right"/>
              <w:rPr>
                <w:b/>
              </w:rPr>
            </w:pPr>
            <w:r w:rsidRPr="005C388F">
              <w:rPr>
                <w:b/>
              </w:rPr>
              <w:t>Total</w:t>
            </w:r>
          </w:p>
        </w:tc>
        <w:tc>
          <w:tcPr>
            <w:tcW w:w="1620" w:type="dxa"/>
            <w:vAlign w:val="center"/>
          </w:tcPr>
          <w:p w14:paraId="73F464E4" w14:textId="28FC0AB0" w:rsidR="00026C55" w:rsidRPr="005C388F" w:rsidRDefault="00A0517F" w:rsidP="007D7FCF">
            <w:pPr>
              <w:jc w:val="center"/>
            </w:pPr>
            <w:r w:rsidRPr="005C388F">
              <w:t>3120</w:t>
            </w:r>
          </w:p>
        </w:tc>
      </w:tr>
    </w:tbl>
    <w:p w14:paraId="73F464E6" w14:textId="77777777" w:rsidR="00855014" w:rsidRPr="005C388F" w:rsidRDefault="00855014" w:rsidP="00261426">
      <w:pPr>
        <w:pStyle w:val="Bulleted"/>
      </w:pPr>
    </w:p>
    <w:p w14:paraId="4887B3D0" w14:textId="77777777" w:rsidR="00F02B3C" w:rsidRPr="005C388F" w:rsidRDefault="00F02B3C" w:rsidP="00261426">
      <w:pPr>
        <w:pStyle w:val="Bulleted"/>
        <w:rPr>
          <w:highlight w:val="yellow"/>
        </w:rPr>
      </w:pPr>
    </w:p>
    <w:p w14:paraId="73F464E7" w14:textId="365BD1BA" w:rsidR="004A4436" w:rsidRPr="005C388F" w:rsidRDefault="000B4CB5" w:rsidP="00261426">
      <w:pPr>
        <w:pStyle w:val="Bulleted"/>
      </w:pPr>
      <w:r w:rsidRPr="005C388F">
        <w:t>B</w:t>
      </w:r>
      <w:r w:rsidR="00063B71" w:rsidRPr="005C388F">
        <w:t xml:space="preserve"> </w:t>
      </w:r>
      <w:r w:rsidR="0057192D" w:rsidRPr="005C388F">
        <w:t xml:space="preserve"> </w:t>
      </w:r>
      <w:r w:rsidR="00314191" w:rsidRPr="005C388F">
        <w:t>Annualized</w:t>
      </w:r>
      <w:r w:rsidR="00A818C7" w:rsidRPr="005C388F">
        <w:t xml:space="preserve"> </w:t>
      </w:r>
      <w:r w:rsidR="00624EF7" w:rsidRPr="005C388F">
        <w:t>B</w:t>
      </w:r>
      <w:r w:rsidR="00A818C7" w:rsidRPr="005C388F">
        <w:t xml:space="preserve">urden </w:t>
      </w:r>
      <w:r w:rsidR="00624EF7" w:rsidRPr="005C388F">
        <w:t>C</w:t>
      </w:r>
      <w:r w:rsidR="008429DD" w:rsidRPr="005C388F">
        <w:t xml:space="preserve">ost </w:t>
      </w:r>
    </w:p>
    <w:p w14:paraId="73F464E8" w14:textId="77777777" w:rsidR="00144640" w:rsidRPr="005C388F" w:rsidRDefault="00144640" w:rsidP="0070531D">
      <w:pPr>
        <w:pStyle w:val="SL-FlLftSgl"/>
      </w:pPr>
    </w:p>
    <w:p w14:paraId="606119F1" w14:textId="376BD94D" w:rsidR="00D87E7F" w:rsidRPr="00640EB3" w:rsidRDefault="0031068A" w:rsidP="0070531D">
      <w:r w:rsidRPr="005C388F">
        <w:t>A program manager will prepare the progress reports for each area.  The average hourly wage for a program manager is $</w:t>
      </w:r>
      <w:r w:rsidR="00445E72" w:rsidRPr="005C388F">
        <w:t>31</w:t>
      </w:r>
      <w:r w:rsidRPr="005C388F">
        <w:t>.  The hourly wage rates for program managers are based on wages for similar mid-to-high level positions in the public sector.  The to</w:t>
      </w:r>
      <w:r w:rsidR="008054EA" w:rsidRPr="005C388F">
        <w:t xml:space="preserve">tal estimated annualized cost </w:t>
      </w:r>
      <w:r w:rsidRPr="005C388F">
        <w:t xml:space="preserve">is </w:t>
      </w:r>
      <w:r w:rsidR="00450F0A" w:rsidRPr="005C388F">
        <w:rPr>
          <w:rFonts w:eastAsia="Batang"/>
        </w:rPr>
        <w:t>$13,671</w:t>
      </w:r>
      <w:r w:rsidRPr="005C388F">
        <w:t>, as summarized in Table A.12-B.</w:t>
      </w:r>
    </w:p>
    <w:p w14:paraId="7CDB701C" w14:textId="77777777" w:rsidR="00022016" w:rsidRPr="00640EB3" w:rsidRDefault="00022016" w:rsidP="0070531D">
      <w:pPr>
        <w:rPr>
          <w:bCs/>
        </w:rPr>
      </w:pPr>
    </w:p>
    <w:p w14:paraId="73F464E9" w14:textId="77777777" w:rsidR="005A53E2" w:rsidRPr="005C388F" w:rsidRDefault="005A53E2" w:rsidP="0070531D">
      <w:r w:rsidRPr="005C388F">
        <w:rPr>
          <w:bCs/>
        </w:rPr>
        <w:t>Table 2.</w:t>
      </w:r>
      <w:r w:rsidRPr="005C388F">
        <w:t xml:space="preserve"> Estimated Annual</w:t>
      </w:r>
      <w:r w:rsidR="003F77E5" w:rsidRPr="005C388F">
        <w:t xml:space="preserve">ized Burden </w:t>
      </w:r>
      <w:r w:rsidRPr="005C388F">
        <w:t>Cost</w:t>
      </w:r>
      <w:r w:rsidR="003F77E5" w:rsidRPr="005C388F">
        <w:t>s</w:t>
      </w:r>
      <w:r w:rsidRPr="005C388F">
        <w:t xml:space="preserve"> </w:t>
      </w:r>
    </w:p>
    <w:tbl>
      <w:tblPr>
        <w:tblpPr w:leftFromText="180" w:rightFromText="180" w:vertAnchor="text" w:horzAnchor="margin" w:tblpXSpec="center" w:tblpY="349"/>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800"/>
        <w:gridCol w:w="1620"/>
        <w:gridCol w:w="1620"/>
        <w:gridCol w:w="1350"/>
        <w:gridCol w:w="1260"/>
        <w:gridCol w:w="1350"/>
      </w:tblGrid>
      <w:tr w:rsidR="00C55DD2" w:rsidRPr="005C388F" w14:paraId="73F464F3" w14:textId="77777777" w:rsidTr="005C4378">
        <w:trPr>
          <w:cantSplit/>
          <w:trHeight w:val="440"/>
        </w:trPr>
        <w:tc>
          <w:tcPr>
            <w:tcW w:w="1435" w:type="dxa"/>
            <w:vAlign w:val="bottom"/>
          </w:tcPr>
          <w:p w14:paraId="73F464EA" w14:textId="77777777" w:rsidR="00EF2F61" w:rsidRPr="005C388F" w:rsidRDefault="00EF2F61" w:rsidP="00341386">
            <w:pPr>
              <w:spacing w:line="276" w:lineRule="auto"/>
              <w:jc w:val="center"/>
              <w:rPr>
                <w:rFonts w:eastAsia="Batang"/>
              </w:rPr>
            </w:pPr>
          </w:p>
          <w:p w14:paraId="73F464EB" w14:textId="77777777" w:rsidR="00EF2F61" w:rsidRPr="005C388F" w:rsidRDefault="00EF2F61" w:rsidP="00341386">
            <w:pPr>
              <w:spacing w:line="276" w:lineRule="auto"/>
              <w:jc w:val="center"/>
              <w:rPr>
                <w:rFonts w:eastAsia="Batang"/>
              </w:rPr>
            </w:pPr>
            <w:r w:rsidRPr="005C388F">
              <w:rPr>
                <w:rFonts w:eastAsia="Batang"/>
              </w:rPr>
              <w:t>Type of Respondent</w:t>
            </w:r>
          </w:p>
        </w:tc>
        <w:tc>
          <w:tcPr>
            <w:tcW w:w="1800" w:type="dxa"/>
            <w:vAlign w:val="bottom"/>
          </w:tcPr>
          <w:p w14:paraId="73F464EC" w14:textId="77777777" w:rsidR="00C55DD2" w:rsidRPr="005C388F" w:rsidRDefault="00C55DD2" w:rsidP="00341386">
            <w:pPr>
              <w:spacing w:line="276" w:lineRule="auto"/>
              <w:jc w:val="center"/>
              <w:rPr>
                <w:rFonts w:eastAsia="Batang"/>
              </w:rPr>
            </w:pPr>
          </w:p>
          <w:p w14:paraId="73F464ED" w14:textId="77777777" w:rsidR="00EF2F61" w:rsidRPr="005C388F" w:rsidRDefault="00EF2F61" w:rsidP="00341386">
            <w:pPr>
              <w:spacing w:line="276" w:lineRule="auto"/>
              <w:jc w:val="center"/>
              <w:rPr>
                <w:rFonts w:eastAsia="Batang"/>
              </w:rPr>
            </w:pPr>
            <w:r w:rsidRPr="005C388F">
              <w:rPr>
                <w:rFonts w:eastAsia="Batang"/>
              </w:rPr>
              <w:t>Form Name</w:t>
            </w:r>
          </w:p>
        </w:tc>
        <w:tc>
          <w:tcPr>
            <w:tcW w:w="1620" w:type="dxa"/>
            <w:shd w:val="clear" w:color="auto" w:fill="auto"/>
            <w:vAlign w:val="bottom"/>
          </w:tcPr>
          <w:p w14:paraId="73F464EE" w14:textId="77777777" w:rsidR="00EF2F61" w:rsidRPr="005C388F" w:rsidRDefault="00EF2F61" w:rsidP="00341386">
            <w:pPr>
              <w:spacing w:line="276" w:lineRule="auto"/>
              <w:jc w:val="center"/>
              <w:rPr>
                <w:rFonts w:eastAsia="Batang"/>
              </w:rPr>
            </w:pPr>
            <w:r w:rsidRPr="005C388F">
              <w:rPr>
                <w:rFonts w:eastAsia="Batang"/>
              </w:rPr>
              <w:t>Number of Respondents</w:t>
            </w:r>
          </w:p>
        </w:tc>
        <w:tc>
          <w:tcPr>
            <w:tcW w:w="1620" w:type="dxa"/>
            <w:vAlign w:val="bottom"/>
          </w:tcPr>
          <w:p w14:paraId="73F464EF" w14:textId="77777777" w:rsidR="00EF2F61" w:rsidRPr="005C388F" w:rsidRDefault="00EF2F61" w:rsidP="00341386">
            <w:pPr>
              <w:spacing w:line="276" w:lineRule="auto"/>
              <w:jc w:val="center"/>
              <w:rPr>
                <w:rFonts w:eastAsia="Batang"/>
              </w:rPr>
            </w:pPr>
            <w:r w:rsidRPr="005C388F">
              <w:rPr>
                <w:rFonts w:eastAsia="Batang"/>
              </w:rPr>
              <w:t>Number of Responses per Respondent</w:t>
            </w:r>
          </w:p>
        </w:tc>
        <w:tc>
          <w:tcPr>
            <w:tcW w:w="1350" w:type="dxa"/>
            <w:vAlign w:val="bottom"/>
          </w:tcPr>
          <w:p w14:paraId="73F464F0" w14:textId="386F24B7" w:rsidR="00EF2F61" w:rsidRPr="005C388F" w:rsidRDefault="00EF2F61" w:rsidP="00341386">
            <w:pPr>
              <w:spacing w:line="276" w:lineRule="auto"/>
              <w:jc w:val="center"/>
              <w:rPr>
                <w:rFonts w:eastAsia="Batang"/>
              </w:rPr>
            </w:pPr>
            <w:r w:rsidRPr="005C388F">
              <w:rPr>
                <w:rFonts w:eastAsia="Batang"/>
              </w:rPr>
              <w:t>Average Burden per Responses</w:t>
            </w:r>
          </w:p>
        </w:tc>
        <w:tc>
          <w:tcPr>
            <w:tcW w:w="1260" w:type="dxa"/>
            <w:vAlign w:val="bottom"/>
          </w:tcPr>
          <w:p w14:paraId="73F464F1" w14:textId="77777777" w:rsidR="00EF2F61" w:rsidRPr="005C388F" w:rsidRDefault="00EF2F61" w:rsidP="00341386">
            <w:pPr>
              <w:spacing w:line="276" w:lineRule="auto"/>
              <w:jc w:val="center"/>
              <w:rPr>
                <w:rFonts w:eastAsia="Batang"/>
              </w:rPr>
            </w:pPr>
            <w:r w:rsidRPr="005C388F">
              <w:rPr>
                <w:rFonts w:eastAsia="Batang"/>
              </w:rPr>
              <w:t>Average Hourly Wage Rate (in dollars)</w:t>
            </w:r>
          </w:p>
        </w:tc>
        <w:tc>
          <w:tcPr>
            <w:tcW w:w="1350" w:type="dxa"/>
            <w:vAlign w:val="bottom"/>
          </w:tcPr>
          <w:p w14:paraId="73F464F2" w14:textId="77777777" w:rsidR="00EF2F61" w:rsidRPr="005C388F" w:rsidRDefault="00EF2F61" w:rsidP="00341386">
            <w:pPr>
              <w:spacing w:line="276" w:lineRule="auto"/>
              <w:jc w:val="center"/>
              <w:rPr>
                <w:rFonts w:eastAsia="Batang"/>
              </w:rPr>
            </w:pPr>
            <w:r w:rsidRPr="005C388F">
              <w:rPr>
                <w:rFonts w:eastAsia="Batang"/>
              </w:rPr>
              <w:t>Total Respondent Cost</w:t>
            </w:r>
          </w:p>
        </w:tc>
      </w:tr>
      <w:tr w:rsidR="00341386" w:rsidRPr="005C388F" w14:paraId="73F464FF" w14:textId="77777777" w:rsidTr="00445E72">
        <w:trPr>
          <w:cantSplit/>
        </w:trPr>
        <w:tc>
          <w:tcPr>
            <w:tcW w:w="1435" w:type="dxa"/>
            <w:vMerge w:val="restart"/>
          </w:tcPr>
          <w:p w14:paraId="73F464F4" w14:textId="6ED7741B" w:rsidR="00341386" w:rsidRPr="005C388F" w:rsidRDefault="00A0517F" w:rsidP="00341386">
            <w:pPr>
              <w:rPr>
                <w:rFonts w:eastAsia="Batang"/>
              </w:rPr>
            </w:pPr>
            <w:r w:rsidRPr="005C388F">
              <w:t>Core SVIPP</w:t>
            </w:r>
            <w:r w:rsidR="00341386" w:rsidRPr="005C388F">
              <w:t xml:space="preserve"> Program Awardees</w:t>
            </w:r>
          </w:p>
        </w:tc>
        <w:tc>
          <w:tcPr>
            <w:tcW w:w="1800" w:type="dxa"/>
          </w:tcPr>
          <w:p w14:paraId="73F464F5" w14:textId="1A3D988E" w:rsidR="00341386" w:rsidRPr="005C388F" w:rsidRDefault="0029208C" w:rsidP="00341386">
            <w:pPr>
              <w:rPr>
                <w:rFonts w:eastAsia="Batang"/>
              </w:rPr>
            </w:pPr>
            <w:r w:rsidRPr="005C388F">
              <w:t>Initial Population-</w:t>
            </w:r>
            <w:r w:rsidR="00341386" w:rsidRPr="005C388F">
              <w:t xml:space="preserve"> Annual Progress Report</w:t>
            </w:r>
          </w:p>
        </w:tc>
        <w:tc>
          <w:tcPr>
            <w:tcW w:w="1620" w:type="dxa"/>
            <w:shd w:val="clear" w:color="auto" w:fill="auto"/>
            <w:vAlign w:val="bottom"/>
          </w:tcPr>
          <w:p w14:paraId="73F464F6" w14:textId="5439F7D6" w:rsidR="00341386" w:rsidRPr="005C388F" w:rsidRDefault="00341386" w:rsidP="00445E72">
            <w:pPr>
              <w:jc w:val="center"/>
              <w:rPr>
                <w:rFonts w:eastAsia="Batang"/>
              </w:rPr>
            </w:pPr>
            <w:r w:rsidRPr="005C388F">
              <w:t>20</w:t>
            </w:r>
          </w:p>
        </w:tc>
        <w:tc>
          <w:tcPr>
            <w:tcW w:w="1620" w:type="dxa"/>
            <w:vAlign w:val="bottom"/>
          </w:tcPr>
          <w:p w14:paraId="73F464F8" w14:textId="4EE59C51" w:rsidR="00341386" w:rsidRPr="005C388F" w:rsidRDefault="00341386" w:rsidP="00445E72">
            <w:pPr>
              <w:jc w:val="center"/>
              <w:rPr>
                <w:rFonts w:eastAsia="Batang"/>
              </w:rPr>
            </w:pPr>
            <w:r w:rsidRPr="005C388F">
              <w:t>1</w:t>
            </w:r>
          </w:p>
        </w:tc>
        <w:tc>
          <w:tcPr>
            <w:tcW w:w="1350" w:type="dxa"/>
            <w:vAlign w:val="bottom"/>
          </w:tcPr>
          <w:p w14:paraId="73F464F9" w14:textId="77777777" w:rsidR="00341386" w:rsidRPr="005C388F" w:rsidRDefault="00341386" w:rsidP="00445E72">
            <w:pPr>
              <w:jc w:val="center"/>
              <w:rPr>
                <w:rFonts w:eastAsia="Batang"/>
              </w:rPr>
            </w:pPr>
          </w:p>
          <w:p w14:paraId="73F464FA" w14:textId="26FDA1EB" w:rsidR="00341386" w:rsidRPr="005C388F" w:rsidRDefault="006B4FD3" w:rsidP="00445E72">
            <w:pPr>
              <w:jc w:val="center"/>
              <w:rPr>
                <w:rFonts w:eastAsia="Batang"/>
              </w:rPr>
            </w:pPr>
            <w:r w:rsidRPr="005C388F">
              <w:rPr>
                <w:rFonts w:eastAsia="Batang"/>
              </w:rPr>
              <w:t>22</w:t>
            </w:r>
          </w:p>
        </w:tc>
        <w:tc>
          <w:tcPr>
            <w:tcW w:w="1260" w:type="dxa"/>
            <w:vAlign w:val="bottom"/>
          </w:tcPr>
          <w:p w14:paraId="73F464FC" w14:textId="4E75FB2F" w:rsidR="00341386" w:rsidRPr="005C388F" w:rsidRDefault="00341386" w:rsidP="00445E72">
            <w:pPr>
              <w:jc w:val="center"/>
              <w:rPr>
                <w:rFonts w:eastAsia="Batang"/>
              </w:rPr>
            </w:pPr>
            <w:r w:rsidRPr="005C388F">
              <w:rPr>
                <w:color w:val="000000" w:themeColor="text1"/>
              </w:rPr>
              <w:t>$3</w:t>
            </w:r>
            <w:r w:rsidR="00445E72" w:rsidRPr="005C388F">
              <w:rPr>
                <w:color w:val="000000" w:themeColor="text1"/>
              </w:rPr>
              <w:t>1</w:t>
            </w:r>
          </w:p>
        </w:tc>
        <w:tc>
          <w:tcPr>
            <w:tcW w:w="1350" w:type="dxa"/>
            <w:vAlign w:val="bottom"/>
          </w:tcPr>
          <w:p w14:paraId="73F464FE" w14:textId="26273784" w:rsidR="00341386" w:rsidRPr="005C388F" w:rsidRDefault="00445E72" w:rsidP="00445E72">
            <w:pPr>
              <w:jc w:val="center"/>
              <w:rPr>
                <w:rFonts w:eastAsia="Batang"/>
              </w:rPr>
            </w:pPr>
            <w:r w:rsidRPr="005C388F">
              <w:rPr>
                <w:rFonts w:eastAsia="Batang"/>
              </w:rPr>
              <w:t>$682</w:t>
            </w:r>
          </w:p>
        </w:tc>
      </w:tr>
      <w:tr w:rsidR="00445E72" w:rsidRPr="005C388F" w14:paraId="72F8BC0B" w14:textId="77777777" w:rsidTr="00445E72">
        <w:trPr>
          <w:cantSplit/>
        </w:trPr>
        <w:tc>
          <w:tcPr>
            <w:tcW w:w="1435" w:type="dxa"/>
            <w:vMerge/>
          </w:tcPr>
          <w:p w14:paraId="26222352" w14:textId="77777777" w:rsidR="00445E72" w:rsidRPr="005C388F" w:rsidRDefault="00445E72" w:rsidP="00445E72">
            <w:pPr>
              <w:rPr>
                <w:rFonts w:eastAsia="Batang"/>
              </w:rPr>
            </w:pPr>
          </w:p>
        </w:tc>
        <w:tc>
          <w:tcPr>
            <w:tcW w:w="1800" w:type="dxa"/>
          </w:tcPr>
          <w:p w14:paraId="06B1B89D" w14:textId="10297585" w:rsidR="00445E72" w:rsidRPr="005C388F" w:rsidRDefault="00445E72" w:rsidP="00445E72">
            <w:pPr>
              <w:rPr>
                <w:rFonts w:eastAsia="Batang"/>
              </w:rPr>
            </w:pPr>
            <w:r w:rsidRPr="005C388F">
              <w:t>Annual Progress Report</w:t>
            </w:r>
          </w:p>
        </w:tc>
        <w:tc>
          <w:tcPr>
            <w:tcW w:w="1620" w:type="dxa"/>
            <w:shd w:val="clear" w:color="auto" w:fill="auto"/>
            <w:vAlign w:val="bottom"/>
          </w:tcPr>
          <w:p w14:paraId="6B041EDF" w14:textId="5DD8E1C4" w:rsidR="00445E72" w:rsidRPr="005C388F" w:rsidRDefault="00445E72" w:rsidP="00445E72">
            <w:pPr>
              <w:jc w:val="center"/>
              <w:rPr>
                <w:rFonts w:eastAsia="Batang"/>
              </w:rPr>
            </w:pPr>
            <w:r w:rsidRPr="005C388F">
              <w:t>20</w:t>
            </w:r>
          </w:p>
        </w:tc>
        <w:tc>
          <w:tcPr>
            <w:tcW w:w="1620" w:type="dxa"/>
            <w:vAlign w:val="bottom"/>
          </w:tcPr>
          <w:p w14:paraId="182147ED" w14:textId="6459FFEE" w:rsidR="00445E72" w:rsidRPr="005C388F" w:rsidRDefault="00445E72" w:rsidP="00445E72">
            <w:pPr>
              <w:jc w:val="center"/>
              <w:rPr>
                <w:rFonts w:eastAsia="Batang"/>
              </w:rPr>
            </w:pPr>
            <w:r w:rsidRPr="005C388F">
              <w:t>1</w:t>
            </w:r>
          </w:p>
        </w:tc>
        <w:tc>
          <w:tcPr>
            <w:tcW w:w="1350" w:type="dxa"/>
            <w:vAlign w:val="bottom"/>
          </w:tcPr>
          <w:p w14:paraId="4FD10CC3" w14:textId="6B3969A5" w:rsidR="00445E72" w:rsidRPr="005C388F" w:rsidRDefault="00445E72" w:rsidP="00445E72">
            <w:pPr>
              <w:jc w:val="center"/>
              <w:rPr>
                <w:rFonts w:eastAsia="Batang"/>
              </w:rPr>
            </w:pPr>
            <w:r w:rsidRPr="005C388F">
              <w:rPr>
                <w:rFonts w:eastAsia="Batang"/>
              </w:rPr>
              <w:t>11</w:t>
            </w:r>
          </w:p>
        </w:tc>
        <w:tc>
          <w:tcPr>
            <w:tcW w:w="1260" w:type="dxa"/>
            <w:vAlign w:val="bottom"/>
          </w:tcPr>
          <w:p w14:paraId="21E3817D" w14:textId="14238163" w:rsidR="00445E72" w:rsidRPr="005C388F" w:rsidRDefault="00445E72" w:rsidP="00445E72">
            <w:pPr>
              <w:jc w:val="center"/>
              <w:rPr>
                <w:rFonts w:eastAsia="Batang"/>
              </w:rPr>
            </w:pPr>
            <w:r w:rsidRPr="005C388F">
              <w:rPr>
                <w:color w:val="000000" w:themeColor="text1"/>
              </w:rPr>
              <w:t>$31</w:t>
            </w:r>
          </w:p>
        </w:tc>
        <w:tc>
          <w:tcPr>
            <w:tcW w:w="1350" w:type="dxa"/>
            <w:vAlign w:val="bottom"/>
          </w:tcPr>
          <w:p w14:paraId="2FEB5A6C" w14:textId="77722472" w:rsidR="00445E72" w:rsidRPr="005C388F" w:rsidRDefault="00445E72" w:rsidP="00445E72">
            <w:pPr>
              <w:jc w:val="center"/>
              <w:rPr>
                <w:rFonts w:eastAsia="Batang"/>
              </w:rPr>
            </w:pPr>
            <w:r w:rsidRPr="005C388F">
              <w:rPr>
                <w:rFonts w:eastAsia="Batang"/>
              </w:rPr>
              <w:t>$341</w:t>
            </w:r>
          </w:p>
        </w:tc>
      </w:tr>
      <w:tr w:rsidR="00445E72" w:rsidRPr="005C388F" w14:paraId="60571B36" w14:textId="77777777" w:rsidTr="00445E72">
        <w:trPr>
          <w:cantSplit/>
        </w:trPr>
        <w:tc>
          <w:tcPr>
            <w:tcW w:w="1435" w:type="dxa"/>
            <w:vMerge/>
          </w:tcPr>
          <w:p w14:paraId="28B7DEE7" w14:textId="77777777" w:rsidR="00445E72" w:rsidRPr="005C388F" w:rsidRDefault="00445E72" w:rsidP="00445E72">
            <w:pPr>
              <w:rPr>
                <w:rFonts w:eastAsia="Batang"/>
              </w:rPr>
            </w:pPr>
          </w:p>
        </w:tc>
        <w:tc>
          <w:tcPr>
            <w:tcW w:w="1800" w:type="dxa"/>
          </w:tcPr>
          <w:p w14:paraId="30EF040F" w14:textId="218E160E" w:rsidR="00445E72" w:rsidRPr="005C388F" w:rsidRDefault="00445E72" w:rsidP="00445E72">
            <w:pPr>
              <w:rPr>
                <w:rFonts w:eastAsia="Batang"/>
              </w:rPr>
            </w:pPr>
            <w:r w:rsidRPr="005C388F">
              <w:t>Evaluation and Performance Management Plan</w:t>
            </w:r>
          </w:p>
        </w:tc>
        <w:tc>
          <w:tcPr>
            <w:tcW w:w="1620" w:type="dxa"/>
            <w:shd w:val="clear" w:color="auto" w:fill="auto"/>
            <w:vAlign w:val="bottom"/>
          </w:tcPr>
          <w:p w14:paraId="5C7B7981" w14:textId="6BBC4498" w:rsidR="00445E72" w:rsidRPr="005C388F" w:rsidRDefault="00445E72" w:rsidP="00445E72">
            <w:pPr>
              <w:jc w:val="center"/>
              <w:rPr>
                <w:rFonts w:eastAsia="Batang"/>
              </w:rPr>
            </w:pPr>
            <w:r w:rsidRPr="005C388F">
              <w:t>20</w:t>
            </w:r>
          </w:p>
        </w:tc>
        <w:tc>
          <w:tcPr>
            <w:tcW w:w="1620" w:type="dxa"/>
            <w:vAlign w:val="bottom"/>
          </w:tcPr>
          <w:p w14:paraId="07F143B3" w14:textId="30A07414" w:rsidR="00445E72" w:rsidRPr="005C388F" w:rsidRDefault="00445E72" w:rsidP="00445E72">
            <w:pPr>
              <w:jc w:val="center"/>
              <w:rPr>
                <w:rFonts w:eastAsia="Batang"/>
              </w:rPr>
            </w:pPr>
            <w:r w:rsidRPr="005C388F">
              <w:t>1</w:t>
            </w:r>
          </w:p>
        </w:tc>
        <w:tc>
          <w:tcPr>
            <w:tcW w:w="1350" w:type="dxa"/>
            <w:vAlign w:val="bottom"/>
          </w:tcPr>
          <w:p w14:paraId="4DBEEAD7" w14:textId="1496BE67" w:rsidR="00445E72" w:rsidRPr="005C388F" w:rsidRDefault="00445E72" w:rsidP="00445E72">
            <w:pPr>
              <w:jc w:val="center"/>
              <w:rPr>
                <w:rFonts w:eastAsia="Batang"/>
              </w:rPr>
            </w:pPr>
            <w:r w:rsidRPr="005C388F">
              <w:rPr>
                <w:rFonts w:eastAsia="Batang"/>
              </w:rPr>
              <w:t>2</w:t>
            </w:r>
          </w:p>
        </w:tc>
        <w:tc>
          <w:tcPr>
            <w:tcW w:w="1260" w:type="dxa"/>
            <w:vAlign w:val="bottom"/>
          </w:tcPr>
          <w:p w14:paraId="30441884" w14:textId="4FC86C44" w:rsidR="00445E72" w:rsidRPr="005C388F" w:rsidRDefault="00445E72" w:rsidP="00445E72">
            <w:pPr>
              <w:jc w:val="center"/>
              <w:rPr>
                <w:rFonts w:eastAsia="Batang"/>
              </w:rPr>
            </w:pPr>
            <w:r w:rsidRPr="005C388F">
              <w:rPr>
                <w:color w:val="000000" w:themeColor="text1"/>
              </w:rPr>
              <w:t>$31</w:t>
            </w:r>
          </w:p>
        </w:tc>
        <w:tc>
          <w:tcPr>
            <w:tcW w:w="1350" w:type="dxa"/>
            <w:vAlign w:val="bottom"/>
          </w:tcPr>
          <w:p w14:paraId="3F6D54B3" w14:textId="70ED2378" w:rsidR="00445E72" w:rsidRPr="005C388F" w:rsidRDefault="00445E72" w:rsidP="00445E72">
            <w:pPr>
              <w:jc w:val="center"/>
              <w:rPr>
                <w:rFonts w:eastAsia="Batang"/>
              </w:rPr>
            </w:pPr>
            <w:r w:rsidRPr="005C388F">
              <w:rPr>
                <w:rFonts w:eastAsia="Batang"/>
              </w:rPr>
              <w:t>$62</w:t>
            </w:r>
          </w:p>
        </w:tc>
      </w:tr>
      <w:tr w:rsidR="00445E72" w:rsidRPr="005C388F" w14:paraId="4C560BA0" w14:textId="77777777" w:rsidTr="00445E72">
        <w:trPr>
          <w:cantSplit/>
        </w:trPr>
        <w:tc>
          <w:tcPr>
            <w:tcW w:w="1435" w:type="dxa"/>
            <w:vMerge/>
          </w:tcPr>
          <w:p w14:paraId="746A6477" w14:textId="77777777" w:rsidR="00445E72" w:rsidRPr="005C388F" w:rsidRDefault="00445E72" w:rsidP="00445E72">
            <w:pPr>
              <w:rPr>
                <w:rFonts w:eastAsia="Batang"/>
              </w:rPr>
            </w:pPr>
          </w:p>
        </w:tc>
        <w:tc>
          <w:tcPr>
            <w:tcW w:w="1800" w:type="dxa"/>
          </w:tcPr>
          <w:p w14:paraId="309D2BAF" w14:textId="6AF35B82" w:rsidR="00445E72" w:rsidRPr="005C388F" w:rsidRDefault="00445E72" w:rsidP="00445E72">
            <w:pPr>
              <w:rPr>
                <w:rFonts w:eastAsia="Batang"/>
              </w:rPr>
            </w:pPr>
            <w:r w:rsidRPr="005C388F">
              <w:t>Injury Indicator Spreadsheet</w:t>
            </w:r>
          </w:p>
        </w:tc>
        <w:tc>
          <w:tcPr>
            <w:tcW w:w="1620" w:type="dxa"/>
            <w:shd w:val="clear" w:color="auto" w:fill="auto"/>
            <w:vAlign w:val="bottom"/>
          </w:tcPr>
          <w:p w14:paraId="18A19532" w14:textId="1691FCA8" w:rsidR="00445E72" w:rsidRPr="005C388F" w:rsidRDefault="00445E72" w:rsidP="00445E72">
            <w:pPr>
              <w:jc w:val="center"/>
              <w:rPr>
                <w:rFonts w:eastAsia="Batang"/>
              </w:rPr>
            </w:pPr>
            <w:r w:rsidRPr="005C388F">
              <w:t>20</w:t>
            </w:r>
          </w:p>
        </w:tc>
        <w:tc>
          <w:tcPr>
            <w:tcW w:w="1620" w:type="dxa"/>
            <w:vAlign w:val="bottom"/>
          </w:tcPr>
          <w:p w14:paraId="09E5509F" w14:textId="79968741" w:rsidR="00445E72" w:rsidRPr="005C388F" w:rsidRDefault="00445E72" w:rsidP="00445E72">
            <w:pPr>
              <w:jc w:val="center"/>
              <w:rPr>
                <w:rFonts w:eastAsia="Batang"/>
              </w:rPr>
            </w:pPr>
            <w:r w:rsidRPr="005C388F">
              <w:t>1</w:t>
            </w:r>
          </w:p>
        </w:tc>
        <w:tc>
          <w:tcPr>
            <w:tcW w:w="1350" w:type="dxa"/>
            <w:vAlign w:val="bottom"/>
          </w:tcPr>
          <w:p w14:paraId="3D5292BE" w14:textId="761338C7" w:rsidR="00445E72" w:rsidRPr="005C388F" w:rsidRDefault="00445E72" w:rsidP="00445E72">
            <w:pPr>
              <w:jc w:val="center"/>
              <w:rPr>
                <w:rFonts w:eastAsia="Batang"/>
              </w:rPr>
            </w:pPr>
            <w:r w:rsidRPr="005C388F">
              <w:rPr>
                <w:rFonts w:eastAsia="Batang"/>
              </w:rPr>
              <w:t>14</w:t>
            </w:r>
          </w:p>
        </w:tc>
        <w:tc>
          <w:tcPr>
            <w:tcW w:w="1260" w:type="dxa"/>
            <w:vAlign w:val="bottom"/>
          </w:tcPr>
          <w:p w14:paraId="23D45898" w14:textId="0DC777AA" w:rsidR="00445E72" w:rsidRPr="005C388F" w:rsidRDefault="00445E72" w:rsidP="00445E72">
            <w:pPr>
              <w:jc w:val="center"/>
              <w:rPr>
                <w:rFonts w:eastAsia="Batang"/>
              </w:rPr>
            </w:pPr>
            <w:r w:rsidRPr="005C388F">
              <w:rPr>
                <w:color w:val="000000" w:themeColor="text1"/>
              </w:rPr>
              <w:t>$31</w:t>
            </w:r>
          </w:p>
        </w:tc>
        <w:tc>
          <w:tcPr>
            <w:tcW w:w="1350" w:type="dxa"/>
            <w:vAlign w:val="bottom"/>
          </w:tcPr>
          <w:p w14:paraId="24578355" w14:textId="5476AEC0" w:rsidR="00445E72" w:rsidRPr="005C388F" w:rsidRDefault="00445E72" w:rsidP="00445E72">
            <w:pPr>
              <w:jc w:val="center"/>
              <w:rPr>
                <w:rFonts w:eastAsia="Batang"/>
              </w:rPr>
            </w:pPr>
            <w:r w:rsidRPr="005C388F">
              <w:rPr>
                <w:rFonts w:eastAsia="Batang"/>
              </w:rPr>
              <w:t>$434</w:t>
            </w:r>
          </w:p>
        </w:tc>
      </w:tr>
      <w:tr w:rsidR="00445E72" w:rsidRPr="005C388F" w14:paraId="74EC73E2" w14:textId="77777777" w:rsidTr="00445E72">
        <w:trPr>
          <w:cantSplit/>
        </w:trPr>
        <w:tc>
          <w:tcPr>
            <w:tcW w:w="1435" w:type="dxa"/>
            <w:vMerge w:val="restart"/>
          </w:tcPr>
          <w:p w14:paraId="51422846" w14:textId="52425AC8" w:rsidR="00445E72" w:rsidRPr="005C388F" w:rsidRDefault="00A0517F" w:rsidP="00445E72">
            <w:pPr>
              <w:rPr>
                <w:rFonts w:eastAsia="Batang"/>
              </w:rPr>
            </w:pPr>
            <w:r w:rsidRPr="005C388F">
              <w:t>Core SVIPP</w:t>
            </w:r>
            <w:r w:rsidR="00445E72" w:rsidRPr="005C388F">
              <w:t xml:space="preserve"> Program 1-Enhanced Component Awardees</w:t>
            </w:r>
          </w:p>
        </w:tc>
        <w:tc>
          <w:tcPr>
            <w:tcW w:w="1800" w:type="dxa"/>
          </w:tcPr>
          <w:p w14:paraId="720FE602" w14:textId="09C63F19" w:rsidR="00445E72" w:rsidRPr="005C388F" w:rsidRDefault="00445E72" w:rsidP="00445E72">
            <w:r w:rsidRPr="005C388F">
              <w:t>Initial Population- Annual Progress Report</w:t>
            </w:r>
          </w:p>
        </w:tc>
        <w:tc>
          <w:tcPr>
            <w:tcW w:w="1620" w:type="dxa"/>
            <w:shd w:val="clear" w:color="auto" w:fill="auto"/>
            <w:vAlign w:val="bottom"/>
          </w:tcPr>
          <w:p w14:paraId="66F7E019" w14:textId="66E9D7BE" w:rsidR="00445E72" w:rsidRPr="005C388F" w:rsidRDefault="00445E72" w:rsidP="00445E72">
            <w:pPr>
              <w:jc w:val="center"/>
            </w:pPr>
            <w:r w:rsidRPr="005C388F">
              <w:t>5</w:t>
            </w:r>
          </w:p>
        </w:tc>
        <w:tc>
          <w:tcPr>
            <w:tcW w:w="1620" w:type="dxa"/>
            <w:vAlign w:val="bottom"/>
          </w:tcPr>
          <w:p w14:paraId="4E5D0535" w14:textId="6A2F7BBA" w:rsidR="00445E72" w:rsidRPr="005C388F" w:rsidRDefault="00445E72" w:rsidP="00445E72">
            <w:pPr>
              <w:jc w:val="center"/>
            </w:pPr>
            <w:r w:rsidRPr="005C388F">
              <w:t>1</w:t>
            </w:r>
          </w:p>
        </w:tc>
        <w:tc>
          <w:tcPr>
            <w:tcW w:w="1350" w:type="dxa"/>
            <w:vAlign w:val="bottom"/>
          </w:tcPr>
          <w:p w14:paraId="619DB232" w14:textId="5A760F72" w:rsidR="00445E72" w:rsidRPr="005C388F" w:rsidRDefault="00445E72" w:rsidP="00445E72">
            <w:pPr>
              <w:jc w:val="center"/>
              <w:rPr>
                <w:rFonts w:eastAsia="Batang"/>
              </w:rPr>
            </w:pPr>
            <w:r w:rsidRPr="005C388F">
              <w:rPr>
                <w:rFonts w:eastAsia="Batang"/>
              </w:rPr>
              <w:t>73</w:t>
            </w:r>
          </w:p>
        </w:tc>
        <w:tc>
          <w:tcPr>
            <w:tcW w:w="1260" w:type="dxa"/>
            <w:vAlign w:val="bottom"/>
          </w:tcPr>
          <w:p w14:paraId="79CA103C" w14:textId="7F75BED6"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57DDD976" w14:textId="681AD4D6" w:rsidR="00445E72" w:rsidRPr="005C388F" w:rsidRDefault="00445E72" w:rsidP="00445E72">
            <w:pPr>
              <w:jc w:val="center"/>
              <w:rPr>
                <w:rFonts w:eastAsia="Batang"/>
              </w:rPr>
            </w:pPr>
            <w:r w:rsidRPr="005C388F">
              <w:rPr>
                <w:rFonts w:eastAsia="Batang"/>
              </w:rPr>
              <w:t>$2263</w:t>
            </w:r>
          </w:p>
        </w:tc>
      </w:tr>
      <w:tr w:rsidR="00445E72" w:rsidRPr="005C388F" w14:paraId="55D24E1D" w14:textId="77777777" w:rsidTr="00445E72">
        <w:trPr>
          <w:cantSplit/>
        </w:trPr>
        <w:tc>
          <w:tcPr>
            <w:tcW w:w="1435" w:type="dxa"/>
            <w:vMerge/>
          </w:tcPr>
          <w:p w14:paraId="03282D2C" w14:textId="77777777" w:rsidR="00445E72" w:rsidRPr="005C388F" w:rsidRDefault="00445E72" w:rsidP="00445E72">
            <w:pPr>
              <w:rPr>
                <w:rFonts w:eastAsia="Batang"/>
              </w:rPr>
            </w:pPr>
          </w:p>
        </w:tc>
        <w:tc>
          <w:tcPr>
            <w:tcW w:w="1800" w:type="dxa"/>
          </w:tcPr>
          <w:p w14:paraId="3759AC41" w14:textId="6C90D0D7" w:rsidR="00445E72" w:rsidRPr="005C388F" w:rsidRDefault="00445E72" w:rsidP="00445E72">
            <w:r w:rsidRPr="005C388F">
              <w:t>Annual Progress Report</w:t>
            </w:r>
          </w:p>
        </w:tc>
        <w:tc>
          <w:tcPr>
            <w:tcW w:w="1620" w:type="dxa"/>
            <w:shd w:val="clear" w:color="auto" w:fill="auto"/>
            <w:vAlign w:val="bottom"/>
          </w:tcPr>
          <w:p w14:paraId="06320718" w14:textId="2D91820E" w:rsidR="00445E72" w:rsidRPr="005C388F" w:rsidRDefault="00445E72" w:rsidP="00445E72">
            <w:pPr>
              <w:jc w:val="center"/>
            </w:pPr>
            <w:r w:rsidRPr="005C388F">
              <w:t>5</w:t>
            </w:r>
          </w:p>
        </w:tc>
        <w:tc>
          <w:tcPr>
            <w:tcW w:w="1620" w:type="dxa"/>
            <w:vAlign w:val="bottom"/>
          </w:tcPr>
          <w:p w14:paraId="4846E727" w14:textId="47748FD1" w:rsidR="00445E72" w:rsidRPr="005C388F" w:rsidRDefault="00445E72" w:rsidP="00445E72">
            <w:pPr>
              <w:jc w:val="center"/>
            </w:pPr>
            <w:r w:rsidRPr="005C388F">
              <w:t>1</w:t>
            </w:r>
          </w:p>
        </w:tc>
        <w:tc>
          <w:tcPr>
            <w:tcW w:w="1350" w:type="dxa"/>
            <w:vAlign w:val="bottom"/>
          </w:tcPr>
          <w:p w14:paraId="631EAF4A" w14:textId="7E3B6AA4" w:rsidR="00445E72" w:rsidRPr="005C388F" w:rsidRDefault="00445E72" w:rsidP="00445E72">
            <w:pPr>
              <w:jc w:val="center"/>
              <w:rPr>
                <w:rFonts w:eastAsia="Batang"/>
              </w:rPr>
            </w:pPr>
            <w:r w:rsidRPr="005C388F">
              <w:rPr>
                <w:rFonts w:eastAsia="Batang"/>
              </w:rPr>
              <w:t>58</w:t>
            </w:r>
          </w:p>
        </w:tc>
        <w:tc>
          <w:tcPr>
            <w:tcW w:w="1260" w:type="dxa"/>
            <w:vAlign w:val="bottom"/>
          </w:tcPr>
          <w:p w14:paraId="2B3787D8" w14:textId="6E724936"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0C633AC5" w14:textId="686414D2" w:rsidR="00445E72" w:rsidRPr="005C388F" w:rsidRDefault="00445E72" w:rsidP="00445E72">
            <w:pPr>
              <w:jc w:val="center"/>
              <w:rPr>
                <w:rFonts w:eastAsia="Batang"/>
              </w:rPr>
            </w:pPr>
            <w:r w:rsidRPr="005C388F">
              <w:rPr>
                <w:rFonts w:eastAsia="Batang"/>
              </w:rPr>
              <w:t>$1798</w:t>
            </w:r>
          </w:p>
        </w:tc>
      </w:tr>
      <w:tr w:rsidR="00445E72" w:rsidRPr="005C388F" w14:paraId="5FAA2935" w14:textId="77777777" w:rsidTr="00445E72">
        <w:trPr>
          <w:cantSplit/>
        </w:trPr>
        <w:tc>
          <w:tcPr>
            <w:tcW w:w="1435" w:type="dxa"/>
            <w:vMerge/>
          </w:tcPr>
          <w:p w14:paraId="000B915F" w14:textId="77777777" w:rsidR="00445E72" w:rsidRPr="005C388F" w:rsidRDefault="00445E72" w:rsidP="00445E72">
            <w:pPr>
              <w:rPr>
                <w:rFonts w:eastAsia="Batang"/>
              </w:rPr>
            </w:pPr>
          </w:p>
        </w:tc>
        <w:tc>
          <w:tcPr>
            <w:tcW w:w="1800" w:type="dxa"/>
          </w:tcPr>
          <w:p w14:paraId="56D48D07" w14:textId="0AA8C3D1" w:rsidR="00445E72" w:rsidRPr="005C388F" w:rsidRDefault="00445E72" w:rsidP="00445E72">
            <w:r w:rsidRPr="005C388F">
              <w:t>Evaluation and Performance Management Plan</w:t>
            </w:r>
          </w:p>
        </w:tc>
        <w:tc>
          <w:tcPr>
            <w:tcW w:w="1620" w:type="dxa"/>
            <w:shd w:val="clear" w:color="auto" w:fill="auto"/>
            <w:vAlign w:val="bottom"/>
          </w:tcPr>
          <w:p w14:paraId="33332322" w14:textId="42371ACB" w:rsidR="00445E72" w:rsidRPr="005C388F" w:rsidRDefault="00445E72" w:rsidP="00445E72">
            <w:pPr>
              <w:jc w:val="center"/>
            </w:pPr>
            <w:r w:rsidRPr="005C388F">
              <w:t>5</w:t>
            </w:r>
          </w:p>
        </w:tc>
        <w:tc>
          <w:tcPr>
            <w:tcW w:w="1620" w:type="dxa"/>
            <w:vAlign w:val="bottom"/>
          </w:tcPr>
          <w:p w14:paraId="4BD78B72" w14:textId="0946B910" w:rsidR="00445E72" w:rsidRPr="005C388F" w:rsidRDefault="00445E72" w:rsidP="00445E72">
            <w:pPr>
              <w:jc w:val="center"/>
            </w:pPr>
            <w:r w:rsidRPr="005C388F">
              <w:t>1</w:t>
            </w:r>
          </w:p>
        </w:tc>
        <w:tc>
          <w:tcPr>
            <w:tcW w:w="1350" w:type="dxa"/>
            <w:vAlign w:val="bottom"/>
          </w:tcPr>
          <w:p w14:paraId="270D61D1" w14:textId="48771ACD" w:rsidR="00445E72" w:rsidRPr="005C388F" w:rsidRDefault="00445E72" w:rsidP="00445E72">
            <w:pPr>
              <w:jc w:val="center"/>
              <w:rPr>
                <w:rFonts w:eastAsia="Batang"/>
              </w:rPr>
            </w:pPr>
            <w:r w:rsidRPr="005C388F">
              <w:rPr>
                <w:rFonts w:eastAsia="Batang"/>
              </w:rPr>
              <w:t>3</w:t>
            </w:r>
          </w:p>
        </w:tc>
        <w:tc>
          <w:tcPr>
            <w:tcW w:w="1260" w:type="dxa"/>
            <w:vAlign w:val="bottom"/>
          </w:tcPr>
          <w:p w14:paraId="476E5AC1" w14:textId="21199F09"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6F9C710E" w14:textId="627F9886" w:rsidR="00445E72" w:rsidRPr="005C388F" w:rsidRDefault="00445E72" w:rsidP="00445E72">
            <w:pPr>
              <w:jc w:val="center"/>
              <w:rPr>
                <w:rFonts w:eastAsia="Batang"/>
              </w:rPr>
            </w:pPr>
            <w:r w:rsidRPr="005C388F">
              <w:rPr>
                <w:rFonts w:eastAsia="Batang"/>
              </w:rPr>
              <w:t>$93</w:t>
            </w:r>
          </w:p>
        </w:tc>
      </w:tr>
      <w:tr w:rsidR="00445E72" w:rsidRPr="005C388F" w14:paraId="3A5BA500" w14:textId="77777777" w:rsidTr="00445E72">
        <w:trPr>
          <w:cantSplit/>
        </w:trPr>
        <w:tc>
          <w:tcPr>
            <w:tcW w:w="1435" w:type="dxa"/>
            <w:vMerge/>
          </w:tcPr>
          <w:p w14:paraId="1DFBD1AA" w14:textId="77777777" w:rsidR="00445E72" w:rsidRPr="005C388F" w:rsidRDefault="00445E72" w:rsidP="00445E72">
            <w:pPr>
              <w:rPr>
                <w:rFonts w:eastAsia="Batang"/>
              </w:rPr>
            </w:pPr>
          </w:p>
        </w:tc>
        <w:tc>
          <w:tcPr>
            <w:tcW w:w="1800" w:type="dxa"/>
          </w:tcPr>
          <w:p w14:paraId="60A72073" w14:textId="363A9DF7" w:rsidR="00445E72" w:rsidRPr="005C388F" w:rsidRDefault="00445E72" w:rsidP="00445E72">
            <w:r w:rsidRPr="005C388F">
              <w:t>Injury Indicator Spreadsheet</w:t>
            </w:r>
          </w:p>
        </w:tc>
        <w:tc>
          <w:tcPr>
            <w:tcW w:w="1620" w:type="dxa"/>
            <w:shd w:val="clear" w:color="auto" w:fill="auto"/>
            <w:vAlign w:val="bottom"/>
          </w:tcPr>
          <w:p w14:paraId="0694D6BD" w14:textId="570BB111" w:rsidR="00445E72" w:rsidRPr="005C388F" w:rsidRDefault="00445E72" w:rsidP="002B4F11">
            <w:r w:rsidRPr="005C388F">
              <w:t>5</w:t>
            </w:r>
          </w:p>
        </w:tc>
        <w:tc>
          <w:tcPr>
            <w:tcW w:w="1620" w:type="dxa"/>
            <w:vAlign w:val="bottom"/>
          </w:tcPr>
          <w:p w14:paraId="16FEC6E9" w14:textId="5F8945E2" w:rsidR="00445E72" w:rsidRPr="005C388F" w:rsidRDefault="00445E72" w:rsidP="00445E72">
            <w:pPr>
              <w:jc w:val="center"/>
            </w:pPr>
            <w:r w:rsidRPr="005C388F">
              <w:t>1</w:t>
            </w:r>
          </w:p>
        </w:tc>
        <w:tc>
          <w:tcPr>
            <w:tcW w:w="1350" w:type="dxa"/>
            <w:vAlign w:val="bottom"/>
          </w:tcPr>
          <w:p w14:paraId="47219F9A" w14:textId="1C4C02D1" w:rsidR="00445E72" w:rsidRPr="005C388F" w:rsidRDefault="00445E72" w:rsidP="00445E72">
            <w:pPr>
              <w:jc w:val="center"/>
              <w:rPr>
                <w:rFonts w:eastAsia="Batang"/>
              </w:rPr>
            </w:pPr>
            <w:r w:rsidRPr="005C388F">
              <w:rPr>
                <w:rFonts w:eastAsia="Batang"/>
              </w:rPr>
              <w:t>14</w:t>
            </w:r>
          </w:p>
        </w:tc>
        <w:tc>
          <w:tcPr>
            <w:tcW w:w="1260" w:type="dxa"/>
            <w:vAlign w:val="bottom"/>
          </w:tcPr>
          <w:p w14:paraId="6FF4B14E" w14:textId="11F0917F"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1942FFCA" w14:textId="664B09EA" w:rsidR="00445E72" w:rsidRPr="005C388F" w:rsidRDefault="00516AB9" w:rsidP="00445E72">
            <w:pPr>
              <w:jc w:val="center"/>
              <w:rPr>
                <w:rFonts w:eastAsia="Batang"/>
              </w:rPr>
            </w:pPr>
            <w:r w:rsidRPr="005C388F">
              <w:rPr>
                <w:rFonts w:eastAsia="Batang"/>
              </w:rPr>
              <w:t>$</w:t>
            </w:r>
            <w:r w:rsidR="00445E72" w:rsidRPr="005C388F">
              <w:rPr>
                <w:rFonts w:eastAsia="Batang"/>
              </w:rPr>
              <w:t>434</w:t>
            </w:r>
          </w:p>
        </w:tc>
      </w:tr>
      <w:tr w:rsidR="00445E72" w:rsidRPr="005C388F" w14:paraId="49C78CE5" w14:textId="77777777" w:rsidTr="00445E72">
        <w:trPr>
          <w:cantSplit/>
        </w:trPr>
        <w:tc>
          <w:tcPr>
            <w:tcW w:w="1435" w:type="dxa"/>
            <w:vMerge w:val="restart"/>
          </w:tcPr>
          <w:p w14:paraId="5B97EE66" w14:textId="3B952201" w:rsidR="00445E72" w:rsidRPr="005C388F" w:rsidRDefault="00A0517F" w:rsidP="00445E72">
            <w:pPr>
              <w:rPr>
                <w:rFonts w:eastAsia="Batang"/>
              </w:rPr>
            </w:pPr>
            <w:r w:rsidRPr="005C388F">
              <w:t>Core SVIPP</w:t>
            </w:r>
            <w:r w:rsidR="00445E72" w:rsidRPr="005C388F">
              <w:t xml:space="preserve"> Program 2-Enhanced Components Awardees</w:t>
            </w:r>
          </w:p>
        </w:tc>
        <w:tc>
          <w:tcPr>
            <w:tcW w:w="1800" w:type="dxa"/>
          </w:tcPr>
          <w:p w14:paraId="6EA1B151" w14:textId="340D02FB" w:rsidR="00445E72" w:rsidRPr="005C388F" w:rsidRDefault="00445E72" w:rsidP="00445E72">
            <w:r w:rsidRPr="005C388F">
              <w:t>Initial Population- Annual Progress Report</w:t>
            </w:r>
          </w:p>
        </w:tc>
        <w:tc>
          <w:tcPr>
            <w:tcW w:w="1620" w:type="dxa"/>
            <w:shd w:val="clear" w:color="auto" w:fill="auto"/>
            <w:vAlign w:val="bottom"/>
          </w:tcPr>
          <w:p w14:paraId="4C1C70B4" w14:textId="7694B26A" w:rsidR="00445E72" w:rsidRPr="005C388F" w:rsidRDefault="00445E72" w:rsidP="00445E72">
            <w:pPr>
              <w:jc w:val="center"/>
            </w:pPr>
            <w:r w:rsidRPr="005C388F">
              <w:t>5</w:t>
            </w:r>
          </w:p>
        </w:tc>
        <w:tc>
          <w:tcPr>
            <w:tcW w:w="1620" w:type="dxa"/>
            <w:vAlign w:val="bottom"/>
          </w:tcPr>
          <w:p w14:paraId="7A1C8207" w14:textId="6DDAC616" w:rsidR="00445E72" w:rsidRPr="005C388F" w:rsidRDefault="00445E72" w:rsidP="00445E72">
            <w:pPr>
              <w:jc w:val="center"/>
            </w:pPr>
            <w:r w:rsidRPr="005C388F">
              <w:t>1</w:t>
            </w:r>
          </w:p>
        </w:tc>
        <w:tc>
          <w:tcPr>
            <w:tcW w:w="1350" w:type="dxa"/>
            <w:vAlign w:val="bottom"/>
          </w:tcPr>
          <w:p w14:paraId="32B5422D" w14:textId="747BB4D6" w:rsidR="00445E72" w:rsidRPr="00640EB3" w:rsidRDefault="00A0517F" w:rsidP="00445E72">
            <w:pPr>
              <w:jc w:val="center"/>
              <w:rPr>
                <w:rFonts w:eastAsia="Batang"/>
              </w:rPr>
            </w:pPr>
            <w:r w:rsidRPr="005C388F">
              <w:t>146</w:t>
            </w:r>
          </w:p>
        </w:tc>
        <w:tc>
          <w:tcPr>
            <w:tcW w:w="1260" w:type="dxa"/>
            <w:vAlign w:val="bottom"/>
          </w:tcPr>
          <w:p w14:paraId="6EB88718" w14:textId="0B4AE17D" w:rsidR="00445E72" w:rsidRPr="00640EB3" w:rsidRDefault="00445E72" w:rsidP="00445E72">
            <w:pPr>
              <w:jc w:val="center"/>
              <w:rPr>
                <w:color w:val="000000" w:themeColor="text1"/>
              </w:rPr>
            </w:pPr>
            <w:r w:rsidRPr="00640EB3">
              <w:rPr>
                <w:color w:val="000000" w:themeColor="text1"/>
              </w:rPr>
              <w:t>$31</w:t>
            </w:r>
          </w:p>
        </w:tc>
        <w:tc>
          <w:tcPr>
            <w:tcW w:w="1350" w:type="dxa"/>
            <w:vAlign w:val="bottom"/>
          </w:tcPr>
          <w:p w14:paraId="3823A040" w14:textId="68C292C4" w:rsidR="00445E72" w:rsidRPr="005C388F" w:rsidRDefault="00445E72" w:rsidP="00A0517F">
            <w:pPr>
              <w:jc w:val="center"/>
              <w:rPr>
                <w:rFonts w:eastAsia="Batang"/>
              </w:rPr>
            </w:pPr>
            <w:r w:rsidRPr="005C388F">
              <w:rPr>
                <w:rFonts w:eastAsia="Batang"/>
              </w:rPr>
              <w:t>$4</w:t>
            </w:r>
            <w:r w:rsidR="00A0517F" w:rsidRPr="005C388F">
              <w:rPr>
                <w:rFonts w:eastAsia="Batang"/>
              </w:rPr>
              <w:t>526</w:t>
            </w:r>
          </w:p>
        </w:tc>
      </w:tr>
      <w:tr w:rsidR="00445E72" w:rsidRPr="005C388F" w14:paraId="1CA52737" w14:textId="77777777" w:rsidTr="00445E72">
        <w:trPr>
          <w:cantSplit/>
        </w:trPr>
        <w:tc>
          <w:tcPr>
            <w:tcW w:w="1435" w:type="dxa"/>
            <w:vMerge/>
          </w:tcPr>
          <w:p w14:paraId="0774F846" w14:textId="77777777" w:rsidR="00445E72" w:rsidRPr="005C388F" w:rsidRDefault="00445E72" w:rsidP="00445E72">
            <w:pPr>
              <w:rPr>
                <w:rFonts w:eastAsia="Batang"/>
              </w:rPr>
            </w:pPr>
          </w:p>
        </w:tc>
        <w:tc>
          <w:tcPr>
            <w:tcW w:w="1800" w:type="dxa"/>
          </w:tcPr>
          <w:p w14:paraId="2D65490F" w14:textId="7CEE2AC2" w:rsidR="00445E72" w:rsidRPr="005C388F" w:rsidRDefault="00445E72" w:rsidP="00445E72">
            <w:r w:rsidRPr="005C388F">
              <w:t>Annual Progress Report</w:t>
            </w:r>
          </w:p>
        </w:tc>
        <w:tc>
          <w:tcPr>
            <w:tcW w:w="1620" w:type="dxa"/>
            <w:shd w:val="clear" w:color="auto" w:fill="auto"/>
            <w:vAlign w:val="bottom"/>
          </w:tcPr>
          <w:p w14:paraId="21B07DB2" w14:textId="418D7329" w:rsidR="00445E72" w:rsidRPr="005C388F" w:rsidRDefault="00445E72" w:rsidP="00445E72">
            <w:pPr>
              <w:jc w:val="center"/>
            </w:pPr>
            <w:r w:rsidRPr="005C388F">
              <w:t>5</w:t>
            </w:r>
          </w:p>
        </w:tc>
        <w:tc>
          <w:tcPr>
            <w:tcW w:w="1620" w:type="dxa"/>
            <w:vAlign w:val="bottom"/>
          </w:tcPr>
          <w:p w14:paraId="0AD2E6D1" w14:textId="767ED299" w:rsidR="00445E72" w:rsidRPr="005C388F" w:rsidRDefault="00445E72" w:rsidP="00445E72">
            <w:pPr>
              <w:jc w:val="center"/>
            </w:pPr>
            <w:r w:rsidRPr="005C388F">
              <w:t>1</w:t>
            </w:r>
          </w:p>
        </w:tc>
        <w:tc>
          <w:tcPr>
            <w:tcW w:w="1350" w:type="dxa"/>
            <w:vAlign w:val="bottom"/>
          </w:tcPr>
          <w:p w14:paraId="57ED8889" w14:textId="439154B0" w:rsidR="00445E72" w:rsidRPr="00640EB3" w:rsidRDefault="00A0517F" w:rsidP="00445E72">
            <w:pPr>
              <w:jc w:val="center"/>
              <w:rPr>
                <w:rFonts w:eastAsia="Batang"/>
              </w:rPr>
            </w:pPr>
            <w:r w:rsidRPr="005C388F">
              <w:t>116</w:t>
            </w:r>
          </w:p>
        </w:tc>
        <w:tc>
          <w:tcPr>
            <w:tcW w:w="1260" w:type="dxa"/>
            <w:vAlign w:val="bottom"/>
          </w:tcPr>
          <w:p w14:paraId="4E9BDAD7" w14:textId="22B90D74" w:rsidR="00445E72" w:rsidRPr="00640EB3" w:rsidRDefault="00445E72" w:rsidP="00445E72">
            <w:pPr>
              <w:jc w:val="center"/>
              <w:rPr>
                <w:color w:val="000000" w:themeColor="text1"/>
              </w:rPr>
            </w:pPr>
            <w:r w:rsidRPr="00640EB3">
              <w:rPr>
                <w:color w:val="000000" w:themeColor="text1"/>
              </w:rPr>
              <w:t>$31</w:t>
            </w:r>
          </w:p>
        </w:tc>
        <w:tc>
          <w:tcPr>
            <w:tcW w:w="1350" w:type="dxa"/>
            <w:vAlign w:val="bottom"/>
          </w:tcPr>
          <w:p w14:paraId="4C275999" w14:textId="6DB60AC2" w:rsidR="00445E72" w:rsidRPr="005C388F" w:rsidRDefault="00445E72" w:rsidP="00A0517F">
            <w:pPr>
              <w:jc w:val="center"/>
              <w:rPr>
                <w:rFonts w:eastAsia="Batang"/>
              </w:rPr>
            </w:pPr>
            <w:r w:rsidRPr="005C388F">
              <w:rPr>
                <w:rFonts w:eastAsia="Batang"/>
              </w:rPr>
              <w:t>$</w:t>
            </w:r>
            <w:r w:rsidR="00A0517F" w:rsidRPr="005C388F">
              <w:rPr>
                <w:rFonts w:eastAsia="Batang"/>
              </w:rPr>
              <w:t>3596</w:t>
            </w:r>
          </w:p>
        </w:tc>
      </w:tr>
      <w:tr w:rsidR="00445E72" w:rsidRPr="005C388F" w14:paraId="6BAA073B" w14:textId="77777777" w:rsidTr="00445E72">
        <w:trPr>
          <w:cantSplit/>
        </w:trPr>
        <w:tc>
          <w:tcPr>
            <w:tcW w:w="1435" w:type="dxa"/>
            <w:vMerge/>
          </w:tcPr>
          <w:p w14:paraId="06DE1A49" w14:textId="77777777" w:rsidR="00445E72" w:rsidRPr="005C388F" w:rsidRDefault="00445E72" w:rsidP="00445E72">
            <w:pPr>
              <w:rPr>
                <w:rFonts w:eastAsia="Batang"/>
              </w:rPr>
            </w:pPr>
          </w:p>
        </w:tc>
        <w:tc>
          <w:tcPr>
            <w:tcW w:w="1800" w:type="dxa"/>
          </w:tcPr>
          <w:p w14:paraId="11A329EE" w14:textId="7A622E91" w:rsidR="00445E72" w:rsidRPr="005C388F" w:rsidRDefault="00445E72" w:rsidP="00445E72">
            <w:r w:rsidRPr="005C388F">
              <w:t>Evaluation and Performance Management Plan</w:t>
            </w:r>
          </w:p>
        </w:tc>
        <w:tc>
          <w:tcPr>
            <w:tcW w:w="1620" w:type="dxa"/>
            <w:shd w:val="clear" w:color="auto" w:fill="auto"/>
            <w:vAlign w:val="bottom"/>
          </w:tcPr>
          <w:p w14:paraId="3B8C46E9" w14:textId="6A87C009" w:rsidR="00445E72" w:rsidRPr="005C388F" w:rsidRDefault="00445E72" w:rsidP="00445E72">
            <w:pPr>
              <w:jc w:val="center"/>
            </w:pPr>
            <w:r w:rsidRPr="005C388F">
              <w:t>5</w:t>
            </w:r>
          </w:p>
        </w:tc>
        <w:tc>
          <w:tcPr>
            <w:tcW w:w="1620" w:type="dxa"/>
            <w:vAlign w:val="bottom"/>
          </w:tcPr>
          <w:p w14:paraId="0F891C02" w14:textId="0043DE38" w:rsidR="00445E72" w:rsidRPr="005C388F" w:rsidRDefault="00445E72" w:rsidP="00445E72">
            <w:pPr>
              <w:jc w:val="center"/>
            </w:pPr>
            <w:r w:rsidRPr="005C388F">
              <w:t>1</w:t>
            </w:r>
          </w:p>
        </w:tc>
        <w:tc>
          <w:tcPr>
            <w:tcW w:w="1350" w:type="dxa"/>
            <w:vAlign w:val="bottom"/>
          </w:tcPr>
          <w:p w14:paraId="1A043785" w14:textId="0BF08858" w:rsidR="00445E72" w:rsidRPr="005C388F" w:rsidRDefault="00445E72" w:rsidP="00445E72">
            <w:pPr>
              <w:jc w:val="center"/>
              <w:rPr>
                <w:rFonts w:eastAsia="Batang"/>
              </w:rPr>
            </w:pPr>
            <w:r w:rsidRPr="005C388F">
              <w:t>4</w:t>
            </w:r>
          </w:p>
        </w:tc>
        <w:tc>
          <w:tcPr>
            <w:tcW w:w="1260" w:type="dxa"/>
            <w:vAlign w:val="bottom"/>
          </w:tcPr>
          <w:p w14:paraId="2ED2A509" w14:textId="022288EB"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62121B31" w14:textId="22B1F8BC" w:rsidR="00445E72" w:rsidRPr="005C388F" w:rsidRDefault="00445E72" w:rsidP="00445E72">
            <w:pPr>
              <w:jc w:val="center"/>
              <w:rPr>
                <w:rFonts w:eastAsia="Batang"/>
              </w:rPr>
            </w:pPr>
            <w:r w:rsidRPr="005C388F">
              <w:rPr>
                <w:rFonts w:eastAsia="Batang"/>
              </w:rPr>
              <w:t>$124</w:t>
            </w:r>
          </w:p>
        </w:tc>
      </w:tr>
      <w:tr w:rsidR="00445E72" w:rsidRPr="005C388F" w14:paraId="4EA3245C" w14:textId="77777777" w:rsidTr="00445E72">
        <w:trPr>
          <w:cantSplit/>
        </w:trPr>
        <w:tc>
          <w:tcPr>
            <w:tcW w:w="1435" w:type="dxa"/>
            <w:vMerge/>
          </w:tcPr>
          <w:p w14:paraId="74E459DE" w14:textId="77777777" w:rsidR="00445E72" w:rsidRPr="005C388F" w:rsidRDefault="00445E72" w:rsidP="00445E72">
            <w:pPr>
              <w:rPr>
                <w:rFonts w:eastAsia="Batang"/>
              </w:rPr>
            </w:pPr>
          </w:p>
        </w:tc>
        <w:tc>
          <w:tcPr>
            <w:tcW w:w="1800" w:type="dxa"/>
          </w:tcPr>
          <w:p w14:paraId="7758882A" w14:textId="46B0B175" w:rsidR="00445E72" w:rsidRPr="005C388F" w:rsidRDefault="00445E72" w:rsidP="00445E72">
            <w:r w:rsidRPr="005C388F">
              <w:t>Injury Indicator Spreadsheet</w:t>
            </w:r>
          </w:p>
        </w:tc>
        <w:tc>
          <w:tcPr>
            <w:tcW w:w="1620" w:type="dxa"/>
            <w:shd w:val="clear" w:color="auto" w:fill="auto"/>
            <w:vAlign w:val="bottom"/>
          </w:tcPr>
          <w:p w14:paraId="1A6CB077" w14:textId="74DF18CB" w:rsidR="00445E72" w:rsidRPr="005C388F" w:rsidRDefault="00445E72" w:rsidP="00445E72">
            <w:pPr>
              <w:jc w:val="center"/>
            </w:pPr>
            <w:r w:rsidRPr="005C388F">
              <w:t>5</w:t>
            </w:r>
          </w:p>
        </w:tc>
        <w:tc>
          <w:tcPr>
            <w:tcW w:w="1620" w:type="dxa"/>
            <w:vAlign w:val="bottom"/>
          </w:tcPr>
          <w:p w14:paraId="56BA8CC9" w14:textId="79096F2E" w:rsidR="00445E72" w:rsidRPr="005C388F" w:rsidRDefault="00445E72" w:rsidP="00445E72">
            <w:pPr>
              <w:jc w:val="center"/>
            </w:pPr>
            <w:r w:rsidRPr="005C388F">
              <w:t>1</w:t>
            </w:r>
          </w:p>
        </w:tc>
        <w:tc>
          <w:tcPr>
            <w:tcW w:w="1350" w:type="dxa"/>
            <w:vAlign w:val="bottom"/>
          </w:tcPr>
          <w:p w14:paraId="4DB7E6C4" w14:textId="25AB51BE" w:rsidR="00445E72" w:rsidRPr="005C388F" w:rsidRDefault="00445E72" w:rsidP="00445E72">
            <w:pPr>
              <w:jc w:val="center"/>
              <w:rPr>
                <w:rFonts w:eastAsia="Batang"/>
              </w:rPr>
            </w:pPr>
            <w:r w:rsidRPr="005C388F">
              <w:t>14</w:t>
            </w:r>
          </w:p>
        </w:tc>
        <w:tc>
          <w:tcPr>
            <w:tcW w:w="1260" w:type="dxa"/>
            <w:vAlign w:val="bottom"/>
          </w:tcPr>
          <w:p w14:paraId="231CCEB0" w14:textId="3B3527C0" w:rsidR="00445E72" w:rsidRPr="005C388F" w:rsidRDefault="00445E72" w:rsidP="00445E72">
            <w:pPr>
              <w:jc w:val="center"/>
              <w:rPr>
                <w:color w:val="000000" w:themeColor="text1"/>
              </w:rPr>
            </w:pPr>
            <w:r w:rsidRPr="005C388F">
              <w:rPr>
                <w:color w:val="000000" w:themeColor="text1"/>
              </w:rPr>
              <w:t>$31</w:t>
            </w:r>
          </w:p>
        </w:tc>
        <w:tc>
          <w:tcPr>
            <w:tcW w:w="1350" w:type="dxa"/>
            <w:vAlign w:val="bottom"/>
          </w:tcPr>
          <w:p w14:paraId="2331F57B" w14:textId="20A01273" w:rsidR="00445E72" w:rsidRPr="005C388F" w:rsidRDefault="00445E72" w:rsidP="00445E72">
            <w:pPr>
              <w:jc w:val="center"/>
              <w:rPr>
                <w:rFonts w:eastAsia="Batang"/>
              </w:rPr>
            </w:pPr>
            <w:r w:rsidRPr="005C388F">
              <w:rPr>
                <w:rFonts w:eastAsia="Batang"/>
              </w:rPr>
              <w:t>$434</w:t>
            </w:r>
          </w:p>
        </w:tc>
      </w:tr>
      <w:tr w:rsidR="00026C55" w:rsidRPr="005C388F" w14:paraId="73F46502" w14:textId="77777777" w:rsidTr="00D45334">
        <w:trPr>
          <w:cantSplit/>
        </w:trPr>
        <w:tc>
          <w:tcPr>
            <w:tcW w:w="9085" w:type="dxa"/>
            <w:gridSpan w:val="6"/>
          </w:tcPr>
          <w:p w14:paraId="73F46500" w14:textId="77777777" w:rsidR="00026C55" w:rsidRPr="005C388F" w:rsidRDefault="00026C55" w:rsidP="0070531D">
            <w:pPr>
              <w:spacing w:line="276" w:lineRule="auto"/>
              <w:jc w:val="right"/>
              <w:rPr>
                <w:rFonts w:eastAsia="Batang"/>
              </w:rPr>
            </w:pPr>
            <w:r w:rsidRPr="005C388F">
              <w:rPr>
                <w:rFonts w:eastAsia="Batang"/>
              </w:rPr>
              <w:t>Total</w:t>
            </w:r>
          </w:p>
        </w:tc>
        <w:tc>
          <w:tcPr>
            <w:tcW w:w="1350" w:type="dxa"/>
          </w:tcPr>
          <w:p w14:paraId="73F46501" w14:textId="55A42A8D" w:rsidR="00026C55" w:rsidRPr="005C388F" w:rsidRDefault="00516AB9" w:rsidP="00A0517F">
            <w:pPr>
              <w:spacing w:line="276" w:lineRule="auto"/>
              <w:jc w:val="center"/>
              <w:rPr>
                <w:rFonts w:eastAsia="Batang"/>
              </w:rPr>
            </w:pPr>
            <w:r w:rsidRPr="005C388F">
              <w:rPr>
                <w:rFonts w:eastAsia="Batang"/>
              </w:rPr>
              <w:t>$1</w:t>
            </w:r>
            <w:r w:rsidR="00A0517F" w:rsidRPr="005C388F">
              <w:rPr>
                <w:rFonts w:eastAsia="Batang"/>
              </w:rPr>
              <w:t>4,787</w:t>
            </w:r>
          </w:p>
        </w:tc>
      </w:tr>
    </w:tbl>
    <w:p w14:paraId="73F46503" w14:textId="77777777" w:rsidR="00D7593E" w:rsidRPr="005C388F" w:rsidRDefault="00D7593E" w:rsidP="0070531D">
      <w:pPr>
        <w:rPr>
          <w:b/>
        </w:rPr>
      </w:pPr>
    </w:p>
    <w:p w14:paraId="1A0666B7" w14:textId="77777777" w:rsidR="005C4378" w:rsidRPr="005C388F" w:rsidRDefault="005C4378" w:rsidP="0070531D">
      <w:pPr>
        <w:rPr>
          <w:b/>
        </w:rPr>
      </w:pPr>
    </w:p>
    <w:p w14:paraId="73F46505" w14:textId="77777777" w:rsidR="00972DEF" w:rsidRPr="005C388F" w:rsidRDefault="00972DEF" w:rsidP="0070531D">
      <w:pPr>
        <w:rPr>
          <w:b/>
        </w:rPr>
      </w:pPr>
      <w:r w:rsidRPr="005C388F">
        <w:rPr>
          <w:b/>
        </w:rPr>
        <w:t xml:space="preserve">A.13. </w:t>
      </w:r>
      <w:r w:rsidRPr="005C388F">
        <w:rPr>
          <w:b/>
        </w:rPr>
        <w:tab/>
        <w:t>Estimates of Other Total Annual Cost Burden to Respondents or Record Keepers</w:t>
      </w:r>
    </w:p>
    <w:p w14:paraId="73F46506" w14:textId="77777777" w:rsidR="00E704DE" w:rsidRPr="005C388F" w:rsidRDefault="00E704DE" w:rsidP="0070531D">
      <w:pPr>
        <w:rPr>
          <w:b/>
        </w:rPr>
      </w:pPr>
    </w:p>
    <w:p w14:paraId="2FF694E8" w14:textId="61841F37" w:rsidR="008054EA" w:rsidRPr="005C388F" w:rsidRDefault="00450F0A" w:rsidP="0070531D">
      <w:r w:rsidRPr="005C388F">
        <w:t xml:space="preserve">This data collection will not result in costs for respondents or record keepers. </w:t>
      </w:r>
      <w:r w:rsidR="008054EA" w:rsidRPr="005C388F">
        <w:t>No capital or maintenance costs are expected.  Additionally, there are no start-up, hardware or software costs.</w:t>
      </w:r>
    </w:p>
    <w:p w14:paraId="311712A2" w14:textId="77777777" w:rsidR="003C6986" w:rsidRPr="005C388F" w:rsidRDefault="003C6986" w:rsidP="0070531D">
      <w:pPr>
        <w:autoSpaceDE w:val="0"/>
        <w:autoSpaceDN w:val="0"/>
        <w:adjustRightInd w:val="0"/>
        <w:rPr>
          <w:b/>
          <w:bCs/>
        </w:rPr>
      </w:pPr>
    </w:p>
    <w:p w14:paraId="73F46507" w14:textId="77777777" w:rsidR="00972DEF" w:rsidRPr="00640EB3" w:rsidRDefault="00972DEF" w:rsidP="0070531D">
      <w:pPr>
        <w:autoSpaceDE w:val="0"/>
        <w:autoSpaceDN w:val="0"/>
        <w:adjustRightInd w:val="0"/>
      </w:pPr>
      <w:r w:rsidRPr="005C388F">
        <w:rPr>
          <w:b/>
          <w:bCs/>
        </w:rPr>
        <w:t xml:space="preserve">A.14. </w:t>
      </w:r>
      <w:r w:rsidRPr="005C388F">
        <w:rPr>
          <w:b/>
          <w:bCs/>
        </w:rPr>
        <w:tab/>
        <w:t xml:space="preserve">Annualized Cost to the Government </w:t>
      </w:r>
    </w:p>
    <w:p w14:paraId="73F46508" w14:textId="77777777" w:rsidR="0012575C" w:rsidRDefault="0012575C" w:rsidP="0070531D">
      <w:pPr>
        <w:pStyle w:val="SL-FlLftSgl"/>
      </w:pPr>
    </w:p>
    <w:p w14:paraId="161E3E73" w14:textId="58734CB2" w:rsidR="00BD0549" w:rsidRDefault="00BD0549" w:rsidP="00BD0549">
      <w:r>
        <w:t>The average annualized cost to the federal government is $242,723, as summarized in Table 3.  Major cost factors for the project inc</w:t>
      </w:r>
      <w:r w:rsidR="00D400CF">
        <w:t>lude the CDC federal employees</w:t>
      </w:r>
      <w:r>
        <w:t xml:space="preserve"> who will enter a limited amount of data and whose schedules and steps vary, and the </w:t>
      </w:r>
      <w:r w:rsidR="00D400CF">
        <w:t xml:space="preserve">cost of the </w:t>
      </w:r>
      <w:r>
        <w:t>data collection contractor.</w:t>
      </w:r>
    </w:p>
    <w:p w14:paraId="0265CAB5" w14:textId="77777777" w:rsidR="00BD0549" w:rsidRPr="00640EB3" w:rsidRDefault="00BD0549" w:rsidP="0070531D">
      <w:pPr>
        <w:pStyle w:val="SL-FlLftSgl"/>
      </w:pPr>
    </w:p>
    <w:p w14:paraId="73F46509" w14:textId="77777777" w:rsidR="00144640" w:rsidRPr="005C388F" w:rsidRDefault="00013F0A" w:rsidP="0070531D">
      <w:pPr>
        <w:pStyle w:val="SL-FlLftSgl"/>
      </w:pPr>
      <w:r w:rsidRPr="005C388F">
        <w:t>Table 3.  Estimated Annual</w:t>
      </w:r>
      <w:r w:rsidR="001B43C7" w:rsidRPr="005C388F">
        <w:t>ized</w:t>
      </w:r>
      <w:r w:rsidRPr="005C388F">
        <w:t xml:space="preserve"> Cost</w:t>
      </w:r>
      <w:r w:rsidR="001B43C7" w:rsidRPr="005C388F">
        <w:t xml:space="preserve"> to the Government</w:t>
      </w:r>
    </w:p>
    <w:p w14:paraId="73F4650A" w14:textId="77777777" w:rsidR="00144640" w:rsidRPr="005C388F" w:rsidRDefault="00144640" w:rsidP="0070531D">
      <w:pPr>
        <w:pStyle w:val="SL-FlLftSgl"/>
      </w:pPr>
    </w:p>
    <w:tbl>
      <w:tblPr>
        <w:tblW w:w="91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90"/>
        <w:gridCol w:w="1597"/>
      </w:tblGrid>
      <w:tr w:rsidR="00013F0A" w:rsidRPr="005C388F" w14:paraId="73F4650E" w14:textId="77777777" w:rsidTr="00AA2504">
        <w:tc>
          <w:tcPr>
            <w:tcW w:w="2088" w:type="dxa"/>
          </w:tcPr>
          <w:p w14:paraId="73F4650B" w14:textId="77777777" w:rsidR="00013F0A" w:rsidRPr="005C388F" w:rsidRDefault="00013F0A" w:rsidP="0070531D">
            <w:r w:rsidRPr="005C388F">
              <w:t>Type of Cost</w:t>
            </w:r>
          </w:p>
        </w:tc>
        <w:tc>
          <w:tcPr>
            <w:tcW w:w="5490" w:type="dxa"/>
          </w:tcPr>
          <w:p w14:paraId="73F4650C" w14:textId="77777777" w:rsidR="00013F0A" w:rsidRPr="005C388F" w:rsidRDefault="00013F0A" w:rsidP="0070531D">
            <w:r w:rsidRPr="005C388F">
              <w:t>Description of Services</w:t>
            </w:r>
          </w:p>
        </w:tc>
        <w:tc>
          <w:tcPr>
            <w:tcW w:w="1597" w:type="dxa"/>
          </w:tcPr>
          <w:p w14:paraId="73F4650D" w14:textId="77777777" w:rsidR="00013F0A" w:rsidRPr="005C388F" w:rsidRDefault="00013F0A" w:rsidP="0070531D">
            <w:r w:rsidRPr="005C388F">
              <w:t>Annual Cost</w:t>
            </w:r>
          </w:p>
        </w:tc>
      </w:tr>
      <w:tr w:rsidR="00013F0A" w:rsidRPr="005C388F" w14:paraId="73F46512" w14:textId="77777777" w:rsidTr="00AA2504">
        <w:tc>
          <w:tcPr>
            <w:tcW w:w="2088" w:type="dxa"/>
          </w:tcPr>
          <w:p w14:paraId="67DE20DE" w14:textId="77777777" w:rsidR="008054EA" w:rsidRPr="005C388F" w:rsidRDefault="008054EA" w:rsidP="008054EA">
            <w:r w:rsidRPr="005C388F">
              <w:t>CDC Personnel</w:t>
            </w:r>
          </w:p>
          <w:p w14:paraId="73F4650F" w14:textId="344039BF" w:rsidR="006B4FD3" w:rsidRPr="005C388F" w:rsidRDefault="006B4FD3" w:rsidP="0070531D">
            <w:pPr>
              <w:rPr>
                <w:vertAlign w:val="superscript"/>
              </w:rPr>
            </w:pPr>
          </w:p>
          <w:p w14:paraId="1EF41C65" w14:textId="15F21786" w:rsidR="006B4FD3" w:rsidRPr="005C388F" w:rsidRDefault="006B4FD3" w:rsidP="006B4FD3"/>
          <w:p w14:paraId="037D3870" w14:textId="77777777" w:rsidR="00013F0A" w:rsidRPr="005C388F" w:rsidRDefault="00013F0A" w:rsidP="006B4FD3">
            <w:pPr>
              <w:ind w:firstLine="720"/>
            </w:pPr>
          </w:p>
        </w:tc>
        <w:tc>
          <w:tcPr>
            <w:tcW w:w="5490" w:type="dxa"/>
          </w:tcPr>
          <w:p w14:paraId="33280133" w14:textId="49173432" w:rsidR="008054EA" w:rsidRPr="005C388F" w:rsidRDefault="008054EA" w:rsidP="008054EA">
            <w:pPr>
              <w:pStyle w:val="ListParagraph"/>
              <w:numPr>
                <w:ilvl w:val="0"/>
                <w:numId w:val="15"/>
              </w:numPr>
              <w:ind w:left="228" w:hanging="180"/>
            </w:pPr>
            <w:r w:rsidRPr="005C388F">
              <w:t>100% GS-12@$</w:t>
            </w:r>
            <w:r w:rsidR="006B4FD3" w:rsidRPr="005C388F">
              <w:t>73,347</w:t>
            </w:r>
            <w:r w:rsidRPr="005C388F">
              <w:t>/year = $</w:t>
            </w:r>
            <w:r w:rsidR="006B4FD3" w:rsidRPr="005C388F">
              <w:t>73,347</w:t>
            </w:r>
          </w:p>
          <w:p w14:paraId="20C2C8F0" w14:textId="0A4EC5EB" w:rsidR="008054EA" w:rsidRPr="005C388F" w:rsidRDefault="008054EA" w:rsidP="008054EA">
            <w:pPr>
              <w:pStyle w:val="ListParagraph"/>
              <w:numPr>
                <w:ilvl w:val="0"/>
                <w:numId w:val="16"/>
              </w:numPr>
              <w:ind w:left="228" w:hanging="180"/>
            </w:pPr>
            <w:r w:rsidRPr="005C388F">
              <w:t>50% GS-13 @ $</w:t>
            </w:r>
            <w:r w:rsidR="006B4FD3" w:rsidRPr="005C388F">
              <w:t xml:space="preserve">87,219 </w:t>
            </w:r>
            <w:r w:rsidRPr="005C388F">
              <w:t>/year = $</w:t>
            </w:r>
            <w:r w:rsidR="00445E72" w:rsidRPr="005C388F">
              <w:t>43,610</w:t>
            </w:r>
          </w:p>
          <w:p w14:paraId="6BA356A2" w14:textId="6AEAD8F9" w:rsidR="008054EA" w:rsidRPr="005C388F" w:rsidRDefault="00445E72" w:rsidP="008054EA">
            <w:pPr>
              <w:pStyle w:val="ListParagraph"/>
              <w:numPr>
                <w:ilvl w:val="0"/>
                <w:numId w:val="16"/>
              </w:numPr>
              <w:ind w:left="228" w:hanging="180"/>
            </w:pPr>
            <w:r w:rsidRPr="005C388F">
              <w:t>25% GS-14 @ $103,065</w:t>
            </w:r>
            <w:r w:rsidR="008054EA" w:rsidRPr="005C388F">
              <w:t xml:space="preserve">/year = </w:t>
            </w:r>
            <w:r w:rsidR="006B4FD3" w:rsidRPr="005C388F">
              <w:t>$</w:t>
            </w:r>
            <w:r w:rsidRPr="005C388F">
              <w:t>25,766</w:t>
            </w:r>
          </w:p>
          <w:p w14:paraId="73F46510" w14:textId="77777777" w:rsidR="00013F0A" w:rsidRPr="005C388F" w:rsidRDefault="00013F0A" w:rsidP="0070531D"/>
        </w:tc>
        <w:tc>
          <w:tcPr>
            <w:tcW w:w="1597" w:type="dxa"/>
            <w:vAlign w:val="center"/>
          </w:tcPr>
          <w:p w14:paraId="73F46511" w14:textId="67C83D08" w:rsidR="00013F0A" w:rsidRPr="005C388F" w:rsidRDefault="00516AB9" w:rsidP="0070531D">
            <w:pPr>
              <w:jc w:val="right"/>
            </w:pPr>
            <w:r w:rsidRPr="005C388F">
              <w:t>$142,723</w:t>
            </w:r>
          </w:p>
        </w:tc>
      </w:tr>
      <w:tr w:rsidR="008054EA" w:rsidRPr="005C388F" w14:paraId="42FFF15F" w14:textId="77777777" w:rsidTr="00AA2504">
        <w:tc>
          <w:tcPr>
            <w:tcW w:w="2088" w:type="dxa"/>
          </w:tcPr>
          <w:p w14:paraId="522E9578" w14:textId="6FDBB1F6" w:rsidR="008054EA" w:rsidRPr="005C388F" w:rsidRDefault="008054EA" w:rsidP="008054EA">
            <w:r w:rsidRPr="005C388F">
              <w:t>Contractor</w:t>
            </w:r>
          </w:p>
        </w:tc>
        <w:tc>
          <w:tcPr>
            <w:tcW w:w="5490" w:type="dxa"/>
          </w:tcPr>
          <w:p w14:paraId="6028FBAD" w14:textId="5A470C26" w:rsidR="008054EA" w:rsidRPr="005C388F" w:rsidRDefault="008054EA" w:rsidP="008054EA">
            <w:pPr>
              <w:pStyle w:val="ListParagraph"/>
              <w:ind w:left="72"/>
            </w:pPr>
            <w:r w:rsidRPr="005C388F">
              <w:t>Data Collection Contractor</w:t>
            </w:r>
          </w:p>
        </w:tc>
        <w:tc>
          <w:tcPr>
            <w:tcW w:w="1597" w:type="dxa"/>
            <w:vAlign w:val="center"/>
          </w:tcPr>
          <w:p w14:paraId="1F4C08F2" w14:textId="07DA52BF" w:rsidR="008054EA" w:rsidRPr="005C388F" w:rsidRDefault="00516AB9" w:rsidP="0070531D">
            <w:pPr>
              <w:jc w:val="right"/>
            </w:pPr>
            <w:r w:rsidRPr="005C388F">
              <w:t>$100,000</w:t>
            </w:r>
          </w:p>
        </w:tc>
      </w:tr>
      <w:tr w:rsidR="00013F0A" w:rsidRPr="005C388F" w14:paraId="73F46515" w14:textId="77777777" w:rsidTr="00AA2504">
        <w:tc>
          <w:tcPr>
            <w:tcW w:w="7578" w:type="dxa"/>
            <w:gridSpan w:val="2"/>
          </w:tcPr>
          <w:p w14:paraId="73F46513" w14:textId="77777777" w:rsidR="00013F0A" w:rsidRPr="005C388F" w:rsidRDefault="00013F0A" w:rsidP="0070531D">
            <w:pPr>
              <w:jc w:val="right"/>
              <w:rPr>
                <w:bCs/>
              </w:rPr>
            </w:pPr>
            <w:r w:rsidRPr="005C388F">
              <w:rPr>
                <w:bCs/>
              </w:rPr>
              <w:t>Total Annual Estimated Costs</w:t>
            </w:r>
          </w:p>
        </w:tc>
        <w:tc>
          <w:tcPr>
            <w:tcW w:w="1597" w:type="dxa"/>
          </w:tcPr>
          <w:p w14:paraId="73F46514" w14:textId="5DA52002" w:rsidR="00013F0A" w:rsidRPr="005C388F" w:rsidRDefault="00516AB9" w:rsidP="0070531D">
            <w:pPr>
              <w:jc w:val="right"/>
              <w:rPr>
                <w:b/>
                <w:bCs/>
              </w:rPr>
            </w:pPr>
            <w:r w:rsidRPr="005C388F">
              <w:rPr>
                <w:b/>
                <w:bCs/>
              </w:rPr>
              <w:t>$242,723</w:t>
            </w:r>
          </w:p>
        </w:tc>
      </w:tr>
    </w:tbl>
    <w:p w14:paraId="73F46516" w14:textId="77777777" w:rsidR="0069469E" w:rsidRPr="005C388F" w:rsidRDefault="0069469E" w:rsidP="0070531D">
      <w:pPr>
        <w:autoSpaceDE w:val="0"/>
        <w:autoSpaceDN w:val="0"/>
        <w:adjustRightInd w:val="0"/>
      </w:pPr>
    </w:p>
    <w:p w14:paraId="73F46517" w14:textId="77777777" w:rsidR="00972DEF" w:rsidRPr="005C388F" w:rsidRDefault="00972DEF" w:rsidP="0070531D">
      <w:pPr>
        <w:autoSpaceDE w:val="0"/>
        <w:autoSpaceDN w:val="0"/>
        <w:adjustRightInd w:val="0"/>
        <w:rPr>
          <w:b/>
          <w:bCs/>
        </w:rPr>
      </w:pPr>
      <w:r w:rsidRPr="005C388F">
        <w:rPr>
          <w:b/>
          <w:bCs/>
        </w:rPr>
        <w:t xml:space="preserve">A.15. </w:t>
      </w:r>
      <w:r w:rsidRPr="005C388F">
        <w:rPr>
          <w:b/>
          <w:bCs/>
        </w:rPr>
        <w:tab/>
        <w:t xml:space="preserve">Explanation for Program Changes or Adjustments </w:t>
      </w:r>
    </w:p>
    <w:p w14:paraId="73F46518" w14:textId="77777777" w:rsidR="00C55DD2" w:rsidRPr="005C388F" w:rsidRDefault="00C55DD2" w:rsidP="0070531D">
      <w:pPr>
        <w:autoSpaceDE w:val="0"/>
        <w:autoSpaceDN w:val="0"/>
        <w:adjustRightInd w:val="0"/>
        <w:rPr>
          <w:b/>
          <w:bCs/>
        </w:rPr>
      </w:pPr>
    </w:p>
    <w:p w14:paraId="0AAE4FC4" w14:textId="4C9FC54A" w:rsidR="0031068A" w:rsidRPr="005C388F" w:rsidRDefault="0031068A" w:rsidP="0070531D">
      <w:pPr>
        <w:autoSpaceDE w:val="0"/>
        <w:autoSpaceDN w:val="0"/>
        <w:adjustRightInd w:val="0"/>
        <w:rPr>
          <w:bCs/>
        </w:rPr>
      </w:pPr>
      <w:r w:rsidRPr="005C388F">
        <w:rPr>
          <w:bCs/>
        </w:rPr>
        <w:t xml:space="preserve">This is a new collection. </w:t>
      </w:r>
    </w:p>
    <w:p w14:paraId="21039BA2" w14:textId="77777777" w:rsidR="002766A7" w:rsidRPr="005C388F" w:rsidRDefault="002766A7" w:rsidP="0070531D">
      <w:pPr>
        <w:autoSpaceDE w:val="0"/>
        <w:autoSpaceDN w:val="0"/>
        <w:adjustRightInd w:val="0"/>
        <w:rPr>
          <w:b/>
          <w:bCs/>
        </w:rPr>
      </w:pPr>
    </w:p>
    <w:p w14:paraId="637918F7" w14:textId="606A8AEC" w:rsidR="00AD3B5A" w:rsidRPr="005C388F" w:rsidRDefault="00516AB9" w:rsidP="00AD3B5A">
      <w:pPr>
        <w:autoSpaceDE w:val="0"/>
        <w:autoSpaceDN w:val="0"/>
        <w:adjustRightInd w:val="0"/>
        <w:rPr>
          <w:b/>
          <w:bCs/>
        </w:rPr>
      </w:pPr>
      <w:r w:rsidRPr="005C388F">
        <w:rPr>
          <w:b/>
          <w:bCs/>
        </w:rPr>
        <w:t>A.16. Plans for Tabulation and Publication, and Project Time Schedule</w:t>
      </w:r>
    </w:p>
    <w:p w14:paraId="7789FE69" w14:textId="77777777" w:rsidR="00AD3B5A" w:rsidRPr="005C388F" w:rsidRDefault="00AD3B5A" w:rsidP="00AD3B5A">
      <w:pPr>
        <w:autoSpaceDE w:val="0"/>
        <w:autoSpaceDN w:val="0"/>
        <w:adjustRightInd w:val="0"/>
        <w:rPr>
          <w:bCs/>
        </w:rPr>
      </w:pPr>
      <w:r w:rsidRPr="005C388F">
        <w:rPr>
          <w:bCs/>
        </w:rPr>
        <w:t xml:space="preserve">A. </w:t>
      </w:r>
      <w:r w:rsidRPr="005C388F">
        <w:rPr>
          <w:bCs/>
          <w:u w:val="single"/>
        </w:rPr>
        <w:t>Time schedule for the entire project</w:t>
      </w:r>
    </w:p>
    <w:p w14:paraId="03F1F2EA" w14:textId="4D7C1666" w:rsidR="00AD3B5A" w:rsidRPr="005C388F" w:rsidRDefault="00AD3B5A" w:rsidP="00AD3B5A">
      <w:pPr>
        <w:autoSpaceDE w:val="0"/>
        <w:autoSpaceDN w:val="0"/>
        <w:adjustRightInd w:val="0"/>
        <w:rPr>
          <w:bCs/>
        </w:rPr>
      </w:pPr>
      <w:r w:rsidRPr="005C388F">
        <w:rPr>
          <w:bCs/>
        </w:rPr>
        <w:t xml:space="preserve">The cooperative agreement cycle is five years.  OMB approval is being requested for three years.  </w:t>
      </w:r>
      <w:r w:rsidR="0060740E" w:rsidRPr="005C388F">
        <w:rPr>
          <w:bCs/>
        </w:rPr>
        <w:t xml:space="preserve">Per the FOA, data collection must begin 6 months post award with the Evaluation and Performance Management Plan. Other collections will occur </w:t>
      </w:r>
      <w:r w:rsidRPr="005C388F">
        <w:rPr>
          <w:bCs/>
        </w:rPr>
        <w:t xml:space="preserve">per the FOA requirements once a year due 120 days before the end of the budget period.  Data collection began with the awarding of the grants and will continue throughout the funding cycle. </w:t>
      </w:r>
    </w:p>
    <w:p w14:paraId="54EB02B7" w14:textId="77777777" w:rsidR="00341386" w:rsidRPr="005C388F" w:rsidRDefault="00341386" w:rsidP="00AD3B5A">
      <w:pPr>
        <w:autoSpaceDE w:val="0"/>
        <w:autoSpaceDN w:val="0"/>
        <w:adjustRightInd w:val="0"/>
        <w:rPr>
          <w:bCs/>
        </w:rPr>
      </w:pPr>
    </w:p>
    <w:p w14:paraId="7400BCB8" w14:textId="46589B99" w:rsidR="00AD3B5A" w:rsidRPr="005C388F" w:rsidRDefault="00516AB9" w:rsidP="00AD3B5A">
      <w:pPr>
        <w:autoSpaceDE w:val="0"/>
        <w:autoSpaceDN w:val="0"/>
        <w:adjustRightInd w:val="0"/>
        <w:rPr>
          <w:bCs/>
        </w:rPr>
      </w:pPr>
      <w:r w:rsidRPr="005C388F">
        <w:rPr>
          <w:bCs/>
        </w:rPr>
        <w:t xml:space="preserve">B. </w:t>
      </w:r>
      <w:r w:rsidRPr="005C388F">
        <w:rPr>
          <w:bCs/>
          <w:u w:val="single"/>
        </w:rPr>
        <w:t>Publication plan</w:t>
      </w:r>
    </w:p>
    <w:p w14:paraId="5CB318B5" w14:textId="061DFE7E" w:rsidR="00516AB9" w:rsidRPr="005C388F" w:rsidRDefault="00516AB9" w:rsidP="00516AB9">
      <w:pPr>
        <w:autoSpaceDE w:val="0"/>
        <w:autoSpaceDN w:val="0"/>
        <w:adjustRightInd w:val="0"/>
        <w:rPr>
          <w:bCs/>
        </w:rPr>
      </w:pPr>
      <w:r w:rsidRPr="005C388F">
        <w:rPr>
          <w:bCs/>
        </w:rPr>
        <w:t xml:space="preserve">Information collected by the awardees will be reported in internal CDC documents and shared with state-based programs. Publication in a peer-reviewed scientific journal will be determined post-data collection. </w:t>
      </w:r>
    </w:p>
    <w:p w14:paraId="72607BE3" w14:textId="77777777" w:rsidR="00516AB9" w:rsidRPr="005C388F" w:rsidRDefault="00516AB9" w:rsidP="00AD3B5A">
      <w:pPr>
        <w:autoSpaceDE w:val="0"/>
        <w:autoSpaceDN w:val="0"/>
        <w:adjustRightInd w:val="0"/>
        <w:rPr>
          <w:bCs/>
        </w:rPr>
      </w:pPr>
    </w:p>
    <w:p w14:paraId="33F67E0B" w14:textId="64ABC394" w:rsidR="00AD3B5A" w:rsidRPr="005C388F" w:rsidRDefault="00516AB9" w:rsidP="00AD3B5A">
      <w:pPr>
        <w:autoSpaceDE w:val="0"/>
        <w:autoSpaceDN w:val="0"/>
        <w:adjustRightInd w:val="0"/>
        <w:rPr>
          <w:bCs/>
        </w:rPr>
      </w:pPr>
      <w:r w:rsidRPr="005C388F">
        <w:rPr>
          <w:bCs/>
        </w:rPr>
        <w:t>C</w:t>
      </w:r>
      <w:r w:rsidR="00AD3B5A" w:rsidRPr="005C388F">
        <w:rPr>
          <w:bCs/>
        </w:rPr>
        <w:t xml:space="preserve">. </w:t>
      </w:r>
      <w:r w:rsidR="00AD3B5A" w:rsidRPr="005C388F">
        <w:rPr>
          <w:bCs/>
          <w:u w:val="single"/>
        </w:rPr>
        <w:t>Analysis plan</w:t>
      </w:r>
    </w:p>
    <w:p w14:paraId="4342DA37" w14:textId="77777777" w:rsidR="00516AB9" w:rsidRPr="005C388F" w:rsidRDefault="00516AB9" w:rsidP="00516AB9">
      <w:pPr>
        <w:autoSpaceDE w:val="0"/>
        <w:autoSpaceDN w:val="0"/>
        <w:adjustRightInd w:val="0"/>
        <w:rPr>
          <w:bCs/>
        </w:rPr>
      </w:pPr>
      <w:r w:rsidRPr="005C388F">
        <w:rPr>
          <w:bCs/>
        </w:rPr>
        <w:t xml:space="preserve">CDC will not use complex statistical methods for analyzing information. Most statistical analyses will be descriptive. Statistical modeling may be included to examine predictors of specified outcomes. For example, the difference between baseline rates and achieved rates on indicators will be documented and analyzed. In addition, the percent of objective met versus proposed will also be documented and analyzed. Furthermore, the information in the work plan will allow for CDC staff to monitor program activities and implementation and provide technical assistance to awardees after an internal qualitative review has been completed. </w:t>
      </w:r>
    </w:p>
    <w:p w14:paraId="7F30FC82" w14:textId="77777777" w:rsidR="00516AB9" w:rsidRPr="005C388F" w:rsidRDefault="00516AB9" w:rsidP="00516AB9">
      <w:pPr>
        <w:autoSpaceDE w:val="0"/>
        <w:autoSpaceDN w:val="0"/>
        <w:adjustRightInd w:val="0"/>
        <w:rPr>
          <w:bCs/>
        </w:rPr>
      </w:pPr>
    </w:p>
    <w:tbl>
      <w:tblPr>
        <w:tblStyle w:val="TableGrid"/>
        <w:tblpPr w:leftFromText="180" w:rightFromText="180" w:vertAnchor="text" w:horzAnchor="margin" w:tblpY="67"/>
        <w:tblW w:w="8729" w:type="dxa"/>
        <w:tblLook w:val="04A0" w:firstRow="1" w:lastRow="0" w:firstColumn="1" w:lastColumn="0" w:noHBand="0" w:noVBand="1"/>
      </w:tblPr>
      <w:tblGrid>
        <w:gridCol w:w="4364"/>
        <w:gridCol w:w="4365"/>
      </w:tblGrid>
      <w:tr w:rsidR="00516AB9" w:rsidRPr="005C388F" w14:paraId="39960284" w14:textId="77777777" w:rsidTr="00516AB9">
        <w:trPr>
          <w:trHeight w:val="332"/>
        </w:trPr>
        <w:tc>
          <w:tcPr>
            <w:tcW w:w="8729" w:type="dxa"/>
            <w:gridSpan w:val="2"/>
            <w:vAlign w:val="bottom"/>
          </w:tcPr>
          <w:p w14:paraId="15FD82F7" w14:textId="77777777" w:rsidR="00516AB9" w:rsidRPr="005C388F" w:rsidRDefault="00516AB9" w:rsidP="00516AB9">
            <w:pPr>
              <w:autoSpaceDE w:val="0"/>
              <w:autoSpaceDN w:val="0"/>
              <w:adjustRightInd w:val="0"/>
              <w:jc w:val="center"/>
              <w:rPr>
                <w:b/>
                <w:bCs/>
                <w:i/>
              </w:rPr>
            </w:pPr>
            <w:r w:rsidRPr="005C388F">
              <w:rPr>
                <w:b/>
                <w:bCs/>
                <w:i/>
              </w:rPr>
              <w:t>Project Time Schedule</w:t>
            </w:r>
          </w:p>
        </w:tc>
      </w:tr>
      <w:tr w:rsidR="00516AB9" w:rsidRPr="005C388F" w14:paraId="5F17B879" w14:textId="77777777" w:rsidTr="00516AB9">
        <w:trPr>
          <w:trHeight w:val="260"/>
        </w:trPr>
        <w:tc>
          <w:tcPr>
            <w:tcW w:w="4364" w:type="dxa"/>
            <w:vAlign w:val="bottom"/>
          </w:tcPr>
          <w:p w14:paraId="4AEB520D" w14:textId="77777777" w:rsidR="00516AB9" w:rsidRPr="005C388F" w:rsidRDefault="00516AB9" w:rsidP="00516AB9">
            <w:pPr>
              <w:autoSpaceDE w:val="0"/>
              <w:autoSpaceDN w:val="0"/>
              <w:adjustRightInd w:val="0"/>
              <w:jc w:val="center"/>
              <w:rPr>
                <w:b/>
                <w:bCs/>
              </w:rPr>
            </w:pPr>
            <w:r w:rsidRPr="005C388F">
              <w:rPr>
                <w:b/>
                <w:bCs/>
              </w:rPr>
              <w:t>Activity</w:t>
            </w:r>
          </w:p>
        </w:tc>
        <w:tc>
          <w:tcPr>
            <w:tcW w:w="4365" w:type="dxa"/>
            <w:vAlign w:val="bottom"/>
          </w:tcPr>
          <w:p w14:paraId="40B79D3B" w14:textId="77777777" w:rsidR="00516AB9" w:rsidRPr="005C388F" w:rsidRDefault="00516AB9" w:rsidP="00516AB9">
            <w:pPr>
              <w:autoSpaceDE w:val="0"/>
              <w:autoSpaceDN w:val="0"/>
              <w:adjustRightInd w:val="0"/>
              <w:jc w:val="center"/>
              <w:rPr>
                <w:b/>
                <w:bCs/>
              </w:rPr>
            </w:pPr>
            <w:r w:rsidRPr="005C388F">
              <w:rPr>
                <w:b/>
                <w:bCs/>
              </w:rPr>
              <w:t>Time Schedule</w:t>
            </w:r>
          </w:p>
        </w:tc>
      </w:tr>
      <w:tr w:rsidR="00516AB9" w:rsidRPr="005C388F" w14:paraId="3BB50A1A" w14:textId="77777777" w:rsidTr="00516AB9">
        <w:trPr>
          <w:trHeight w:val="602"/>
        </w:trPr>
        <w:tc>
          <w:tcPr>
            <w:tcW w:w="4364" w:type="dxa"/>
            <w:vAlign w:val="bottom"/>
          </w:tcPr>
          <w:p w14:paraId="2C0CE435" w14:textId="77777777" w:rsidR="00516AB9" w:rsidRPr="005C388F" w:rsidRDefault="00516AB9" w:rsidP="00516AB9">
            <w:pPr>
              <w:autoSpaceDE w:val="0"/>
              <w:autoSpaceDN w:val="0"/>
              <w:adjustRightInd w:val="0"/>
              <w:rPr>
                <w:bCs/>
              </w:rPr>
            </w:pPr>
            <w:r w:rsidRPr="005C388F">
              <w:rPr>
                <w:bCs/>
              </w:rPr>
              <w:t>Evaluation and Performance Management Plans due</w:t>
            </w:r>
          </w:p>
        </w:tc>
        <w:tc>
          <w:tcPr>
            <w:tcW w:w="4365" w:type="dxa"/>
            <w:vAlign w:val="bottom"/>
          </w:tcPr>
          <w:p w14:paraId="059B8E76" w14:textId="77777777" w:rsidR="00516AB9" w:rsidRPr="005C388F" w:rsidRDefault="00516AB9" w:rsidP="00516AB9">
            <w:pPr>
              <w:autoSpaceDE w:val="0"/>
              <w:autoSpaceDN w:val="0"/>
              <w:adjustRightInd w:val="0"/>
              <w:rPr>
                <w:bCs/>
              </w:rPr>
            </w:pPr>
            <w:r w:rsidRPr="005C388F">
              <w:rPr>
                <w:bCs/>
              </w:rPr>
              <w:t>6 months after OMB approval</w:t>
            </w:r>
          </w:p>
        </w:tc>
      </w:tr>
      <w:tr w:rsidR="00516AB9" w:rsidRPr="005C388F" w14:paraId="40E91560" w14:textId="77777777" w:rsidTr="00516AB9">
        <w:trPr>
          <w:trHeight w:val="368"/>
        </w:trPr>
        <w:tc>
          <w:tcPr>
            <w:tcW w:w="4364" w:type="dxa"/>
            <w:vAlign w:val="bottom"/>
          </w:tcPr>
          <w:p w14:paraId="2B515AFE" w14:textId="77777777" w:rsidR="00516AB9" w:rsidRPr="005C388F" w:rsidRDefault="00516AB9" w:rsidP="00516AB9">
            <w:pPr>
              <w:autoSpaceDE w:val="0"/>
              <w:autoSpaceDN w:val="0"/>
              <w:adjustRightInd w:val="0"/>
              <w:rPr>
                <w:bCs/>
              </w:rPr>
            </w:pPr>
            <w:r w:rsidRPr="005C388F">
              <w:rPr>
                <w:bCs/>
              </w:rPr>
              <w:t>Annual Progress Report due</w:t>
            </w:r>
          </w:p>
        </w:tc>
        <w:tc>
          <w:tcPr>
            <w:tcW w:w="4365" w:type="dxa"/>
            <w:vAlign w:val="bottom"/>
          </w:tcPr>
          <w:p w14:paraId="6B1C8A0D" w14:textId="77777777" w:rsidR="00516AB9" w:rsidRPr="005C388F" w:rsidRDefault="00516AB9" w:rsidP="00516AB9">
            <w:pPr>
              <w:autoSpaceDE w:val="0"/>
              <w:autoSpaceDN w:val="0"/>
              <w:adjustRightInd w:val="0"/>
              <w:rPr>
                <w:bCs/>
              </w:rPr>
            </w:pPr>
            <w:r w:rsidRPr="005C388F">
              <w:rPr>
                <w:bCs/>
              </w:rPr>
              <w:t>12 months after OMB approval</w:t>
            </w:r>
          </w:p>
        </w:tc>
      </w:tr>
      <w:tr w:rsidR="00516AB9" w:rsidRPr="005C388F" w14:paraId="107B1757" w14:textId="77777777" w:rsidTr="00516AB9">
        <w:trPr>
          <w:trHeight w:val="422"/>
        </w:trPr>
        <w:tc>
          <w:tcPr>
            <w:tcW w:w="4364" w:type="dxa"/>
            <w:vAlign w:val="bottom"/>
          </w:tcPr>
          <w:p w14:paraId="48E5D911" w14:textId="77777777" w:rsidR="00516AB9" w:rsidRPr="005C388F" w:rsidRDefault="00516AB9" w:rsidP="00516AB9">
            <w:pPr>
              <w:autoSpaceDE w:val="0"/>
              <w:autoSpaceDN w:val="0"/>
              <w:adjustRightInd w:val="0"/>
              <w:rPr>
                <w:bCs/>
              </w:rPr>
            </w:pPr>
            <w:r w:rsidRPr="005C388F">
              <w:rPr>
                <w:bCs/>
              </w:rPr>
              <w:t>Injury Indicator Spreadsheets due</w:t>
            </w:r>
          </w:p>
        </w:tc>
        <w:tc>
          <w:tcPr>
            <w:tcW w:w="4365" w:type="dxa"/>
            <w:vAlign w:val="bottom"/>
          </w:tcPr>
          <w:p w14:paraId="34C54F2C" w14:textId="77777777" w:rsidR="00516AB9" w:rsidRPr="005C388F" w:rsidRDefault="00516AB9" w:rsidP="00516AB9">
            <w:pPr>
              <w:autoSpaceDE w:val="0"/>
              <w:autoSpaceDN w:val="0"/>
              <w:adjustRightInd w:val="0"/>
              <w:rPr>
                <w:bCs/>
              </w:rPr>
            </w:pPr>
            <w:r w:rsidRPr="005C388F">
              <w:rPr>
                <w:bCs/>
              </w:rPr>
              <w:t>12 months after OMB approval</w:t>
            </w:r>
          </w:p>
        </w:tc>
      </w:tr>
      <w:tr w:rsidR="00516AB9" w:rsidRPr="005C388F" w14:paraId="499A6739" w14:textId="77777777" w:rsidTr="00516AB9">
        <w:trPr>
          <w:trHeight w:val="368"/>
        </w:trPr>
        <w:tc>
          <w:tcPr>
            <w:tcW w:w="4364" w:type="dxa"/>
            <w:vAlign w:val="bottom"/>
          </w:tcPr>
          <w:p w14:paraId="5D3B1B9A" w14:textId="77777777" w:rsidR="00516AB9" w:rsidRPr="005C388F" w:rsidRDefault="00516AB9" w:rsidP="00516AB9">
            <w:pPr>
              <w:autoSpaceDE w:val="0"/>
              <w:autoSpaceDN w:val="0"/>
              <w:adjustRightInd w:val="0"/>
              <w:rPr>
                <w:bCs/>
              </w:rPr>
            </w:pPr>
            <w:r w:rsidRPr="005C388F">
              <w:rPr>
                <w:bCs/>
              </w:rPr>
              <w:t>Validation</w:t>
            </w:r>
          </w:p>
        </w:tc>
        <w:tc>
          <w:tcPr>
            <w:tcW w:w="4365" w:type="dxa"/>
            <w:vAlign w:val="bottom"/>
          </w:tcPr>
          <w:p w14:paraId="3F9EC939" w14:textId="77777777" w:rsidR="00516AB9" w:rsidRPr="005C388F" w:rsidRDefault="00516AB9" w:rsidP="00516AB9">
            <w:pPr>
              <w:autoSpaceDE w:val="0"/>
              <w:autoSpaceDN w:val="0"/>
              <w:adjustRightInd w:val="0"/>
              <w:rPr>
                <w:bCs/>
              </w:rPr>
            </w:pPr>
            <w:r w:rsidRPr="005C388F">
              <w:rPr>
                <w:bCs/>
              </w:rPr>
              <w:t>12-15 months after OMB approval</w:t>
            </w:r>
          </w:p>
        </w:tc>
      </w:tr>
      <w:tr w:rsidR="00516AB9" w:rsidRPr="005C388F" w14:paraId="10CCF50D" w14:textId="77777777" w:rsidTr="00516AB9">
        <w:trPr>
          <w:trHeight w:val="332"/>
        </w:trPr>
        <w:tc>
          <w:tcPr>
            <w:tcW w:w="4364" w:type="dxa"/>
            <w:vAlign w:val="bottom"/>
          </w:tcPr>
          <w:p w14:paraId="4376D58A" w14:textId="77777777" w:rsidR="00516AB9" w:rsidRPr="005C388F" w:rsidRDefault="00516AB9" w:rsidP="00516AB9">
            <w:pPr>
              <w:autoSpaceDE w:val="0"/>
              <w:autoSpaceDN w:val="0"/>
              <w:adjustRightInd w:val="0"/>
              <w:rPr>
                <w:bCs/>
              </w:rPr>
            </w:pPr>
            <w:r w:rsidRPr="005C388F">
              <w:rPr>
                <w:bCs/>
              </w:rPr>
              <w:t>Analyses</w:t>
            </w:r>
          </w:p>
        </w:tc>
        <w:tc>
          <w:tcPr>
            <w:tcW w:w="4365" w:type="dxa"/>
            <w:vAlign w:val="bottom"/>
          </w:tcPr>
          <w:p w14:paraId="40EAF52F" w14:textId="77777777" w:rsidR="00516AB9" w:rsidRPr="005C388F" w:rsidRDefault="00516AB9" w:rsidP="00516AB9">
            <w:pPr>
              <w:autoSpaceDE w:val="0"/>
              <w:autoSpaceDN w:val="0"/>
              <w:adjustRightInd w:val="0"/>
              <w:rPr>
                <w:bCs/>
              </w:rPr>
            </w:pPr>
            <w:r w:rsidRPr="005C388F">
              <w:rPr>
                <w:bCs/>
              </w:rPr>
              <w:t>15-18 months after OMB approval</w:t>
            </w:r>
          </w:p>
        </w:tc>
      </w:tr>
      <w:tr w:rsidR="00516AB9" w:rsidRPr="005C388F" w14:paraId="4FE1D221" w14:textId="77777777" w:rsidTr="00516AB9">
        <w:trPr>
          <w:trHeight w:val="368"/>
        </w:trPr>
        <w:tc>
          <w:tcPr>
            <w:tcW w:w="4364" w:type="dxa"/>
            <w:vAlign w:val="bottom"/>
          </w:tcPr>
          <w:p w14:paraId="21E1B98F" w14:textId="77777777" w:rsidR="00516AB9" w:rsidRPr="005C388F" w:rsidRDefault="00516AB9" w:rsidP="00516AB9">
            <w:pPr>
              <w:autoSpaceDE w:val="0"/>
              <w:autoSpaceDN w:val="0"/>
              <w:adjustRightInd w:val="0"/>
              <w:rPr>
                <w:bCs/>
              </w:rPr>
            </w:pPr>
            <w:r w:rsidRPr="005C388F">
              <w:rPr>
                <w:bCs/>
              </w:rPr>
              <w:t>Reporting to awardees</w:t>
            </w:r>
          </w:p>
        </w:tc>
        <w:tc>
          <w:tcPr>
            <w:tcW w:w="4365" w:type="dxa"/>
            <w:vAlign w:val="bottom"/>
          </w:tcPr>
          <w:p w14:paraId="6B986183" w14:textId="77777777" w:rsidR="00516AB9" w:rsidRPr="005C388F" w:rsidRDefault="00516AB9" w:rsidP="00516AB9">
            <w:pPr>
              <w:autoSpaceDE w:val="0"/>
              <w:autoSpaceDN w:val="0"/>
              <w:adjustRightInd w:val="0"/>
              <w:rPr>
                <w:bCs/>
              </w:rPr>
            </w:pPr>
            <w:r w:rsidRPr="005C388F">
              <w:rPr>
                <w:bCs/>
              </w:rPr>
              <w:t>18-22 months after OMB approval</w:t>
            </w:r>
          </w:p>
        </w:tc>
      </w:tr>
      <w:tr w:rsidR="00516AB9" w:rsidRPr="005C388F" w14:paraId="30220F14" w14:textId="77777777" w:rsidTr="00516AB9">
        <w:trPr>
          <w:trHeight w:val="422"/>
        </w:trPr>
        <w:tc>
          <w:tcPr>
            <w:tcW w:w="4364" w:type="dxa"/>
            <w:vAlign w:val="bottom"/>
          </w:tcPr>
          <w:p w14:paraId="2547196D" w14:textId="77777777" w:rsidR="00516AB9" w:rsidRPr="005C388F" w:rsidRDefault="00516AB9" w:rsidP="00516AB9">
            <w:pPr>
              <w:autoSpaceDE w:val="0"/>
              <w:autoSpaceDN w:val="0"/>
              <w:adjustRightInd w:val="0"/>
              <w:rPr>
                <w:bCs/>
              </w:rPr>
            </w:pPr>
            <w:r w:rsidRPr="005C388F">
              <w:rPr>
                <w:bCs/>
              </w:rPr>
              <w:t>Manuscript development</w:t>
            </w:r>
          </w:p>
        </w:tc>
        <w:tc>
          <w:tcPr>
            <w:tcW w:w="4365" w:type="dxa"/>
            <w:vAlign w:val="bottom"/>
          </w:tcPr>
          <w:p w14:paraId="33A7317B" w14:textId="77777777" w:rsidR="00516AB9" w:rsidRPr="005C388F" w:rsidRDefault="00516AB9" w:rsidP="00516AB9">
            <w:pPr>
              <w:autoSpaceDE w:val="0"/>
              <w:autoSpaceDN w:val="0"/>
              <w:adjustRightInd w:val="0"/>
              <w:rPr>
                <w:bCs/>
              </w:rPr>
            </w:pPr>
            <w:r w:rsidRPr="005C388F">
              <w:rPr>
                <w:bCs/>
              </w:rPr>
              <w:t>22-30 months after OMB approval</w:t>
            </w:r>
          </w:p>
        </w:tc>
      </w:tr>
      <w:tr w:rsidR="00516AB9" w:rsidRPr="005C388F" w14:paraId="517765C7" w14:textId="77777777" w:rsidTr="00516AB9">
        <w:trPr>
          <w:trHeight w:val="368"/>
        </w:trPr>
        <w:tc>
          <w:tcPr>
            <w:tcW w:w="4364" w:type="dxa"/>
            <w:vAlign w:val="bottom"/>
          </w:tcPr>
          <w:p w14:paraId="25A9527A" w14:textId="77777777" w:rsidR="00516AB9" w:rsidRPr="005C388F" w:rsidRDefault="00516AB9" w:rsidP="00516AB9">
            <w:pPr>
              <w:autoSpaceDE w:val="0"/>
              <w:autoSpaceDN w:val="0"/>
              <w:adjustRightInd w:val="0"/>
              <w:rPr>
                <w:bCs/>
              </w:rPr>
            </w:pPr>
            <w:r w:rsidRPr="005C388F">
              <w:rPr>
                <w:bCs/>
              </w:rPr>
              <w:t>Publication</w:t>
            </w:r>
          </w:p>
        </w:tc>
        <w:tc>
          <w:tcPr>
            <w:tcW w:w="4365" w:type="dxa"/>
            <w:vAlign w:val="bottom"/>
          </w:tcPr>
          <w:p w14:paraId="6BCDCE7C" w14:textId="77777777" w:rsidR="00516AB9" w:rsidRPr="005C388F" w:rsidRDefault="00516AB9" w:rsidP="00516AB9">
            <w:pPr>
              <w:autoSpaceDE w:val="0"/>
              <w:autoSpaceDN w:val="0"/>
              <w:adjustRightInd w:val="0"/>
              <w:rPr>
                <w:bCs/>
              </w:rPr>
            </w:pPr>
            <w:r w:rsidRPr="005C388F">
              <w:rPr>
                <w:bCs/>
              </w:rPr>
              <w:t>30-36 months after OMB approval</w:t>
            </w:r>
          </w:p>
        </w:tc>
      </w:tr>
    </w:tbl>
    <w:p w14:paraId="155415D1" w14:textId="77777777" w:rsidR="00516AB9" w:rsidRPr="005C388F" w:rsidRDefault="00516AB9" w:rsidP="00516AB9">
      <w:pPr>
        <w:autoSpaceDE w:val="0"/>
        <w:autoSpaceDN w:val="0"/>
        <w:adjustRightInd w:val="0"/>
        <w:rPr>
          <w:bCs/>
        </w:rPr>
      </w:pPr>
    </w:p>
    <w:p w14:paraId="1C83181C" w14:textId="77777777" w:rsidR="00516AB9" w:rsidRPr="005C388F" w:rsidRDefault="00516AB9" w:rsidP="00516AB9">
      <w:pPr>
        <w:autoSpaceDE w:val="0"/>
        <w:autoSpaceDN w:val="0"/>
        <w:adjustRightInd w:val="0"/>
        <w:rPr>
          <w:bCs/>
        </w:rPr>
      </w:pPr>
    </w:p>
    <w:p w14:paraId="6C40B339" w14:textId="77777777" w:rsidR="00516AB9" w:rsidRPr="005C388F" w:rsidRDefault="00516AB9" w:rsidP="00516AB9">
      <w:pPr>
        <w:autoSpaceDE w:val="0"/>
        <w:autoSpaceDN w:val="0"/>
        <w:adjustRightInd w:val="0"/>
        <w:rPr>
          <w:bCs/>
        </w:rPr>
      </w:pPr>
    </w:p>
    <w:p w14:paraId="5D7B6FB3" w14:textId="77777777" w:rsidR="00AD3B5A" w:rsidRPr="005C388F" w:rsidRDefault="00AD3B5A" w:rsidP="00AD3B5A">
      <w:pPr>
        <w:autoSpaceDE w:val="0"/>
        <w:autoSpaceDN w:val="0"/>
        <w:adjustRightInd w:val="0"/>
        <w:rPr>
          <w:bCs/>
        </w:rPr>
      </w:pPr>
    </w:p>
    <w:p w14:paraId="092895BC" w14:textId="77777777" w:rsidR="00516AB9" w:rsidRPr="005C388F" w:rsidRDefault="00516AB9" w:rsidP="0070531D">
      <w:pPr>
        <w:autoSpaceDE w:val="0"/>
        <w:autoSpaceDN w:val="0"/>
        <w:adjustRightInd w:val="0"/>
        <w:rPr>
          <w:b/>
          <w:bCs/>
        </w:rPr>
      </w:pPr>
    </w:p>
    <w:p w14:paraId="750502DE" w14:textId="77777777" w:rsidR="00516AB9" w:rsidRPr="005C388F" w:rsidRDefault="00516AB9" w:rsidP="0070531D">
      <w:pPr>
        <w:autoSpaceDE w:val="0"/>
        <w:autoSpaceDN w:val="0"/>
        <w:adjustRightInd w:val="0"/>
        <w:rPr>
          <w:b/>
          <w:bCs/>
        </w:rPr>
      </w:pPr>
    </w:p>
    <w:p w14:paraId="5C4BF9FB" w14:textId="77777777" w:rsidR="00516AB9" w:rsidRPr="005C388F" w:rsidRDefault="00516AB9" w:rsidP="0070531D">
      <w:pPr>
        <w:autoSpaceDE w:val="0"/>
        <w:autoSpaceDN w:val="0"/>
        <w:adjustRightInd w:val="0"/>
        <w:rPr>
          <w:b/>
          <w:bCs/>
        </w:rPr>
      </w:pPr>
    </w:p>
    <w:p w14:paraId="69C1EB6C" w14:textId="77777777" w:rsidR="00516AB9" w:rsidRPr="005C388F" w:rsidRDefault="00516AB9" w:rsidP="0070531D">
      <w:pPr>
        <w:autoSpaceDE w:val="0"/>
        <w:autoSpaceDN w:val="0"/>
        <w:adjustRightInd w:val="0"/>
        <w:rPr>
          <w:b/>
          <w:bCs/>
        </w:rPr>
      </w:pPr>
    </w:p>
    <w:p w14:paraId="4F7174E3" w14:textId="77777777" w:rsidR="00516AB9" w:rsidRPr="005C388F" w:rsidRDefault="00516AB9" w:rsidP="0070531D">
      <w:pPr>
        <w:autoSpaceDE w:val="0"/>
        <w:autoSpaceDN w:val="0"/>
        <w:adjustRightInd w:val="0"/>
        <w:rPr>
          <w:b/>
          <w:bCs/>
        </w:rPr>
      </w:pPr>
    </w:p>
    <w:p w14:paraId="4E9DFC75" w14:textId="77777777" w:rsidR="00516AB9" w:rsidRPr="005C388F" w:rsidRDefault="00516AB9" w:rsidP="0070531D">
      <w:pPr>
        <w:autoSpaceDE w:val="0"/>
        <w:autoSpaceDN w:val="0"/>
        <w:adjustRightInd w:val="0"/>
        <w:rPr>
          <w:b/>
          <w:bCs/>
        </w:rPr>
      </w:pPr>
    </w:p>
    <w:p w14:paraId="1DEB0619" w14:textId="77777777" w:rsidR="00516AB9" w:rsidRPr="005C388F" w:rsidRDefault="00516AB9" w:rsidP="0070531D">
      <w:pPr>
        <w:autoSpaceDE w:val="0"/>
        <w:autoSpaceDN w:val="0"/>
        <w:adjustRightInd w:val="0"/>
        <w:rPr>
          <w:b/>
          <w:bCs/>
        </w:rPr>
      </w:pPr>
    </w:p>
    <w:p w14:paraId="5C55AEA5" w14:textId="77777777" w:rsidR="00516AB9" w:rsidRPr="005C388F" w:rsidRDefault="00516AB9" w:rsidP="0070531D">
      <w:pPr>
        <w:autoSpaceDE w:val="0"/>
        <w:autoSpaceDN w:val="0"/>
        <w:adjustRightInd w:val="0"/>
        <w:rPr>
          <w:b/>
          <w:bCs/>
        </w:rPr>
      </w:pPr>
    </w:p>
    <w:p w14:paraId="6C887183" w14:textId="77777777" w:rsidR="00516AB9" w:rsidRPr="005C388F" w:rsidRDefault="00516AB9" w:rsidP="0070531D">
      <w:pPr>
        <w:autoSpaceDE w:val="0"/>
        <w:autoSpaceDN w:val="0"/>
        <w:adjustRightInd w:val="0"/>
        <w:rPr>
          <w:b/>
          <w:bCs/>
        </w:rPr>
      </w:pPr>
    </w:p>
    <w:p w14:paraId="49778FD9" w14:textId="77777777" w:rsidR="00516AB9" w:rsidRPr="005C388F" w:rsidRDefault="00516AB9" w:rsidP="0070531D">
      <w:pPr>
        <w:autoSpaceDE w:val="0"/>
        <w:autoSpaceDN w:val="0"/>
        <w:adjustRightInd w:val="0"/>
        <w:rPr>
          <w:b/>
          <w:bCs/>
        </w:rPr>
      </w:pPr>
    </w:p>
    <w:p w14:paraId="0AD648FC" w14:textId="77777777" w:rsidR="00516AB9" w:rsidRPr="005C388F" w:rsidRDefault="00516AB9" w:rsidP="0070531D">
      <w:pPr>
        <w:autoSpaceDE w:val="0"/>
        <w:autoSpaceDN w:val="0"/>
        <w:adjustRightInd w:val="0"/>
        <w:rPr>
          <w:b/>
          <w:bCs/>
        </w:rPr>
      </w:pPr>
    </w:p>
    <w:p w14:paraId="59BA9428" w14:textId="77777777" w:rsidR="00516AB9" w:rsidRPr="005C388F" w:rsidRDefault="00516AB9" w:rsidP="0070531D">
      <w:pPr>
        <w:autoSpaceDE w:val="0"/>
        <w:autoSpaceDN w:val="0"/>
        <w:adjustRightInd w:val="0"/>
        <w:rPr>
          <w:b/>
          <w:bCs/>
        </w:rPr>
      </w:pPr>
    </w:p>
    <w:p w14:paraId="73F4651B" w14:textId="77777777" w:rsidR="00972DEF" w:rsidRPr="005C388F" w:rsidRDefault="00972DEF" w:rsidP="0070531D">
      <w:pPr>
        <w:autoSpaceDE w:val="0"/>
        <w:autoSpaceDN w:val="0"/>
        <w:adjustRightInd w:val="0"/>
        <w:rPr>
          <w:b/>
          <w:bCs/>
        </w:rPr>
      </w:pPr>
      <w:r w:rsidRPr="005C388F">
        <w:rPr>
          <w:b/>
          <w:bCs/>
        </w:rPr>
        <w:t xml:space="preserve">A.17. Reason(s) Display of OMB Expiration Date is Inappropriate </w:t>
      </w:r>
    </w:p>
    <w:p w14:paraId="73F4651C" w14:textId="77777777" w:rsidR="00972DEF" w:rsidRPr="005C388F" w:rsidRDefault="00972DEF" w:rsidP="0070531D">
      <w:pPr>
        <w:autoSpaceDE w:val="0"/>
        <w:autoSpaceDN w:val="0"/>
        <w:adjustRightInd w:val="0"/>
        <w:rPr>
          <w:b/>
          <w:bCs/>
        </w:rPr>
      </w:pPr>
    </w:p>
    <w:p w14:paraId="73F4651D" w14:textId="77777777" w:rsidR="00972DEF" w:rsidRPr="005C388F" w:rsidRDefault="008429DD" w:rsidP="0070531D">
      <w:pPr>
        <w:autoSpaceDE w:val="0"/>
        <w:autoSpaceDN w:val="0"/>
        <w:adjustRightInd w:val="0"/>
      </w:pPr>
      <w:r w:rsidRPr="005C388F">
        <w:t>The display of the OMB expiration date is not inappropriate</w:t>
      </w:r>
      <w:r w:rsidR="00D11EEB" w:rsidRPr="005C388F">
        <w:t>.</w:t>
      </w:r>
    </w:p>
    <w:p w14:paraId="73F4651E" w14:textId="77777777" w:rsidR="00972DEF" w:rsidRPr="005C388F" w:rsidRDefault="00972DEF" w:rsidP="0070531D">
      <w:pPr>
        <w:autoSpaceDE w:val="0"/>
        <w:autoSpaceDN w:val="0"/>
        <w:adjustRightInd w:val="0"/>
      </w:pPr>
    </w:p>
    <w:p w14:paraId="37187321" w14:textId="77777777" w:rsidR="000B56AE" w:rsidRPr="005C388F" w:rsidRDefault="000B56AE" w:rsidP="0070531D">
      <w:pPr>
        <w:autoSpaceDE w:val="0"/>
        <w:autoSpaceDN w:val="0"/>
        <w:adjustRightInd w:val="0"/>
        <w:rPr>
          <w:b/>
          <w:bCs/>
        </w:rPr>
      </w:pPr>
    </w:p>
    <w:p w14:paraId="73F4651F" w14:textId="77777777" w:rsidR="00972DEF" w:rsidRPr="005C388F" w:rsidRDefault="00972DEF" w:rsidP="0070531D">
      <w:pPr>
        <w:autoSpaceDE w:val="0"/>
        <w:autoSpaceDN w:val="0"/>
        <w:adjustRightInd w:val="0"/>
        <w:rPr>
          <w:b/>
          <w:bCs/>
        </w:rPr>
      </w:pPr>
      <w:r w:rsidRPr="005C388F">
        <w:rPr>
          <w:b/>
          <w:bCs/>
        </w:rPr>
        <w:t xml:space="preserve">A.18. Exceptions to Certification for Paperwork Reduction Act Submissions </w:t>
      </w:r>
    </w:p>
    <w:p w14:paraId="73F46520" w14:textId="77777777" w:rsidR="00972DEF" w:rsidRPr="005C388F" w:rsidRDefault="00972DEF" w:rsidP="0070531D">
      <w:pPr>
        <w:autoSpaceDE w:val="0"/>
        <w:autoSpaceDN w:val="0"/>
        <w:adjustRightInd w:val="0"/>
        <w:rPr>
          <w:b/>
          <w:bCs/>
        </w:rPr>
      </w:pPr>
    </w:p>
    <w:p w14:paraId="73F46521" w14:textId="77777777" w:rsidR="00972DEF" w:rsidRPr="005C388F" w:rsidRDefault="00972DEF" w:rsidP="0070531D">
      <w:pPr>
        <w:autoSpaceDE w:val="0"/>
        <w:autoSpaceDN w:val="0"/>
        <w:adjustRightInd w:val="0"/>
      </w:pPr>
      <w:r w:rsidRPr="005C388F">
        <w:t>There are no exceptions to the certification.</w:t>
      </w:r>
    </w:p>
    <w:p w14:paraId="4F82E98D" w14:textId="6FB1B2B3" w:rsidR="00AD3B5A" w:rsidRPr="005C388F" w:rsidRDefault="00420226" w:rsidP="0070531D">
      <w:pPr>
        <w:autoSpaceDE w:val="0"/>
        <w:autoSpaceDN w:val="0"/>
        <w:adjustRightInd w:val="0"/>
      </w:pPr>
      <w:r w:rsidRPr="005C388F">
        <w:t xml:space="preserve"> </w:t>
      </w:r>
    </w:p>
    <w:p w14:paraId="7D050612" w14:textId="47088D58" w:rsidR="00E40935" w:rsidRPr="005C388F" w:rsidRDefault="00E40935">
      <w:pPr>
        <w:rPr>
          <w:b/>
          <w:bCs/>
        </w:rPr>
      </w:pPr>
    </w:p>
    <w:sectPr w:rsidR="00E40935" w:rsidRPr="005C388F" w:rsidSect="002766A7">
      <w:footerReference w:type="even" r:id="rId12"/>
      <w:footerReference w:type="default" r:id="rId13"/>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46529" w14:textId="77777777" w:rsidR="00BD0549" w:rsidRDefault="00BD0549">
      <w:r>
        <w:separator/>
      </w:r>
    </w:p>
  </w:endnote>
  <w:endnote w:type="continuationSeparator" w:id="0">
    <w:p w14:paraId="73F4652A" w14:textId="77777777" w:rsidR="00BD0549" w:rsidRDefault="00BD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652B" w14:textId="77777777" w:rsidR="00BD0549" w:rsidRDefault="00BD0549"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4652C" w14:textId="77777777" w:rsidR="00BD0549" w:rsidRDefault="00BD0549"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03055"/>
      <w:docPartObj>
        <w:docPartGallery w:val="Page Numbers (Bottom of Page)"/>
        <w:docPartUnique/>
      </w:docPartObj>
    </w:sdtPr>
    <w:sdtEndPr>
      <w:rPr>
        <w:noProof/>
      </w:rPr>
    </w:sdtEndPr>
    <w:sdtContent>
      <w:p w14:paraId="104C138C" w14:textId="17146B20" w:rsidR="00BD0549" w:rsidRDefault="00BD0549">
        <w:pPr>
          <w:pStyle w:val="Footer"/>
          <w:jc w:val="right"/>
        </w:pPr>
        <w:r>
          <w:fldChar w:fldCharType="begin"/>
        </w:r>
        <w:r>
          <w:instrText xml:space="preserve"> PAGE   \* MERGEFORMAT </w:instrText>
        </w:r>
        <w:r>
          <w:fldChar w:fldCharType="separate"/>
        </w:r>
        <w:r w:rsidR="00F86190">
          <w:rPr>
            <w:noProof/>
          </w:rPr>
          <w:t>14</w:t>
        </w:r>
        <w:r>
          <w:rPr>
            <w:noProof/>
          </w:rPr>
          <w:fldChar w:fldCharType="end"/>
        </w:r>
      </w:p>
    </w:sdtContent>
  </w:sdt>
  <w:p w14:paraId="73F4652E" w14:textId="77777777" w:rsidR="00BD0549" w:rsidRPr="00BB4559" w:rsidRDefault="00BD0549"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46527" w14:textId="77777777" w:rsidR="00BD0549" w:rsidRDefault="00BD0549">
      <w:r>
        <w:separator/>
      </w:r>
    </w:p>
  </w:footnote>
  <w:footnote w:type="continuationSeparator" w:id="0">
    <w:p w14:paraId="73F46528" w14:textId="77777777" w:rsidR="00BD0549" w:rsidRDefault="00BD0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52A1"/>
    <w:multiLevelType w:val="hybridMultilevel"/>
    <w:tmpl w:val="501C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8831AA"/>
    <w:multiLevelType w:val="hybridMultilevel"/>
    <w:tmpl w:val="2C5AB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F7F5D1D"/>
    <w:multiLevelType w:val="hybridMultilevel"/>
    <w:tmpl w:val="F4A297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1275D9C"/>
    <w:multiLevelType w:val="hybridMultilevel"/>
    <w:tmpl w:val="71F2C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D93719"/>
    <w:multiLevelType w:val="hybridMultilevel"/>
    <w:tmpl w:val="CE9A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F3505"/>
    <w:multiLevelType w:val="hybridMultilevel"/>
    <w:tmpl w:val="E3863958"/>
    <w:lvl w:ilvl="0" w:tplc="04090001">
      <w:start w:val="1"/>
      <w:numFmt w:val="bullet"/>
      <w:lvlText w:val=""/>
      <w:lvlJc w:val="left"/>
      <w:pPr>
        <w:tabs>
          <w:tab w:val="num" w:pos="720"/>
        </w:tabs>
        <w:ind w:left="720" w:hanging="360"/>
      </w:pPr>
      <w:rPr>
        <w:rFonts w:ascii="Symbol" w:hAnsi="Symbol" w:hint="default"/>
        <w:i w:val="0"/>
      </w:rPr>
    </w:lvl>
    <w:lvl w:ilvl="1" w:tplc="04090001">
      <w:start w:val="1"/>
      <w:numFmt w:val="bullet"/>
      <w:lvlText w:val=""/>
      <w:lvlJc w:val="left"/>
      <w:pPr>
        <w:tabs>
          <w:tab w:val="num" w:pos="1440"/>
        </w:tabs>
        <w:ind w:left="1440" w:hanging="360"/>
      </w:pPr>
      <w:rPr>
        <w:rFonts w:ascii="Symbol" w:hAnsi="Symbol"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B35C28"/>
    <w:multiLevelType w:val="hybridMultilevel"/>
    <w:tmpl w:val="95E4E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F77A6"/>
    <w:multiLevelType w:val="hybridMultilevel"/>
    <w:tmpl w:val="ED4A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371353"/>
    <w:multiLevelType w:val="hybridMultilevel"/>
    <w:tmpl w:val="FBB0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F69C5"/>
    <w:multiLevelType w:val="hybridMultilevel"/>
    <w:tmpl w:val="0A76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31978"/>
    <w:multiLevelType w:val="hybridMultilevel"/>
    <w:tmpl w:val="50FEB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A6102"/>
    <w:multiLevelType w:val="hybridMultilevel"/>
    <w:tmpl w:val="C87025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2B3007"/>
    <w:multiLevelType w:val="hybridMultilevel"/>
    <w:tmpl w:val="50FEB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25"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5"/>
  </w:num>
  <w:num w:numId="4">
    <w:abstractNumId w:val="6"/>
  </w:num>
  <w:num w:numId="5">
    <w:abstractNumId w:val="9"/>
  </w:num>
  <w:num w:numId="6">
    <w:abstractNumId w:val="10"/>
  </w:num>
  <w:num w:numId="7">
    <w:abstractNumId w:val="8"/>
  </w:num>
  <w:num w:numId="8">
    <w:abstractNumId w:val="22"/>
  </w:num>
  <w:num w:numId="9">
    <w:abstractNumId w:val="25"/>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4"/>
  </w:num>
  <w:num w:numId="17">
    <w:abstractNumId w:val="15"/>
  </w:num>
  <w:num w:numId="18">
    <w:abstractNumId w:val="12"/>
  </w:num>
  <w:num w:numId="19">
    <w:abstractNumId w:val="1"/>
  </w:num>
  <w:num w:numId="20">
    <w:abstractNumId w:val="23"/>
  </w:num>
  <w:num w:numId="21">
    <w:abstractNumId w:val="14"/>
  </w:num>
  <w:num w:numId="22">
    <w:abstractNumId w:val="21"/>
  </w:num>
  <w:num w:numId="23">
    <w:abstractNumId w:val="0"/>
  </w:num>
  <w:num w:numId="24">
    <w:abstractNumId w:val="11"/>
  </w:num>
  <w:num w:numId="25">
    <w:abstractNumId w:val="19"/>
  </w:num>
  <w:num w:numId="26">
    <w:abstractNumId w:val="20"/>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108B"/>
    <w:rsid w:val="00002669"/>
    <w:rsid w:val="00002CB2"/>
    <w:rsid w:val="00003D0C"/>
    <w:rsid w:val="000068D5"/>
    <w:rsid w:val="00006CD4"/>
    <w:rsid w:val="00012596"/>
    <w:rsid w:val="00013F0A"/>
    <w:rsid w:val="00014066"/>
    <w:rsid w:val="0001452F"/>
    <w:rsid w:val="00014C5D"/>
    <w:rsid w:val="000151A9"/>
    <w:rsid w:val="00016B84"/>
    <w:rsid w:val="000208F1"/>
    <w:rsid w:val="00020DB7"/>
    <w:rsid w:val="00022016"/>
    <w:rsid w:val="000236D9"/>
    <w:rsid w:val="00024097"/>
    <w:rsid w:val="00026C55"/>
    <w:rsid w:val="00030B06"/>
    <w:rsid w:val="00032EAB"/>
    <w:rsid w:val="00034D66"/>
    <w:rsid w:val="00035889"/>
    <w:rsid w:val="00037139"/>
    <w:rsid w:val="00040551"/>
    <w:rsid w:val="00041FCE"/>
    <w:rsid w:val="00043C49"/>
    <w:rsid w:val="000462CE"/>
    <w:rsid w:val="00046631"/>
    <w:rsid w:val="00046D69"/>
    <w:rsid w:val="00047243"/>
    <w:rsid w:val="00047CD9"/>
    <w:rsid w:val="000523C9"/>
    <w:rsid w:val="0005319C"/>
    <w:rsid w:val="00054F7E"/>
    <w:rsid w:val="0005567A"/>
    <w:rsid w:val="000630F3"/>
    <w:rsid w:val="00063B71"/>
    <w:rsid w:val="00063EA6"/>
    <w:rsid w:val="000642F2"/>
    <w:rsid w:val="000663CC"/>
    <w:rsid w:val="000665B4"/>
    <w:rsid w:val="000711CD"/>
    <w:rsid w:val="00082FB9"/>
    <w:rsid w:val="000847B7"/>
    <w:rsid w:val="00084F1E"/>
    <w:rsid w:val="00085277"/>
    <w:rsid w:val="000858FA"/>
    <w:rsid w:val="0009080F"/>
    <w:rsid w:val="000925D2"/>
    <w:rsid w:val="00093851"/>
    <w:rsid w:val="00094BF2"/>
    <w:rsid w:val="00095AF9"/>
    <w:rsid w:val="00096849"/>
    <w:rsid w:val="000A0F71"/>
    <w:rsid w:val="000A5E8C"/>
    <w:rsid w:val="000B4CB5"/>
    <w:rsid w:val="000B56AE"/>
    <w:rsid w:val="000B7303"/>
    <w:rsid w:val="000C274B"/>
    <w:rsid w:val="000C2EFC"/>
    <w:rsid w:val="000C3B79"/>
    <w:rsid w:val="000C4150"/>
    <w:rsid w:val="000C4CAF"/>
    <w:rsid w:val="000C70D5"/>
    <w:rsid w:val="000D05A0"/>
    <w:rsid w:val="000D0892"/>
    <w:rsid w:val="000D31C0"/>
    <w:rsid w:val="000D3476"/>
    <w:rsid w:val="000D4D34"/>
    <w:rsid w:val="000D6544"/>
    <w:rsid w:val="000E3608"/>
    <w:rsid w:val="000E3BC9"/>
    <w:rsid w:val="000F0EE6"/>
    <w:rsid w:val="000F1766"/>
    <w:rsid w:val="000F19A7"/>
    <w:rsid w:val="000F3C37"/>
    <w:rsid w:val="000F50B9"/>
    <w:rsid w:val="000F55B5"/>
    <w:rsid w:val="00100D30"/>
    <w:rsid w:val="00102734"/>
    <w:rsid w:val="00103D59"/>
    <w:rsid w:val="001125B4"/>
    <w:rsid w:val="001134E9"/>
    <w:rsid w:val="00115D62"/>
    <w:rsid w:val="00117092"/>
    <w:rsid w:val="00122751"/>
    <w:rsid w:val="001236BE"/>
    <w:rsid w:val="001245D1"/>
    <w:rsid w:val="00124EB1"/>
    <w:rsid w:val="00124F7A"/>
    <w:rsid w:val="0012575C"/>
    <w:rsid w:val="00125D25"/>
    <w:rsid w:val="0013185D"/>
    <w:rsid w:val="00133154"/>
    <w:rsid w:val="00133289"/>
    <w:rsid w:val="00134B30"/>
    <w:rsid w:val="001355B4"/>
    <w:rsid w:val="00135823"/>
    <w:rsid w:val="00140AD2"/>
    <w:rsid w:val="00141F78"/>
    <w:rsid w:val="00143326"/>
    <w:rsid w:val="00143A97"/>
    <w:rsid w:val="00143BF1"/>
    <w:rsid w:val="001440C5"/>
    <w:rsid w:val="00144640"/>
    <w:rsid w:val="001466FF"/>
    <w:rsid w:val="00147660"/>
    <w:rsid w:val="00147F0D"/>
    <w:rsid w:val="0015229E"/>
    <w:rsid w:val="00152324"/>
    <w:rsid w:val="001528DE"/>
    <w:rsid w:val="00153B43"/>
    <w:rsid w:val="001543AF"/>
    <w:rsid w:val="001553BF"/>
    <w:rsid w:val="0016121C"/>
    <w:rsid w:val="00162CE1"/>
    <w:rsid w:val="0016565B"/>
    <w:rsid w:val="00166105"/>
    <w:rsid w:val="001668C4"/>
    <w:rsid w:val="0017277B"/>
    <w:rsid w:val="0018364C"/>
    <w:rsid w:val="00183655"/>
    <w:rsid w:val="001838E3"/>
    <w:rsid w:val="00190B66"/>
    <w:rsid w:val="00190E6C"/>
    <w:rsid w:val="00191682"/>
    <w:rsid w:val="0019427F"/>
    <w:rsid w:val="00195C2D"/>
    <w:rsid w:val="0019616B"/>
    <w:rsid w:val="00197F26"/>
    <w:rsid w:val="001A05F9"/>
    <w:rsid w:val="001A0A8C"/>
    <w:rsid w:val="001A0FFB"/>
    <w:rsid w:val="001A25A8"/>
    <w:rsid w:val="001A4A8D"/>
    <w:rsid w:val="001A4E71"/>
    <w:rsid w:val="001A569A"/>
    <w:rsid w:val="001A5E9F"/>
    <w:rsid w:val="001A6157"/>
    <w:rsid w:val="001A77D0"/>
    <w:rsid w:val="001A7C5C"/>
    <w:rsid w:val="001B218A"/>
    <w:rsid w:val="001B2979"/>
    <w:rsid w:val="001B3200"/>
    <w:rsid w:val="001B43C7"/>
    <w:rsid w:val="001B495A"/>
    <w:rsid w:val="001B6D5A"/>
    <w:rsid w:val="001C03CC"/>
    <w:rsid w:val="001C0E4A"/>
    <w:rsid w:val="001C3C6B"/>
    <w:rsid w:val="001C4949"/>
    <w:rsid w:val="001C4D29"/>
    <w:rsid w:val="001C7212"/>
    <w:rsid w:val="001C7245"/>
    <w:rsid w:val="001C79EF"/>
    <w:rsid w:val="001D230B"/>
    <w:rsid w:val="001D3732"/>
    <w:rsid w:val="001D3733"/>
    <w:rsid w:val="001D3CE3"/>
    <w:rsid w:val="001D55A6"/>
    <w:rsid w:val="001E07EB"/>
    <w:rsid w:val="001E1A5D"/>
    <w:rsid w:val="001E2C7A"/>
    <w:rsid w:val="001E5261"/>
    <w:rsid w:val="001E5D90"/>
    <w:rsid w:val="001E7051"/>
    <w:rsid w:val="001E7277"/>
    <w:rsid w:val="001F0E36"/>
    <w:rsid w:val="001F1FDA"/>
    <w:rsid w:val="001F2730"/>
    <w:rsid w:val="001F2E0D"/>
    <w:rsid w:val="001F3081"/>
    <w:rsid w:val="001F4E47"/>
    <w:rsid w:val="001F51E2"/>
    <w:rsid w:val="001F6EB7"/>
    <w:rsid w:val="00200EF9"/>
    <w:rsid w:val="0020133D"/>
    <w:rsid w:val="0020149B"/>
    <w:rsid w:val="00202616"/>
    <w:rsid w:val="00203779"/>
    <w:rsid w:val="00203955"/>
    <w:rsid w:val="00205D79"/>
    <w:rsid w:val="00211543"/>
    <w:rsid w:val="00211558"/>
    <w:rsid w:val="002121A0"/>
    <w:rsid w:val="00212621"/>
    <w:rsid w:val="00212983"/>
    <w:rsid w:val="00213213"/>
    <w:rsid w:val="00214CF6"/>
    <w:rsid w:val="00215ED9"/>
    <w:rsid w:val="002174E2"/>
    <w:rsid w:val="00220898"/>
    <w:rsid w:val="00222B5F"/>
    <w:rsid w:val="00222E65"/>
    <w:rsid w:val="002254E6"/>
    <w:rsid w:val="00227662"/>
    <w:rsid w:val="00233FB1"/>
    <w:rsid w:val="00234AED"/>
    <w:rsid w:val="00234FD5"/>
    <w:rsid w:val="002368ED"/>
    <w:rsid w:val="00236E15"/>
    <w:rsid w:val="00237911"/>
    <w:rsid w:val="002420E6"/>
    <w:rsid w:val="00242B38"/>
    <w:rsid w:val="002430E8"/>
    <w:rsid w:val="00246705"/>
    <w:rsid w:val="00252BEE"/>
    <w:rsid w:val="0025574D"/>
    <w:rsid w:val="00261426"/>
    <w:rsid w:val="00263928"/>
    <w:rsid w:val="00264D0A"/>
    <w:rsid w:val="0026518B"/>
    <w:rsid w:val="00265796"/>
    <w:rsid w:val="00267068"/>
    <w:rsid w:val="00267102"/>
    <w:rsid w:val="0027160A"/>
    <w:rsid w:val="00271E8F"/>
    <w:rsid w:val="00273085"/>
    <w:rsid w:val="00274D73"/>
    <w:rsid w:val="00275112"/>
    <w:rsid w:val="002766A7"/>
    <w:rsid w:val="0027700E"/>
    <w:rsid w:val="0027701C"/>
    <w:rsid w:val="00277131"/>
    <w:rsid w:val="00282E91"/>
    <w:rsid w:val="002868D1"/>
    <w:rsid w:val="00286B9B"/>
    <w:rsid w:val="00287302"/>
    <w:rsid w:val="0028778D"/>
    <w:rsid w:val="00287B54"/>
    <w:rsid w:val="002905C8"/>
    <w:rsid w:val="0029208C"/>
    <w:rsid w:val="00293622"/>
    <w:rsid w:val="00295BB7"/>
    <w:rsid w:val="002963A8"/>
    <w:rsid w:val="0029651F"/>
    <w:rsid w:val="002A25C6"/>
    <w:rsid w:val="002A71C6"/>
    <w:rsid w:val="002A7BE0"/>
    <w:rsid w:val="002B1F00"/>
    <w:rsid w:val="002B1FD3"/>
    <w:rsid w:val="002B4943"/>
    <w:rsid w:val="002B4F11"/>
    <w:rsid w:val="002B686F"/>
    <w:rsid w:val="002B7441"/>
    <w:rsid w:val="002B7E2E"/>
    <w:rsid w:val="002B7F79"/>
    <w:rsid w:val="002C06FE"/>
    <w:rsid w:val="002C0813"/>
    <w:rsid w:val="002C3BEA"/>
    <w:rsid w:val="002C3E7A"/>
    <w:rsid w:val="002C5DEA"/>
    <w:rsid w:val="002D1314"/>
    <w:rsid w:val="002D1936"/>
    <w:rsid w:val="002D5113"/>
    <w:rsid w:val="002D626B"/>
    <w:rsid w:val="002D76BB"/>
    <w:rsid w:val="002E2B98"/>
    <w:rsid w:val="002E3A2A"/>
    <w:rsid w:val="002E447A"/>
    <w:rsid w:val="002E45B2"/>
    <w:rsid w:val="002F06E6"/>
    <w:rsid w:val="002F0D3D"/>
    <w:rsid w:val="002F55BA"/>
    <w:rsid w:val="002F658C"/>
    <w:rsid w:val="002F7686"/>
    <w:rsid w:val="0030062F"/>
    <w:rsid w:val="00300922"/>
    <w:rsid w:val="00303D69"/>
    <w:rsid w:val="00304DCF"/>
    <w:rsid w:val="00305166"/>
    <w:rsid w:val="003056EB"/>
    <w:rsid w:val="00305748"/>
    <w:rsid w:val="00305806"/>
    <w:rsid w:val="00307CE5"/>
    <w:rsid w:val="00307DC2"/>
    <w:rsid w:val="0031068A"/>
    <w:rsid w:val="00313C77"/>
    <w:rsid w:val="00314191"/>
    <w:rsid w:val="00317A2B"/>
    <w:rsid w:val="00317FF8"/>
    <w:rsid w:val="0032078A"/>
    <w:rsid w:val="00321103"/>
    <w:rsid w:val="003213FB"/>
    <w:rsid w:val="0032281D"/>
    <w:rsid w:val="00322A75"/>
    <w:rsid w:val="003230B8"/>
    <w:rsid w:val="0032357F"/>
    <w:rsid w:val="003245AD"/>
    <w:rsid w:val="00330867"/>
    <w:rsid w:val="00330C43"/>
    <w:rsid w:val="00334B07"/>
    <w:rsid w:val="00335D3D"/>
    <w:rsid w:val="00336388"/>
    <w:rsid w:val="003369F1"/>
    <w:rsid w:val="003379A2"/>
    <w:rsid w:val="00337C4A"/>
    <w:rsid w:val="00337E44"/>
    <w:rsid w:val="00337FCD"/>
    <w:rsid w:val="00340525"/>
    <w:rsid w:val="00341386"/>
    <w:rsid w:val="00343A0C"/>
    <w:rsid w:val="003467B9"/>
    <w:rsid w:val="003474F1"/>
    <w:rsid w:val="00351B4A"/>
    <w:rsid w:val="00352DA4"/>
    <w:rsid w:val="003544B9"/>
    <w:rsid w:val="00357140"/>
    <w:rsid w:val="00360C3E"/>
    <w:rsid w:val="00360F81"/>
    <w:rsid w:val="00361659"/>
    <w:rsid w:val="00362CAD"/>
    <w:rsid w:val="003648F2"/>
    <w:rsid w:val="0037022F"/>
    <w:rsid w:val="00370F4E"/>
    <w:rsid w:val="00371A78"/>
    <w:rsid w:val="00373237"/>
    <w:rsid w:val="00373317"/>
    <w:rsid w:val="00375933"/>
    <w:rsid w:val="00377B8E"/>
    <w:rsid w:val="0038124B"/>
    <w:rsid w:val="00382642"/>
    <w:rsid w:val="0038374C"/>
    <w:rsid w:val="00384074"/>
    <w:rsid w:val="00386D2B"/>
    <w:rsid w:val="00386DC7"/>
    <w:rsid w:val="003901C4"/>
    <w:rsid w:val="00390B26"/>
    <w:rsid w:val="00390B3E"/>
    <w:rsid w:val="0039296A"/>
    <w:rsid w:val="00392A36"/>
    <w:rsid w:val="00393820"/>
    <w:rsid w:val="00395139"/>
    <w:rsid w:val="00395197"/>
    <w:rsid w:val="0039709E"/>
    <w:rsid w:val="003A236F"/>
    <w:rsid w:val="003A517B"/>
    <w:rsid w:val="003A5968"/>
    <w:rsid w:val="003A6381"/>
    <w:rsid w:val="003B1062"/>
    <w:rsid w:val="003B14A4"/>
    <w:rsid w:val="003B1FC1"/>
    <w:rsid w:val="003B3C8F"/>
    <w:rsid w:val="003B4D2D"/>
    <w:rsid w:val="003B54A2"/>
    <w:rsid w:val="003B62E6"/>
    <w:rsid w:val="003B6AB5"/>
    <w:rsid w:val="003B6E8E"/>
    <w:rsid w:val="003C01FE"/>
    <w:rsid w:val="003C2F65"/>
    <w:rsid w:val="003C5105"/>
    <w:rsid w:val="003C6134"/>
    <w:rsid w:val="003C61ED"/>
    <w:rsid w:val="003C657F"/>
    <w:rsid w:val="003C6986"/>
    <w:rsid w:val="003D01BA"/>
    <w:rsid w:val="003D069B"/>
    <w:rsid w:val="003D0E3E"/>
    <w:rsid w:val="003D29AA"/>
    <w:rsid w:val="003E1523"/>
    <w:rsid w:val="003E55D9"/>
    <w:rsid w:val="003F2103"/>
    <w:rsid w:val="003F24FB"/>
    <w:rsid w:val="003F2567"/>
    <w:rsid w:val="003F39D3"/>
    <w:rsid w:val="003F3D99"/>
    <w:rsid w:val="003F4612"/>
    <w:rsid w:val="003F4EDC"/>
    <w:rsid w:val="003F647A"/>
    <w:rsid w:val="003F77E5"/>
    <w:rsid w:val="004016E1"/>
    <w:rsid w:val="00401926"/>
    <w:rsid w:val="00403F01"/>
    <w:rsid w:val="0040417C"/>
    <w:rsid w:val="004055ED"/>
    <w:rsid w:val="00405CC1"/>
    <w:rsid w:val="00410DE1"/>
    <w:rsid w:val="00413799"/>
    <w:rsid w:val="00414129"/>
    <w:rsid w:val="00414F4D"/>
    <w:rsid w:val="00420226"/>
    <w:rsid w:val="004270FA"/>
    <w:rsid w:val="004308C9"/>
    <w:rsid w:val="0043129A"/>
    <w:rsid w:val="0043245D"/>
    <w:rsid w:val="00432B61"/>
    <w:rsid w:val="00434AC6"/>
    <w:rsid w:val="00435F41"/>
    <w:rsid w:val="00440CAA"/>
    <w:rsid w:val="00444062"/>
    <w:rsid w:val="00445E72"/>
    <w:rsid w:val="004463FB"/>
    <w:rsid w:val="004467D7"/>
    <w:rsid w:val="00447B2A"/>
    <w:rsid w:val="00450F0A"/>
    <w:rsid w:val="0045133E"/>
    <w:rsid w:val="0045156A"/>
    <w:rsid w:val="00452D20"/>
    <w:rsid w:val="004557D8"/>
    <w:rsid w:val="0046057F"/>
    <w:rsid w:val="004629C8"/>
    <w:rsid w:val="00462A10"/>
    <w:rsid w:val="00462C2C"/>
    <w:rsid w:val="00463909"/>
    <w:rsid w:val="0046461B"/>
    <w:rsid w:val="004652C6"/>
    <w:rsid w:val="00465E5A"/>
    <w:rsid w:val="00466B57"/>
    <w:rsid w:val="00466C9E"/>
    <w:rsid w:val="00467698"/>
    <w:rsid w:val="00467DF4"/>
    <w:rsid w:val="004711E7"/>
    <w:rsid w:val="004712A2"/>
    <w:rsid w:val="00473C54"/>
    <w:rsid w:val="0047487F"/>
    <w:rsid w:val="0047522A"/>
    <w:rsid w:val="0047702E"/>
    <w:rsid w:val="00477041"/>
    <w:rsid w:val="00480944"/>
    <w:rsid w:val="00483754"/>
    <w:rsid w:val="004839C3"/>
    <w:rsid w:val="00483ACE"/>
    <w:rsid w:val="00483EA0"/>
    <w:rsid w:val="004866F0"/>
    <w:rsid w:val="00486B82"/>
    <w:rsid w:val="00486BF8"/>
    <w:rsid w:val="0049057C"/>
    <w:rsid w:val="00490F99"/>
    <w:rsid w:val="004930E9"/>
    <w:rsid w:val="004941DD"/>
    <w:rsid w:val="00495DF8"/>
    <w:rsid w:val="004964BB"/>
    <w:rsid w:val="004966A9"/>
    <w:rsid w:val="0049676D"/>
    <w:rsid w:val="004970E0"/>
    <w:rsid w:val="004A33B3"/>
    <w:rsid w:val="004A3A24"/>
    <w:rsid w:val="004A4436"/>
    <w:rsid w:val="004A5382"/>
    <w:rsid w:val="004B00F9"/>
    <w:rsid w:val="004B1AD2"/>
    <w:rsid w:val="004B21CF"/>
    <w:rsid w:val="004B43E5"/>
    <w:rsid w:val="004B65A1"/>
    <w:rsid w:val="004C1CC6"/>
    <w:rsid w:val="004C2F34"/>
    <w:rsid w:val="004C382C"/>
    <w:rsid w:val="004C3842"/>
    <w:rsid w:val="004C4BBD"/>
    <w:rsid w:val="004C7230"/>
    <w:rsid w:val="004D01B3"/>
    <w:rsid w:val="004D0582"/>
    <w:rsid w:val="004D098F"/>
    <w:rsid w:val="004D15BB"/>
    <w:rsid w:val="004D3458"/>
    <w:rsid w:val="004D5948"/>
    <w:rsid w:val="004D5A0E"/>
    <w:rsid w:val="004D6211"/>
    <w:rsid w:val="004D6379"/>
    <w:rsid w:val="004D709D"/>
    <w:rsid w:val="004D7884"/>
    <w:rsid w:val="004E16FF"/>
    <w:rsid w:val="004E35BD"/>
    <w:rsid w:val="004E3D74"/>
    <w:rsid w:val="004E4A64"/>
    <w:rsid w:val="004F0F79"/>
    <w:rsid w:val="004F1B4B"/>
    <w:rsid w:val="004F2F1A"/>
    <w:rsid w:val="004F39CA"/>
    <w:rsid w:val="004F5AAA"/>
    <w:rsid w:val="004F6E9C"/>
    <w:rsid w:val="004F6EFC"/>
    <w:rsid w:val="004F7D4D"/>
    <w:rsid w:val="00501904"/>
    <w:rsid w:val="00502A59"/>
    <w:rsid w:val="005031BF"/>
    <w:rsid w:val="005040E3"/>
    <w:rsid w:val="00506507"/>
    <w:rsid w:val="005068B0"/>
    <w:rsid w:val="00510566"/>
    <w:rsid w:val="00511650"/>
    <w:rsid w:val="00513A96"/>
    <w:rsid w:val="00514E0A"/>
    <w:rsid w:val="00515A1A"/>
    <w:rsid w:val="00516AB9"/>
    <w:rsid w:val="00516C4D"/>
    <w:rsid w:val="005170B6"/>
    <w:rsid w:val="005170E8"/>
    <w:rsid w:val="005228D2"/>
    <w:rsid w:val="00527146"/>
    <w:rsid w:val="0052776C"/>
    <w:rsid w:val="00530866"/>
    <w:rsid w:val="00530A86"/>
    <w:rsid w:val="00532988"/>
    <w:rsid w:val="00532DEA"/>
    <w:rsid w:val="00534D79"/>
    <w:rsid w:val="00537652"/>
    <w:rsid w:val="00537F19"/>
    <w:rsid w:val="005414C4"/>
    <w:rsid w:val="00541B70"/>
    <w:rsid w:val="00541D30"/>
    <w:rsid w:val="00543913"/>
    <w:rsid w:val="005441D4"/>
    <w:rsid w:val="00546310"/>
    <w:rsid w:val="00546EDE"/>
    <w:rsid w:val="00550417"/>
    <w:rsid w:val="00551816"/>
    <w:rsid w:val="00551CF9"/>
    <w:rsid w:val="0055218E"/>
    <w:rsid w:val="00553C3C"/>
    <w:rsid w:val="005568FE"/>
    <w:rsid w:val="00557028"/>
    <w:rsid w:val="00560DD5"/>
    <w:rsid w:val="0056138E"/>
    <w:rsid w:val="00562428"/>
    <w:rsid w:val="00562BC1"/>
    <w:rsid w:val="005657B2"/>
    <w:rsid w:val="0057192D"/>
    <w:rsid w:val="00571B88"/>
    <w:rsid w:val="00572127"/>
    <w:rsid w:val="00572D0A"/>
    <w:rsid w:val="005745B3"/>
    <w:rsid w:val="00575DCB"/>
    <w:rsid w:val="00582280"/>
    <w:rsid w:val="005826C4"/>
    <w:rsid w:val="00584D31"/>
    <w:rsid w:val="005901DE"/>
    <w:rsid w:val="00590795"/>
    <w:rsid w:val="00590EAA"/>
    <w:rsid w:val="005937DA"/>
    <w:rsid w:val="0059448A"/>
    <w:rsid w:val="00594874"/>
    <w:rsid w:val="00595BDF"/>
    <w:rsid w:val="00595E1B"/>
    <w:rsid w:val="00596733"/>
    <w:rsid w:val="00597261"/>
    <w:rsid w:val="005A406C"/>
    <w:rsid w:val="005A4E67"/>
    <w:rsid w:val="005A4FED"/>
    <w:rsid w:val="005A53E2"/>
    <w:rsid w:val="005A58AE"/>
    <w:rsid w:val="005B1431"/>
    <w:rsid w:val="005B7394"/>
    <w:rsid w:val="005C0B15"/>
    <w:rsid w:val="005C20AE"/>
    <w:rsid w:val="005C388F"/>
    <w:rsid w:val="005C420B"/>
    <w:rsid w:val="005C4378"/>
    <w:rsid w:val="005C53C4"/>
    <w:rsid w:val="005C5B05"/>
    <w:rsid w:val="005C6A4D"/>
    <w:rsid w:val="005D017B"/>
    <w:rsid w:val="005D3E7E"/>
    <w:rsid w:val="005D4291"/>
    <w:rsid w:val="005D4786"/>
    <w:rsid w:val="005D5ADF"/>
    <w:rsid w:val="005D5E45"/>
    <w:rsid w:val="005E012C"/>
    <w:rsid w:val="005E0216"/>
    <w:rsid w:val="005E42CC"/>
    <w:rsid w:val="005E4C8D"/>
    <w:rsid w:val="005E4F5F"/>
    <w:rsid w:val="005E72AB"/>
    <w:rsid w:val="005F0D7C"/>
    <w:rsid w:val="005F2737"/>
    <w:rsid w:val="005F3F4E"/>
    <w:rsid w:val="005F4116"/>
    <w:rsid w:val="005F6851"/>
    <w:rsid w:val="00602FB7"/>
    <w:rsid w:val="006045B1"/>
    <w:rsid w:val="0060666F"/>
    <w:rsid w:val="00606950"/>
    <w:rsid w:val="006069F5"/>
    <w:rsid w:val="0060740E"/>
    <w:rsid w:val="00615E5F"/>
    <w:rsid w:val="00615F2A"/>
    <w:rsid w:val="006164A2"/>
    <w:rsid w:val="006167A0"/>
    <w:rsid w:val="0062245E"/>
    <w:rsid w:val="00624EF7"/>
    <w:rsid w:val="006260B2"/>
    <w:rsid w:val="006274BE"/>
    <w:rsid w:val="006304DB"/>
    <w:rsid w:val="00631A53"/>
    <w:rsid w:val="00631B18"/>
    <w:rsid w:val="00631F91"/>
    <w:rsid w:val="00633591"/>
    <w:rsid w:val="006340BB"/>
    <w:rsid w:val="00635389"/>
    <w:rsid w:val="00636AED"/>
    <w:rsid w:val="00637802"/>
    <w:rsid w:val="00637B29"/>
    <w:rsid w:val="00637FBE"/>
    <w:rsid w:val="00640DEA"/>
    <w:rsid w:val="00640EB3"/>
    <w:rsid w:val="00642234"/>
    <w:rsid w:val="0064226F"/>
    <w:rsid w:val="00651F6F"/>
    <w:rsid w:val="006536FC"/>
    <w:rsid w:val="006552CA"/>
    <w:rsid w:val="006567A7"/>
    <w:rsid w:val="006604C6"/>
    <w:rsid w:val="00660600"/>
    <w:rsid w:val="00660ED8"/>
    <w:rsid w:val="00661B1D"/>
    <w:rsid w:val="00664077"/>
    <w:rsid w:val="006700B5"/>
    <w:rsid w:val="00674F65"/>
    <w:rsid w:val="00675742"/>
    <w:rsid w:val="00677BBC"/>
    <w:rsid w:val="00680642"/>
    <w:rsid w:val="00680A0A"/>
    <w:rsid w:val="006846BF"/>
    <w:rsid w:val="006859CB"/>
    <w:rsid w:val="00686CCB"/>
    <w:rsid w:val="00690CAD"/>
    <w:rsid w:val="00691454"/>
    <w:rsid w:val="0069204F"/>
    <w:rsid w:val="0069426C"/>
    <w:rsid w:val="0069469E"/>
    <w:rsid w:val="00694A0F"/>
    <w:rsid w:val="00694C3F"/>
    <w:rsid w:val="006A10F2"/>
    <w:rsid w:val="006A3D91"/>
    <w:rsid w:val="006A43AB"/>
    <w:rsid w:val="006A4D7F"/>
    <w:rsid w:val="006A4DC2"/>
    <w:rsid w:val="006A52E7"/>
    <w:rsid w:val="006B1164"/>
    <w:rsid w:val="006B204A"/>
    <w:rsid w:val="006B3C55"/>
    <w:rsid w:val="006B4FD3"/>
    <w:rsid w:val="006B54AF"/>
    <w:rsid w:val="006B6797"/>
    <w:rsid w:val="006B71C5"/>
    <w:rsid w:val="006C1464"/>
    <w:rsid w:val="006C279D"/>
    <w:rsid w:val="006C3231"/>
    <w:rsid w:val="006C41DB"/>
    <w:rsid w:val="006C6E10"/>
    <w:rsid w:val="006D375D"/>
    <w:rsid w:val="006D5759"/>
    <w:rsid w:val="006D72F0"/>
    <w:rsid w:val="006D7764"/>
    <w:rsid w:val="006D7A23"/>
    <w:rsid w:val="006D7CBF"/>
    <w:rsid w:val="006E22AC"/>
    <w:rsid w:val="006E4981"/>
    <w:rsid w:val="006E52A2"/>
    <w:rsid w:val="006E54B7"/>
    <w:rsid w:val="006F0679"/>
    <w:rsid w:val="006F1DA6"/>
    <w:rsid w:val="006F20DA"/>
    <w:rsid w:val="006F49BF"/>
    <w:rsid w:val="006F5A9D"/>
    <w:rsid w:val="006F66A9"/>
    <w:rsid w:val="006F6C70"/>
    <w:rsid w:val="0070090D"/>
    <w:rsid w:val="007018C5"/>
    <w:rsid w:val="00703113"/>
    <w:rsid w:val="00704C1A"/>
    <w:rsid w:val="00704CC1"/>
    <w:rsid w:val="0070531D"/>
    <w:rsid w:val="00713376"/>
    <w:rsid w:val="00714331"/>
    <w:rsid w:val="00714750"/>
    <w:rsid w:val="00723EE4"/>
    <w:rsid w:val="007245ED"/>
    <w:rsid w:val="00726CE9"/>
    <w:rsid w:val="007274B4"/>
    <w:rsid w:val="00727F68"/>
    <w:rsid w:val="007306D6"/>
    <w:rsid w:val="00730779"/>
    <w:rsid w:val="007310C0"/>
    <w:rsid w:val="007346CC"/>
    <w:rsid w:val="00734D2F"/>
    <w:rsid w:val="00736BB3"/>
    <w:rsid w:val="0074187A"/>
    <w:rsid w:val="00742897"/>
    <w:rsid w:val="00743E43"/>
    <w:rsid w:val="00745DE6"/>
    <w:rsid w:val="00747468"/>
    <w:rsid w:val="007475AC"/>
    <w:rsid w:val="007478DD"/>
    <w:rsid w:val="00747954"/>
    <w:rsid w:val="007479AD"/>
    <w:rsid w:val="00753C4E"/>
    <w:rsid w:val="00754B26"/>
    <w:rsid w:val="00756792"/>
    <w:rsid w:val="00760067"/>
    <w:rsid w:val="00760946"/>
    <w:rsid w:val="00760CBB"/>
    <w:rsid w:val="00761C2E"/>
    <w:rsid w:val="00762A56"/>
    <w:rsid w:val="007645A2"/>
    <w:rsid w:val="00764618"/>
    <w:rsid w:val="00765642"/>
    <w:rsid w:val="00765EEB"/>
    <w:rsid w:val="00770A7D"/>
    <w:rsid w:val="00771B3A"/>
    <w:rsid w:val="007733AE"/>
    <w:rsid w:val="007740B4"/>
    <w:rsid w:val="00774741"/>
    <w:rsid w:val="0077498B"/>
    <w:rsid w:val="00777676"/>
    <w:rsid w:val="007800FF"/>
    <w:rsid w:val="007813F5"/>
    <w:rsid w:val="00781D75"/>
    <w:rsid w:val="00791371"/>
    <w:rsid w:val="0079212E"/>
    <w:rsid w:val="007932AC"/>
    <w:rsid w:val="0079357C"/>
    <w:rsid w:val="0079382B"/>
    <w:rsid w:val="007974C4"/>
    <w:rsid w:val="0079760C"/>
    <w:rsid w:val="007A1B80"/>
    <w:rsid w:val="007A2C77"/>
    <w:rsid w:val="007A6DDA"/>
    <w:rsid w:val="007B046D"/>
    <w:rsid w:val="007B0D9F"/>
    <w:rsid w:val="007B2E53"/>
    <w:rsid w:val="007B2F29"/>
    <w:rsid w:val="007B3A6F"/>
    <w:rsid w:val="007B5F29"/>
    <w:rsid w:val="007B6550"/>
    <w:rsid w:val="007B6DE7"/>
    <w:rsid w:val="007B6FF1"/>
    <w:rsid w:val="007C1E42"/>
    <w:rsid w:val="007C377D"/>
    <w:rsid w:val="007C5FF4"/>
    <w:rsid w:val="007C742D"/>
    <w:rsid w:val="007D2420"/>
    <w:rsid w:val="007D2E7C"/>
    <w:rsid w:val="007D5AE0"/>
    <w:rsid w:val="007D65EF"/>
    <w:rsid w:val="007D7FCF"/>
    <w:rsid w:val="007E077E"/>
    <w:rsid w:val="007E1F3E"/>
    <w:rsid w:val="007E4E6B"/>
    <w:rsid w:val="007E5D14"/>
    <w:rsid w:val="007E73B7"/>
    <w:rsid w:val="007E749D"/>
    <w:rsid w:val="007E7C28"/>
    <w:rsid w:val="007E7ECC"/>
    <w:rsid w:val="007F327B"/>
    <w:rsid w:val="007F5BED"/>
    <w:rsid w:val="00801661"/>
    <w:rsid w:val="00801CED"/>
    <w:rsid w:val="0080270A"/>
    <w:rsid w:val="008054EA"/>
    <w:rsid w:val="00807160"/>
    <w:rsid w:val="00807B32"/>
    <w:rsid w:val="00810DF9"/>
    <w:rsid w:val="00812EDE"/>
    <w:rsid w:val="00813278"/>
    <w:rsid w:val="0081401D"/>
    <w:rsid w:val="008206BF"/>
    <w:rsid w:val="008211F0"/>
    <w:rsid w:val="00822164"/>
    <w:rsid w:val="008228DF"/>
    <w:rsid w:val="00823DD1"/>
    <w:rsid w:val="0082457E"/>
    <w:rsid w:val="008245FB"/>
    <w:rsid w:val="008256F6"/>
    <w:rsid w:val="00825C98"/>
    <w:rsid w:val="008263EA"/>
    <w:rsid w:val="008309D9"/>
    <w:rsid w:val="008320A2"/>
    <w:rsid w:val="0083236C"/>
    <w:rsid w:val="008324FF"/>
    <w:rsid w:val="00833CB3"/>
    <w:rsid w:val="00834F55"/>
    <w:rsid w:val="008429DD"/>
    <w:rsid w:val="00843107"/>
    <w:rsid w:val="0084360A"/>
    <w:rsid w:val="00843F9D"/>
    <w:rsid w:val="0084469A"/>
    <w:rsid w:val="008478B1"/>
    <w:rsid w:val="00850889"/>
    <w:rsid w:val="00850EF6"/>
    <w:rsid w:val="00854468"/>
    <w:rsid w:val="00854A46"/>
    <w:rsid w:val="00855014"/>
    <w:rsid w:val="00855324"/>
    <w:rsid w:val="0086059F"/>
    <w:rsid w:val="00860D56"/>
    <w:rsid w:val="008615EB"/>
    <w:rsid w:val="00862E01"/>
    <w:rsid w:val="00865E81"/>
    <w:rsid w:val="0086721B"/>
    <w:rsid w:val="00867F51"/>
    <w:rsid w:val="00870F16"/>
    <w:rsid w:val="00872762"/>
    <w:rsid w:val="0087371B"/>
    <w:rsid w:val="00873CA2"/>
    <w:rsid w:val="00875095"/>
    <w:rsid w:val="00877201"/>
    <w:rsid w:val="00885A4B"/>
    <w:rsid w:val="008939F3"/>
    <w:rsid w:val="00893B29"/>
    <w:rsid w:val="00895DB5"/>
    <w:rsid w:val="008A02C8"/>
    <w:rsid w:val="008A0740"/>
    <w:rsid w:val="008A1866"/>
    <w:rsid w:val="008A1A86"/>
    <w:rsid w:val="008A1E86"/>
    <w:rsid w:val="008A663C"/>
    <w:rsid w:val="008A7362"/>
    <w:rsid w:val="008B0908"/>
    <w:rsid w:val="008B117C"/>
    <w:rsid w:val="008B6133"/>
    <w:rsid w:val="008B6E27"/>
    <w:rsid w:val="008C26EC"/>
    <w:rsid w:val="008C2A58"/>
    <w:rsid w:val="008C4045"/>
    <w:rsid w:val="008C54DC"/>
    <w:rsid w:val="008C6600"/>
    <w:rsid w:val="008D0B72"/>
    <w:rsid w:val="008D0DFA"/>
    <w:rsid w:val="008D1A68"/>
    <w:rsid w:val="008D1EBA"/>
    <w:rsid w:val="008D2085"/>
    <w:rsid w:val="008D2CE4"/>
    <w:rsid w:val="008D2E86"/>
    <w:rsid w:val="008D48F1"/>
    <w:rsid w:val="008E0680"/>
    <w:rsid w:val="008E3293"/>
    <w:rsid w:val="008E382D"/>
    <w:rsid w:val="008E402E"/>
    <w:rsid w:val="008E4BC7"/>
    <w:rsid w:val="008E50D4"/>
    <w:rsid w:val="008E556D"/>
    <w:rsid w:val="008E6E95"/>
    <w:rsid w:val="008E7401"/>
    <w:rsid w:val="008E75D8"/>
    <w:rsid w:val="008E766D"/>
    <w:rsid w:val="008E78B9"/>
    <w:rsid w:val="008E7B62"/>
    <w:rsid w:val="008F1FA3"/>
    <w:rsid w:val="008F25C5"/>
    <w:rsid w:val="008F2E8D"/>
    <w:rsid w:val="008F4441"/>
    <w:rsid w:val="008F7BCA"/>
    <w:rsid w:val="00902C24"/>
    <w:rsid w:val="00904484"/>
    <w:rsid w:val="00905AEB"/>
    <w:rsid w:val="00907E75"/>
    <w:rsid w:val="00910583"/>
    <w:rsid w:val="00913EDB"/>
    <w:rsid w:val="00913F8A"/>
    <w:rsid w:val="00915AD4"/>
    <w:rsid w:val="00916044"/>
    <w:rsid w:val="0091648D"/>
    <w:rsid w:val="0091756A"/>
    <w:rsid w:val="0092167B"/>
    <w:rsid w:val="009253F9"/>
    <w:rsid w:val="009259B3"/>
    <w:rsid w:val="00926756"/>
    <w:rsid w:val="00926C91"/>
    <w:rsid w:val="0092793E"/>
    <w:rsid w:val="00931CA6"/>
    <w:rsid w:val="00932DFA"/>
    <w:rsid w:val="00934709"/>
    <w:rsid w:val="0093547E"/>
    <w:rsid w:val="0093739D"/>
    <w:rsid w:val="00945F58"/>
    <w:rsid w:val="00946BB2"/>
    <w:rsid w:val="00953BD9"/>
    <w:rsid w:val="00953D4F"/>
    <w:rsid w:val="009559E8"/>
    <w:rsid w:val="00956D43"/>
    <w:rsid w:val="00957059"/>
    <w:rsid w:val="009622A8"/>
    <w:rsid w:val="00963D7F"/>
    <w:rsid w:val="00963FD8"/>
    <w:rsid w:val="00967A16"/>
    <w:rsid w:val="00970247"/>
    <w:rsid w:val="009704AE"/>
    <w:rsid w:val="009721F9"/>
    <w:rsid w:val="00972DEF"/>
    <w:rsid w:val="009743C5"/>
    <w:rsid w:val="00974FB7"/>
    <w:rsid w:val="00975E06"/>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2D3C"/>
    <w:rsid w:val="009A3A64"/>
    <w:rsid w:val="009A41BA"/>
    <w:rsid w:val="009A48D5"/>
    <w:rsid w:val="009A5022"/>
    <w:rsid w:val="009A71AB"/>
    <w:rsid w:val="009B0591"/>
    <w:rsid w:val="009B1429"/>
    <w:rsid w:val="009B4439"/>
    <w:rsid w:val="009B4AA0"/>
    <w:rsid w:val="009B6829"/>
    <w:rsid w:val="009B6981"/>
    <w:rsid w:val="009C0C82"/>
    <w:rsid w:val="009C68CB"/>
    <w:rsid w:val="009D2C2C"/>
    <w:rsid w:val="009D47A8"/>
    <w:rsid w:val="009E0C94"/>
    <w:rsid w:val="009E411F"/>
    <w:rsid w:val="009E4871"/>
    <w:rsid w:val="009E5E02"/>
    <w:rsid w:val="009E631C"/>
    <w:rsid w:val="009F0B8B"/>
    <w:rsid w:val="009F0B98"/>
    <w:rsid w:val="009F22FB"/>
    <w:rsid w:val="009F418D"/>
    <w:rsid w:val="009F4454"/>
    <w:rsid w:val="00A01353"/>
    <w:rsid w:val="00A02695"/>
    <w:rsid w:val="00A0517F"/>
    <w:rsid w:val="00A1201A"/>
    <w:rsid w:val="00A1346B"/>
    <w:rsid w:val="00A1379C"/>
    <w:rsid w:val="00A13FC9"/>
    <w:rsid w:val="00A14032"/>
    <w:rsid w:val="00A157CC"/>
    <w:rsid w:val="00A160CB"/>
    <w:rsid w:val="00A17697"/>
    <w:rsid w:val="00A203A1"/>
    <w:rsid w:val="00A21B94"/>
    <w:rsid w:val="00A21E6D"/>
    <w:rsid w:val="00A257E4"/>
    <w:rsid w:val="00A26B90"/>
    <w:rsid w:val="00A273C8"/>
    <w:rsid w:val="00A2748B"/>
    <w:rsid w:val="00A318DF"/>
    <w:rsid w:val="00A324BA"/>
    <w:rsid w:val="00A33DC6"/>
    <w:rsid w:val="00A34DE3"/>
    <w:rsid w:val="00A365A1"/>
    <w:rsid w:val="00A37553"/>
    <w:rsid w:val="00A40C98"/>
    <w:rsid w:val="00A42F11"/>
    <w:rsid w:val="00A43960"/>
    <w:rsid w:val="00A4439E"/>
    <w:rsid w:val="00A4616C"/>
    <w:rsid w:val="00A46DD8"/>
    <w:rsid w:val="00A50E9E"/>
    <w:rsid w:val="00A5296F"/>
    <w:rsid w:val="00A539ED"/>
    <w:rsid w:val="00A53E06"/>
    <w:rsid w:val="00A55EDA"/>
    <w:rsid w:val="00A5757E"/>
    <w:rsid w:val="00A6099B"/>
    <w:rsid w:val="00A6200C"/>
    <w:rsid w:val="00A62F9F"/>
    <w:rsid w:val="00A64C0E"/>
    <w:rsid w:val="00A65CA1"/>
    <w:rsid w:val="00A707DC"/>
    <w:rsid w:val="00A72024"/>
    <w:rsid w:val="00A753EB"/>
    <w:rsid w:val="00A779A2"/>
    <w:rsid w:val="00A8069C"/>
    <w:rsid w:val="00A80F16"/>
    <w:rsid w:val="00A818BC"/>
    <w:rsid w:val="00A818C7"/>
    <w:rsid w:val="00A82C8B"/>
    <w:rsid w:val="00A834FD"/>
    <w:rsid w:val="00A86972"/>
    <w:rsid w:val="00A87B42"/>
    <w:rsid w:val="00A90D95"/>
    <w:rsid w:val="00A90E1C"/>
    <w:rsid w:val="00A92A25"/>
    <w:rsid w:val="00A93EB5"/>
    <w:rsid w:val="00A954B6"/>
    <w:rsid w:val="00A959DF"/>
    <w:rsid w:val="00A95D9D"/>
    <w:rsid w:val="00A9650C"/>
    <w:rsid w:val="00AA0FEF"/>
    <w:rsid w:val="00AA22EF"/>
    <w:rsid w:val="00AA2504"/>
    <w:rsid w:val="00AA56AA"/>
    <w:rsid w:val="00AA5E12"/>
    <w:rsid w:val="00AA7520"/>
    <w:rsid w:val="00AB0B57"/>
    <w:rsid w:val="00AB1040"/>
    <w:rsid w:val="00AB1044"/>
    <w:rsid w:val="00AB2A94"/>
    <w:rsid w:val="00AB4552"/>
    <w:rsid w:val="00AB466D"/>
    <w:rsid w:val="00AB4CD3"/>
    <w:rsid w:val="00AB54E0"/>
    <w:rsid w:val="00AB5AB4"/>
    <w:rsid w:val="00AC0910"/>
    <w:rsid w:val="00AC1D1F"/>
    <w:rsid w:val="00AC3358"/>
    <w:rsid w:val="00AC33DF"/>
    <w:rsid w:val="00AC4434"/>
    <w:rsid w:val="00AC448C"/>
    <w:rsid w:val="00AC513E"/>
    <w:rsid w:val="00AC6B44"/>
    <w:rsid w:val="00AC6FA8"/>
    <w:rsid w:val="00AD0BB8"/>
    <w:rsid w:val="00AD0CB5"/>
    <w:rsid w:val="00AD32AE"/>
    <w:rsid w:val="00AD3B5A"/>
    <w:rsid w:val="00AD4C54"/>
    <w:rsid w:val="00AD682C"/>
    <w:rsid w:val="00AE00DD"/>
    <w:rsid w:val="00AE3644"/>
    <w:rsid w:val="00AE37B1"/>
    <w:rsid w:val="00AE4AC9"/>
    <w:rsid w:val="00AE4DB7"/>
    <w:rsid w:val="00AE6AAD"/>
    <w:rsid w:val="00AE77AF"/>
    <w:rsid w:val="00AF0404"/>
    <w:rsid w:val="00AF1D25"/>
    <w:rsid w:val="00AF239A"/>
    <w:rsid w:val="00AF2AE4"/>
    <w:rsid w:val="00AF39E7"/>
    <w:rsid w:val="00AF3DA4"/>
    <w:rsid w:val="00AF57D8"/>
    <w:rsid w:val="00AF63D0"/>
    <w:rsid w:val="00AF7FA7"/>
    <w:rsid w:val="00B016AC"/>
    <w:rsid w:val="00B0235B"/>
    <w:rsid w:val="00B02772"/>
    <w:rsid w:val="00B027F4"/>
    <w:rsid w:val="00B05574"/>
    <w:rsid w:val="00B062EC"/>
    <w:rsid w:val="00B12635"/>
    <w:rsid w:val="00B16C0C"/>
    <w:rsid w:val="00B175BE"/>
    <w:rsid w:val="00B17729"/>
    <w:rsid w:val="00B216C1"/>
    <w:rsid w:val="00B22BB7"/>
    <w:rsid w:val="00B24E98"/>
    <w:rsid w:val="00B2733B"/>
    <w:rsid w:val="00B27D1D"/>
    <w:rsid w:val="00B3035E"/>
    <w:rsid w:val="00B33817"/>
    <w:rsid w:val="00B35F0D"/>
    <w:rsid w:val="00B371D2"/>
    <w:rsid w:val="00B42744"/>
    <w:rsid w:val="00B43061"/>
    <w:rsid w:val="00B45969"/>
    <w:rsid w:val="00B50B9D"/>
    <w:rsid w:val="00B51CB3"/>
    <w:rsid w:val="00B54182"/>
    <w:rsid w:val="00B54B5D"/>
    <w:rsid w:val="00B566C6"/>
    <w:rsid w:val="00B568EF"/>
    <w:rsid w:val="00B6005C"/>
    <w:rsid w:val="00B6065C"/>
    <w:rsid w:val="00B63808"/>
    <w:rsid w:val="00B65413"/>
    <w:rsid w:val="00B70FA9"/>
    <w:rsid w:val="00B7145E"/>
    <w:rsid w:val="00B71834"/>
    <w:rsid w:val="00B75A46"/>
    <w:rsid w:val="00B8190C"/>
    <w:rsid w:val="00B81C3E"/>
    <w:rsid w:val="00B820F5"/>
    <w:rsid w:val="00B823F2"/>
    <w:rsid w:val="00B83935"/>
    <w:rsid w:val="00B83FA2"/>
    <w:rsid w:val="00B87B74"/>
    <w:rsid w:val="00B91F61"/>
    <w:rsid w:val="00B939B1"/>
    <w:rsid w:val="00B939E1"/>
    <w:rsid w:val="00B93FC0"/>
    <w:rsid w:val="00B944AE"/>
    <w:rsid w:val="00B95FE7"/>
    <w:rsid w:val="00B9616A"/>
    <w:rsid w:val="00BA0A8C"/>
    <w:rsid w:val="00BA0A94"/>
    <w:rsid w:val="00BA1762"/>
    <w:rsid w:val="00BA234F"/>
    <w:rsid w:val="00BA4EDA"/>
    <w:rsid w:val="00BA6705"/>
    <w:rsid w:val="00BA751C"/>
    <w:rsid w:val="00BB127E"/>
    <w:rsid w:val="00BB1F82"/>
    <w:rsid w:val="00BB22CD"/>
    <w:rsid w:val="00BB25A1"/>
    <w:rsid w:val="00BB3299"/>
    <w:rsid w:val="00BB32A6"/>
    <w:rsid w:val="00BB42B4"/>
    <w:rsid w:val="00BC04D3"/>
    <w:rsid w:val="00BC08D2"/>
    <w:rsid w:val="00BC140B"/>
    <w:rsid w:val="00BC1721"/>
    <w:rsid w:val="00BC1D56"/>
    <w:rsid w:val="00BC3B20"/>
    <w:rsid w:val="00BD0549"/>
    <w:rsid w:val="00BD0D8B"/>
    <w:rsid w:val="00BD1896"/>
    <w:rsid w:val="00BD2281"/>
    <w:rsid w:val="00BD267E"/>
    <w:rsid w:val="00BD3A1E"/>
    <w:rsid w:val="00BD404A"/>
    <w:rsid w:val="00BD42F2"/>
    <w:rsid w:val="00BD599B"/>
    <w:rsid w:val="00BD65BE"/>
    <w:rsid w:val="00BD7C4E"/>
    <w:rsid w:val="00BE1D00"/>
    <w:rsid w:val="00BE2065"/>
    <w:rsid w:val="00BE2319"/>
    <w:rsid w:val="00BE49E1"/>
    <w:rsid w:val="00BF069C"/>
    <w:rsid w:val="00BF189E"/>
    <w:rsid w:val="00BF18F4"/>
    <w:rsid w:val="00BF6F40"/>
    <w:rsid w:val="00C00E0A"/>
    <w:rsid w:val="00C019B7"/>
    <w:rsid w:val="00C057BC"/>
    <w:rsid w:val="00C06097"/>
    <w:rsid w:val="00C159CF"/>
    <w:rsid w:val="00C1628B"/>
    <w:rsid w:val="00C1738D"/>
    <w:rsid w:val="00C174AE"/>
    <w:rsid w:val="00C17934"/>
    <w:rsid w:val="00C21850"/>
    <w:rsid w:val="00C23DD0"/>
    <w:rsid w:val="00C278D1"/>
    <w:rsid w:val="00C322EF"/>
    <w:rsid w:val="00C32CEA"/>
    <w:rsid w:val="00C3389F"/>
    <w:rsid w:val="00C35C82"/>
    <w:rsid w:val="00C361DF"/>
    <w:rsid w:val="00C37846"/>
    <w:rsid w:val="00C43FE6"/>
    <w:rsid w:val="00C45252"/>
    <w:rsid w:val="00C45646"/>
    <w:rsid w:val="00C47FA5"/>
    <w:rsid w:val="00C50221"/>
    <w:rsid w:val="00C50317"/>
    <w:rsid w:val="00C50992"/>
    <w:rsid w:val="00C533F9"/>
    <w:rsid w:val="00C55DD2"/>
    <w:rsid w:val="00C57CF8"/>
    <w:rsid w:val="00C57F6B"/>
    <w:rsid w:val="00C60005"/>
    <w:rsid w:val="00C60F58"/>
    <w:rsid w:val="00C621FB"/>
    <w:rsid w:val="00C6270C"/>
    <w:rsid w:val="00C63172"/>
    <w:rsid w:val="00C6606D"/>
    <w:rsid w:val="00C6649E"/>
    <w:rsid w:val="00C668E8"/>
    <w:rsid w:val="00C67DE9"/>
    <w:rsid w:val="00C719E2"/>
    <w:rsid w:val="00C722B8"/>
    <w:rsid w:val="00C7327F"/>
    <w:rsid w:val="00C73634"/>
    <w:rsid w:val="00C73F1A"/>
    <w:rsid w:val="00C751CD"/>
    <w:rsid w:val="00C76916"/>
    <w:rsid w:val="00C778EC"/>
    <w:rsid w:val="00C779D4"/>
    <w:rsid w:val="00C80F00"/>
    <w:rsid w:val="00C816F0"/>
    <w:rsid w:val="00C81ECE"/>
    <w:rsid w:val="00C831F1"/>
    <w:rsid w:val="00C8628A"/>
    <w:rsid w:val="00C870A2"/>
    <w:rsid w:val="00C90187"/>
    <w:rsid w:val="00C90B6C"/>
    <w:rsid w:val="00C91433"/>
    <w:rsid w:val="00C94885"/>
    <w:rsid w:val="00C9591D"/>
    <w:rsid w:val="00C95B1E"/>
    <w:rsid w:val="00C963F0"/>
    <w:rsid w:val="00C96496"/>
    <w:rsid w:val="00C97AAA"/>
    <w:rsid w:val="00C97B6C"/>
    <w:rsid w:val="00C97E8B"/>
    <w:rsid w:val="00CA0176"/>
    <w:rsid w:val="00CA1CEB"/>
    <w:rsid w:val="00CA3F4B"/>
    <w:rsid w:val="00CA462A"/>
    <w:rsid w:val="00CA58E7"/>
    <w:rsid w:val="00CA5A00"/>
    <w:rsid w:val="00CA6C66"/>
    <w:rsid w:val="00CA7A60"/>
    <w:rsid w:val="00CB0B73"/>
    <w:rsid w:val="00CB41C1"/>
    <w:rsid w:val="00CB545E"/>
    <w:rsid w:val="00CC0E79"/>
    <w:rsid w:val="00CC2A7D"/>
    <w:rsid w:val="00CC6BDA"/>
    <w:rsid w:val="00CC6CB6"/>
    <w:rsid w:val="00CC7144"/>
    <w:rsid w:val="00CC7943"/>
    <w:rsid w:val="00CD0ED5"/>
    <w:rsid w:val="00CD395F"/>
    <w:rsid w:val="00CD425C"/>
    <w:rsid w:val="00CD722B"/>
    <w:rsid w:val="00CE0733"/>
    <w:rsid w:val="00CE08B4"/>
    <w:rsid w:val="00CE1227"/>
    <w:rsid w:val="00CE3C7B"/>
    <w:rsid w:val="00CE3DC4"/>
    <w:rsid w:val="00CE6606"/>
    <w:rsid w:val="00CE71A2"/>
    <w:rsid w:val="00CF1009"/>
    <w:rsid w:val="00CF14B9"/>
    <w:rsid w:val="00CF18B0"/>
    <w:rsid w:val="00CF324A"/>
    <w:rsid w:val="00CF3606"/>
    <w:rsid w:val="00CF4520"/>
    <w:rsid w:val="00CF50F0"/>
    <w:rsid w:val="00CF780C"/>
    <w:rsid w:val="00D02902"/>
    <w:rsid w:val="00D041FC"/>
    <w:rsid w:val="00D070B1"/>
    <w:rsid w:val="00D07554"/>
    <w:rsid w:val="00D07A64"/>
    <w:rsid w:val="00D11EEB"/>
    <w:rsid w:val="00D1207A"/>
    <w:rsid w:val="00D14840"/>
    <w:rsid w:val="00D14990"/>
    <w:rsid w:val="00D16005"/>
    <w:rsid w:val="00D16D40"/>
    <w:rsid w:val="00D20F53"/>
    <w:rsid w:val="00D2504B"/>
    <w:rsid w:val="00D265DD"/>
    <w:rsid w:val="00D323FA"/>
    <w:rsid w:val="00D343C7"/>
    <w:rsid w:val="00D36B60"/>
    <w:rsid w:val="00D400CF"/>
    <w:rsid w:val="00D434D7"/>
    <w:rsid w:val="00D44442"/>
    <w:rsid w:val="00D44A75"/>
    <w:rsid w:val="00D44EB9"/>
    <w:rsid w:val="00D45334"/>
    <w:rsid w:val="00D4728E"/>
    <w:rsid w:val="00D505A4"/>
    <w:rsid w:val="00D51DE7"/>
    <w:rsid w:val="00D5287D"/>
    <w:rsid w:val="00D533A0"/>
    <w:rsid w:val="00D54862"/>
    <w:rsid w:val="00D57449"/>
    <w:rsid w:val="00D629FE"/>
    <w:rsid w:val="00D641FA"/>
    <w:rsid w:val="00D672EB"/>
    <w:rsid w:val="00D701BA"/>
    <w:rsid w:val="00D707D1"/>
    <w:rsid w:val="00D7593E"/>
    <w:rsid w:val="00D80044"/>
    <w:rsid w:val="00D80137"/>
    <w:rsid w:val="00D821F4"/>
    <w:rsid w:val="00D82ACE"/>
    <w:rsid w:val="00D82B61"/>
    <w:rsid w:val="00D83D56"/>
    <w:rsid w:val="00D83E8F"/>
    <w:rsid w:val="00D86D58"/>
    <w:rsid w:val="00D875EA"/>
    <w:rsid w:val="00D87C3E"/>
    <w:rsid w:val="00D87E7F"/>
    <w:rsid w:val="00D9326F"/>
    <w:rsid w:val="00D9465E"/>
    <w:rsid w:val="00D95286"/>
    <w:rsid w:val="00D968E6"/>
    <w:rsid w:val="00D9754E"/>
    <w:rsid w:val="00DA3C59"/>
    <w:rsid w:val="00DA4076"/>
    <w:rsid w:val="00DA5359"/>
    <w:rsid w:val="00DB30B3"/>
    <w:rsid w:val="00DB4002"/>
    <w:rsid w:val="00DB434F"/>
    <w:rsid w:val="00DB678B"/>
    <w:rsid w:val="00DC283E"/>
    <w:rsid w:val="00DC34EE"/>
    <w:rsid w:val="00DC3BBA"/>
    <w:rsid w:val="00DC3C0C"/>
    <w:rsid w:val="00DC4691"/>
    <w:rsid w:val="00DC47D3"/>
    <w:rsid w:val="00DC5094"/>
    <w:rsid w:val="00DC53F4"/>
    <w:rsid w:val="00DC74B3"/>
    <w:rsid w:val="00DD163C"/>
    <w:rsid w:val="00DD1855"/>
    <w:rsid w:val="00DD1DE7"/>
    <w:rsid w:val="00DD726C"/>
    <w:rsid w:val="00DE0088"/>
    <w:rsid w:val="00DE2126"/>
    <w:rsid w:val="00DE521C"/>
    <w:rsid w:val="00DE59A9"/>
    <w:rsid w:val="00DE6B0F"/>
    <w:rsid w:val="00DE7CB0"/>
    <w:rsid w:val="00DE7DF3"/>
    <w:rsid w:val="00DF16CB"/>
    <w:rsid w:val="00DF1B64"/>
    <w:rsid w:val="00DF42AA"/>
    <w:rsid w:val="00DF55E0"/>
    <w:rsid w:val="00DF6608"/>
    <w:rsid w:val="00DF676A"/>
    <w:rsid w:val="00DF73BE"/>
    <w:rsid w:val="00E00033"/>
    <w:rsid w:val="00E02CAC"/>
    <w:rsid w:val="00E046DE"/>
    <w:rsid w:val="00E0477C"/>
    <w:rsid w:val="00E04BF4"/>
    <w:rsid w:val="00E065CA"/>
    <w:rsid w:val="00E13469"/>
    <w:rsid w:val="00E14B37"/>
    <w:rsid w:val="00E14DF2"/>
    <w:rsid w:val="00E15081"/>
    <w:rsid w:val="00E150BD"/>
    <w:rsid w:val="00E20963"/>
    <w:rsid w:val="00E21D29"/>
    <w:rsid w:val="00E22065"/>
    <w:rsid w:val="00E254B8"/>
    <w:rsid w:val="00E272BA"/>
    <w:rsid w:val="00E275FE"/>
    <w:rsid w:val="00E27E98"/>
    <w:rsid w:val="00E27F7B"/>
    <w:rsid w:val="00E305D2"/>
    <w:rsid w:val="00E40935"/>
    <w:rsid w:val="00E466CC"/>
    <w:rsid w:val="00E5256E"/>
    <w:rsid w:val="00E52AA2"/>
    <w:rsid w:val="00E5312C"/>
    <w:rsid w:val="00E54EC7"/>
    <w:rsid w:val="00E62DE5"/>
    <w:rsid w:val="00E63E38"/>
    <w:rsid w:val="00E64F39"/>
    <w:rsid w:val="00E65825"/>
    <w:rsid w:val="00E6740E"/>
    <w:rsid w:val="00E704DE"/>
    <w:rsid w:val="00E70823"/>
    <w:rsid w:val="00E727D2"/>
    <w:rsid w:val="00E73253"/>
    <w:rsid w:val="00E7328A"/>
    <w:rsid w:val="00E73B77"/>
    <w:rsid w:val="00E75620"/>
    <w:rsid w:val="00E75EC8"/>
    <w:rsid w:val="00E769A5"/>
    <w:rsid w:val="00E7712D"/>
    <w:rsid w:val="00E81E34"/>
    <w:rsid w:val="00E821B0"/>
    <w:rsid w:val="00E829BC"/>
    <w:rsid w:val="00E903BC"/>
    <w:rsid w:val="00E90D02"/>
    <w:rsid w:val="00E929DE"/>
    <w:rsid w:val="00E97FE0"/>
    <w:rsid w:val="00EA03BE"/>
    <w:rsid w:val="00EA04B8"/>
    <w:rsid w:val="00EA05DC"/>
    <w:rsid w:val="00EA1845"/>
    <w:rsid w:val="00EA204C"/>
    <w:rsid w:val="00EA2681"/>
    <w:rsid w:val="00EA3700"/>
    <w:rsid w:val="00EA3B42"/>
    <w:rsid w:val="00EA7A41"/>
    <w:rsid w:val="00EB00D9"/>
    <w:rsid w:val="00EB356F"/>
    <w:rsid w:val="00EB39C1"/>
    <w:rsid w:val="00EB4376"/>
    <w:rsid w:val="00EB48CA"/>
    <w:rsid w:val="00EB6736"/>
    <w:rsid w:val="00EB7ED6"/>
    <w:rsid w:val="00EC18B4"/>
    <w:rsid w:val="00EC214B"/>
    <w:rsid w:val="00EC2465"/>
    <w:rsid w:val="00EC6258"/>
    <w:rsid w:val="00EC7FC5"/>
    <w:rsid w:val="00ED01D9"/>
    <w:rsid w:val="00EE1DFE"/>
    <w:rsid w:val="00EE3987"/>
    <w:rsid w:val="00EE40C4"/>
    <w:rsid w:val="00EE5316"/>
    <w:rsid w:val="00EE57D6"/>
    <w:rsid w:val="00EE5C86"/>
    <w:rsid w:val="00EE5EBE"/>
    <w:rsid w:val="00EF2F61"/>
    <w:rsid w:val="00EF579A"/>
    <w:rsid w:val="00EF6CD8"/>
    <w:rsid w:val="00F02B3C"/>
    <w:rsid w:val="00F02D91"/>
    <w:rsid w:val="00F04959"/>
    <w:rsid w:val="00F05BBF"/>
    <w:rsid w:val="00F061B6"/>
    <w:rsid w:val="00F077CB"/>
    <w:rsid w:val="00F134FA"/>
    <w:rsid w:val="00F14D34"/>
    <w:rsid w:val="00F16BBB"/>
    <w:rsid w:val="00F16E29"/>
    <w:rsid w:val="00F16F32"/>
    <w:rsid w:val="00F20EAE"/>
    <w:rsid w:val="00F217F5"/>
    <w:rsid w:val="00F21DFA"/>
    <w:rsid w:val="00F220DE"/>
    <w:rsid w:val="00F235C3"/>
    <w:rsid w:val="00F23EE2"/>
    <w:rsid w:val="00F2484F"/>
    <w:rsid w:val="00F24B5D"/>
    <w:rsid w:val="00F30D8D"/>
    <w:rsid w:val="00F31437"/>
    <w:rsid w:val="00F31B74"/>
    <w:rsid w:val="00F33E74"/>
    <w:rsid w:val="00F344AA"/>
    <w:rsid w:val="00F34F02"/>
    <w:rsid w:val="00F35BE5"/>
    <w:rsid w:val="00F365B6"/>
    <w:rsid w:val="00F41526"/>
    <w:rsid w:val="00F42619"/>
    <w:rsid w:val="00F429D1"/>
    <w:rsid w:val="00F42AB1"/>
    <w:rsid w:val="00F438C4"/>
    <w:rsid w:val="00F43D9A"/>
    <w:rsid w:val="00F446D8"/>
    <w:rsid w:val="00F45522"/>
    <w:rsid w:val="00F535D8"/>
    <w:rsid w:val="00F54F16"/>
    <w:rsid w:val="00F574C1"/>
    <w:rsid w:val="00F6243C"/>
    <w:rsid w:val="00F6319C"/>
    <w:rsid w:val="00F63E8B"/>
    <w:rsid w:val="00F66B81"/>
    <w:rsid w:val="00F67B03"/>
    <w:rsid w:val="00F7286B"/>
    <w:rsid w:val="00F736C8"/>
    <w:rsid w:val="00F74C10"/>
    <w:rsid w:val="00F76502"/>
    <w:rsid w:val="00F816E7"/>
    <w:rsid w:val="00F819F3"/>
    <w:rsid w:val="00F81B3E"/>
    <w:rsid w:val="00F820FE"/>
    <w:rsid w:val="00F823D6"/>
    <w:rsid w:val="00F84BA7"/>
    <w:rsid w:val="00F860BF"/>
    <w:rsid w:val="00F86190"/>
    <w:rsid w:val="00F874A3"/>
    <w:rsid w:val="00F87933"/>
    <w:rsid w:val="00F90C18"/>
    <w:rsid w:val="00F91F55"/>
    <w:rsid w:val="00F95A1E"/>
    <w:rsid w:val="00F97375"/>
    <w:rsid w:val="00F97935"/>
    <w:rsid w:val="00FA5530"/>
    <w:rsid w:val="00FA7664"/>
    <w:rsid w:val="00FA7D60"/>
    <w:rsid w:val="00FB0DC0"/>
    <w:rsid w:val="00FB1045"/>
    <w:rsid w:val="00FB17A6"/>
    <w:rsid w:val="00FB24A9"/>
    <w:rsid w:val="00FB37C8"/>
    <w:rsid w:val="00FB39D9"/>
    <w:rsid w:val="00FB39F3"/>
    <w:rsid w:val="00FB432B"/>
    <w:rsid w:val="00FB4D21"/>
    <w:rsid w:val="00FB6EE8"/>
    <w:rsid w:val="00FB728E"/>
    <w:rsid w:val="00FC16D4"/>
    <w:rsid w:val="00FC41C9"/>
    <w:rsid w:val="00FD3B17"/>
    <w:rsid w:val="00FD40C5"/>
    <w:rsid w:val="00FE1774"/>
    <w:rsid w:val="00FE3C79"/>
    <w:rsid w:val="00FE41B7"/>
    <w:rsid w:val="00FE5E19"/>
    <w:rsid w:val="00FE6F2F"/>
    <w:rsid w:val="00FF133E"/>
    <w:rsid w:val="00FF21DF"/>
    <w:rsid w:val="00FF33CE"/>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4642E"/>
  <w15:docId w15:val="{D4E2005E-7907-414D-8466-B24BBE5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rsid w:val="00972DEF"/>
    <w:rPr>
      <w:sz w:val="24"/>
      <w:szCs w:val="24"/>
      <w:lang w:val="en-US" w:eastAsia="en-US" w:bidi="ar-SA"/>
    </w:rPr>
  </w:style>
  <w:style w:type="paragraph" w:customStyle="1" w:styleId="Bulleted">
    <w:name w:val="Bulleted"/>
    <w:basedOn w:val="Normal"/>
    <w:autoRedefine/>
    <w:rsid w:val="00261426"/>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it-vol1">
    <w:name w:val="cit-vol1"/>
    <w:basedOn w:val="DefaultParagraphFont"/>
    <w:uiPriority w:val="99"/>
    <w:rsid w:val="003F3D99"/>
    <w:rPr>
      <w:rFonts w:cs="Times New Roman"/>
      <w:b/>
      <w:bCs/>
    </w:rPr>
  </w:style>
  <w:style w:type="character" w:customStyle="1" w:styleId="cit-etal">
    <w:name w:val="cit-etal"/>
    <w:basedOn w:val="DefaultParagraphFont"/>
    <w:uiPriority w:val="99"/>
    <w:rsid w:val="003F3D99"/>
    <w:rPr>
      <w:rFonts w:cs="Times New Roman"/>
    </w:rPr>
  </w:style>
  <w:style w:type="character" w:customStyle="1" w:styleId="cit-pub-date">
    <w:name w:val="cit-pub-date"/>
    <w:basedOn w:val="DefaultParagraphFont"/>
    <w:uiPriority w:val="99"/>
    <w:rsid w:val="003F3D99"/>
    <w:rPr>
      <w:rFonts w:cs="Times New Roman"/>
    </w:rPr>
  </w:style>
  <w:style w:type="character" w:customStyle="1" w:styleId="cit-auth">
    <w:name w:val="cit-auth"/>
    <w:basedOn w:val="DefaultParagraphFont"/>
    <w:uiPriority w:val="99"/>
    <w:rsid w:val="003F3D99"/>
    <w:rPr>
      <w:rFonts w:cs="Times New Roman"/>
    </w:rPr>
  </w:style>
  <w:style w:type="character" w:customStyle="1" w:styleId="cit-name-surname">
    <w:name w:val="cit-name-surname"/>
    <w:basedOn w:val="DefaultParagraphFont"/>
    <w:uiPriority w:val="99"/>
    <w:rsid w:val="003F3D99"/>
    <w:rPr>
      <w:rFonts w:cs="Times New Roman"/>
    </w:rPr>
  </w:style>
  <w:style w:type="character" w:customStyle="1" w:styleId="cit-name-given-names">
    <w:name w:val="cit-name-given-names"/>
    <w:basedOn w:val="DefaultParagraphFont"/>
    <w:uiPriority w:val="99"/>
    <w:rsid w:val="003F3D99"/>
    <w:rPr>
      <w:rFonts w:cs="Times New Roman"/>
    </w:rPr>
  </w:style>
  <w:style w:type="character" w:customStyle="1" w:styleId="cit-article-title">
    <w:name w:val="cit-article-title"/>
    <w:basedOn w:val="DefaultParagraphFont"/>
    <w:uiPriority w:val="99"/>
    <w:rsid w:val="003F3D99"/>
    <w:rPr>
      <w:rFonts w:cs="Times New Roman"/>
    </w:rPr>
  </w:style>
  <w:style w:type="character" w:customStyle="1" w:styleId="cit-fpage">
    <w:name w:val="cit-fpage"/>
    <w:basedOn w:val="DefaultParagraphFont"/>
    <w:uiPriority w:val="99"/>
    <w:rsid w:val="003F3D99"/>
    <w:rPr>
      <w:rFonts w:cs="Times New Roman"/>
    </w:rPr>
  </w:style>
  <w:style w:type="character" w:customStyle="1" w:styleId="cit-lpage">
    <w:name w:val="cit-lpage"/>
    <w:basedOn w:val="DefaultParagraphFont"/>
    <w:uiPriority w:val="99"/>
    <w:rsid w:val="003F3D99"/>
    <w:rPr>
      <w:rFonts w:cs="Times New Roman"/>
    </w:rPr>
  </w:style>
  <w:style w:type="character" w:customStyle="1" w:styleId="A5">
    <w:name w:val="A5"/>
    <w:uiPriority w:val="99"/>
    <w:rsid w:val="003F3D99"/>
    <w:rPr>
      <w:rFonts w:cs="Garamond"/>
      <w:color w:val="000000"/>
    </w:rPr>
  </w:style>
  <w:style w:type="table" w:styleId="TableGrid">
    <w:name w:val="Table Grid"/>
    <w:basedOn w:val="TableNormal"/>
    <w:rsid w:val="0034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FE6F2F"/>
    <w:pPr>
      <w:spacing w:line="221" w:lineRule="atLeast"/>
    </w:pPr>
    <w:rPr>
      <w:rFonts w:ascii="ITC Franklin Gothic Std Book" w:hAnsi="ITC Franklin Gothic Std Book"/>
      <w:color w:val="auto"/>
    </w:rPr>
  </w:style>
  <w:style w:type="character" w:customStyle="1" w:styleId="A8">
    <w:name w:val="A8"/>
    <w:uiPriority w:val="99"/>
    <w:rsid w:val="004E16FF"/>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6864">
      <w:bodyDiv w:val="1"/>
      <w:marLeft w:val="0"/>
      <w:marRight w:val="0"/>
      <w:marTop w:val="0"/>
      <w:marBottom w:val="0"/>
      <w:divBdr>
        <w:top w:val="none" w:sz="0" w:space="0" w:color="auto"/>
        <w:left w:val="none" w:sz="0" w:space="0" w:color="auto"/>
        <w:bottom w:val="none" w:sz="0" w:space="0" w:color="auto"/>
        <w:right w:val="none" w:sz="0" w:space="0" w:color="auto"/>
      </w:divBdr>
    </w:div>
    <w:div w:id="90665934">
      <w:bodyDiv w:val="1"/>
      <w:marLeft w:val="0"/>
      <w:marRight w:val="0"/>
      <w:marTop w:val="0"/>
      <w:marBottom w:val="0"/>
      <w:divBdr>
        <w:top w:val="none" w:sz="0" w:space="0" w:color="auto"/>
        <w:left w:val="none" w:sz="0" w:space="0" w:color="auto"/>
        <w:bottom w:val="none" w:sz="0" w:space="0" w:color="auto"/>
        <w:right w:val="none" w:sz="0" w:space="0" w:color="auto"/>
      </w:divBdr>
    </w:div>
    <w:div w:id="116217309">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76387866">
      <w:bodyDiv w:val="1"/>
      <w:marLeft w:val="0"/>
      <w:marRight w:val="0"/>
      <w:marTop w:val="0"/>
      <w:marBottom w:val="0"/>
      <w:divBdr>
        <w:top w:val="none" w:sz="0" w:space="0" w:color="auto"/>
        <w:left w:val="none" w:sz="0" w:space="0" w:color="auto"/>
        <w:bottom w:val="none" w:sz="0" w:space="0" w:color="auto"/>
        <w:right w:val="none" w:sz="0" w:space="0" w:color="auto"/>
      </w:divBdr>
    </w:div>
    <w:div w:id="221336927">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9796">
      <w:bodyDiv w:val="1"/>
      <w:marLeft w:val="0"/>
      <w:marRight w:val="0"/>
      <w:marTop w:val="0"/>
      <w:marBottom w:val="0"/>
      <w:divBdr>
        <w:top w:val="none" w:sz="0" w:space="0" w:color="auto"/>
        <w:left w:val="none" w:sz="0" w:space="0" w:color="auto"/>
        <w:bottom w:val="none" w:sz="0" w:space="0" w:color="auto"/>
        <w:right w:val="none" w:sz="0" w:space="0" w:color="auto"/>
      </w:divBdr>
      <w:divsChild>
        <w:div w:id="1205749379">
          <w:marLeft w:val="0"/>
          <w:marRight w:val="0"/>
          <w:marTop w:val="0"/>
          <w:marBottom w:val="0"/>
          <w:divBdr>
            <w:top w:val="none" w:sz="0" w:space="0" w:color="auto"/>
            <w:left w:val="none" w:sz="0" w:space="0" w:color="auto"/>
            <w:bottom w:val="none" w:sz="0" w:space="0" w:color="auto"/>
            <w:right w:val="none" w:sz="0" w:space="0" w:color="auto"/>
          </w:divBdr>
          <w:divsChild>
            <w:div w:id="1832477321">
              <w:marLeft w:val="0"/>
              <w:marRight w:val="0"/>
              <w:marTop w:val="0"/>
              <w:marBottom w:val="0"/>
              <w:divBdr>
                <w:top w:val="none" w:sz="0" w:space="0" w:color="auto"/>
                <w:left w:val="none" w:sz="0" w:space="0" w:color="auto"/>
                <w:bottom w:val="none" w:sz="0" w:space="0" w:color="auto"/>
                <w:right w:val="none" w:sz="0" w:space="0" w:color="auto"/>
              </w:divBdr>
              <w:divsChild>
                <w:div w:id="684986078">
                  <w:marLeft w:val="0"/>
                  <w:marRight w:val="0"/>
                  <w:marTop w:val="150"/>
                  <w:marBottom w:val="0"/>
                  <w:divBdr>
                    <w:top w:val="none" w:sz="0" w:space="0" w:color="auto"/>
                    <w:left w:val="none" w:sz="0" w:space="0" w:color="auto"/>
                    <w:bottom w:val="none" w:sz="0" w:space="0" w:color="auto"/>
                    <w:right w:val="none" w:sz="0" w:space="0" w:color="auto"/>
                  </w:divBdr>
                  <w:divsChild>
                    <w:div w:id="855387460">
                      <w:marLeft w:val="-150"/>
                      <w:marRight w:val="0"/>
                      <w:marTop w:val="0"/>
                      <w:marBottom w:val="0"/>
                      <w:divBdr>
                        <w:top w:val="none" w:sz="0" w:space="0" w:color="auto"/>
                        <w:left w:val="none" w:sz="0" w:space="0" w:color="auto"/>
                        <w:bottom w:val="none" w:sz="0" w:space="0" w:color="auto"/>
                        <w:right w:val="none" w:sz="0" w:space="0" w:color="auto"/>
                      </w:divBdr>
                      <w:divsChild>
                        <w:div w:id="1712537315">
                          <w:marLeft w:val="0"/>
                          <w:marRight w:val="0"/>
                          <w:marTop w:val="0"/>
                          <w:marBottom w:val="0"/>
                          <w:divBdr>
                            <w:top w:val="none" w:sz="0" w:space="0" w:color="auto"/>
                            <w:left w:val="none" w:sz="0" w:space="0" w:color="auto"/>
                            <w:bottom w:val="none" w:sz="0" w:space="0" w:color="auto"/>
                            <w:right w:val="none" w:sz="0" w:space="0" w:color="auto"/>
                          </w:divBdr>
                          <w:divsChild>
                            <w:div w:id="1379933252">
                              <w:marLeft w:val="0"/>
                              <w:marRight w:val="0"/>
                              <w:marTop w:val="0"/>
                              <w:marBottom w:val="0"/>
                              <w:divBdr>
                                <w:top w:val="none" w:sz="0" w:space="0" w:color="auto"/>
                                <w:left w:val="none" w:sz="0" w:space="0" w:color="auto"/>
                                <w:bottom w:val="none" w:sz="0" w:space="0" w:color="auto"/>
                                <w:right w:val="none" w:sz="0" w:space="0" w:color="auto"/>
                              </w:divBdr>
                              <w:divsChild>
                                <w:div w:id="446856096">
                                  <w:marLeft w:val="0"/>
                                  <w:marRight w:val="0"/>
                                  <w:marTop w:val="0"/>
                                  <w:marBottom w:val="0"/>
                                  <w:divBdr>
                                    <w:top w:val="none" w:sz="0" w:space="0" w:color="auto"/>
                                    <w:left w:val="none" w:sz="0" w:space="0" w:color="auto"/>
                                    <w:bottom w:val="none" w:sz="0" w:space="0" w:color="auto"/>
                                    <w:right w:val="none" w:sz="0" w:space="0" w:color="auto"/>
                                  </w:divBdr>
                                  <w:divsChild>
                                    <w:div w:id="14927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7667">
      <w:bodyDiv w:val="1"/>
      <w:marLeft w:val="0"/>
      <w:marRight w:val="0"/>
      <w:marTop w:val="0"/>
      <w:marBottom w:val="0"/>
      <w:divBdr>
        <w:top w:val="none" w:sz="0" w:space="0" w:color="auto"/>
        <w:left w:val="none" w:sz="0" w:space="0" w:color="auto"/>
        <w:bottom w:val="none" w:sz="0" w:space="0" w:color="auto"/>
        <w:right w:val="none" w:sz="0" w:space="0" w:color="auto"/>
      </w:divBdr>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692729510">
      <w:bodyDiv w:val="1"/>
      <w:marLeft w:val="0"/>
      <w:marRight w:val="0"/>
      <w:marTop w:val="0"/>
      <w:marBottom w:val="0"/>
      <w:divBdr>
        <w:top w:val="none" w:sz="0" w:space="0" w:color="auto"/>
        <w:left w:val="none" w:sz="0" w:space="0" w:color="auto"/>
        <w:bottom w:val="none" w:sz="0" w:space="0" w:color="auto"/>
        <w:right w:val="none" w:sz="0" w:space="0" w:color="auto"/>
      </w:divBdr>
    </w:div>
    <w:div w:id="707801554">
      <w:bodyDiv w:val="1"/>
      <w:marLeft w:val="0"/>
      <w:marRight w:val="0"/>
      <w:marTop w:val="0"/>
      <w:marBottom w:val="0"/>
      <w:divBdr>
        <w:top w:val="none" w:sz="0" w:space="0" w:color="auto"/>
        <w:left w:val="none" w:sz="0" w:space="0" w:color="auto"/>
        <w:bottom w:val="none" w:sz="0" w:space="0" w:color="auto"/>
        <w:right w:val="none" w:sz="0" w:space="0" w:color="auto"/>
      </w:divBdr>
    </w:div>
    <w:div w:id="726607781">
      <w:bodyDiv w:val="1"/>
      <w:marLeft w:val="0"/>
      <w:marRight w:val="0"/>
      <w:marTop w:val="0"/>
      <w:marBottom w:val="0"/>
      <w:divBdr>
        <w:top w:val="none" w:sz="0" w:space="0" w:color="auto"/>
        <w:left w:val="none" w:sz="0" w:space="0" w:color="auto"/>
        <w:bottom w:val="none" w:sz="0" w:space="0" w:color="auto"/>
        <w:right w:val="none" w:sz="0" w:space="0" w:color="auto"/>
      </w:divBdr>
    </w:div>
    <w:div w:id="795679232">
      <w:bodyDiv w:val="1"/>
      <w:marLeft w:val="0"/>
      <w:marRight w:val="0"/>
      <w:marTop w:val="0"/>
      <w:marBottom w:val="0"/>
      <w:divBdr>
        <w:top w:val="none" w:sz="0" w:space="0" w:color="auto"/>
        <w:left w:val="none" w:sz="0" w:space="0" w:color="auto"/>
        <w:bottom w:val="none" w:sz="0" w:space="0" w:color="auto"/>
        <w:right w:val="none" w:sz="0" w:space="0" w:color="auto"/>
      </w:divBdr>
    </w:div>
    <w:div w:id="823669403">
      <w:bodyDiv w:val="1"/>
      <w:marLeft w:val="0"/>
      <w:marRight w:val="0"/>
      <w:marTop w:val="0"/>
      <w:marBottom w:val="0"/>
      <w:divBdr>
        <w:top w:val="none" w:sz="0" w:space="0" w:color="auto"/>
        <w:left w:val="none" w:sz="0" w:space="0" w:color="auto"/>
        <w:bottom w:val="none" w:sz="0" w:space="0" w:color="auto"/>
        <w:right w:val="none" w:sz="0" w:space="0" w:color="auto"/>
      </w:divBdr>
    </w:div>
    <w:div w:id="832139398">
      <w:bodyDiv w:val="1"/>
      <w:marLeft w:val="0"/>
      <w:marRight w:val="0"/>
      <w:marTop w:val="0"/>
      <w:marBottom w:val="0"/>
      <w:divBdr>
        <w:top w:val="none" w:sz="0" w:space="0" w:color="auto"/>
        <w:left w:val="none" w:sz="0" w:space="0" w:color="auto"/>
        <w:bottom w:val="none" w:sz="0" w:space="0" w:color="auto"/>
        <w:right w:val="none" w:sz="0" w:space="0" w:color="auto"/>
      </w:divBdr>
    </w:div>
    <w:div w:id="94145505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485284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81490250">
      <w:bodyDiv w:val="1"/>
      <w:marLeft w:val="0"/>
      <w:marRight w:val="0"/>
      <w:marTop w:val="0"/>
      <w:marBottom w:val="0"/>
      <w:divBdr>
        <w:top w:val="none" w:sz="0" w:space="0" w:color="auto"/>
        <w:left w:val="none" w:sz="0" w:space="0" w:color="auto"/>
        <w:bottom w:val="none" w:sz="0" w:space="0" w:color="auto"/>
        <w:right w:val="none" w:sz="0" w:space="0" w:color="auto"/>
      </w:divBdr>
    </w:div>
    <w:div w:id="1081558990">
      <w:bodyDiv w:val="1"/>
      <w:marLeft w:val="0"/>
      <w:marRight w:val="0"/>
      <w:marTop w:val="0"/>
      <w:marBottom w:val="0"/>
      <w:divBdr>
        <w:top w:val="none" w:sz="0" w:space="0" w:color="auto"/>
        <w:left w:val="none" w:sz="0" w:space="0" w:color="auto"/>
        <w:bottom w:val="none" w:sz="0" w:space="0" w:color="auto"/>
        <w:right w:val="none" w:sz="0" w:space="0" w:color="auto"/>
      </w:divBdr>
    </w:div>
    <w:div w:id="1141923941">
      <w:bodyDiv w:val="1"/>
      <w:marLeft w:val="0"/>
      <w:marRight w:val="0"/>
      <w:marTop w:val="0"/>
      <w:marBottom w:val="0"/>
      <w:divBdr>
        <w:top w:val="none" w:sz="0" w:space="0" w:color="auto"/>
        <w:left w:val="none" w:sz="0" w:space="0" w:color="auto"/>
        <w:bottom w:val="none" w:sz="0" w:space="0" w:color="auto"/>
        <w:right w:val="none" w:sz="0" w:space="0" w:color="auto"/>
      </w:divBdr>
    </w:div>
    <w:div w:id="1202789625">
      <w:bodyDiv w:val="1"/>
      <w:marLeft w:val="0"/>
      <w:marRight w:val="0"/>
      <w:marTop w:val="0"/>
      <w:marBottom w:val="0"/>
      <w:divBdr>
        <w:top w:val="none" w:sz="0" w:space="0" w:color="auto"/>
        <w:left w:val="none" w:sz="0" w:space="0" w:color="auto"/>
        <w:bottom w:val="none" w:sz="0" w:space="0" w:color="auto"/>
        <w:right w:val="none" w:sz="0" w:space="0" w:color="auto"/>
      </w:divBdr>
    </w:div>
    <w:div w:id="120929562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293950028">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93770524">
      <w:bodyDiv w:val="1"/>
      <w:marLeft w:val="0"/>
      <w:marRight w:val="0"/>
      <w:marTop w:val="0"/>
      <w:marBottom w:val="0"/>
      <w:divBdr>
        <w:top w:val="none" w:sz="0" w:space="0" w:color="auto"/>
        <w:left w:val="none" w:sz="0" w:space="0" w:color="auto"/>
        <w:bottom w:val="none" w:sz="0" w:space="0" w:color="auto"/>
        <w:right w:val="none" w:sz="0" w:space="0" w:color="auto"/>
      </w:divBdr>
    </w:div>
    <w:div w:id="1515992184">
      <w:bodyDiv w:val="1"/>
      <w:marLeft w:val="0"/>
      <w:marRight w:val="0"/>
      <w:marTop w:val="0"/>
      <w:marBottom w:val="0"/>
      <w:divBdr>
        <w:top w:val="none" w:sz="0" w:space="0" w:color="auto"/>
        <w:left w:val="none" w:sz="0" w:space="0" w:color="auto"/>
        <w:bottom w:val="none" w:sz="0" w:space="0" w:color="auto"/>
        <w:right w:val="none" w:sz="0" w:space="0" w:color="auto"/>
      </w:divBdr>
    </w:div>
    <w:div w:id="1652100677">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38699195">
      <w:bodyDiv w:val="1"/>
      <w:marLeft w:val="0"/>
      <w:marRight w:val="0"/>
      <w:marTop w:val="0"/>
      <w:marBottom w:val="0"/>
      <w:divBdr>
        <w:top w:val="none" w:sz="0" w:space="0" w:color="auto"/>
        <w:left w:val="none" w:sz="0" w:space="0" w:color="auto"/>
        <w:bottom w:val="none" w:sz="0" w:space="0" w:color="auto"/>
        <w:right w:val="none" w:sz="0" w:space="0" w:color="auto"/>
      </w:divBdr>
    </w:div>
    <w:div w:id="1739329720">
      <w:bodyDiv w:val="1"/>
      <w:marLeft w:val="0"/>
      <w:marRight w:val="0"/>
      <w:marTop w:val="0"/>
      <w:marBottom w:val="0"/>
      <w:divBdr>
        <w:top w:val="none" w:sz="0" w:space="0" w:color="auto"/>
        <w:left w:val="none" w:sz="0" w:space="0" w:color="auto"/>
        <w:bottom w:val="none" w:sz="0" w:space="0" w:color="auto"/>
        <w:right w:val="none" w:sz="0" w:space="0" w:color="auto"/>
      </w:divBdr>
    </w:div>
    <w:div w:id="1782992584">
      <w:bodyDiv w:val="1"/>
      <w:marLeft w:val="0"/>
      <w:marRight w:val="0"/>
      <w:marTop w:val="0"/>
      <w:marBottom w:val="0"/>
      <w:divBdr>
        <w:top w:val="none" w:sz="0" w:space="0" w:color="auto"/>
        <w:left w:val="none" w:sz="0" w:space="0" w:color="auto"/>
        <w:bottom w:val="none" w:sz="0" w:space="0" w:color="auto"/>
        <w:right w:val="none" w:sz="0" w:space="0" w:color="auto"/>
      </w:divBdr>
    </w:div>
    <w:div w:id="1815221421">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15623405">
      <w:bodyDiv w:val="1"/>
      <w:marLeft w:val="0"/>
      <w:marRight w:val="0"/>
      <w:marTop w:val="0"/>
      <w:marBottom w:val="0"/>
      <w:divBdr>
        <w:top w:val="none" w:sz="0" w:space="0" w:color="auto"/>
        <w:left w:val="none" w:sz="0" w:space="0" w:color="auto"/>
        <w:bottom w:val="none" w:sz="0" w:space="0" w:color="auto"/>
        <w:right w:val="none" w:sz="0" w:space="0" w:color="auto"/>
      </w:divBdr>
    </w:div>
    <w:div w:id="1942641317">
      <w:bodyDiv w:val="1"/>
      <w:marLeft w:val="0"/>
      <w:marRight w:val="0"/>
      <w:marTop w:val="0"/>
      <w:marBottom w:val="0"/>
      <w:divBdr>
        <w:top w:val="none" w:sz="0" w:space="0" w:color="auto"/>
        <w:left w:val="none" w:sz="0" w:space="0" w:color="auto"/>
        <w:bottom w:val="none" w:sz="0" w:space="0" w:color="auto"/>
        <w:right w:val="none" w:sz="0" w:space="0" w:color="auto"/>
      </w:divBdr>
    </w:div>
    <w:div w:id="2020039587">
      <w:bodyDiv w:val="1"/>
      <w:marLeft w:val="0"/>
      <w:marRight w:val="0"/>
      <w:marTop w:val="0"/>
      <w:marBottom w:val="0"/>
      <w:divBdr>
        <w:top w:val="none" w:sz="0" w:space="0" w:color="auto"/>
        <w:left w:val="none" w:sz="0" w:space="0" w:color="auto"/>
        <w:bottom w:val="none" w:sz="0" w:space="0" w:color="auto"/>
        <w:right w:val="none" w:sz="0" w:space="0" w:color="auto"/>
      </w:divBdr>
    </w:div>
    <w:div w:id="2064791044">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579D9-C4D2-45FC-AE2D-715980804CC3}">
  <ds:schemaRefs>
    <ds:schemaRef ds:uri="http://schemas.microsoft.com/office/infopath/2007/PartnerControls"/>
    <ds:schemaRef ds:uri="http://purl.org/dc/terms/"/>
    <ds:schemaRef ds:uri="004a172f-e16f-4887-a47b-3990e8128e1e"/>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5.xml><?xml version="1.0" encoding="utf-8"?>
<ds:datastoreItem xmlns:ds="http://schemas.openxmlformats.org/officeDocument/2006/customXml" ds:itemID="{E37BF629-8473-4E75-875D-3A23155E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4397</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30284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xmn5</dc:creator>
  <cp:lastModifiedBy>Zirger, Jeffrey (CDC/OD/OADS)</cp:lastModifiedBy>
  <cp:revision>3</cp:revision>
  <cp:lastPrinted>2014-10-08T15:28:00Z</cp:lastPrinted>
  <dcterms:created xsi:type="dcterms:W3CDTF">2016-07-01T15:51:00Z</dcterms:created>
  <dcterms:modified xsi:type="dcterms:W3CDTF">2016-07-01T15:51:00Z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