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A7ADB8" w14:textId="77777777" w:rsidR="00820643" w:rsidRDefault="00820643" w:rsidP="00DD3A0D">
      <w:pPr>
        <w:jc w:val="center"/>
      </w:pPr>
      <w:r>
        <w:t>JUSTIFICATION FOR CHANGE</w:t>
      </w:r>
    </w:p>
    <w:p w14:paraId="4AC042AF" w14:textId="77777777" w:rsidR="008C3EB3" w:rsidRDefault="00A55D0D" w:rsidP="00DD3A0D">
      <w:pPr>
        <w:jc w:val="center"/>
      </w:pPr>
      <w:r>
        <w:t>FISHERIES CERTIFICATE OF ORIGIN</w:t>
      </w:r>
    </w:p>
    <w:p w14:paraId="4CCB216B" w14:textId="77777777" w:rsidR="00DD3A0D" w:rsidRDefault="00DD3A0D" w:rsidP="00DD3A0D">
      <w:pPr>
        <w:jc w:val="center"/>
      </w:pPr>
      <w:r>
        <w:t xml:space="preserve">OMB </w:t>
      </w:r>
      <w:r w:rsidR="00820643">
        <w:t xml:space="preserve">CONTROL NO. </w:t>
      </w:r>
      <w:r>
        <w:t xml:space="preserve"> 0648-03</w:t>
      </w:r>
      <w:r w:rsidR="00A55D0D">
        <w:t>35</w:t>
      </w:r>
    </w:p>
    <w:p w14:paraId="27CDEAA7" w14:textId="77777777" w:rsidR="00DD3A0D" w:rsidRDefault="00DD3A0D" w:rsidP="00820643"/>
    <w:p w14:paraId="21AFC7E9" w14:textId="1CB7331D" w:rsidR="008B3846" w:rsidRDefault="002840CB" w:rsidP="008B3846">
      <w:pPr>
        <w:spacing w:line="240" w:lineRule="auto"/>
      </w:pPr>
      <w:r>
        <w:t xml:space="preserve">This request is to </w:t>
      </w:r>
      <w:r w:rsidR="00B14485">
        <w:t>revise the layout of the NOAA Form 370, Fisheries Certificate of Origin</w:t>
      </w:r>
      <w:r w:rsidR="002A6872">
        <w:t>, the information contained on the form</w:t>
      </w:r>
      <w:r w:rsidR="00B14485">
        <w:t xml:space="preserve"> and the language required for a captain to certify on an accompanying captain’s statement</w:t>
      </w:r>
      <w:r w:rsidR="002A6872">
        <w:t xml:space="preserve"> that tuna </w:t>
      </w:r>
      <w:r w:rsidR="00426791">
        <w:t xml:space="preserve">covered by the form </w:t>
      </w:r>
      <w:r w:rsidR="002A6872">
        <w:t>is dolphin-safe</w:t>
      </w:r>
      <w:r w:rsidR="00B14485">
        <w:t>.</w:t>
      </w:r>
      <w:r w:rsidR="008B3846">
        <w:t xml:space="preserve">  </w:t>
      </w:r>
    </w:p>
    <w:p w14:paraId="6F94F4CE" w14:textId="6CCAC249" w:rsidR="008B3846" w:rsidRPr="001D2896" w:rsidRDefault="008B3846" w:rsidP="008B3846">
      <w:pPr>
        <w:spacing w:line="240" w:lineRule="auto"/>
        <w:rPr>
          <w:szCs w:val="24"/>
        </w:rPr>
      </w:pPr>
      <w:r w:rsidRPr="00170F02">
        <w:rPr>
          <w:spacing w:val="-1"/>
          <w:szCs w:val="24"/>
        </w:rPr>
        <w:t xml:space="preserve">The purpose </w:t>
      </w:r>
      <w:r w:rsidRPr="00170F02">
        <w:rPr>
          <w:szCs w:val="24"/>
        </w:rPr>
        <w:t>of</w:t>
      </w:r>
      <w:r w:rsidRPr="00170F02">
        <w:rPr>
          <w:spacing w:val="-1"/>
          <w:szCs w:val="24"/>
        </w:rPr>
        <w:t xml:space="preserve"> </w:t>
      </w:r>
      <w:r w:rsidR="00723803">
        <w:rPr>
          <w:szCs w:val="24"/>
        </w:rPr>
        <w:t>NOAA Form 370</w:t>
      </w:r>
      <w:r w:rsidRPr="00170F02">
        <w:rPr>
          <w:szCs w:val="24"/>
        </w:rPr>
        <w:t xml:space="preserve"> is to </w:t>
      </w:r>
      <w:r w:rsidR="00723803">
        <w:rPr>
          <w:szCs w:val="24"/>
        </w:rPr>
        <w:t>implement certain</w:t>
      </w:r>
      <w:r w:rsidRPr="00170F02">
        <w:rPr>
          <w:spacing w:val="-1"/>
          <w:szCs w:val="24"/>
        </w:rPr>
        <w:t xml:space="preserve"> requirements</w:t>
      </w:r>
      <w:r w:rsidRPr="00170F02">
        <w:rPr>
          <w:szCs w:val="24"/>
        </w:rPr>
        <w:t xml:space="preserve"> of</w:t>
      </w:r>
      <w:r w:rsidRPr="00170F02">
        <w:rPr>
          <w:spacing w:val="-1"/>
          <w:szCs w:val="24"/>
        </w:rPr>
        <w:t xml:space="preserve"> </w:t>
      </w:r>
      <w:r w:rsidRPr="00170F02">
        <w:rPr>
          <w:szCs w:val="24"/>
        </w:rPr>
        <w:t>the</w:t>
      </w:r>
      <w:r w:rsidRPr="00170F02">
        <w:rPr>
          <w:spacing w:val="-1"/>
          <w:szCs w:val="24"/>
        </w:rPr>
        <w:t xml:space="preserve"> </w:t>
      </w:r>
      <w:hyperlink r:id="rId6">
        <w:r w:rsidRPr="00170F02">
          <w:rPr>
            <w:color w:val="0000FF"/>
            <w:spacing w:val="-1"/>
            <w:szCs w:val="24"/>
            <w:u w:val="single" w:color="0000FF"/>
          </w:rPr>
          <w:t>Marine</w:t>
        </w:r>
      </w:hyperlink>
      <w:hyperlink r:id="rId7">
        <w:r w:rsidRPr="00170F02">
          <w:rPr>
            <w:color w:val="0000FF"/>
            <w:szCs w:val="24"/>
          </w:rPr>
          <w:t xml:space="preserve"> </w:t>
        </w:r>
        <w:r w:rsidRPr="00170F02">
          <w:rPr>
            <w:color w:val="0000FF"/>
            <w:spacing w:val="-1"/>
            <w:szCs w:val="24"/>
            <w:u w:val="single" w:color="0000FF"/>
          </w:rPr>
          <w:t>Mammal</w:t>
        </w:r>
        <w:r w:rsidRPr="00170F02">
          <w:rPr>
            <w:color w:val="0000FF"/>
            <w:szCs w:val="24"/>
            <w:u w:val="single" w:color="0000FF"/>
          </w:rPr>
          <w:t xml:space="preserve"> </w:t>
        </w:r>
        <w:r w:rsidRPr="00170F02">
          <w:rPr>
            <w:color w:val="0000FF"/>
            <w:spacing w:val="-1"/>
            <w:szCs w:val="24"/>
            <w:u w:val="single" w:color="0000FF"/>
          </w:rPr>
          <w:t>Protection</w:t>
        </w:r>
        <w:r w:rsidRPr="00170F02">
          <w:rPr>
            <w:color w:val="0000FF"/>
            <w:szCs w:val="24"/>
            <w:u w:val="single" w:color="0000FF"/>
          </w:rPr>
          <w:t xml:space="preserve"> </w:t>
        </w:r>
        <w:r w:rsidRPr="00170F02">
          <w:rPr>
            <w:color w:val="0000FF"/>
            <w:spacing w:val="-1"/>
            <w:szCs w:val="24"/>
            <w:u w:val="single" w:color="0000FF"/>
          </w:rPr>
          <w:t>Act</w:t>
        </w:r>
        <w:r w:rsidRPr="00170F02">
          <w:rPr>
            <w:color w:val="0000FF"/>
            <w:spacing w:val="2"/>
            <w:szCs w:val="24"/>
            <w:u w:val="single" w:color="0000FF"/>
          </w:rPr>
          <w:t xml:space="preserve"> </w:t>
        </w:r>
      </w:hyperlink>
      <w:r w:rsidRPr="00170F02">
        <w:rPr>
          <w:spacing w:val="-1"/>
          <w:szCs w:val="24"/>
        </w:rPr>
        <w:t>(MMPA),</w:t>
      </w:r>
      <w:r w:rsidRPr="00170F02">
        <w:rPr>
          <w:szCs w:val="24"/>
        </w:rPr>
        <w:t xml:space="preserve"> 16 </w:t>
      </w:r>
      <w:r w:rsidRPr="00170F02">
        <w:rPr>
          <w:spacing w:val="-1"/>
          <w:szCs w:val="24"/>
        </w:rPr>
        <w:t>U.S.C.</w:t>
      </w:r>
      <w:r w:rsidRPr="00170F02">
        <w:rPr>
          <w:szCs w:val="24"/>
        </w:rPr>
        <w:t xml:space="preserve"> 1361 </w:t>
      </w:r>
      <w:r w:rsidRPr="00170F02">
        <w:rPr>
          <w:i/>
          <w:spacing w:val="-1"/>
          <w:szCs w:val="24"/>
        </w:rPr>
        <w:t>et</w:t>
      </w:r>
      <w:r w:rsidRPr="00170F02">
        <w:rPr>
          <w:i/>
          <w:szCs w:val="24"/>
        </w:rPr>
        <w:t xml:space="preserve"> </w:t>
      </w:r>
      <w:r w:rsidRPr="00170F02">
        <w:rPr>
          <w:i/>
          <w:spacing w:val="-1"/>
          <w:szCs w:val="24"/>
        </w:rPr>
        <w:t>seq</w:t>
      </w:r>
      <w:r w:rsidRPr="00170F02">
        <w:rPr>
          <w:spacing w:val="-1"/>
          <w:szCs w:val="24"/>
        </w:rPr>
        <w:t>.,</w:t>
      </w:r>
      <w:r w:rsidRPr="00170F02">
        <w:rPr>
          <w:szCs w:val="24"/>
        </w:rPr>
        <w:t xml:space="preserve"> </w:t>
      </w:r>
      <w:r w:rsidRPr="00170F02">
        <w:rPr>
          <w:spacing w:val="-1"/>
          <w:szCs w:val="24"/>
        </w:rPr>
        <w:t>and</w:t>
      </w:r>
      <w:r w:rsidRPr="00170F02">
        <w:rPr>
          <w:szCs w:val="24"/>
        </w:rPr>
        <w:t xml:space="preserve"> the</w:t>
      </w:r>
      <w:r w:rsidRPr="00170F02">
        <w:rPr>
          <w:spacing w:val="-1"/>
          <w:szCs w:val="24"/>
        </w:rPr>
        <w:t xml:space="preserve"> </w:t>
      </w:r>
      <w:hyperlink r:id="rId8">
        <w:r w:rsidRPr="00170F02">
          <w:rPr>
            <w:color w:val="0000FF"/>
            <w:szCs w:val="24"/>
            <w:u w:val="single" w:color="0000FF"/>
          </w:rPr>
          <w:t xml:space="preserve">Dolphin </w:t>
        </w:r>
        <w:r w:rsidRPr="00170F02">
          <w:rPr>
            <w:color w:val="0000FF"/>
            <w:spacing w:val="-1"/>
            <w:szCs w:val="24"/>
            <w:u w:val="single" w:color="0000FF"/>
          </w:rPr>
          <w:t>Protection</w:t>
        </w:r>
        <w:r w:rsidRPr="00170F02">
          <w:rPr>
            <w:color w:val="0000FF"/>
            <w:szCs w:val="24"/>
            <w:u w:val="single" w:color="0000FF"/>
          </w:rPr>
          <w:t xml:space="preserve"> </w:t>
        </w:r>
        <w:r w:rsidRPr="00170F02">
          <w:rPr>
            <w:color w:val="0000FF"/>
            <w:spacing w:val="-1"/>
            <w:szCs w:val="24"/>
            <w:u w:val="single" w:color="0000FF"/>
          </w:rPr>
          <w:t>Consumer</w:t>
        </w:r>
      </w:hyperlink>
      <w:hyperlink r:id="rId9">
        <w:r w:rsidRPr="00170F02">
          <w:rPr>
            <w:color w:val="0000FF"/>
            <w:szCs w:val="24"/>
          </w:rPr>
          <w:t xml:space="preserve"> </w:t>
        </w:r>
        <w:r w:rsidRPr="00170F02">
          <w:rPr>
            <w:color w:val="0000FF"/>
            <w:spacing w:val="-1"/>
            <w:szCs w:val="24"/>
            <w:u w:val="single" w:color="0000FF"/>
          </w:rPr>
          <w:t>Information</w:t>
        </w:r>
        <w:r w:rsidRPr="00170F02">
          <w:rPr>
            <w:color w:val="0000FF"/>
            <w:szCs w:val="24"/>
            <w:u w:val="single" w:color="0000FF"/>
          </w:rPr>
          <w:t xml:space="preserve"> </w:t>
        </w:r>
        <w:r w:rsidRPr="00170F02">
          <w:rPr>
            <w:color w:val="0000FF"/>
            <w:spacing w:val="-1"/>
            <w:szCs w:val="24"/>
            <w:u w:val="single" w:color="0000FF"/>
          </w:rPr>
          <w:t>Act</w:t>
        </w:r>
        <w:r w:rsidRPr="00170F02">
          <w:rPr>
            <w:color w:val="0000FF"/>
            <w:szCs w:val="24"/>
            <w:u w:val="single" w:color="0000FF"/>
          </w:rPr>
          <w:t xml:space="preserve"> </w:t>
        </w:r>
      </w:hyperlink>
      <w:r w:rsidRPr="00170F02">
        <w:rPr>
          <w:spacing w:val="-1"/>
          <w:szCs w:val="24"/>
        </w:rPr>
        <w:t>(DPCIA),</w:t>
      </w:r>
      <w:r w:rsidRPr="00170F02">
        <w:rPr>
          <w:szCs w:val="24"/>
        </w:rPr>
        <w:t xml:space="preserve"> 16 </w:t>
      </w:r>
      <w:r w:rsidRPr="00170F02">
        <w:rPr>
          <w:spacing w:val="-1"/>
          <w:szCs w:val="24"/>
        </w:rPr>
        <w:t>U.S.C.</w:t>
      </w:r>
      <w:r w:rsidRPr="00170F02">
        <w:rPr>
          <w:szCs w:val="24"/>
        </w:rPr>
        <w:t xml:space="preserve"> 1385. </w:t>
      </w:r>
      <w:r w:rsidRPr="00170F02">
        <w:rPr>
          <w:spacing w:val="-1"/>
          <w:szCs w:val="24"/>
        </w:rPr>
        <w:t xml:space="preserve">The </w:t>
      </w:r>
      <w:r w:rsidRPr="00170F02">
        <w:rPr>
          <w:szCs w:val="24"/>
        </w:rPr>
        <w:t>MMPA</w:t>
      </w:r>
      <w:r w:rsidRPr="00170F02">
        <w:rPr>
          <w:spacing w:val="-1"/>
          <w:szCs w:val="24"/>
        </w:rPr>
        <w:t xml:space="preserve"> and</w:t>
      </w:r>
      <w:r w:rsidRPr="00170F02">
        <w:rPr>
          <w:szCs w:val="24"/>
        </w:rPr>
        <w:t xml:space="preserve"> the</w:t>
      </w:r>
      <w:r w:rsidRPr="00170F02">
        <w:rPr>
          <w:spacing w:val="-1"/>
          <w:szCs w:val="24"/>
        </w:rPr>
        <w:t xml:space="preserve"> DPCIA</w:t>
      </w:r>
      <w:r w:rsidRPr="00170F02">
        <w:rPr>
          <w:spacing w:val="1"/>
          <w:szCs w:val="24"/>
        </w:rPr>
        <w:t xml:space="preserve"> </w:t>
      </w:r>
      <w:r w:rsidRPr="00170F02">
        <w:rPr>
          <w:szCs w:val="24"/>
        </w:rPr>
        <w:t>authorize the</w:t>
      </w:r>
      <w:r w:rsidRPr="00170F02">
        <w:rPr>
          <w:spacing w:val="-1"/>
          <w:szCs w:val="24"/>
        </w:rPr>
        <w:t xml:space="preserve"> Secretary</w:t>
      </w:r>
      <w:r w:rsidRPr="00170F02">
        <w:rPr>
          <w:spacing w:val="61"/>
          <w:szCs w:val="24"/>
        </w:rPr>
        <w:t xml:space="preserve"> </w:t>
      </w:r>
      <w:r w:rsidRPr="00170F02">
        <w:rPr>
          <w:szCs w:val="24"/>
        </w:rPr>
        <w:t>of</w:t>
      </w:r>
      <w:r w:rsidRPr="00170F02">
        <w:rPr>
          <w:spacing w:val="-1"/>
          <w:szCs w:val="24"/>
        </w:rPr>
        <w:t xml:space="preserve"> Commerce </w:t>
      </w:r>
      <w:r w:rsidRPr="00170F02">
        <w:rPr>
          <w:szCs w:val="24"/>
        </w:rPr>
        <w:t>to promulgate</w:t>
      </w:r>
      <w:r w:rsidRPr="00170F02">
        <w:rPr>
          <w:spacing w:val="-1"/>
          <w:szCs w:val="24"/>
        </w:rPr>
        <w:t xml:space="preserve"> regulations</w:t>
      </w:r>
      <w:r w:rsidRPr="00170F02">
        <w:rPr>
          <w:szCs w:val="24"/>
        </w:rPr>
        <w:t xml:space="preserve"> </w:t>
      </w:r>
      <w:r w:rsidRPr="00170F02">
        <w:rPr>
          <w:spacing w:val="-1"/>
          <w:szCs w:val="24"/>
        </w:rPr>
        <w:t>that</w:t>
      </w:r>
      <w:r w:rsidRPr="00170F02">
        <w:rPr>
          <w:szCs w:val="24"/>
        </w:rPr>
        <w:t xml:space="preserve"> </w:t>
      </w:r>
      <w:r w:rsidRPr="00170F02">
        <w:rPr>
          <w:spacing w:val="-1"/>
          <w:szCs w:val="24"/>
        </w:rPr>
        <w:t>restrict</w:t>
      </w:r>
      <w:r w:rsidRPr="00170F02">
        <w:rPr>
          <w:szCs w:val="24"/>
        </w:rPr>
        <w:t xml:space="preserve"> the</w:t>
      </w:r>
      <w:r w:rsidRPr="00170F02">
        <w:rPr>
          <w:spacing w:val="-1"/>
          <w:szCs w:val="24"/>
        </w:rPr>
        <w:t xml:space="preserve"> </w:t>
      </w:r>
      <w:r w:rsidRPr="00170F02">
        <w:rPr>
          <w:szCs w:val="24"/>
        </w:rPr>
        <w:t xml:space="preserve">sale, importation, </w:t>
      </w:r>
      <w:r w:rsidRPr="00170F02">
        <w:rPr>
          <w:spacing w:val="-1"/>
          <w:szCs w:val="24"/>
        </w:rPr>
        <w:t>and</w:t>
      </w:r>
      <w:r>
        <w:rPr>
          <w:spacing w:val="55"/>
          <w:szCs w:val="24"/>
        </w:rPr>
        <w:t xml:space="preserve"> </w:t>
      </w:r>
      <w:r w:rsidRPr="00170F02">
        <w:rPr>
          <w:spacing w:val="-1"/>
          <w:szCs w:val="24"/>
        </w:rPr>
        <w:t>transportation</w:t>
      </w:r>
      <w:r w:rsidRPr="00170F02">
        <w:rPr>
          <w:szCs w:val="24"/>
        </w:rPr>
        <w:t xml:space="preserve"> of</w:t>
      </w:r>
      <w:r w:rsidRPr="00170F02">
        <w:rPr>
          <w:spacing w:val="-1"/>
          <w:szCs w:val="24"/>
        </w:rPr>
        <w:t xml:space="preserve"> </w:t>
      </w:r>
      <w:r w:rsidRPr="00170F02">
        <w:rPr>
          <w:szCs w:val="24"/>
        </w:rPr>
        <w:t>tuna</w:t>
      </w:r>
      <w:r w:rsidRPr="00170F02">
        <w:rPr>
          <w:spacing w:val="-1"/>
          <w:szCs w:val="24"/>
        </w:rPr>
        <w:t xml:space="preserve"> </w:t>
      </w:r>
      <w:r w:rsidRPr="00170F02">
        <w:rPr>
          <w:szCs w:val="24"/>
        </w:rPr>
        <w:t xml:space="preserve">that is </w:t>
      </w:r>
      <w:r w:rsidR="00723803">
        <w:rPr>
          <w:szCs w:val="24"/>
        </w:rPr>
        <w:t xml:space="preserve">subject to certain embargo provisions or that is </w:t>
      </w:r>
      <w:r w:rsidRPr="00170F02">
        <w:rPr>
          <w:szCs w:val="24"/>
        </w:rPr>
        <w:t xml:space="preserve">not </w:t>
      </w:r>
      <w:r w:rsidRPr="00170F02">
        <w:rPr>
          <w:spacing w:val="-1"/>
          <w:szCs w:val="24"/>
        </w:rPr>
        <w:t>dolphin-safe</w:t>
      </w:r>
      <w:r w:rsidR="00723803">
        <w:rPr>
          <w:spacing w:val="-1"/>
          <w:szCs w:val="24"/>
        </w:rPr>
        <w:t>,</w:t>
      </w:r>
      <w:r w:rsidRPr="00170F02">
        <w:rPr>
          <w:spacing w:val="-1"/>
          <w:szCs w:val="24"/>
        </w:rPr>
        <w:t xml:space="preserve"> and</w:t>
      </w:r>
      <w:r w:rsidRPr="00170F02">
        <w:rPr>
          <w:spacing w:val="2"/>
          <w:szCs w:val="24"/>
        </w:rPr>
        <w:t xml:space="preserve"> </w:t>
      </w:r>
      <w:r w:rsidRPr="00170F02">
        <w:rPr>
          <w:szCs w:val="24"/>
        </w:rPr>
        <w:t>of</w:t>
      </w:r>
      <w:r w:rsidRPr="00170F02">
        <w:rPr>
          <w:spacing w:val="-1"/>
          <w:szCs w:val="24"/>
        </w:rPr>
        <w:t xml:space="preserve"> </w:t>
      </w:r>
      <w:r w:rsidR="00723803">
        <w:rPr>
          <w:spacing w:val="-1"/>
          <w:szCs w:val="24"/>
        </w:rPr>
        <w:t>any</w:t>
      </w:r>
      <w:r w:rsidRPr="00170F02">
        <w:rPr>
          <w:spacing w:val="-1"/>
          <w:szCs w:val="24"/>
        </w:rPr>
        <w:t xml:space="preserve"> fish</w:t>
      </w:r>
      <w:r w:rsidRPr="00170F02">
        <w:rPr>
          <w:szCs w:val="24"/>
        </w:rPr>
        <w:t xml:space="preserve"> </w:t>
      </w:r>
      <w:r w:rsidRPr="00170F02">
        <w:rPr>
          <w:spacing w:val="-1"/>
          <w:szCs w:val="24"/>
        </w:rPr>
        <w:t>harvested</w:t>
      </w:r>
      <w:r w:rsidRPr="00170F02">
        <w:rPr>
          <w:spacing w:val="2"/>
          <w:szCs w:val="24"/>
        </w:rPr>
        <w:t xml:space="preserve"> </w:t>
      </w:r>
      <w:r w:rsidRPr="00170F02">
        <w:rPr>
          <w:spacing w:val="1"/>
          <w:szCs w:val="24"/>
        </w:rPr>
        <w:t>by</w:t>
      </w:r>
      <w:r w:rsidRPr="00170F02">
        <w:rPr>
          <w:spacing w:val="-5"/>
          <w:szCs w:val="24"/>
        </w:rPr>
        <w:t xml:space="preserve"> </w:t>
      </w:r>
      <w:r w:rsidR="00723803">
        <w:rPr>
          <w:spacing w:val="-5"/>
          <w:szCs w:val="24"/>
        </w:rPr>
        <w:t xml:space="preserve">large-scale </w:t>
      </w:r>
      <w:r w:rsidRPr="00170F02">
        <w:rPr>
          <w:spacing w:val="-1"/>
          <w:szCs w:val="24"/>
        </w:rPr>
        <w:t>high</w:t>
      </w:r>
      <w:r w:rsidRPr="00170F02">
        <w:rPr>
          <w:szCs w:val="24"/>
        </w:rPr>
        <w:t xml:space="preserve"> seas </w:t>
      </w:r>
      <w:r w:rsidRPr="00170F02">
        <w:rPr>
          <w:spacing w:val="-1"/>
          <w:szCs w:val="24"/>
        </w:rPr>
        <w:t>driftnets,</w:t>
      </w:r>
      <w:r w:rsidRPr="00170F02">
        <w:rPr>
          <w:szCs w:val="24"/>
        </w:rPr>
        <w:t xml:space="preserve"> and to </w:t>
      </w:r>
      <w:r w:rsidRPr="00170F02">
        <w:rPr>
          <w:spacing w:val="-1"/>
          <w:szCs w:val="24"/>
        </w:rPr>
        <w:t>implement</w:t>
      </w:r>
      <w:r w:rsidRPr="00170F02">
        <w:rPr>
          <w:szCs w:val="24"/>
        </w:rPr>
        <w:t xml:space="preserve"> the</w:t>
      </w:r>
      <w:r w:rsidRPr="00170F02">
        <w:rPr>
          <w:spacing w:val="-1"/>
          <w:szCs w:val="24"/>
        </w:rPr>
        <w:t xml:space="preserve"> DPCIA’s</w:t>
      </w:r>
      <w:r w:rsidRPr="00170F02">
        <w:rPr>
          <w:szCs w:val="24"/>
        </w:rPr>
        <w:t xml:space="preserve"> </w:t>
      </w:r>
      <w:r w:rsidRPr="00170F02">
        <w:rPr>
          <w:spacing w:val="-1"/>
          <w:szCs w:val="24"/>
        </w:rPr>
        <w:t>dolphin-safe</w:t>
      </w:r>
      <w:r w:rsidRPr="00170F02">
        <w:rPr>
          <w:spacing w:val="79"/>
          <w:szCs w:val="24"/>
        </w:rPr>
        <w:t xml:space="preserve"> </w:t>
      </w:r>
      <w:r w:rsidRPr="00170F02">
        <w:rPr>
          <w:spacing w:val="-1"/>
          <w:szCs w:val="24"/>
        </w:rPr>
        <w:t>labeling</w:t>
      </w:r>
      <w:r w:rsidRPr="00170F02">
        <w:rPr>
          <w:spacing w:val="-3"/>
          <w:szCs w:val="24"/>
        </w:rPr>
        <w:t xml:space="preserve"> </w:t>
      </w:r>
      <w:r w:rsidRPr="00170F02">
        <w:rPr>
          <w:spacing w:val="-1"/>
          <w:szCs w:val="24"/>
        </w:rPr>
        <w:t>standard.</w:t>
      </w:r>
      <w:r w:rsidR="00DF0E5B">
        <w:rPr>
          <w:spacing w:val="-1"/>
          <w:szCs w:val="24"/>
        </w:rPr>
        <w:t xml:space="preserve"> </w:t>
      </w:r>
      <w:r w:rsidR="00723803">
        <w:rPr>
          <w:szCs w:val="24"/>
        </w:rPr>
        <w:t>The Form 370</w:t>
      </w:r>
      <w:r w:rsidRPr="001D2896">
        <w:rPr>
          <w:szCs w:val="24"/>
        </w:rPr>
        <w:t xml:space="preserve"> documents the dolphin-safe status of tuna import shipments</w:t>
      </w:r>
      <w:r w:rsidR="00DF0E5B">
        <w:rPr>
          <w:szCs w:val="24"/>
        </w:rPr>
        <w:t xml:space="preserve"> and may also be used by U.S. fishermen to document domestic tuna harvests.</w:t>
      </w:r>
    </w:p>
    <w:p w14:paraId="408087C2" w14:textId="0B6FC0D7" w:rsidR="0087564A" w:rsidRDefault="008B3846" w:rsidP="00DF0E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t xml:space="preserve">The National Marine Fisheries Service is promulgating an interim final rule </w:t>
      </w:r>
      <w:r w:rsidR="00DF0E5B">
        <w:t>(</w:t>
      </w:r>
      <w:r w:rsidR="00DF0E5B" w:rsidRPr="00693FF0">
        <w:rPr>
          <w:b/>
        </w:rPr>
        <w:t>RIN 0648-</w:t>
      </w:r>
      <w:r w:rsidR="00DF0E5B" w:rsidRPr="00802151">
        <w:rPr>
          <w:b/>
        </w:rPr>
        <w:t>BF73</w:t>
      </w:r>
      <w:r w:rsidR="00DF0E5B">
        <w:rPr>
          <w:b/>
        </w:rPr>
        <w:t xml:space="preserve">) </w:t>
      </w:r>
      <w:r>
        <w:t xml:space="preserve">that amends the </w:t>
      </w:r>
      <w:r w:rsidR="008C3EB3">
        <w:t xml:space="preserve">regulations governing use of </w:t>
      </w:r>
      <w:r w:rsidR="00DF0E5B">
        <w:t xml:space="preserve">the dolphin-safe label </w:t>
      </w:r>
      <w:r w:rsidR="008C3EB3">
        <w:t>for tuna harvested by</w:t>
      </w:r>
      <w:r>
        <w:t xml:space="preserve"> all captains (other than those participating in the large purse seine fishery in the eastern tropical Pacific Ocean where the vessel carrying capacity is more than 400 short tons (362.8 mt)), </w:t>
      </w:r>
      <w:r w:rsidR="00130247">
        <w:t xml:space="preserve">to certify </w:t>
      </w:r>
      <w:r w:rsidR="00DF0E5B">
        <w:t xml:space="preserve">the dolphin-safe status of </w:t>
      </w:r>
      <w:r w:rsidR="00130247">
        <w:t xml:space="preserve">their tuna </w:t>
      </w:r>
      <w:r w:rsidR="00DF0E5B">
        <w:t>with a written statement</w:t>
      </w:r>
      <w:r w:rsidR="00130247">
        <w:t xml:space="preserve">.  The new regulatory language </w:t>
      </w:r>
      <w:r w:rsidR="00DF0E5B">
        <w:t xml:space="preserve">for the written certification </w:t>
      </w:r>
      <w:r w:rsidR="00130247">
        <w:t>will be “</w:t>
      </w:r>
      <w:r w:rsidR="00DF0E5B">
        <w:t>no purse seine net or other fishing gear was intentionally deployed on or used to encircle dolphins during the fishing trip in which the tuna were caught, and that no dolphins were killed or seriously injured in the sets or other gear deployments in which the tuna were caught</w:t>
      </w:r>
      <w:r w:rsidR="002A6872">
        <w:t>.”  Also, “</w:t>
      </w:r>
      <w:r w:rsidR="00DF0E5B" w:rsidRPr="00B1676C">
        <w:t xml:space="preserve">the Captain of the vessel </w:t>
      </w:r>
      <w:r w:rsidR="00DF0E5B">
        <w:t xml:space="preserve">has completed the NMFS Tuna Tracking and Verification Program dolphin-safe captain’s training course.” </w:t>
      </w:r>
    </w:p>
    <w:p w14:paraId="1DE5004F" w14:textId="5945A7FC" w:rsidR="00370222" w:rsidRDefault="00DF0E5B" w:rsidP="00DF0E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t xml:space="preserve">The NMFS Tuna Tracking and Verification Program </w:t>
      </w:r>
      <w:r w:rsidR="0087564A">
        <w:t xml:space="preserve">(TTVP) Web site </w:t>
      </w:r>
      <w:r w:rsidR="0087564A" w:rsidRPr="006922EF">
        <w:rPr>
          <w:i/>
        </w:rPr>
        <w:t>http://www.nmfs.noaa.gov/pr/dolphinsafe</w:t>
      </w:r>
      <w:r w:rsidR="0087564A">
        <w:t xml:space="preserve"> has links to the existing OMB approved NOAA Form 370 and the associated captain’s statement templates.  This Web site will be updated coinciding with the </w:t>
      </w:r>
      <w:r w:rsidR="00905481">
        <w:t xml:space="preserve">publication </w:t>
      </w:r>
      <w:r w:rsidR="0087564A">
        <w:t xml:space="preserve">of the interim final rule in the </w:t>
      </w:r>
      <w:bookmarkStart w:id="0" w:name="_GoBack"/>
      <w:r w:rsidR="0087564A" w:rsidRPr="00356008">
        <w:rPr>
          <w:u w:val="single"/>
        </w:rPr>
        <w:t>Federal Register</w:t>
      </w:r>
      <w:bookmarkEnd w:id="0"/>
      <w:r w:rsidR="0087564A">
        <w:t xml:space="preserve">.  When the interim final rule is published, the TTVP Web site will be updated to include the </w:t>
      </w:r>
      <w:r w:rsidR="002A6872">
        <w:t xml:space="preserve">new </w:t>
      </w:r>
      <w:r>
        <w:t>dolphin-safe captain’s training course</w:t>
      </w:r>
      <w:r w:rsidR="0087564A">
        <w:t xml:space="preserve">, the updated version of the </w:t>
      </w:r>
      <w:r>
        <w:t xml:space="preserve">NOAA Form 370 and </w:t>
      </w:r>
      <w:r w:rsidR="00905481">
        <w:t xml:space="preserve">the </w:t>
      </w:r>
      <w:r>
        <w:t xml:space="preserve">associated </w:t>
      </w:r>
      <w:r w:rsidR="0087564A">
        <w:t xml:space="preserve">new </w:t>
      </w:r>
      <w:r>
        <w:t>captain</w:t>
      </w:r>
      <w:r w:rsidR="0087564A">
        <w:t>’s statement template</w:t>
      </w:r>
      <w:r>
        <w:t>.</w:t>
      </w:r>
      <w:r w:rsidR="002840CB">
        <w:t xml:space="preserve"> </w:t>
      </w:r>
    </w:p>
    <w:p w14:paraId="7549A093" w14:textId="2A413ACC" w:rsidR="00F74246" w:rsidRDefault="00D63522" w:rsidP="00DF0E5B">
      <w:pPr>
        <w:spacing w:line="240" w:lineRule="auto"/>
        <w:rPr>
          <w:highlight w:val="yellow"/>
        </w:rPr>
      </w:pPr>
      <w:r w:rsidRPr="00F74246">
        <w:t xml:space="preserve">The </w:t>
      </w:r>
      <w:r w:rsidR="0096289F">
        <w:t>documents</w:t>
      </w:r>
      <w:r w:rsidRPr="00F74246">
        <w:t xml:space="preserve"> collected from the </w:t>
      </w:r>
      <w:r w:rsidR="002A6872">
        <w:t>respondent</w:t>
      </w:r>
      <w:r w:rsidRPr="00F74246">
        <w:t xml:space="preserve"> will re</w:t>
      </w:r>
      <w:r w:rsidR="00F74246" w:rsidRPr="00F74246">
        <w:t>main the same</w:t>
      </w:r>
      <w:r w:rsidR="0087564A">
        <w:t xml:space="preserve"> (i.e.</w:t>
      </w:r>
      <w:r w:rsidR="00905481">
        <w:t>,</w:t>
      </w:r>
      <w:r w:rsidR="0087564A">
        <w:t xml:space="preserve"> a NOAA Form 370 and associated captain’s statement</w:t>
      </w:r>
      <w:r w:rsidR="0096289F">
        <w:t xml:space="preserve"> – only the wording re</w:t>
      </w:r>
      <w:r w:rsidR="00845792">
        <w:t>quired for dolphin-safe certification has changed</w:t>
      </w:r>
      <w:r w:rsidR="0087564A">
        <w:t>)</w:t>
      </w:r>
      <w:r w:rsidR="00F74246" w:rsidRPr="00F74246">
        <w:t xml:space="preserve">. </w:t>
      </w:r>
      <w:r w:rsidR="002A6872">
        <w:t xml:space="preserve"> </w:t>
      </w:r>
      <w:r w:rsidR="0087564A">
        <w:t>Thus, the burden estimate for the respondent will not change since the NOAA Form 370 and the associated captain’s statement are already required under the existing approved collection for OMB Control No. 0648-0335.</w:t>
      </w:r>
      <w:r w:rsidR="00F74246">
        <w:rPr>
          <w:highlight w:val="yellow"/>
        </w:rPr>
        <w:t xml:space="preserve"> </w:t>
      </w:r>
    </w:p>
    <w:p w14:paraId="24A22B5A" w14:textId="03C6EC88" w:rsidR="002A6872" w:rsidRDefault="0087564A" w:rsidP="002A6872">
      <w:pPr>
        <w:spacing w:line="240" w:lineRule="auto"/>
        <w:rPr>
          <w:sz w:val="23"/>
          <w:szCs w:val="23"/>
        </w:rPr>
      </w:pPr>
      <w:r>
        <w:t xml:space="preserve">In addition to the changes mentioned above, NMFS will redesign the layout of the NOAA Form 370 by removing the section on High Seas Driftnet Certification.  This </w:t>
      </w:r>
      <w:r w:rsidR="002A6872">
        <w:t xml:space="preserve">is </w:t>
      </w:r>
      <w:r w:rsidR="008C3EB3">
        <w:t xml:space="preserve">because </w:t>
      </w:r>
      <w:r w:rsidR="002A6872">
        <w:t xml:space="preserve">the NMFS </w:t>
      </w:r>
      <w:r w:rsidR="002A6872">
        <w:lastRenderedPageBreak/>
        <w:t>Assistant Administrator</w:t>
      </w:r>
      <w:r w:rsidR="008C3EB3">
        <w:t xml:space="preserve"> </w:t>
      </w:r>
      <w:r w:rsidR="002A6872">
        <w:t xml:space="preserve">certified </w:t>
      </w:r>
      <w:r w:rsidR="002A6872">
        <w:rPr>
          <w:sz w:val="23"/>
          <w:szCs w:val="23"/>
        </w:rPr>
        <w:t>that Italy no longer has vessels that use large-scale driftnets to fish on the high seas</w:t>
      </w:r>
      <w:r w:rsidR="008C3EB3">
        <w:rPr>
          <w:sz w:val="23"/>
          <w:szCs w:val="23"/>
        </w:rPr>
        <w:t xml:space="preserve"> </w:t>
      </w:r>
      <w:r w:rsidR="008C3EB3">
        <w:t>(</w:t>
      </w:r>
      <w:r w:rsidR="008C3EB3" w:rsidRPr="0096289F">
        <w:rPr>
          <w:u w:val="single"/>
        </w:rPr>
        <w:t>see</w:t>
      </w:r>
      <w:r w:rsidR="008C3EB3">
        <w:t xml:space="preserve"> the Federal Register Notice, published on June 11, 2015)</w:t>
      </w:r>
      <w:r w:rsidR="00DB1608">
        <w:t xml:space="preserve"> and therefore no longer identifies Italy as a high seas driftnet nation</w:t>
      </w:r>
      <w:r w:rsidR="002A6872">
        <w:rPr>
          <w:sz w:val="23"/>
          <w:szCs w:val="23"/>
        </w:rPr>
        <w:t xml:space="preserve">. </w:t>
      </w:r>
      <w:r w:rsidR="00905481">
        <w:rPr>
          <w:sz w:val="23"/>
          <w:szCs w:val="23"/>
        </w:rPr>
        <w:t xml:space="preserve"> </w:t>
      </w:r>
      <w:r w:rsidR="002A6872">
        <w:rPr>
          <w:sz w:val="23"/>
          <w:szCs w:val="23"/>
        </w:rPr>
        <w:t xml:space="preserve">Therefore, shipments of certain fish and fish products from Italy are no longer required to be accompanied by a Fisheries Certificate of Origin (NOAA Form 370) for importation into the United States, and any NOAA Form 370 used for tuna or tuna products from Italy no longer requires certification that the tuna was not harvested with large-scale driftnets on the high seas.  Italy </w:t>
      </w:r>
      <w:r w:rsidR="0021362E">
        <w:rPr>
          <w:sz w:val="23"/>
          <w:szCs w:val="23"/>
        </w:rPr>
        <w:t>had been the only country still identified by NMFS as using</w:t>
      </w:r>
      <w:r w:rsidR="002A6872">
        <w:rPr>
          <w:sz w:val="23"/>
          <w:szCs w:val="23"/>
        </w:rPr>
        <w:t xml:space="preserve"> large-scale driftnets on the high seas.</w:t>
      </w:r>
    </w:p>
    <w:p w14:paraId="7C65F096" w14:textId="77777777" w:rsidR="00DD3A0D" w:rsidRDefault="002A6872" w:rsidP="002A6872">
      <w:pPr>
        <w:spacing w:line="240" w:lineRule="auto"/>
      </w:pPr>
      <w:r>
        <w:t xml:space="preserve"> </w:t>
      </w:r>
      <w:r w:rsidR="00DD3A0D">
        <w:t xml:space="preserve">NMFS seeks </w:t>
      </w:r>
      <w:r w:rsidR="0087564A">
        <w:t xml:space="preserve">OMB </w:t>
      </w:r>
      <w:r w:rsidR="00DD3A0D">
        <w:t xml:space="preserve">approval </w:t>
      </w:r>
      <w:r w:rsidR="0087564A">
        <w:t>of these changes to OMB Control No. 0648-0335.</w:t>
      </w:r>
    </w:p>
    <w:p w14:paraId="6DCBA2F9" w14:textId="77777777" w:rsidR="003A2FB7" w:rsidRDefault="003A2FB7">
      <w:pPr>
        <w:spacing w:line="360" w:lineRule="auto"/>
      </w:pPr>
    </w:p>
    <w:sectPr w:rsidR="003A2FB7">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180AE7" w15:done="0"/>
  <w15:commentEx w15:paraId="2D6718A2" w15:done="0"/>
  <w15:commentEx w15:paraId="6728DB1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dley, Kate">
    <w15:presenceInfo w15:providerId="AD" w15:userId="S-1-5-21-1454471165-117609710-725345543-4052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A0D"/>
    <w:rsid w:val="00015E4E"/>
    <w:rsid w:val="000451D3"/>
    <w:rsid w:val="00072763"/>
    <w:rsid w:val="00075CE8"/>
    <w:rsid w:val="000B1EDD"/>
    <w:rsid w:val="000E2373"/>
    <w:rsid w:val="00130247"/>
    <w:rsid w:val="001645B7"/>
    <w:rsid w:val="00167D88"/>
    <w:rsid w:val="0021362E"/>
    <w:rsid w:val="002840CB"/>
    <w:rsid w:val="00287E64"/>
    <w:rsid w:val="002A6872"/>
    <w:rsid w:val="002D2C7F"/>
    <w:rsid w:val="00356008"/>
    <w:rsid w:val="00370222"/>
    <w:rsid w:val="003A2FB7"/>
    <w:rsid w:val="004010A6"/>
    <w:rsid w:val="00426791"/>
    <w:rsid w:val="004812E5"/>
    <w:rsid w:val="004A6AD0"/>
    <w:rsid w:val="00592A95"/>
    <w:rsid w:val="005C0267"/>
    <w:rsid w:val="00631143"/>
    <w:rsid w:val="00653757"/>
    <w:rsid w:val="00723803"/>
    <w:rsid w:val="00777720"/>
    <w:rsid w:val="007D35DF"/>
    <w:rsid w:val="00820643"/>
    <w:rsid w:val="00845792"/>
    <w:rsid w:val="008523C6"/>
    <w:rsid w:val="0087564A"/>
    <w:rsid w:val="008B3846"/>
    <w:rsid w:val="008C3EB3"/>
    <w:rsid w:val="00905481"/>
    <w:rsid w:val="0096289F"/>
    <w:rsid w:val="00A55D0D"/>
    <w:rsid w:val="00A64012"/>
    <w:rsid w:val="00AA0C4F"/>
    <w:rsid w:val="00AF71B2"/>
    <w:rsid w:val="00B14485"/>
    <w:rsid w:val="00B53720"/>
    <w:rsid w:val="00B82D23"/>
    <w:rsid w:val="00B860AE"/>
    <w:rsid w:val="00BA2324"/>
    <w:rsid w:val="00BB2A4F"/>
    <w:rsid w:val="00BD0A79"/>
    <w:rsid w:val="00C25F49"/>
    <w:rsid w:val="00C74D1D"/>
    <w:rsid w:val="00D47D4E"/>
    <w:rsid w:val="00D63522"/>
    <w:rsid w:val="00D66073"/>
    <w:rsid w:val="00D77B85"/>
    <w:rsid w:val="00DB1608"/>
    <w:rsid w:val="00DC50E0"/>
    <w:rsid w:val="00DD3A0D"/>
    <w:rsid w:val="00DF0E5B"/>
    <w:rsid w:val="00F23870"/>
    <w:rsid w:val="00F55C0E"/>
    <w:rsid w:val="00F647CD"/>
    <w:rsid w:val="00F74246"/>
    <w:rsid w:val="00F92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B0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1E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EDD"/>
    <w:rPr>
      <w:rFonts w:ascii="Tahoma" w:hAnsi="Tahoma" w:cs="Tahoma"/>
      <w:sz w:val="16"/>
      <w:szCs w:val="16"/>
    </w:rPr>
  </w:style>
  <w:style w:type="paragraph" w:styleId="NoSpacing">
    <w:name w:val="No Spacing"/>
    <w:uiPriority w:val="1"/>
    <w:qFormat/>
    <w:rsid w:val="00DF0E5B"/>
    <w:pPr>
      <w:widowControl w:val="0"/>
      <w:autoSpaceDE w:val="0"/>
      <w:autoSpaceDN w:val="0"/>
      <w:adjustRightInd w:val="0"/>
      <w:spacing w:after="0" w:line="240" w:lineRule="auto"/>
    </w:pPr>
    <w:rPr>
      <w:rFonts w:eastAsiaTheme="minorEastAsia" w:cs="Times New Roman"/>
      <w:szCs w:val="24"/>
    </w:rPr>
  </w:style>
  <w:style w:type="character" w:styleId="CommentReference">
    <w:name w:val="annotation reference"/>
    <w:basedOn w:val="DefaultParagraphFont"/>
    <w:uiPriority w:val="99"/>
    <w:semiHidden/>
    <w:unhideWhenUsed/>
    <w:rsid w:val="00905481"/>
    <w:rPr>
      <w:sz w:val="16"/>
      <w:szCs w:val="16"/>
    </w:rPr>
  </w:style>
  <w:style w:type="paragraph" w:styleId="CommentText">
    <w:name w:val="annotation text"/>
    <w:basedOn w:val="Normal"/>
    <w:link w:val="CommentTextChar"/>
    <w:uiPriority w:val="99"/>
    <w:semiHidden/>
    <w:unhideWhenUsed/>
    <w:rsid w:val="00905481"/>
    <w:pPr>
      <w:spacing w:line="240" w:lineRule="auto"/>
    </w:pPr>
    <w:rPr>
      <w:sz w:val="20"/>
      <w:szCs w:val="20"/>
    </w:rPr>
  </w:style>
  <w:style w:type="character" w:customStyle="1" w:styleId="CommentTextChar">
    <w:name w:val="Comment Text Char"/>
    <w:basedOn w:val="DefaultParagraphFont"/>
    <w:link w:val="CommentText"/>
    <w:uiPriority w:val="99"/>
    <w:semiHidden/>
    <w:rsid w:val="00905481"/>
    <w:rPr>
      <w:sz w:val="20"/>
      <w:szCs w:val="20"/>
    </w:rPr>
  </w:style>
  <w:style w:type="paragraph" w:styleId="CommentSubject">
    <w:name w:val="annotation subject"/>
    <w:basedOn w:val="CommentText"/>
    <w:next w:val="CommentText"/>
    <w:link w:val="CommentSubjectChar"/>
    <w:uiPriority w:val="99"/>
    <w:semiHidden/>
    <w:unhideWhenUsed/>
    <w:rsid w:val="00905481"/>
    <w:rPr>
      <w:b/>
      <w:bCs/>
    </w:rPr>
  </w:style>
  <w:style w:type="character" w:customStyle="1" w:styleId="CommentSubjectChar">
    <w:name w:val="Comment Subject Char"/>
    <w:basedOn w:val="CommentTextChar"/>
    <w:link w:val="CommentSubject"/>
    <w:uiPriority w:val="99"/>
    <w:semiHidden/>
    <w:rsid w:val="0090548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1E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EDD"/>
    <w:rPr>
      <w:rFonts w:ascii="Tahoma" w:hAnsi="Tahoma" w:cs="Tahoma"/>
      <w:sz w:val="16"/>
      <w:szCs w:val="16"/>
    </w:rPr>
  </w:style>
  <w:style w:type="paragraph" w:styleId="NoSpacing">
    <w:name w:val="No Spacing"/>
    <w:uiPriority w:val="1"/>
    <w:qFormat/>
    <w:rsid w:val="00DF0E5B"/>
    <w:pPr>
      <w:widowControl w:val="0"/>
      <w:autoSpaceDE w:val="0"/>
      <w:autoSpaceDN w:val="0"/>
      <w:adjustRightInd w:val="0"/>
      <w:spacing w:after="0" w:line="240" w:lineRule="auto"/>
    </w:pPr>
    <w:rPr>
      <w:rFonts w:eastAsiaTheme="minorEastAsia" w:cs="Times New Roman"/>
      <w:szCs w:val="24"/>
    </w:rPr>
  </w:style>
  <w:style w:type="character" w:styleId="CommentReference">
    <w:name w:val="annotation reference"/>
    <w:basedOn w:val="DefaultParagraphFont"/>
    <w:uiPriority w:val="99"/>
    <w:semiHidden/>
    <w:unhideWhenUsed/>
    <w:rsid w:val="00905481"/>
    <w:rPr>
      <w:sz w:val="16"/>
      <w:szCs w:val="16"/>
    </w:rPr>
  </w:style>
  <w:style w:type="paragraph" w:styleId="CommentText">
    <w:name w:val="annotation text"/>
    <w:basedOn w:val="Normal"/>
    <w:link w:val="CommentTextChar"/>
    <w:uiPriority w:val="99"/>
    <w:semiHidden/>
    <w:unhideWhenUsed/>
    <w:rsid w:val="00905481"/>
    <w:pPr>
      <w:spacing w:line="240" w:lineRule="auto"/>
    </w:pPr>
    <w:rPr>
      <w:sz w:val="20"/>
      <w:szCs w:val="20"/>
    </w:rPr>
  </w:style>
  <w:style w:type="character" w:customStyle="1" w:styleId="CommentTextChar">
    <w:name w:val="Comment Text Char"/>
    <w:basedOn w:val="DefaultParagraphFont"/>
    <w:link w:val="CommentText"/>
    <w:uiPriority w:val="99"/>
    <w:semiHidden/>
    <w:rsid w:val="00905481"/>
    <w:rPr>
      <w:sz w:val="20"/>
      <w:szCs w:val="20"/>
    </w:rPr>
  </w:style>
  <w:style w:type="paragraph" w:styleId="CommentSubject">
    <w:name w:val="annotation subject"/>
    <w:basedOn w:val="CommentText"/>
    <w:next w:val="CommentText"/>
    <w:link w:val="CommentSubjectChar"/>
    <w:uiPriority w:val="99"/>
    <w:semiHidden/>
    <w:unhideWhenUsed/>
    <w:rsid w:val="00905481"/>
    <w:rPr>
      <w:b/>
      <w:bCs/>
    </w:rPr>
  </w:style>
  <w:style w:type="character" w:customStyle="1" w:styleId="CommentSubjectChar">
    <w:name w:val="Comment Subject Char"/>
    <w:basedOn w:val="CommentTextChar"/>
    <w:link w:val="CommentSubject"/>
    <w:uiPriority w:val="99"/>
    <w:semiHidden/>
    <w:rsid w:val="009054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027158">
      <w:bodyDiv w:val="1"/>
      <w:marLeft w:val="0"/>
      <w:marRight w:val="0"/>
      <w:marTop w:val="0"/>
      <w:marBottom w:val="0"/>
      <w:divBdr>
        <w:top w:val="none" w:sz="0" w:space="0" w:color="auto"/>
        <w:left w:val="none" w:sz="0" w:space="0" w:color="auto"/>
        <w:bottom w:val="none" w:sz="0" w:space="0" w:color="auto"/>
        <w:right w:val="none" w:sz="0" w:space="0" w:color="auto"/>
      </w:divBdr>
      <w:divsChild>
        <w:div w:id="785078278">
          <w:marLeft w:val="0"/>
          <w:marRight w:val="0"/>
          <w:marTop w:val="0"/>
          <w:marBottom w:val="0"/>
          <w:divBdr>
            <w:top w:val="none" w:sz="0" w:space="0" w:color="auto"/>
            <w:left w:val="none" w:sz="0" w:space="0" w:color="auto"/>
            <w:bottom w:val="none" w:sz="0" w:space="0" w:color="auto"/>
            <w:right w:val="none" w:sz="0" w:space="0" w:color="auto"/>
          </w:divBdr>
        </w:div>
        <w:div w:id="2051220148">
          <w:marLeft w:val="0"/>
          <w:marRight w:val="0"/>
          <w:marTop w:val="0"/>
          <w:marBottom w:val="0"/>
          <w:divBdr>
            <w:top w:val="none" w:sz="0" w:space="0" w:color="auto"/>
            <w:left w:val="none" w:sz="0" w:space="0" w:color="auto"/>
            <w:bottom w:val="none" w:sz="0" w:space="0" w:color="auto"/>
            <w:right w:val="none" w:sz="0" w:space="0" w:color="auto"/>
          </w:divBdr>
        </w:div>
        <w:div w:id="1451588423">
          <w:marLeft w:val="0"/>
          <w:marRight w:val="0"/>
          <w:marTop w:val="0"/>
          <w:marBottom w:val="0"/>
          <w:divBdr>
            <w:top w:val="none" w:sz="0" w:space="0" w:color="auto"/>
            <w:left w:val="none" w:sz="0" w:space="0" w:color="auto"/>
            <w:bottom w:val="none" w:sz="0" w:space="0" w:color="auto"/>
            <w:right w:val="none" w:sz="0" w:space="0" w:color="auto"/>
          </w:divBdr>
        </w:div>
        <w:div w:id="2018337787">
          <w:marLeft w:val="0"/>
          <w:marRight w:val="0"/>
          <w:marTop w:val="0"/>
          <w:marBottom w:val="0"/>
          <w:divBdr>
            <w:top w:val="none" w:sz="0" w:space="0" w:color="auto"/>
            <w:left w:val="none" w:sz="0" w:space="0" w:color="auto"/>
            <w:bottom w:val="none" w:sz="0" w:space="0" w:color="auto"/>
            <w:right w:val="none" w:sz="0" w:space="0" w:color="auto"/>
          </w:divBdr>
        </w:div>
        <w:div w:id="870268685">
          <w:marLeft w:val="0"/>
          <w:marRight w:val="0"/>
          <w:marTop w:val="0"/>
          <w:marBottom w:val="0"/>
          <w:divBdr>
            <w:top w:val="none" w:sz="0" w:space="0" w:color="auto"/>
            <w:left w:val="none" w:sz="0" w:space="0" w:color="auto"/>
            <w:bottom w:val="none" w:sz="0" w:space="0" w:color="auto"/>
            <w:right w:val="none" w:sz="0" w:space="0" w:color="auto"/>
          </w:divBdr>
        </w:div>
        <w:div w:id="2121952965">
          <w:marLeft w:val="0"/>
          <w:marRight w:val="0"/>
          <w:marTop w:val="0"/>
          <w:marBottom w:val="0"/>
          <w:divBdr>
            <w:top w:val="none" w:sz="0" w:space="0" w:color="auto"/>
            <w:left w:val="none" w:sz="0" w:space="0" w:color="auto"/>
            <w:bottom w:val="none" w:sz="0" w:space="0" w:color="auto"/>
            <w:right w:val="none" w:sz="0" w:space="0" w:color="auto"/>
          </w:divBdr>
        </w:div>
        <w:div w:id="507520557">
          <w:marLeft w:val="0"/>
          <w:marRight w:val="0"/>
          <w:marTop w:val="0"/>
          <w:marBottom w:val="0"/>
          <w:divBdr>
            <w:top w:val="none" w:sz="0" w:space="0" w:color="auto"/>
            <w:left w:val="none" w:sz="0" w:space="0" w:color="auto"/>
            <w:bottom w:val="none" w:sz="0" w:space="0" w:color="auto"/>
            <w:right w:val="none" w:sz="0" w:space="0" w:color="auto"/>
          </w:divBdr>
        </w:div>
        <w:div w:id="431970486">
          <w:marLeft w:val="0"/>
          <w:marRight w:val="0"/>
          <w:marTop w:val="0"/>
          <w:marBottom w:val="0"/>
          <w:divBdr>
            <w:top w:val="none" w:sz="0" w:space="0" w:color="auto"/>
            <w:left w:val="none" w:sz="0" w:space="0" w:color="auto"/>
            <w:bottom w:val="none" w:sz="0" w:space="0" w:color="auto"/>
            <w:right w:val="none" w:sz="0" w:space="0" w:color="auto"/>
          </w:divBdr>
        </w:div>
        <w:div w:id="1447264107">
          <w:marLeft w:val="0"/>
          <w:marRight w:val="0"/>
          <w:marTop w:val="0"/>
          <w:marBottom w:val="0"/>
          <w:divBdr>
            <w:top w:val="none" w:sz="0" w:space="0" w:color="auto"/>
            <w:left w:val="none" w:sz="0" w:space="0" w:color="auto"/>
            <w:bottom w:val="none" w:sz="0" w:space="0" w:color="auto"/>
            <w:right w:val="none" w:sz="0" w:space="0" w:color="auto"/>
          </w:divBdr>
        </w:div>
        <w:div w:id="1587180277">
          <w:marLeft w:val="0"/>
          <w:marRight w:val="0"/>
          <w:marTop w:val="0"/>
          <w:marBottom w:val="0"/>
          <w:divBdr>
            <w:top w:val="none" w:sz="0" w:space="0" w:color="auto"/>
            <w:left w:val="none" w:sz="0" w:space="0" w:color="auto"/>
            <w:bottom w:val="none" w:sz="0" w:space="0" w:color="auto"/>
            <w:right w:val="none" w:sz="0" w:space="0" w:color="auto"/>
          </w:divBdr>
        </w:div>
        <w:div w:id="1108084276">
          <w:marLeft w:val="0"/>
          <w:marRight w:val="0"/>
          <w:marTop w:val="0"/>
          <w:marBottom w:val="0"/>
          <w:divBdr>
            <w:top w:val="none" w:sz="0" w:space="0" w:color="auto"/>
            <w:left w:val="none" w:sz="0" w:space="0" w:color="auto"/>
            <w:bottom w:val="none" w:sz="0" w:space="0" w:color="auto"/>
            <w:right w:val="none" w:sz="0" w:space="0" w:color="auto"/>
          </w:divBdr>
        </w:div>
        <w:div w:id="273901981">
          <w:marLeft w:val="0"/>
          <w:marRight w:val="0"/>
          <w:marTop w:val="0"/>
          <w:marBottom w:val="0"/>
          <w:divBdr>
            <w:top w:val="none" w:sz="0" w:space="0" w:color="auto"/>
            <w:left w:val="none" w:sz="0" w:space="0" w:color="auto"/>
            <w:bottom w:val="none" w:sz="0" w:space="0" w:color="auto"/>
            <w:right w:val="none" w:sz="0" w:space="0" w:color="auto"/>
          </w:divBdr>
        </w:div>
        <w:div w:id="1585913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uscode/text/16/1385"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hyperlink" Target="http://www.nmfs.noaa.gov/pr/laws/mmpa/text.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nmfs.noaa.gov/pr/laws/mmpa/text.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aw.cornell.edu/uscode/text/16/1385"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BEBFB-16CD-49E9-A118-764637E33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Penna</dc:creator>
  <cp:lastModifiedBy>Sarah Brabson</cp:lastModifiedBy>
  <cp:revision>4</cp:revision>
  <dcterms:created xsi:type="dcterms:W3CDTF">2016-03-11T23:47:00Z</dcterms:created>
  <dcterms:modified xsi:type="dcterms:W3CDTF">2016-03-12T13:31:00Z</dcterms:modified>
</cp:coreProperties>
</file>