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CE6239F" w14:textId="2326F14A" w:rsidR="00920783" w:rsidRDefault="005F14CC" w:rsidP="00760C65">
      <w:pPr>
        <w:rPr>
          <w:b/>
        </w:rPr>
      </w:pPr>
      <w:r>
        <w:rPr>
          <w:b/>
        </w:rPr>
        <w:t>Rate-of-</w:t>
      </w:r>
      <w:r w:rsidR="00920783">
        <w:rPr>
          <w:b/>
        </w:rPr>
        <w:t xml:space="preserve">Return Reports </w:t>
      </w:r>
      <w:r w:rsidR="00AC3664">
        <w:rPr>
          <w:b/>
        </w:rPr>
        <w:tab/>
      </w:r>
      <w:r w:rsidR="00AC3664">
        <w:rPr>
          <w:b/>
        </w:rPr>
        <w:tab/>
      </w:r>
      <w:r w:rsidR="00AC3664">
        <w:rPr>
          <w:b/>
        </w:rPr>
        <w:tab/>
      </w:r>
      <w:r w:rsidR="00AC3664">
        <w:rPr>
          <w:b/>
        </w:rPr>
        <w:tab/>
      </w:r>
      <w:r w:rsidR="00AC3664">
        <w:rPr>
          <w:b/>
        </w:rPr>
        <w:tab/>
      </w:r>
      <w:r w:rsidR="00AC3664">
        <w:rPr>
          <w:b/>
        </w:rPr>
        <w:tab/>
      </w:r>
      <w:r w:rsidR="00AC3664">
        <w:rPr>
          <w:b/>
        </w:rPr>
        <w:tab/>
      </w:r>
      <w:r w:rsidR="00AC3664">
        <w:rPr>
          <w:b/>
        </w:rPr>
        <w:tab/>
        <w:t xml:space="preserve">      3060-0355</w:t>
      </w:r>
    </w:p>
    <w:p w14:paraId="63F17143" w14:textId="77777777" w:rsidR="00AC3664" w:rsidRDefault="00AC3664" w:rsidP="00AC3664">
      <w:pPr>
        <w:jc w:val="right"/>
        <w:rPr>
          <w:b/>
        </w:rPr>
      </w:pPr>
      <w:r>
        <w:rPr>
          <w:b/>
        </w:rPr>
        <w:t xml:space="preserve">April 2016 </w:t>
      </w:r>
    </w:p>
    <w:p w14:paraId="409303C3" w14:textId="77777777" w:rsidR="00647C57" w:rsidRDefault="00647C57" w:rsidP="00647C57">
      <w:pPr>
        <w:rPr>
          <w:b/>
        </w:rPr>
      </w:pPr>
    </w:p>
    <w:p w14:paraId="6304234F" w14:textId="77777777" w:rsidR="00EE667E" w:rsidRPr="00B47BC7" w:rsidRDefault="00AE2BE5" w:rsidP="00647C57">
      <w:r w:rsidRPr="0018577A">
        <w:rPr>
          <w:szCs w:val="24"/>
        </w:rPr>
        <w:t>Note</w:t>
      </w:r>
      <w:r w:rsidR="00EE667E">
        <w:rPr>
          <w:szCs w:val="24"/>
        </w:rPr>
        <w:t xml:space="preserve">: </w:t>
      </w:r>
      <w:r w:rsidR="00EE667E">
        <w:t xml:space="preserve">This submission is made pursuant to 44 U.S.C. 3507 to extend an existing collection that is expiring.  The Commission has not changed the reporting requirement for this information collection.  We note that the Commission has granted AT&amp;T, Verizon, legacy Qwest, and other similarly-situated carriers forbearance from Form 492-A. </w:t>
      </w:r>
      <w:r w:rsidR="00EE667E" w:rsidRPr="00B47BC7">
        <w:rPr>
          <w:i/>
        </w:rPr>
        <w:t>See Petition of AT&amp;T Inc. for Forbearance under 47 U.S. C. §160 from Enforcement of Certain of the Commission’s Cost Assignment Rules</w:t>
      </w:r>
      <w:r w:rsidR="00EE667E">
        <w:t>, WC Docket Nos. 07-21, 05-342, Memorandum Opinion and Order, 23 FCC Rcd 7302 (2008) (</w:t>
      </w:r>
      <w:r w:rsidR="00EE667E" w:rsidRPr="00B47BC7">
        <w:rPr>
          <w:i/>
        </w:rPr>
        <w:t>AT&amp;T Co</w:t>
      </w:r>
      <w:r w:rsidR="007E4258">
        <w:rPr>
          <w:i/>
        </w:rPr>
        <w:t>st Assignment Forbearance Order.</w:t>
      </w:r>
      <w:r w:rsidR="007E4258">
        <w:t xml:space="preserve"> T</w:t>
      </w:r>
      <w:r w:rsidR="00EE667E">
        <w:t>he Commission seeks OMB approval for the extension of this information collection</w:t>
      </w:r>
      <w:r w:rsidR="007E4258">
        <w:t xml:space="preserve">. </w:t>
      </w:r>
      <w:r w:rsidR="00EE667E">
        <w:t xml:space="preserve"> </w:t>
      </w:r>
    </w:p>
    <w:p w14:paraId="30CB74E0" w14:textId="77777777" w:rsidR="00EE667E" w:rsidRDefault="00EE667E" w:rsidP="00C81E5A">
      <w:pPr>
        <w:rPr>
          <w:szCs w:val="24"/>
        </w:rPr>
      </w:pPr>
    </w:p>
    <w:p w14:paraId="084F93CA" w14:textId="77777777" w:rsidR="00EE667E" w:rsidRPr="0018577A" w:rsidRDefault="00EE667E" w:rsidP="0018577A">
      <w:pPr>
        <w:rPr>
          <w:szCs w:val="24"/>
        </w:rPr>
      </w:pPr>
    </w:p>
    <w:p w14:paraId="6FE55AC3" w14:textId="77777777" w:rsidR="002678D1" w:rsidRPr="00E34C8F" w:rsidRDefault="002678D1" w:rsidP="003E11A3">
      <w:pPr>
        <w:jc w:val="center"/>
        <w:rPr>
          <w:szCs w:val="24"/>
        </w:rPr>
      </w:pPr>
      <w:r w:rsidRPr="00E34C8F">
        <w:rPr>
          <w:szCs w:val="24"/>
        </w:rPr>
        <w:t>SUPPORTING STATEMENT</w:t>
      </w:r>
    </w:p>
    <w:p w14:paraId="4CD7D563" w14:textId="77777777" w:rsidR="002678D1" w:rsidRPr="0018577A" w:rsidRDefault="002678D1" w:rsidP="0018577A">
      <w:pPr>
        <w:rPr>
          <w:szCs w:val="24"/>
        </w:rPr>
      </w:pPr>
    </w:p>
    <w:p w14:paraId="0F221C32" w14:textId="77777777" w:rsidR="002678D1" w:rsidRPr="000B4DF1" w:rsidRDefault="002678D1" w:rsidP="0018577A">
      <w:pPr>
        <w:rPr>
          <w:b/>
          <w:szCs w:val="24"/>
          <w:u w:val="single"/>
        </w:rPr>
      </w:pPr>
      <w:r w:rsidRPr="000B4DF1">
        <w:rPr>
          <w:b/>
          <w:szCs w:val="24"/>
          <w:u w:val="single"/>
        </w:rPr>
        <w:t>A.  Justification:</w:t>
      </w:r>
    </w:p>
    <w:p w14:paraId="2AA06CDA" w14:textId="77777777" w:rsidR="002678D1" w:rsidRPr="0018577A" w:rsidRDefault="002678D1" w:rsidP="0018577A">
      <w:pPr>
        <w:rPr>
          <w:szCs w:val="24"/>
        </w:rPr>
      </w:pPr>
    </w:p>
    <w:p w14:paraId="677CB3FF" w14:textId="77777777" w:rsidR="002678D1" w:rsidRPr="0018577A" w:rsidRDefault="002678D1" w:rsidP="0018577A">
      <w:pPr>
        <w:rPr>
          <w:szCs w:val="24"/>
        </w:rPr>
      </w:pPr>
      <w:r w:rsidRPr="0018577A">
        <w:rPr>
          <w:szCs w:val="24"/>
        </w:rPr>
        <w:t xml:space="preserve">1. Section 220 of the Communications Act of 1934, as amended, 47 USC 220, allows the Commission, at its discretion, to prescribe the forms of any and all accounts, records and memoranda to be kept by carriers subject to this Act, including the accounts, records and memoranda of the movement of traffic, as well as the receipts and expenditures of </w:t>
      </w:r>
      <w:r w:rsidR="00647C57" w:rsidRPr="0018577A">
        <w:rPr>
          <w:szCs w:val="24"/>
        </w:rPr>
        <w:t>moni</w:t>
      </w:r>
      <w:r w:rsidR="00647C57">
        <w:rPr>
          <w:szCs w:val="24"/>
        </w:rPr>
        <w:t>es</w:t>
      </w:r>
      <w:r w:rsidRPr="0018577A">
        <w:rPr>
          <w:szCs w:val="24"/>
        </w:rPr>
        <w:t>.</w:t>
      </w:r>
    </w:p>
    <w:p w14:paraId="36121E72" w14:textId="77777777" w:rsidR="002678D1" w:rsidRPr="0018577A" w:rsidRDefault="002678D1" w:rsidP="0018577A">
      <w:pPr>
        <w:rPr>
          <w:szCs w:val="24"/>
        </w:rPr>
      </w:pPr>
    </w:p>
    <w:p w14:paraId="7026C8F6" w14:textId="77777777" w:rsidR="00F533B2" w:rsidRPr="0018577A" w:rsidRDefault="00F533B2" w:rsidP="0018577A">
      <w:pPr>
        <w:rPr>
          <w:szCs w:val="24"/>
        </w:rPr>
      </w:pPr>
      <w:r w:rsidRPr="0018577A">
        <w:rPr>
          <w:szCs w:val="24"/>
        </w:rPr>
        <w:tab/>
        <w:t xml:space="preserve">Section 219(b) of the Communications Act of 1934, as amended, 47 USC 219(b), authorizes the Commission by general or special orders to require any carrier subject to this Act to file monthly reports of earnings and expenses and to file periodic and/or special reports concerning any matters with respect to which the Commission is authorized or required by law to act.  </w:t>
      </w:r>
    </w:p>
    <w:p w14:paraId="1AF8857F" w14:textId="77777777" w:rsidR="002678D1" w:rsidRPr="0018577A" w:rsidRDefault="00F533B2" w:rsidP="0018577A">
      <w:pPr>
        <w:rPr>
          <w:szCs w:val="24"/>
        </w:rPr>
      </w:pPr>
      <w:r w:rsidRPr="0018577A">
        <w:rPr>
          <w:szCs w:val="24"/>
        </w:rPr>
        <w:tab/>
      </w:r>
    </w:p>
    <w:p w14:paraId="4B2623FD" w14:textId="77777777" w:rsidR="0082764A" w:rsidRDefault="00AE2BE5" w:rsidP="0082764A">
      <w:pPr>
        <w:rPr>
          <w:szCs w:val="24"/>
        </w:rPr>
      </w:pPr>
      <w:r w:rsidRPr="0018577A">
        <w:rPr>
          <w:szCs w:val="24"/>
        </w:rPr>
        <w:tab/>
      </w:r>
      <w:r w:rsidR="0082764A">
        <w:rPr>
          <w:szCs w:val="24"/>
        </w:rPr>
        <w:t>Filing of FCC Form 492 an</w:t>
      </w:r>
      <w:r w:rsidR="00624821">
        <w:rPr>
          <w:szCs w:val="24"/>
        </w:rPr>
        <w:t xml:space="preserve">d FCC Form 492A </w:t>
      </w:r>
      <w:r w:rsidR="004D36BF">
        <w:rPr>
          <w:szCs w:val="24"/>
        </w:rPr>
        <w:t xml:space="preserve">is </w:t>
      </w:r>
      <w:r w:rsidR="008F24A5">
        <w:rPr>
          <w:szCs w:val="24"/>
        </w:rPr>
        <w:t>required by S</w:t>
      </w:r>
      <w:r w:rsidR="0082764A">
        <w:rPr>
          <w:szCs w:val="24"/>
        </w:rPr>
        <w:t xml:space="preserve">ection 65.600 of the FCC Rules.  </w:t>
      </w:r>
      <w:r w:rsidR="00EE667E">
        <w:rPr>
          <w:szCs w:val="24"/>
        </w:rPr>
        <w:t>The annual f</w:t>
      </w:r>
      <w:r w:rsidR="0082764A">
        <w:rPr>
          <w:szCs w:val="24"/>
        </w:rPr>
        <w:t>iling of FCC Form 492 is required from each local exchange carrier or group of affiliated carriers, which is not subject to sections 61.41 through 61.49 of the Commission’s Rules and which has filed individual access tariffs during the enforcement period. Each local exchange carrier or group of affiliated carriers subject to the previously stated sections shall file the</w:t>
      </w:r>
      <w:r w:rsidR="009106BB">
        <w:rPr>
          <w:szCs w:val="24"/>
        </w:rPr>
        <w:t>ir annual</w:t>
      </w:r>
      <w:r w:rsidR="0082764A">
        <w:rPr>
          <w:szCs w:val="24"/>
        </w:rPr>
        <w:t xml:space="preserve"> FCC Form 492A with the Commission</w:t>
      </w:r>
      <w:r w:rsidR="00EE667E">
        <w:rPr>
          <w:szCs w:val="24"/>
        </w:rPr>
        <w:t>.  All</w:t>
      </w:r>
      <w:r w:rsidR="0082764A">
        <w:rPr>
          <w:szCs w:val="24"/>
        </w:rPr>
        <w:t xml:space="preserve"> carriers are also required to file within 15 months after the end of each calendar year a report reflecting any corrections or modifications.  A copy of each report must be retained in the principal office of the respondent and shall be filed in such manner as to be readily available for reference and inspection.  The Commission does not specify a retention period</w:t>
      </w:r>
      <w:r w:rsidR="009106BB">
        <w:rPr>
          <w:szCs w:val="24"/>
        </w:rPr>
        <w:t xml:space="preserve"> for this report</w:t>
      </w:r>
      <w:r w:rsidR="0082764A">
        <w:rPr>
          <w:szCs w:val="24"/>
        </w:rPr>
        <w:t>.</w:t>
      </w:r>
      <w:r w:rsidR="00EE667E">
        <w:rPr>
          <w:szCs w:val="24"/>
        </w:rPr>
        <w:t xml:space="preserve"> </w:t>
      </w:r>
      <w:r w:rsidR="009106BB">
        <w:rPr>
          <w:szCs w:val="24"/>
        </w:rPr>
        <w:t>The Rate of Return Monitoring Reports</w:t>
      </w:r>
      <w:r w:rsidR="00EE667E">
        <w:rPr>
          <w:szCs w:val="24"/>
        </w:rPr>
        <w:t xml:space="preserve"> are necessary to enable the Commission to </w:t>
      </w:r>
      <w:r w:rsidR="009106BB">
        <w:rPr>
          <w:szCs w:val="24"/>
        </w:rPr>
        <w:t xml:space="preserve">scrutinize </w:t>
      </w:r>
      <w:r w:rsidR="00EE667E">
        <w:rPr>
          <w:szCs w:val="24"/>
        </w:rPr>
        <w:t xml:space="preserve">the access tariffs and enforce rate-of-return prescriptions.  </w:t>
      </w:r>
    </w:p>
    <w:p w14:paraId="113F8C5C" w14:textId="77777777" w:rsidR="009106BB" w:rsidRDefault="009106BB" w:rsidP="00CD7CE8">
      <w:pPr>
        <w:tabs>
          <w:tab w:val="left" w:pos="-720"/>
        </w:tabs>
        <w:suppressAutoHyphens/>
        <w:jc w:val="both"/>
        <w:rPr>
          <w:spacing w:val="-3"/>
        </w:rPr>
      </w:pPr>
    </w:p>
    <w:p w14:paraId="4DF86B08" w14:textId="77777777" w:rsidR="00D609A1" w:rsidRDefault="009106BB" w:rsidP="00CD7CE8">
      <w:pPr>
        <w:tabs>
          <w:tab w:val="left" w:pos="-720"/>
        </w:tabs>
        <w:suppressAutoHyphens/>
        <w:jc w:val="both"/>
        <w:rPr>
          <w:spacing w:val="-3"/>
        </w:rPr>
      </w:pPr>
      <w:r>
        <w:rPr>
          <w:spacing w:val="-3"/>
        </w:rPr>
        <w:tab/>
        <w:t>The s</w:t>
      </w:r>
      <w:r w:rsidR="00423543">
        <w:rPr>
          <w:spacing w:val="-3"/>
        </w:rPr>
        <w:t>tatutory authority for this collection of information is contained in 47 U.S.C. Sections 160, 161, 209(b) and 220.</w:t>
      </w:r>
      <w:r w:rsidR="00D609A1">
        <w:rPr>
          <w:spacing w:val="-3"/>
        </w:rPr>
        <w:tab/>
      </w:r>
    </w:p>
    <w:p w14:paraId="4E2EE1EE" w14:textId="77777777" w:rsidR="00D609A1" w:rsidRDefault="00D609A1" w:rsidP="00CD7CE8">
      <w:pPr>
        <w:tabs>
          <w:tab w:val="left" w:pos="-720"/>
        </w:tabs>
        <w:suppressAutoHyphens/>
        <w:jc w:val="both"/>
        <w:rPr>
          <w:spacing w:val="-3"/>
        </w:rPr>
      </w:pPr>
    </w:p>
    <w:p w14:paraId="779E40FF" w14:textId="77777777" w:rsidR="00055E00" w:rsidRDefault="00055E00" w:rsidP="00CD7CE8">
      <w:pPr>
        <w:tabs>
          <w:tab w:val="left" w:pos="-720"/>
        </w:tabs>
        <w:suppressAutoHyphens/>
        <w:jc w:val="both"/>
        <w:rPr>
          <w:spacing w:val="-3"/>
        </w:rPr>
      </w:pPr>
      <w:r>
        <w:rPr>
          <w:spacing w:val="-3"/>
        </w:rPr>
        <w:tab/>
      </w:r>
      <w:r w:rsidR="00920783">
        <w:rPr>
          <w:spacing w:val="-3"/>
        </w:rPr>
        <w:t>T</w:t>
      </w:r>
      <w:r w:rsidRPr="00055E00">
        <w:rPr>
          <w:spacing w:val="-3"/>
        </w:rPr>
        <w:t xml:space="preserve">his information collection does not affect individuals or households; thus, there are no </w:t>
      </w:r>
      <w:r w:rsidR="004D36BF">
        <w:rPr>
          <w:spacing w:val="-3"/>
        </w:rPr>
        <w:t>effects</w:t>
      </w:r>
      <w:r w:rsidR="004D36BF" w:rsidRPr="00055E00">
        <w:rPr>
          <w:spacing w:val="-3"/>
        </w:rPr>
        <w:t xml:space="preserve"> </w:t>
      </w:r>
      <w:r w:rsidRPr="00055E00">
        <w:rPr>
          <w:spacing w:val="-3"/>
        </w:rPr>
        <w:t>under the Privacy Act.</w:t>
      </w:r>
    </w:p>
    <w:p w14:paraId="0D30792A" w14:textId="77777777" w:rsidR="0077734B" w:rsidRDefault="0077734B" w:rsidP="0018577A">
      <w:pPr>
        <w:rPr>
          <w:spacing w:val="-3"/>
        </w:rPr>
      </w:pPr>
    </w:p>
    <w:p w14:paraId="17A503EC" w14:textId="77777777" w:rsidR="002678D1" w:rsidRPr="0018577A" w:rsidRDefault="002678D1" w:rsidP="0018577A">
      <w:pPr>
        <w:rPr>
          <w:szCs w:val="24"/>
        </w:rPr>
      </w:pPr>
      <w:r w:rsidRPr="0018577A">
        <w:rPr>
          <w:szCs w:val="24"/>
        </w:rPr>
        <w:t xml:space="preserve">2.  The information contained in </w:t>
      </w:r>
      <w:r w:rsidR="00546D79">
        <w:rPr>
          <w:szCs w:val="24"/>
        </w:rPr>
        <w:t xml:space="preserve">FCC Forms 492 and 492A is data used by staff members for enforcement purposes and by the public in analyzing the industry.  The reports are also used by the Commission in the tariff review process and provide both the Commission and the carriers with an early warning system if rate adjustments are necessary to correct significant targeting errors. </w:t>
      </w:r>
      <w:r w:rsidR="00530A1E">
        <w:rPr>
          <w:szCs w:val="24"/>
        </w:rPr>
        <w:t xml:space="preserve">It also </w:t>
      </w:r>
      <w:r w:rsidRPr="0018577A">
        <w:rPr>
          <w:szCs w:val="24"/>
        </w:rPr>
        <w:t>enhance</w:t>
      </w:r>
      <w:r w:rsidR="00530A1E">
        <w:rPr>
          <w:szCs w:val="24"/>
        </w:rPr>
        <w:t>s</w:t>
      </w:r>
      <w:r w:rsidRPr="0018577A">
        <w:rPr>
          <w:szCs w:val="24"/>
        </w:rPr>
        <w:t xml:space="preserve"> the Commission's ability to quantify the effects of policy proposals.</w:t>
      </w:r>
    </w:p>
    <w:p w14:paraId="30942909" w14:textId="77777777" w:rsidR="002678D1" w:rsidRPr="0018577A" w:rsidRDefault="002678D1" w:rsidP="0018577A">
      <w:pPr>
        <w:rPr>
          <w:szCs w:val="24"/>
        </w:rPr>
      </w:pPr>
    </w:p>
    <w:p w14:paraId="3EF70FDE" w14:textId="77777777" w:rsidR="00E511E0" w:rsidRPr="00687DA9" w:rsidRDefault="002678D1" w:rsidP="00E511E0">
      <w:pPr>
        <w:rPr>
          <w:szCs w:val="24"/>
        </w:rPr>
      </w:pPr>
      <w:r w:rsidRPr="0018577A">
        <w:rPr>
          <w:szCs w:val="24"/>
        </w:rPr>
        <w:t>3.</w:t>
      </w:r>
      <w:r w:rsidR="00546D79">
        <w:rPr>
          <w:szCs w:val="24"/>
        </w:rPr>
        <w:t xml:space="preserve"> </w:t>
      </w:r>
      <w:r w:rsidR="00E511E0" w:rsidRPr="00687DA9">
        <w:rPr>
          <w:szCs w:val="24"/>
        </w:rPr>
        <w:t xml:space="preserve">The Commission allows carriers to file the data on paper FCC Form 492 and FCC Form </w:t>
      </w:r>
    </w:p>
    <w:p w14:paraId="27288A12" w14:textId="77777777" w:rsidR="00E511E0" w:rsidRPr="00760C65" w:rsidRDefault="00E511E0" w:rsidP="00E511E0">
      <w:pPr>
        <w:rPr>
          <w:color w:val="1F497D"/>
          <w:szCs w:val="24"/>
        </w:rPr>
      </w:pPr>
      <w:r w:rsidRPr="00687DA9">
        <w:rPr>
          <w:szCs w:val="24"/>
        </w:rPr>
        <w:t>492</w:t>
      </w:r>
      <w:r w:rsidR="00687DA9" w:rsidRPr="00687DA9">
        <w:rPr>
          <w:szCs w:val="24"/>
        </w:rPr>
        <w:t>A. </w:t>
      </w:r>
      <w:r w:rsidRPr="00687DA9">
        <w:rPr>
          <w:szCs w:val="24"/>
        </w:rPr>
        <w:t>Paper filings submitted to the Commission are the least burdensome reporting format. If carriers desire to utilize improved information technology to submit data, we will be glad to accommodate them wherever feasible.  Both forms are available on FCC’s Internet Home Page.</w:t>
      </w:r>
    </w:p>
    <w:p w14:paraId="60201DD7" w14:textId="77777777" w:rsidR="00546D79" w:rsidRDefault="00546D79" w:rsidP="0018577A">
      <w:pPr>
        <w:rPr>
          <w:spacing w:val="-3"/>
        </w:rPr>
      </w:pPr>
    </w:p>
    <w:p w14:paraId="4B25B6F8" w14:textId="77777777" w:rsidR="002678D1" w:rsidRPr="0018577A" w:rsidRDefault="002678D1" w:rsidP="0018577A">
      <w:pPr>
        <w:rPr>
          <w:szCs w:val="24"/>
        </w:rPr>
      </w:pPr>
      <w:r w:rsidRPr="0018577A">
        <w:rPr>
          <w:szCs w:val="24"/>
        </w:rPr>
        <w:t xml:space="preserve">4.  No duplication of the required data exists outside the agency.  The Commission knows of no other existing information that would serve </w:t>
      </w:r>
      <w:r w:rsidR="009106BB">
        <w:rPr>
          <w:szCs w:val="24"/>
        </w:rPr>
        <w:t>the same</w:t>
      </w:r>
      <w:r w:rsidRPr="0018577A">
        <w:rPr>
          <w:szCs w:val="24"/>
        </w:rPr>
        <w:t xml:space="preserve"> regulatory purpose</w:t>
      </w:r>
      <w:r w:rsidR="00DA5AB5">
        <w:rPr>
          <w:szCs w:val="24"/>
        </w:rPr>
        <w:t>.</w:t>
      </w:r>
    </w:p>
    <w:p w14:paraId="00E91739" w14:textId="77777777" w:rsidR="002678D1" w:rsidRPr="0018577A" w:rsidRDefault="002678D1" w:rsidP="0018577A">
      <w:pPr>
        <w:rPr>
          <w:szCs w:val="24"/>
        </w:rPr>
      </w:pPr>
    </w:p>
    <w:p w14:paraId="092C91FE" w14:textId="77777777" w:rsidR="00546D79" w:rsidRDefault="002678D1" w:rsidP="00546D79">
      <w:pPr>
        <w:rPr>
          <w:szCs w:val="24"/>
        </w:rPr>
      </w:pPr>
      <w:r w:rsidRPr="0018577A">
        <w:rPr>
          <w:szCs w:val="24"/>
        </w:rPr>
        <w:t>5.  The collection of information does not involve small businesses or other small entities</w:t>
      </w:r>
      <w:r w:rsidR="00FC657F">
        <w:rPr>
          <w:szCs w:val="24"/>
        </w:rPr>
        <w:t xml:space="preserve">. </w:t>
      </w:r>
      <w:r w:rsidR="00546D79">
        <w:rPr>
          <w:szCs w:val="24"/>
        </w:rPr>
        <w:t>These forms are filed only by the local exchange carriers (LECs) that have filed access tariffs with the FCC and the National Exchange Carrier Association (NECA).  Most of the small companies choose to be in the NECA pools instead of filing their own access tariff with the Commission.</w:t>
      </w:r>
    </w:p>
    <w:p w14:paraId="0DE97E2A" w14:textId="77777777" w:rsidR="002678D1" w:rsidRDefault="002678D1" w:rsidP="00FC657F">
      <w:pPr>
        <w:tabs>
          <w:tab w:val="left" w:pos="-720"/>
        </w:tabs>
        <w:suppressAutoHyphens/>
        <w:jc w:val="both"/>
        <w:rPr>
          <w:szCs w:val="24"/>
        </w:rPr>
      </w:pPr>
    </w:p>
    <w:p w14:paraId="5199DBC6" w14:textId="77777777" w:rsidR="002678D1" w:rsidRPr="0018577A" w:rsidRDefault="002678D1" w:rsidP="0018577A">
      <w:pPr>
        <w:rPr>
          <w:szCs w:val="24"/>
        </w:rPr>
      </w:pPr>
      <w:r w:rsidRPr="0018577A">
        <w:rPr>
          <w:szCs w:val="24"/>
        </w:rPr>
        <w:t xml:space="preserve">6.  </w:t>
      </w:r>
      <w:r w:rsidR="00530A1E">
        <w:rPr>
          <w:szCs w:val="24"/>
        </w:rPr>
        <w:t xml:space="preserve">The FCC </w:t>
      </w:r>
      <w:r w:rsidR="003244BD">
        <w:rPr>
          <w:szCs w:val="24"/>
        </w:rPr>
        <w:t xml:space="preserve">Forms 492 and 492A are </w:t>
      </w:r>
      <w:r w:rsidR="00530A1E">
        <w:rPr>
          <w:szCs w:val="24"/>
        </w:rPr>
        <w:t xml:space="preserve">filed once </w:t>
      </w:r>
      <w:r w:rsidR="009106BB">
        <w:rPr>
          <w:szCs w:val="24"/>
        </w:rPr>
        <w:t>per</w:t>
      </w:r>
      <w:r w:rsidR="00530A1E">
        <w:rPr>
          <w:szCs w:val="24"/>
        </w:rPr>
        <w:t xml:space="preserve"> year</w:t>
      </w:r>
      <w:r w:rsidR="0099422E">
        <w:rPr>
          <w:szCs w:val="24"/>
        </w:rPr>
        <w:t>.  I</w:t>
      </w:r>
      <w:r w:rsidR="00530A1E">
        <w:rPr>
          <w:szCs w:val="24"/>
        </w:rPr>
        <w:t xml:space="preserve">f the </w:t>
      </w:r>
      <w:r w:rsidR="00794D2E">
        <w:rPr>
          <w:szCs w:val="24"/>
        </w:rPr>
        <w:t>f</w:t>
      </w:r>
      <w:r w:rsidR="00730B92">
        <w:rPr>
          <w:szCs w:val="24"/>
        </w:rPr>
        <w:t>orms were</w:t>
      </w:r>
      <w:r w:rsidR="00530A1E">
        <w:rPr>
          <w:szCs w:val="24"/>
        </w:rPr>
        <w:t xml:space="preserve"> filed less frequently, </w:t>
      </w:r>
      <w:r w:rsidRPr="0018577A">
        <w:rPr>
          <w:szCs w:val="24"/>
        </w:rPr>
        <w:t xml:space="preserve">the Commission would not be able to conduct its studies of these data in a timely manner.  </w:t>
      </w:r>
      <w:r w:rsidR="0099422E">
        <w:rPr>
          <w:szCs w:val="24"/>
        </w:rPr>
        <w:t>These</w:t>
      </w:r>
      <w:r w:rsidRPr="0018577A">
        <w:rPr>
          <w:szCs w:val="24"/>
        </w:rPr>
        <w:t xml:space="preserve"> data also </w:t>
      </w:r>
      <w:r w:rsidR="00850AB8">
        <w:rPr>
          <w:szCs w:val="24"/>
        </w:rPr>
        <w:t>are</w:t>
      </w:r>
      <w:r w:rsidRPr="0018577A">
        <w:rPr>
          <w:szCs w:val="24"/>
        </w:rPr>
        <w:t xml:space="preserve"> necessary to support other</w:t>
      </w:r>
      <w:r w:rsidR="00850AB8">
        <w:rPr>
          <w:szCs w:val="24"/>
        </w:rPr>
        <w:t xml:space="preserve"> Commission</w:t>
      </w:r>
      <w:r w:rsidRPr="0018577A">
        <w:rPr>
          <w:szCs w:val="24"/>
        </w:rPr>
        <w:t xml:space="preserve"> oversight functions.  </w:t>
      </w:r>
      <w:r w:rsidR="00850AB8">
        <w:rPr>
          <w:szCs w:val="24"/>
        </w:rPr>
        <w:t xml:space="preserve">As noted above, </w:t>
      </w:r>
      <w:r w:rsidRPr="0018577A">
        <w:rPr>
          <w:szCs w:val="24"/>
        </w:rPr>
        <w:t xml:space="preserve">submissions correcting previously filed data are to be filed </w:t>
      </w:r>
      <w:r w:rsidR="003244BD">
        <w:rPr>
          <w:szCs w:val="24"/>
        </w:rPr>
        <w:t xml:space="preserve">within 15 months after the end of each calendar year.  </w:t>
      </w:r>
      <w:r w:rsidRPr="0018577A">
        <w:rPr>
          <w:szCs w:val="24"/>
        </w:rPr>
        <w:t xml:space="preserve">  </w:t>
      </w:r>
    </w:p>
    <w:p w14:paraId="16911A34" w14:textId="77777777" w:rsidR="002678D1" w:rsidRPr="0018577A" w:rsidRDefault="002678D1" w:rsidP="0018577A">
      <w:pPr>
        <w:rPr>
          <w:szCs w:val="24"/>
        </w:rPr>
      </w:pPr>
    </w:p>
    <w:p w14:paraId="57A701D3" w14:textId="77777777" w:rsidR="00210EA8" w:rsidRDefault="002678D1" w:rsidP="00210EA8">
      <w:pPr>
        <w:rPr>
          <w:szCs w:val="24"/>
        </w:rPr>
      </w:pPr>
      <w:r w:rsidRPr="0018577A">
        <w:rPr>
          <w:szCs w:val="24"/>
        </w:rPr>
        <w:t xml:space="preserve">7.  </w:t>
      </w:r>
      <w:r w:rsidR="00210EA8">
        <w:rPr>
          <w:szCs w:val="24"/>
        </w:rPr>
        <w:t xml:space="preserve">The Commission prescribes a specific record retention period for telephone toll records </w:t>
      </w:r>
      <w:r w:rsidR="00850AB8">
        <w:rPr>
          <w:szCs w:val="24"/>
        </w:rPr>
        <w:t xml:space="preserve">in </w:t>
      </w:r>
      <w:r w:rsidR="00210EA8">
        <w:rPr>
          <w:szCs w:val="24"/>
        </w:rPr>
        <w:t xml:space="preserve">section 42.6.  </w:t>
      </w:r>
      <w:r w:rsidR="00850AB8">
        <w:rPr>
          <w:szCs w:val="24"/>
        </w:rPr>
        <w:t>In addition</w:t>
      </w:r>
      <w:r w:rsidR="00210EA8">
        <w:rPr>
          <w:szCs w:val="24"/>
        </w:rPr>
        <w:t xml:space="preserve">, the Commission maintains these filed reports for ten years and then forwards them to the Federal Records Center, where they are stored for another ten years and </w:t>
      </w:r>
      <w:r w:rsidR="00850AB8">
        <w:rPr>
          <w:szCs w:val="24"/>
        </w:rPr>
        <w:t xml:space="preserve">then </w:t>
      </w:r>
      <w:r w:rsidR="00210EA8">
        <w:rPr>
          <w:szCs w:val="24"/>
        </w:rPr>
        <w:t>destroyed.</w:t>
      </w:r>
    </w:p>
    <w:p w14:paraId="3CFDD9B0" w14:textId="77777777" w:rsidR="002678D1" w:rsidRDefault="002678D1" w:rsidP="0018577A">
      <w:pPr>
        <w:rPr>
          <w:szCs w:val="24"/>
        </w:rPr>
      </w:pPr>
    </w:p>
    <w:p w14:paraId="71950D33" w14:textId="77777777" w:rsidR="00895B08" w:rsidRDefault="00672D54" w:rsidP="00672D54">
      <w:pPr>
        <w:tabs>
          <w:tab w:val="left" w:pos="-720"/>
        </w:tabs>
        <w:suppressAutoHyphens/>
        <w:jc w:val="both"/>
        <w:rPr>
          <w:szCs w:val="24"/>
        </w:rPr>
      </w:pPr>
      <w:r w:rsidRPr="00B64BF6">
        <w:rPr>
          <w:szCs w:val="24"/>
        </w:rPr>
        <w:t>8.</w:t>
      </w:r>
      <w:r w:rsidRPr="00D73B98">
        <w:rPr>
          <w:b/>
          <w:szCs w:val="24"/>
        </w:rPr>
        <w:t xml:space="preserve"> </w:t>
      </w:r>
      <w:r w:rsidR="00730B92" w:rsidRPr="00730B92">
        <w:rPr>
          <w:szCs w:val="24"/>
        </w:rPr>
        <w:t xml:space="preserve">A </w:t>
      </w:r>
      <w:r w:rsidR="009106BB">
        <w:rPr>
          <w:szCs w:val="24"/>
        </w:rPr>
        <w:t xml:space="preserve">60-day notice </w:t>
      </w:r>
      <w:r w:rsidR="00730B92" w:rsidRPr="00730B92">
        <w:rPr>
          <w:szCs w:val="24"/>
        </w:rPr>
        <w:t>was published in the Federal Register</w:t>
      </w:r>
      <w:r w:rsidR="00730B92">
        <w:rPr>
          <w:szCs w:val="24"/>
        </w:rPr>
        <w:t xml:space="preserve"> pursuant to 5 CFR § 1320.8(d).  </w:t>
      </w:r>
    </w:p>
    <w:p w14:paraId="7E285CAD" w14:textId="77777777" w:rsidR="00672D54" w:rsidRDefault="00730B92" w:rsidP="00672D54">
      <w:pPr>
        <w:tabs>
          <w:tab w:val="left" w:pos="-720"/>
        </w:tabs>
        <w:suppressAutoHyphens/>
        <w:jc w:val="both"/>
        <w:rPr>
          <w:b/>
          <w:szCs w:val="24"/>
        </w:rPr>
      </w:pPr>
      <w:r>
        <w:rPr>
          <w:szCs w:val="24"/>
        </w:rPr>
        <w:t>See</w:t>
      </w:r>
      <w:r w:rsidR="007F7AA4">
        <w:rPr>
          <w:szCs w:val="24"/>
        </w:rPr>
        <w:t xml:space="preserve"> </w:t>
      </w:r>
      <w:r w:rsidR="00E511E0">
        <w:rPr>
          <w:szCs w:val="24"/>
        </w:rPr>
        <w:t>80</w:t>
      </w:r>
      <w:r w:rsidR="007F7AA4">
        <w:rPr>
          <w:szCs w:val="24"/>
        </w:rPr>
        <w:t xml:space="preserve"> FR </w:t>
      </w:r>
      <w:r w:rsidR="00E511E0">
        <w:rPr>
          <w:szCs w:val="24"/>
        </w:rPr>
        <w:t>79894</w:t>
      </w:r>
      <w:r w:rsidR="007F7AA4">
        <w:rPr>
          <w:szCs w:val="24"/>
        </w:rPr>
        <w:t xml:space="preserve">, </w:t>
      </w:r>
      <w:r>
        <w:rPr>
          <w:szCs w:val="24"/>
        </w:rPr>
        <w:t xml:space="preserve">dated </w:t>
      </w:r>
      <w:r w:rsidR="007F7AA4">
        <w:rPr>
          <w:szCs w:val="24"/>
        </w:rPr>
        <w:t xml:space="preserve">December </w:t>
      </w:r>
      <w:r w:rsidR="00E511E0">
        <w:rPr>
          <w:szCs w:val="24"/>
        </w:rPr>
        <w:t>23</w:t>
      </w:r>
      <w:r w:rsidR="007F7AA4">
        <w:rPr>
          <w:szCs w:val="24"/>
        </w:rPr>
        <w:t>,</w:t>
      </w:r>
      <w:r w:rsidR="004F11D7">
        <w:rPr>
          <w:szCs w:val="24"/>
        </w:rPr>
        <w:t xml:space="preserve"> 201</w:t>
      </w:r>
      <w:r w:rsidR="007E4258">
        <w:rPr>
          <w:szCs w:val="24"/>
        </w:rPr>
        <w:t>5</w:t>
      </w:r>
      <w:r>
        <w:rPr>
          <w:szCs w:val="24"/>
        </w:rPr>
        <w:t xml:space="preserve">.  No </w:t>
      </w:r>
      <w:r w:rsidR="009106BB">
        <w:rPr>
          <w:szCs w:val="24"/>
        </w:rPr>
        <w:t xml:space="preserve">PRA </w:t>
      </w:r>
      <w:r w:rsidR="008F053B">
        <w:rPr>
          <w:szCs w:val="24"/>
        </w:rPr>
        <w:t>c</w:t>
      </w:r>
      <w:r w:rsidR="009106BB">
        <w:rPr>
          <w:szCs w:val="24"/>
        </w:rPr>
        <w:t xml:space="preserve">omments </w:t>
      </w:r>
      <w:r>
        <w:rPr>
          <w:szCs w:val="24"/>
        </w:rPr>
        <w:t>were received.</w:t>
      </w:r>
    </w:p>
    <w:p w14:paraId="6D78627D" w14:textId="77777777" w:rsidR="00B64BF6" w:rsidRPr="00D73B98" w:rsidRDefault="00B64BF6" w:rsidP="00672D54">
      <w:pPr>
        <w:tabs>
          <w:tab w:val="left" w:pos="-720"/>
        </w:tabs>
        <w:suppressAutoHyphens/>
        <w:jc w:val="both"/>
        <w:rPr>
          <w:b/>
          <w:spacing w:val="-3"/>
        </w:rPr>
      </w:pPr>
    </w:p>
    <w:p w14:paraId="3E67492D" w14:textId="77777777" w:rsidR="00330A66" w:rsidRPr="0018577A" w:rsidRDefault="009273EC" w:rsidP="0018577A">
      <w:pPr>
        <w:rPr>
          <w:szCs w:val="24"/>
        </w:rPr>
      </w:pPr>
      <w:r>
        <w:rPr>
          <w:szCs w:val="24"/>
        </w:rPr>
        <w:t>9</w:t>
      </w:r>
      <w:r w:rsidR="002678D1" w:rsidRPr="0018577A">
        <w:rPr>
          <w:szCs w:val="24"/>
        </w:rPr>
        <w:t xml:space="preserve">.  </w:t>
      </w:r>
      <w:r w:rsidR="00330A66" w:rsidRPr="0018577A">
        <w:rPr>
          <w:szCs w:val="24"/>
        </w:rPr>
        <w:t>There will be no payments or gifts to respondents.</w:t>
      </w:r>
    </w:p>
    <w:p w14:paraId="1B6F0F41" w14:textId="77777777" w:rsidR="002678D1" w:rsidRPr="0018577A" w:rsidRDefault="002678D1" w:rsidP="0018577A">
      <w:pPr>
        <w:rPr>
          <w:szCs w:val="24"/>
        </w:rPr>
      </w:pPr>
    </w:p>
    <w:p w14:paraId="0EA8E42B" w14:textId="77777777" w:rsidR="009106BB" w:rsidRPr="003658FD" w:rsidRDefault="002678D1" w:rsidP="009106BB">
      <w:r w:rsidRPr="0018577A">
        <w:rPr>
          <w:szCs w:val="24"/>
        </w:rPr>
        <w:t>10</w:t>
      </w:r>
      <w:r w:rsidR="009106BB">
        <w:rPr>
          <w:szCs w:val="24"/>
        </w:rPr>
        <w:t xml:space="preserve">. </w:t>
      </w:r>
      <w:r w:rsidR="009106BB" w:rsidRPr="001A3B4B">
        <w:t xml:space="preserve"> </w:t>
      </w:r>
      <w:r w:rsidR="009106BB">
        <w:t xml:space="preserve">In most cases, </w:t>
      </w:r>
      <w:r w:rsidR="00EB4789">
        <w:t>rate</w:t>
      </w:r>
      <w:r w:rsidR="00850AB8">
        <w:t>-</w:t>
      </w:r>
      <w:r w:rsidR="00EB4789">
        <w:t>of</w:t>
      </w:r>
      <w:r w:rsidR="00850AB8">
        <w:t>-</w:t>
      </w:r>
      <w:r w:rsidR="00EB4789">
        <w:t>return</w:t>
      </w:r>
      <w:r w:rsidR="009106BB">
        <w:t xml:space="preserve"> reports do not require submission of any confidential or commercially-sensitive data. </w:t>
      </w:r>
      <w:r w:rsidR="009106BB" w:rsidRPr="00C81AA0">
        <w:t xml:space="preserve">The Commission contends that areas in which detailed information is required are fully subject to regulation and the issue of data being regarded as sensitive will arise in special circumstances only.  </w:t>
      </w:r>
      <w:r w:rsidR="009106BB">
        <w:t>If a respondent finds it necessary to submit confidential or commercially-sensitive data, Section 0.459, 47 CFR</w:t>
      </w:r>
      <w:r w:rsidR="00EB4789">
        <w:t>,</w:t>
      </w:r>
      <w:r w:rsidR="009106BB">
        <w:t xml:space="preserve"> contains the procedures for requesting confidential treatment of data. </w:t>
      </w:r>
    </w:p>
    <w:p w14:paraId="0045F7E7" w14:textId="77777777" w:rsidR="002678D1" w:rsidRDefault="002678D1" w:rsidP="0018577A">
      <w:pPr>
        <w:rPr>
          <w:szCs w:val="24"/>
        </w:rPr>
      </w:pPr>
    </w:p>
    <w:p w14:paraId="174407D3" w14:textId="77777777" w:rsidR="002678D1" w:rsidRDefault="002678D1" w:rsidP="0018577A">
      <w:r w:rsidRPr="0018577A">
        <w:rPr>
          <w:szCs w:val="24"/>
        </w:rPr>
        <w:t xml:space="preserve">11.  </w:t>
      </w:r>
      <w:r w:rsidR="00D6769A">
        <w:t>There are no questions that request confidential or sensitive information in this collection.</w:t>
      </w:r>
    </w:p>
    <w:p w14:paraId="27ECF841" w14:textId="77777777" w:rsidR="00D6769A" w:rsidRPr="0018577A" w:rsidRDefault="00D6769A" w:rsidP="0018577A">
      <w:pPr>
        <w:rPr>
          <w:szCs w:val="24"/>
        </w:rPr>
      </w:pPr>
    </w:p>
    <w:p w14:paraId="48FCAC36" w14:textId="77777777" w:rsidR="002678D1" w:rsidRPr="0018577A" w:rsidRDefault="002678D1" w:rsidP="0018577A">
      <w:pPr>
        <w:rPr>
          <w:szCs w:val="24"/>
        </w:rPr>
      </w:pPr>
      <w:r w:rsidRPr="0018577A">
        <w:rPr>
          <w:szCs w:val="24"/>
        </w:rPr>
        <w:t>12.  The following represents the estimate of the annual burden hours an</w:t>
      </w:r>
      <w:r w:rsidR="00210EA8">
        <w:rPr>
          <w:szCs w:val="24"/>
        </w:rPr>
        <w:t>d the annual cost burden for this</w:t>
      </w:r>
      <w:r w:rsidRPr="0018577A">
        <w:rPr>
          <w:szCs w:val="24"/>
        </w:rPr>
        <w:t xml:space="preserve"> collection of information</w:t>
      </w:r>
      <w:r w:rsidR="00423543">
        <w:rPr>
          <w:szCs w:val="24"/>
        </w:rPr>
        <w:t xml:space="preserve">. </w:t>
      </w:r>
      <w:r w:rsidRPr="0018577A">
        <w:rPr>
          <w:szCs w:val="24"/>
        </w:rPr>
        <w:t xml:space="preserve">We note that the </w:t>
      </w:r>
      <w:r w:rsidR="003A01DE">
        <w:rPr>
          <w:szCs w:val="24"/>
        </w:rPr>
        <w:t>hour</w:t>
      </w:r>
      <w:r w:rsidR="00850AB8" w:rsidRPr="0018577A">
        <w:rPr>
          <w:szCs w:val="24"/>
        </w:rPr>
        <w:t xml:space="preserve"> </w:t>
      </w:r>
      <w:r w:rsidRPr="0018577A">
        <w:rPr>
          <w:szCs w:val="24"/>
        </w:rPr>
        <w:t>burden imposed by the requirement is very difficult to quantify.  The following represents our best estimate.</w:t>
      </w:r>
    </w:p>
    <w:p w14:paraId="2067746D" w14:textId="77777777" w:rsidR="002678D1" w:rsidRPr="0018577A" w:rsidRDefault="002678D1" w:rsidP="0018577A">
      <w:pPr>
        <w:rPr>
          <w:szCs w:val="24"/>
        </w:rPr>
      </w:pPr>
    </w:p>
    <w:p w14:paraId="3BEA4726" w14:textId="77777777" w:rsidR="002678D1" w:rsidRDefault="002678D1" w:rsidP="0018577A">
      <w:pPr>
        <w:rPr>
          <w:szCs w:val="24"/>
        </w:rPr>
      </w:pPr>
      <w:r w:rsidRPr="0018577A">
        <w:rPr>
          <w:szCs w:val="24"/>
        </w:rPr>
        <w:t xml:space="preserve">FCC </w:t>
      </w:r>
      <w:r w:rsidR="00651655">
        <w:rPr>
          <w:szCs w:val="24"/>
        </w:rPr>
        <w:t>Forms 492 and 492A:</w:t>
      </w:r>
    </w:p>
    <w:p w14:paraId="25B85692" w14:textId="77777777" w:rsidR="00687DA9" w:rsidRDefault="00687DA9" w:rsidP="008259F8">
      <w:pPr>
        <w:rPr>
          <w:szCs w:val="24"/>
        </w:rPr>
      </w:pPr>
    </w:p>
    <w:p w14:paraId="2BDDE9BE" w14:textId="77777777" w:rsidR="00D6769A" w:rsidRDefault="008259F8" w:rsidP="008259F8">
      <w:pPr>
        <w:ind w:left="360"/>
        <w:rPr>
          <w:szCs w:val="24"/>
        </w:rPr>
      </w:pPr>
      <w:r>
        <w:rPr>
          <w:szCs w:val="24"/>
        </w:rPr>
        <w:t xml:space="preserve">      1.</w:t>
      </w:r>
      <w:r w:rsidR="00687DA9">
        <w:rPr>
          <w:szCs w:val="24"/>
        </w:rPr>
        <w:t xml:space="preserve"> </w:t>
      </w:r>
      <w:r>
        <w:rPr>
          <w:szCs w:val="24"/>
        </w:rPr>
        <w:t xml:space="preserve"> </w:t>
      </w:r>
      <w:r w:rsidR="00330A66" w:rsidRPr="00687DA9">
        <w:rPr>
          <w:szCs w:val="24"/>
          <w:u w:val="single"/>
        </w:rPr>
        <w:t>Number of respondents</w:t>
      </w:r>
      <w:r w:rsidR="00651655" w:rsidRPr="00687DA9">
        <w:rPr>
          <w:szCs w:val="24"/>
        </w:rPr>
        <w:t xml:space="preserve">: </w:t>
      </w:r>
      <w:r w:rsidR="002678D1" w:rsidRPr="00687DA9">
        <w:rPr>
          <w:szCs w:val="24"/>
        </w:rPr>
        <w:t xml:space="preserve"> </w:t>
      </w:r>
      <w:r w:rsidR="007E4258" w:rsidRPr="00687DA9">
        <w:rPr>
          <w:b/>
          <w:szCs w:val="24"/>
        </w:rPr>
        <w:t>137</w:t>
      </w:r>
    </w:p>
    <w:p w14:paraId="7B5CFB88" w14:textId="77777777" w:rsidR="00D6769A" w:rsidRDefault="00D6769A" w:rsidP="00883025">
      <w:pPr>
        <w:ind w:left="1440"/>
        <w:rPr>
          <w:szCs w:val="24"/>
        </w:rPr>
      </w:pPr>
    </w:p>
    <w:p w14:paraId="392A849F" w14:textId="77777777" w:rsidR="002678D1" w:rsidRDefault="00D6769A" w:rsidP="0018577A">
      <w:pPr>
        <w:rPr>
          <w:szCs w:val="24"/>
        </w:rPr>
      </w:pPr>
      <w:r>
        <w:rPr>
          <w:szCs w:val="24"/>
        </w:rPr>
        <w:tab/>
      </w:r>
      <w:r w:rsidR="00D869D0">
        <w:rPr>
          <w:szCs w:val="24"/>
        </w:rPr>
        <w:t>2</w:t>
      </w:r>
      <w:r w:rsidR="002678D1" w:rsidRPr="0018577A">
        <w:rPr>
          <w:szCs w:val="24"/>
        </w:rPr>
        <w:t xml:space="preserve">.  </w:t>
      </w:r>
      <w:r w:rsidR="002678D1" w:rsidRPr="008339A1">
        <w:rPr>
          <w:szCs w:val="24"/>
          <w:u w:val="single"/>
        </w:rPr>
        <w:t>Frequency of response</w:t>
      </w:r>
      <w:r w:rsidR="002678D1" w:rsidRPr="0018577A">
        <w:rPr>
          <w:szCs w:val="24"/>
        </w:rPr>
        <w:t xml:space="preserve">:  </w:t>
      </w:r>
      <w:r w:rsidR="00352340">
        <w:rPr>
          <w:szCs w:val="24"/>
        </w:rPr>
        <w:t>Annual reporting requirement.</w:t>
      </w:r>
    </w:p>
    <w:p w14:paraId="2F2E971D" w14:textId="77777777" w:rsidR="00D6769A" w:rsidRPr="0018577A" w:rsidRDefault="00D6769A" w:rsidP="0018577A">
      <w:pPr>
        <w:rPr>
          <w:szCs w:val="24"/>
        </w:rPr>
      </w:pPr>
    </w:p>
    <w:p w14:paraId="2967F4B9" w14:textId="77777777" w:rsidR="008F053B" w:rsidRDefault="003A01DE" w:rsidP="00883025">
      <w:pPr>
        <w:ind w:left="720"/>
        <w:rPr>
          <w:szCs w:val="24"/>
        </w:rPr>
      </w:pPr>
      <w:r>
        <w:rPr>
          <w:szCs w:val="24"/>
        </w:rPr>
        <w:t>3.</w:t>
      </w:r>
      <w:r w:rsidR="008F053B">
        <w:rPr>
          <w:szCs w:val="24"/>
        </w:rPr>
        <w:t xml:space="preserve">  </w:t>
      </w:r>
      <w:r w:rsidR="00D6769A">
        <w:rPr>
          <w:szCs w:val="24"/>
          <w:u w:val="single"/>
        </w:rPr>
        <w:t>Total</w:t>
      </w:r>
      <w:r w:rsidR="008F053B">
        <w:rPr>
          <w:szCs w:val="24"/>
          <w:u w:val="single"/>
        </w:rPr>
        <w:t xml:space="preserve"> Number of Responses Annually</w:t>
      </w:r>
      <w:r w:rsidR="008F053B" w:rsidRPr="00883025">
        <w:rPr>
          <w:szCs w:val="24"/>
        </w:rPr>
        <w:t>:</w:t>
      </w:r>
      <w:r w:rsidR="00D6769A" w:rsidRPr="00883025">
        <w:rPr>
          <w:szCs w:val="24"/>
        </w:rPr>
        <w:t xml:space="preserve"> </w:t>
      </w:r>
      <w:r w:rsidR="00DE2138">
        <w:rPr>
          <w:b/>
          <w:szCs w:val="24"/>
        </w:rPr>
        <w:t>137</w:t>
      </w:r>
    </w:p>
    <w:p w14:paraId="14243819" w14:textId="77777777" w:rsidR="008F053B" w:rsidRDefault="008F053B" w:rsidP="00883025">
      <w:pPr>
        <w:ind w:left="720"/>
        <w:rPr>
          <w:szCs w:val="24"/>
        </w:rPr>
      </w:pPr>
    </w:p>
    <w:p w14:paraId="4C88D738" w14:textId="77777777" w:rsidR="002678D1" w:rsidRDefault="00DE2138" w:rsidP="00883025">
      <w:pPr>
        <w:ind w:left="720"/>
        <w:rPr>
          <w:b/>
          <w:szCs w:val="24"/>
        </w:rPr>
      </w:pPr>
      <w:r>
        <w:rPr>
          <w:szCs w:val="24"/>
        </w:rPr>
        <w:tab/>
        <w:t>137</w:t>
      </w:r>
      <w:r w:rsidR="008F053B">
        <w:rPr>
          <w:szCs w:val="24"/>
        </w:rPr>
        <w:t xml:space="preserve"> carriers x 1 response/annum</w:t>
      </w:r>
      <w:r w:rsidR="008F053B">
        <w:rPr>
          <w:szCs w:val="24"/>
        </w:rPr>
        <w:tab/>
      </w:r>
      <w:r w:rsidR="00651655">
        <w:rPr>
          <w:szCs w:val="24"/>
        </w:rPr>
        <w:t xml:space="preserve"> </w:t>
      </w:r>
    </w:p>
    <w:p w14:paraId="38B56BC4" w14:textId="77777777" w:rsidR="00D6769A" w:rsidRPr="00E34C8F" w:rsidRDefault="00D6769A" w:rsidP="00C81E5A">
      <w:pPr>
        <w:rPr>
          <w:b/>
          <w:szCs w:val="24"/>
        </w:rPr>
      </w:pPr>
    </w:p>
    <w:p w14:paraId="22F411AD" w14:textId="77777777" w:rsidR="008F053B" w:rsidRDefault="00D869D0" w:rsidP="0018577A">
      <w:pPr>
        <w:rPr>
          <w:szCs w:val="24"/>
        </w:rPr>
      </w:pPr>
      <w:r>
        <w:rPr>
          <w:szCs w:val="24"/>
        </w:rPr>
        <w:tab/>
        <w:t>4</w:t>
      </w:r>
      <w:r w:rsidR="002678D1" w:rsidRPr="0018577A">
        <w:rPr>
          <w:szCs w:val="24"/>
        </w:rPr>
        <w:t xml:space="preserve">.  </w:t>
      </w:r>
      <w:r w:rsidR="008F053B">
        <w:rPr>
          <w:szCs w:val="24"/>
          <w:u w:val="single"/>
        </w:rPr>
        <w:t>Total Annual Hourly Burden</w:t>
      </w:r>
      <w:r w:rsidR="00AD37FB">
        <w:rPr>
          <w:szCs w:val="24"/>
        </w:rPr>
        <w:t xml:space="preserve">: </w:t>
      </w:r>
      <w:r w:rsidR="00DE2138">
        <w:rPr>
          <w:b/>
          <w:szCs w:val="24"/>
        </w:rPr>
        <w:t>1,096</w:t>
      </w:r>
      <w:r w:rsidR="00AD37FB">
        <w:rPr>
          <w:szCs w:val="24"/>
        </w:rPr>
        <w:t xml:space="preserve"> </w:t>
      </w:r>
    </w:p>
    <w:p w14:paraId="0856DAAA" w14:textId="77777777" w:rsidR="008F053B" w:rsidRDefault="008F053B" w:rsidP="0018577A">
      <w:pPr>
        <w:rPr>
          <w:szCs w:val="24"/>
        </w:rPr>
      </w:pPr>
    </w:p>
    <w:p w14:paraId="070F63CF" w14:textId="77777777" w:rsidR="008F053B" w:rsidRDefault="008F053B" w:rsidP="00883025">
      <w:pPr>
        <w:ind w:firstLine="720"/>
        <w:rPr>
          <w:szCs w:val="24"/>
        </w:rPr>
      </w:pPr>
      <w:r>
        <w:rPr>
          <w:szCs w:val="24"/>
        </w:rPr>
        <w:tab/>
        <w:t>The Commission estimates that each respondent takes approximately 8 hours to comply with the requirement.</w:t>
      </w:r>
    </w:p>
    <w:p w14:paraId="7474AA94" w14:textId="77777777" w:rsidR="008F053B" w:rsidRDefault="008F053B" w:rsidP="00883025">
      <w:pPr>
        <w:ind w:firstLine="720"/>
        <w:rPr>
          <w:szCs w:val="24"/>
        </w:rPr>
      </w:pPr>
    </w:p>
    <w:p w14:paraId="3AC0DA50" w14:textId="77777777" w:rsidR="008F053B" w:rsidRDefault="00DE2138" w:rsidP="00883025">
      <w:pPr>
        <w:ind w:firstLine="720"/>
        <w:rPr>
          <w:szCs w:val="24"/>
        </w:rPr>
      </w:pPr>
      <w:r>
        <w:rPr>
          <w:szCs w:val="24"/>
        </w:rPr>
        <w:tab/>
        <w:t>137</w:t>
      </w:r>
      <w:r w:rsidR="008F053B">
        <w:rPr>
          <w:szCs w:val="24"/>
        </w:rPr>
        <w:t xml:space="preserve"> responde</w:t>
      </w:r>
      <w:r>
        <w:rPr>
          <w:szCs w:val="24"/>
        </w:rPr>
        <w:t>nts x 8 hours per response = 1,096</w:t>
      </w:r>
      <w:r w:rsidR="008F053B">
        <w:rPr>
          <w:szCs w:val="24"/>
        </w:rPr>
        <w:t xml:space="preserve"> hours</w:t>
      </w:r>
      <w:r w:rsidR="00033479">
        <w:rPr>
          <w:szCs w:val="24"/>
        </w:rPr>
        <w:t>.</w:t>
      </w:r>
      <w:r w:rsidR="008F053B">
        <w:rPr>
          <w:szCs w:val="24"/>
        </w:rPr>
        <w:t xml:space="preserve"> </w:t>
      </w:r>
    </w:p>
    <w:p w14:paraId="1384144B" w14:textId="77777777" w:rsidR="002678D1" w:rsidRPr="0018577A" w:rsidRDefault="002678D1" w:rsidP="00883025">
      <w:pPr>
        <w:ind w:firstLine="720"/>
        <w:rPr>
          <w:szCs w:val="24"/>
        </w:rPr>
      </w:pPr>
    </w:p>
    <w:p w14:paraId="4D0B43EF" w14:textId="77777777" w:rsidR="008F053B" w:rsidRDefault="00D869D0" w:rsidP="0018577A">
      <w:pPr>
        <w:rPr>
          <w:szCs w:val="24"/>
        </w:rPr>
      </w:pPr>
      <w:r>
        <w:rPr>
          <w:szCs w:val="24"/>
        </w:rPr>
        <w:tab/>
        <w:t>5</w:t>
      </w:r>
      <w:r w:rsidR="002678D1" w:rsidRPr="0018577A">
        <w:rPr>
          <w:szCs w:val="24"/>
        </w:rPr>
        <w:t xml:space="preserve">. </w:t>
      </w:r>
      <w:r w:rsidR="008F053B">
        <w:rPr>
          <w:szCs w:val="24"/>
          <w:u w:val="single"/>
        </w:rPr>
        <w:t xml:space="preserve">Estimated Industry Cost: </w:t>
      </w:r>
      <w:r w:rsidR="00DE2138">
        <w:rPr>
          <w:b/>
          <w:szCs w:val="24"/>
        </w:rPr>
        <w:t xml:space="preserve">$ </w:t>
      </w:r>
      <w:r w:rsidR="00E511E0">
        <w:rPr>
          <w:b/>
          <w:szCs w:val="24"/>
        </w:rPr>
        <w:t>40,223</w:t>
      </w:r>
    </w:p>
    <w:p w14:paraId="4439F4A0" w14:textId="77777777" w:rsidR="008F053B" w:rsidRDefault="008F053B" w:rsidP="0018577A">
      <w:pPr>
        <w:rPr>
          <w:szCs w:val="24"/>
        </w:rPr>
      </w:pPr>
    </w:p>
    <w:p w14:paraId="7E6A7EEE" w14:textId="77777777" w:rsidR="002678D1" w:rsidRPr="0018577A" w:rsidRDefault="002678D1" w:rsidP="00883025">
      <w:pPr>
        <w:ind w:left="720" w:firstLine="720"/>
        <w:rPr>
          <w:szCs w:val="24"/>
        </w:rPr>
      </w:pPr>
      <w:r w:rsidRPr="0018577A">
        <w:rPr>
          <w:szCs w:val="24"/>
        </w:rPr>
        <w:t xml:space="preserve"> </w:t>
      </w:r>
      <w:r w:rsidR="00DE2138">
        <w:rPr>
          <w:szCs w:val="24"/>
        </w:rPr>
        <w:t xml:space="preserve"> 137</w:t>
      </w:r>
      <w:r w:rsidRPr="0018577A">
        <w:rPr>
          <w:szCs w:val="24"/>
        </w:rPr>
        <w:t xml:space="preserve"> (number of responde</w:t>
      </w:r>
      <w:r w:rsidR="004144D5">
        <w:rPr>
          <w:szCs w:val="24"/>
        </w:rPr>
        <w:t>nts) x 1 (number of filings) x 8 (hours per fi</w:t>
      </w:r>
      <w:r w:rsidR="00507FE1">
        <w:rPr>
          <w:szCs w:val="24"/>
        </w:rPr>
        <w:t>ling) x $</w:t>
      </w:r>
      <w:r w:rsidR="00DE2138">
        <w:rPr>
          <w:szCs w:val="24"/>
        </w:rPr>
        <w:t>36</w:t>
      </w:r>
      <w:r w:rsidR="00507FE1">
        <w:rPr>
          <w:szCs w:val="24"/>
        </w:rPr>
        <w:t>.</w:t>
      </w:r>
      <w:r w:rsidR="00E511E0">
        <w:rPr>
          <w:szCs w:val="24"/>
        </w:rPr>
        <w:t>70</w:t>
      </w:r>
      <w:r w:rsidR="00DE2138">
        <w:rPr>
          <w:szCs w:val="24"/>
        </w:rPr>
        <w:t xml:space="preserve"> per hour = $</w:t>
      </w:r>
      <w:r w:rsidR="00E511E0">
        <w:rPr>
          <w:szCs w:val="24"/>
        </w:rPr>
        <w:t>40,223</w:t>
      </w:r>
      <w:r w:rsidRPr="0018577A">
        <w:rPr>
          <w:szCs w:val="24"/>
        </w:rPr>
        <w:t>.</w:t>
      </w:r>
    </w:p>
    <w:p w14:paraId="56946460" w14:textId="77777777" w:rsidR="002678D1" w:rsidRDefault="002678D1" w:rsidP="0018577A">
      <w:pPr>
        <w:rPr>
          <w:szCs w:val="24"/>
        </w:rPr>
      </w:pPr>
    </w:p>
    <w:p w14:paraId="15DB90B8" w14:textId="77777777" w:rsidR="002678D1" w:rsidRPr="0018577A" w:rsidRDefault="002678D1" w:rsidP="0018577A">
      <w:pPr>
        <w:rPr>
          <w:szCs w:val="24"/>
        </w:rPr>
      </w:pPr>
      <w:r w:rsidRPr="0018577A">
        <w:rPr>
          <w:szCs w:val="24"/>
        </w:rPr>
        <w:t xml:space="preserve">13.  The following represents the Commission's estimate of the annual cost burden for respondents or </w:t>
      </w:r>
      <w:r w:rsidR="005B3B37" w:rsidRPr="0018577A">
        <w:rPr>
          <w:szCs w:val="24"/>
        </w:rPr>
        <w:t>record keepers</w:t>
      </w:r>
      <w:r w:rsidRPr="0018577A">
        <w:rPr>
          <w:szCs w:val="24"/>
        </w:rPr>
        <w:t xml:space="preserve"> resulting from the collection of information.</w:t>
      </w:r>
    </w:p>
    <w:p w14:paraId="234B8E28" w14:textId="77777777" w:rsidR="002678D1" w:rsidRPr="0018577A" w:rsidRDefault="002678D1" w:rsidP="0018577A">
      <w:pPr>
        <w:rPr>
          <w:szCs w:val="24"/>
        </w:rPr>
      </w:pPr>
    </w:p>
    <w:p w14:paraId="2499478F" w14:textId="77777777" w:rsidR="002678D1" w:rsidRPr="0018577A" w:rsidRDefault="002678D1" w:rsidP="0018577A">
      <w:pPr>
        <w:rPr>
          <w:szCs w:val="24"/>
        </w:rPr>
      </w:pPr>
      <w:r w:rsidRPr="0018577A">
        <w:rPr>
          <w:szCs w:val="24"/>
        </w:rPr>
        <w:tab/>
        <w:t xml:space="preserve">(a)(1) Total capital and start-up cost component (annualized over its expected useful life): $0.  The reporting requirement </w:t>
      </w:r>
      <w:r w:rsidR="004D36BF">
        <w:rPr>
          <w:szCs w:val="24"/>
        </w:rPr>
        <w:t>does note necessitate</w:t>
      </w:r>
      <w:r w:rsidRPr="0018577A">
        <w:rPr>
          <w:szCs w:val="24"/>
        </w:rPr>
        <w:t xml:space="preserve"> the purchase of additional equipment.</w:t>
      </w:r>
    </w:p>
    <w:p w14:paraId="275B072D" w14:textId="77777777" w:rsidR="002678D1" w:rsidRPr="0018577A" w:rsidRDefault="002678D1" w:rsidP="0018577A">
      <w:pPr>
        <w:rPr>
          <w:szCs w:val="24"/>
        </w:rPr>
      </w:pPr>
    </w:p>
    <w:p w14:paraId="6A2F1519" w14:textId="77777777" w:rsidR="002678D1" w:rsidRPr="0018577A" w:rsidRDefault="002678D1" w:rsidP="0018577A">
      <w:pPr>
        <w:rPr>
          <w:szCs w:val="24"/>
        </w:rPr>
      </w:pPr>
      <w:r w:rsidRPr="0018577A">
        <w:rPr>
          <w:szCs w:val="24"/>
        </w:rPr>
        <w:tab/>
        <w:t xml:space="preserve"> </w:t>
      </w:r>
      <w:r w:rsidR="00E34C8F">
        <w:rPr>
          <w:szCs w:val="24"/>
        </w:rPr>
        <w:t>(b)</w:t>
      </w:r>
      <w:r w:rsidRPr="0018577A">
        <w:rPr>
          <w:szCs w:val="24"/>
        </w:rPr>
        <w:t>(2) Total operation and maintenance and purchase of services component:  $0.</w:t>
      </w:r>
    </w:p>
    <w:p w14:paraId="2B49526D" w14:textId="77777777" w:rsidR="002678D1" w:rsidRPr="0018577A" w:rsidRDefault="002678D1" w:rsidP="0018577A">
      <w:pPr>
        <w:rPr>
          <w:szCs w:val="24"/>
        </w:rPr>
      </w:pPr>
    </w:p>
    <w:p w14:paraId="36EBDA1E" w14:textId="77777777" w:rsidR="002C528B" w:rsidRDefault="002678D1" w:rsidP="00DE2138">
      <w:pPr>
        <w:rPr>
          <w:szCs w:val="24"/>
        </w:rPr>
      </w:pPr>
      <w:r w:rsidRPr="0018577A">
        <w:rPr>
          <w:szCs w:val="24"/>
        </w:rPr>
        <w:t xml:space="preserve">14.  The Federal </w:t>
      </w:r>
      <w:r w:rsidR="00DE2138">
        <w:rPr>
          <w:szCs w:val="24"/>
        </w:rPr>
        <w:t>Communications Commission no longer tabulates a report based on the data incorporated in FCC Forms 492 and 492A</w:t>
      </w:r>
      <w:r w:rsidR="00E00658">
        <w:rPr>
          <w:szCs w:val="24"/>
        </w:rPr>
        <w:t>; therefore, there is no cost to the Federal Government</w:t>
      </w:r>
      <w:r w:rsidR="00DE2138">
        <w:rPr>
          <w:szCs w:val="24"/>
        </w:rPr>
        <w:t>.</w:t>
      </w:r>
    </w:p>
    <w:p w14:paraId="111B856C" w14:textId="77777777" w:rsidR="002C528B" w:rsidRDefault="002C528B" w:rsidP="002C528B">
      <w:pPr>
        <w:rPr>
          <w:szCs w:val="24"/>
        </w:rPr>
      </w:pPr>
    </w:p>
    <w:p w14:paraId="67DA2F83" w14:textId="5E421529" w:rsidR="00D5280A" w:rsidRDefault="002678D1" w:rsidP="00FC657F">
      <w:pPr>
        <w:tabs>
          <w:tab w:val="left" w:pos="-720"/>
        </w:tabs>
        <w:suppressAutoHyphens/>
        <w:jc w:val="both"/>
        <w:rPr>
          <w:szCs w:val="24"/>
        </w:rPr>
      </w:pPr>
      <w:r w:rsidRPr="00687DA9">
        <w:rPr>
          <w:szCs w:val="24"/>
        </w:rPr>
        <w:t>15.</w:t>
      </w:r>
      <w:r w:rsidR="007E4371" w:rsidRPr="00687DA9">
        <w:rPr>
          <w:szCs w:val="24"/>
        </w:rPr>
        <w:t xml:space="preserve"> </w:t>
      </w:r>
      <w:r w:rsidR="00F37DD6" w:rsidRPr="00687DA9">
        <w:rPr>
          <w:szCs w:val="24"/>
        </w:rPr>
        <w:t>The Commission</w:t>
      </w:r>
      <w:r w:rsidR="00745185" w:rsidRPr="00687DA9">
        <w:rPr>
          <w:szCs w:val="24"/>
        </w:rPr>
        <w:t xml:space="preserve"> is reporting adjus</w:t>
      </w:r>
      <w:r w:rsidR="00E511E0" w:rsidRPr="00687DA9">
        <w:rPr>
          <w:szCs w:val="24"/>
        </w:rPr>
        <w:t>tments/increases</w:t>
      </w:r>
      <w:r w:rsidR="001E3010" w:rsidRPr="00687DA9">
        <w:rPr>
          <w:szCs w:val="24"/>
        </w:rPr>
        <w:t xml:space="preserve"> to </w:t>
      </w:r>
      <w:r w:rsidR="004A5CCD" w:rsidRPr="00687DA9">
        <w:rPr>
          <w:szCs w:val="24"/>
        </w:rPr>
        <w:t>the number of respondents</w:t>
      </w:r>
      <w:r w:rsidR="001E3010" w:rsidRPr="00687DA9">
        <w:rPr>
          <w:szCs w:val="24"/>
        </w:rPr>
        <w:t xml:space="preserve">, </w:t>
      </w:r>
      <w:r w:rsidR="004A5CCD" w:rsidRPr="00687DA9">
        <w:rPr>
          <w:szCs w:val="24"/>
        </w:rPr>
        <w:t xml:space="preserve">responses </w:t>
      </w:r>
      <w:r w:rsidR="007B397D" w:rsidRPr="00687DA9">
        <w:rPr>
          <w:szCs w:val="24"/>
        </w:rPr>
        <w:t xml:space="preserve">and burden hours with this collection.  The total number of respondents and </w:t>
      </w:r>
      <w:r w:rsidR="00F85275">
        <w:rPr>
          <w:szCs w:val="24"/>
        </w:rPr>
        <w:t xml:space="preserve">total annual </w:t>
      </w:r>
      <w:bookmarkStart w:id="0" w:name="_GoBack"/>
      <w:bookmarkEnd w:id="0"/>
      <w:r w:rsidR="007B397D" w:rsidRPr="00687DA9">
        <w:rPr>
          <w:szCs w:val="24"/>
        </w:rPr>
        <w:t xml:space="preserve">responses increased </w:t>
      </w:r>
      <w:r w:rsidR="004A5CCD" w:rsidRPr="00687DA9">
        <w:rPr>
          <w:szCs w:val="24"/>
        </w:rPr>
        <w:t>from 80 to 137</w:t>
      </w:r>
      <w:r w:rsidR="007B397D" w:rsidRPr="00687DA9">
        <w:rPr>
          <w:szCs w:val="24"/>
        </w:rPr>
        <w:t xml:space="preserve"> (</w:t>
      </w:r>
      <w:r w:rsidR="00E511E0" w:rsidRPr="00687DA9">
        <w:rPr>
          <w:szCs w:val="24"/>
        </w:rPr>
        <w:t>+</w:t>
      </w:r>
      <w:r w:rsidR="007B397D" w:rsidRPr="00687DA9">
        <w:rPr>
          <w:szCs w:val="24"/>
        </w:rPr>
        <w:t>57) and the total burden hours increased from 640 to 1,096 (</w:t>
      </w:r>
      <w:r w:rsidR="00E511E0" w:rsidRPr="00687DA9">
        <w:rPr>
          <w:szCs w:val="24"/>
        </w:rPr>
        <w:t>+</w:t>
      </w:r>
      <w:r w:rsidR="007B397D" w:rsidRPr="00687DA9">
        <w:rPr>
          <w:szCs w:val="24"/>
        </w:rPr>
        <w:t>456)</w:t>
      </w:r>
      <w:r w:rsidR="004A5CCD" w:rsidRPr="00687DA9">
        <w:rPr>
          <w:szCs w:val="24"/>
        </w:rPr>
        <w:t xml:space="preserve">.  </w:t>
      </w:r>
      <w:r w:rsidR="00442EF2" w:rsidRPr="00687DA9">
        <w:rPr>
          <w:szCs w:val="24"/>
        </w:rPr>
        <w:t xml:space="preserve">The adjustments/increases are due to </w:t>
      </w:r>
      <w:r w:rsidR="00197196" w:rsidRPr="00687DA9">
        <w:rPr>
          <w:szCs w:val="24"/>
        </w:rPr>
        <w:t>the carrier’s acquisition of smaller telecos which have increased the number of filings of Forms 492 and 492A since the last submission to OMB.</w:t>
      </w:r>
    </w:p>
    <w:p w14:paraId="385DA608" w14:textId="77777777" w:rsidR="00033479" w:rsidRPr="00883025" w:rsidRDefault="00033479" w:rsidP="00FC657F">
      <w:pPr>
        <w:tabs>
          <w:tab w:val="left" w:pos="-720"/>
        </w:tabs>
        <w:suppressAutoHyphens/>
        <w:jc w:val="both"/>
        <w:rPr>
          <w:color w:val="FF0000"/>
          <w:szCs w:val="24"/>
        </w:rPr>
      </w:pPr>
    </w:p>
    <w:p w14:paraId="7BB75AE4" w14:textId="77777777" w:rsidR="007E4371" w:rsidRDefault="002678D1" w:rsidP="007E4371">
      <w:pPr>
        <w:rPr>
          <w:szCs w:val="24"/>
        </w:rPr>
      </w:pPr>
      <w:r w:rsidRPr="0018577A">
        <w:rPr>
          <w:szCs w:val="24"/>
        </w:rPr>
        <w:lastRenderedPageBreak/>
        <w:t>16.</w:t>
      </w:r>
      <w:r w:rsidR="007E4371">
        <w:rPr>
          <w:szCs w:val="24"/>
        </w:rPr>
        <w:t xml:space="preserve">  </w:t>
      </w:r>
      <w:r w:rsidR="00DE2138">
        <w:rPr>
          <w:szCs w:val="24"/>
        </w:rPr>
        <w:t>The paper report d</w:t>
      </w:r>
      <w:r w:rsidR="007E4371">
        <w:rPr>
          <w:szCs w:val="24"/>
        </w:rPr>
        <w:t xml:space="preserve">ata from the Forms 492 and 492A </w:t>
      </w:r>
      <w:r w:rsidR="00DE2138">
        <w:rPr>
          <w:szCs w:val="24"/>
        </w:rPr>
        <w:t xml:space="preserve">are stored in a binder for monitoring purposes. </w:t>
      </w:r>
    </w:p>
    <w:p w14:paraId="4426E2CD" w14:textId="77777777" w:rsidR="00330A66" w:rsidRPr="0018577A" w:rsidRDefault="002678D1" w:rsidP="0018577A">
      <w:pPr>
        <w:rPr>
          <w:szCs w:val="24"/>
        </w:rPr>
      </w:pPr>
      <w:r w:rsidRPr="0018577A">
        <w:rPr>
          <w:szCs w:val="24"/>
        </w:rPr>
        <w:tab/>
      </w:r>
    </w:p>
    <w:p w14:paraId="22D7A39F" w14:textId="77777777" w:rsidR="002678D1" w:rsidRPr="0018577A" w:rsidRDefault="007E4371" w:rsidP="0018577A">
      <w:pPr>
        <w:rPr>
          <w:szCs w:val="24"/>
        </w:rPr>
      </w:pPr>
      <w:r>
        <w:rPr>
          <w:szCs w:val="24"/>
        </w:rPr>
        <w:t xml:space="preserve">17.  </w:t>
      </w:r>
      <w:r w:rsidR="002678D1" w:rsidRPr="0018577A">
        <w:rPr>
          <w:szCs w:val="24"/>
        </w:rPr>
        <w:t xml:space="preserve">The Commission </w:t>
      </w:r>
      <w:r w:rsidR="006C4B71">
        <w:rPr>
          <w:szCs w:val="24"/>
        </w:rPr>
        <w:t xml:space="preserve">does not </w:t>
      </w:r>
      <w:r w:rsidR="002678D1" w:rsidRPr="0018577A">
        <w:rPr>
          <w:szCs w:val="24"/>
        </w:rPr>
        <w:t>seek approval not to display the expiration date of OMB approval</w:t>
      </w:r>
      <w:r w:rsidR="00622292">
        <w:rPr>
          <w:szCs w:val="24"/>
        </w:rPr>
        <w:t xml:space="preserve"> </w:t>
      </w:r>
      <w:r w:rsidR="006C4B71">
        <w:rPr>
          <w:szCs w:val="24"/>
        </w:rPr>
        <w:t xml:space="preserve">based on the Commission’s rules.  The Commission publishes a list of all OMB-approved information collections with their associated OMB control numbers, titles and OMB expiration dates under 47 CFR 0.408 of the Commission’s rules. </w:t>
      </w:r>
      <w:r w:rsidR="002678D1" w:rsidRPr="0018577A">
        <w:rPr>
          <w:szCs w:val="24"/>
        </w:rPr>
        <w:t xml:space="preserve"> </w:t>
      </w:r>
    </w:p>
    <w:p w14:paraId="45ACD9BC" w14:textId="77777777" w:rsidR="002678D1" w:rsidRPr="0018577A" w:rsidRDefault="002678D1" w:rsidP="0018577A">
      <w:pPr>
        <w:rPr>
          <w:szCs w:val="24"/>
        </w:rPr>
      </w:pPr>
    </w:p>
    <w:p w14:paraId="1329EC5F" w14:textId="77777777" w:rsidR="00687DA9" w:rsidRDefault="002678D1" w:rsidP="00687DA9">
      <w:pPr>
        <w:tabs>
          <w:tab w:val="left" w:pos="-720"/>
        </w:tabs>
        <w:suppressAutoHyphens/>
        <w:jc w:val="both"/>
        <w:rPr>
          <w:szCs w:val="24"/>
        </w:rPr>
      </w:pPr>
      <w:r w:rsidRPr="0018577A">
        <w:rPr>
          <w:szCs w:val="24"/>
        </w:rPr>
        <w:t>18.</w:t>
      </w:r>
      <w:r w:rsidR="00330A66" w:rsidRPr="0018577A">
        <w:rPr>
          <w:szCs w:val="24"/>
        </w:rPr>
        <w:t xml:space="preserve"> </w:t>
      </w:r>
      <w:r w:rsidR="007E4371">
        <w:rPr>
          <w:szCs w:val="24"/>
        </w:rPr>
        <w:t xml:space="preserve">  </w:t>
      </w:r>
      <w:r w:rsidR="00AC3664">
        <w:rPr>
          <w:szCs w:val="24"/>
        </w:rPr>
        <w:t xml:space="preserve">There are no </w:t>
      </w:r>
      <w:r w:rsidR="00262DE4">
        <w:rPr>
          <w:szCs w:val="24"/>
        </w:rPr>
        <w:t xml:space="preserve">exceptions to the </w:t>
      </w:r>
      <w:r w:rsidR="00C25772">
        <w:rPr>
          <w:szCs w:val="24"/>
        </w:rPr>
        <w:t>C</w:t>
      </w:r>
      <w:r w:rsidR="00262DE4">
        <w:rPr>
          <w:szCs w:val="24"/>
        </w:rPr>
        <w:t xml:space="preserve">ertification </w:t>
      </w:r>
      <w:r w:rsidR="00C25772">
        <w:rPr>
          <w:szCs w:val="24"/>
        </w:rPr>
        <w:t>S</w:t>
      </w:r>
      <w:r w:rsidR="00687DA9">
        <w:rPr>
          <w:szCs w:val="24"/>
        </w:rPr>
        <w:t>tatement.</w:t>
      </w:r>
    </w:p>
    <w:p w14:paraId="4A5DC1A4" w14:textId="77777777" w:rsidR="002678D1" w:rsidRPr="0018577A" w:rsidRDefault="005217DF" w:rsidP="00687DA9">
      <w:pPr>
        <w:tabs>
          <w:tab w:val="left" w:pos="-720"/>
        </w:tabs>
        <w:suppressAutoHyphens/>
        <w:jc w:val="both"/>
        <w:rPr>
          <w:szCs w:val="24"/>
        </w:rPr>
      </w:pPr>
      <w:r>
        <w:br w:type="page"/>
      </w:r>
      <w:r w:rsidR="000B4DF1">
        <w:lastRenderedPageBreak/>
        <w:t xml:space="preserve">  </w:t>
      </w:r>
      <w:r w:rsidR="002678D1" w:rsidRPr="0018577A">
        <w:rPr>
          <w:szCs w:val="24"/>
        </w:rPr>
        <w:tab/>
      </w:r>
    </w:p>
    <w:p w14:paraId="09DA9536" w14:textId="77777777" w:rsidR="002678D1" w:rsidRPr="000B4DF1" w:rsidRDefault="002678D1" w:rsidP="0018577A">
      <w:pPr>
        <w:rPr>
          <w:b/>
          <w:szCs w:val="24"/>
          <w:u w:val="single"/>
        </w:rPr>
      </w:pPr>
      <w:r w:rsidRPr="000B4DF1">
        <w:rPr>
          <w:b/>
          <w:szCs w:val="24"/>
          <w:u w:val="single"/>
        </w:rPr>
        <w:t>B.  Collections of Informatio</w:t>
      </w:r>
      <w:r w:rsidR="000B4DF1">
        <w:rPr>
          <w:b/>
          <w:szCs w:val="24"/>
          <w:u w:val="single"/>
        </w:rPr>
        <w:t>n Employing Statistical Methods:</w:t>
      </w:r>
    </w:p>
    <w:p w14:paraId="219AE9EC" w14:textId="77777777" w:rsidR="002678D1" w:rsidRPr="0018577A" w:rsidRDefault="002678D1" w:rsidP="0018577A">
      <w:pPr>
        <w:rPr>
          <w:szCs w:val="24"/>
        </w:rPr>
      </w:pPr>
    </w:p>
    <w:p w14:paraId="4F0CCA24" w14:textId="77777777" w:rsidR="002678D1" w:rsidRPr="0018577A" w:rsidRDefault="002678D1" w:rsidP="0018577A">
      <w:pPr>
        <w:rPr>
          <w:szCs w:val="24"/>
        </w:rPr>
      </w:pPr>
      <w:r w:rsidRPr="0018577A">
        <w:rPr>
          <w:szCs w:val="24"/>
        </w:rPr>
        <w:tab/>
        <w:t xml:space="preserve"> </w:t>
      </w:r>
      <w:r w:rsidR="00135A9C">
        <w:rPr>
          <w:szCs w:val="24"/>
        </w:rPr>
        <w:t xml:space="preserve">The Commission does not </w:t>
      </w:r>
      <w:r w:rsidR="006C4B71">
        <w:rPr>
          <w:szCs w:val="24"/>
        </w:rPr>
        <w:t>employ the use of statistical</w:t>
      </w:r>
      <w:r w:rsidR="00135A9C">
        <w:rPr>
          <w:szCs w:val="24"/>
        </w:rPr>
        <w:t xml:space="preserve"> methods.</w:t>
      </w:r>
    </w:p>
    <w:p w14:paraId="38B3A4E4" w14:textId="77777777" w:rsidR="002678D1" w:rsidRPr="0018577A" w:rsidRDefault="002678D1" w:rsidP="0018577A">
      <w:pPr>
        <w:rPr>
          <w:szCs w:val="24"/>
        </w:rPr>
      </w:pPr>
    </w:p>
    <w:p w14:paraId="5EC98230" w14:textId="77777777" w:rsidR="002678D1" w:rsidRPr="0018577A" w:rsidRDefault="002678D1" w:rsidP="0018577A">
      <w:pPr>
        <w:rPr>
          <w:szCs w:val="24"/>
        </w:rPr>
      </w:pPr>
    </w:p>
    <w:p w14:paraId="73945096" w14:textId="77777777" w:rsidR="002678D1" w:rsidRPr="0018577A" w:rsidRDefault="002678D1" w:rsidP="0018577A">
      <w:pPr>
        <w:rPr>
          <w:szCs w:val="24"/>
        </w:rPr>
      </w:pPr>
    </w:p>
    <w:p w14:paraId="1BE492F0" w14:textId="77777777" w:rsidR="002678D1" w:rsidRPr="0018577A" w:rsidRDefault="002678D1" w:rsidP="0018577A">
      <w:pPr>
        <w:rPr>
          <w:szCs w:val="24"/>
        </w:rPr>
      </w:pPr>
      <w:r w:rsidRPr="0018577A">
        <w:rPr>
          <w:szCs w:val="24"/>
        </w:rPr>
        <w:t xml:space="preserve">       </w:t>
      </w:r>
    </w:p>
    <w:sectPr w:rsidR="002678D1" w:rsidRPr="0018577A" w:rsidSect="00D42EBC">
      <w:footerReference w:type="even" r:id="rId8"/>
      <w:footerReference w:type="default" r:id="rId9"/>
      <w:endnotePr>
        <w:numFmt w:val="decimal"/>
      </w:endnotePr>
      <w:type w:val="continuous"/>
      <w:pgSz w:w="12240" w:h="15840"/>
      <w:pgMar w:top="1440" w:right="1440" w:bottom="1440" w:left="1440" w:header="1440" w:footer="1440" w:gutter="0"/>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FB328F5" w14:textId="77777777" w:rsidR="0063124A" w:rsidRDefault="0063124A">
      <w:pPr>
        <w:spacing w:line="20" w:lineRule="exact"/>
      </w:pPr>
    </w:p>
  </w:endnote>
  <w:endnote w:type="continuationSeparator" w:id="0">
    <w:p w14:paraId="0706108D" w14:textId="77777777" w:rsidR="0063124A" w:rsidRDefault="0063124A">
      <w:r>
        <w:t xml:space="preserve"> </w:t>
      </w:r>
    </w:p>
  </w:endnote>
  <w:endnote w:type="continuationNotice" w:id="1">
    <w:p w14:paraId="69511AA3" w14:textId="77777777" w:rsidR="0063124A" w:rsidRDefault="0063124A">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75980D" w14:textId="77777777" w:rsidR="00622292" w:rsidRDefault="00622292" w:rsidP="00330D2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C572B4E" w14:textId="77777777" w:rsidR="00622292" w:rsidRDefault="0062229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294B69" w14:textId="77777777" w:rsidR="00622292" w:rsidRDefault="00622292" w:rsidP="00330D2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F85275">
      <w:rPr>
        <w:rStyle w:val="PageNumber"/>
        <w:noProof/>
      </w:rPr>
      <w:t>3</w:t>
    </w:r>
    <w:r>
      <w:rPr>
        <w:rStyle w:val="PageNumber"/>
      </w:rPr>
      <w:fldChar w:fldCharType="end"/>
    </w:r>
  </w:p>
  <w:p w14:paraId="3B3ECB3E" w14:textId="77777777" w:rsidR="00622292" w:rsidRDefault="00622292">
    <w:pPr>
      <w:spacing w:before="140" w:line="100" w:lineRule="exact"/>
      <w:rPr>
        <w:sz w:val="10"/>
      </w:rPr>
    </w:pPr>
  </w:p>
  <w:p w14:paraId="7307EA07" w14:textId="77777777" w:rsidR="00622292" w:rsidRDefault="00622292"/>
  <w:p w14:paraId="11AA0CF3" w14:textId="37EBE659" w:rsidR="00622292" w:rsidRDefault="008259F8">
    <w:r>
      <w:rPr>
        <w:noProof/>
      </w:rPr>
      <mc:AlternateContent>
        <mc:Choice Requires="wps">
          <w:drawing>
            <wp:anchor distT="0" distB="0" distL="114300" distR="114300" simplePos="0" relativeHeight="251657728" behindDoc="0" locked="0" layoutInCell="0" allowOverlap="1" wp14:anchorId="4490A25B" wp14:editId="60445132">
              <wp:simplePos x="0" y="0"/>
              <wp:positionH relativeFrom="page">
                <wp:posOffset>914400</wp:posOffset>
              </wp:positionH>
              <wp:positionV relativeFrom="paragraph">
                <wp:posOffset>152400</wp:posOffset>
              </wp:positionV>
              <wp:extent cx="5943600" cy="1524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7BB150FA" w14:textId="77777777" w:rsidR="00622292" w:rsidRDefault="00622292">
                          <w:pPr>
                            <w:tabs>
                              <w:tab w:val="center" w:pos="4680"/>
                              <w:tab w:val="right" w:pos="9360"/>
                            </w:tabs>
                            <w:rPr>
                              <w:spacing w:val="-3"/>
                            </w:rPr>
                          </w:pPr>
                          <w:r>
                            <w:tab/>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490A25B" id="Rectangle 1" o:spid="_x0000_s1026" style="position:absolute;margin-left:1in;margin-top:12pt;width:468pt;height:12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" o:allowincell="f" filled="f" stroked="f" strokeweight="0">
              <v:textbox inset="0,0,0,0">
                <w:txbxContent>
                  <w:p w14:paraId="7BB150FA" w14:textId="77777777" w:rsidR="00622292" w:rsidRDefault="00622292">
                    <w:pPr>
                      <w:tabs>
                        <w:tab w:val="center" w:pos="4680"/>
                        <w:tab w:val="right" w:pos="9360"/>
                      </w:tabs>
                      <w:rPr>
                        <w:spacing w:val="-3"/>
                      </w:rPr>
                    </w:pPr>
                    <w:r>
                      <w:tab/>
                    </w:r>
                  </w:p>
                </w:txbxContent>
              </v:textbox>
              <w10:wrap anchorx="page"/>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28433DB" w14:textId="77777777" w:rsidR="0063124A" w:rsidRDefault="0063124A">
      <w:r>
        <w:separator/>
      </w:r>
    </w:p>
  </w:footnote>
  <w:footnote w:type="continuationSeparator" w:id="0">
    <w:p w14:paraId="6F12EC8E" w14:textId="77777777" w:rsidR="0063124A" w:rsidRDefault="0063124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CB7692"/>
    <w:multiLevelType w:val="hybridMultilevel"/>
    <w:tmpl w:val="2C229D6A"/>
    <w:lvl w:ilvl="0" w:tplc="1E028EF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6C85B3D"/>
    <w:multiLevelType w:val="hybridMultilevel"/>
    <w:tmpl w:val="A7BA112C"/>
    <w:lvl w:ilvl="0" w:tplc="7002950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EDA7178"/>
    <w:multiLevelType w:val="hybridMultilevel"/>
    <w:tmpl w:val="C99AB498"/>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DA87191"/>
    <w:multiLevelType w:val="hybridMultilevel"/>
    <w:tmpl w:val="590694C4"/>
    <w:lvl w:ilvl="0" w:tplc="0EAE866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E247DB9"/>
    <w:multiLevelType w:val="hybridMultilevel"/>
    <w:tmpl w:val="41DC141A"/>
    <w:lvl w:ilvl="0" w:tplc="65DC0C18">
      <w:start w:val="1"/>
      <w:numFmt w:val="decimal"/>
      <w:lvlText w:val="%1."/>
      <w:lvlJc w:val="left"/>
      <w:pPr>
        <w:ind w:left="360" w:hanging="360"/>
      </w:pPr>
      <w:rPr>
        <w:rFonts w:hint="default"/>
        <w:u w:val="singl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39B22630"/>
    <w:multiLevelType w:val="hybridMultilevel"/>
    <w:tmpl w:val="5DDACF52"/>
    <w:lvl w:ilvl="0" w:tplc="5CF6BF1E">
      <w:start w:val="1"/>
      <w:numFmt w:val="decimal"/>
      <w:lvlText w:val="%1."/>
      <w:lvlJc w:val="left"/>
      <w:pPr>
        <w:ind w:left="1080" w:hanging="360"/>
      </w:pPr>
      <w:rPr>
        <w:rFonts w:hint="default"/>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3CB65D14"/>
    <w:multiLevelType w:val="hybridMultilevel"/>
    <w:tmpl w:val="EDCA009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4EE44A21"/>
    <w:multiLevelType w:val="hybridMultilevel"/>
    <w:tmpl w:val="F3DE2F1E"/>
    <w:lvl w:ilvl="0" w:tplc="BC84AD9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5EF3603A"/>
    <w:multiLevelType w:val="hybridMultilevel"/>
    <w:tmpl w:val="185852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F5B02F3"/>
    <w:multiLevelType w:val="hybridMultilevel"/>
    <w:tmpl w:val="3D10F618"/>
    <w:lvl w:ilvl="0" w:tplc="3D74E6F0">
      <w:start w:val="1"/>
      <w:numFmt w:val="decimal"/>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7BE7F41"/>
    <w:multiLevelType w:val="hybridMultilevel"/>
    <w:tmpl w:val="71681A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B1E0BAA"/>
    <w:multiLevelType w:val="hybridMultilevel"/>
    <w:tmpl w:val="F4089B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C300F74"/>
    <w:multiLevelType w:val="hybridMultilevel"/>
    <w:tmpl w:val="8698D8B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7D9223EA"/>
    <w:multiLevelType w:val="hybridMultilevel"/>
    <w:tmpl w:val="F3DCE50C"/>
    <w:lvl w:ilvl="0" w:tplc="C15ECE4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3"/>
  </w:num>
  <w:num w:numId="2">
    <w:abstractNumId w:val="4"/>
  </w:num>
  <w:num w:numId="3">
    <w:abstractNumId w:val="5"/>
  </w:num>
  <w:num w:numId="4">
    <w:abstractNumId w:val="12"/>
  </w:num>
  <w:num w:numId="5">
    <w:abstractNumId w:val="3"/>
  </w:num>
  <w:num w:numId="6">
    <w:abstractNumId w:val="8"/>
  </w:num>
  <w:num w:numId="7">
    <w:abstractNumId w:val="9"/>
  </w:num>
  <w:num w:numId="8">
    <w:abstractNumId w:val="6"/>
  </w:num>
  <w:num w:numId="9">
    <w:abstractNumId w:val="1"/>
  </w:num>
  <w:num w:numId="10">
    <w:abstractNumId w:val="2"/>
  </w:num>
  <w:num w:numId="11">
    <w:abstractNumId w:val="7"/>
  </w:num>
  <w:num w:numId="12">
    <w:abstractNumId w:val="11"/>
  </w:num>
  <w:num w:numId="13">
    <w:abstractNumId w:val="0"/>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hdrShapeDefaults>
    <o:shapedefaults v:ext="edit" spidmax="5121"/>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4F04"/>
    <w:rsid w:val="00011048"/>
    <w:rsid w:val="000168DF"/>
    <w:rsid w:val="000331E2"/>
    <w:rsid w:val="00033479"/>
    <w:rsid w:val="00055E00"/>
    <w:rsid w:val="00070F51"/>
    <w:rsid w:val="000772FF"/>
    <w:rsid w:val="000A21E7"/>
    <w:rsid w:val="000A496F"/>
    <w:rsid w:val="000B4DF1"/>
    <w:rsid w:val="000B54DF"/>
    <w:rsid w:val="000B6FCF"/>
    <w:rsid w:val="000D251D"/>
    <w:rsid w:val="0010641A"/>
    <w:rsid w:val="00112260"/>
    <w:rsid w:val="00134BF3"/>
    <w:rsid w:val="00135A9C"/>
    <w:rsid w:val="00137AE3"/>
    <w:rsid w:val="00151F83"/>
    <w:rsid w:val="00175400"/>
    <w:rsid w:val="0018577A"/>
    <w:rsid w:val="001877B4"/>
    <w:rsid w:val="00197196"/>
    <w:rsid w:val="001A0699"/>
    <w:rsid w:val="001D06B5"/>
    <w:rsid w:val="001D3996"/>
    <w:rsid w:val="001D5A40"/>
    <w:rsid w:val="001E3010"/>
    <w:rsid w:val="001F47B2"/>
    <w:rsid w:val="001F7521"/>
    <w:rsid w:val="00210EA8"/>
    <w:rsid w:val="00226416"/>
    <w:rsid w:val="00227F7D"/>
    <w:rsid w:val="002366AD"/>
    <w:rsid w:val="00262DE4"/>
    <w:rsid w:val="002678D1"/>
    <w:rsid w:val="00280DB4"/>
    <w:rsid w:val="00290BF3"/>
    <w:rsid w:val="002A0168"/>
    <w:rsid w:val="002A0230"/>
    <w:rsid w:val="002C528B"/>
    <w:rsid w:val="002E3B53"/>
    <w:rsid w:val="002E7CF7"/>
    <w:rsid w:val="00300879"/>
    <w:rsid w:val="00307796"/>
    <w:rsid w:val="003244BD"/>
    <w:rsid w:val="00326F1C"/>
    <w:rsid w:val="00330A66"/>
    <w:rsid w:val="00330D29"/>
    <w:rsid w:val="00352340"/>
    <w:rsid w:val="00353049"/>
    <w:rsid w:val="00361A82"/>
    <w:rsid w:val="00363348"/>
    <w:rsid w:val="00367226"/>
    <w:rsid w:val="00371552"/>
    <w:rsid w:val="00382858"/>
    <w:rsid w:val="0038386B"/>
    <w:rsid w:val="00392BE2"/>
    <w:rsid w:val="00393052"/>
    <w:rsid w:val="003A01DE"/>
    <w:rsid w:val="003A186D"/>
    <w:rsid w:val="003A4FD5"/>
    <w:rsid w:val="003A6E79"/>
    <w:rsid w:val="003E11A3"/>
    <w:rsid w:val="003F47B3"/>
    <w:rsid w:val="0040242A"/>
    <w:rsid w:val="00404900"/>
    <w:rsid w:val="004144D5"/>
    <w:rsid w:val="00423543"/>
    <w:rsid w:val="00433EA1"/>
    <w:rsid w:val="00442EF2"/>
    <w:rsid w:val="00450D42"/>
    <w:rsid w:val="00462940"/>
    <w:rsid w:val="004745B6"/>
    <w:rsid w:val="004754B9"/>
    <w:rsid w:val="00481B91"/>
    <w:rsid w:val="0049641C"/>
    <w:rsid w:val="004A5CCD"/>
    <w:rsid w:val="004A72CB"/>
    <w:rsid w:val="004C68B1"/>
    <w:rsid w:val="004D36BF"/>
    <w:rsid w:val="004D40EB"/>
    <w:rsid w:val="004E588A"/>
    <w:rsid w:val="004F11D7"/>
    <w:rsid w:val="004F1A69"/>
    <w:rsid w:val="00500420"/>
    <w:rsid w:val="00503122"/>
    <w:rsid w:val="005035ED"/>
    <w:rsid w:val="005039E8"/>
    <w:rsid w:val="00507FE1"/>
    <w:rsid w:val="005217DF"/>
    <w:rsid w:val="0052748B"/>
    <w:rsid w:val="00530A1E"/>
    <w:rsid w:val="005401D6"/>
    <w:rsid w:val="00545C4D"/>
    <w:rsid w:val="00546D79"/>
    <w:rsid w:val="00554328"/>
    <w:rsid w:val="005605A2"/>
    <w:rsid w:val="005818FE"/>
    <w:rsid w:val="00593A5C"/>
    <w:rsid w:val="005954F3"/>
    <w:rsid w:val="005A4AA2"/>
    <w:rsid w:val="005B3B37"/>
    <w:rsid w:val="005C4640"/>
    <w:rsid w:val="005F07BD"/>
    <w:rsid w:val="005F14CC"/>
    <w:rsid w:val="00607C30"/>
    <w:rsid w:val="00622292"/>
    <w:rsid w:val="0062416A"/>
    <w:rsid w:val="00624821"/>
    <w:rsid w:val="0063124A"/>
    <w:rsid w:val="00647C57"/>
    <w:rsid w:val="00651655"/>
    <w:rsid w:val="00654EBC"/>
    <w:rsid w:val="0067162A"/>
    <w:rsid w:val="00672D54"/>
    <w:rsid w:val="00681927"/>
    <w:rsid w:val="00687DA9"/>
    <w:rsid w:val="00690E7C"/>
    <w:rsid w:val="00692F78"/>
    <w:rsid w:val="00695B49"/>
    <w:rsid w:val="006A7D54"/>
    <w:rsid w:val="006B7BB8"/>
    <w:rsid w:val="006C4B71"/>
    <w:rsid w:val="006E0FB3"/>
    <w:rsid w:val="006F1BA4"/>
    <w:rsid w:val="006F7211"/>
    <w:rsid w:val="00705920"/>
    <w:rsid w:val="00730B92"/>
    <w:rsid w:val="00745185"/>
    <w:rsid w:val="00750653"/>
    <w:rsid w:val="007515A8"/>
    <w:rsid w:val="00760C65"/>
    <w:rsid w:val="007701E8"/>
    <w:rsid w:val="00773C44"/>
    <w:rsid w:val="0077734B"/>
    <w:rsid w:val="00782CAC"/>
    <w:rsid w:val="007833F8"/>
    <w:rsid w:val="00787750"/>
    <w:rsid w:val="00792060"/>
    <w:rsid w:val="00794D2E"/>
    <w:rsid w:val="00796258"/>
    <w:rsid w:val="00796E82"/>
    <w:rsid w:val="007B397D"/>
    <w:rsid w:val="007C4895"/>
    <w:rsid w:val="007E0037"/>
    <w:rsid w:val="007E10B2"/>
    <w:rsid w:val="007E4258"/>
    <w:rsid w:val="007E4371"/>
    <w:rsid w:val="007F3F70"/>
    <w:rsid w:val="007F7AA4"/>
    <w:rsid w:val="008259F8"/>
    <w:rsid w:val="0082764A"/>
    <w:rsid w:val="008339A1"/>
    <w:rsid w:val="00846948"/>
    <w:rsid w:val="00850AB8"/>
    <w:rsid w:val="0087283A"/>
    <w:rsid w:val="00883025"/>
    <w:rsid w:val="008941E8"/>
    <w:rsid w:val="00895B08"/>
    <w:rsid w:val="008A441B"/>
    <w:rsid w:val="008A625E"/>
    <w:rsid w:val="008C2569"/>
    <w:rsid w:val="008C34BA"/>
    <w:rsid w:val="008F0187"/>
    <w:rsid w:val="008F053B"/>
    <w:rsid w:val="008F1461"/>
    <w:rsid w:val="008F24A5"/>
    <w:rsid w:val="008F2B16"/>
    <w:rsid w:val="009106BB"/>
    <w:rsid w:val="00920783"/>
    <w:rsid w:val="00922E7B"/>
    <w:rsid w:val="00924732"/>
    <w:rsid w:val="009273EC"/>
    <w:rsid w:val="00943D2D"/>
    <w:rsid w:val="00945031"/>
    <w:rsid w:val="00980764"/>
    <w:rsid w:val="00981D3D"/>
    <w:rsid w:val="0099422E"/>
    <w:rsid w:val="009A4AF3"/>
    <w:rsid w:val="009A5E67"/>
    <w:rsid w:val="009B1FD3"/>
    <w:rsid w:val="009D1552"/>
    <w:rsid w:val="009E6C09"/>
    <w:rsid w:val="009E7F72"/>
    <w:rsid w:val="009F468E"/>
    <w:rsid w:val="00A11999"/>
    <w:rsid w:val="00A1232F"/>
    <w:rsid w:val="00A155E4"/>
    <w:rsid w:val="00A20787"/>
    <w:rsid w:val="00A27510"/>
    <w:rsid w:val="00A30383"/>
    <w:rsid w:val="00A31894"/>
    <w:rsid w:val="00A34FA7"/>
    <w:rsid w:val="00A350D6"/>
    <w:rsid w:val="00A43C67"/>
    <w:rsid w:val="00A51BF3"/>
    <w:rsid w:val="00A55A88"/>
    <w:rsid w:val="00A57551"/>
    <w:rsid w:val="00A616EA"/>
    <w:rsid w:val="00A62667"/>
    <w:rsid w:val="00A812E3"/>
    <w:rsid w:val="00AC3664"/>
    <w:rsid w:val="00AD02C0"/>
    <w:rsid w:val="00AD37FB"/>
    <w:rsid w:val="00AE17EF"/>
    <w:rsid w:val="00AE2BE5"/>
    <w:rsid w:val="00AE2CDC"/>
    <w:rsid w:val="00B023A2"/>
    <w:rsid w:val="00B1043C"/>
    <w:rsid w:val="00B45AB9"/>
    <w:rsid w:val="00B5391B"/>
    <w:rsid w:val="00B64BF6"/>
    <w:rsid w:val="00B674C2"/>
    <w:rsid w:val="00B97DEE"/>
    <w:rsid w:val="00BB36B0"/>
    <w:rsid w:val="00BC1AF0"/>
    <w:rsid w:val="00BC74EF"/>
    <w:rsid w:val="00C10B25"/>
    <w:rsid w:val="00C14F04"/>
    <w:rsid w:val="00C25772"/>
    <w:rsid w:val="00C367FE"/>
    <w:rsid w:val="00C53461"/>
    <w:rsid w:val="00C736FA"/>
    <w:rsid w:val="00C81E1C"/>
    <w:rsid w:val="00C81E5A"/>
    <w:rsid w:val="00CD7860"/>
    <w:rsid w:val="00CD7B98"/>
    <w:rsid w:val="00CD7CE8"/>
    <w:rsid w:val="00CE526D"/>
    <w:rsid w:val="00CF37B7"/>
    <w:rsid w:val="00D010AA"/>
    <w:rsid w:val="00D16ECA"/>
    <w:rsid w:val="00D37BE8"/>
    <w:rsid w:val="00D42EBC"/>
    <w:rsid w:val="00D5280A"/>
    <w:rsid w:val="00D609A1"/>
    <w:rsid w:val="00D6769A"/>
    <w:rsid w:val="00D869D0"/>
    <w:rsid w:val="00D90490"/>
    <w:rsid w:val="00D96E57"/>
    <w:rsid w:val="00DA16BD"/>
    <w:rsid w:val="00DA597E"/>
    <w:rsid w:val="00DA5AB5"/>
    <w:rsid w:val="00DB0C61"/>
    <w:rsid w:val="00DB4CDD"/>
    <w:rsid w:val="00DC0A00"/>
    <w:rsid w:val="00DD2E0E"/>
    <w:rsid w:val="00DE2138"/>
    <w:rsid w:val="00E00658"/>
    <w:rsid w:val="00E054CA"/>
    <w:rsid w:val="00E12D1D"/>
    <w:rsid w:val="00E3166B"/>
    <w:rsid w:val="00E328C9"/>
    <w:rsid w:val="00E34C8F"/>
    <w:rsid w:val="00E400E8"/>
    <w:rsid w:val="00E41EE8"/>
    <w:rsid w:val="00E44545"/>
    <w:rsid w:val="00E511E0"/>
    <w:rsid w:val="00E73F89"/>
    <w:rsid w:val="00E846D2"/>
    <w:rsid w:val="00EB4789"/>
    <w:rsid w:val="00EE667E"/>
    <w:rsid w:val="00EE75E3"/>
    <w:rsid w:val="00EF020E"/>
    <w:rsid w:val="00EF1A26"/>
    <w:rsid w:val="00EF31CB"/>
    <w:rsid w:val="00F27821"/>
    <w:rsid w:val="00F34CC0"/>
    <w:rsid w:val="00F37DD6"/>
    <w:rsid w:val="00F45236"/>
    <w:rsid w:val="00F533B2"/>
    <w:rsid w:val="00F5531E"/>
    <w:rsid w:val="00F771C4"/>
    <w:rsid w:val="00F85275"/>
    <w:rsid w:val="00F8699B"/>
    <w:rsid w:val="00F91042"/>
    <w:rsid w:val="00F950C0"/>
    <w:rsid w:val="00FA28D9"/>
    <w:rsid w:val="00FB782F"/>
    <w:rsid w:val="00FC4444"/>
    <w:rsid w:val="00FC657F"/>
    <w:rsid w:val="00FC6EBC"/>
    <w:rsid w:val="00FD2946"/>
    <w:rsid w:val="00FD37AE"/>
    <w:rsid w:val="00FD4F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1"/>
    </o:shapelayout>
  </w:shapeDefaults>
  <w:decimalSymbol w:val="."/>
  <w:listSeparator w:val=","/>
  <w14:docId w14:val="3876BE36"/>
  <w15:chartTrackingRefBased/>
  <w15:docId w15:val="{AAE4A91F-87B1-4CCD-A679-217465C3B5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character" w:styleId="Hyperlink">
    <w:name w:val="Hyperlink"/>
    <w:rsid w:val="00330A66"/>
    <w:rPr>
      <w:color w:val="0000FF"/>
      <w:u w:val="single"/>
    </w:rPr>
  </w:style>
  <w:style w:type="paragraph" w:styleId="Footer">
    <w:name w:val="footer"/>
    <w:basedOn w:val="Normal"/>
    <w:rsid w:val="00D42EBC"/>
    <w:pPr>
      <w:tabs>
        <w:tab w:val="center" w:pos="4320"/>
        <w:tab w:val="right" w:pos="8640"/>
      </w:tabs>
    </w:pPr>
  </w:style>
  <w:style w:type="character" w:styleId="PageNumber">
    <w:name w:val="page number"/>
    <w:basedOn w:val="DefaultParagraphFont"/>
    <w:rsid w:val="00D42EBC"/>
  </w:style>
  <w:style w:type="paragraph" w:styleId="Header">
    <w:name w:val="header"/>
    <w:basedOn w:val="Normal"/>
    <w:rsid w:val="001D06B5"/>
    <w:pPr>
      <w:tabs>
        <w:tab w:val="center" w:pos="4320"/>
        <w:tab w:val="right" w:pos="8640"/>
      </w:tabs>
    </w:pPr>
  </w:style>
  <w:style w:type="character" w:styleId="CommentReference">
    <w:name w:val="annotation reference"/>
    <w:semiHidden/>
    <w:rsid w:val="00F34CC0"/>
    <w:rPr>
      <w:sz w:val="16"/>
      <w:szCs w:val="16"/>
    </w:rPr>
  </w:style>
  <w:style w:type="paragraph" w:styleId="CommentText">
    <w:name w:val="annotation text"/>
    <w:basedOn w:val="Normal"/>
    <w:semiHidden/>
    <w:rsid w:val="00F34CC0"/>
    <w:rPr>
      <w:sz w:val="20"/>
    </w:rPr>
  </w:style>
  <w:style w:type="paragraph" w:styleId="CommentSubject">
    <w:name w:val="annotation subject"/>
    <w:basedOn w:val="CommentText"/>
    <w:next w:val="CommentText"/>
    <w:semiHidden/>
    <w:rsid w:val="00F34CC0"/>
    <w:rPr>
      <w:b/>
      <w:bCs/>
    </w:rPr>
  </w:style>
  <w:style w:type="paragraph" w:styleId="BalloonText">
    <w:name w:val="Balloon Text"/>
    <w:basedOn w:val="Normal"/>
    <w:semiHidden/>
    <w:rsid w:val="00F34CC0"/>
    <w:rPr>
      <w:rFonts w:ascii="Tahoma" w:hAnsi="Tahoma" w:cs="Tahoma"/>
      <w:sz w:val="16"/>
      <w:szCs w:val="16"/>
    </w:rPr>
  </w:style>
  <w:style w:type="character" w:styleId="FollowedHyperlink">
    <w:name w:val="FollowedHyperlink"/>
    <w:rsid w:val="002366A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99865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014DB9-34ED-4F2D-9627-1EC136B2E6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1238</Words>
  <Characters>7062</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3060-0496</vt:lpstr>
    </vt:vector>
  </TitlesOfParts>
  <Company>FCC</Company>
  <LinksUpToDate>false</LinksUpToDate>
  <CharactersWithSpaces>8284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3060-0496</dc:title>
  <dc:subject/>
  <dc:creator>Stephen.Steckler</dc:creator>
  <cp:keywords/>
  <cp:lastModifiedBy>Nicole Ongele</cp:lastModifiedBy>
  <cp:revision>4</cp:revision>
  <cp:lastPrinted>2013-04-11T21:53:00Z</cp:lastPrinted>
  <dcterms:created xsi:type="dcterms:W3CDTF">2016-02-23T20:05:00Z</dcterms:created>
  <dcterms:modified xsi:type="dcterms:W3CDTF">2016-02-23T20:33:00Z</dcterms:modified>
</cp:coreProperties>
</file>