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1C" w:rsidRDefault="00321592" w:rsidP="00321592">
      <w:pPr>
        <w:pStyle w:val="Heading1"/>
        <w:ind w:left="0" w:right="-360"/>
        <w:rPr>
          <w:bCs/>
        </w:rPr>
      </w:pPr>
      <w:r>
        <w:rPr>
          <w:bCs/>
        </w:rPr>
        <w:t xml:space="preserve">Information Collection Request: </w:t>
      </w:r>
      <w:r w:rsidR="00FB331C" w:rsidRPr="00F4669A">
        <w:t>Older Drivers’ Self-Regulation and Exposure</w:t>
      </w:r>
      <w:r w:rsidR="00FB331C">
        <w:rPr>
          <w:bCs/>
        </w:rPr>
        <w:t xml:space="preserve"> </w:t>
      </w:r>
    </w:p>
    <w:p w:rsidR="00321592" w:rsidRDefault="00FB331C" w:rsidP="00321592">
      <w:pPr>
        <w:pStyle w:val="Heading1"/>
        <w:ind w:left="0" w:right="-360"/>
        <w:rPr>
          <w:b w:val="0"/>
          <w:bCs/>
        </w:rPr>
      </w:pPr>
      <w:r>
        <w:rPr>
          <w:bCs/>
        </w:rPr>
        <w:t>Supporting Statement</w:t>
      </w:r>
      <w:r w:rsidR="00321592">
        <w:rPr>
          <w:bCs/>
        </w:rPr>
        <w:t xml:space="preserve"> B</w:t>
      </w:r>
    </w:p>
    <w:p w:rsidR="001074FF" w:rsidRDefault="001074FF" w:rsidP="00EB505C">
      <w:pPr>
        <w:pStyle w:val="Heading2"/>
      </w:pPr>
      <w:bookmarkStart w:id="0" w:name="_Toc125278831"/>
      <w:bookmarkStart w:id="1" w:name="_Toc125341754"/>
      <w:bookmarkStart w:id="2" w:name="_Toc125447312"/>
      <w:bookmarkStart w:id="3" w:name="_GoBack"/>
      <w:bookmarkEnd w:id="3"/>
    </w:p>
    <w:p w:rsidR="001074FF" w:rsidRDefault="001074FF" w:rsidP="00EB505C">
      <w:pPr>
        <w:pStyle w:val="Heading2"/>
      </w:pPr>
      <w:r w:rsidRPr="00672019">
        <w:t>B</w:t>
      </w:r>
      <w:r w:rsidR="008B3876">
        <w:t xml:space="preserve">. </w:t>
      </w:r>
      <w:r w:rsidRPr="00672019">
        <w:t>Collections of Information Employing Statistical Methods</w:t>
      </w:r>
      <w:bookmarkEnd w:id="0"/>
      <w:bookmarkEnd w:id="1"/>
      <w:bookmarkEnd w:id="2"/>
    </w:p>
    <w:p w:rsidR="001074FF" w:rsidRDefault="001074FF" w:rsidP="00E150C9">
      <w:pPr>
        <w:pStyle w:val="BodyText"/>
        <w:spacing w:after="240"/>
        <w:ind w:firstLine="720"/>
      </w:pPr>
      <w:r>
        <w:t xml:space="preserve">NHTSA is seeking approval to conduct a study to gather objective data regarding </w:t>
      </w:r>
      <w:r w:rsidRPr="008C72CD">
        <w:t>the</w:t>
      </w:r>
      <w:r w:rsidRPr="008C72CD">
        <w:rPr>
          <w:i/>
        </w:rPr>
        <w:t xml:space="preserve"> </w:t>
      </w:r>
      <w:r w:rsidRPr="008C72CD">
        <w:t>extent to which older drivers appropriately regulate their driving habits in response to age-related functional changes.</w:t>
      </w:r>
    </w:p>
    <w:p w:rsidR="001074FF" w:rsidRDefault="001074FF" w:rsidP="00E150C9">
      <w:pPr>
        <w:pStyle w:val="BodyText"/>
        <w:spacing w:after="240"/>
        <w:ind w:firstLine="720"/>
      </w:pPr>
      <w:r>
        <w:t>Twenty participants aged 60-69, 20 participants aged 70-79</w:t>
      </w:r>
      <w:r w:rsidR="00117C47">
        <w:t>,</w:t>
      </w:r>
      <w:r>
        <w:t xml:space="preserve"> and 20 participants aged 80 and older will be recruited to participate in this study and complete a clinical functional evaluation, a driving evaluation, and allow data collection devices to be installed in their personal vehicles to collect driving exposure data for one month. </w:t>
      </w:r>
    </w:p>
    <w:p w:rsidR="001074FF" w:rsidRDefault="001074FF" w:rsidP="007F46AC">
      <w:pPr>
        <w:ind w:right="-360" w:firstLine="720"/>
      </w:pPr>
      <w:r>
        <w:t>All p</w:t>
      </w:r>
      <w:r w:rsidRPr="009D1C79">
        <w:t xml:space="preserve">articipants </w:t>
      </w:r>
      <w:r>
        <w:t xml:space="preserve">will be recruited </w:t>
      </w:r>
      <w:r w:rsidRPr="009D1C79">
        <w:t>through</w:t>
      </w:r>
      <w:r>
        <w:t xml:space="preserve"> public </w:t>
      </w:r>
      <w:r>
        <w:rPr>
          <w:color w:val="000000"/>
        </w:rPr>
        <w:t>solicitations to</w:t>
      </w:r>
      <w:r w:rsidRPr="006907C0">
        <w:rPr>
          <w:color w:val="000000"/>
        </w:rPr>
        <w:t xml:space="preserve"> residents of one or more </w:t>
      </w:r>
      <w:r w:rsidR="00741D44">
        <w:rPr>
          <w:color w:val="000000"/>
        </w:rPr>
        <w:t xml:space="preserve">residential </w:t>
      </w:r>
      <w:r w:rsidRPr="006907C0">
        <w:rPr>
          <w:color w:val="000000"/>
        </w:rPr>
        <w:t xml:space="preserve">communities in the vicinity of </w:t>
      </w:r>
      <w:r>
        <w:rPr>
          <w:color w:val="000000"/>
        </w:rPr>
        <w:t>Raleigh/Durham/</w:t>
      </w:r>
      <w:r w:rsidRPr="006907C0">
        <w:rPr>
          <w:color w:val="000000"/>
        </w:rPr>
        <w:t>Chapel Hill</w:t>
      </w:r>
      <w:r>
        <w:rPr>
          <w:color w:val="000000"/>
        </w:rPr>
        <w:t>/Burlington</w:t>
      </w:r>
      <w:r w:rsidRPr="006907C0">
        <w:rPr>
          <w:color w:val="000000"/>
        </w:rPr>
        <w:t xml:space="preserve">, North </w:t>
      </w:r>
      <w:r w:rsidRPr="002B58C9">
        <w:rPr>
          <w:color w:val="000000"/>
        </w:rPr>
        <w:t>Carolina</w:t>
      </w:r>
      <w:r w:rsidR="008B3876">
        <w:rPr>
          <w:color w:val="000000"/>
        </w:rPr>
        <w:t xml:space="preserve">. </w:t>
      </w:r>
      <w:r w:rsidRPr="002B58C9">
        <w:rPr>
          <w:color w:val="000000"/>
        </w:rPr>
        <w:t xml:space="preserve">Solicitations will be in the form of flyers posted at a </w:t>
      </w:r>
      <w:r w:rsidR="006626F3">
        <w:rPr>
          <w:color w:val="000000"/>
        </w:rPr>
        <w:t>senior</w:t>
      </w:r>
      <w:r w:rsidR="006626F3" w:rsidRPr="002B58C9">
        <w:rPr>
          <w:color w:val="000000"/>
        </w:rPr>
        <w:t xml:space="preserve"> </w:t>
      </w:r>
      <w:r w:rsidRPr="002B58C9">
        <w:rPr>
          <w:color w:val="000000"/>
        </w:rPr>
        <w:t>center</w:t>
      </w:r>
      <w:r w:rsidR="006626F3">
        <w:rPr>
          <w:color w:val="000000"/>
        </w:rPr>
        <w:t>, library, or other location;</w:t>
      </w:r>
      <w:r w:rsidRPr="002B58C9">
        <w:rPr>
          <w:color w:val="000000"/>
        </w:rPr>
        <w:t xml:space="preserve"> announcements in newsletters and on community</w:t>
      </w:r>
      <w:r>
        <w:rPr>
          <w:color w:val="000000"/>
        </w:rPr>
        <w:t xml:space="preserve"> </w:t>
      </w:r>
      <w:proofErr w:type="spellStart"/>
      <w:r>
        <w:rPr>
          <w:color w:val="000000"/>
        </w:rPr>
        <w:t>listserv</w:t>
      </w:r>
      <w:r w:rsidRPr="002B58C9">
        <w:rPr>
          <w:color w:val="000000"/>
        </w:rPr>
        <w:t>s</w:t>
      </w:r>
      <w:proofErr w:type="spellEnd"/>
      <w:r w:rsidR="006626F3">
        <w:rPr>
          <w:color w:val="000000"/>
        </w:rPr>
        <w:t>;</w:t>
      </w:r>
      <w:r w:rsidR="006626F3" w:rsidRPr="002B58C9">
        <w:rPr>
          <w:color w:val="000000"/>
        </w:rPr>
        <w:t xml:space="preserve"> </w:t>
      </w:r>
      <w:r w:rsidRPr="002B58C9">
        <w:rPr>
          <w:color w:val="000000"/>
        </w:rPr>
        <w:t xml:space="preserve">and/or sign-ups at </w:t>
      </w:r>
      <w:r w:rsidR="006626F3">
        <w:rPr>
          <w:color w:val="000000"/>
        </w:rPr>
        <w:t>local gatherings such as he</w:t>
      </w:r>
      <w:r w:rsidR="00BE41AC">
        <w:rPr>
          <w:color w:val="000000"/>
        </w:rPr>
        <w:t>alth fairs and farmer’s markets</w:t>
      </w:r>
      <w:r w:rsidR="008B3876">
        <w:rPr>
          <w:color w:val="000000"/>
        </w:rPr>
        <w:t xml:space="preserve">. </w:t>
      </w:r>
      <w:r w:rsidRPr="006907C0">
        <w:rPr>
          <w:color w:val="000000"/>
        </w:rPr>
        <w:t xml:space="preserve">Interested residents will contact a designated </w:t>
      </w:r>
      <w:r>
        <w:rPr>
          <w:color w:val="000000"/>
        </w:rPr>
        <w:t>NHTSA research team</w:t>
      </w:r>
      <w:r w:rsidRPr="006907C0">
        <w:rPr>
          <w:color w:val="000000"/>
        </w:rPr>
        <w:t xml:space="preserve"> member through a toll-free </w:t>
      </w:r>
      <w:r>
        <w:rPr>
          <w:color w:val="000000"/>
        </w:rPr>
        <w:t xml:space="preserve">telephone </w:t>
      </w:r>
      <w:r w:rsidRPr="006907C0">
        <w:rPr>
          <w:color w:val="000000"/>
        </w:rPr>
        <w:t>number to enroll</w:t>
      </w:r>
      <w:r>
        <w:rPr>
          <w:color w:val="000000"/>
        </w:rPr>
        <w:t xml:space="preserve"> or will be interviewed in person at </w:t>
      </w:r>
      <w:r w:rsidR="00741D44">
        <w:rPr>
          <w:color w:val="000000"/>
        </w:rPr>
        <w:t xml:space="preserve">meetings or </w:t>
      </w:r>
      <w:r>
        <w:rPr>
          <w:color w:val="000000"/>
        </w:rPr>
        <w:t>events</w:t>
      </w:r>
      <w:r w:rsidR="008B3876">
        <w:rPr>
          <w:color w:val="000000"/>
        </w:rPr>
        <w:t xml:space="preserve">. </w:t>
      </w:r>
      <w:r>
        <w:rPr>
          <w:color w:val="000000"/>
        </w:rPr>
        <w:t xml:space="preserve">During the brief interview, a researcher will explain the study and ask the questions listed below to determine if the person is eligible to participate. </w:t>
      </w:r>
    </w:p>
    <w:p w:rsidR="001074FF" w:rsidRDefault="001074FF" w:rsidP="00DD010D">
      <w:pPr>
        <w:ind w:right="-360" w:firstLine="720"/>
      </w:pPr>
    </w:p>
    <w:p w:rsidR="001074FF" w:rsidRDefault="001074FF" w:rsidP="00924DBE">
      <w:pPr>
        <w:ind w:right="-360" w:firstLine="720"/>
      </w:pPr>
      <w:r>
        <w:t>To ensure prospective participants meet the study needs, we propose to ask each respondent to the solicitation</w:t>
      </w:r>
      <w:r w:rsidR="0007169F">
        <w:t xml:space="preserve"> questions to determine that they meet age and other inclusion criteria, that they have access to a vehicle and can legally drive it, and that they drive often enough to provide adequate exposure data to support analyses.</w:t>
      </w:r>
    </w:p>
    <w:p w:rsidR="00741D44" w:rsidRDefault="00741D44" w:rsidP="00924DBE">
      <w:pPr>
        <w:ind w:right="-360" w:firstLine="720"/>
      </w:pPr>
    </w:p>
    <w:p w:rsidR="001074FF" w:rsidRDefault="001074FF" w:rsidP="00BE41AC">
      <w:pPr>
        <w:pStyle w:val="BodyText"/>
        <w:keepNext/>
        <w:spacing w:after="240"/>
        <w:ind w:firstLine="720"/>
      </w:pPr>
      <w:r>
        <w:t xml:space="preserve">Once a participant agrees to participate, he or she will be asked to do </w:t>
      </w:r>
      <w:r w:rsidR="00741D44">
        <w:t xml:space="preserve">or agree to </w:t>
      </w:r>
      <w:r>
        <w:t>each of the following activities:</w:t>
      </w:r>
    </w:p>
    <w:p w:rsidR="001074FF" w:rsidRDefault="001074FF" w:rsidP="00E150C9">
      <w:pPr>
        <w:pStyle w:val="BodyText"/>
        <w:numPr>
          <w:ilvl w:val="0"/>
          <w:numId w:val="12"/>
        </w:numPr>
        <w:spacing w:before="0" w:after="0"/>
      </w:pPr>
      <w:r>
        <w:t>Sign an informed consent</w:t>
      </w:r>
    </w:p>
    <w:p w:rsidR="001074FF" w:rsidRDefault="001074FF" w:rsidP="00E150C9">
      <w:pPr>
        <w:pStyle w:val="BodyText"/>
        <w:numPr>
          <w:ilvl w:val="0"/>
          <w:numId w:val="12"/>
        </w:numPr>
        <w:spacing w:before="0" w:after="0"/>
      </w:pPr>
      <w:r>
        <w:t xml:space="preserve">Have a data acquisition system (DAS) installed in their vehicle </w:t>
      </w:r>
    </w:p>
    <w:p w:rsidR="001074FF" w:rsidRDefault="001074FF" w:rsidP="00E150C9">
      <w:pPr>
        <w:pStyle w:val="BodyText"/>
        <w:numPr>
          <w:ilvl w:val="0"/>
          <w:numId w:val="12"/>
        </w:numPr>
        <w:spacing w:before="0" w:after="0"/>
      </w:pPr>
      <w:r>
        <w:t xml:space="preserve">Drive their vehicle </w:t>
      </w:r>
      <w:r w:rsidR="00741D44">
        <w:t>in their</w:t>
      </w:r>
      <w:r>
        <w:t xml:space="preserve"> customary </w:t>
      </w:r>
      <w:r w:rsidR="00741D44">
        <w:t xml:space="preserve">manner </w:t>
      </w:r>
      <w:r>
        <w:t xml:space="preserve">for a period of one month </w:t>
      </w:r>
    </w:p>
    <w:p w:rsidR="001074FF" w:rsidRDefault="001074FF" w:rsidP="00E150C9">
      <w:pPr>
        <w:pStyle w:val="BodyText"/>
        <w:numPr>
          <w:ilvl w:val="0"/>
          <w:numId w:val="12"/>
        </w:numPr>
        <w:spacing w:before="0" w:after="0"/>
      </w:pPr>
      <w:r>
        <w:t xml:space="preserve">Complete a </w:t>
      </w:r>
      <w:r w:rsidR="00741D44">
        <w:t xml:space="preserve">confidential </w:t>
      </w:r>
      <w:r>
        <w:t>clinical assessment of their cognitive and physical abilities</w:t>
      </w:r>
    </w:p>
    <w:p w:rsidR="001074FF" w:rsidRDefault="001074FF" w:rsidP="00E150C9">
      <w:pPr>
        <w:pStyle w:val="BodyText"/>
        <w:numPr>
          <w:ilvl w:val="0"/>
          <w:numId w:val="12"/>
        </w:numPr>
        <w:spacing w:before="0" w:after="0"/>
      </w:pPr>
      <w:r>
        <w:t>Complete a</w:t>
      </w:r>
      <w:r w:rsidR="00741D44">
        <w:t xml:space="preserve"> confidential</w:t>
      </w:r>
      <w:r>
        <w:t xml:space="preserve"> on-road driving assessment by a CDRS</w:t>
      </w:r>
    </w:p>
    <w:p w:rsidR="001074FF" w:rsidRDefault="001074FF" w:rsidP="00E150C9">
      <w:pPr>
        <w:pStyle w:val="BodyText"/>
        <w:numPr>
          <w:ilvl w:val="0"/>
          <w:numId w:val="12"/>
        </w:numPr>
        <w:spacing w:before="0" w:after="0"/>
      </w:pPr>
      <w:r>
        <w:t>Allow the research team to remove the DAS</w:t>
      </w:r>
      <w:r w:rsidR="008B3876">
        <w:t xml:space="preserve">. </w:t>
      </w:r>
      <w:r>
        <w:t xml:space="preserve"> </w:t>
      </w:r>
    </w:p>
    <w:p w:rsidR="001074FF" w:rsidRDefault="001074FF" w:rsidP="00704E27">
      <w:pPr>
        <w:pStyle w:val="BodyText"/>
        <w:spacing w:before="0" w:after="0"/>
        <w:rPr>
          <w:highlight w:val="yellow"/>
          <w:u w:val="single"/>
        </w:rPr>
      </w:pPr>
    </w:p>
    <w:p w:rsidR="001074FF" w:rsidRDefault="001074FF" w:rsidP="009C7B49">
      <w:pPr>
        <w:pStyle w:val="Figure"/>
        <w:numPr>
          <w:ilvl w:val="0"/>
          <w:numId w:val="0"/>
        </w:numPr>
        <w:jc w:val="left"/>
        <w:rPr>
          <w:b w:val="0"/>
          <w:u w:val="single"/>
        </w:rPr>
      </w:pPr>
      <w:r w:rsidRPr="00704E27">
        <w:rPr>
          <w:u w:val="single"/>
        </w:rPr>
        <w:t xml:space="preserve">Data Analysis Plan </w:t>
      </w:r>
    </w:p>
    <w:p w:rsidR="001074FF" w:rsidRPr="00704E27" w:rsidRDefault="001074FF" w:rsidP="00704E27">
      <w:pPr>
        <w:pStyle w:val="BodyText"/>
        <w:spacing w:before="0" w:after="0"/>
        <w:rPr>
          <w:b/>
          <w:u w:val="single"/>
        </w:rPr>
      </w:pPr>
    </w:p>
    <w:p w:rsidR="001074FF" w:rsidRDefault="001074FF" w:rsidP="00704E27">
      <w:pPr>
        <w:ind w:right="-360" w:firstLine="720"/>
        <w:rPr>
          <w:color w:val="000000"/>
        </w:rPr>
      </w:pPr>
      <w:r w:rsidRPr="00645532">
        <w:t>The objective</w:t>
      </w:r>
      <w:r>
        <w:t>s</w:t>
      </w:r>
      <w:r w:rsidRPr="00645532">
        <w:t xml:space="preserve"> </w:t>
      </w:r>
      <w:r>
        <w:t>of</w:t>
      </w:r>
      <w:r w:rsidRPr="00645532">
        <w:t xml:space="preserve"> this project </w:t>
      </w:r>
      <w:r>
        <w:t xml:space="preserve">are </w:t>
      </w:r>
      <w:r w:rsidRPr="006907C0">
        <w:rPr>
          <w:color w:val="000000"/>
        </w:rPr>
        <w:t xml:space="preserve">to </w:t>
      </w:r>
      <w:r>
        <w:t>assess the</w:t>
      </w:r>
      <w:r w:rsidRPr="00D800BE">
        <w:rPr>
          <w:i/>
        </w:rPr>
        <w:t xml:space="preserve"> </w:t>
      </w:r>
      <w:r w:rsidRPr="00D800BE">
        <w:t xml:space="preserve">extent to which older drivers appropriately regulate their driving habits in response to </w:t>
      </w:r>
      <w:r w:rsidR="00DB4075">
        <w:t xml:space="preserve">or in anticipation of </w:t>
      </w:r>
      <w:r w:rsidRPr="00D800BE">
        <w:t>age-related functional changes.</w:t>
      </w:r>
      <w:r>
        <w:t xml:space="preserve"> Interview</w:t>
      </w:r>
      <w:r w:rsidRPr="00A714A6">
        <w:t xml:space="preserve"> responses will</w:t>
      </w:r>
      <w:r>
        <w:t xml:space="preserve"> be used to establish participants’ eligibility for the study and will </w:t>
      </w:r>
      <w:r w:rsidR="00DB4075">
        <w:t>also serve</w:t>
      </w:r>
      <w:r>
        <w:t xml:space="preserve"> as grouping variables for analyses to examine differences in </w:t>
      </w:r>
      <w:r>
        <w:lastRenderedPageBreak/>
        <w:t xml:space="preserve">driving behavior measures, clinical assessment measures, and naturalistic driving measures by age and other </w:t>
      </w:r>
      <w:r w:rsidR="00DB4075">
        <w:t>characteristics</w:t>
      </w:r>
      <w:r>
        <w:t xml:space="preserve"> of interest</w:t>
      </w:r>
      <w:r w:rsidR="00DB4075">
        <w:t xml:space="preserve"> from the screening interview responses</w:t>
      </w:r>
      <w:r>
        <w:t xml:space="preserve">. </w:t>
      </w:r>
    </w:p>
    <w:p w:rsidR="001074FF" w:rsidRDefault="001074FF" w:rsidP="00926C87">
      <w:pPr>
        <w:ind w:right="-360"/>
        <w:rPr>
          <w:color w:val="000000"/>
        </w:rPr>
      </w:pPr>
    </w:p>
    <w:p w:rsidR="001074FF" w:rsidRDefault="001074FF" w:rsidP="00A76B69">
      <w:pPr>
        <w:pStyle w:val="Default"/>
        <w:ind w:firstLine="720"/>
        <w:rPr>
          <w:rFonts w:ascii="Times New Roman" w:hAnsi="Times New Roman" w:cs="Times New Roman"/>
          <w:color w:val="auto"/>
        </w:rPr>
      </w:pPr>
      <w:r w:rsidRPr="007F46AC">
        <w:rPr>
          <w:rFonts w:ascii="Times New Roman" w:hAnsi="Times New Roman" w:cs="Times New Roman"/>
          <w:color w:val="auto"/>
        </w:rPr>
        <w:t>Driving exposure measures will include number and duration of trips during a one-month period, including average and maximum trip length, categorizing trips according to</w:t>
      </w:r>
      <w:r w:rsidR="00034259">
        <w:rPr>
          <w:rFonts w:ascii="Times New Roman" w:hAnsi="Times New Roman" w:cs="Times New Roman"/>
          <w:color w:val="auto"/>
        </w:rPr>
        <w:t xml:space="preserve"> the amount of mileage spent on various</w:t>
      </w:r>
      <w:r w:rsidRPr="007F46AC">
        <w:rPr>
          <w:rFonts w:ascii="Times New Roman" w:hAnsi="Times New Roman" w:cs="Times New Roman"/>
          <w:color w:val="auto"/>
        </w:rPr>
        <w:t xml:space="preserve"> road type</w:t>
      </w:r>
      <w:r w:rsidR="00034259">
        <w:rPr>
          <w:rFonts w:ascii="Times New Roman" w:hAnsi="Times New Roman" w:cs="Times New Roman"/>
          <w:color w:val="auto"/>
        </w:rPr>
        <w:t>s</w:t>
      </w:r>
      <w:r w:rsidRPr="007F46AC">
        <w:rPr>
          <w:rFonts w:ascii="Times New Roman" w:hAnsi="Times New Roman" w:cs="Times New Roman"/>
          <w:color w:val="auto"/>
        </w:rPr>
        <w:t xml:space="preserve"> (residential, arterial, freeway, and/or by posted speed limit), and </w:t>
      </w:r>
      <w:r w:rsidR="00034259">
        <w:rPr>
          <w:rFonts w:ascii="Times New Roman" w:hAnsi="Times New Roman" w:cs="Times New Roman"/>
          <w:color w:val="auto"/>
        </w:rPr>
        <w:t xml:space="preserve">under differing </w:t>
      </w:r>
      <w:r w:rsidRPr="007F46AC">
        <w:rPr>
          <w:rFonts w:ascii="Times New Roman" w:hAnsi="Times New Roman" w:cs="Times New Roman"/>
          <w:color w:val="auto"/>
        </w:rPr>
        <w:t>weather/visibility conditions (wet/dry, day/dusk/night).</w:t>
      </w:r>
    </w:p>
    <w:p w:rsidR="001074FF" w:rsidRDefault="001074FF" w:rsidP="00926C87">
      <w:pPr>
        <w:ind w:right="-360"/>
        <w:rPr>
          <w:color w:val="000000"/>
        </w:rPr>
      </w:pPr>
    </w:p>
    <w:p w:rsidR="001074FF" w:rsidRPr="00C76098" w:rsidRDefault="001074FF" w:rsidP="00A76B69">
      <w:pPr>
        <w:pStyle w:val="Default"/>
        <w:spacing w:after="120"/>
        <w:ind w:firstLine="720"/>
        <w:rPr>
          <w:rFonts w:ascii="Times New Roman" w:hAnsi="Times New Roman" w:cs="Times New Roman"/>
          <w:color w:val="auto"/>
        </w:rPr>
      </w:pPr>
      <w:r w:rsidRPr="00321592">
        <w:rPr>
          <w:rFonts w:ascii="Times New Roman" w:hAnsi="Times New Roman" w:cs="Times New Roman"/>
          <w:color w:val="auto"/>
        </w:rPr>
        <w:t xml:space="preserve">The clinical assessment </w:t>
      </w:r>
      <w:r w:rsidR="00E25830" w:rsidRPr="00C76098">
        <w:rPr>
          <w:rFonts w:ascii="Times New Roman" w:hAnsi="Times New Roman" w:cs="Times New Roman"/>
          <w:color w:val="auto"/>
        </w:rPr>
        <w:t>(</w:t>
      </w:r>
      <w:r w:rsidR="00E25830" w:rsidRPr="00343012">
        <w:rPr>
          <w:rFonts w:ascii="Times New Roman" w:hAnsi="Times New Roman" w:cs="Times New Roman"/>
        </w:rPr>
        <w:t xml:space="preserve">Appendix </w:t>
      </w:r>
      <w:r w:rsidR="00321592" w:rsidRPr="00343012">
        <w:rPr>
          <w:rFonts w:ascii="Times New Roman" w:hAnsi="Times New Roman" w:cs="Times New Roman"/>
        </w:rPr>
        <w:t>G</w:t>
      </w:r>
      <w:r w:rsidR="00E25830" w:rsidRPr="00343012">
        <w:rPr>
          <w:rFonts w:ascii="Times New Roman" w:hAnsi="Times New Roman" w:cs="Times New Roman"/>
        </w:rPr>
        <w:t>, Justification for Instruments, provides details regarding the clinical battery)</w:t>
      </w:r>
      <w:r w:rsidR="00E25830" w:rsidRPr="00321592">
        <w:rPr>
          <w:rFonts w:ascii="Times New Roman" w:hAnsi="Times New Roman" w:cs="Times New Roman"/>
          <w:color w:val="auto"/>
        </w:rPr>
        <w:t xml:space="preserve"> </w:t>
      </w:r>
      <w:r w:rsidRPr="00C76098">
        <w:rPr>
          <w:rFonts w:ascii="Times New Roman" w:hAnsi="Times New Roman" w:cs="Times New Roman"/>
          <w:color w:val="auto"/>
        </w:rPr>
        <w:t>will include measures of:</w:t>
      </w:r>
    </w:p>
    <w:p w:rsidR="00186409" w:rsidRPr="00AE04C9" w:rsidRDefault="00186409" w:rsidP="00186409">
      <w:pPr>
        <w:keepNext/>
        <w:numPr>
          <w:ilvl w:val="0"/>
          <w:numId w:val="15"/>
        </w:numPr>
        <w:ind w:right="14"/>
      </w:pPr>
      <w:r w:rsidRPr="009960E0">
        <w:t xml:space="preserve">Visual acuity and </w:t>
      </w:r>
      <w:r w:rsidRPr="00AE04C9">
        <w:t>Contrast sensitivity</w:t>
      </w:r>
    </w:p>
    <w:p w:rsidR="00186409" w:rsidRPr="00AE04C9" w:rsidRDefault="00186409" w:rsidP="00186409">
      <w:pPr>
        <w:numPr>
          <w:ilvl w:val="0"/>
          <w:numId w:val="15"/>
        </w:numPr>
        <w:ind w:right="14"/>
      </w:pPr>
      <w:r w:rsidRPr="00AE04C9">
        <w:t>Brake response time (simple and choice RT)</w:t>
      </w:r>
    </w:p>
    <w:p w:rsidR="00186409" w:rsidRPr="00AE04C9" w:rsidRDefault="00186409" w:rsidP="00186409">
      <w:pPr>
        <w:numPr>
          <w:ilvl w:val="0"/>
          <w:numId w:val="15"/>
        </w:numPr>
        <w:ind w:right="14"/>
      </w:pPr>
      <w:r w:rsidRPr="00AE04C9">
        <w:t>Working memory (cued recall)</w:t>
      </w:r>
    </w:p>
    <w:p w:rsidR="00186409" w:rsidRPr="00AE04C9" w:rsidRDefault="00186409" w:rsidP="00186409">
      <w:pPr>
        <w:numPr>
          <w:ilvl w:val="0"/>
          <w:numId w:val="15"/>
        </w:numPr>
        <w:ind w:right="14"/>
      </w:pPr>
      <w:r w:rsidRPr="00AE04C9">
        <w:t>Visualizing missing information (MVPT-visual closure)</w:t>
      </w:r>
    </w:p>
    <w:p w:rsidR="00186409" w:rsidRPr="00AE04C9" w:rsidRDefault="00186409" w:rsidP="00186409">
      <w:pPr>
        <w:numPr>
          <w:ilvl w:val="0"/>
          <w:numId w:val="15"/>
        </w:numPr>
        <w:ind w:right="14"/>
      </w:pPr>
      <w:r w:rsidRPr="00AE04C9">
        <w:t>Visual attention (Useful Field of View subtests 1 and 2)</w:t>
      </w:r>
    </w:p>
    <w:p w:rsidR="00186409" w:rsidRPr="00AE04C9" w:rsidRDefault="00186409" w:rsidP="00186409">
      <w:pPr>
        <w:numPr>
          <w:ilvl w:val="0"/>
          <w:numId w:val="15"/>
        </w:numPr>
        <w:ind w:right="14"/>
      </w:pPr>
      <w:r w:rsidRPr="00AE04C9">
        <w:t xml:space="preserve">Visual search (Trail-making Test) </w:t>
      </w:r>
    </w:p>
    <w:p w:rsidR="0007169F" w:rsidRDefault="00186409" w:rsidP="00343012">
      <w:pPr>
        <w:keepNext/>
        <w:numPr>
          <w:ilvl w:val="0"/>
          <w:numId w:val="15"/>
        </w:numPr>
        <w:ind w:right="14"/>
      </w:pPr>
      <w:r w:rsidRPr="00AE04C9">
        <w:t>Route planning (maze completion)</w:t>
      </w:r>
      <w:r>
        <w:t>.</w:t>
      </w:r>
    </w:p>
    <w:p w:rsidR="001074FF" w:rsidRDefault="001074FF" w:rsidP="00926C87">
      <w:pPr>
        <w:ind w:right="-360"/>
        <w:rPr>
          <w:color w:val="000000"/>
        </w:rPr>
      </w:pPr>
    </w:p>
    <w:p w:rsidR="001074FF" w:rsidRPr="00805306" w:rsidRDefault="001074FF" w:rsidP="007F46AC">
      <w:pPr>
        <w:autoSpaceDN w:val="0"/>
        <w:adjustRightInd w:val="0"/>
        <w:spacing w:after="60"/>
        <w:ind w:firstLine="720"/>
      </w:pPr>
      <w:r w:rsidRPr="00805306">
        <w:t>Driving behaviors observed/scored during the CDRS evaluation will include:</w:t>
      </w:r>
    </w:p>
    <w:p w:rsidR="00C256C5" w:rsidRPr="00AE04C9" w:rsidRDefault="00C256C5" w:rsidP="00C256C5">
      <w:pPr>
        <w:numPr>
          <w:ilvl w:val="0"/>
          <w:numId w:val="13"/>
        </w:numPr>
      </w:pPr>
      <w:r w:rsidRPr="00AE04C9">
        <w:t>Maintenance of speed and lane position</w:t>
      </w:r>
    </w:p>
    <w:p w:rsidR="00C256C5" w:rsidRPr="00AE04C9" w:rsidRDefault="00C256C5" w:rsidP="00C256C5">
      <w:pPr>
        <w:numPr>
          <w:ilvl w:val="0"/>
          <w:numId w:val="13"/>
        </w:numPr>
      </w:pPr>
      <w:r>
        <w:t>Exhibiting h</w:t>
      </w:r>
      <w:r w:rsidRPr="00AE04C9">
        <w:t>azardous driving behaviors (e.g., running stop signs or cutting off other drivers)</w:t>
      </w:r>
    </w:p>
    <w:p w:rsidR="00C256C5" w:rsidRPr="00AE04C9" w:rsidRDefault="00C256C5" w:rsidP="00C256C5">
      <w:pPr>
        <w:numPr>
          <w:ilvl w:val="0"/>
          <w:numId w:val="13"/>
        </w:numPr>
      </w:pPr>
      <w:r w:rsidRPr="00AE04C9">
        <w:t>Driving substantially over or under the posted speed, slowing or stopping at inappropriate times or locations</w:t>
      </w:r>
    </w:p>
    <w:p w:rsidR="00C256C5" w:rsidRPr="00AE04C9" w:rsidRDefault="00C256C5" w:rsidP="00C256C5">
      <w:pPr>
        <w:numPr>
          <w:ilvl w:val="0"/>
          <w:numId w:val="13"/>
        </w:numPr>
      </w:pPr>
      <w:r w:rsidRPr="00AE04C9">
        <w:t>Accelerating and braking smoothly</w:t>
      </w:r>
    </w:p>
    <w:p w:rsidR="00C256C5" w:rsidRPr="00AE04C9" w:rsidRDefault="00C256C5" w:rsidP="00C256C5">
      <w:pPr>
        <w:numPr>
          <w:ilvl w:val="0"/>
          <w:numId w:val="13"/>
        </w:numPr>
      </w:pPr>
      <w:r w:rsidRPr="00AE04C9">
        <w:t>Signaling turns</w:t>
      </w:r>
    </w:p>
    <w:p w:rsidR="00C256C5" w:rsidRPr="00AE04C9" w:rsidRDefault="00C256C5" w:rsidP="00C256C5">
      <w:pPr>
        <w:numPr>
          <w:ilvl w:val="0"/>
          <w:numId w:val="13"/>
        </w:numPr>
      </w:pPr>
      <w:r w:rsidRPr="00AE04C9">
        <w:t>Turning into the proper lane</w:t>
      </w:r>
    </w:p>
    <w:p w:rsidR="00C256C5" w:rsidRPr="00AE04C9" w:rsidRDefault="00C256C5" w:rsidP="00C256C5">
      <w:pPr>
        <w:numPr>
          <w:ilvl w:val="0"/>
          <w:numId w:val="13"/>
        </w:numPr>
      </w:pPr>
      <w:r w:rsidRPr="00AE04C9">
        <w:t>Managing lane changes and merges, including checking blind spots</w:t>
      </w:r>
    </w:p>
    <w:p w:rsidR="00C256C5" w:rsidRPr="00AE04C9" w:rsidRDefault="00C256C5" w:rsidP="00C256C5">
      <w:pPr>
        <w:numPr>
          <w:ilvl w:val="0"/>
          <w:numId w:val="13"/>
        </w:numPr>
      </w:pPr>
      <w:r>
        <w:t>Selecting appropriate g</w:t>
      </w:r>
      <w:r w:rsidRPr="00AE04C9">
        <w:t>a</w:t>
      </w:r>
      <w:r>
        <w:t>ps</w:t>
      </w:r>
      <w:r w:rsidRPr="00AE04C9">
        <w:t xml:space="preserve"> when turning across traffic</w:t>
      </w:r>
    </w:p>
    <w:p w:rsidR="001074FF" w:rsidRPr="00DC7EF5" w:rsidRDefault="00C256C5" w:rsidP="00C256C5">
      <w:pPr>
        <w:numPr>
          <w:ilvl w:val="0"/>
          <w:numId w:val="13"/>
        </w:numPr>
      </w:pPr>
      <w:r>
        <w:t>Navigating i</w:t>
      </w:r>
      <w:r w:rsidRPr="00AE04C9">
        <w:t>ntersection</w:t>
      </w:r>
      <w:r>
        <w:t>s correctly</w:t>
      </w:r>
      <w:r w:rsidRPr="00AE04C9">
        <w:t xml:space="preserve"> and perform</w:t>
      </w:r>
      <w:r>
        <w:t>ing properly</w:t>
      </w:r>
      <w:r w:rsidRPr="00AE04C9">
        <w:t xml:space="preserve"> at other decision points.</w:t>
      </w:r>
    </w:p>
    <w:p w:rsidR="001074FF" w:rsidRDefault="001074FF" w:rsidP="00DC7EF5">
      <w:pPr>
        <w:ind w:left="720"/>
      </w:pPr>
    </w:p>
    <w:p w:rsidR="005F41B9" w:rsidRDefault="002912DA" w:rsidP="001C60CD">
      <w:pPr>
        <w:pStyle w:val="NormalWeb"/>
        <w:spacing w:before="0" w:beforeAutospacing="0" w:after="0" w:afterAutospacing="0"/>
        <w:ind w:firstLine="720"/>
        <w:rPr>
          <w:szCs w:val="21"/>
        </w:rPr>
      </w:pPr>
      <w:r>
        <w:rPr>
          <w:szCs w:val="21"/>
        </w:rPr>
        <w:t xml:space="preserve">Many of the analyses will be descriptive in nature and focused on examining </w:t>
      </w:r>
      <w:r w:rsidR="004457A9">
        <w:rPr>
          <w:szCs w:val="21"/>
        </w:rPr>
        <w:t xml:space="preserve">possible </w:t>
      </w:r>
      <w:r>
        <w:rPr>
          <w:szCs w:val="21"/>
        </w:rPr>
        <w:t xml:space="preserve">associations among driver age and the clinical, on-road, and naturalistic driving measures. Inferential statistics will be applied where appropriate given these associations and the study’s sample size. </w:t>
      </w:r>
      <w:r w:rsidR="00B800EF">
        <w:rPr>
          <w:szCs w:val="21"/>
        </w:rPr>
        <w:t xml:space="preserve">It is important to note that sophisticated statistical analyses involving multiple predictors and outcome variables in </w:t>
      </w:r>
      <w:r w:rsidR="00D70193">
        <w:rPr>
          <w:szCs w:val="21"/>
        </w:rPr>
        <w:t>a single</w:t>
      </w:r>
      <w:r w:rsidR="00B800EF">
        <w:rPr>
          <w:szCs w:val="21"/>
        </w:rPr>
        <w:t xml:space="preserve"> model will have limited validity given the proposed sample size for this study. The power analysis suggests, however, the sample size will be sufficient w</w:t>
      </w:r>
      <w:r w:rsidR="00CA679B">
        <w:rPr>
          <w:szCs w:val="21"/>
        </w:rPr>
        <w:t>hen more basic analyses (e.g., o</w:t>
      </w:r>
      <w:r w:rsidR="00B800EF">
        <w:rPr>
          <w:szCs w:val="21"/>
        </w:rPr>
        <w:t xml:space="preserve">ne-way ANOVA, chi-square) </w:t>
      </w:r>
      <w:r w:rsidR="003261C4">
        <w:rPr>
          <w:szCs w:val="21"/>
        </w:rPr>
        <w:t>are utilized to examine group differences for individual measures of interest.</w:t>
      </w:r>
      <w:r w:rsidR="00D34E9D">
        <w:rPr>
          <w:szCs w:val="21"/>
        </w:rPr>
        <w:t xml:space="preserve"> </w:t>
      </w:r>
      <w:r w:rsidR="00C20797">
        <w:rPr>
          <w:szCs w:val="21"/>
        </w:rPr>
        <w:t>Statisticians will assess the need for more stringent statistical significance thresholds depending on the number of comparisons made. In addition, t</w:t>
      </w:r>
      <w:r w:rsidR="00D34E9D">
        <w:rPr>
          <w:szCs w:val="21"/>
        </w:rPr>
        <w:t xml:space="preserve">he total number of </w:t>
      </w:r>
      <w:r w:rsidR="00C20797">
        <w:rPr>
          <w:szCs w:val="21"/>
        </w:rPr>
        <w:t xml:space="preserve">comparisons </w:t>
      </w:r>
      <w:r w:rsidR="00D34E9D">
        <w:rPr>
          <w:szCs w:val="21"/>
        </w:rPr>
        <w:t xml:space="preserve">will be limited to reduce the likelihood of Type I error. </w:t>
      </w:r>
    </w:p>
    <w:p w:rsidR="005F41B9" w:rsidRDefault="005F41B9" w:rsidP="001C60CD">
      <w:pPr>
        <w:pStyle w:val="NormalWeb"/>
        <w:spacing w:before="0" w:beforeAutospacing="0" w:after="0" w:afterAutospacing="0"/>
        <w:ind w:firstLine="720"/>
        <w:rPr>
          <w:szCs w:val="21"/>
        </w:rPr>
      </w:pPr>
    </w:p>
    <w:p w:rsidR="00AB6068" w:rsidRDefault="005F41B9" w:rsidP="001C60CD">
      <w:pPr>
        <w:pStyle w:val="NormalWeb"/>
        <w:spacing w:before="0" w:beforeAutospacing="0" w:after="0" w:afterAutospacing="0"/>
        <w:ind w:firstLine="720"/>
        <w:rPr>
          <w:szCs w:val="21"/>
        </w:rPr>
      </w:pPr>
      <w:r>
        <w:rPr>
          <w:szCs w:val="21"/>
        </w:rPr>
        <w:lastRenderedPageBreak/>
        <w:t xml:space="preserve">Specifically, researchers plan </w:t>
      </w:r>
      <w:r w:rsidR="00F80076">
        <w:rPr>
          <w:szCs w:val="21"/>
        </w:rPr>
        <w:t xml:space="preserve">first </w:t>
      </w:r>
      <w:r>
        <w:rPr>
          <w:szCs w:val="21"/>
        </w:rPr>
        <w:t>to c</w:t>
      </w:r>
      <w:r w:rsidR="00891D5B">
        <w:rPr>
          <w:szCs w:val="21"/>
        </w:rPr>
        <w:t>alculate</w:t>
      </w:r>
      <w:r>
        <w:rPr>
          <w:szCs w:val="21"/>
        </w:rPr>
        <w:t xml:space="preserve"> </w:t>
      </w:r>
      <w:r w:rsidR="002912DA">
        <w:rPr>
          <w:szCs w:val="21"/>
        </w:rPr>
        <w:t xml:space="preserve">simple correlations among the age, clinical, on-road, and naturalistic driving </w:t>
      </w:r>
      <w:r w:rsidR="00CF0F39">
        <w:rPr>
          <w:szCs w:val="21"/>
        </w:rPr>
        <w:t>measures</w:t>
      </w:r>
      <w:r w:rsidR="002912DA">
        <w:rPr>
          <w:szCs w:val="21"/>
        </w:rPr>
        <w:t xml:space="preserve"> to determine how age</w:t>
      </w:r>
      <w:r w:rsidR="00891D5B">
        <w:rPr>
          <w:szCs w:val="21"/>
        </w:rPr>
        <w:t>,</w:t>
      </w:r>
      <w:r w:rsidR="002912DA">
        <w:rPr>
          <w:szCs w:val="21"/>
        </w:rPr>
        <w:t xml:space="preserve"> and cognitive and physical decline</w:t>
      </w:r>
      <w:r w:rsidR="00891D5B">
        <w:rPr>
          <w:szCs w:val="21"/>
        </w:rPr>
        <w:t>,</w:t>
      </w:r>
      <w:r w:rsidR="001A73D3">
        <w:rPr>
          <w:szCs w:val="21"/>
        </w:rPr>
        <w:t xml:space="preserve"> </w:t>
      </w:r>
      <w:r w:rsidR="00D70193">
        <w:rPr>
          <w:szCs w:val="21"/>
        </w:rPr>
        <w:t>are</w:t>
      </w:r>
      <w:r w:rsidR="002912DA">
        <w:rPr>
          <w:szCs w:val="21"/>
        </w:rPr>
        <w:t xml:space="preserve"> associated with driving performance as measured during the on-road evaluation and naturalistic driving.</w:t>
      </w:r>
      <w:r w:rsidR="00891D5B">
        <w:rPr>
          <w:szCs w:val="21"/>
        </w:rPr>
        <w:t xml:space="preserve"> The</w:t>
      </w:r>
      <w:r w:rsidR="002912DA">
        <w:rPr>
          <w:szCs w:val="21"/>
        </w:rPr>
        <w:t xml:space="preserve"> next step </w:t>
      </w:r>
      <w:r w:rsidR="00CF0F39">
        <w:rPr>
          <w:szCs w:val="21"/>
        </w:rPr>
        <w:t>will be</w:t>
      </w:r>
      <w:r w:rsidR="002912DA">
        <w:rPr>
          <w:szCs w:val="21"/>
        </w:rPr>
        <w:t xml:space="preserve"> to conduct s</w:t>
      </w:r>
      <w:r>
        <w:rPr>
          <w:szCs w:val="21"/>
        </w:rPr>
        <w:t xml:space="preserve">eparate one-way ANOVAs for each of the clinical measures and on-road assessment </w:t>
      </w:r>
      <w:r w:rsidR="00D70193">
        <w:rPr>
          <w:szCs w:val="21"/>
        </w:rPr>
        <w:t xml:space="preserve">variables </w:t>
      </w:r>
      <w:r>
        <w:rPr>
          <w:szCs w:val="21"/>
        </w:rPr>
        <w:t>to determine if there are differences</w:t>
      </w:r>
      <w:r w:rsidR="002912DA">
        <w:rPr>
          <w:szCs w:val="21"/>
        </w:rPr>
        <w:t xml:space="preserve"> in the means for</w:t>
      </w:r>
      <w:r w:rsidR="00256A49">
        <w:rPr>
          <w:szCs w:val="21"/>
        </w:rPr>
        <w:t xml:space="preserve"> these continuous data</w:t>
      </w:r>
      <w:r w:rsidR="002912DA">
        <w:rPr>
          <w:szCs w:val="21"/>
        </w:rPr>
        <w:t xml:space="preserve"> by </w:t>
      </w:r>
      <w:r w:rsidR="00891D5B">
        <w:rPr>
          <w:szCs w:val="21"/>
        </w:rPr>
        <w:t xml:space="preserve">driver </w:t>
      </w:r>
      <w:r w:rsidR="002912DA">
        <w:rPr>
          <w:szCs w:val="21"/>
        </w:rPr>
        <w:t>age group</w:t>
      </w:r>
      <w:r>
        <w:rPr>
          <w:szCs w:val="21"/>
        </w:rPr>
        <w:t xml:space="preserve">. These analyses primarily serve to assess whether the </w:t>
      </w:r>
      <w:r w:rsidR="00BE4BDE">
        <w:rPr>
          <w:szCs w:val="21"/>
        </w:rPr>
        <w:t xml:space="preserve">current study’s </w:t>
      </w:r>
      <w:r>
        <w:rPr>
          <w:szCs w:val="21"/>
        </w:rPr>
        <w:t xml:space="preserve">sample of drivers </w:t>
      </w:r>
      <w:r w:rsidR="00BE4BDE">
        <w:rPr>
          <w:szCs w:val="21"/>
        </w:rPr>
        <w:t>demonstrates age related declines in cognitive and physical capabilities as found among the general older driver population in prior studies. Should these analyses show results similar to prior studies</w:t>
      </w:r>
      <w:r w:rsidR="00F80076">
        <w:rPr>
          <w:szCs w:val="21"/>
        </w:rPr>
        <w:t xml:space="preserve"> of older drivers</w:t>
      </w:r>
      <w:r w:rsidR="00BE4BDE">
        <w:rPr>
          <w:szCs w:val="21"/>
        </w:rPr>
        <w:t>, it would provide support for moving to the next</w:t>
      </w:r>
      <w:r w:rsidR="00891D5B">
        <w:rPr>
          <w:szCs w:val="21"/>
        </w:rPr>
        <w:t xml:space="preserve"> set of</w:t>
      </w:r>
      <w:r w:rsidR="00BE4BDE">
        <w:rPr>
          <w:szCs w:val="21"/>
        </w:rPr>
        <w:t xml:space="preserve"> analyses focused on age group differences in </w:t>
      </w:r>
      <w:r w:rsidR="00AB6068">
        <w:rPr>
          <w:szCs w:val="21"/>
        </w:rPr>
        <w:t xml:space="preserve">driving </w:t>
      </w:r>
      <w:r w:rsidR="00F80076">
        <w:rPr>
          <w:szCs w:val="21"/>
        </w:rPr>
        <w:t xml:space="preserve">exposure and self-regulation since driver age would be the primary </w:t>
      </w:r>
      <w:r w:rsidR="00D70193">
        <w:rPr>
          <w:szCs w:val="21"/>
        </w:rPr>
        <w:t>indicator of</w:t>
      </w:r>
      <w:r w:rsidR="00F80076">
        <w:rPr>
          <w:szCs w:val="21"/>
        </w:rPr>
        <w:t xml:space="preserve"> declines in cognitive and physical </w:t>
      </w:r>
      <w:proofErr w:type="gramStart"/>
      <w:r w:rsidR="00F80076">
        <w:rPr>
          <w:szCs w:val="21"/>
        </w:rPr>
        <w:t>capabilities.</w:t>
      </w:r>
      <w:proofErr w:type="gramEnd"/>
      <w:r w:rsidR="00F80076">
        <w:rPr>
          <w:szCs w:val="21"/>
        </w:rPr>
        <w:t xml:space="preserve"> As such, the clinical and on-road assessment measures would not need to be included as covariates in the next set of analyses.</w:t>
      </w:r>
    </w:p>
    <w:p w:rsidR="00AB6068" w:rsidRDefault="00AB6068" w:rsidP="001C60CD">
      <w:pPr>
        <w:pStyle w:val="NormalWeb"/>
        <w:spacing w:before="0" w:beforeAutospacing="0" w:after="0" w:afterAutospacing="0"/>
        <w:ind w:firstLine="720"/>
        <w:rPr>
          <w:szCs w:val="21"/>
        </w:rPr>
      </w:pPr>
    </w:p>
    <w:p w:rsidR="001074FF" w:rsidRDefault="00AB6068" w:rsidP="001C60CD">
      <w:pPr>
        <w:pStyle w:val="NormalWeb"/>
        <w:spacing w:before="0" w:beforeAutospacing="0" w:after="0" w:afterAutospacing="0"/>
        <w:ind w:firstLine="720"/>
      </w:pPr>
      <w:r>
        <w:rPr>
          <w:szCs w:val="21"/>
        </w:rPr>
        <w:t xml:space="preserve">Researchers plan to use one-way ANOVA and chi-square analyses to look for </w:t>
      </w:r>
      <w:r w:rsidR="00143CE0">
        <w:rPr>
          <w:szCs w:val="21"/>
        </w:rPr>
        <w:t xml:space="preserve">age </w:t>
      </w:r>
      <w:r>
        <w:rPr>
          <w:szCs w:val="21"/>
        </w:rPr>
        <w:t xml:space="preserve">group differences in the naturalistic driving data collected. For example, a 3 (age group) x 2 (day/night) chi-square analysis </w:t>
      </w:r>
      <w:r w:rsidR="00891D5B">
        <w:rPr>
          <w:szCs w:val="21"/>
        </w:rPr>
        <w:t>could</w:t>
      </w:r>
      <w:r w:rsidR="00143CE0">
        <w:rPr>
          <w:szCs w:val="21"/>
        </w:rPr>
        <w:t xml:space="preserve"> be used to</w:t>
      </w:r>
      <w:r>
        <w:rPr>
          <w:szCs w:val="21"/>
        </w:rPr>
        <w:t xml:space="preserve"> examine counts of trips by age</w:t>
      </w:r>
      <w:r w:rsidR="00F80076">
        <w:rPr>
          <w:szCs w:val="21"/>
        </w:rPr>
        <w:t xml:space="preserve"> group</w:t>
      </w:r>
      <w:r>
        <w:rPr>
          <w:szCs w:val="21"/>
        </w:rPr>
        <w:t xml:space="preserve"> and </w:t>
      </w:r>
      <w:r w:rsidR="00D70193">
        <w:rPr>
          <w:szCs w:val="21"/>
        </w:rPr>
        <w:t>time of day</w:t>
      </w:r>
      <w:r>
        <w:rPr>
          <w:szCs w:val="21"/>
        </w:rPr>
        <w:t>. Prior research suggests the oldest drivers may drive less at night, but it is not known if they compensate for this reduced night driving with more trips, or a greater percentage of their trips, during daylight hours. Similar analyses of count data will focus on measures such as road type</w:t>
      </w:r>
      <w:r w:rsidR="00CF0F39">
        <w:rPr>
          <w:szCs w:val="21"/>
        </w:rPr>
        <w:t xml:space="preserve"> driven on,</w:t>
      </w:r>
      <w:r>
        <w:rPr>
          <w:szCs w:val="21"/>
        </w:rPr>
        <w:t xml:space="preserve"> weather conditions</w:t>
      </w:r>
      <w:r w:rsidR="00CF0F39">
        <w:rPr>
          <w:szCs w:val="21"/>
        </w:rPr>
        <w:t>, and other measures of interest</w:t>
      </w:r>
      <w:r>
        <w:rPr>
          <w:szCs w:val="21"/>
        </w:rPr>
        <w:t>. Other analyses will focus on age group differences in</w:t>
      </w:r>
      <w:r w:rsidR="000A6ECE">
        <w:rPr>
          <w:szCs w:val="21"/>
        </w:rPr>
        <w:t xml:space="preserve"> continuous</w:t>
      </w:r>
      <w:r>
        <w:rPr>
          <w:szCs w:val="21"/>
        </w:rPr>
        <w:t xml:space="preserve"> measures</w:t>
      </w:r>
      <w:r w:rsidR="000A6ECE">
        <w:rPr>
          <w:szCs w:val="21"/>
        </w:rPr>
        <w:t xml:space="preserve"> such as</w:t>
      </w:r>
      <w:r>
        <w:rPr>
          <w:szCs w:val="21"/>
        </w:rPr>
        <w:t xml:space="preserve"> total driving time</w:t>
      </w:r>
      <w:r w:rsidR="000A6ECE">
        <w:rPr>
          <w:szCs w:val="21"/>
        </w:rPr>
        <w:t xml:space="preserve"> or average trip length</w:t>
      </w:r>
      <w:r>
        <w:rPr>
          <w:szCs w:val="21"/>
        </w:rPr>
        <w:t xml:space="preserve"> through the use of ANOVA.</w:t>
      </w:r>
      <w:r w:rsidR="00CF0F39">
        <w:rPr>
          <w:szCs w:val="21"/>
        </w:rPr>
        <w:t xml:space="preserve"> Again, statisticians will assess the need for statistical significance threshold adjustments based on the number of comparisons to be made.</w:t>
      </w:r>
      <w:r w:rsidR="00BE4BDE">
        <w:rPr>
          <w:szCs w:val="21"/>
        </w:rPr>
        <w:t xml:space="preserve"> </w:t>
      </w:r>
      <w:r w:rsidR="005F41B9">
        <w:rPr>
          <w:szCs w:val="21"/>
        </w:rPr>
        <w:t xml:space="preserve"> </w:t>
      </w:r>
      <w:r w:rsidR="00B800EF">
        <w:rPr>
          <w:szCs w:val="21"/>
        </w:rPr>
        <w:t xml:space="preserve"> </w:t>
      </w:r>
      <w:r w:rsidR="001074FF" w:rsidRPr="007F46AC">
        <w:rPr>
          <w:szCs w:val="21"/>
        </w:rPr>
        <w:t xml:space="preserve"> </w:t>
      </w:r>
    </w:p>
    <w:p w:rsidR="001074FF" w:rsidRPr="00805306" w:rsidRDefault="001074FF" w:rsidP="007F46AC"/>
    <w:p w:rsidR="001074FF" w:rsidRPr="00672019" w:rsidRDefault="001074FF" w:rsidP="00EB505C">
      <w:pPr>
        <w:pStyle w:val="Heading3"/>
      </w:pPr>
      <w:bookmarkStart w:id="4" w:name="_Toc125278832"/>
      <w:bookmarkStart w:id="5" w:name="_Toc125341755"/>
      <w:bookmarkStart w:id="6" w:name="_Toc125447313"/>
      <w:bookmarkStart w:id="7" w:name="_Toc126394140"/>
      <w:r w:rsidRPr="00672019">
        <w:t>B.1.</w:t>
      </w:r>
      <w:r w:rsidRPr="00672019">
        <w:tab/>
        <w:t>Describe the potential respondent universe and any sampling or other respondent selection to be used.</w:t>
      </w:r>
      <w:bookmarkEnd w:id="4"/>
      <w:bookmarkEnd w:id="5"/>
      <w:bookmarkEnd w:id="6"/>
      <w:bookmarkEnd w:id="7"/>
    </w:p>
    <w:p w:rsidR="00321592" w:rsidRDefault="001074FF" w:rsidP="009C7B49">
      <w:pPr>
        <w:pStyle w:val="BodyText"/>
        <w:spacing w:after="240"/>
        <w:rPr>
          <w:sz w:val="23"/>
          <w:szCs w:val="23"/>
        </w:rPr>
      </w:pPr>
      <w:r w:rsidRPr="005839DC">
        <w:rPr>
          <w:color w:val="4F81BD"/>
        </w:rPr>
        <w:tab/>
      </w:r>
      <w:r w:rsidRPr="008B6F14">
        <w:t xml:space="preserve">The potential respondent universe </w:t>
      </w:r>
      <w:r>
        <w:t xml:space="preserve">is </w:t>
      </w:r>
      <w:r w:rsidRPr="008B6F14">
        <w:t>comprise</w:t>
      </w:r>
      <w:r>
        <w:t>d of</w:t>
      </w:r>
      <w:r w:rsidRPr="008B6F14">
        <w:t xml:space="preserve"> all drivers</w:t>
      </w:r>
      <w:r>
        <w:t xml:space="preserve"> age 60 and older who reside in or near Raleigh/Durham/Chapel Hill/Burlington, NC, have access to a motor vehicle for which they are the primary driver</w:t>
      </w:r>
      <w:r w:rsidR="00962030">
        <w:t>,</w:t>
      </w:r>
      <w:r>
        <w:t xml:space="preserve"> and hold a valid driver’s license</w:t>
      </w:r>
      <w:r w:rsidR="008B3876">
        <w:t xml:space="preserve">. </w:t>
      </w:r>
      <w:r>
        <w:t>From this universe</w:t>
      </w:r>
      <w:r w:rsidR="0015333D">
        <w:t>, estimated based on 2010 Census data for Raleigh, Durham, Chapel Hill, and Burlington, NC</w:t>
      </w:r>
      <w:r>
        <w:t>, the new data collection (</w:t>
      </w:r>
      <w:r w:rsidR="00570CC1">
        <w:t xml:space="preserve">qualification </w:t>
      </w:r>
      <w:r>
        <w:t>interview) will qualify</w:t>
      </w:r>
      <w:r w:rsidR="00570CC1">
        <w:t xml:space="preserve"> a sample of</w:t>
      </w:r>
      <w:r>
        <w:t xml:space="preserve"> 60 </w:t>
      </w:r>
      <w:r w:rsidR="00570CC1">
        <w:t xml:space="preserve">volunteer </w:t>
      </w:r>
      <w:r>
        <w:t>drivers, 20 of whom are aged 60-69, 20 of whom are aged 70-79, and 20 of whom are age 80 or older</w:t>
      </w:r>
      <w:r w:rsidR="008B3876">
        <w:t xml:space="preserve">. </w:t>
      </w:r>
      <w:r>
        <w:rPr>
          <w:sz w:val="23"/>
          <w:szCs w:val="23"/>
        </w:rPr>
        <w:t xml:space="preserve"> </w:t>
      </w:r>
    </w:p>
    <w:p w:rsidR="00321592" w:rsidRPr="002C3800" w:rsidRDefault="00321592" w:rsidP="00321592">
      <w:pPr>
        <w:pStyle w:val="BodyText"/>
        <w:keepNext/>
        <w:numPr>
          <w:ilvl w:val="0"/>
          <w:numId w:val="18"/>
        </w:numPr>
        <w:rPr>
          <w:b/>
          <w:bCs/>
        </w:rPr>
      </w:pPr>
      <w:r w:rsidRPr="002C3800">
        <w:rPr>
          <w:b/>
          <w:bCs/>
        </w:rPr>
        <w:t>Potential Respondent Universe</w:t>
      </w:r>
    </w:p>
    <w:tbl>
      <w:tblPr>
        <w:tblW w:w="8028" w:type="dxa"/>
        <w:tblLayout w:type="fixed"/>
        <w:tblCellMar>
          <w:left w:w="0" w:type="dxa"/>
          <w:right w:w="0" w:type="dxa"/>
        </w:tblCellMar>
        <w:tblLook w:val="00A0" w:firstRow="1" w:lastRow="0" w:firstColumn="1" w:lastColumn="0" w:noHBand="0" w:noVBand="0"/>
      </w:tblPr>
      <w:tblGrid>
        <w:gridCol w:w="2538"/>
        <w:gridCol w:w="1260"/>
        <w:gridCol w:w="1350"/>
        <w:gridCol w:w="1710"/>
        <w:gridCol w:w="1170"/>
      </w:tblGrid>
      <w:tr w:rsidR="00321592" w:rsidTr="0074029A">
        <w:trPr>
          <w:trHeight w:val="548"/>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321592" w:rsidRDefault="00321592" w:rsidP="0074029A">
            <w:pPr>
              <w:spacing w:before="100" w:beforeAutospacing="1" w:after="100" w:afterAutospacing="1"/>
              <w:jc w:val="center"/>
            </w:pPr>
            <w:r>
              <w:t>Driver Age Group</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321592" w:rsidRDefault="00321592" w:rsidP="0074029A">
            <w:pPr>
              <w:spacing w:before="100" w:beforeAutospacing="1" w:after="100" w:afterAutospacing="1"/>
              <w:jc w:val="center"/>
            </w:pPr>
            <w:r>
              <w:t>Universe</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321592" w:rsidRDefault="00321592" w:rsidP="0074029A">
            <w:pPr>
              <w:spacing w:before="100" w:beforeAutospacing="1" w:after="100" w:afterAutospacing="1"/>
              <w:jc w:val="center"/>
            </w:pPr>
            <w:r>
              <w:t>Number Screened</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321592" w:rsidRDefault="00321592" w:rsidP="0074029A">
            <w:pPr>
              <w:spacing w:before="100" w:beforeAutospacing="1" w:after="100" w:afterAutospacing="1"/>
              <w:jc w:val="center"/>
            </w:pPr>
            <w:r>
              <w:t>Expected Selection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321592" w:rsidRDefault="00321592" w:rsidP="0074029A">
            <w:pPr>
              <w:spacing w:before="100" w:beforeAutospacing="1" w:after="100" w:afterAutospacing="1"/>
              <w:jc w:val="center"/>
            </w:pPr>
            <w:r>
              <w:t>Sample</w:t>
            </w:r>
          </w:p>
        </w:tc>
      </w:tr>
      <w:tr w:rsidR="00321592" w:rsidTr="0074029A">
        <w:trPr>
          <w:trHeight w:val="273"/>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21592" w:rsidRDefault="00321592" w:rsidP="0074029A">
            <w:pPr>
              <w:spacing w:before="100" w:beforeAutospacing="1" w:after="100" w:afterAutospacing="1"/>
              <w:jc w:val="center"/>
            </w:pPr>
            <w:r>
              <w:t>60-69</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rsidRPr="000D5FAA">
              <w:t>46</w:t>
            </w:r>
            <w:r>
              <w:t>,</w:t>
            </w:r>
            <w:r w:rsidRPr="000D5FAA">
              <w:t>128</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60</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33%</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20</w:t>
            </w:r>
          </w:p>
        </w:tc>
      </w:tr>
      <w:tr w:rsidR="00321592" w:rsidTr="0074029A">
        <w:trPr>
          <w:trHeight w:val="273"/>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21592" w:rsidRDefault="00321592" w:rsidP="0074029A">
            <w:pPr>
              <w:spacing w:before="100" w:beforeAutospacing="1" w:after="100" w:afterAutospacing="1"/>
              <w:jc w:val="center"/>
            </w:pPr>
            <w:r>
              <w:t>70-79</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rsidRPr="000D5FAA">
              <w:t>22</w:t>
            </w:r>
            <w:r>
              <w:t>,</w:t>
            </w:r>
            <w:r w:rsidRPr="000D5FAA">
              <w:t>769</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60</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33%</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20</w:t>
            </w:r>
          </w:p>
        </w:tc>
      </w:tr>
      <w:tr w:rsidR="00321592" w:rsidTr="0074029A">
        <w:trPr>
          <w:trHeight w:val="273"/>
        </w:trPr>
        <w:tc>
          <w:tcPr>
            <w:tcW w:w="25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21592" w:rsidRDefault="00321592" w:rsidP="0074029A">
            <w:pPr>
              <w:spacing w:before="100" w:beforeAutospacing="1" w:after="100" w:afterAutospacing="1"/>
              <w:jc w:val="center"/>
            </w:pPr>
            <w:r>
              <w:t>80 +</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rsidRPr="000D5FAA">
              <w:t>17</w:t>
            </w:r>
            <w:r>
              <w:t>,</w:t>
            </w:r>
            <w:r w:rsidRPr="000D5FAA">
              <w:t>414</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60</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33%</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1592" w:rsidRDefault="00321592" w:rsidP="0074029A">
            <w:pPr>
              <w:spacing w:before="100" w:beforeAutospacing="1" w:after="100" w:afterAutospacing="1"/>
              <w:jc w:val="center"/>
            </w:pPr>
            <w:r>
              <w:t>20</w:t>
            </w:r>
          </w:p>
        </w:tc>
      </w:tr>
    </w:tbl>
    <w:p w:rsidR="00321592" w:rsidRDefault="00321592" w:rsidP="009C7B49">
      <w:pPr>
        <w:pStyle w:val="BodyText"/>
        <w:spacing w:after="240"/>
        <w:rPr>
          <w:color w:val="4F81BD"/>
        </w:rPr>
      </w:pPr>
    </w:p>
    <w:p w:rsidR="009C7B49" w:rsidRDefault="00C44998" w:rsidP="009C7B49">
      <w:pPr>
        <w:rPr>
          <w:b/>
          <w:u w:val="single"/>
        </w:rPr>
      </w:pPr>
      <w:r w:rsidRPr="003C4CB4">
        <w:rPr>
          <w:b/>
          <w:u w:val="single"/>
        </w:rPr>
        <w:lastRenderedPageBreak/>
        <w:t>Power Analysis</w:t>
      </w:r>
    </w:p>
    <w:p w:rsidR="009C7B49" w:rsidRDefault="009C7B49" w:rsidP="00C44998">
      <w:pPr>
        <w:ind w:firstLine="720"/>
      </w:pPr>
    </w:p>
    <w:p w:rsidR="00C44998" w:rsidRPr="006A1AA0" w:rsidRDefault="00C44998" w:rsidP="00C44998">
      <w:pPr>
        <w:ind w:firstLine="720"/>
      </w:pPr>
      <w:r>
        <w:t xml:space="preserve">Researchers first reviewed prior research on older drivers to determine the magnitude of effect sizes found by somewhat similar studies that examined differences </w:t>
      </w:r>
      <w:r w:rsidRPr="007A5DFA">
        <w:t xml:space="preserve">by various driver age categories. </w:t>
      </w:r>
      <w:r w:rsidR="00E25830" w:rsidRPr="006A1AA0">
        <w:t>Prior research suggests medium to large effect sizes for measures such as visual acuity, contrast sensitivity, useful field of view, number of driving trips per week, and miles driven.</w:t>
      </w:r>
      <w:bookmarkStart w:id="8" w:name="_Ref441049095"/>
      <w:r w:rsidR="00E25830" w:rsidRPr="006A1AA0">
        <w:rPr>
          <w:rStyle w:val="FootnoteReference"/>
        </w:rPr>
        <w:footnoteReference w:id="1"/>
      </w:r>
      <w:bookmarkEnd w:id="8"/>
      <w:r w:rsidR="00E25830" w:rsidRPr="006A1AA0">
        <w:rPr>
          <w:rStyle w:val="FootnoteReference"/>
        </w:rPr>
        <w:t>,</w:t>
      </w:r>
      <w:r w:rsidR="00E25830" w:rsidRPr="006A1AA0">
        <w:rPr>
          <w:rStyle w:val="FootnoteReference"/>
        </w:rPr>
        <w:footnoteReference w:id="2"/>
      </w:r>
      <w:r w:rsidR="00E25830" w:rsidRPr="006A1AA0">
        <w:t xml:space="preserve">  The outcome variables of most interest are those related to actual on-road driving</w:t>
      </w:r>
      <w:r w:rsidR="003D35D9">
        <w:t>,</w:t>
      </w:r>
      <w:r w:rsidR="00E25830" w:rsidRPr="006A1AA0">
        <w:t xml:space="preserve"> and the differences appear to be quite large based on driver age cohort. For example, based on Nationwide Personal Transportation Survey (NPTS) data reported in Rosenbloom </w:t>
      </w:r>
      <w:r w:rsidR="00E25830" w:rsidRPr="006A1AA0">
        <w:fldChar w:fldCharType="begin"/>
      </w:r>
      <w:r w:rsidR="00E25830" w:rsidRPr="006A1AA0">
        <w:instrText xml:space="preserve"> ADDIN ZOTERO_ITEM CSL_CITATION {"citationID":"5pO6yOY1","properties":{"formattedCitation":"(Rosenbloom, 2004)","plainCitation":"(Rosenbloom, 2004)"},"citationItems":[{"id":1075,"uris":["http://zotero.org/users/2562011/items/RH39J84B"],"uri":["http://zotero.org/users/2562011/items/RH39J84B"],"itemData":{"id":1075,"type":"paper-conference","title":"Mobility of the Elderly: Good News and Bad News","publisher":"Transportation Research Board","page":"p. 3-21","archive_location":"00974940","event":"Transportation Research Board Conference Proceedings","abstract":"This paper has seven sections that accomplish the following purposes:  (1) Evaluate older people's population trends and analyze the demographic differences; (2) Identify basic travel patterns and trends among the elderly, including the dramatic increase in automobility and travel over the last 10 years; (3) Consider differences in the travel patterns of those with and without a driver's license; (4) Focus on women's travel and the still growing gender disparities as people age; (5) Evaluate differences in travel patterns by race and ethnicity (differences not generally explained by income or residential location); (6) Summarize the \"bad news\"; and (7) Outline positive steps to ensure that the good news about aging outweighs the bad.  In conclusion, it is stated that, to meet the needs of older people, a comprehensive strategy will need to be developed--one that encompasses all the substantive issues and links all the policy arenas that affect the travel patterns of older people.  Such a strategy will include:  effective driver evaluation and retraining programs, better-designed cars and improved signage and information systems on roads and highways, user-friendly public transport networks, choice of transportation alternatives, well-designed land use and housing choices, cost-effective delivery of private and public services, and coordinated delivery of human and social services.","URL":"http://onlinepubs.trb.org/onlinepubs/conf/reports/cp_27.pdf","ISBN":"0-309-07745-1","author":[{"family":"Rosenbloom","given":"S"}],"issued":{"date-parts":[["2004"]]}}}],"schema":"https://github.com/citation-style-language/schema/raw/master/csl-citation.json"} </w:instrText>
      </w:r>
      <w:r w:rsidR="00E25830" w:rsidRPr="006A1AA0">
        <w:fldChar w:fldCharType="separate"/>
      </w:r>
      <w:r w:rsidR="00E25830" w:rsidRPr="006A1AA0">
        <w:t>(2004)</w:t>
      </w:r>
      <w:r w:rsidR="00E25830" w:rsidRPr="006A1AA0">
        <w:fldChar w:fldCharType="end"/>
      </w:r>
      <w:r w:rsidR="00E25830" w:rsidRPr="006A1AA0">
        <w:t>, licensed older drivers aged 65-69 averaged 4.3 trips per day (129 trips per 30-day month) and drivers aged 85+ averaged 2.3 trips per day (69 trips per 30-day month) (</w:t>
      </w:r>
      <w:r w:rsidR="003D35D9">
        <w:t>Table 2</w:t>
      </w:r>
      <w:r w:rsidR="00E25830" w:rsidRPr="006A1AA0">
        <w:t>). This suggests the 65-69 year olds are taking about 87% more trips on average than the 85+ year old drivers.</w:t>
      </w:r>
    </w:p>
    <w:p w:rsidR="00C44998" w:rsidRPr="006A1AA0" w:rsidRDefault="00C44998" w:rsidP="00C44998">
      <w:pPr>
        <w:ind w:firstLine="720"/>
      </w:pPr>
    </w:p>
    <w:p w:rsidR="00E25830" w:rsidRPr="006A1AA0" w:rsidRDefault="00E25830" w:rsidP="00E25830">
      <w:pPr>
        <w:pStyle w:val="Table"/>
        <w:numPr>
          <w:ilvl w:val="0"/>
          <w:numId w:val="18"/>
        </w:numPr>
      </w:pPr>
      <w:bookmarkStart w:id="9" w:name="_Ref441501827"/>
      <w:r w:rsidRPr="006A1AA0">
        <w:t>Trips per day for licensed drivers</w:t>
      </w:r>
      <w:bookmarkEnd w:id="9"/>
      <w:r w:rsidRPr="006A1AA0">
        <w:t xml:space="preserve"> </w:t>
      </w:r>
    </w:p>
    <w:tbl>
      <w:tblPr>
        <w:tblW w:w="0" w:type="auto"/>
        <w:jc w:val="center"/>
        <w:tblLayout w:type="fixed"/>
        <w:tblCellMar>
          <w:left w:w="0" w:type="dxa"/>
          <w:right w:w="0" w:type="dxa"/>
        </w:tblCellMar>
        <w:tblLook w:val="01E0" w:firstRow="1" w:lastRow="1" w:firstColumn="1" w:lastColumn="1" w:noHBand="0" w:noVBand="0"/>
      </w:tblPr>
      <w:tblGrid>
        <w:gridCol w:w="1599"/>
        <w:gridCol w:w="2022"/>
      </w:tblGrid>
      <w:tr w:rsidR="00E25830" w:rsidRPr="006A1AA0" w:rsidTr="00BD54E9">
        <w:trPr>
          <w:trHeight w:hRule="exact" w:val="574"/>
          <w:jc w:val="center"/>
        </w:trPr>
        <w:tc>
          <w:tcPr>
            <w:tcW w:w="1599" w:type="dxa"/>
            <w:tcBorders>
              <w:top w:val="single" w:sz="4" w:space="0" w:color="292425"/>
              <w:left w:val="nil"/>
              <w:bottom w:val="single" w:sz="4" w:space="0" w:color="292425"/>
              <w:right w:val="nil"/>
            </w:tcBorders>
            <w:vAlign w:val="bottom"/>
          </w:tcPr>
          <w:p w:rsidR="00E25830" w:rsidRPr="006A1AA0" w:rsidRDefault="00E25830" w:rsidP="00BD54E9">
            <w:pPr>
              <w:pStyle w:val="TableParagraph"/>
              <w:spacing w:before="59" w:line="272" w:lineRule="auto"/>
              <w:ind w:left="55" w:right="373"/>
              <w:jc w:val="center"/>
              <w:rPr>
                <w:rFonts w:ascii="Times New Roman" w:eastAsia="Cambria" w:hAnsi="Times New Roman" w:cs="Times New Roman"/>
              </w:rPr>
            </w:pPr>
            <w:r w:rsidRPr="006A1AA0">
              <w:rPr>
                <w:rFonts w:ascii="Times New Roman" w:hAnsi="Times New Roman" w:cs="Times New Roman"/>
                <w:spacing w:val="-2"/>
                <w:w w:val="110"/>
              </w:rPr>
              <w:t>Age</w:t>
            </w:r>
            <w:r w:rsidRPr="006A1AA0">
              <w:rPr>
                <w:rFonts w:ascii="Times New Roman" w:hAnsi="Times New Roman" w:cs="Times New Roman"/>
                <w:spacing w:val="19"/>
                <w:w w:val="106"/>
              </w:rPr>
              <w:t xml:space="preserve"> </w:t>
            </w:r>
            <w:r w:rsidRPr="006A1AA0">
              <w:rPr>
                <w:rFonts w:ascii="Times New Roman" w:hAnsi="Times New Roman" w:cs="Times New Roman"/>
                <w:w w:val="105"/>
              </w:rPr>
              <w:t>Cohort</w:t>
            </w:r>
          </w:p>
        </w:tc>
        <w:tc>
          <w:tcPr>
            <w:tcW w:w="2022" w:type="dxa"/>
            <w:tcBorders>
              <w:top w:val="single" w:sz="4" w:space="0" w:color="292425"/>
              <w:left w:val="nil"/>
              <w:bottom w:val="single" w:sz="4" w:space="0" w:color="292425"/>
              <w:right w:val="nil"/>
            </w:tcBorders>
            <w:vAlign w:val="bottom"/>
          </w:tcPr>
          <w:p w:rsidR="00E25830" w:rsidRPr="006A1AA0" w:rsidRDefault="00E25830" w:rsidP="00BD54E9">
            <w:pPr>
              <w:pStyle w:val="TableParagraph"/>
              <w:spacing w:before="59" w:line="272" w:lineRule="auto"/>
              <w:ind w:left="375" w:right="295" w:firstLine="24"/>
              <w:jc w:val="center"/>
              <w:rPr>
                <w:rFonts w:ascii="Times New Roman" w:eastAsia="Cambria" w:hAnsi="Times New Roman" w:cs="Times New Roman"/>
              </w:rPr>
            </w:pPr>
            <w:r w:rsidRPr="006A1AA0">
              <w:rPr>
                <w:rFonts w:ascii="Times New Roman" w:hAnsi="Times New Roman" w:cs="Times New Roman"/>
                <w:spacing w:val="-2"/>
                <w:w w:val="105"/>
              </w:rPr>
              <w:t>Trips Per Day</w:t>
            </w:r>
          </w:p>
        </w:tc>
      </w:tr>
      <w:tr w:rsidR="00E25830" w:rsidRPr="006A1AA0" w:rsidTr="00BD54E9">
        <w:trPr>
          <w:trHeight w:hRule="exact" w:val="302"/>
          <w:jc w:val="center"/>
        </w:trPr>
        <w:tc>
          <w:tcPr>
            <w:tcW w:w="1599" w:type="dxa"/>
            <w:tcBorders>
              <w:top w:val="single" w:sz="4" w:space="0" w:color="292425"/>
              <w:left w:val="nil"/>
              <w:bottom w:val="nil"/>
              <w:right w:val="nil"/>
            </w:tcBorders>
          </w:tcPr>
          <w:p w:rsidR="00E25830" w:rsidRPr="006A1AA0" w:rsidRDefault="00E25830" w:rsidP="00BD54E9">
            <w:pPr>
              <w:pStyle w:val="TableParagraph"/>
              <w:spacing w:before="59"/>
              <w:ind w:left="55"/>
              <w:rPr>
                <w:rFonts w:ascii="Times New Roman" w:eastAsia="Cambria" w:hAnsi="Times New Roman" w:cs="Times New Roman"/>
              </w:rPr>
            </w:pPr>
            <w:r w:rsidRPr="006A1AA0">
              <w:rPr>
                <w:rFonts w:ascii="Times New Roman" w:eastAsia="Cambria" w:hAnsi="Times New Roman" w:cs="Times New Roman"/>
              </w:rPr>
              <w:t>65–69</w:t>
            </w:r>
          </w:p>
        </w:tc>
        <w:tc>
          <w:tcPr>
            <w:tcW w:w="2022" w:type="dxa"/>
            <w:tcBorders>
              <w:top w:val="single" w:sz="4" w:space="0" w:color="292425"/>
              <w:left w:val="nil"/>
              <w:bottom w:val="nil"/>
              <w:right w:val="nil"/>
            </w:tcBorders>
          </w:tcPr>
          <w:p w:rsidR="00E25830" w:rsidRPr="006A1AA0" w:rsidRDefault="00E25830" w:rsidP="00BD54E9">
            <w:pPr>
              <w:pStyle w:val="TableParagraph"/>
              <w:spacing w:before="59"/>
              <w:ind w:left="584"/>
              <w:rPr>
                <w:rFonts w:ascii="Times New Roman" w:eastAsia="Cambria" w:hAnsi="Times New Roman" w:cs="Times New Roman"/>
              </w:rPr>
            </w:pPr>
            <w:r w:rsidRPr="006A1AA0">
              <w:rPr>
                <w:rFonts w:ascii="Times New Roman" w:hAnsi="Times New Roman" w:cs="Times New Roman"/>
                <w:w w:val="105"/>
              </w:rPr>
              <w:t>4.3</w:t>
            </w:r>
          </w:p>
        </w:tc>
      </w:tr>
      <w:tr w:rsidR="00E25830" w:rsidRPr="006A1AA0" w:rsidTr="00BD54E9">
        <w:trPr>
          <w:trHeight w:hRule="exact" w:val="451"/>
          <w:jc w:val="center"/>
        </w:trPr>
        <w:tc>
          <w:tcPr>
            <w:tcW w:w="1599" w:type="dxa"/>
            <w:tcBorders>
              <w:top w:val="nil"/>
              <w:left w:val="nil"/>
              <w:bottom w:val="nil"/>
              <w:right w:val="nil"/>
            </w:tcBorders>
          </w:tcPr>
          <w:p w:rsidR="00E25830" w:rsidRPr="006A1AA0" w:rsidRDefault="00E25830" w:rsidP="00BD54E9">
            <w:pPr>
              <w:pStyle w:val="TableParagraph"/>
              <w:spacing w:before="4"/>
              <w:ind w:left="55"/>
              <w:rPr>
                <w:rFonts w:ascii="Times New Roman" w:eastAsia="Cambria" w:hAnsi="Times New Roman" w:cs="Times New Roman"/>
              </w:rPr>
            </w:pPr>
            <w:r w:rsidRPr="006A1AA0">
              <w:rPr>
                <w:rFonts w:ascii="Times New Roman" w:eastAsia="Cambria" w:hAnsi="Times New Roman" w:cs="Times New Roman"/>
              </w:rPr>
              <w:t>70–74</w:t>
            </w:r>
          </w:p>
          <w:p w:rsidR="00E25830" w:rsidRPr="006A1AA0" w:rsidRDefault="00E25830" w:rsidP="00BD54E9">
            <w:pPr>
              <w:pStyle w:val="TableParagraph"/>
              <w:spacing w:before="29" w:line="196" w:lineRule="exact"/>
              <w:ind w:left="55"/>
              <w:rPr>
                <w:rFonts w:ascii="Times New Roman" w:eastAsia="Cambria" w:hAnsi="Times New Roman" w:cs="Times New Roman"/>
              </w:rPr>
            </w:pPr>
            <w:r w:rsidRPr="006A1AA0">
              <w:rPr>
                <w:rFonts w:ascii="Times New Roman" w:eastAsia="Cambria" w:hAnsi="Times New Roman" w:cs="Times New Roman"/>
              </w:rPr>
              <w:t>75–79</w:t>
            </w:r>
          </w:p>
        </w:tc>
        <w:tc>
          <w:tcPr>
            <w:tcW w:w="2022" w:type="dxa"/>
            <w:tcBorders>
              <w:top w:val="nil"/>
              <w:left w:val="nil"/>
              <w:bottom w:val="nil"/>
              <w:right w:val="nil"/>
            </w:tcBorders>
          </w:tcPr>
          <w:p w:rsidR="00E25830" w:rsidRPr="006A1AA0" w:rsidRDefault="00E25830" w:rsidP="00BD54E9">
            <w:pPr>
              <w:pStyle w:val="TableParagraph"/>
              <w:spacing w:before="4"/>
              <w:ind w:left="584"/>
              <w:rPr>
                <w:rFonts w:ascii="Times New Roman" w:eastAsia="Cambria" w:hAnsi="Times New Roman" w:cs="Times New Roman"/>
              </w:rPr>
            </w:pPr>
            <w:r w:rsidRPr="006A1AA0">
              <w:rPr>
                <w:rFonts w:ascii="Times New Roman" w:hAnsi="Times New Roman" w:cs="Times New Roman"/>
                <w:w w:val="105"/>
              </w:rPr>
              <w:t>4.1</w:t>
            </w:r>
          </w:p>
          <w:p w:rsidR="00E25830" w:rsidRPr="006A1AA0" w:rsidRDefault="00E25830" w:rsidP="00BD54E9">
            <w:pPr>
              <w:pStyle w:val="TableParagraph"/>
              <w:spacing w:before="29" w:line="196" w:lineRule="exact"/>
              <w:ind w:left="584"/>
              <w:rPr>
                <w:rFonts w:ascii="Times New Roman" w:eastAsia="Cambria" w:hAnsi="Times New Roman" w:cs="Times New Roman"/>
              </w:rPr>
            </w:pPr>
            <w:r w:rsidRPr="006A1AA0">
              <w:rPr>
                <w:rFonts w:ascii="Times New Roman" w:hAnsi="Times New Roman" w:cs="Times New Roman"/>
                <w:w w:val="105"/>
              </w:rPr>
              <w:t>3.5</w:t>
            </w:r>
          </w:p>
        </w:tc>
      </w:tr>
      <w:tr w:rsidR="00E25830" w:rsidRPr="006A1AA0" w:rsidTr="00BD54E9">
        <w:trPr>
          <w:trHeight w:hRule="exact" w:val="287"/>
          <w:jc w:val="center"/>
        </w:trPr>
        <w:tc>
          <w:tcPr>
            <w:tcW w:w="1599" w:type="dxa"/>
            <w:tcBorders>
              <w:top w:val="nil"/>
              <w:left w:val="nil"/>
              <w:bottom w:val="nil"/>
              <w:right w:val="nil"/>
            </w:tcBorders>
          </w:tcPr>
          <w:p w:rsidR="00E25830" w:rsidRPr="006A1AA0" w:rsidRDefault="00E25830" w:rsidP="00BD54E9">
            <w:pPr>
              <w:pStyle w:val="TableParagraph"/>
              <w:spacing w:before="43"/>
              <w:ind w:left="55"/>
              <w:rPr>
                <w:rFonts w:ascii="Times New Roman" w:eastAsia="Cambria" w:hAnsi="Times New Roman" w:cs="Times New Roman"/>
              </w:rPr>
            </w:pPr>
            <w:r w:rsidRPr="006A1AA0">
              <w:rPr>
                <w:rFonts w:ascii="Times New Roman" w:eastAsia="Cambria" w:hAnsi="Times New Roman" w:cs="Times New Roman"/>
              </w:rPr>
              <w:t>80–84</w:t>
            </w:r>
          </w:p>
        </w:tc>
        <w:tc>
          <w:tcPr>
            <w:tcW w:w="2022" w:type="dxa"/>
            <w:tcBorders>
              <w:top w:val="nil"/>
              <w:left w:val="nil"/>
              <w:bottom w:val="nil"/>
              <w:right w:val="nil"/>
            </w:tcBorders>
          </w:tcPr>
          <w:p w:rsidR="00E25830" w:rsidRPr="006A1AA0" w:rsidRDefault="00E25830" w:rsidP="00BD54E9">
            <w:pPr>
              <w:pStyle w:val="TableParagraph"/>
              <w:spacing w:before="43"/>
              <w:ind w:left="584"/>
              <w:rPr>
                <w:rFonts w:ascii="Times New Roman" w:eastAsia="Cambria" w:hAnsi="Times New Roman" w:cs="Times New Roman"/>
              </w:rPr>
            </w:pPr>
            <w:r w:rsidRPr="006A1AA0">
              <w:rPr>
                <w:rFonts w:ascii="Times New Roman" w:hAnsi="Times New Roman" w:cs="Times New Roman"/>
                <w:w w:val="105"/>
              </w:rPr>
              <w:t>3.5</w:t>
            </w:r>
          </w:p>
        </w:tc>
      </w:tr>
      <w:tr w:rsidR="00E25830" w:rsidRPr="006A1AA0" w:rsidTr="00BD54E9">
        <w:trPr>
          <w:trHeight w:hRule="exact" w:val="271"/>
          <w:jc w:val="center"/>
        </w:trPr>
        <w:tc>
          <w:tcPr>
            <w:tcW w:w="1599" w:type="dxa"/>
            <w:tcBorders>
              <w:top w:val="nil"/>
              <w:left w:val="nil"/>
              <w:bottom w:val="single" w:sz="4" w:space="0" w:color="292425"/>
              <w:right w:val="nil"/>
            </w:tcBorders>
          </w:tcPr>
          <w:p w:rsidR="00E25830" w:rsidRPr="006A1AA0" w:rsidRDefault="00E25830" w:rsidP="00BD54E9">
            <w:pPr>
              <w:pStyle w:val="TableParagraph"/>
              <w:spacing w:before="4"/>
              <w:ind w:left="55"/>
              <w:rPr>
                <w:rFonts w:ascii="Times New Roman" w:eastAsia="Cambria" w:hAnsi="Times New Roman" w:cs="Times New Roman"/>
              </w:rPr>
            </w:pPr>
            <w:r w:rsidRPr="006A1AA0">
              <w:rPr>
                <w:rFonts w:ascii="Times New Roman" w:hAnsi="Times New Roman" w:cs="Times New Roman"/>
              </w:rPr>
              <w:t>85+</w:t>
            </w:r>
          </w:p>
        </w:tc>
        <w:tc>
          <w:tcPr>
            <w:tcW w:w="2022" w:type="dxa"/>
            <w:tcBorders>
              <w:top w:val="nil"/>
              <w:left w:val="nil"/>
              <w:bottom w:val="single" w:sz="4" w:space="0" w:color="292425"/>
              <w:right w:val="nil"/>
            </w:tcBorders>
          </w:tcPr>
          <w:p w:rsidR="00E25830" w:rsidRPr="006A1AA0" w:rsidRDefault="00E25830" w:rsidP="00BD54E9">
            <w:pPr>
              <w:pStyle w:val="TableParagraph"/>
              <w:spacing w:before="4"/>
              <w:ind w:left="584"/>
              <w:rPr>
                <w:rFonts w:ascii="Times New Roman" w:eastAsia="Cambria" w:hAnsi="Times New Roman" w:cs="Times New Roman"/>
              </w:rPr>
            </w:pPr>
            <w:r w:rsidRPr="006A1AA0">
              <w:rPr>
                <w:rFonts w:ascii="Times New Roman" w:hAnsi="Times New Roman" w:cs="Times New Roman"/>
                <w:w w:val="105"/>
              </w:rPr>
              <w:t>2.3</w:t>
            </w:r>
          </w:p>
        </w:tc>
      </w:tr>
    </w:tbl>
    <w:p w:rsidR="00E25830" w:rsidRPr="006A1AA0" w:rsidRDefault="00E25830" w:rsidP="00E25830">
      <w:pPr>
        <w:jc w:val="center"/>
        <w:rPr>
          <w:sz w:val="20"/>
          <w:szCs w:val="20"/>
        </w:rPr>
      </w:pPr>
      <w:proofErr w:type="gramStart"/>
      <w:r w:rsidRPr="006A1AA0">
        <w:rPr>
          <w:sz w:val="20"/>
          <w:szCs w:val="20"/>
        </w:rPr>
        <w:t>Adapted from Rosenbloom (2004).</w:t>
      </w:r>
      <w:proofErr w:type="gramEnd"/>
      <w:r w:rsidRPr="006A1AA0">
        <w:rPr>
          <w:sz w:val="20"/>
          <w:szCs w:val="20"/>
        </w:rPr>
        <w:t xml:space="preserve"> </w:t>
      </w:r>
      <w:proofErr w:type="gramStart"/>
      <w:r w:rsidRPr="006A1AA0">
        <w:rPr>
          <w:sz w:val="20"/>
          <w:szCs w:val="20"/>
        </w:rPr>
        <w:t>Unpublished</w:t>
      </w:r>
      <w:r w:rsidRPr="006A1AA0">
        <w:rPr>
          <w:spacing w:val="31"/>
          <w:sz w:val="20"/>
          <w:szCs w:val="20"/>
        </w:rPr>
        <w:t xml:space="preserve"> </w:t>
      </w:r>
      <w:r w:rsidRPr="006A1AA0">
        <w:rPr>
          <w:sz w:val="20"/>
          <w:szCs w:val="20"/>
        </w:rPr>
        <w:t>data</w:t>
      </w:r>
      <w:r w:rsidRPr="006A1AA0">
        <w:rPr>
          <w:spacing w:val="31"/>
          <w:sz w:val="20"/>
          <w:szCs w:val="20"/>
        </w:rPr>
        <w:t xml:space="preserve"> </w:t>
      </w:r>
      <w:r w:rsidRPr="006A1AA0">
        <w:rPr>
          <w:sz w:val="20"/>
          <w:szCs w:val="20"/>
        </w:rPr>
        <w:t>from</w:t>
      </w:r>
      <w:r w:rsidRPr="006A1AA0">
        <w:rPr>
          <w:spacing w:val="31"/>
          <w:sz w:val="20"/>
          <w:szCs w:val="20"/>
        </w:rPr>
        <w:t xml:space="preserve"> </w:t>
      </w:r>
      <w:r w:rsidRPr="006A1AA0">
        <w:rPr>
          <w:sz w:val="20"/>
          <w:szCs w:val="20"/>
        </w:rPr>
        <w:t>the</w:t>
      </w:r>
      <w:r w:rsidRPr="006A1AA0">
        <w:rPr>
          <w:spacing w:val="31"/>
          <w:sz w:val="20"/>
          <w:szCs w:val="20"/>
        </w:rPr>
        <w:t xml:space="preserve"> </w:t>
      </w:r>
      <w:r w:rsidRPr="006A1AA0">
        <w:rPr>
          <w:sz w:val="20"/>
          <w:szCs w:val="20"/>
        </w:rPr>
        <w:t>1995</w:t>
      </w:r>
      <w:r w:rsidRPr="006A1AA0">
        <w:rPr>
          <w:spacing w:val="30"/>
          <w:sz w:val="20"/>
          <w:szCs w:val="20"/>
        </w:rPr>
        <w:t xml:space="preserve"> </w:t>
      </w:r>
      <w:r w:rsidRPr="006A1AA0">
        <w:rPr>
          <w:sz w:val="20"/>
          <w:szCs w:val="20"/>
        </w:rPr>
        <w:t>NPTS.</w:t>
      </w:r>
      <w:proofErr w:type="gramEnd"/>
    </w:p>
    <w:p w:rsidR="00E25830" w:rsidRPr="006A1AA0" w:rsidRDefault="00E25830" w:rsidP="00E25830">
      <w:pPr>
        <w:ind w:firstLine="720"/>
      </w:pPr>
    </w:p>
    <w:p w:rsidR="00E25830" w:rsidRPr="006A1AA0" w:rsidRDefault="00E25830" w:rsidP="00E25830">
      <w:pPr>
        <w:ind w:firstLine="720"/>
      </w:pPr>
      <w:r w:rsidRPr="006A1AA0">
        <w:t>Similarly, Rosenbloom (2004) reported that 65-69 year old drivers drove more miles per day than other older driver age cohorts and males tended to report driving more miles than females in the same age cohort (</w:t>
      </w:r>
      <w:r w:rsidR="003D35D9">
        <w:t>Table 3</w:t>
      </w:r>
      <w:r w:rsidRPr="006A1AA0">
        <w:t xml:space="preserve">). For example, 65-69 year old males drove approximately 185% more miles than did 85+ year old males. The differences are even greater for females with 65-69 year old women driving approximately 241% more miles than 85+ year old women. Taken together, these self-reports of trips per day and miles driven per day suggest substantial differences in driving exposure that should be detectable in the current study that aims to measure actual exposure rather than self-reported exposure. </w:t>
      </w:r>
    </w:p>
    <w:p w:rsidR="00E25830" w:rsidRPr="006A3EA9" w:rsidRDefault="00E25830" w:rsidP="00E25830">
      <w:pPr>
        <w:ind w:firstLine="720"/>
        <w:rPr>
          <w:color w:val="FF0000"/>
        </w:rPr>
      </w:pPr>
    </w:p>
    <w:p w:rsidR="00E25830" w:rsidRPr="006A3EA9" w:rsidRDefault="00E25830" w:rsidP="00E25830">
      <w:pPr>
        <w:rPr>
          <w:b/>
          <w:color w:val="FF0000"/>
          <w:szCs w:val="20"/>
        </w:rPr>
      </w:pPr>
      <w:bookmarkStart w:id="10" w:name="_Ref441501846"/>
      <w:r w:rsidRPr="006A3EA9">
        <w:rPr>
          <w:color w:val="FF0000"/>
        </w:rPr>
        <w:br w:type="page"/>
      </w:r>
    </w:p>
    <w:p w:rsidR="00E25830" w:rsidRPr="006A1AA0" w:rsidRDefault="00E25830" w:rsidP="00E25830">
      <w:pPr>
        <w:pStyle w:val="Table"/>
        <w:numPr>
          <w:ilvl w:val="0"/>
          <w:numId w:val="18"/>
        </w:numPr>
        <w:ind w:left="900" w:hanging="900"/>
      </w:pPr>
      <w:bookmarkStart w:id="11" w:name="_Ref441503622"/>
      <w:r w:rsidRPr="006A1AA0">
        <w:lastRenderedPageBreak/>
        <w:t>Miles driven per day</w:t>
      </w:r>
      <w:bookmarkEnd w:id="10"/>
      <w:bookmarkEnd w:id="11"/>
    </w:p>
    <w:tbl>
      <w:tblPr>
        <w:tblW w:w="4020" w:type="dxa"/>
        <w:jc w:val="center"/>
        <w:tblLook w:val="04A0" w:firstRow="1" w:lastRow="0" w:firstColumn="1" w:lastColumn="0" w:noHBand="0" w:noVBand="1"/>
      </w:tblPr>
      <w:tblGrid>
        <w:gridCol w:w="960"/>
        <w:gridCol w:w="1640"/>
        <w:gridCol w:w="1420"/>
      </w:tblGrid>
      <w:tr w:rsidR="00E25830" w:rsidRPr="006A1AA0" w:rsidTr="00BD54E9">
        <w:trPr>
          <w:trHeight w:val="300"/>
          <w:jc w:val="center"/>
        </w:trPr>
        <w:tc>
          <w:tcPr>
            <w:tcW w:w="960" w:type="dxa"/>
            <w:tcBorders>
              <w:top w:val="single" w:sz="4" w:space="0" w:color="auto"/>
              <w:left w:val="nil"/>
              <w:bottom w:val="nil"/>
              <w:right w:val="nil"/>
            </w:tcBorders>
            <w:shd w:val="clear" w:color="auto" w:fill="auto"/>
            <w:noWrap/>
            <w:vAlign w:val="center"/>
          </w:tcPr>
          <w:p w:rsidR="00E25830" w:rsidRPr="006A1AA0" w:rsidRDefault="00E25830" w:rsidP="00BD54E9">
            <w:pPr>
              <w:rPr>
                <w:sz w:val="22"/>
                <w:szCs w:val="22"/>
              </w:rPr>
            </w:pPr>
            <w:r w:rsidRPr="006A1AA0">
              <w:rPr>
                <w:sz w:val="22"/>
                <w:szCs w:val="22"/>
              </w:rPr>
              <w:t>Age Cohort</w:t>
            </w:r>
          </w:p>
        </w:tc>
        <w:tc>
          <w:tcPr>
            <w:tcW w:w="1640" w:type="dxa"/>
            <w:tcBorders>
              <w:top w:val="single" w:sz="4" w:space="0" w:color="auto"/>
              <w:left w:val="nil"/>
              <w:bottom w:val="nil"/>
              <w:right w:val="nil"/>
            </w:tcBorders>
            <w:shd w:val="clear" w:color="auto" w:fill="auto"/>
            <w:noWrap/>
            <w:vAlign w:val="center"/>
          </w:tcPr>
          <w:p w:rsidR="00E25830" w:rsidRPr="006A1AA0" w:rsidRDefault="00E25830" w:rsidP="00BD54E9">
            <w:pPr>
              <w:rPr>
                <w:w w:val="105"/>
                <w:sz w:val="22"/>
                <w:szCs w:val="22"/>
              </w:rPr>
            </w:pPr>
            <w:r w:rsidRPr="006A1AA0">
              <w:rPr>
                <w:w w:val="105"/>
                <w:sz w:val="22"/>
                <w:szCs w:val="22"/>
              </w:rPr>
              <w:t>Sex</w:t>
            </w:r>
          </w:p>
        </w:tc>
        <w:tc>
          <w:tcPr>
            <w:tcW w:w="1420" w:type="dxa"/>
            <w:tcBorders>
              <w:top w:val="single" w:sz="4" w:space="0" w:color="auto"/>
              <w:left w:val="nil"/>
              <w:bottom w:val="nil"/>
              <w:right w:val="nil"/>
            </w:tcBorders>
            <w:shd w:val="clear" w:color="auto" w:fill="auto"/>
            <w:noWrap/>
            <w:vAlign w:val="center"/>
          </w:tcPr>
          <w:p w:rsidR="00E25830" w:rsidRPr="006A1AA0" w:rsidRDefault="00E25830" w:rsidP="00BD54E9">
            <w:pPr>
              <w:rPr>
                <w:sz w:val="22"/>
                <w:szCs w:val="22"/>
              </w:rPr>
            </w:pPr>
            <w:r w:rsidRPr="006A1AA0">
              <w:rPr>
                <w:sz w:val="22"/>
                <w:szCs w:val="22"/>
              </w:rPr>
              <w:t>Miles Per Day</w:t>
            </w:r>
          </w:p>
        </w:tc>
      </w:tr>
      <w:tr w:rsidR="00E25830" w:rsidRPr="006A1AA0" w:rsidTr="00BD54E9">
        <w:trPr>
          <w:trHeight w:val="300"/>
          <w:jc w:val="center"/>
        </w:trPr>
        <w:tc>
          <w:tcPr>
            <w:tcW w:w="960" w:type="dxa"/>
            <w:tcBorders>
              <w:top w:val="single" w:sz="4" w:space="0" w:color="auto"/>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65–69</w:t>
            </w:r>
          </w:p>
        </w:tc>
        <w:tc>
          <w:tcPr>
            <w:tcW w:w="1640" w:type="dxa"/>
            <w:tcBorders>
              <w:top w:val="single" w:sz="4" w:space="0" w:color="auto"/>
              <w:left w:val="nil"/>
              <w:bottom w:val="nil"/>
              <w:right w:val="nil"/>
            </w:tcBorders>
            <w:shd w:val="clear" w:color="auto" w:fill="auto"/>
            <w:noWrap/>
            <w:vAlign w:val="center"/>
            <w:hideMark/>
          </w:tcPr>
          <w:p w:rsidR="00E25830" w:rsidRPr="006A1AA0" w:rsidRDefault="00E25830" w:rsidP="00BD54E9">
            <w:pPr>
              <w:rPr>
                <w:sz w:val="22"/>
                <w:szCs w:val="22"/>
              </w:rPr>
            </w:pPr>
            <w:r w:rsidRPr="006A1AA0">
              <w:rPr>
                <w:w w:val="105"/>
                <w:sz w:val="22"/>
                <w:szCs w:val="22"/>
              </w:rPr>
              <w:t>Male</w:t>
            </w:r>
          </w:p>
        </w:tc>
        <w:tc>
          <w:tcPr>
            <w:tcW w:w="1420" w:type="dxa"/>
            <w:tcBorders>
              <w:top w:val="single" w:sz="4" w:space="0" w:color="auto"/>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37.4</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Female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24.9</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70–74</w:t>
            </w: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w w:val="105"/>
                <w:sz w:val="22"/>
                <w:szCs w:val="22"/>
              </w:rPr>
              <w:t>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34.5</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Female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20.6</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75–79</w:t>
            </w: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w w:val="105"/>
                <w:sz w:val="22"/>
                <w:szCs w:val="22"/>
              </w:rPr>
              <w:t>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23.8</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Female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16.4</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80–84</w:t>
            </w: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w w:val="105"/>
                <w:sz w:val="22"/>
                <w:szCs w:val="22"/>
              </w:rPr>
              <w:t>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19.0</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Female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13.0</w:t>
            </w:r>
          </w:p>
        </w:tc>
      </w:tr>
      <w:tr w:rsidR="00E25830" w:rsidRPr="006A1AA0" w:rsidTr="00BD54E9">
        <w:trPr>
          <w:trHeight w:val="300"/>
          <w:jc w:val="center"/>
        </w:trPr>
        <w:tc>
          <w:tcPr>
            <w:tcW w:w="96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85+</w:t>
            </w:r>
          </w:p>
        </w:tc>
        <w:tc>
          <w:tcPr>
            <w:tcW w:w="164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w w:val="105"/>
                <w:sz w:val="22"/>
                <w:szCs w:val="22"/>
              </w:rPr>
              <w:t>Male</w:t>
            </w:r>
          </w:p>
        </w:tc>
        <w:tc>
          <w:tcPr>
            <w:tcW w:w="1420" w:type="dxa"/>
            <w:tcBorders>
              <w:top w:val="nil"/>
              <w:left w:val="nil"/>
              <w:bottom w:val="nil"/>
              <w:right w:val="nil"/>
            </w:tcBorders>
            <w:shd w:val="clear" w:color="auto" w:fill="auto"/>
            <w:noWrap/>
            <w:vAlign w:val="center"/>
            <w:hideMark/>
          </w:tcPr>
          <w:p w:rsidR="00E25830" w:rsidRPr="006A1AA0" w:rsidRDefault="00E25830" w:rsidP="00BD54E9">
            <w:pPr>
              <w:rPr>
                <w:sz w:val="22"/>
                <w:szCs w:val="22"/>
              </w:rPr>
            </w:pPr>
            <w:r w:rsidRPr="006A1AA0">
              <w:rPr>
                <w:sz w:val="22"/>
                <w:szCs w:val="22"/>
              </w:rPr>
              <w:t>13.1</w:t>
            </w:r>
          </w:p>
        </w:tc>
      </w:tr>
      <w:tr w:rsidR="00E25830" w:rsidRPr="006A1AA0" w:rsidTr="00BD54E9">
        <w:trPr>
          <w:trHeight w:val="300"/>
          <w:jc w:val="center"/>
        </w:trPr>
        <w:tc>
          <w:tcPr>
            <w:tcW w:w="960" w:type="dxa"/>
            <w:tcBorders>
              <w:top w:val="nil"/>
              <w:left w:val="nil"/>
              <w:bottom w:val="single" w:sz="4" w:space="0" w:color="auto"/>
              <w:right w:val="nil"/>
            </w:tcBorders>
            <w:shd w:val="clear" w:color="auto" w:fill="auto"/>
            <w:noWrap/>
            <w:vAlign w:val="bottom"/>
            <w:hideMark/>
          </w:tcPr>
          <w:p w:rsidR="00E25830" w:rsidRPr="006A1AA0" w:rsidRDefault="00E25830" w:rsidP="00BD54E9">
            <w:pPr>
              <w:rPr>
                <w:sz w:val="22"/>
                <w:szCs w:val="22"/>
              </w:rPr>
            </w:pPr>
            <w:r w:rsidRPr="006A1AA0">
              <w:rPr>
                <w:sz w:val="22"/>
                <w:szCs w:val="22"/>
              </w:rPr>
              <w:t> </w:t>
            </w:r>
          </w:p>
        </w:tc>
        <w:tc>
          <w:tcPr>
            <w:tcW w:w="1640" w:type="dxa"/>
            <w:tcBorders>
              <w:top w:val="nil"/>
              <w:left w:val="nil"/>
              <w:bottom w:val="single" w:sz="4" w:space="0" w:color="auto"/>
              <w:right w:val="nil"/>
            </w:tcBorders>
            <w:shd w:val="clear" w:color="auto" w:fill="auto"/>
            <w:noWrap/>
            <w:vAlign w:val="bottom"/>
            <w:hideMark/>
          </w:tcPr>
          <w:p w:rsidR="00E25830" w:rsidRPr="006A1AA0" w:rsidRDefault="00E25830" w:rsidP="00BD54E9">
            <w:pPr>
              <w:rPr>
                <w:sz w:val="22"/>
                <w:szCs w:val="22"/>
              </w:rPr>
            </w:pPr>
            <w:r w:rsidRPr="006A1AA0">
              <w:rPr>
                <w:sz w:val="22"/>
                <w:szCs w:val="22"/>
              </w:rPr>
              <w:t>Female</w:t>
            </w:r>
          </w:p>
        </w:tc>
        <w:tc>
          <w:tcPr>
            <w:tcW w:w="1420" w:type="dxa"/>
            <w:tcBorders>
              <w:top w:val="nil"/>
              <w:left w:val="nil"/>
              <w:bottom w:val="single" w:sz="4" w:space="0" w:color="auto"/>
              <w:right w:val="nil"/>
            </w:tcBorders>
            <w:shd w:val="clear" w:color="auto" w:fill="auto"/>
            <w:noWrap/>
            <w:vAlign w:val="bottom"/>
            <w:hideMark/>
          </w:tcPr>
          <w:p w:rsidR="00E25830" w:rsidRPr="006A1AA0" w:rsidRDefault="00E25830" w:rsidP="00BD54E9">
            <w:pPr>
              <w:rPr>
                <w:sz w:val="22"/>
                <w:szCs w:val="22"/>
              </w:rPr>
            </w:pPr>
            <w:r w:rsidRPr="006A1AA0">
              <w:rPr>
                <w:sz w:val="22"/>
                <w:szCs w:val="22"/>
              </w:rPr>
              <w:t>7.3</w:t>
            </w:r>
          </w:p>
        </w:tc>
      </w:tr>
    </w:tbl>
    <w:p w:rsidR="00E25830" w:rsidRPr="006A1AA0" w:rsidRDefault="00E25830" w:rsidP="00E25830">
      <w:pPr>
        <w:jc w:val="center"/>
        <w:rPr>
          <w:sz w:val="20"/>
          <w:szCs w:val="20"/>
        </w:rPr>
      </w:pPr>
      <w:proofErr w:type="gramStart"/>
      <w:r w:rsidRPr="006A1AA0">
        <w:rPr>
          <w:sz w:val="20"/>
          <w:szCs w:val="20"/>
        </w:rPr>
        <w:t>Adapted from Rosenbloom (2004).</w:t>
      </w:r>
      <w:proofErr w:type="gramEnd"/>
      <w:r w:rsidRPr="006A1AA0">
        <w:rPr>
          <w:sz w:val="20"/>
          <w:szCs w:val="20"/>
        </w:rPr>
        <w:t xml:space="preserve"> </w:t>
      </w:r>
      <w:proofErr w:type="gramStart"/>
      <w:r w:rsidRPr="006A1AA0">
        <w:rPr>
          <w:sz w:val="20"/>
          <w:szCs w:val="20"/>
        </w:rPr>
        <w:t>Unpublished</w:t>
      </w:r>
      <w:r w:rsidRPr="006A1AA0">
        <w:rPr>
          <w:spacing w:val="31"/>
          <w:sz w:val="20"/>
          <w:szCs w:val="20"/>
        </w:rPr>
        <w:t xml:space="preserve"> </w:t>
      </w:r>
      <w:r w:rsidRPr="006A1AA0">
        <w:rPr>
          <w:sz w:val="20"/>
          <w:szCs w:val="20"/>
        </w:rPr>
        <w:t>data</w:t>
      </w:r>
      <w:r w:rsidRPr="006A1AA0">
        <w:rPr>
          <w:spacing w:val="31"/>
          <w:sz w:val="20"/>
          <w:szCs w:val="20"/>
        </w:rPr>
        <w:t xml:space="preserve"> </w:t>
      </w:r>
      <w:r w:rsidRPr="006A1AA0">
        <w:rPr>
          <w:sz w:val="20"/>
          <w:szCs w:val="20"/>
        </w:rPr>
        <w:t>from</w:t>
      </w:r>
      <w:r w:rsidRPr="006A1AA0">
        <w:rPr>
          <w:spacing w:val="31"/>
          <w:sz w:val="20"/>
          <w:szCs w:val="20"/>
        </w:rPr>
        <w:t xml:space="preserve"> </w:t>
      </w:r>
      <w:r w:rsidRPr="006A1AA0">
        <w:rPr>
          <w:sz w:val="20"/>
          <w:szCs w:val="20"/>
        </w:rPr>
        <w:t>the</w:t>
      </w:r>
      <w:r w:rsidRPr="006A1AA0">
        <w:rPr>
          <w:spacing w:val="31"/>
          <w:sz w:val="20"/>
          <w:szCs w:val="20"/>
        </w:rPr>
        <w:t xml:space="preserve"> </w:t>
      </w:r>
      <w:r w:rsidRPr="006A1AA0">
        <w:rPr>
          <w:sz w:val="20"/>
          <w:szCs w:val="20"/>
        </w:rPr>
        <w:t>1995</w:t>
      </w:r>
      <w:r w:rsidRPr="006A1AA0">
        <w:rPr>
          <w:spacing w:val="30"/>
          <w:sz w:val="20"/>
          <w:szCs w:val="20"/>
        </w:rPr>
        <w:t xml:space="preserve"> </w:t>
      </w:r>
      <w:r w:rsidRPr="006A1AA0">
        <w:rPr>
          <w:sz w:val="20"/>
          <w:szCs w:val="20"/>
        </w:rPr>
        <w:t>NPTS.</w:t>
      </w:r>
      <w:proofErr w:type="gramEnd"/>
    </w:p>
    <w:p w:rsidR="00E25830" w:rsidRPr="007A5DFA" w:rsidRDefault="00E25830" w:rsidP="00C44998">
      <w:pPr>
        <w:ind w:firstLine="720"/>
      </w:pPr>
    </w:p>
    <w:p w:rsidR="00C44998" w:rsidRDefault="00E25830" w:rsidP="00C44998">
      <w:pPr>
        <w:ind w:firstLine="720"/>
      </w:pPr>
      <w:r w:rsidRPr="006A1AA0">
        <w:t>For the current power analysis, researchers used G*power®</w:t>
      </w:r>
      <w:r w:rsidRPr="006A1AA0">
        <w:rPr>
          <w:rStyle w:val="FootnoteReference"/>
        </w:rPr>
        <w:footnoteReference w:id="3"/>
      </w:r>
      <w:r w:rsidRPr="006A1AA0">
        <w:t xml:space="preserve"> to conduct three power analyses using </w:t>
      </w:r>
      <w:r w:rsidRPr="006A1AA0">
        <w:rPr>
          <w:i/>
        </w:rPr>
        <w:t xml:space="preserve">Effect Size </w:t>
      </w:r>
      <w:proofErr w:type="spellStart"/>
      <w:r w:rsidRPr="006A1AA0">
        <w:rPr>
          <w:i/>
        </w:rPr>
        <w:t>f</w:t>
      </w:r>
      <w:proofErr w:type="spellEnd"/>
      <w:r w:rsidRPr="006A1AA0">
        <w:t xml:space="preserve"> estimates of</w:t>
      </w:r>
      <w:r w:rsidR="00C44998" w:rsidRPr="006A1AA0">
        <w:t>.45, .</w:t>
      </w:r>
      <w:r w:rsidR="00C44998">
        <w:t>35 and .25 respectively for a one-way ANOVA with 2 degrees of freedom (3 participant groups based on driver age), an alpha of .05, and power of .80</w:t>
      </w:r>
      <w:r w:rsidR="00C44998" w:rsidRPr="00843FE4">
        <w:t xml:space="preserve">. </w:t>
      </w:r>
      <w:r w:rsidR="00C44998">
        <w:t xml:space="preserve">Table 1 </w:t>
      </w:r>
      <w:r w:rsidR="00C44998" w:rsidRPr="00843FE4">
        <w:t xml:space="preserve">shows </w:t>
      </w:r>
      <w:r w:rsidR="00C44998">
        <w:t xml:space="preserve">a summary of the sample sizes required (N) to detect the desired effect sizes with the given parameter inputs. Figure 1 shows </w:t>
      </w:r>
      <w:r w:rsidR="00C44998" w:rsidRPr="00843FE4">
        <w:t>the</w:t>
      </w:r>
      <w:r w:rsidR="00C44998">
        <w:t xml:space="preserve"> </w:t>
      </w:r>
      <w:r w:rsidR="00C44998" w:rsidRPr="00902C63">
        <w:t>G*power</w:t>
      </w:r>
      <w:r w:rsidR="00C44998">
        <w:t>®</w:t>
      </w:r>
      <w:r w:rsidR="00C44998" w:rsidRPr="00843FE4">
        <w:t xml:space="preserve"> </w:t>
      </w:r>
      <w:r w:rsidR="00C44998">
        <w:t>output</w:t>
      </w:r>
      <w:r w:rsidR="00C44998" w:rsidRPr="00843FE4">
        <w:t xml:space="preserve"> for </w:t>
      </w:r>
      <w:r w:rsidR="00C44998">
        <w:t>each of the effect size estimates separately.</w:t>
      </w:r>
    </w:p>
    <w:p w:rsidR="003D35D9" w:rsidRDefault="003D35D9" w:rsidP="00C44998">
      <w:pPr>
        <w:ind w:firstLine="720"/>
      </w:pPr>
    </w:p>
    <w:p w:rsidR="00E25830" w:rsidRDefault="00E25830" w:rsidP="00E25830">
      <w:pPr>
        <w:pStyle w:val="Table"/>
        <w:numPr>
          <w:ilvl w:val="0"/>
          <w:numId w:val="18"/>
        </w:numPr>
      </w:pPr>
      <w:r>
        <w:t>Required Sample Size for a Given Effect Size</w:t>
      </w:r>
    </w:p>
    <w:tbl>
      <w:tblPr>
        <w:tblW w:w="3620" w:type="dxa"/>
        <w:jc w:val="center"/>
        <w:tblLook w:val="04A0" w:firstRow="1" w:lastRow="0" w:firstColumn="1" w:lastColumn="0" w:noHBand="0" w:noVBand="1"/>
      </w:tblPr>
      <w:tblGrid>
        <w:gridCol w:w="1660"/>
        <w:gridCol w:w="1960"/>
      </w:tblGrid>
      <w:tr w:rsidR="00E25830" w:rsidRPr="006811B1" w:rsidTr="00BD54E9">
        <w:trPr>
          <w:trHeight w:val="6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25830" w:rsidRPr="006811B1" w:rsidRDefault="00E25830" w:rsidP="00BD54E9">
            <w:pPr>
              <w:jc w:val="center"/>
              <w:rPr>
                <w:color w:val="000000"/>
              </w:rPr>
            </w:pPr>
            <w:r w:rsidRPr="006811B1">
              <w:rPr>
                <w:i/>
                <w:color w:val="000000"/>
              </w:rPr>
              <w:t>Effect Size f</w:t>
            </w:r>
            <w:r>
              <w:rPr>
                <w:color w:val="000000"/>
              </w:rPr>
              <w:t>*</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rsidR="00E25830" w:rsidRPr="006811B1" w:rsidRDefault="00E25830" w:rsidP="00BD54E9">
            <w:pPr>
              <w:jc w:val="center"/>
              <w:rPr>
                <w:color w:val="000000"/>
              </w:rPr>
            </w:pPr>
            <w:r w:rsidRPr="006811B1">
              <w:rPr>
                <w:color w:val="000000"/>
              </w:rPr>
              <w:t>Required Sample Size (N)</w:t>
            </w:r>
          </w:p>
        </w:tc>
      </w:tr>
      <w:tr w:rsidR="00E25830" w:rsidRPr="006811B1" w:rsidTr="00BD54E9">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E25830" w:rsidRPr="006811B1" w:rsidRDefault="00E25830" w:rsidP="00BD54E9">
            <w:pPr>
              <w:jc w:val="right"/>
              <w:rPr>
                <w:color w:val="000000"/>
              </w:rPr>
            </w:pPr>
            <w:r w:rsidRPr="006811B1">
              <w:rPr>
                <w:color w:val="000000"/>
              </w:rPr>
              <w:t>0.45</w:t>
            </w:r>
          </w:p>
        </w:tc>
        <w:tc>
          <w:tcPr>
            <w:tcW w:w="1960" w:type="dxa"/>
            <w:tcBorders>
              <w:top w:val="nil"/>
              <w:left w:val="nil"/>
              <w:bottom w:val="single" w:sz="4" w:space="0" w:color="auto"/>
              <w:right w:val="single" w:sz="4" w:space="0" w:color="auto"/>
            </w:tcBorders>
            <w:shd w:val="clear" w:color="auto" w:fill="auto"/>
            <w:noWrap/>
            <w:vAlign w:val="bottom"/>
            <w:hideMark/>
          </w:tcPr>
          <w:p w:rsidR="00E25830" w:rsidRPr="006811B1" w:rsidRDefault="00E25830" w:rsidP="00BD54E9">
            <w:pPr>
              <w:jc w:val="right"/>
              <w:rPr>
                <w:color w:val="000000"/>
              </w:rPr>
            </w:pPr>
            <w:r w:rsidRPr="006811B1">
              <w:rPr>
                <w:color w:val="000000"/>
              </w:rPr>
              <w:t>51</w:t>
            </w:r>
          </w:p>
        </w:tc>
      </w:tr>
      <w:tr w:rsidR="00E25830" w:rsidRPr="006811B1" w:rsidTr="00BD54E9">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E25830" w:rsidRPr="006811B1" w:rsidRDefault="00E25830" w:rsidP="00BD54E9">
            <w:pPr>
              <w:jc w:val="right"/>
              <w:rPr>
                <w:color w:val="000000"/>
              </w:rPr>
            </w:pPr>
            <w:r w:rsidRPr="006811B1">
              <w:rPr>
                <w:color w:val="000000"/>
              </w:rPr>
              <w:t>0.35</w:t>
            </w:r>
          </w:p>
        </w:tc>
        <w:tc>
          <w:tcPr>
            <w:tcW w:w="1960" w:type="dxa"/>
            <w:tcBorders>
              <w:top w:val="nil"/>
              <w:left w:val="nil"/>
              <w:bottom w:val="single" w:sz="4" w:space="0" w:color="auto"/>
              <w:right w:val="single" w:sz="4" w:space="0" w:color="auto"/>
            </w:tcBorders>
            <w:shd w:val="clear" w:color="auto" w:fill="auto"/>
            <w:noWrap/>
            <w:vAlign w:val="bottom"/>
            <w:hideMark/>
          </w:tcPr>
          <w:p w:rsidR="00E25830" w:rsidRPr="006811B1" w:rsidRDefault="00E25830" w:rsidP="00BD54E9">
            <w:pPr>
              <w:jc w:val="right"/>
              <w:rPr>
                <w:color w:val="000000"/>
              </w:rPr>
            </w:pPr>
            <w:r w:rsidRPr="006811B1">
              <w:rPr>
                <w:color w:val="000000"/>
              </w:rPr>
              <w:t>84</w:t>
            </w:r>
          </w:p>
        </w:tc>
      </w:tr>
      <w:tr w:rsidR="00E25830" w:rsidRPr="006811B1" w:rsidTr="00BD54E9">
        <w:trPr>
          <w:trHeight w:val="300"/>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E25830" w:rsidRPr="006811B1" w:rsidRDefault="00E25830" w:rsidP="00BD54E9">
            <w:pPr>
              <w:jc w:val="right"/>
              <w:rPr>
                <w:color w:val="000000"/>
              </w:rPr>
            </w:pPr>
            <w:r w:rsidRPr="006811B1">
              <w:rPr>
                <w:color w:val="000000"/>
              </w:rPr>
              <w:t>0.25</w:t>
            </w:r>
          </w:p>
        </w:tc>
        <w:tc>
          <w:tcPr>
            <w:tcW w:w="1960" w:type="dxa"/>
            <w:tcBorders>
              <w:top w:val="nil"/>
              <w:left w:val="nil"/>
              <w:bottom w:val="single" w:sz="4" w:space="0" w:color="auto"/>
              <w:right w:val="single" w:sz="4" w:space="0" w:color="auto"/>
            </w:tcBorders>
            <w:shd w:val="clear" w:color="auto" w:fill="auto"/>
            <w:noWrap/>
            <w:vAlign w:val="bottom"/>
            <w:hideMark/>
          </w:tcPr>
          <w:p w:rsidR="00E25830" w:rsidRPr="006811B1" w:rsidRDefault="00E25830" w:rsidP="00BD54E9">
            <w:pPr>
              <w:jc w:val="right"/>
              <w:rPr>
                <w:color w:val="000000"/>
              </w:rPr>
            </w:pPr>
            <w:r w:rsidRPr="006811B1">
              <w:rPr>
                <w:color w:val="000000"/>
              </w:rPr>
              <w:t>159</w:t>
            </w:r>
          </w:p>
        </w:tc>
      </w:tr>
    </w:tbl>
    <w:p w:rsidR="00E25830" w:rsidRDefault="00E25830" w:rsidP="00E25830">
      <w:pPr>
        <w:ind w:left="1440" w:firstLine="720"/>
      </w:pPr>
      <w:r>
        <w:t xml:space="preserve">Note: </w:t>
      </w:r>
      <w:r w:rsidRPr="00EB5ADF">
        <w:t>α</w:t>
      </w:r>
      <w:r>
        <w:t xml:space="preserve"> = .05, </w:t>
      </w:r>
      <w:r w:rsidRPr="00EB5ADF">
        <w:t>Power</w:t>
      </w:r>
      <w:r>
        <w:t xml:space="preserve"> = .80, 3 groups of participants</w:t>
      </w:r>
    </w:p>
    <w:p w:rsidR="00E25830" w:rsidRDefault="00E25830" w:rsidP="00E25830">
      <w:pPr>
        <w:ind w:left="1440" w:firstLine="720"/>
      </w:pPr>
      <w:r>
        <w:t xml:space="preserve">*Multiply </w:t>
      </w:r>
      <w:r w:rsidRPr="00356C77">
        <w:rPr>
          <w:i/>
        </w:rPr>
        <w:t>Effect Size f</w:t>
      </w:r>
      <w:r>
        <w:t xml:space="preserve"> by two for equivalent Cohen’s D value.</w:t>
      </w:r>
    </w:p>
    <w:p w:rsidR="00E25830" w:rsidRDefault="00E25830">
      <w:pPr>
        <w:rPr>
          <w:color w:val="FF0000"/>
        </w:rPr>
      </w:pPr>
      <w:r>
        <w:rPr>
          <w:color w:val="FF0000"/>
        </w:rPr>
        <w:br w:type="page"/>
      </w:r>
    </w:p>
    <w:p w:rsidR="00E25830" w:rsidRPr="006A3EA9" w:rsidRDefault="00E25830" w:rsidP="00E25830">
      <w:pPr>
        <w:ind w:left="1440" w:firstLine="720"/>
        <w:rPr>
          <w:color w:val="FF0000"/>
        </w:rPr>
      </w:pPr>
    </w:p>
    <w:p w:rsidR="00E25830" w:rsidRPr="006A3EA9" w:rsidRDefault="00E25830" w:rsidP="00E25830">
      <w:pPr>
        <w:ind w:left="1440" w:firstLine="720"/>
        <w:rPr>
          <w:color w:val="FF0000"/>
        </w:rPr>
      </w:pPr>
      <w:r w:rsidRPr="006A3EA9">
        <w:rPr>
          <w:b/>
          <w:bCs/>
          <w:noProof/>
          <w:color w:val="FF0000"/>
          <w:sz w:val="17"/>
          <w:szCs w:val="17"/>
        </w:rPr>
        <mc:AlternateContent>
          <mc:Choice Requires="wps">
            <w:drawing>
              <wp:anchor distT="0" distB="0" distL="114300" distR="114300" simplePos="0" relativeHeight="251663360" behindDoc="0" locked="0" layoutInCell="1" allowOverlap="1" wp14:anchorId="6FDBD840" wp14:editId="6003F30E">
                <wp:simplePos x="0" y="0"/>
                <wp:positionH relativeFrom="column">
                  <wp:posOffset>919264</wp:posOffset>
                </wp:positionH>
                <wp:positionV relativeFrom="paragraph">
                  <wp:posOffset>6485</wp:posOffset>
                </wp:positionV>
                <wp:extent cx="4766053" cy="5473430"/>
                <wp:effectExtent l="0" t="0" r="15875" b="13335"/>
                <wp:wrapNone/>
                <wp:docPr id="1" name="Rectangle 1"/>
                <wp:cNvGraphicFramePr/>
                <a:graphic xmlns:a="http://schemas.openxmlformats.org/drawingml/2006/main">
                  <a:graphicData uri="http://schemas.microsoft.com/office/word/2010/wordprocessingShape">
                    <wps:wsp>
                      <wps:cNvSpPr/>
                      <wps:spPr>
                        <a:xfrm>
                          <a:off x="0" y="0"/>
                          <a:ext cx="4766053" cy="547343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2.4pt;margin-top:.5pt;width:375.3pt;height:4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" filled="f" strokecolor="black [3200]" strokeweight="2pt"/>
            </w:pict>
          </mc:Fallback>
        </mc:AlternateContent>
      </w:r>
    </w:p>
    <w:p w:rsidR="00E25830" w:rsidRPr="006A3EA9" w:rsidRDefault="00E25830" w:rsidP="00E25830">
      <w:pPr>
        <w:rPr>
          <w:b/>
          <w:bCs/>
          <w:color w:val="FF0000"/>
          <w:sz w:val="17"/>
          <w:szCs w:val="17"/>
        </w:rPr>
      </w:pPr>
    </w:p>
    <w:p w:rsidR="00E25830" w:rsidRPr="006A1AA0" w:rsidRDefault="00E25830" w:rsidP="00E25830">
      <w:pPr>
        <w:widowControl w:val="0"/>
        <w:tabs>
          <w:tab w:val="left" w:pos="1134"/>
          <w:tab w:val="left" w:pos="3969"/>
          <w:tab w:val="left" w:pos="4252"/>
          <w:tab w:val="left" w:pos="6804"/>
        </w:tabs>
        <w:autoSpaceDE w:val="0"/>
        <w:autoSpaceDN w:val="0"/>
        <w:adjustRightInd w:val="0"/>
        <w:ind w:left="1980" w:firstLine="540"/>
        <w:rPr>
          <w:b/>
          <w:bCs/>
          <w:sz w:val="17"/>
          <w:szCs w:val="17"/>
        </w:rPr>
      </w:pPr>
      <w:r w:rsidRPr="006A1AA0">
        <w:rPr>
          <w:b/>
          <w:bCs/>
          <w:sz w:val="17"/>
          <w:szCs w:val="17"/>
        </w:rPr>
        <w:t>1. Effect size f = 0.45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 xml:space="preserve">F tests - </w:t>
      </w:r>
      <w:r w:rsidRPr="006A1AA0">
        <w:rPr>
          <w:sz w:val="17"/>
          <w:szCs w:val="17"/>
        </w:rPr>
        <w:t>ANOVA: Fixed effects, omnibus, one-way</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Analysis:</w:t>
      </w:r>
      <w:r w:rsidRPr="006A1AA0">
        <w:rPr>
          <w:b/>
          <w:bCs/>
          <w:sz w:val="17"/>
          <w:szCs w:val="17"/>
        </w:rPr>
        <w:tab/>
      </w:r>
      <w:r w:rsidRPr="006A1AA0">
        <w:rPr>
          <w:sz w:val="17"/>
          <w:szCs w:val="17"/>
        </w:rPr>
        <w:t xml:space="preserve">A priori: Compute required sample size </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Input:</w:t>
      </w:r>
      <w:r w:rsidRPr="006A1AA0">
        <w:rPr>
          <w:sz w:val="17"/>
          <w:szCs w:val="17"/>
        </w:rPr>
        <w:tab/>
        <w:t>Effect size f</w:t>
      </w:r>
      <w:r w:rsidRPr="006A1AA0">
        <w:rPr>
          <w:sz w:val="17"/>
          <w:szCs w:val="17"/>
        </w:rPr>
        <w:tab/>
        <w:t>=</w:t>
      </w:r>
      <w:r w:rsidRPr="006A1AA0">
        <w:rPr>
          <w:sz w:val="17"/>
          <w:szCs w:val="17"/>
        </w:rPr>
        <w:tab/>
        <w:t>0.45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r>
      <w:proofErr w:type="gramStart"/>
      <w:r w:rsidRPr="006A1AA0">
        <w:rPr>
          <w:sz w:val="17"/>
          <w:szCs w:val="17"/>
        </w:rPr>
        <w:t>α</w:t>
      </w:r>
      <w:proofErr w:type="gramEnd"/>
      <w:r w:rsidRPr="006A1AA0">
        <w:rPr>
          <w:sz w:val="17"/>
          <w:szCs w:val="17"/>
        </w:rPr>
        <w:t xml:space="preserve"> err </w:t>
      </w:r>
      <w:proofErr w:type="spellStart"/>
      <w:r w:rsidRPr="006A1AA0">
        <w:rPr>
          <w:sz w:val="17"/>
          <w:szCs w:val="17"/>
        </w:rPr>
        <w:t>prob</w:t>
      </w:r>
      <w:proofErr w:type="spellEnd"/>
      <w:r w:rsidRPr="006A1AA0">
        <w:rPr>
          <w:sz w:val="17"/>
          <w:szCs w:val="17"/>
        </w:rPr>
        <w:tab/>
        <w:t>=</w:t>
      </w:r>
      <w:r w:rsidRPr="006A1AA0">
        <w:rPr>
          <w:sz w:val="17"/>
          <w:szCs w:val="17"/>
        </w:rPr>
        <w:tab/>
        <w:t>0.05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Power (1-β err </w:t>
      </w:r>
      <w:proofErr w:type="spellStart"/>
      <w:r w:rsidRPr="006A1AA0">
        <w:rPr>
          <w:sz w:val="17"/>
          <w:szCs w:val="17"/>
        </w:rPr>
        <w:t>prob</w:t>
      </w:r>
      <w:proofErr w:type="spellEnd"/>
      <w:r w:rsidRPr="006A1AA0">
        <w:rPr>
          <w:sz w:val="17"/>
          <w:szCs w:val="17"/>
        </w:rPr>
        <w:t>)</w:t>
      </w:r>
      <w:r w:rsidRPr="006A1AA0">
        <w:rPr>
          <w:sz w:val="17"/>
          <w:szCs w:val="17"/>
        </w:rPr>
        <w:tab/>
        <w:t>=</w:t>
      </w:r>
      <w:r w:rsidRPr="006A1AA0">
        <w:rPr>
          <w:sz w:val="17"/>
          <w:szCs w:val="17"/>
        </w:rPr>
        <w:tab/>
        <w:t>0.80</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Number of groups</w:t>
      </w:r>
      <w:r w:rsidRPr="006A1AA0">
        <w:rPr>
          <w:sz w:val="17"/>
          <w:szCs w:val="17"/>
        </w:rPr>
        <w:tab/>
        <w:t>=</w:t>
      </w:r>
      <w:r w:rsidRPr="006A1AA0">
        <w:rPr>
          <w:sz w:val="17"/>
          <w:szCs w:val="17"/>
        </w:rPr>
        <w:tab/>
        <w:t>3</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Output:</w:t>
      </w:r>
      <w:r w:rsidRPr="006A1AA0">
        <w:rPr>
          <w:sz w:val="17"/>
          <w:szCs w:val="17"/>
        </w:rPr>
        <w:tab/>
      </w:r>
      <w:proofErr w:type="spellStart"/>
      <w:r w:rsidRPr="006A1AA0">
        <w:rPr>
          <w:sz w:val="17"/>
          <w:szCs w:val="17"/>
        </w:rPr>
        <w:t>Noncentrality</w:t>
      </w:r>
      <w:proofErr w:type="spellEnd"/>
      <w:r w:rsidRPr="006A1AA0">
        <w:rPr>
          <w:sz w:val="17"/>
          <w:szCs w:val="17"/>
        </w:rPr>
        <w:t xml:space="preserve"> parameter λ</w:t>
      </w:r>
      <w:r w:rsidRPr="006A1AA0">
        <w:rPr>
          <w:sz w:val="17"/>
          <w:szCs w:val="17"/>
        </w:rPr>
        <w:tab/>
        <w:t>=</w:t>
      </w:r>
      <w:r w:rsidRPr="006A1AA0">
        <w:rPr>
          <w:sz w:val="17"/>
          <w:szCs w:val="17"/>
        </w:rPr>
        <w:tab/>
        <w:t>10.3275000</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Critical F</w:t>
      </w:r>
      <w:r w:rsidRPr="006A1AA0">
        <w:rPr>
          <w:sz w:val="17"/>
          <w:szCs w:val="17"/>
        </w:rPr>
        <w:tab/>
        <w:t>=</w:t>
      </w:r>
      <w:r w:rsidRPr="006A1AA0">
        <w:rPr>
          <w:sz w:val="17"/>
          <w:szCs w:val="17"/>
        </w:rPr>
        <w:tab/>
        <w:t>3.1907273</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Numerator </w:t>
      </w:r>
      <w:proofErr w:type="spellStart"/>
      <w:proofErr w:type="gramStart"/>
      <w:r w:rsidRPr="006A1AA0">
        <w:rPr>
          <w:sz w:val="17"/>
          <w:szCs w:val="17"/>
        </w:rPr>
        <w:t>df</w:t>
      </w:r>
      <w:proofErr w:type="spellEnd"/>
      <w:proofErr w:type="gramEnd"/>
      <w:r w:rsidRPr="006A1AA0">
        <w:rPr>
          <w:sz w:val="17"/>
          <w:szCs w:val="17"/>
        </w:rPr>
        <w:tab/>
        <w:t>=</w:t>
      </w:r>
      <w:r w:rsidRPr="006A1AA0">
        <w:rPr>
          <w:sz w:val="17"/>
          <w:szCs w:val="17"/>
        </w:rPr>
        <w:tab/>
        <w:t>2</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Denominator </w:t>
      </w:r>
      <w:proofErr w:type="spellStart"/>
      <w:proofErr w:type="gramStart"/>
      <w:r w:rsidRPr="006A1AA0">
        <w:rPr>
          <w:sz w:val="17"/>
          <w:szCs w:val="17"/>
        </w:rPr>
        <w:t>df</w:t>
      </w:r>
      <w:proofErr w:type="spellEnd"/>
      <w:proofErr w:type="gramEnd"/>
      <w:r w:rsidRPr="006A1AA0">
        <w:rPr>
          <w:sz w:val="17"/>
          <w:szCs w:val="17"/>
        </w:rPr>
        <w:tab/>
        <w:t>=</w:t>
      </w:r>
      <w:r w:rsidRPr="006A1AA0">
        <w:rPr>
          <w:sz w:val="17"/>
          <w:szCs w:val="17"/>
        </w:rPr>
        <w:tab/>
        <w:t>48</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Total sample size</w:t>
      </w:r>
      <w:r w:rsidRPr="006A1AA0">
        <w:rPr>
          <w:sz w:val="17"/>
          <w:szCs w:val="17"/>
        </w:rPr>
        <w:tab/>
        <w:t>=</w:t>
      </w:r>
      <w:r w:rsidRPr="006A1AA0">
        <w:rPr>
          <w:sz w:val="17"/>
          <w:szCs w:val="17"/>
        </w:rPr>
        <w:tab/>
        <w:t>51</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Actual power</w:t>
      </w:r>
      <w:r w:rsidRPr="006A1AA0">
        <w:rPr>
          <w:sz w:val="17"/>
          <w:szCs w:val="17"/>
        </w:rPr>
        <w:tab/>
        <w:t>=</w:t>
      </w:r>
      <w:r w:rsidRPr="006A1AA0">
        <w:rPr>
          <w:sz w:val="17"/>
          <w:szCs w:val="17"/>
        </w:rPr>
        <w:tab/>
        <w:t>0.8026588</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b/>
          <w:bCs/>
          <w:sz w:val="17"/>
          <w:szCs w:val="17"/>
        </w:rPr>
      </w:pP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b/>
          <w:bCs/>
          <w:sz w:val="17"/>
          <w:szCs w:val="17"/>
        </w:rPr>
      </w:pPr>
      <w:r w:rsidRPr="006A1AA0">
        <w:rPr>
          <w:b/>
          <w:bCs/>
          <w:sz w:val="17"/>
          <w:szCs w:val="17"/>
        </w:rPr>
        <w:t>2. Effect size f = 0.35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 xml:space="preserve">F tests - </w:t>
      </w:r>
      <w:r w:rsidRPr="006A1AA0">
        <w:rPr>
          <w:sz w:val="17"/>
          <w:szCs w:val="17"/>
        </w:rPr>
        <w:t>ANOVA: Fixed effects, omnibus, one-way</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Analysis:</w:t>
      </w:r>
      <w:r w:rsidRPr="006A1AA0">
        <w:rPr>
          <w:b/>
          <w:bCs/>
          <w:sz w:val="17"/>
          <w:szCs w:val="17"/>
        </w:rPr>
        <w:tab/>
      </w:r>
      <w:r w:rsidRPr="006A1AA0">
        <w:rPr>
          <w:sz w:val="17"/>
          <w:szCs w:val="17"/>
        </w:rPr>
        <w:t xml:space="preserve">A priori: Compute required sample size </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Input:</w:t>
      </w:r>
      <w:r w:rsidRPr="006A1AA0">
        <w:rPr>
          <w:sz w:val="17"/>
          <w:szCs w:val="17"/>
        </w:rPr>
        <w:tab/>
        <w:t>Effect size f</w:t>
      </w:r>
      <w:r w:rsidRPr="006A1AA0">
        <w:rPr>
          <w:sz w:val="17"/>
          <w:szCs w:val="17"/>
        </w:rPr>
        <w:tab/>
        <w:t>=</w:t>
      </w:r>
      <w:r w:rsidRPr="006A1AA0">
        <w:rPr>
          <w:sz w:val="17"/>
          <w:szCs w:val="17"/>
        </w:rPr>
        <w:tab/>
        <w:t>0.35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r>
      <w:proofErr w:type="gramStart"/>
      <w:r w:rsidRPr="006A1AA0">
        <w:rPr>
          <w:sz w:val="17"/>
          <w:szCs w:val="17"/>
        </w:rPr>
        <w:t>α</w:t>
      </w:r>
      <w:proofErr w:type="gramEnd"/>
      <w:r w:rsidRPr="006A1AA0">
        <w:rPr>
          <w:sz w:val="17"/>
          <w:szCs w:val="17"/>
        </w:rPr>
        <w:t xml:space="preserve"> err </w:t>
      </w:r>
      <w:proofErr w:type="spellStart"/>
      <w:r w:rsidRPr="006A1AA0">
        <w:rPr>
          <w:sz w:val="17"/>
          <w:szCs w:val="17"/>
        </w:rPr>
        <w:t>prob</w:t>
      </w:r>
      <w:proofErr w:type="spellEnd"/>
      <w:r w:rsidRPr="006A1AA0">
        <w:rPr>
          <w:sz w:val="17"/>
          <w:szCs w:val="17"/>
        </w:rPr>
        <w:tab/>
        <w:t>=</w:t>
      </w:r>
      <w:r w:rsidRPr="006A1AA0">
        <w:rPr>
          <w:sz w:val="17"/>
          <w:szCs w:val="17"/>
        </w:rPr>
        <w:tab/>
        <w:t>0.05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Power (1-β err </w:t>
      </w:r>
      <w:proofErr w:type="spellStart"/>
      <w:r w:rsidRPr="006A1AA0">
        <w:rPr>
          <w:sz w:val="17"/>
          <w:szCs w:val="17"/>
        </w:rPr>
        <w:t>prob</w:t>
      </w:r>
      <w:proofErr w:type="spellEnd"/>
      <w:r w:rsidRPr="006A1AA0">
        <w:rPr>
          <w:sz w:val="17"/>
          <w:szCs w:val="17"/>
        </w:rPr>
        <w:t>)</w:t>
      </w:r>
      <w:r w:rsidRPr="006A1AA0">
        <w:rPr>
          <w:sz w:val="17"/>
          <w:szCs w:val="17"/>
        </w:rPr>
        <w:tab/>
        <w:t>=</w:t>
      </w:r>
      <w:r w:rsidRPr="006A1AA0">
        <w:rPr>
          <w:sz w:val="17"/>
          <w:szCs w:val="17"/>
        </w:rPr>
        <w:tab/>
        <w:t>0.80</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Number of groups</w:t>
      </w:r>
      <w:r w:rsidRPr="006A1AA0">
        <w:rPr>
          <w:sz w:val="17"/>
          <w:szCs w:val="17"/>
        </w:rPr>
        <w:tab/>
        <w:t>=</w:t>
      </w:r>
      <w:r w:rsidRPr="006A1AA0">
        <w:rPr>
          <w:sz w:val="17"/>
          <w:szCs w:val="17"/>
        </w:rPr>
        <w:tab/>
        <w:t>3</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Output:</w:t>
      </w:r>
      <w:r w:rsidRPr="006A1AA0">
        <w:rPr>
          <w:sz w:val="17"/>
          <w:szCs w:val="17"/>
        </w:rPr>
        <w:tab/>
      </w:r>
      <w:proofErr w:type="spellStart"/>
      <w:r w:rsidRPr="006A1AA0">
        <w:rPr>
          <w:sz w:val="17"/>
          <w:szCs w:val="17"/>
        </w:rPr>
        <w:t>Noncentrality</w:t>
      </w:r>
      <w:proofErr w:type="spellEnd"/>
      <w:r w:rsidRPr="006A1AA0">
        <w:rPr>
          <w:sz w:val="17"/>
          <w:szCs w:val="17"/>
        </w:rPr>
        <w:t xml:space="preserve"> parameter λ</w:t>
      </w:r>
      <w:r w:rsidRPr="006A1AA0">
        <w:rPr>
          <w:sz w:val="17"/>
          <w:szCs w:val="17"/>
        </w:rPr>
        <w:tab/>
        <w:t>=</w:t>
      </w:r>
      <w:r w:rsidRPr="006A1AA0">
        <w:rPr>
          <w:sz w:val="17"/>
          <w:szCs w:val="17"/>
        </w:rPr>
        <w:tab/>
        <w:t>10.2900000</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Critical F</w:t>
      </w:r>
      <w:r w:rsidRPr="006A1AA0">
        <w:rPr>
          <w:sz w:val="17"/>
          <w:szCs w:val="17"/>
        </w:rPr>
        <w:tab/>
        <w:t>=</w:t>
      </w:r>
      <w:r w:rsidRPr="006A1AA0">
        <w:rPr>
          <w:sz w:val="17"/>
          <w:szCs w:val="17"/>
        </w:rPr>
        <w:tab/>
        <w:t>3.1093105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Numerator </w:t>
      </w:r>
      <w:proofErr w:type="spellStart"/>
      <w:proofErr w:type="gramStart"/>
      <w:r w:rsidRPr="006A1AA0">
        <w:rPr>
          <w:sz w:val="17"/>
          <w:szCs w:val="17"/>
        </w:rPr>
        <w:t>df</w:t>
      </w:r>
      <w:proofErr w:type="spellEnd"/>
      <w:proofErr w:type="gramEnd"/>
      <w:r w:rsidRPr="006A1AA0">
        <w:rPr>
          <w:sz w:val="17"/>
          <w:szCs w:val="17"/>
        </w:rPr>
        <w:tab/>
        <w:t>=</w:t>
      </w:r>
      <w:r w:rsidRPr="006A1AA0">
        <w:rPr>
          <w:sz w:val="17"/>
          <w:szCs w:val="17"/>
        </w:rPr>
        <w:tab/>
        <w:t>2</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Denominator </w:t>
      </w:r>
      <w:proofErr w:type="spellStart"/>
      <w:proofErr w:type="gramStart"/>
      <w:r w:rsidRPr="006A1AA0">
        <w:rPr>
          <w:sz w:val="17"/>
          <w:szCs w:val="17"/>
        </w:rPr>
        <w:t>df</w:t>
      </w:r>
      <w:proofErr w:type="spellEnd"/>
      <w:proofErr w:type="gramEnd"/>
      <w:r w:rsidRPr="006A1AA0">
        <w:rPr>
          <w:sz w:val="17"/>
          <w:szCs w:val="17"/>
        </w:rPr>
        <w:tab/>
        <w:t>=</w:t>
      </w:r>
      <w:r w:rsidRPr="006A1AA0">
        <w:rPr>
          <w:sz w:val="17"/>
          <w:szCs w:val="17"/>
        </w:rPr>
        <w:tab/>
        <w:t>81</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Total sample size</w:t>
      </w:r>
      <w:r w:rsidRPr="006A1AA0">
        <w:rPr>
          <w:sz w:val="17"/>
          <w:szCs w:val="17"/>
        </w:rPr>
        <w:tab/>
        <w:t>=</w:t>
      </w:r>
      <w:r w:rsidRPr="006A1AA0">
        <w:rPr>
          <w:sz w:val="17"/>
          <w:szCs w:val="17"/>
        </w:rPr>
        <w:tab/>
        <w:t>84</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Actual power</w:t>
      </w:r>
      <w:r w:rsidRPr="006A1AA0">
        <w:rPr>
          <w:sz w:val="17"/>
          <w:szCs w:val="17"/>
        </w:rPr>
        <w:tab/>
        <w:t>=</w:t>
      </w:r>
      <w:r w:rsidRPr="006A1AA0">
        <w:rPr>
          <w:sz w:val="17"/>
          <w:szCs w:val="17"/>
        </w:rPr>
        <w:tab/>
        <w:t>0.8118799</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b/>
          <w:bCs/>
          <w:sz w:val="17"/>
          <w:szCs w:val="17"/>
        </w:rPr>
      </w:pP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b/>
          <w:bCs/>
          <w:sz w:val="17"/>
          <w:szCs w:val="17"/>
        </w:rPr>
      </w:pPr>
      <w:r w:rsidRPr="006A1AA0">
        <w:rPr>
          <w:b/>
          <w:bCs/>
          <w:sz w:val="17"/>
          <w:szCs w:val="17"/>
        </w:rPr>
        <w:t>3. Effect size f = 0.25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 xml:space="preserve">F tests - </w:t>
      </w:r>
      <w:r w:rsidRPr="006A1AA0">
        <w:rPr>
          <w:sz w:val="17"/>
          <w:szCs w:val="17"/>
        </w:rPr>
        <w:t>ANOVA: Fixed effects, omnibus, one-way</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Analysis:</w:t>
      </w:r>
      <w:r w:rsidRPr="006A1AA0">
        <w:rPr>
          <w:b/>
          <w:bCs/>
          <w:sz w:val="17"/>
          <w:szCs w:val="17"/>
        </w:rPr>
        <w:tab/>
      </w:r>
      <w:r w:rsidRPr="006A1AA0">
        <w:rPr>
          <w:sz w:val="17"/>
          <w:szCs w:val="17"/>
        </w:rPr>
        <w:t xml:space="preserve">A priori: Compute required sample size </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Input:</w:t>
      </w:r>
      <w:r w:rsidRPr="006A1AA0">
        <w:rPr>
          <w:sz w:val="17"/>
          <w:szCs w:val="17"/>
        </w:rPr>
        <w:tab/>
        <w:t>Effect size f</w:t>
      </w:r>
      <w:r w:rsidRPr="006A1AA0">
        <w:rPr>
          <w:sz w:val="17"/>
          <w:szCs w:val="17"/>
        </w:rPr>
        <w:tab/>
        <w:t>=</w:t>
      </w:r>
      <w:r w:rsidRPr="006A1AA0">
        <w:rPr>
          <w:sz w:val="17"/>
          <w:szCs w:val="17"/>
        </w:rPr>
        <w:tab/>
        <w:t>0.25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1440"/>
        <w:rPr>
          <w:sz w:val="17"/>
          <w:szCs w:val="17"/>
        </w:rPr>
      </w:pPr>
      <w:r w:rsidRPr="006A1AA0">
        <w:rPr>
          <w:sz w:val="17"/>
          <w:szCs w:val="17"/>
        </w:rPr>
        <w:tab/>
      </w:r>
      <w:proofErr w:type="gramStart"/>
      <w:r w:rsidRPr="006A1AA0">
        <w:rPr>
          <w:sz w:val="17"/>
          <w:szCs w:val="17"/>
        </w:rPr>
        <w:t>α</w:t>
      </w:r>
      <w:proofErr w:type="gramEnd"/>
      <w:r w:rsidRPr="006A1AA0">
        <w:rPr>
          <w:sz w:val="17"/>
          <w:szCs w:val="17"/>
        </w:rPr>
        <w:t xml:space="preserve"> err </w:t>
      </w:r>
      <w:proofErr w:type="spellStart"/>
      <w:r w:rsidRPr="006A1AA0">
        <w:rPr>
          <w:sz w:val="17"/>
          <w:szCs w:val="17"/>
        </w:rPr>
        <w:t>prob</w:t>
      </w:r>
      <w:proofErr w:type="spellEnd"/>
      <w:r w:rsidRPr="006A1AA0">
        <w:rPr>
          <w:sz w:val="17"/>
          <w:szCs w:val="17"/>
        </w:rPr>
        <w:tab/>
        <w:t>=</w:t>
      </w:r>
      <w:r w:rsidRPr="006A1AA0">
        <w:rPr>
          <w:sz w:val="17"/>
          <w:szCs w:val="17"/>
        </w:rPr>
        <w:tab/>
        <w:t>0.05</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Power (1-β err </w:t>
      </w:r>
      <w:proofErr w:type="spellStart"/>
      <w:r w:rsidRPr="006A1AA0">
        <w:rPr>
          <w:sz w:val="17"/>
          <w:szCs w:val="17"/>
        </w:rPr>
        <w:t>prob</w:t>
      </w:r>
      <w:proofErr w:type="spellEnd"/>
      <w:r w:rsidRPr="006A1AA0">
        <w:rPr>
          <w:sz w:val="17"/>
          <w:szCs w:val="17"/>
        </w:rPr>
        <w:t>)</w:t>
      </w:r>
      <w:r w:rsidRPr="006A1AA0">
        <w:rPr>
          <w:sz w:val="17"/>
          <w:szCs w:val="17"/>
        </w:rPr>
        <w:tab/>
        <w:t>=</w:t>
      </w:r>
      <w:r w:rsidRPr="006A1AA0">
        <w:rPr>
          <w:sz w:val="17"/>
          <w:szCs w:val="17"/>
        </w:rPr>
        <w:tab/>
        <w:t>0.80</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Number of groups</w:t>
      </w:r>
      <w:r w:rsidRPr="006A1AA0">
        <w:rPr>
          <w:sz w:val="17"/>
          <w:szCs w:val="17"/>
        </w:rPr>
        <w:tab/>
        <w:t>=</w:t>
      </w:r>
      <w:r w:rsidRPr="006A1AA0">
        <w:rPr>
          <w:sz w:val="17"/>
          <w:szCs w:val="17"/>
        </w:rPr>
        <w:tab/>
        <w:t>3</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b/>
          <w:bCs/>
          <w:sz w:val="17"/>
          <w:szCs w:val="17"/>
        </w:rPr>
        <w:t>Output:</w:t>
      </w:r>
      <w:r w:rsidRPr="006A1AA0">
        <w:rPr>
          <w:sz w:val="17"/>
          <w:szCs w:val="17"/>
        </w:rPr>
        <w:tab/>
      </w:r>
      <w:proofErr w:type="spellStart"/>
      <w:r w:rsidRPr="006A1AA0">
        <w:rPr>
          <w:sz w:val="17"/>
          <w:szCs w:val="17"/>
        </w:rPr>
        <w:t>Noncentrality</w:t>
      </w:r>
      <w:proofErr w:type="spellEnd"/>
      <w:r w:rsidRPr="006A1AA0">
        <w:rPr>
          <w:sz w:val="17"/>
          <w:szCs w:val="17"/>
        </w:rPr>
        <w:t xml:space="preserve"> parameter λ</w:t>
      </w:r>
      <w:r w:rsidRPr="006A1AA0">
        <w:rPr>
          <w:sz w:val="17"/>
          <w:szCs w:val="17"/>
        </w:rPr>
        <w:tab/>
        <w:t>=</w:t>
      </w:r>
      <w:r w:rsidRPr="006A1AA0">
        <w:rPr>
          <w:sz w:val="17"/>
          <w:szCs w:val="17"/>
        </w:rPr>
        <w:tab/>
        <w:t>9.9375000</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Critical F</w:t>
      </w:r>
      <w:r w:rsidRPr="006A1AA0">
        <w:rPr>
          <w:sz w:val="17"/>
          <w:szCs w:val="17"/>
        </w:rPr>
        <w:tab/>
        <w:t>=</w:t>
      </w:r>
      <w:r w:rsidRPr="006A1AA0">
        <w:rPr>
          <w:sz w:val="17"/>
          <w:szCs w:val="17"/>
        </w:rPr>
        <w:tab/>
        <w:t>3.0540042</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Numerator </w:t>
      </w:r>
      <w:proofErr w:type="spellStart"/>
      <w:proofErr w:type="gramStart"/>
      <w:r w:rsidRPr="006A1AA0">
        <w:rPr>
          <w:sz w:val="17"/>
          <w:szCs w:val="17"/>
        </w:rPr>
        <w:t>df</w:t>
      </w:r>
      <w:proofErr w:type="spellEnd"/>
      <w:proofErr w:type="gramEnd"/>
      <w:r w:rsidRPr="006A1AA0">
        <w:rPr>
          <w:sz w:val="17"/>
          <w:szCs w:val="17"/>
        </w:rPr>
        <w:tab/>
        <w:t>=</w:t>
      </w:r>
      <w:r w:rsidRPr="006A1AA0">
        <w:rPr>
          <w:sz w:val="17"/>
          <w:szCs w:val="17"/>
        </w:rPr>
        <w:tab/>
        <w:t>2</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 xml:space="preserve">Denominator </w:t>
      </w:r>
      <w:proofErr w:type="spellStart"/>
      <w:proofErr w:type="gramStart"/>
      <w:r w:rsidRPr="006A1AA0">
        <w:rPr>
          <w:sz w:val="17"/>
          <w:szCs w:val="17"/>
        </w:rPr>
        <w:t>df</w:t>
      </w:r>
      <w:proofErr w:type="spellEnd"/>
      <w:proofErr w:type="gramEnd"/>
      <w:r w:rsidRPr="006A1AA0">
        <w:rPr>
          <w:sz w:val="17"/>
          <w:szCs w:val="17"/>
        </w:rPr>
        <w:tab/>
        <w:t>=</w:t>
      </w:r>
      <w:r w:rsidRPr="006A1AA0">
        <w:rPr>
          <w:sz w:val="17"/>
          <w:szCs w:val="17"/>
        </w:rPr>
        <w:tab/>
        <w:t>156</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Total sample size</w:t>
      </w:r>
      <w:r w:rsidRPr="006A1AA0">
        <w:rPr>
          <w:sz w:val="17"/>
          <w:szCs w:val="17"/>
        </w:rPr>
        <w:tab/>
        <w:t>=</w:t>
      </w:r>
      <w:r w:rsidRPr="006A1AA0">
        <w:rPr>
          <w:sz w:val="17"/>
          <w:szCs w:val="17"/>
        </w:rPr>
        <w:tab/>
        <w:t>159</w:t>
      </w:r>
    </w:p>
    <w:p w:rsidR="00E25830" w:rsidRPr="006A1AA0" w:rsidRDefault="00E25830" w:rsidP="00E25830">
      <w:pPr>
        <w:widowControl w:val="0"/>
        <w:tabs>
          <w:tab w:val="left" w:pos="1134"/>
          <w:tab w:val="left" w:pos="3969"/>
          <w:tab w:val="left" w:pos="4252"/>
          <w:tab w:val="left" w:pos="6804"/>
        </w:tabs>
        <w:autoSpaceDE w:val="0"/>
        <w:autoSpaceDN w:val="0"/>
        <w:adjustRightInd w:val="0"/>
        <w:ind w:left="2520"/>
        <w:rPr>
          <w:sz w:val="17"/>
          <w:szCs w:val="17"/>
        </w:rPr>
      </w:pPr>
      <w:r w:rsidRPr="006A1AA0">
        <w:rPr>
          <w:sz w:val="17"/>
          <w:szCs w:val="17"/>
        </w:rPr>
        <w:tab/>
        <w:t>Actual power</w:t>
      </w:r>
      <w:r w:rsidRPr="006A1AA0">
        <w:rPr>
          <w:sz w:val="17"/>
          <w:szCs w:val="17"/>
        </w:rPr>
        <w:tab/>
        <w:t>=</w:t>
      </w:r>
      <w:r w:rsidRPr="006A1AA0">
        <w:rPr>
          <w:sz w:val="17"/>
          <w:szCs w:val="17"/>
        </w:rPr>
        <w:tab/>
        <w:t>0.8048873</w:t>
      </w:r>
    </w:p>
    <w:p w:rsidR="00E25830" w:rsidRPr="006A1AA0" w:rsidRDefault="00E25830" w:rsidP="00E25830">
      <w:pPr>
        <w:ind w:left="2520"/>
        <w:rPr>
          <w:sz w:val="17"/>
          <w:szCs w:val="17"/>
        </w:rPr>
      </w:pPr>
    </w:p>
    <w:p w:rsidR="00E25830" w:rsidRPr="006A1AA0" w:rsidRDefault="00E25830" w:rsidP="00E25830">
      <w:pPr>
        <w:pStyle w:val="Figure"/>
        <w:rPr>
          <w:sz w:val="17"/>
          <w:szCs w:val="17"/>
        </w:rPr>
      </w:pPr>
      <w:r w:rsidRPr="006A1AA0">
        <w:t>G*power® outputs for effect size estimates</w:t>
      </w:r>
    </w:p>
    <w:p w:rsidR="00C44998" w:rsidRPr="007A5DFA" w:rsidRDefault="00C44998" w:rsidP="00C44998">
      <w:pPr>
        <w:ind w:firstLine="720"/>
      </w:pPr>
    </w:p>
    <w:p w:rsidR="00E25830" w:rsidRPr="006A1AA0" w:rsidRDefault="00C44998" w:rsidP="00E25830">
      <w:pPr>
        <w:ind w:firstLine="720"/>
      </w:pPr>
      <w:r w:rsidRPr="00FB6BA9">
        <w:t xml:space="preserve">As can be seen in </w:t>
      </w:r>
      <w:r w:rsidR="00E25830" w:rsidRPr="006A1AA0">
        <w:t xml:space="preserve">Figure </w:t>
      </w:r>
      <w:r w:rsidRPr="006A1AA0">
        <w:t xml:space="preserve">1, a sample size of 51 would be sufficient to detect an </w:t>
      </w:r>
      <w:r w:rsidRPr="006A1AA0">
        <w:rPr>
          <w:i/>
        </w:rPr>
        <w:t>Effect Size f</w:t>
      </w:r>
      <w:r w:rsidRPr="006A1AA0">
        <w:t xml:space="preserve"> of </w:t>
      </w:r>
      <w:r w:rsidR="003D35D9">
        <w:t>0</w:t>
      </w:r>
      <w:r w:rsidRPr="006A1AA0">
        <w:t>.45</w:t>
      </w:r>
      <w:r w:rsidR="00E25830" w:rsidRPr="006A1AA0">
        <w:t>.</w:t>
      </w:r>
      <w:r w:rsidRPr="006A1AA0">
        <w:t xml:space="preserve"> </w:t>
      </w:r>
      <w:r w:rsidR="00E25830" w:rsidRPr="006A1AA0">
        <w:t xml:space="preserve">This effect size estimate indicates that the outcome measure (driving exposure measures for this study) of the average person in the group of interest needs to be about </w:t>
      </w:r>
      <w:r w:rsidR="003D35D9">
        <w:t>0</w:t>
      </w:r>
      <w:r w:rsidR="00E25830" w:rsidRPr="006A1AA0">
        <w:t xml:space="preserve">.80 to </w:t>
      </w:r>
      <w:r w:rsidR="003D35D9">
        <w:t>0</w:t>
      </w:r>
      <w:r w:rsidR="00E25830" w:rsidRPr="006A1AA0">
        <w:t xml:space="preserve">.90 standard deviations above (or below) the same measure of the referent group for a statistically significant difference to be observed. </w:t>
      </w:r>
      <w:r w:rsidR="00AC5D1F">
        <w:t>According to the 2009 National Household Transportation Survey, daily vehicle trip</w:t>
      </w:r>
      <w:r w:rsidR="006B201E">
        <w:t>s per driver 65 and older was an average of 2.7</w:t>
      </w:r>
      <w:r w:rsidR="00AC5D1F">
        <w:t xml:space="preserve"> </w:t>
      </w:r>
      <w:r w:rsidR="006B201E">
        <w:t>trips</w:t>
      </w:r>
      <w:r w:rsidR="00AC5D1F">
        <w:t>, and daily vehicle miles traveled by driver</w:t>
      </w:r>
      <w:r w:rsidR="006B201E">
        <w:t xml:space="preserve"> 65 and older was 20 miles.  </w:t>
      </w:r>
      <w:r w:rsidR="00FE0B6C">
        <w:t xml:space="preserve">Given the expected distribution of these variables based upon Tables 2 and 3, only differences of about one standard deviation or greater would be of substantive interest and would represent a meaningful change in driver behavior.  </w:t>
      </w:r>
      <w:r w:rsidR="006B201E">
        <w:t xml:space="preserve">   </w:t>
      </w:r>
      <w:r w:rsidR="00AC5D1F">
        <w:t xml:space="preserve"> </w:t>
      </w:r>
      <w:r w:rsidR="00E25830" w:rsidRPr="006A1AA0">
        <w:t xml:space="preserve"> </w:t>
      </w:r>
    </w:p>
    <w:p w:rsidR="00E25830" w:rsidRPr="006A1AA0" w:rsidRDefault="00E25830" w:rsidP="00C44998">
      <w:pPr>
        <w:ind w:firstLine="720"/>
      </w:pPr>
    </w:p>
    <w:p w:rsidR="00E25830" w:rsidRPr="006A1AA0" w:rsidRDefault="00E25830" w:rsidP="00E25830">
      <w:pPr>
        <w:ind w:firstLine="720"/>
      </w:pPr>
      <w:r w:rsidRPr="006A1AA0">
        <w:lastRenderedPageBreak/>
        <w:t xml:space="preserve">As such, the project proposes to collect data from 60 participants to allow for lost data and to detect a slightly smaller effect size if present. As can be seen in </w:t>
      </w:r>
      <w:r w:rsidRPr="006A1AA0">
        <w:fldChar w:fldCharType="begin"/>
      </w:r>
      <w:r w:rsidRPr="006A1AA0">
        <w:instrText xml:space="preserve"> REF _Ref441501941 \r \h </w:instrText>
      </w:r>
      <w:r w:rsidRPr="006A1AA0">
        <w:fldChar w:fldCharType="separate"/>
      </w:r>
      <w:r w:rsidRPr="006A1AA0">
        <w:t>Table 3</w:t>
      </w:r>
      <w:r w:rsidRPr="006A1AA0">
        <w:fldChar w:fldCharType="end"/>
      </w:r>
      <w:r w:rsidRPr="006A1AA0">
        <w:t xml:space="preserve"> and Figure 1, a larger sample of 84 is required to detect an </w:t>
      </w:r>
      <w:r w:rsidRPr="006A1AA0">
        <w:rPr>
          <w:i/>
        </w:rPr>
        <w:t>Effect Size f</w:t>
      </w:r>
      <w:r w:rsidRPr="006A1AA0">
        <w:t xml:space="preserve"> of .35, and a sample of 159 is required for an </w:t>
      </w:r>
      <w:r w:rsidRPr="006A1AA0">
        <w:rPr>
          <w:i/>
        </w:rPr>
        <w:t>Effect Size f</w:t>
      </w:r>
      <w:r w:rsidRPr="006A1AA0">
        <w:t xml:space="preserve"> of .25. Increasing the sample to these levels would require an increase in project funding and time to collect the additional data with little added benefit given the expected differences in the measures of interest.</w:t>
      </w:r>
    </w:p>
    <w:p w:rsidR="00343012" w:rsidRDefault="00343012" w:rsidP="00C44998">
      <w:pPr>
        <w:widowControl w:val="0"/>
        <w:tabs>
          <w:tab w:val="left" w:pos="1134"/>
          <w:tab w:val="left" w:pos="3969"/>
          <w:tab w:val="left" w:pos="4252"/>
          <w:tab w:val="left" w:pos="6804"/>
        </w:tabs>
        <w:autoSpaceDE w:val="0"/>
        <w:autoSpaceDN w:val="0"/>
        <w:adjustRightInd w:val="0"/>
        <w:ind w:left="1980" w:firstLine="540"/>
        <w:rPr>
          <w:rFonts w:ascii="Lucida Sans Unicode" w:hAnsi="Lucida Sans Unicode" w:cs="Lucida Sans Unicode"/>
          <w:b/>
          <w:bCs/>
          <w:color w:val="000000"/>
          <w:sz w:val="17"/>
          <w:szCs w:val="17"/>
        </w:rPr>
      </w:pPr>
    </w:p>
    <w:p w:rsidR="00343012" w:rsidRDefault="00343012" w:rsidP="00C44998">
      <w:pPr>
        <w:widowControl w:val="0"/>
        <w:tabs>
          <w:tab w:val="left" w:pos="1134"/>
          <w:tab w:val="left" w:pos="3969"/>
          <w:tab w:val="left" w:pos="4252"/>
          <w:tab w:val="left" w:pos="6804"/>
        </w:tabs>
        <w:autoSpaceDE w:val="0"/>
        <w:autoSpaceDN w:val="0"/>
        <w:adjustRightInd w:val="0"/>
        <w:ind w:left="1980" w:firstLine="540"/>
        <w:rPr>
          <w:rFonts w:ascii="Lucida Sans Unicode" w:hAnsi="Lucida Sans Unicode" w:cs="Lucida Sans Unicode"/>
          <w:b/>
          <w:bCs/>
          <w:color w:val="000000"/>
          <w:sz w:val="17"/>
          <w:szCs w:val="17"/>
        </w:rPr>
      </w:pPr>
    </w:p>
    <w:p w:rsidR="00C44998" w:rsidRDefault="00C44998" w:rsidP="00C44998">
      <w:pPr>
        <w:widowControl w:val="0"/>
        <w:tabs>
          <w:tab w:val="left" w:pos="1134"/>
          <w:tab w:val="left" w:pos="3969"/>
          <w:tab w:val="left" w:pos="4252"/>
          <w:tab w:val="left" w:pos="6804"/>
        </w:tabs>
        <w:autoSpaceDE w:val="0"/>
        <w:autoSpaceDN w:val="0"/>
        <w:adjustRightInd w:val="0"/>
        <w:ind w:left="1980" w:firstLine="540"/>
        <w:rPr>
          <w:rFonts w:ascii="Lucida Sans Unicode" w:hAnsi="Lucida Sans Unicode" w:cs="Lucida Sans Unicode"/>
          <w:b/>
          <w:bCs/>
          <w:color w:val="000000"/>
          <w:sz w:val="17"/>
          <w:szCs w:val="17"/>
        </w:rPr>
      </w:pPr>
      <w:r>
        <w:rPr>
          <w:rFonts w:ascii="Lucida Sans Unicode" w:hAnsi="Lucida Sans Unicode" w:cs="Lucida Sans Unicode"/>
          <w:b/>
          <w:bCs/>
          <w:noProof/>
          <w:color w:val="000000"/>
          <w:sz w:val="17"/>
          <w:szCs w:val="17"/>
        </w:rPr>
        <mc:AlternateContent>
          <mc:Choice Requires="wps">
            <w:drawing>
              <wp:anchor distT="0" distB="0" distL="114300" distR="114300" simplePos="0" relativeHeight="251661312" behindDoc="0" locked="0" layoutInCell="1" allowOverlap="1" wp14:anchorId="129037D4" wp14:editId="41BA8E64">
                <wp:simplePos x="0" y="0"/>
                <wp:positionH relativeFrom="column">
                  <wp:posOffset>824345</wp:posOffset>
                </wp:positionH>
                <wp:positionV relativeFrom="paragraph">
                  <wp:posOffset>-228600</wp:posOffset>
                </wp:positionV>
                <wp:extent cx="5146964" cy="7107382"/>
                <wp:effectExtent l="0" t="0" r="15875" b="17780"/>
                <wp:wrapNone/>
                <wp:docPr id="4" name="Rectangle 4"/>
                <wp:cNvGraphicFramePr/>
                <a:graphic xmlns:a="http://schemas.openxmlformats.org/drawingml/2006/main">
                  <a:graphicData uri="http://schemas.microsoft.com/office/word/2010/wordprocessingShape">
                    <wps:wsp>
                      <wps:cNvSpPr/>
                      <wps:spPr>
                        <a:xfrm>
                          <a:off x="0" y="0"/>
                          <a:ext cx="5146964" cy="7107382"/>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64.9pt;margin-top:-18pt;width:405.25pt;height:559.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" filled="f" strokecolor="black [3200]" strokeweight="2pt"/>
            </w:pict>
          </mc:Fallback>
        </mc:AlternateContent>
      </w:r>
      <w:r>
        <w:rPr>
          <w:rFonts w:ascii="Lucida Sans Unicode" w:hAnsi="Lucida Sans Unicode" w:cs="Lucida Sans Unicode"/>
          <w:b/>
          <w:bCs/>
          <w:color w:val="000000"/>
          <w:sz w:val="17"/>
          <w:szCs w:val="17"/>
        </w:rPr>
        <w:t>1. Effect size f = 0.45</w:t>
      </w:r>
    </w:p>
    <w:p w:rsidR="00C44998" w:rsidRPr="0009039F"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sidRPr="0009039F">
        <w:rPr>
          <w:rFonts w:ascii="Lucida Sans Unicode" w:hAnsi="Lucida Sans Unicode" w:cs="Lucida Sans Unicode"/>
          <w:b/>
          <w:bCs/>
          <w:color w:val="000000"/>
          <w:sz w:val="17"/>
          <w:szCs w:val="17"/>
        </w:rPr>
        <w:t xml:space="preserve">F tests - </w:t>
      </w:r>
      <w:r w:rsidRPr="0009039F">
        <w:rPr>
          <w:rFonts w:ascii="Lucida Sans Unicode" w:hAnsi="Lucida Sans Unicode" w:cs="Lucida Sans Unicode"/>
          <w:color w:val="000000"/>
          <w:sz w:val="17"/>
          <w:szCs w:val="17"/>
        </w:rPr>
        <w:t>ANOVA: Fixed effects, omnibus, one-way</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Analysis:</w:t>
      </w:r>
      <w:r>
        <w:rPr>
          <w:rFonts w:ascii="Lucida Sans Unicode" w:hAnsi="Lucida Sans Unicode" w:cs="Lucida Sans Unicode"/>
          <w:b/>
          <w:bCs/>
          <w:color w:val="000000"/>
          <w:sz w:val="17"/>
          <w:szCs w:val="17"/>
        </w:rPr>
        <w:tab/>
      </w:r>
      <w:r>
        <w:rPr>
          <w:rFonts w:ascii="Lucida Sans Unicode" w:hAnsi="Lucida Sans Unicode" w:cs="Lucida Sans Unicode"/>
          <w:color w:val="000000"/>
          <w:sz w:val="17"/>
          <w:szCs w:val="17"/>
        </w:rPr>
        <w:t xml:space="preserve">A priori: Compute required sample size </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Input:</w:t>
      </w:r>
      <w:r>
        <w:rPr>
          <w:rFonts w:ascii="Lucida Sans Unicode" w:hAnsi="Lucida Sans Unicode" w:cs="Lucida Sans Unicode"/>
          <w:color w:val="000000"/>
          <w:sz w:val="17"/>
          <w:szCs w:val="17"/>
        </w:rPr>
        <w:tab/>
        <w:t>Effect size f</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0.45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r>
      <w:proofErr w:type="gramStart"/>
      <w:r>
        <w:rPr>
          <w:rFonts w:ascii="Lucida Sans Unicode" w:hAnsi="Lucida Sans Unicode" w:cs="Lucida Sans Unicode"/>
          <w:color w:val="000000"/>
          <w:sz w:val="17"/>
          <w:szCs w:val="17"/>
        </w:rPr>
        <w:t>α</w:t>
      </w:r>
      <w:proofErr w:type="gramEnd"/>
      <w:r>
        <w:rPr>
          <w:rFonts w:ascii="Lucida Sans Unicode" w:hAnsi="Lucida Sans Unicode" w:cs="Lucida Sans Unicode"/>
          <w:color w:val="000000"/>
          <w:sz w:val="17"/>
          <w:szCs w:val="17"/>
        </w:rPr>
        <w:t xml:space="preserve"> err </w:t>
      </w:r>
      <w:proofErr w:type="spellStart"/>
      <w:r>
        <w:rPr>
          <w:rFonts w:ascii="Lucida Sans Unicode" w:hAnsi="Lucida Sans Unicode" w:cs="Lucida Sans Unicode"/>
          <w:color w:val="000000"/>
          <w:sz w:val="17"/>
          <w:szCs w:val="17"/>
        </w:rPr>
        <w:t>prob</w:t>
      </w:r>
      <w:proofErr w:type="spell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0.05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Power (1-β err </w:t>
      </w:r>
      <w:proofErr w:type="spellStart"/>
      <w:r>
        <w:rPr>
          <w:rFonts w:ascii="Lucida Sans Unicode" w:hAnsi="Lucida Sans Unicode" w:cs="Lucida Sans Unicode"/>
          <w:color w:val="000000"/>
          <w:sz w:val="17"/>
          <w:szCs w:val="17"/>
        </w:rPr>
        <w:t>prob</w:t>
      </w:r>
      <w:proofErr w:type="spellEnd"/>
      <w:r>
        <w:rPr>
          <w:rFonts w:ascii="Lucida Sans Unicode" w:hAnsi="Lucida Sans Unicode" w:cs="Lucida Sans Unicode"/>
          <w:color w:val="000000"/>
          <w:sz w:val="17"/>
          <w:szCs w:val="17"/>
        </w:rPr>
        <w:t>)</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0.80</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Number of groups</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3</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Output:</w:t>
      </w:r>
      <w:r>
        <w:rPr>
          <w:rFonts w:ascii="Lucida Sans Unicode" w:hAnsi="Lucida Sans Unicode" w:cs="Lucida Sans Unicode"/>
          <w:color w:val="000000"/>
          <w:sz w:val="17"/>
          <w:szCs w:val="17"/>
        </w:rPr>
        <w:tab/>
      </w:r>
      <w:proofErr w:type="spellStart"/>
      <w:r>
        <w:rPr>
          <w:rFonts w:ascii="Lucida Sans Unicode" w:hAnsi="Lucida Sans Unicode" w:cs="Lucida Sans Unicode"/>
          <w:color w:val="000000"/>
          <w:sz w:val="17"/>
          <w:szCs w:val="17"/>
        </w:rPr>
        <w:t>Noncentrality</w:t>
      </w:r>
      <w:proofErr w:type="spellEnd"/>
      <w:r>
        <w:rPr>
          <w:rFonts w:ascii="Lucida Sans Unicode" w:hAnsi="Lucida Sans Unicode" w:cs="Lucida Sans Unicode"/>
          <w:color w:val="000000"/>
          <w:sz w:val="17"/>
          <w:szCs w:val="17"/>
        </w:rPr>
        <w:t xml:space="preserve"> parameter λ</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10.3275000</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Critical F</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3.1907273</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Numerator </w:t>
      </w:r>
      <w:proofErr w:type="spellStart"/>
      <w:proofErr w:type="gramStart"/>
      <w:r>
        <w:rPr>
          <w:rFonts w:ascii="Lucida Sans Unicode" w:hAnsi="Lucida Sans Unicode" w:cs="Lucida Sans Unicode"/>
          <w:color w:val="000000"/>
          <w:sz w:val="17"/>
          <w:szCs w:val="17"/>
        </w:rPr>
        <w:t>df</w:t>
      </w:r>
      <w:proofErr w:type="spellEnd"/>
      <w:proofErr w:type="gram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2</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Denominator </w:t>
      </w:r>
      <w:proofErr w:type="spellStart"/>
      <w:proofErr w:type="gramStart"/>
      <w:r>
        <w:rPr>
          <w:rFonts w:ascii="Lucida Sans Unicode" w:hAnsi="Lucida Sans Unicode" w:cs="Lucida Sans Unicode"/>
          <w:color w:val="000000"/>
          <w:sz w:val="17"/>
          <w:szCs w:val="17"/>
        </w:rPr>
        <w:t>df</w:t>
      </w:r>
      <w:proofErr w:type="spellEnd"/>
      <w:proofErr w:type="gram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48</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Total sample size</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51</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Actual power</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0.8026588</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b/>
          <w:bCs/>
          <w:color w:val="000000"/>
          <w:sz w:val="17"/>
          <w:szCs w:val="17"/>
        </w:rPr>
      </w:pP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b/>
          <w:bCs/>
          <w:color w:val="000000"/>
          <w:sz w:val="17"/>
          <w:szCs w:val="17"/>
        </w:rPr>
      </w:pPr>
      <w:r>
        <w:rPr>
          <w:rFonts w:ascii="Lucida Sans Unicode" w:hAnsi="Lucida Sans Unicode" w:cs="Lucida Sans Unicode"/>
          <w:b/>
          <w:bCs/>
          <w:color w:val="000000"/>
          <w:sz w:val="17"/>
          <w:szCs w:val="17"/>
        </w:rPr>
        <w:t>2. Effect size f = 0.35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 xml:space="preserve">F tests - </w:t>
      </w:r>
      <w:r>
        <w:rPr>
          <w:rFonts w:ascii="Lucida Sans Unicode" w:hAnsi="Lucida Sans Unicode" w:cs="Lucida Sans Unicode"/>
          <w:color w:val="000000"/>
          <w:sz w:val="17"/>
          <w:szCs w:val="17"/>
        </w:rPr>
        <w:t>ANOVA: Fixed effects, omnibus, one-way</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Analysis:</w:t>
      </w:r>
      <w:r>
        <w:rPr>
          <w:rFonts w:ascii="Lucida Sans Unicode" w:hAnsi="Lucida Sans Unicode" w:cs="Lucida Sans Unicode"/>
          <w:b/>
          <w:bCs/>
          <w:color w:val="000000"/>
          <w:sz w:val="17"/>
          <w:szCs w:val="17"/>
        </w:rPr>
        <w:tab/>
      </w:r>
      <w:r>
        <w:rPr>
          <w:rFonts w:ascii="Lucida Sans Unicode" w:hAnsi="Lucida Sans Unicode" w:cs="Lucida Sans Unicode"/>
          <w:color w:val="000000"/>
          <w:sz w:val="17"/>
          <w:szCs w:val="17"/>
        </w:rPr>
        <w:t xml:space="preserve">A priori: Compute required sample size </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Input:</w:t>
      </w:r>
      <w:r>
        <w:rPr>
          <w:rFonts w:ascii="Lucida Sans Unicode" w:hAnsi="Lucida Sans Unicode" w:cs="Lucida Sans Unicode"/>
          <w:color w:val="000000"/>
          <w:sz w:val="17"/>
          <w:szCs w:val="17"/>
        </w:rPr>
        <w:tab/>
        <w:t>Effect size f</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0.35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r>
      <w:proofErr w:type="gramStart"/>
      <w:r>
        <w:rPr>
          <w:rFonts w:ascii="Lucida Sans Unicode" w:hAnsi="Lucida Sans Unicode" w:cs="Lucida Sans Unicode"/>
          <w:color w:val="000000"/>
          <w:sz w:val="17"/>
          <w:szCs w:val="17"/>
        </w:rPr>
        <w:t>α</w:t>
      </w:r>
      <w:proofErr w:type="gramEnd"/>
      <w:r>
        <w:rPr>
          <w:rFonts w:ascii="Lucida Sans Unicode" w:hAnsi="Lucida Sans Unicode" w:cs="Lucida Sans Unicode"/>
          <w:color w:val="000000"/>
          <w:sz w:val="17"/>
          <w:szCs w:val="17"/>
        </w:rPr>
        <w:t xml:space="preserve"> err </w:t>
      </w:r>
      <w:proofErr w:type="spellStart"/>
      <w:r>
        <w:rPr>
          <w:rFonts w:ascii="Lucida Sans Unicode" w:hAnsi="Lucida Sans Unicode" w:cs="Lucida Sans Unicode"/>
          <w:color w:val="000000"/>
          <w:sz w:val="17"/>
          <w:szCs w:val="17"/>
        </w:rPr>
        <w:t>prob</w:t>
      </w:r>
      <w:proofErr w:type="spell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0.05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Power (1-β err </w:t>
      </w:r>
      <w:proofErr w:type="spellStart"/>
      <w:r>
        <w:rPr>
          <w:rFonts w:ascii="Lucida Sans Unicode" w:hAnsi="Lucida Sans Unicode" w:cs="Lucida Sans Unicode"/>
          <w:color w:val="000000"/>
          <w:sz w:val="17"/>
          <w:szCs w:val="17"/>
        </w:rPr>
        <w:t>prob</w:t>
      </w:r>
      <w:proofErr w:type="spellEnd"/>
      <w:r>
        <w:rPr>
          <w:rFonts w:ascii="Lucida Sans Unicode" w:hAnsi="Lucida Sans Unicode" w:cs="Lucida Sans Unicode"/>
          <w:color w:val="000000"/>
          <w:sz w:val="17"/>
          <w:szCs w:val="17"/>
        </w:rPr>
        <w:t>)</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0.80</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Number of groups</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3</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Output:</w:t>
      </w:r>
      <w:r>
        <w:rPr>
          <w:rFonts w:ascii="Lucida Sans Unicode" w:hAnsi="Lucida Sans Unicode" w:cs="Lucida Sans Unicode"/>
          <w:color w:val="000000"/>
          <w:sz w:val="17"/>
          <w:szCs w:val="17"/>
        </w:rPr>
        <w:tab/>
      </w:r>
      <w:proofErr w:type="spellStart"/>
      <w:r>
        <w:rPr>
          <w:rFonts w:ascii="Lucida Sans Unicode" w:hAnsi="Lucida Sans Unicode" w:cs="Lucida Sans Unicode"/>
          <w:color w:val="000000"/>
          <w:sz w:val="17"/>
          <w:szCs w:val="17"/>
        </w:rPr>
        <w:t>Noncentrality</w:t>
      </w:r>
      <w:proofErr w:type="spellEnd"/>
      <w:r>
        <w:rPr>
          <w:rFonts w:ascii="Lucida Sans Unicode" w:hAnsi="Lucida Sans Unicode" w:cs="Lucida Sans Unicode"/>
          <w:color w:val="000000"/>
          <w:sz w:val="17"/>
          <w:szCs w:val="17"/>
        </w:rPr>
        <w:t xml:space="preserve"> parameter λ</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10.2900000</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Critical F</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3.1093105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Numerator </w:t>
      </w:r>
      <w:proofErr w:type="spellStart"/>
      <w:proofErr w:type="gramStart"/>
      <w:r>
        <w:rPr>
          <w:rFonts w:ascii="Lucida Sans Unicode" w:hAnsi="Lucida Sans Unicode" w:cs="Lucida Sans Unicode"/>
          <w:color w:val="000000"/>
          <w:sz w:val="17"/>
          <w:szCs w:val="17"/>
        </w:rPr>
        <w:t>df</w:t>
      </w:r>
      <w:proofErr w:type="spellEnd"/>
      <w:proofErr w:type="gram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2</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Denominator </w:t>
      </w:r>
      <w:proofErr w:type="spellStart"/>
      <w:proofErr w:type="gramStart"/>
      <w:r>
        <w:rPr>
          <w:rFonts w:ascii="Lucida Sans Unicode" w:hAnsi="Lucida Sans Unicode" w:cs="Lucida Sans Unicode"/>
          <w:color w:val="000000"/>
          <w:sz w:val="17"/>
          <w:szCs w:val="17"/>
        </w:rPr>
        <w:t>df</w:t>
      </w:r>
      <w:proofErr w:type="spellEnd"/>
      <w:proofErr w:type="gram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81</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Total sample size</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84</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Actual power</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0.8118799</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b/>
          <w:bCs/>
          <w:color w:val="000000"/>
          <w:sz w:val="17"/>
          <w:szCs w:val="17"/>
        </w:rPr>
      </w:pP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b/>
          <w:bCs/>
          <w:color w:val="000000"/>
          <w:sz w:val="17"/>
          <w:szCs w:val="17"/>
        </w:rPr>
      </w:pPr>
      <w:r>
        <w:rPr>
          <w:rFonts w:ascii="Lucida Sans Unicode" w:hAnsi="Lucida Sans Unicode" w:cs="Lucida Sans Unicode"/>
          <w:b/>
          <w:bCs/>
          <w:color w:val="000000"/>
          <w:sz w:val="17"/>
          <w:szCs w:val="17"/>
        </w:rPr>
        <w:t>3. Effect size f = 0.25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 xml:space="preserve">F tests - </w:t>
      </w:r>
      <w:r>
        <w:rPr>
          <w:rFonts w:ascii="Lucida Sans Unicode" w:hAnsi="Lucida Sans Unicode" w:cs="Lucida Sans Unicode"/>
          <w:color w:val="000000"/>
          <w:sz w:val="17"/>
          <w:szCs w:val="17"/>
        </w:rPr>
        <w:t>ANOVA: Fixed effects, omnibus, one-way</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Analysis:</w:t>
      </w:r>
      <w:r>
        <w:rPr>
          <w:rFonts w:ascii="Lucida Sans Unicode" w:hAnsi="Lucida Sans Unicode" w:cs="Lucida Sans Unicode"/>
          <w:b/>
          <w:bCs/>
          <w:color w:val="000000"/>
          <w:sz w:val="17"/>
          <w:szCs w:val="17"/>
        </w:rPr>
        <w:tab/>
      </w:r>
      <w:r>
        <w:rPr>
          <w:rFonts w:ascii="Lucida Sans Unicode" w:hAnsi="Lucida Sans Unicode" w:cs="Lucida Sans Unicode"/>
          <w:color w:val="000000"/>
          <w:sz w:val="17"/>
          <w:szCs w:val="17"/>
        </w:rPr>
        <w:t xml:space="preserve">A priori: Compute required sample size </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Input:</w:t>
      </w:r>
      <w:r>
        <w:rPr>
          <w:rFonts w:ascii="Lucida Sans Unicode" w:hAnsi="Lucida Sans Unicode" w:cs="Lucida Sans Unicode"/>
          <w:color w:val="000000"/>
          <w:sz w:val="17"/>
          <w:szCs w:val="17"/>
        </w:rPr>
        <w:tab/>
        <w:t>Effect size f</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0.25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r>
      <w:proofErr w:type="gramStart"/>
      <w:r>
        <w:rPr>
          <w:rFonts w:ascii="Lucida Sans Unicode" w:hAnsi="Lucida Sans Unicode" w:cs="Lucida Sans Unicode"/>
          <w:color w:val="000000"/>
          <w:sz w:val="17"/>
          <w:szCs w:val="17"/>
        </w:rPr>
        <w:t>α</w:t>
      </w:r>
      <w:proofErr w:type="gramEnd"/>
      <w:r>
        <w:rPr>
          <w:rFonts w:ascii="Lucida Sans Unicode" w:hAnsi="Lucida Sans Unicode" w:cs="Lucida Sans Unicode"/>
          <w:color w:val="000000"/>
          <w:sz w:val="17"/>
          <w:szCs w:val="17"/>
        </w:rPr>
        <w:t xml:space="preserve"> err </w:t>
      </w:r>
      <w:proofErr w:type="spellStart"/>
      <w:r>
        <w:rPr>
          <w:rFonts w:ascii="Lucida Sans Unicode" w:hAnsi="Lucida Sans Unicode" w:cs="Lucida Sans Unicode"/>
          <w:color w:val="000000"/>
          <w:sz w:val="17"/>
          <w:szCs w:val="17"/>
        </w:rPr>
        <w:t>prob</w:t>
      </w:r>
      <w:proofErr w:type="spell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0.05</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Power (1-β err </w:t>
      </w:r>
      <w:proofErr w:type="spellStart"/>
      <w:r>
        <w:rPr>
          <w:rFonts w:ascii="Lucida Sans Unicode" w:hAnsi="Lucida Sans Unicode" w:cs="Lucida Sans Unicode"/>
          <w:color w:val="000000"/>
          <w:sz w:val="17"/>
          <w:szCs w:val="17"/>
        </w:rPr>
        <w:t>prob</w:t>
      </w:r>
      <w:proofErr w:type="spellEnd"/>
      <w:r>
        <w:rPr>
          <w:rFonts w:ascii="Lucida Sans Unicode" w:hAnsi="Lucida Sans Unicode" w:cs="Lucida Sans Unicode"/>
          <w:color w:val="000000"/>
          <w:sz w:val="17"/>
          <w:szCs w:val="17"/>
        </w:rPr>
        <w:t>)</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0.80</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Number of groups</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3</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b/>
          <w:bCs/>
          <w:color w:val="000000"/>
          <w:sz w:val="17"/>
          <w:szCs w:val="17"/>
        </w:rPr>
        <w:t>Output:</w:t>
      </w:r>
      <w:r>
        <w:rPr>
          <w:rFonts w:ascii="Lucida Sans Unicode" w:hAnsi="Lucida Sans Unicode" w:cs="Lucida Sans Unicode"/>
          <w:color w:val="000000"/>
          <w:sz w:val="17"/>
          <w:szCs w:val="17"/>
        </w:rPr>
        <w:tab/>
      </w:r>
      <w:proofErr w:type="spellStart"/>
      <w:r>
        <w:rPr>
          <w:rFonts w:ascii="Lucida Sans Unicode" w:hAnsi="Lucida Sans Unicode" w:cs="Lucida Sans Unicode"/>
          <w:color w:val="000000"/>
          <w:sz w:val="17"/>
          <w:szCs w:val="17"/>
        </w:rPr>
        <w:t>Noncentrality</w:t>
      </w:r>
      <w:proofErr w:type="spellEnd"/>
      <w:r>
        <w:rPr>
          <w:rFonts w:ascii="Lucida Sans Unicode" w:hAnsi="Lucida Sans Unicode" w:cs="Lucida Sans Unicode"/>
          <w:color w:val="000000"/>
          <w:sz w:val="17"/>
          <w:szCs w:val="17"/>
        </w:rPr>
        <w:t xml:space="preserve"> parameter λ</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9.9375000</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Critical F</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3.0540042</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Numerator </w:t>
      </w:r>
      <w:proofErr w:type="spellStart"/>
      <w:proofErr w:type="gramStart"/>
      <w:r>
        <w:rPr>
          <w:rFonts w:ascii="Lucida Sans Unicode" w:hAnsi="Lucida Sans Unicode" w:cs="Lucida Sans Unicode"/>
          <w:color w:val="000000"/>
          <w:sz w:val="17"/>
          <w:szCs w:val="17"/>
        </w:rPr>
        <w:t>df</w:t>
      </w:r>
      <w:proofErr w:type="spellEnd"/>
      <w:proofErr w:type="gram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2</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 xml:space="preserve">Denominator </w:t>
      </w:r>
      <w:proofErr w:type="spellStart"/>
      <w:proofErr w:type="gramStart"/>
      <w:r>
        <w:rPr>
          <w:rFonts w:ascii="Lucida Sans Unicode" w:hAnsi="Lucida Sans Unicode" w:cs="Lucida Sans Unicode"/>
          <w:color w:val="000000"/>
          <w:sz w:val="17"/>
          <w:szCs w:val="17"/>
        </w:rPr>
        <w:t>df</w:t>
      </w:r>
      <w:proofErr w:type="spellEnd"/>
      <w:proofErr w:type="gramEnd"/>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156</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Total sample size</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159</w:t>
      </w:r>
    </w:p>
    <w:p w:rsidR="00C44998" w:rsidRDefault="00C44998" w:rsidP="00C44998">
      <w:pPr>
        <w:widowControl w:val="0"/>
        <w:tabs>
          <w:tab w:val="left" w:pos="1134"/>
          <w:tab w:val="left" w:pos="3969"/>
          <w:tab w:val="left" w:pos="4252"/>
          <w:tab w:val="left" w:pos="6804"/>
        </w:tabs>
        <w:autoSpaceDE w:val="0"/>
        <w:autoSpaceDN w:val="0"/>
        <w:adjustRightInd w:val="0"/>
        <w:ind w:left="2520"/>
        <w:rPr>
          <w:rFonts w:ascii="Lucida Sans Unicode" w:hAnsi="Lucida Sans Unicode" w:cs="Lucida Sans Unicode"/>
          <w:color w:val="000000"/>
          <w:sz w:val="17"/>
          <w:szCs w:val="17"/>
        </w:rPr>
      </w:pPr>
      <w:r>
        <w:rPr>
          <w:rFonts w:ascii="Lucida Sans Unicode" w:hAnsi="Lucida Sans Unicode" w:cs="Lucida Sans Unicode"/>
          <w:color w:val="000000"/>
          <w:sz w:val="17"/>
          <w:szCs w:val="17"/>
        </w:rPr>
        <w:tab/>
        <w:t>Actual power</w:t>
      </w:r>
      <w:r>
        <w:rPr>
          <w:rFonts w:ascii="Lucida Sans Unicode" w:hAnsi="Lucida Sans Unicode" w:cs="Lucida Sans Unicode"/>
          <w:color w:val="000000"/>
          <w:sz w:val="17"/>
          <w:szCs w:val="17"/>
        </w:rPr>
        <w:tab/>
        <w:t>=</w:t>
      </w:r>
      <w:r>
        <w:rPr>
          <w:rFonts w:ascii="Lucida Sans Unicode" w:hAnsi="Lucida Sans Unicode" w:cs="Lucida Sans Unicode"/>
          <w:color w:val="000000"/>
          <w:sz w:val="17"/>
          <w:szCs w:val="17"/>
        </w:rPr>
        <w:tab/>
        <w:t>0.8048873</w:t>
      </w:r>
    </w:p>
    <w:p w:rsidR="001074FF" w:rsidRPr="00773CAC" w:rsidRDefault="001074FF" w:rsidP="00773CAC">
      <w:pPr>
        <w:pStyle w:val="Heading3"/>
        <w:spacing w:after="240"/>
      </w:pPr>
      <w:bookmarkStart w:id="12" w:name="_Toc125278833"/>
      <w:bookmarkStart w:id="13" w:name="_Toc125341756"/>
      <w:bookmarkStart w:id="14" w:name="_Toc125447314"/>
      <w:bookmarkStart w:id="15" w:name="_Toc126394141"/>
      <w:r w:rsidRPr="00672019">
        <w:lastRenderedPageBreak/>
        <w:t>B.2.</w:t>
      </w:r>
      <w:r w:rsidRPr="00672019">
        <w:tab/>
        <w:t>Describe the procedures for the collection of information.</w:t>
      </w:r>
      <w:bookmarkEnd w:id="12"/>
      <w:bookmarkEnd w:id="13"/>
      <w:bookmarkEnd w:id="14"/>
      <w:bookmarkEnd w:id="15"/>
    </w:p>
    <w:p w:rsidR="001074FF" w:rsidRDefault="001074FF" w:rsidP="000A1204">
      <w:pPr>
        <w:pStyle w:val="BodyText"/>
        <w:spacing w:after="240"/>
      </w:pPr>
      <w:r>
        <w:rPr>
          <w:color w:val="4F81BD"/>
        </w:rPr>
        <w:tab/>
      </w:r>
      <w:r w:rsidRPr="00B9797C">
        <w:t>NHTSA</w:t>
      </w:r>
      <w:r>
        <w:t xml:space="preserve">’s research team will coordinate with social, recreational, and directors at </w:t>
      </w:r>
      <w:r>
        <w:rPr>
          <w:szCs w:val="23"/>
        </w:rPr>
        <w:t xml:space="preserve">communities in the Raleigh/Durham/Chapel Hill/Burlington </w:t>
      </w:r>
      <w:r w:rsidRPr="004D3845">
        <w:rPr>
          <w:szCs w:val="23"/>
        </w:rPr>
        <w:t>NC, vicinity</w:t>
      </w:r>
      <w:r>
        <w:rPr>
          <w:szCs w:val="23"/>
        </w:rPr>
        <w:t>, to utilize community newsletters and other community media to advertise the opportunity to participate in this research project</w:t>
      </w:r>
      <w:r w:rsidR="008B3876">
        <w:rPr>
          <w:szCs w:val="23"/>
        </w:rPr>
        <w:t xml:space="preserve">. </w:t>
      </w:r>
      <w:r>
        <w:rPr>
          <w:szCs w:val="23"/>
        </w:rPr>
        <w:t>These media will invite interested residents to attend recruiting events or contact a designated research team member for more information, using a toll-free number</w:t>
      </w:r>
      <w:r w:rsidR="00065652">
        <w:rPr>
          <w:szCs w:val="23"/>
        </w:rPr>
        <w:t xml:space="preserve"> or e-mail address</w:t>
      </w:r>
      <w:r w:rsidR="008B3876">
        <w:rPr>
          <w:szCs w:val="23"/>
        </w:rPr>
        <w:t xml:space="preserve">. </w:t>
      </w:r>
      <w:r w:rsidR="00C76098" w:rsidRPr="002B58C9">
        <w:rPr>
          <w:color w:val="000000"/>
        </w:rPr>
        <w:t xml:space="preserve">Solicitations will be in the form of flyers posted at a </w:t>
      </w:r>
      <w:r w:rsidR="00C76098">
        <w:rPr>
          <w:color w:val="000000"/>
        </w:rPr>
        <w:t>senior</w:t>
      </w:r>
      <w:r w:rsidR="00C76098" w:rsidRPr="002B58C9">
        <w:rPr>
          <w:color w:val="000000"/>
        </w:rPr>
        <w:t xml:space="preserve"> center</w:t>
      </w:r>
      <w:r w:rsidR="00C76098">
        <w:rPr>
          <w:color w:val="000000"/>
        </w:rPr>
        <w:t>, library, or other location;</w:t>
      </w:r>
      <w:r w:rsidR="00C76098" w:rsidRPr="002B58C9">
        <w:rPr>
          <w:color w:val="000000"/>
        </w:rPr>
        <w:t xml:space="preserve"> announcements in newsletters and on community</w:t>
      </w:r>
      <w:r w:rsidR="00C76098">
        <w:rPr>
          <w:color w:val="000000"/>
        </w:rPr>
        <w:t xml:space="preserve"> </w:t>
      </w:r>
      <w:proofErr w:type="spellStart"/>
      <w:r w:rsidR="00C76098">
        <w:rPr>
          <w:color w:val="000000"/>
        </w:rPr>
        <w:t>listserv</w:t>
      </w:r>
      <w:r w:rsidR="00C76098" w:rsidRPr="002B58C9">
        <w:rPr>
          <w:color w:val="000000"/>
        </w:rPr>
        <w:t>s</w:t>
      </w:r>
      <w:proofErr w:type="spellEnd"/>
      <w:r w:rsidR="00C76098">
        <w:rPr>
          <w:color w:val="000000"/>
        </w:rPr>
        <w:t>;</w:t>
      </w:r>
      <w:r w:rsidR="00C76098" w:rsidRPr="002B58C9">
        <w:rPr>
          <w:color w:val="000000"/>
        </w:rPr>
        <w:t xml:space="preserve"> and/or sign-ups at </w:t>
      </w:r>
      <w:r w:rsidR="00C76098">
        <w:rPr>
          <w:color w:val="000000"/>
        </w:rPr>
        <w:t xml:space="preserve">local gatherings such as health fairs and farmer’s markets. A sample flyer is contained in Appendix H.  </w:t>
      </w:r>
      <w:r>
        <w:t>When such individuals inquire about the study, we will conduct the planned interview to determine whether they qualify for study participation</w:t>
      </w:r>
      <w:r w:rsidR="008B3876">
        <w:t xml:space="preserve">. </w:t>
      </w:r>
      <w:r>
        <w:t xml:space="preserve"> </w:t>
      </w:r>
      <w:r w:rsidRPr="00B9797C">
        <w:t xml:space="preserve"> </w:t>
      </w:r>
      <w:bookmarkStart w:id="16" w:name="_Toc125278839"/>
      <w:bookmarkStart w:id="17" w:name="_Toc125341762"/>
      <w:bookmarkStart w:id="18" w:name="_Toc125447320"/>
      <w:bookmarkStart w:id="19" w:name="_Toc126394143"/>
    </w:p>
    <w:p w:rsidR="001074FF" w:rsidRDefault="001074FF" w:rsidP="00354ED9">
      <w:pPr>
        <w:pStyle w:val="BodyText"/>
        <w:spacing w:after="240"/>
        <w:rPr>
          <w:color w:val="4F81BD"/>
        </w:rPr>
      </w:pPr>
      <w:r w:rsidRPr="00354ED9">
        <w:rPr>
          <w:b/>
        </w:rPr>
        <w:t>B.3.</w:t>
      </w:r>
      <w:r w:rsidRPr="00354ED9">
        <w:rPr>
          <w:b/>
        </w:rPr>
        <w:tab/>
        <w:t>Describe methods to maximize response rates</w:t>
      </w:r>
      <w:r w:rsidRPr="00672019">
        <w:t>.</w:t>
      </w:r>
      <w:bookmarkStart w:id="20" w:name="_Toc125278840"/>
      <w:bookmarkStart w:id="21" w:name="_Toc125341763"/>
      <w:bookmarkStart w:id="22" w:name="_Toc125447321"/>
      <w:bookmarkStart w:id="23" w:name="_Toc126394144"/>
      <w:bookmarkEnd w:id="16"/>
      <w:bookmarkEnd w:id="17"/>
      <w:bookmarkEnd w:id="18"/>
      <w:bookmarkEnd w:id="19"/>
      <w:r w:rsidRPr="005839DC">
        <w:rPr>
          <w:color w:val="4F81BD"/>
        </w:rPr>
        <w:tab/>
      </w:r>
    </w:p>
    <w:p w:rsidR="001074FF" w:rsidRDefault="001074FF" w:rsidP="00354ED9">
      <w:pPr>
        <w:pStyle w:val="BodyText"/>
        <w:spacing w:after="240"/>
      </w:pPr>
      <w:r>
        <w:tab/>
      </w:r>
      <w:r w:rsidRPr="00354ED9">
        <w:t xml:space="preserve">Participation </w:t>
      </w:r>
      <w:r>
        <w:t>in this study is voluntary</w:t>
      </w:r>
      <w:r w:rsidR="008B3876">
        <w:t xml:space="preserve">. </w:t>
      </w:r>
      <w:r>
        <w:t>To maximize response rates we will rely on the active support of cooperating individuals in communities who direct social, recreational, and other programs who will promote study participation</w:t>
      </w:r>
      <w:r w:rsidR="008B3876">
        <w:t xml:space="preserve">. </w:t>
      </w:r>
      <w:r>
        <w:t>These individuals will understand that this research will support their mission to help the residents of their communities remain safely mobile, which is vital to healthy aging</w:t>
      </w:r>
      <w:r w:rsidR="008B3876">
        <w:t xml:space="preserve">. </w:t>
      </w:r>
      <w:r>
        <w:t>At the same time, their existing relationships with their residents, in familiar and trusted roles, should help maximize response rates.</w:t>
      </w:r>
    </w:p>
    <w:p w:rsidR="001074FF" w:rsidRDefault="001074FF" w:rsidP="00354ED9">
      <w:pPr>
        <w:pStyle w:val="BodyText"/>
        <w:spacing w:after="240"/>
      </w:pPr>
      <w:r>
        <w:tab/>
        <w:t>We also will attempt to maximize response rates by offering financial incentives to respondents if they qualify for study participation</w:t>
      </w:r>
      <w:r w:rsidR="008B3876">
        <w:t xml:space="preserve">. </w:t>
      </w:r>
      <w:r>
        <w:t>We will pay $50 to all study participants for allowing instruments to be placed in their own cars for a month to monitor their driving habits and travel patterns</w:t>
      </w:r>
      <w:r w:rsidR="008B3876">
        <w:t xml:space="preserve">. </w:t>
      </w:r>
      <w:r>
        <w:t xml:space="preserve">Participants will receive another $150 upon completion of the 30-day driving period, clinical assessment, and driving evaluation. Participants will also receive </w:t>
      </w:r>
      <w:r w:rsidR="00065652">
        <w:t xml:space="preserve">confidential </w:t>
      </w:r>
      <w:r>
        <w:t xml:space="preserve">feedback on the driving evaluation results at no cost to themselves (a $350 value). </w:t>
      </w:r>
      <w:r w:rsidR="00E86783">
        <w:t xml:space="preserve">Older drivers tend to be hesitant to participate in studies that include functional and driving performance measures because they believe, sometimes accurately, that poor scores on these measures may be reported to their State licensing agency. This could lead to license restriction or revocation. Experience in previous NHTSA studies of older drivers’ performance, including </w:t>
      </w:r>
      <w:r w:rsidR="00E86783" w:rsidRPr="005F6640">
        <w:rPr>
          <w:i/>
        </w:rPr>
        <w:t>Older Drivers and Navigation Devices, Mild Cognitive Impairment and Driving Performance, and Older Drivers’ Compliance with License Restriction</w:t>
      </w:r>
      <w:r w:rsidR="00E86783">
        <w:t>, has shown that this level of incentive is necessary to successfully recruit participants in a study such as this one.</w:t>
      </w:r>
    </w:p>
    <w:p w:rsidR="001074FF" w:rsidRPr="00773CAC" w:rsidRDefault="001074FF" w:rsidP="0010502A">
      <w:pPr>
        <w:pStyle w:val="Heading3"/>
        <w:spacing w:after="240"/>
      </w:pPr>
      <w:r>
        <w:rPr>
          <w:b w:val="0"/>
        </w:rPr>
        <w:tab/>
        <w:t xml:space="preserve">Additionally, we will provide written assurances of confidentiality, such that no individual will be identified in reports of the study’s findings, nor will any driver’s data be shared with any licensing regulatory authority. </w:t>
      </w:r>
    </w:p>
    <w:p w:rsidR="001074FF" w:rsidRPr="00672019" w:rsidRDefault="001074FF" w:rsidP="00083749">
      <w:pPr>
        <w:pStyle w:val="Heading3"/>
      </w:pPr>
      <w:r w:rsidRPr="00672019">
        <w:t>B.4.</w:t>
      </w:r>
      <w:r w:rsidRPr="00672019">
        <w:tab/>
        <w:t>Describe any tests of procedures or methods to be undertaken.</w:t>
      </w:r>
      <w:bookmarkEnd w:id="20"/>
      <w:bookmarkEnd w:id="21"/>
      <w:bookmarkEnd w:id="22"/>
      <w:bookmarkEnd w:id="23"/>
    </w:p>
    <w:p w:rsidR="001074FF" w:rsidRPr="00773CAC" w:rsidRDefault="001074FF" w:rsidP="00773CAC">
      <w:pPr>
        <w:pStyle w:val="Heading3"/>
        <w:spacing w:after="240"/>
        <w:rPr>
          <w:b w:val="0"/>
        </w:rPr>
      </w:pPr>
      <w:bookmarkStart w:id="24" w:name="_Toc125278841"/>
      <w:bookmarkStart w:id="25" w:name="_Toc125341764"/>
      <w:bookmarkStart w:id="26" w:name="_Toc125447322"/>
      <w:bookmarkStart w:id="27" w:name="_Toc126394145"/>
      <w:r w:rsidRPr="005839DC">
        <w:rPr>
          <w:b w:val="0"/>
          <w:color w:val="4F81BD"/>
        </w:rPr>
        <w:tab/>
      </w:r>
      <w:r w:rsidRPr="00EF7432">
        <w:rPr>
          <w:b w:val="0"/>
        </w:rPr>
        <w:t xml:space="preserve">We do not anticipate substantive changes to the </w:t>
      </w:r>
      <w:r>
        <w:rPr>
          <w:b w:val="0"/>
        </w:rPr>
        <w:t xml:space="preserve">planned interview </w:t>
      </w:r>
      <w:r w:rsidRPr="00EF7432">
        <w:rPr>
          <w:b w:val="0"/>
        </w:rPr>
        <w:t xml:space="preserve">method </w:t>
      </w:r>
      <w:r>
        <w:rPr>
          <w:b w:val="0"/>
        </w:rPr>
        <w:t>that we expect to average 5 minutes in length across respondents</w:t>
      </w:r>
      <w:r w:rsidR="008B3876">
        <w:rPr>
          <w:b w:val="0"/>
        </w:rPr>
        <w:t xml:space="preserve">. </w:t>
      </w:r>
      <w:r>
        <w:rPr>
          <w:b w:val="0"/>
        </w:rPr>
        <w:t xml:space="preserve">However, we intend to remain </w:t>
      </w:r>
      <w:r>
        <w:rPr>
          <w:b w:val="0"/>
        </w:rPr>
        <w:lastRenderedPageBreak/>
        <w:t>sensitive to the nature of responses we receive and will respond with modest changes as needed to meet our participant counts</w:t>
      </w:r>
      <w:r w:rsidR="00065652">
        <w:rPr>
          <w:b w:val="0"/>
        </w:rPr>
        <w:t xml:space="preserve"> with the fewest possible interviews</w:t>
      </w:r>
      <w:r>
        <w:rPr>
          <w:b w:val="0"/>
        </w:rPr>
        <w:t>.</w:t>
      </w:r>
    </w:p>
    <w:p w:rsidR="001074FF" w:rsidRPr="00672019" w:rsidRDefault="001074FF" w:rsidP="00083749">
      <w:pPr>
        <w:pStyle w:val="Heading3"/>
      </w:pPr>
      <w:r w:rsidRPr="00672019">
        <w:t>B.5.</w:t>
      </w:r>
      <w:r w:rsidRPr="00672019">
        <w:tab/>
        <w:t>Provide the name and telephone number of individuals consulted on statistical aspects of the design</w:t>
      </w:r>
      <w:bookmarkEnd w:id="24"/>
      <w:bookmarkEnd w:id="25"/>
      <w:bookmarkEnd w:id="26"/>
      <w:bookmarkEnd w:id="27"/>
    </w:p>
    <w:p w:rsidR="001074FF" w:rsidRDefault="001074FF" w:rsidP="00805306">
      <w:pPr>
        <w:pStyle w:val="BodyText"/>
        <w:ind w:firstLine="720"/>
      </w:pPr>
      <w:r>
        <w:t>The following individuals have reviewed technical aspects of this research plan:</w:t>
      </w:r>
    </w:p>
    <w:p w:rsidR="001074FF" w:rsidRDefault="001074FF" w:rsidP="00805306">
      <w:pPr>
        <w:pStyle w:val="BodyText"/>
        <w:spacing w:before="0" w:after="0"/>
        <w:ind w:firstLine="720"/>
      </w:pPr>
    </w:p>
    <w:p w:rsidR="001074FF" w:rsidRDefault="001074FF" w:rsidP="00706A4A">
      <w:pPr>
        <w:pStyle w:val="BodyText"/>
        <w:spacing w:before="0" w:after="0"/>
        <w:ind w:firstLine="720"/>
      </w:pPr>
      <w:r>
        <w:t>Kathy Sifrit, PhD</w:t>
      </w:r>
    </w:p>
    <w:p w:rsidR="001074FF" w:rsidRDefault="001074FF" w:rsidP="00706A4A">
      <w:pPr>
        <w:pStyle w:val="BodyText"/>
        <w:spacing w:before="0" w:after="0"/>
        <w:ind w:firstLine="720"/>
      </w:pPr>
      <w:r>
        <w:t>Research Psychologist, NHTSA</w:t>
      </w:r>
    </w:p>
    <w:p w:rsidR="001074FF" w:rsidRDefault="001074FF" w:rsidP="00706A4A">
      <w:pPr>
        <w:pStyle w:val="BodyText"/>
        <w:spacing w:before="0" w:after="0"/>
        <w:ind w:firstLine="720"/>
      </w:pPr>
      <w:r>
        <w:t>202-366-0868</w:t>
      </w:r>
    </w:p>
    <w:p w:rsidR="001074FF" w:rsidRDefault="001074FF" w:rsidP="00706A4A">
      <w:pPr>
        <w:pStyle w:val="BodyText"/>
        <w:spacing w:before="0" w:after="0"/>
        <w:ind w:firstLine="720"/>
      </w:pPr>
    </w:p>
    <w:p w:rsidR="001074FF" w:rsidRDefault="001074FF" w:rsidP="00706A4A">
      <w:pPr>
        <w:pStyle w:val="BodyText"/>
        <w:spacing w:before="0" w:after="0"/>
        <w:ind w:firstLine="720"/>
      </w:pPr>
      <w:r>
        <w:t>Dennis Thomas, PhD</w:t>
      </w:r>
    </w:p>
    <w:p w:rsidR="001074FF" w:rsidRDefault="001074FF" w:rsidP="00706A4A">
      <w:pPr>
        <w:pStyle w:val="BodyText"/>
        <w:spacing w:before="0" w:after="0"/>
        <w:ind w:firstLine="720"/>
      </w:pPr>
      <w:r>
        <w:t>Vice President, Dunlap and Associates, Inc.</w:t>
      </w:r>
    </w:p>
    <w:p w:rsidR="001074FF" w:rsidRDefault="001074FF" w:rsidP="00706A4A">
      <w:pPr>
        <w:pStyle w:val="BodyText"/>
        <w:spacing w:before="0" w:after="0"/>
        <w:ind w:firstLine="720"/>
      </w:pPr>
      <w:r>
        <w:t>203-323-8464 (ext. 104)</w:t>
      </w:r>
    </w:p>
    <w:p w:rsidR="001074FF" w:rsidRDefault="001074FF" w:rsidP="00706A4A">
      <w:pPr>
        <w:pStyle w:val="BodyText"/>
        <w:spacing w:before="0" w:after="0"/>
        <w:ind w:firstLine="720"/>
      </w:pPr>
    </w:p>
    <w:p w:rsidR="001074FF" w:rsidRDefault="001074FF" w:rsidP="00706A4A">
      <w:pPr>
        <w:pStyle w:val="BodyText"/>
        <w:spacing w:before="0" w:after="0"/>
        <w:ind w:firstLine="720"/>
      </w:pPr>
      <w:r>
        <w:t>Richard Blomberg</w:t>
      </w:r>
    </w:p>
    <w:p w:rsidR="001074FF" w:rsidRDefault="001074FF" w:rsidP="00706A4A">
      <w:pPr>
        <w:pStyle w:val="BodyText"/>
        <w:spacing w:before="0" w:after="0"/>
        <w:ind w:firstLine="720"/>
      </w:pPr>
      <w:r>
        <w:t>President, Dunlap and Associates, Inc.</w:t>
      </w:r>
    </w:p>
    <w:p w:rsidR="001074FF" w:rsidRDefault="001074FF" w:rsidP="00706A4A">
      <w:pPr>
        <w:pStyle w:val="BodyText"/>
        <w:spacing w:before="0" w:after="0"/>
        <w:ind w:firstLine="720"/>
      </w:pPr>
      <w:r>
        <w:t>203-323-8464 (ext. 101)</w:t>
      </w:r>
    </w:p>
    <w:p w:rsidR="001074FF" w:rsidRDefault="001074FF" w:rsidP="00706A4A">
      <w:pPr>
        <w:pStyle w:val="BodyText"/>
        <w:spacing w:before="0" w:after="0"/>
        <w:ind w:firstLine="720"/>
      </w:pPr>
    </w:p>
    <w:p w:rsidR="001074FF" w:rsidRDefault="001074FF" w:rsidP="00706A4A">
      <w:pPr>
        <w:pStyle w:val="BodyText"/>
        <w:spacing w:before="0" w:after="0"/>
        <w:ind w:firstLine="720"/>
      </w:pPr>
      <w:r>
        <w:t>Kristopher Korbelak, PhD</w:t>
      </w:r>
    </w:p>
    <w:p w:rsidR="001074FF" w:rsidRDefault="001074FF" w:rsidP="00706A4A">
      <w:pPr>
        <w:pStyle w:val="BodyText"/>
        <w:spacing w:before="0" w:after="0"/>
        <w:ind w:firstLine="720"/>
      </w:pPr>
      <w:r>
        <w:t>Senior Research Scientist, Dunlap and Associates, Inc.</w:t>
      </w:r>
    </w:p>
    <w:p w:rsidR="001074FF" w:rsidRDefault="001074FF" w:rsidP="00706A4A">
      <w:pPr>
        <w:pStyle w:val="BodyText"/>
        <w:spacing w:before="0" w:after="0"/>
        <w:ind w:firstLine="720"/>
      </w:pPr>
      <w:r>
        <w:t>203-323-8464 (ext. 103)</w:t>
      </w:r>
    </w:p>
    <w:p w:rsidR="001074FF" w:rsidRPr="00EF7432" w:rsidRDefault="001074FF" w:rsidP="00EF7432">
      <w:pPr>
        <w:pStyle w:val="BodyText"/>
        <w:ind w:firstLine="720"/>
      </w:pPr>
    </w:p>
    <w:sectPr w:rsidR="001074FF" w:rsidRPr="00EF7432" w:rsidSect="00354ED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5AC" w:rsidRDefault="002055AC">
      <w:r>
        <w:separator/>
      </w:r>
    </w:p>
  </w:endnote>
  <w:endnote w:type="continuationSeparator" w:id="0">
    <w:p w:rsidR="002055AC" w:rsidRDefault="0020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FF" w:rsidRPr="0070093F" w:rsidRDefault="001074FF" w:rsidP="007009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FF" w:rsidRPr="0070093F" w:rsidRDefault="001074FF" w:rsidP="007009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FF" w:rsidRDefault="00107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5AC" w:rsidRDefault="002055AC">
      <w:r>
        <w:separator/>
      </w:r>
    </w:p>
  </w:footnote>
  <w:footnote w:type="continuationSeparator" w:id="0">
    <w:p w:rsidR="002055AC" w:rsidRDefault="002055AC">
      <w:r>
        <w:continuationSeparator/>
      </w:r>
    </w:p>
  </w:footnote>
  <w:footnote w:id="1">
    <w:p w:rsidR="00E25830" w:rsidRDefault="00E25830" w:rsidP="00E25830">
      <w:pPr>
        <w:pStyle w:val="FootnoteText"/>
      </w:pPr>
      <w:r>
        <w:rPr>
          <w:rStyle w:val="FootnoteReference"/>
        </w:rPr>
        <w:footnoteRef/>
      </w:r>
      <w:r>
        <w:t xml:space="preserve"> </w:t>
      </w:r>
      <w:proofErr w:type="gramStart"/>
      <w:r w:rsidRPr="00302EDC">
        <w:t>Rosenbloom, S. (2004).</w:t>
      </w:r>
      <w:proofErr w:type="gramEnd"/>
      <w:r w:rsidRPr="00302EDC">
        <w:t xml:space="preserve"> </w:t>
      </w:r>
      <w:r w:rsidRPr="00EA696E">
        <w:t>Mobility of the Elderly: Good News and Bad News</w:t>
      </w:r>
      <w:r>
        <w:t xml:space="preserve"> in </w:t>
      </w:r>
      <w:r w:rsidRPr="00EA696E">
        <w:rPr>
          <w:i/>
        </w:rPr>
        <w:t>Transportation in an Aging Society</w:t>
      </w:r>
      <w:r>
        <w:t xml:space="preserve">. </w:t>
      </w:r>
      <w:proofErr w:type="gramStart"/>
      <w:r>
        <w:t>Transportation Research Board Conference Proceedings (2004).</w:t>
      </w:r>
      <w:proofErr w:type="gramEnd"/>
      <w:r>
        <w:t xml:space="preserve"> Washington, DC: TRB. </w:t>
      </w:r>
    </w:p>
  </w:footnote>
  <w:footnote w:id="2">
    <w:p w:rsidR="00E25830" w:rsidRDefault="00E25830" w:rsidP="00E25830">
      <w:pPr>
        <w:pStyle w:val="FootnoteText"/>
      </w:pPr>
      <w:r>
        <w:rPr>
          <w:rStyle w:val="FootnoteReference"/>
        </w:rPr>
        <w:footnoteRef/>
      </w:r>
      <w:r>
        <w:t xml:space="preserve"> </w:t>
      </w:r>
      <w:proofErr w:type="gramStart"/>
      <w:r w:rsidRPr="00302EDC">
        <w:t xml:space="preserve">Staplin, L., Ball, K., Park, D., </w:t>
      </w:r>
      <w:proofErr w:type="spellStart"/>
      <w:r w:rsidRPr="00302EDC">
        <w:t>Decina</w:t>
      </w:r>
      <w:proofErr w:type="spellEnd"/>
      <w:r w:rsidRPr="00302EDC">
        <w:t xml:space="preserve">, L.E., Lococo, K.H., Gish, K.W., &amp; </w:t>
      </w:r>
      <w:proofErr w:type="spellStart"/>
      <w:r w:rsidRPr="00302EDC">
        <w:t>Kotwal</w:t>
      </w:r>
      <w:proofErr w:type="spellEnd"/>
      <w:r w:rsidRPr="00302EDC">
        <w:t>, B. (1998).</w:t>
      </w:r>
      <w:proofErr w:type="gramEnd"/>
      <w:r w:rsidRPr="00302EDC">
        <w:t xml:space="preserve"> </w:t>
      </w:r>
      <w:r w:rsidRPr="00302EDC">
        <w:rPr>
          <w:i/>
          <w:iCs/>
        </w:rPr>
        <w:t>Synthesis of Human Factors Research on Older Drivers and Highway Safety; Volume I: Older Driver Research Synthesis</w:t>
      </w:r>
      <w:r w:rsidRPr="00302EDC">
        <w:t xml:space="preserve">. McLean, VA: U.S. Department of Transportation, </w:t>
      </w:r>
      <w:r>
        <w:t>Federal Highway Administration.</w:t>
      </w:r>
    </w:p>
  </w:footnote>
  <w:footnote w:id="3">
    <w:p w:rsidR="00E25830" w:rsidRPr="006E5E77" w:rsidRDefault="00E25830" w:rsidP="00E25830">
      <w:pPr>
        <w:rPr>
          <w:sz w:val="20"/>
          <w:szCs w:val="20"/>
        </w:rPr>
      </w:pPr>
      <w:r>
        <w:rPr>
          <w:rStyle w:val="FootnoteReference"/>
        </w:rPr>
        <w:footnoteRef/>
      </w:r>
      <w:r>
        <w:t xml:space="preserve"> </w:t>
      </w:r>
      <w:proofErr w:type="spellStart"/>
      <w:proofErr w:type="gramStart"/>
      <w:r w:rsidRPr="006E5E77">
        <w:rPr>
          <w:sz w:val="20"/>
          <w:szCs w:val="20"/>
        </w:rPr>
        <w:t>Faul</w:t>
      </w:r>
      <w:proofErr w:type="spellEnd"/>
      <w:r w:rsidRPr="006E5E77">
        <w:rPr>
          <w:sz w:val="20"/>
          <w:szCs w:val="20"/>
        </w:rPr>
        <w:t xml:space="preserve">, F., </w:t>
      </w:r>
      <w:proofErr w:type="spellStart"/>
      <w:r w:rsidRPr="006E5E77">
        <w:rPr>
          <w:sz w:val="20"/>
          <w:szCs w:val="20"/>
        </w:rPr>
        <w:t>Erdfelder</w:t>
      </w:r>
      <w:proofErr w:type="spellEnd"/>
      <w:r w:rsidRPr="006E5E77">
        <w:rPr>
          <w:sz w:val="20"/>
          <w:szCs w:val="20"/>
        </w:rPr>
        <w:t>, E., Lang, A.-G., &amp; Buchner, A. (2007).</w:t>
      </w:r>
      <w:proofErr w:type="gramEnd"/>
      <w:r w:rsidRPr="006E5E77">
        <w:rPr>
          <w:sz w:val="20"/>
          <w:szCs w:val="20"/>
        </w:rPr>
        <w:t xml:space="preserve"> G*Power 3: A flexible statistical power analysis program for the social, behavioral, and biomedical sciences. </w:t>
      </w:r>
      <w:r w:rsidRPr="006E5E77">
        <w:rPr>
          <w:i/>
          <w:iCs/>
          <w:sz w:val="20"/>
          <w:szCs w:val="20"/>
        </w:rPr>
        <w:t>Behavior Research Methods</w:t>
      </w:r>
      <w:r w:rsidRPr="006E5E77">
        <w:rPr>
          <w:sz w:val="20"/>
          <w:szCs w:val="20"/>
        </w:rPr>
        <w:t xml:space="preserve">, </w:t>
      </w:r>
      <w:r w:rsidRPr="006E5E77">
        <w:rPr>
          <w:i/>
          <w:iCs/>
          <w:sz w:val="20"/>
          <w:szCs w:val="20"/>
        </w:rPr>
        <w:t>39</w:t>
      </w:r>
      <w:r w:rsidRPr="006E5E77">
        <w:rPr>
          <w:sz w:val="20"/>
          <w:szCs w:val="20"/>
        </w:rPr>
        <w:t>(2), 175–191.</w:t>
      </w:r>
    </w:p>
    <w:p w:rsidR="00E25830" w:rsidRDefault="00E25830" w:rsidP="00E2583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FF" w:rsidRDefault="00107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FF" w:rsidRDefault="001074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4FF" w:rsidRDefault="00107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8388768"/>
    <w:lvl w:ilvl="0">
      <w:start w:val="1"/>
      <w:numFmt w:val="decimal"/>
      <w:pStyle w:val="ListBullet2"/>
      <w:lvlText w:val="%1."/>
      <w:lvlJc w:val="left"/>
      <w:pPr>
        <w:tabs>
          <w:tab w:val="num" w:pos="1080"/>
        </w:tabs>
        <w:ind w:left="1080" w:hanging="360"/>
      </w:pPr>
    </w:lvl>
  </w:abstractNum>
  <w:abstractNum w:abstractNumId="1">
    <w:nsid w:val="FFFFFF7F"/>
    <w:multiLevelType w:val="singleLevel"/>
    <w:tmpl w:val="D128769E"/>
    <w:lvl w:ilvl="0">
      <w:start w:val="1"/>
      <w:numFmt w:val="decimal"/>
      <w:pStyle w:val="ListNumber2"/>
      <w:lvlText w:val="%1."/>
      <w:lvlJc w:val="left"/>
      <w:pPr>
        <w:tabs>
          <w:tab w:val="num" w:pos="720"/>
        </w:tabs>
        <w:ind w:left="720" w:hanging="360"/>
      </w:pPr>
    </w:lvl>
  </w:abstractNum>
  <w:abstractNum w:abstractNumId="2">
    <w:nsid w:val="FFFFFF83"/>
    <w:multiLevelType w:val="singleLevel"/>
    <w:tmpl w:val="30605CCC"/>
    <w:lvl w:ilvl="0">
      <w:start w:val="1"/>
      <w:numFmt w:val="bullet"/>
      <w:pStyle w:val="ListNumber3"/>
      <w:lvlText w:val=""/>
      <w:lvlJc w:val="left"/>
      <w:pPr>
        <w:tabs>
          <w:tab w:val="num" w:pos="720"/>
        </w:tabs>
        <w:ind w:left="720" w:hanging="360"/>
      </w:pPr>
      <w:rPr>
        <w:rFonts w:ascii="Symbol" w:hAnsi="Symbol" w:hint="default"/>
      </w:rPr>
    </w:lvl>
  </w:abstractNum>
  <w:abstractNum w:abstractNumId="3">
    <w:nsid w:val="FFFFFF88"/>
    <w:multiLevelType w:val="singleLevel"/>
    <w:tmpl w:val="A194503C"/>
    <w:lvl w:ilvl="0">
      <w:start w:val="1"/>
      <w:numFmt w:val="decimal"/>
      <w:pStyle w:val="ListNumber"/>
      <w:lvlText w:val="%1."/>
      <w:lvlJc w:val="left"/>
      <w:pPr>
        <w:tabs>
          <w:tab w:val="num" w:pos="360"/>
        </w:tabs>
        <w:ind w:left="360" w:hanging="360"/>
      </w:pPr>
    </w:lvl>
  </w:abstractNum>
  <w:abstractNum w:abstractNumId="4">
    <w:nsid w:val="FFFFFF89"/>
    <w:multiLevelType w:val="singleLevel"/>
    <w:tmpl w:val="C47A1D4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A050E70"/>
    <w:multiLevelType w:val="hybridMultilevel"/>
    <w:tmpl w:val="3154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C1CDA"/>
    <w:multiLevelType w:val="hybridMultilevel"/>
    <w:tmpl w:val="F88E0AF0"/>
    <w:lvl w:ilvl="0" w:tplc="04090011">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78129F"/>
    <w:multiLevelType w:val="hybridMultilevel"/>
    <w:tmpl w:val="9D8A48FA"/>
    <w:lvl w:ilvl="0" w:tplc="0409000F">
      <w:start w:val="1"/>
      <w:numFmt w:val="decimal"/>
      <w:lvlText w:val="%1."/>
      <w:lvlJc w:val="left"/>
      <w:pPr>
        <w:ind w:left="108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B1C546A"/>
    <w:multiLevelType w:val="hybridMultilevel"/>
    <w:tmpl w:val="7A323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A64E20"/>
    <w:multiLevelType w:val="hybridMultilevel"/>
    <w:tmpl w:val="DCF0A3BA"/>
    <w:lvl w:ilvl="0" w:tplc="2CE8240E">
      <w:start w:val="1"/>
      <w:numFmt w:val="decimal"/>
      <w:pStyle w:val="Figure"/>
      <w:lvlText w:val="Figure %1."/>
      <w:lvlJc w:val="left"/>
      <w:pPr>
        <w:tabs>
          <w:tab w:val="num" w:pos="1440"/>
        </w:tabs>
        <w:ind w:left="720" w:hanging="36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653BCC"/>
    <w:multiLevelType w:val="hybridMultilevel"/>
    <w:tmpl w:val="96C812C8"/>
    <w:lvl w:ilvl="0" w:tplc="B47C9F78">
      <w:start w:val="3"/>
      <w:numFmt w:val="bullet"/>
      <w:lvlText w:val=""/>
      <w:lvlJc w:val="left"/>
      <w:pPr>
        <w:tabs>
          <w:tab w:val="num" w:pos="1080"/>
        </w:tabs>
        <w:ind w:left="1080" w:hanging="72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FB05A6"/>
    <w:multiLevelType w:val="hybridMultilevel"/>
    <w:tmpl w:val="64C4198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5205584E"/>
    <w:multiLevelType w:val="hybridMultilevel"/>
    <w:tmpl w:val="090C8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CBB3BFB"/>
    <w:multiLevelType w:val="multilevel"/>
    <w:tmpl w:val="91FC0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605A28ED"/>
    <w:multiLevelType w:val="hybridMultilevel"/>
    <w:tmpl w:val="71846CB8"/>
    <w:lvl w:ilvl="0" w:tplc="3722A046">
      <w:start w:val="1"/>
      <w:numFmt w:val="decimal"/>
      <w:lvlText w:val="Table %1."/>
      <w:lvlJc w:val="left"/>
      <w:pPr>
        <w:tabs>
          <w:tab w:val="num" w:pos="1440"/>
        </w:tabs>
        <w:ind w:left="720" w:hanging="360"/>
      </w:pPr>
      <w:rPr>
        <w:rFonts w:ascii="Times New Roman" w:hAnsi="Times New Roman" w:hint="default"/>
        <w:b/>
        <w:i w:val="0"/>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1F2783"/>
    <w:multiLevelType w:val="hybridMultilevel"/>
    <w:tmpl w:val="0164C2AA"/>
    <w:lvl w:ilvl="0" w:tplc="EABA9CFA">
      <w:start w:val="1"/>
      <w:numFmt w:val="decimal"/>
      <w:pStyle w:val="bioref"/>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F2F256C"/>
    <w:multiLevelType w:val="hybridMultilevel"/>
    <w:tmpl w:val="D81650F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72016B62"/>
    <w:multiLevelType w:val="hybridMultilevel"/>
    <w:tmpl w:val="A768C91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3"/>
  </w:num>
  <w:num w:numId="2">
    <w:abstractNumId w:val="4"/>
  </w:num>
  <w:num w:numId="3">
    <w:abstractNumId w:val="1"/>
  </w:num>
  <w:num w:numId="4">
    <w:abstractNumId w:val="0"/>
  </w:num>
  <w:num w:numId="5">
    <w:abstractNumId w:val="2"/>
  </w:num>
  <w:num w:numId="6">
    <w:abstractNumId w:val="6"/>
  </w:num>
  <w:num w:numId="7">
    <w:abstractNumId w:val="12"/>
  </w:num>
  <w:num w:numId="8">
    <w:abstractNumId w:val="8"/>
  </w:num>
  <w:num w:numId="9">
    <w:abstractNumId w:val="10"/>
  </w:num>
  <w:num w:numId="10">
    <w:abstractNumId w:val="4"/>
  </w:num>
  <w:num w:numId="11">
    <w:abstractNumId w:val="15"/>
  </w:num>
  <w:num w:numId="12">
    <w:abstractNumId w:val="17"/>
  </w:num>
  <w:num w:numId="13">
    <w:abstractNumId w:val="5"/>
  </w:num>
  <w:num w:numId="14">
    <w:abstractNumId w:val="7"/>
  </w:num>
  <w:num w:numId="15">
    <w:abstractNumId w:val="16"/>
  </w:num>
  <w:num w:numId="16">
    <w:abstractNumId w:val="13"/>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0ED"/>
    <w:rsid w:val="00001284"/>
    <w:rsid w:val="0000450E"/>
    <w:rsid w:val="000058C2"/>
    <w:rsid w:val="00005E5B"/>
    <w:rsid w:val="000064B7"/>
    <w:rsid w:val="000067A7"/>
    <w:rsid w:val="00007F10"/>
    <w:rsid w:val="00010AFE"/>
    <w:rsid w:val="00011905"/>
    <w:rsid w:val="00011D15"/>
    <w:rsid w:val="00013B0B"/>
    <w:rsid w:val="00024342"/>
    <w:rsid w:val="00024366"/>
    <w:rsid w:val="0002438C"/>
    <w:rsid w:val="00024CAB"/>
    <w:rsid w:val="0002697A"/>
    <w:rsid w:val="000327D2"/>
    <w:rsid w:val="000334A1"/>
    <w:rsid w:val="00034259"/>
    <w:rsid w:val="0003484A"/>
    <w:rsid w:val="00036054"/>
    <w:rsid w:val="00045EDB"/>
    <w:rsid w:val="000509FA"/>
    <w:rsid w:val="0005144D"/>
    <w:rsid w:val="00054254"/>
    <w:rsid w:val="00060174"/>
    <w:rsid w:val="00060BF6"/>
    <w:rsid w:val="00060E35"/>
    <w:rsid w:val="0006191A"/>
    <w:rsid w:val="00061E0B"/>
    <w:rsid w:val="00063277"/>
    <w:rsid w:val="00063B1D"/>
    <w:rsid w:val="00065652"/>
    <w:rsid w:val="000665A4"/>
    <w:rsid w:val="0007169F"/>
    <w:rsid w:val="000717BC"/>
    <w:rsid w:val="000727CB"/>
    <w:rsid w:val="00074D91"/>
    <w:rsid w:val="00083749"/>
    <w:rsid w:val="0008408B"/>
    <w:rsid w:val="00090D42"/>
    <w:rsid w:val="00092002"/>
    <w:rsid w:val="000942B8"/>
    <w:rsid w:val="00096AF3"/>
    <w:rsid w:val="000A1204"/>
    <w:rsid w:val="000A6ECE"/>
    <w:rsid w:val="000B320B"/>
    <w:rsid w:val="000B3E51"/>
    <w:rsid w:val="000B76EB"/>
    <w:rsid w:val="000B7CE1"/>
    <w:rsid w:val="000C019C"/>
    <w:rsid w:val="000C1E0F"/>
    <w:rsid w:val="000C3A05"/>
    <w:rsid w:val="000C3A5D"/>
    <w:rsid w:val="000C43F0"/>
    <w:rsid w:val="000C5629"/>
    <w:rsid w:val="000D5FAA"/>
    <w:rsid w:val="000D7D66"/>
    <w:rsid w:val="000E6F8B"/>
    <w:rsid w:val="000F0B8B"/>
    <w:rsid w:val="000F124C"/>
    <w:rsid w:val="000F341A"/>
    <w:rsid w:val="000F6CBC"/>
    <w:rsid w:val="00100D16"/>
    <w:rsid w:val="00102A61"/>
    <w:rsid w:val="0010502A"/>
    <w:rsid w:val="0010572F"/>
    <w:rsid w:val="001074FF"/>
    <w:rsid w:val="00110E4E"/>
    <w:rsid w:val="001113A3"/>
    <w:rsid w:val="0011176A"/>
    <w:rsid w:val="00115B34"/>
    <w:rsid w:val="00115BFE"/>
    <w:rsid w:val="00116794"/>
    <w:rsid w:val="001171C5"/>
    <w:rsid w:val="00117AB9"/>
    <w:rsid w:val="00117C47"/>
    <w:rsid w:val="001233E2"/>
    <w:rsid w:val="0012748C"/>
    <w:rsid w:val="001304A5"/>
    <w:rsid w:val="001306C9"/>
    <w:rsid w:val="0013211B"/>
    <w:rsid w:val="00133FA9"/>
    <w:rsid w:val="001347BE"/>
    <w:rsid w:val="00136ADC"/>
    <w:rsid w:val="00141020"/>
    <w:rsid w:val="00142303"/>
    <w:rsid w:val="00143A28"/>
    <w:rsid w:val="00143CE0"/>
    <w:rsid w:val="00145771"/>
    <w:rsid w:val="00146204"/>
    <w:rsid w:val="00152CE0"/>
    <w:rsid w:val="00152E5C"/>
    <w:rsid w:val="0015333D"/>
    <w:rsid w:val="00153BF6"/>
    <w:rsid w:val="00156FFF"/>
    <w:rsid w:val="00157439"/>
    <w:rsid w:val="001600CD"/>
    <w:rsid w:val="00164ADA"/>
    <w:rsid w:val="00165B14"/>
    <w:rsid w:val="00170C39"/>
    <w:rsid w:val="0017221C"/>
    <w:rsid w:val="0017314D"/>
    <w:rsid w:val="00174262"/>
    <w:rsid w:val="001774F2"/>
    <w:rsid w:val="00183A60"/>
    <w:rsid w:val="00186409"/>
    <w:rsid w:val="00186E97"/>
    <w:rsid w:val="00196690"/>
    <w:rsid w:val="001A08C8"/>
    <w:rsid w:val="001A0B41"/>
    <w:rsid w:val="001A1ABD"/>
    <w:rsid w:val="001A252B"/>
    <w:rsid w:val="001A2560"/>
    <w:rsid w:val="001A3C31"/>
    <w:rsid w:val="001A40F3"/>
    <w:rsid w:val="001A51FA"/>
    <w:rsid w:val="001A648D"/>
    <w:rsid w:val="001A6584"/>
    <w:rsid w:val="001A73D3"/>
    <w:rsid w:val="001B368A"/>
    <w:rsid w:val="001B473F"/>
    <w:rsid w:val="001C0617"/>
    <w:rsid w:val="001C0F2F"/>
    <w:rsid w:val="001C60CD"/>
    <w:rsid w:val="001D3A1B"/>
    <w:rsid w:val="001D4221"/>
    <w:rsid w:val="001D7CB0"/>
    <w:rsid w:val="001E3C28"/>
    <w:rsid w:val="001E4536"/>
    <w:rsid w:val="001E4FF4"/>
    <w:rsid w:val="001E7EA4"/>
    <w:rsid w:val="001F0C90"/>
    <w:rsid w:val="001F2018"/>
    <w:rsid w:val="001F529E"/>
    <w:rsid w:val="0020098A"/>
    <w:rsid w:val="00203160"/>
    <w:rsid w:val="002055AC"/>
    <w:rsid w:val="00206DB1"/>
    <w:rsid w:val="00207029"/>
    <w:rsid w:val="00214261"/>
    <w:rsid w:val="0021689E"/>
    <w:rsid w:val="00221A57"/>
    <w:rsid w:val="00224CB1"/>
    <w:rsid w:val="002255C6"/>
    <w:rsid w:val="0022783E"/>
    <w:rsid w:val="00230727"/>
    <w:rsid w:val="00232B40"/>
    <w:rsid w:val="00235928"/>
    <w:rsid w:val="00236671"/>
    <w:rsid w:val="002457BF"/>
    <w:rsid w:val="002467C5"/>
    <w:rsid w:val="00250889"/>
    <w:rsid w:val="00250E96"/>
    <w:rsid w:val="002518F8"/>
    <w:rsid w:val="00253135"/>
    <w:rsid w:val="002552E4"/>
    <w:rsid w:val="00255E1F"/>
    <w:rsid w:val="002569E1"/>
    <w:rsid w:val="00256A49"/>
    <w:rsid w:val="00266D9C"/>
    <w:rsid w:val="00267883"/>
    <w:rsid w:val="002679B7"/>
    <w:rsid w:val="00270C0D"/>
    <w:rsid w:val="00271DA2"/>
    <w:rsid w:val="00273A11"/>
    <w:rsid w:val="00274FF5"/>
    <w:rsid w:val="00277BC6"/>
    <w:rsid w:val="00280951"/>
    <w:rsid w:val="002812C9"/>
    <w:rsid w:val="00282AC1"/>
    <w:rsid w:val="002842B6"/>
    <w:rsid w:val="002847EB"/>
    <w:rsid w:val="002912DA"/>
    <w:rsid w:val="00293145"/>
    <w:rsid w:val="00293945"/>
    <w:rsid w:val="0029462A"/>
    <w:rsid w:val="002963BC"/>
    <w:rsid w:val="00297BB9"/>
    <w:rsid w:val="002A06FD"/>
    <w:rsid w:val="002A4213"/>
    <w:rsid w:val="002A5908"/>
    <w:rsid w:val="002B0E4F"/>
    <w:rsid w:val="002B1F3D"/>
    <w:rsid w:val="002B27FD"/>
    <w:rsid w:val="002B2AB9"/>
    <w:rsid w:val="002B3E6A"/>
    <w:rsid w:val="002B51C8"/>
    <w:rsid w:val="002B58C9"/>
    <w:rsid w:val="002B741E"/>
    <w:rsid w:val="002C2035"/>
    <w:rsid w:val="002C3800"/>
    <w:rsid w:val="002C6665"/>
    <w:rsid w:val="002D1C34"/>
    <w:rsid w:val="002D2D26"/>
    <w:rsid w:val="002D2F31"/>
    <w:rsid w:val="002D529A"/>
    <w:rsid w:val="002D797E"/>
    <w:rsid w:val="002E2A04"/>
    <w:rsid w:val="002E363C"/>
    <w:rsid w:val="002E7890"/>
    <w:rsid w:val="002F02CC"/>
    <w:rsid w:val="002F054C"/>
    <w:rsid w:val="002F0C93"/>
    <w:rsid w:val="002F3222"/>
    <w:rsid w:val="002F3472"/>
    <w:rsid w:val="002F4163"/>
    <w:rsid w:val="002F4568"/>
    <w:rsid w:val="002F4C9C"/>
    <w:rsid w:val="002F55F7"/>
    <w:rsid w:val="002F69FF"/>
    <w:rsid w:val="002F7816"/>
    <w:rsid w:val="00300171"/>
    <w:rsid w:val="003017EB"/>
    <w:rsid w:val="00301EC1"/>
    <w:rsid w:val="00303597"/>
    <w:rsid w:val="00304E44"/>
    <w:rsid w:val="00310160"/>
    <w:rsid w:val="003103E4"/>
    <w:rsid w:val="00310DE6"/>
    <w:rsid w:val="00311045"/>
    <w:rsid w:val="00311393"/>
    <w:rsid w:val="00311A05"/>
    <w:rsid w:val="00311B2A"/>
    <w:rsid w:val="00311F1D"/>
    <w:rsid w:val="0031228D"/>
    <w:rsid w:val="00313D5A"/>
    <w:rsid w:val="0031476A"/>
    <w:rsid w:val="003162B8"/>
    <w:rsid w:val="00316A2D"/>
    <w:rsid w:val="003207ED"/>
    <w:rsid w:val="00321592"/>
    <w:rsid w:val="00321A34"/>
    <w:rsid w:val="00322664"/>
    <w:rsid w:val="00324B86"/>
    <w:rsid w:val="0032572C"/>
    <w:rsid w:val="00325CEA"/>
    <w:rsid w:val="003261C4"/>
    <w:rsid w:val="003274A9"/>
    <w:rsid w:val="00333B6D"/>
    <w:rsid w:val="00334405"/>
    <w:rsid w:val="003350A0"/>
    <w:rsid w:val="003408D4"/>
    <w:rsid w:val="00341CC4"/>
    <w:rsid w:val="00342409"/>
    <w:rsid w:val="00343012"/>
    <w:rsid w:val="00345900"/>
    <w:rsid w:val="00350B5F"/>
    <w:rsid w:val="0035363C"/>
    <w:rsid w:val="00354232"/>
    <w:rsid w:val="003542E4"/>
    <w:rsid w:val="003547CA"/>
    <w:rsid w:val="00354ED9"/>
    <w:rsid w:val="0035560D"/>
    <w:rsid w:val="00357AE7"/>
    <w:rsid w:val="003649A2"/>
    <w:rsid w:val="00364C3C"/>
    <w:rsid w:val="0036560B"/>
    <w:rsid w:val="0036588B"/>
    <w:rsid w:val="00366692"/>
    <w:rsid w:val="003671A7"/>
    <w:rsid w:val="00367637"/>
    <w:rsid w:val="003707E1"/>
    <w:rsid w:val="003761FE"/>
    <w:rsid w:val="003773D1"/>
    <w:rsid w:val="00377EF2"/>
    <w:rsid w:val="00383EAB"/>
    <w:rsid w:val="00387F7C"/>
    <w:rsid w:val="00394AD5"/>
    <w:rsid w:val="00395E04"/>
    <w:rsid w:val="003967DE"/>
    <w:rsid w:val="00396A70"/>
    <w:rsid w:val="00396CB7"/>
    <w:rsid w:val="003A0AA1"/>
    <w:rsid w:val="003A5B73"/>
    <w:rsid w:val="003A657E"/>
    <w:rsid w:val="003A670F"/>
    <w:rsid w:val="003A710E"/>
    <w:rsid w:val="003B5DC8"/>
    <w:rsid w:val="003B6432"/>
    <w:rsid w:val="003B6833"/>
    <w:rsid w:val="003B6CD5"/>
    <w:rsid w:val="003C27A2"/>
    <w:rsid w:val="003C4CB4"/>
    <w:rsid w:val="003C6414"/>
    <w:rsid w:val="003C7782"/>
    <w:rsid w:val="003D2D50"/>
    <w:rsid w:val="003D35D9"/>
    <w:rsid w:val="003D627D"/>
    <w:rsid w:val="003E0A75"/>
    <w:rsid w:val="003E482C"/>
    <w:rsid w:val="003E5EEE"/>
    <w:rsid w:val="003E7D36"/>
    <w:rsid w:val="003F00EA"/>
    <w:rsid w:val="003F3196"/>
    <w:rsid w:val="003F7079"/>
    <w:rsid w:val="00400D43"/>
    <w:rsid w:val="00401328"/>
    <w:rsid w:val="00402525"/>
    <w:rsid w:val="00404673"/>
    <w:rsid w:val="004058C8"/>
    <w:rsid w:val="004065DA"/>
    <w:rsid w:val="00410962"/>
    <w:rsid w:val="00417AA6"/>
    <w:rsid w:val="00422A8C"/>
    <w:rsid w:val="00422EF5"/>
    <w:rsid w:val="00424275"/>
    <w:rsid w:val="00424A82"/>
    <w:rsid w:val="00430458"/>
    <w:rsid w:val="004314A7"/>
    <w:rsid w:val="00432BBC"/>
    <w:rsid w:val="00433131"/>
    <w:rsid w:val="00433DBD"/>
    <w:rsid w:val="0043471D"/>
    <w:rsid w:val="00441F89"/>
    <w:rsid w:val="004421BF"/>
    <w:rsid w:val="00442E5D"/>
    <w:rsid w:val="00443243"/>
    <w:rsid w:val="0044515E"/>
    <w:rsid w:val="00445602"/>
    <w:rsid w:val="004457A9"/>
    <w:rsid w:val="00446834"/>
    <w:rsid w:val="004509B1"/>
    <w:rsid w:val="00451825"/>
    <w:rsid w:val="0045394F"/>
    <w:rsid w:val="00453F6D"/>
    <w:rsid w:val="00454BAC"/>
    <w:rsid w:val="004617C9"/>
    <w:rsid w:val="00465D3C"/>
    <w:rsid w:val="004675ED"/>
    <w:rsid w:val="00470C13"/>
    <w:rsid w:val="00472092"/>
    <w:rsid w:val="0047275C"/>
    <w:rsid w:val="00476CCF"/>
    <w:rsid w:val="0048003A"/>
    <w:rsid w:val="004812A4"/>
    <w:rsid w:val="00484731"/>
    <w:rsid w:val="00485EF8"/>
    <w:rsid w:val="004A07F5"/>
    <w:rsid w:val="004B093E"/>
    <w:rsid w:val="004B2260"/>
    <w:rsid w:val="004B3CE2"/>
    <w:rsid w:val="004C189C"/>
    <w:rsid w:val="004C29D8"/>
    <w:rsid w:val="004C3FD6"/>
    <w:rsid w:val="004C6431"/>
    <w:rsid w:val="004C6E93"/>
    <w:rsid w:val="004D16D1"/>
    <w:rsid w:val="004D1DD6"/>
    <w:rsid w:val="004D2988"/>
    <w:rsid w:val="004D3636"/>
    <w:rsid w:val="004D3845"/>
    <w:rsid w:val="004D5593"/>
    <w:rsid w:val="004D58B2"/>
    <w:rsid w:val="004D7C67"/>
    <w:rsid w:val="004D7F24"/>
    <w:rsid w:val="004E0DDD"/>
    <w:rsid w:val="004E1B6E"/>
    <w:rsid w:val="004E27B9"/>
    <w:rsid w:val="004E27E0"/>
    <w:rsid w:val="004E285E"/>
    <w:rsid w:val="004E4730"/>
    <w:rsid w:val="004E5C23"/>
    <w:rsid w:val="004E61A1"/>
    <w:rsid w:val="004E6775"/>
    <w:rsid w:val="004E70C2"/>
    <w:rsid w:val="004E744A"/>
    <w:rsid w:val="004F1D59"/>
    <w:rsid w:val="004F4A71"/>
    <w:rsid w:val="004F5B4E"/>
    <w:rsid w:val="004F63A9"/>
    <w:rsid w:val="005042B5"/>
    <w:rsid w:val="005046D5"/>
    <w:rsid w:val="00504CE0"/>
    <w:rsid w:val="0051038B"/>
    <w:rsid w:val="00510B32"/>
    <w:rsid w:val="005210B5"/>
    <w:rsid w:val="00523180"/>
    <w:rsid w:val="00524026"/>
    <w:rsid w:val="005241B3"/>
    <w:rsid w:val="005256C0"/>
    <w:rsid w:val="00525A95"/>
    <w:rsid w:val="00530FDC"/>
    <w:rsid w:val="00532D08"/>
    <w:rsid w:val="005333A1"/>
    <w:rsid w:val="00534569"/>
    <w:rsid w:val="00540BD3"/>
    <w:rsid w:val="0054103E"/>
    <w:rsid w:val="00541106"/>
    <w:rsid w:val="00543159"/>
    <w:rsid w:val="00543F15"/>
    <w:rsid w:val="00545F0D"/>
    <w:rsid w:val="00546C64"/>
    <w:rsid w:val="00551284"/>
    <w:rsid w:val="00551C42"/>
    <w:rsid w:val="00553793"/>
    <w:rsid w:val="00553B68"/>
    <w:rsid w:val="00557A13"/>
    <w:rsid w:val="005617AD"/>
    <w:rsid w:val="00561933"/>
    <w:rsid w:val="00561FCC"/>
    <w:rsid w:val="00564172"/>
    <w:rsid w:val="00564E5A"/>
    <w:rsid w:val="00565419"/>
    <w:rsid w:val="00566C9E"/>
    <w:rsid w:val="00570CC1"/>
    <w:rsid w:val="00571710"/>
    <w:rsid w:val="00575F9A"/>
    <w:rsid w:val="005760AC"/>
    <w:rsid w:val="00581F2F"/>
    <w:rsid w:val="0058299E"/>
    <w:rsid w:val="005839DC"/>
    <w:rsid w:val="00590C77"/>
    <w:rsid w:val="005911C4"/>
    <w:rsid w:val="00591B14"/>
    <w:rsid w:val="00593E41"/>
    <w:rsid w:val="00594347"/>
    <w:rsid w:val="00596CB2"/>
    <w:rsid w:val="005A1A96"/>
    <w:rsid w:val="005A394F"/>
    <w:rsid w:val="005A5D38"/>
    <w:rsid w:val="005B3FB4"/>
    <w:rsid w:val="005B5760"/>
    <w:rsid w:val="005B656E"/>
    <w:rsid w:val="005C051C"/>
    <w:rsid w:val="005C0D08"/>
    <w:rsid w:val="005C2E46"/>
    <w:rsid w:val="005C6426"/>
    <w:rsid w:val="005C7700"/>
    <w:rsid w:val="005D7E51"/>
    <w:rsid w:val="005E2536"/>
    <w:rsid w:val="005E59DD"/>
    <w:rsid w:val="005F41B9"/>
    <w:rsid w:val="005F55E6"/>
    <w:rsid w:val="005F6640"/>
    <w:rsid w:val="00601194"/>
    <w:rsid w:val="0060429E"/>
    <w:rsid w:val="006042B3"/>
    <w:rsid w:val="0060560F"/>
    <w:rsid w:val="0061000B"/>
    <w:rsid w:val="0061122E"/>
    <w:rsid w:val="006150B3"/>
    <w:rsid w:val="0061721A"/>
    <w:rsid w:val="006224FE"/>
    <w:rsid w:val="00624205"/>
    <w:rsid w:val="006247B7"/>
    <w:rsid w:val="0063030E"/>
    <w:rsid w:val="00631571"/>
    <w:rsid w:val="006324CA"/>
    <w:rsid w:val="00632DBD"/>
    <w:rsid w:val="00632E1C"/>
    <w:rsid w:val="006333F5"/>
    <w:rsid w:val="006360F2"/>
    <w:rsid w:val="00637A17"/>
    <w:rsid w:val="00644888"/>
    <w:rsid w:val="00645532"/>
    <w:rsid w:val="00645E58"/>
    <w:rsid w:val="00647F0C"/>
    <w:rsid w:val="00650D25"/>
    <w:rsid w:val="00651317"/>
    <w:rsid w:val="0065151D"/>
    <w:rsid w:val="00652D33"/>
    <w:rsid w:val="006530AD"/>
    <w:rsid w:val="006545D6"/>
    <w:rsid w:val="00654CCC"/>
    <w:rsid w:val="00656945"/>
    <w:rsid w:val="006578A1"/>
    <w:rsid w:val="006626F3"/>
    <w:rsid w:val="00666BAA"/>
    <w:rsid w:val="00667618"/>
    <w:rsid w:val="0066798F"/>
    <w:rsid w:val="0067059A"/>
    <w:rsid w:val="00672019"/>
    <w:rsid w:val="0068056D"/>
    <w:rsid w:val="00681381"/>
    <w:rsid w:val="00682385"/>
    <w:rsid w:val="00683A21"/>
    <w:rsid w:val="00684C3E"/>
    <w:rsid w:val="00686A0C"/>
    <w:rsid w:val="00686C42"/>
    <w:rsid w:val="006907C0"/>
    <w:rsid w:val="006911D7"/>
    <w:rsid w:val="00692691"/>
    <w:rsid w:val="00693061"/>
    <w:rsid w:val="00695D9A"/>
    <w:rsid w:val="00696AAE"/>
    <w:rsid w:val="006A1091"/>
    <w:rsid w:val="006A1AA0"/>
    <w:rsid w:val="006B0D3B"/>
    <w:rsid w:val="006B201E"/>
    <w:rsid w:val="006B57CA"/>
    <w:rsid w:val="006C42EA"/>
    <w:rsid w:val="006C7D93"/>
    <w:rsid w:val="006C7E19"/>
    <w:rsid w:val="006C7F3B"/>
    <w:rsid w:val="006D1DA3"/>
    <w:rsid w:val="006D34CD"/>
    <w:rsid w:val="006D34F3"/>
    <w:rsid w:val="006D732D"/>
    <w:rsid w:val="006E3CAA"/>
    <w:rsid w:val="006E597C"/>
    <w:rsid w:val="006E6D99"/>
    <w:rsid w:val="006E75A2"/>
    <w:rsid w:val="0070093F"/>
    <w:rsid w:val="00703563"/>
    <w:rsid w:val="00703DE5"/>
    <w:rsid w:val="0070464F"/>
    <w:rsid w:val="00704E27"/>
    <w:rsid w:val="00705D63"/>
    <w:rsid w:val="00706737"/>
    <w:rsid w:val="00706A4A"/>
    <w:rsid w:val="00711ADF"/>
    <w:rsid w:val="00711C71"/>
    <w:rsid w:val="007128F3"/>
    <w:rsid w:val="0072250B"/>
    <w:rsid w:val="00723713"/>
    <w:rsid w:val="00725BB2"/>
    <w:rsid w:val="00734A73"/>
    <w:rsid w:val="00734E3A"/>
    <w:rsid w:val="00740D92"/>
    <w:rsid w:val="00741D44"/>
    <w:rsid w:val="007434E1"/>
    <w:rsid w:val="00744347"/>
    <w:rsid w:val="0074505D"/>
    <w:rsid w:val="00746955"/>
    <w:rsid w:val="007474D1"/>
    <w:rsid w:val="00752032"/>
    <w:rsid w:val="007536F0"/>
    <w:rsid w:val="00755458"/>
    <w:rsid w:val="00755594"/>
    <w:rsid w:val="00756104"/>
    <w:rsid w:val="007564E2"/>
    <w:rsid w:val="00757C32"/>
    <w:rsid w:val="00760089"/>
    <w:rsid w:val="00760A04"/>
    <w:rsid w:val="00761541"/>
    <w:rsid w:val="007629E9"/>
    <w:rsid w:val="00763AE9"/>
    <w:rsid w:val="00764AA0"/>
    <w:rsid w:val="007651DD"/>
    <w:rsid w:val="007724C8"/>
    <w:rsid w:val="00773CAC"/>
    <w:rsid w:val="00774022"/>
    <w:rsid w:val="00775A66"/>
    <w:rsid w:val="0077629D"/>
    <w:rsid w:val="00777283"/>
    <w:rsid w:val="007773B9"/>
    <w:rsid w:val="00783142"/>
    <w:rsid w:val="00792503"/>
    <w:rsid w:val="007946D6"/>
    <w:rsid w:val="00796057"/>
    <w:rsid w:val="007A1A1C"/>
    <w:rsid w:val="007A298B"/>
    <w:rsid w:val="007A502E"/>
    <w:rsid w:val="007A521A"/>
    <w:rsid w:val="007A5DFA"/>
    <w:rsid w:val="007A5ED9"/>
    <w:rsid w:val="007A78B5"/>
    <w:rsid w:val="007B5278"/>
    <w:rsid w:val="007B7AAF"/>
    <w:rsid w:val="007C0C9A"/>
    <w:rsid w:val="007C2812"/>
    <w:rsid w:val="007C2F1A"/>
    <w:rsid w:val="007C3712"/>
    <w:rsid w:val="007D0914"/>
    <w:rsid w:val="007D0C3B"/>
    <w:rsid w:val="007D4836"/>
    <w:rsid w:val="007D525A"/>
    <w:rsid w:val="007D5AB8"/>
    <w:rsid w:val="007D672F"/>
    <w:rsid w:val="007D70F6"/>
    <w:rsid w:val="007D7582"/>
    <w:rsid w:val="007E1534"/>
    <w:rsid w:val="007E1993"/>
    <w:rsid w:val="007E5133"/>
    <w:rsid w:val="007E5B18"/>
    <w:rsid w:val="007F46AC"/>
    <w:rsid w:val="007F61C9"/>
    <w:rsid w:val="00800205"/>
    <w:rsid w:val="00804CBC"/>
    <w:rsid w:val="00805306"/>
    <w:rsid w:val="00807CF0"/>
    <w:rsid w:val="008107AA"/>
    <w:rsid w:val="00812C05"/>
    <w:rsid w:val="0081305A"/>
    <w:rsid w:val="0081392C"/>
    <w:rsid w:val="00813A8E"/>
    <w:rsid w:val="008150D9"/>
    <w:rsid w:val="00815329"/>
    <w:rsid w:val="00816F6C"/>
    <w:rsid w:val="00817A5E"/>
    <w:rsid w:val="0082086E"/>
    <w:rsid w:val="00820B74"/>
    <w:rsid w:val="00820FD0"/>
    <w:rsid w:val="00822692"/>
    <w:rsid w:val="0083137A"/>
    <w:rsid w:val="008341EF"/>
    <w:rsid w:val="00837CE4"/>
    <w:rsid w:val="00837EEF"/>
    <w:rsid w:val="00841123"/>
    <w:rsid w:val="00845530"/>
    <w:rsid w:val="00846653"/>
    <w:rsid w:val="00846D43"/>
    <w:rsid w:val="00850956"/>
    <w:rsid w:val="00850CAD"/>
    <w:rsid w:val="00850E1C"/>
    <w:rsid w:val="00852D86"/>
    <w:rsid w:val="00856ECB"/>
    <w:rsid w:val="008611D4"/>
    <w:rsid w:val="00864748"/>
    <w:rsid w:val="00867A63"/>
    <w:rsid w:val="0087031F"/>
    <w:rsid w:val="00871D81"/>
    <w:rsid w:val="008731B5"/>
    <w:rsid w:val="00875189"/>
    <w:rsid w:val="0088026A"/>
    <w:rsid w:val="00882B8F"/>
    <w:rsid w:val="00883B5E"/>
    <w:rsid w:val="008856B1"/>
    <w:rsid w:val="00886746"/>
    <w:rsid w:val="008903BC"/>
    <w:rsid w:val="008910DA"/>
    <w:rsid w:val="00891D5B"/>
    <w:rsid w:val="00892534"/>
    <w:rsid w:val="008946AE"/>
    <w:rsid w:val="00895D6D"/>
    <w:rsid w:val="008964A7"/>
    <w:rsid w:val="00896617"/>
    <w:rsid w:val="008A0A9A"/>
    <w:rsid w:val="008A1EB2"/>
    <w:rsid w:val="008A27BC"/>
    <w:rsid w:val="008A4B24"/>
    <w:rsid w:val="008A599D"/>
    <w:rsid w:val="008A5CE6"/>
    <w:rsid w:val="008A6056"/>
    <w:rsid w:val="008A6B7E"/>
    <w:rsid w:val="008A6DE8"/>
    <w:rsid w:val="008A6EE1"/>
    <w:rsid w:val="008A73EF"/>
    <w:rsid w:val="008A782F"/>
    <w:rsid w:val="008A7EF0"/>
    <w:rsid w:val="008B0171"/>
    <w:rsid w:val="008B1E03"/>
    <w:rsid w:val="008B3876"/>
    <w:rsid w:val="008B5AAC"/>
    <w:rsid w:val="008B6F14"/>
    <w:rsid w:val="008B7FA9"/>
    <w:rsid w:val="008C0383"/>
    <w:rsid w:val="008C14F4"/>
    <w:rsid w:val="008C25C6"/>
    <w:rsid w:val="008C3A81"/>
    <w:rsid w:val="008C6DBF"/>
    <w:rsid w:val="008C72CD"/>
    <w:rsid w:val="008C744F"/>
    <w:rsid w:val="008E2329"/>
    <w:rsid w:val="008F017C"/>
    <w:rsid w:val="008F1D20"/>
    <w:rsid w:val="008F3DEF"/>
    <w:rsid w:val="008F5131"/>
    <w:rsid w:val="008F5341"/>
    <w:rsid w:val="00901C14"/>
    <w:rsid w:val="00903AA1"/>
    <w:rsid w:val="0090448D"/>
    <w:rsid w:val="00904D80"/>
    <w:rsid w:val="00910D84"/>
    <w:rsid w:val="00910F43"/>
    <w:rsid w:val="009161DD"/>
    <w:rsid w:val="00920A1A"/>
    <w:rsid w:val="00922814"/>
    <w:rsid w:val="00924DBE"/>
    <w:rsid w:val="00926C87"/>
    <w:rsid w:val="00926E0B"/>
    <w:rsid w:val="00935CBC"/>
    <w:rsid w:val="00937F45"/>
    <w:rsid w:val="009406A0"/>
    <w:rsid w:val="00945810"/>
    <w:rsid w:val="00952082"/>
    <w:rsid w:val="00952182"/>
    <w:rsid w:val="009528B1"/>
    <w:rsid w:val="009545F2"/>
    <w:rsid w:val="00954DE8"/>
    <w:rsid w:val="00960298"/>
    <w:rsid w:val="00960EE2"/>
    <w:rsid w:val="00962030"/>
    <w:rsid w:val="009632CA"/>
    <w:rsid w:val="009656CE"/>
    <w:rsid w:val="00967C5A"/>
    <w:rsid w:val="009710F4"/>
    <w:rsid w:val="0097165E"/>
    <w:rsid w:val="00971BA4"/>
    <w:rsid w:val="00973473"/>
    <w:rsid w:val="00973B52"/>
    <w:rsid w:val="009807F0"/>
    <w:rsid w:val="0098483C"/>
    <w:rsid w:val="009848F0"/>
    <w:rsid w:val="009859AF"/>
    <w:rsid w:val="00993077"/>
    <w:rsid w:val="00994902"/>
    <w:rsid w:val="0099500E"/>
    <w:rsid w:val="009955E0"/>
    <w:rsid w:val="00997830"/>
    <w:rsid w:val="00997D6D"/>
    <w:rsid w:val="009A03EA"/>
    <w:rsid w:val="009A10BD"/>
    <w:rsid w:val="009A3D9C"/>
    <w:rsid w:val="009A600F"/>
    <w:rsid w:val="009B169A"/>
    <w:rsid w:val="009B5523"/>
    <w:rsid w:val="009B5D20"/>
    <w:rsid w:val="009C00E4"/>
    <w:rsid w:val="009C0700"/>
    <w:rsid w:val="009C7B49"/>
    <w:rsid w:val="009D06E1"/>
    <w:rsid w:val="009D1C79"/>
    <w:rsid w:val="009D1CCC"/>
    <w:rsid w:val="009D4A03"/>
    <w:rsid w:val="009D554C"/>
    <w:rsid w:val="009D5AAB"/>
    <w:rsid w:val="009D636D"/>
    <w:rsid w:val="009D765B"/>
    <w:rsid w:val="009E4CF9"/>
    <w:rsid w:val="009E73CA"/>
    <w:rsid w:val="009F285E"/>
    <w:rsid w:val="009F5F5B"/>
    <w:rsid w:val="009F6C1A"/>
    <w:rsid w:val="00A01ADD"/>
    <w:rsid w:val="00A032CA"/>
    <w:rsid w:val="00A03D8C"/>
    <w:rsid w:val="00A042BA"/>
    <w:rsid w:val="00A05EE4"/>
    <w:rsid w:val="00A10AC3"/>
    <w:rsid w:val="00A13357"/>
    <w:rsid w:val="00A15508"/>
    <w:rsid w:val="00A16B91"/>
    <w:rsid w:val="00A16B93"/>
    <w:rsid w:val="00A16D09"/>
    <w:rsid w:val="00A1710C"/>
    <w:rsid w:val="00A179BE"/>
    <w:rsid w:val="00A20AC9"/>
    <w:rsid w:val="00A214D9"/>
    <w:rsid w:val="00A22399"/>
    <w:rsid w:val="00A24375"/>
    <w:rsid w:val="00A25AC7"/>
    <w:rsid w:val="00A327B5"/>
    <w:rsid w:val="00A3540F"/>
    <w:rsid w:val="00A3580A"/>
    <w:rsid w:val="00A35C67"/>
    <w:rsid w:val="00A368E8"/>
    <w:rsid w:val="00A37C91"/>
    <w:rsid w:val="00A40806"/>
    <w:rsid w:val="00A4262E"/>
    <w:rsid w:val="00A42B7F"/>
    <w:rsid w:val="00A45BEF"/>
    <w:rsid w:val="00A516C3"/>
    <w:rsid w:val="00A54874"/>
    <w:rsid w:val="00A559B1"/>
    <w:rsid w:val="00A55DF3"/>
    <w:rsid w:val="00A60337"/>
    <w:rsid w:val="00A627E9"/>
    <w:rsid w:val="00A65A03"/>
    <w:rsid w:val="00A6713D"/>
    <w:rsid w:val="00A714A6"/>
    <w:rsid w:val="00A72A66"/>
    <w:rsid w:val="00A73F1F"/>
    <w:rsid w:val="00A76A37"/>
    <w:rsid w:val="00A76B69"/>
    <w:rsid w:val="00A80D85"/>
    <w:rsid w:val="00A823E9"/>
    <w:rsid w:val="00AA04DC"/>
    <w:rsid w:val="00AA5C79"/>
    <w:rsid w:val="00AA74F9"/>
    <w:rsid w:val="00AA7591"/>
    <w:rsid w:val="00AB03A5"/>
    <w:rsid w:val="00AB1B64"/>
    <w:rsid w:val="00AB1C58"/>
    <w:rsid w:val="00AB2EF6"/>
    <w:rsid w:val="00AB33BF"/>
    <w:rsid w:val="00AB3575"/>
    <w:rsid w:val="00AB36BD"/>
    <w:rsid w:val="00AB44A3"/>
    <w:rsid w:val="00AB6068"/>
    <w:rsid w:val="00AB7243"/>
    <w:rsid w:val="00AB79DD"/>
    <w:rsid w:val="00AC153B"/>
    <w:rsid w:val="00AC30FC"/>
    <w:rsid w:val="00AC3A25"/>
    <w:rsid w:val="00AC42FE"/>
    <w:rsid w:val="00AC5D1F"/>
    <w:rsid w:val="00AC7FE6"/>
    <w:rsid w:val="00AD0482"/>
    <w:rsid w:val="00AD402F"/>
    <w:rsid w:val="00AD4622"/>
    <w:rsid w:val="00AD4DB6"/>
    <w:rsid w:val="00AD6001"/>
    <w:rsid w:val="00AD61B5"/>
    <w:rsid w:val="00AD6C52"/>
    <w:rsid w:val="00AE3D9C"/>
    <w:rsid w:val="00AE41D0"/>
    <w:rsid w:val="00AE6E73"/>
    <w:rsid w:val="00AF229F"/>
    <w:rsid w:val="00AF4C91"/>
    <w:rsid w:val="00AF4F4D"/>
    <w:rsid w:val="00AF6E67"/>
    <w:rsid w:val="00B015DF"/>
    <w:rsid w:val="00B016A8"/>
    <w:rsid w:val="00B027E9"/>
    <w:rsid w:val="00B02F1B"/>
    <w:rsid w:val="00B03218"/>
    <w:rsid w:val="00B03550"/>
    <w:rsid w:val="00B03FC3"/>
    <w:rsid w:val="00B04325"/>
    <w:rsid w:val="00B0617B"/>
    <w:rsid w:val="00B06629"/>
    <w:rsid w:val="00B0678E"/>
    <w:rsid w:val="00B07FA2"/>
    <w:rsid w:val="00B10A9D"/>
    <w:rsid w:val="00B1141C"/>
    <w:rsid w:val="00B11594"/>
    <w:rsid w:val="00B11F89"/>
    <w:rsid w:val="00B1648E"/>
    <w:rsid w:val="00B1665B"/>
    <w:rsid w:val="00B1684E"/>
    <w:rsid w:val="00B22559"/>
    <w:rsid w:val="00B22937"/>
    <w:rsid w:val="00B25FD1"/>
    <w:rsid w:val="00B31B20"/>
    <w:rsid w:val="00B37739"/>
    <w:rsid w:val="00B426E8"/>
    <w:rsid w:val="00B4696F"/>
    <w:rsid w:val="00B52AF7"/>
    <w:rsid w:val="00B547CE"/>
    <w:rsid w:val="00B55C84"/>
    <w:rsid w:val="00B567FC"/>
    <w:rsid w:val="00B570FA"/>
    <w:rsid w:val="00B57131"/>
    <w:rsid w:val="00B573AB"/>
    <w:rsid w:val="00B62DA4"/>
    <w:rsid w:val="00B6305E"/>
    <w:rsid w:val="00B63109"/>
    <w:rsid w:val="00B638ED"/>
    <w:rsid w:val="00B65D0F"/>
    <w:rsid w:val="00B7111D"/>
    <w:rsid w:val="00B71A9B"/>
    <w:rsid w:val="00B71F0B"/>
    <w:rsid w:val="00B77B44"/>
    <w:rsid w:val="00B800EF"/>
    <w:rsid w:val="00B90DAA"/>
    <w:rsid w:val="00B910A2"/>
    <w:rsid w:val="00B92BC3"/>
    <w:rsid w:val="00B935CB"/>
    <w:rsid w:val="00B94494"/>
    <w:rsid w:val="00B947D2"/>
    <w:rsid w:val="00B957E3"/>
    <w:rsid w:val="00B95C57"/>
    <w:rsid w:val="00B96706"/>
    <w:rsid w:val="00B9797C"/>
    <w:rsid w:val="00BA081E"/>
    <w:rsid w:val="00BA1C41"/>
    <w:rsid w:val="00BA3274"/>
    <w:rsid w:val="00BA4DC2"/>
    <w:rsid w:val="00BA5D6C"/>
    <w:rsid w:val="00BB02F1"/>
    <w:rsid w:val="00BB15A5"/>
    <w:rsid w:val="00BB3A3A"/>
    <w:rsid w:val="00BC129F"/>
    <w:rsid w:val="00BC1F5C"/>
    <w:rsid w:val="00BC3587"/>
    <w:rsid w:val="00BC3914"/>
    <w:rsid w:val="00BC4149"/>
    <w:rsid w:val="00BC6CC0"/>
    <w:rsid w:val="00BC7E0F"/>
    <w:rsid w:val="00BD0083"/>
    <w:rsid w:val="00BD2D61"/>
    <w:rsid w:val="00BD2D91"/>
    <w:rsid w:val="00BD3A0C"/>
    <w:rsid w:val="00BD3CBE"/>
    <w:rsid w:val="00BD5DE2"/>
    <w:rsid w:val="00BD6802"/>
    <w:rsid w:val="00BD703F"/>
    <w:rsid w:val="00BE0475"/>
    <w:rsid w:val="00BE41AC"/>
    <w:rsid w:val="00BE41F4"/>
    <w:rsid w:val="00BE4BDE"/>
    <w:rsid w:val="00BE6FC6"/>
    <w:rsid w:val="00BF14C8"/>
    <w:rsid w:val="00BF18C0"/>
    <w:rsid w:val="00BF7FC0"/>
    <w:rsid w:val="00C02721"/>
    <w:rsid w:val="00C05ED3"/>
    <w:rsid w:val="00C11D80"/>
    <w:rsid w:val="00C12C51"/>
    <w:rsid w:val="00C13E95"/>
    <w:rsid w:val="00C15D28"/>
    <w:rsid w:val="00C1664F"/>
    <w:rsid w:val="00C20797"/>
    <w:rsid w:val="00C247B2"/>
    <w:rsid w:val="00C24BA3"/>
    <w:rsid w:val="00C256C5"/>
    <w:rsid w:val="00C25E02"/>
    <w:rsid w:val="00C276C1"/>
    <w:rsid w:val="00C30B4C"/>
    <w:rsid w:val="00C3443F"/>
    <w:rsid w:val="00C411A0"/>
    <w:rsid w:val="00C43F21"/>
    <w:rsid w:val="00C44998"/>
    <w:rsid w:val="00C4511F"/>
    <w:rsid w:val="00C466BE"/>
    <w:rsid w:val="00C46F45"/>
    <w:rsid w:val="00C52BE2"/>
    <w:rsid w:val="00C53D67"/>
    <w:rsid w:val="00C56887"/>
    <w:rsid w:val="00C604EC"/>
    <w:rsid w:val="00C61D54"/>
    <w:rsid w:val="00C630A1"/>
    <w:rsid w:val="00C6434F"/>
    <w:rsid w:val="00C65730"/>
    <w:rsid w:val="00C65DF5"/>
    <w:rsid w:val="00C70F9B"/>
    <w:rsid w:val="00C740D1"/>
    <w:rsid w:val="00C76098"/>
    <w:rsid w:val="00C76E67"/>
    <w:rsid w:val="00C800ED"/>
    <w:rsid w:val="00C857FB"/>
    <w:rsid w:val="00C86082"/>
    <w:rsid w:val="00C8755C"/>
    <w:rsid w:val="00C9008E"/>
    <w:rsid w:val="00C90E29"/>
    <w:rsid w:val="00C933EC"/>
    <w:rsid w:val="00CA056A"/>
    <w:rsid w:val="00CA2C59"/>
    <w:rsid w:val="00CA319D"/>
    <w:rsid w:val="00CA33ED"/>
    <w:rsid w:val="00CA37AF"/>
    <w:rsid w:val="00CA4464"/>
    <w:rsid w:val="00CA679B"/>
    <w:rsid w:val="00CA67DB"/>
    <w:rsid w:val="00CB01B8"/>
    <w:rsid w:val="00CB2F32"/>
    <w:rsid w:val="00CB44EC"/>
    <w:rsid w:val="00CB4E25"/>
    <w:rsid w:val="00CB691C"/>
    <w:rsid w:val="00CB75A5"/>
    <w:rsid w:val="00CC3AD7"/>
    <w:rsid w:val="00CC4F21"/>
    <w:rsid w:val="00CC6143"/>
    <w:rsid w:val="00CC69DA"/>
    <w:rsid w:val="00CC6C5D"/>
    <w:rsid w:val="00CD0829"/>
    <w:rsid w:val="00CD0A13"/>
    <w:rsid w:val="00CE1691"/>
    <w:rsid w:val="00CE3C0F"/>
    <w:rsid w:val="00CE476F"/>
    <w:rsid w:val="00CE666B"/>
    <w:rsid w:val="00CE7053"/>
    <w:rsid w:val="00CF0F39"/>
    <w:rsid w:val="00CF181C"/>
    <w:rsid w:val="00CF240B"/>
    <w:rsid w:val="00CF2BDB"/>
    <w:rsid w:val="00CF3E93"/>
    <w:rsid w:val="00D00A9A"/>
    <w:rsid w:val="00D04323"/>
    <w:rsid w:val="00D05496"/>
    <w:rsid w:val="00D10051"/>
    <w:rsid w:val="00D10291"/>
    <w:rsid w:val="00D1444F"/>
    <w:rsid w:val="00D30DDB"/>
    <w:rsid w:val="00D34E9D"/>
    <w:rsid w:val="00D35321"/>
    <w:rsid w:val="00D40BA1"/>
    <w:rsid w:val="00D417EF"/>
    <w:rsid w:val="00D449B5"/>
    <w:rsid w:val="00D4661D"/>
    <w:rsid w:val="00D50F82"/>
    <w:rsid w:val="00D52275"/>
    <w:rsid w:val="00D536A6"/>
    <w:rsid w:val="00D536C8"/>
    <w:rsid w:val="00D54585"/>
    <w:rsid w:val="00D54C1A"/>
    <w:rsid w:val="00D573FC"/>
    <w:rsid w:val="00D6196A"/>
    <w:rsid w:val="00D6437B"/>
    <w:rsid w:val="00D64F8A"/>
    <w:rsid w:val="00D70193"/>
    <w:rsid w:val="00D733A8"/>
    <w:rsid w:val="00D77B13"/>
    <w:rsid w:val="00D800BE"/>
    <w:rsid w:val="00D80441"/>
    <w:rsid w:val="00D80710"/>
    <w:rsid w:val="00D81316"/>
    <w:rsid w:val="00D814B2"/>
    <w:rsid w:val="00D81CDA"/>
    <w:rsid w:val="00D82D73"/>
    <w:rsid w:val="00D85834"/>
    <w:rsid w:val="00D8682E"/>
    <w:rsid w:val="00D868D7"/>
    <w:rsid w:val="00D86ADA"/>
    <w:rsid w:val="00D90804"/>
    <w:rsid w:val="00D9085E"/>
    <w:rsid w:val="00D915A0"/>
    <w:rsid w:val="00D9165C"/>
    <w:rsid w:val="00D93C42"/>
    <w:rsid w:val="00D9651B"/>
    <w:rsid w:val="00DA06B7"/>
    <w:rsid w:val="00DA071B"/>
    <w:rsid w:val="00DA0BF7"/>
    <w:rsid w:val="00DA186A"/>
    <w:rsid w:val="00DA4A29"/>
    <w:rsid w:val="00DA52D9"/>
    <w:rsid w:val="00DA5F1F"/>
    <w:rsid w:val="00DB0F62"/>
    <w:rsid w:val="00DB4075"/>
    <w:rsid w:val="00DB6671"/>
    <w:rsid w:val="00DB71C7"/>
    <w:rsid w:val="00DC0999"/>
    <w:rsid w:val="00DC156C"/>
    <w:rsid w:val="00DC3184"/>
    <w:rsid w:val="00DC7EF5"/>
    <w:rsid w:val="00DD010D"/>
    <w:rsid w:val="00DD71F8"/>
    <w:rsid w:val="00DD7836"/>
    <w:rsid w:val="00DE1ACD"/>
    <w:rsid w:val="00DE78C1"/>
    <w:rsid w:val="00DF0DA2"/>
    <w:rsid w:val="00DF13F2"/>
    <w:rsid w:val="00DF72D4"/>
    <w:rsid w:val="00DF7763"/>
    <w:rsid w:val="00E0136B"/>
    <w:rsid w:val="00E0175D"/>
    <w:rsid w:val="00E02492"/>
    <w:rsid w:val="00E026C1"/>
    <w:rsid w:val="00E03BB7"/>
    <w:rsid w:val="00E05010"/>
    <w:rsid w:val="00E07788"/>
    <w:rsid w:val="00E11A72"/>
    <w:rsid w:val="00E13909"/>
    <w:rsid w:val="00E1437D"/>
    <w:rsid w:val="00E14DAE"/>
    <w:rsid w:val="00E150C9"/>
    <w:rsid w:val="00E150D1"/>
    <w:rsid w:val="00E168EE"/>
    <w:rsid w:val="00E17CE3"/>
    <w:rsid w:val="00E17F6D"/>
    <w:rsid w:val="00E17F9A"/>
    <w:rsid w:val="00E2120A"/>
    <w:rsid w:val="00E21A19"/>
    <w:rsid w:val="00E24C42"/>
    <w:rsid w:val="00E252CA"/>
    <w:rsid w:val="00E25823"/>
    <w:rsid w:val="00E25830"/>
    <w:rsid w:val="00E26475"/>
    <w:rsid w:val="00E26865"/>
    <w:rsid w:val="00E26A11"/>
    <w:rsid w:val="00E26C61"/>
    <w:rsid w:val="00E278AE"/>
    <w:rsid w:val="00E302B6"/>
    <w:rsid w:val="00E309FA"/>
    <w:rsid w:val="00E318A4"/>
    <w:rsid w:val="00E35C58"/>
    <w:rsid w:val="00E36992"/>
    <w:rsid w:val="00E41A6E"/>
    <w:rsid w:val="00E46CC0"/>
    <w:rsid w:val="00E50055"/>
    <w:rsid w:val="00E50859"/>
    <w:rsid w:val="00E5108B"/>
    <w:rsid w:val="00E52D7C"/>
    <w:rsid w:val="00E53BD5"/>
    <w:rsid w:val="00E558B7"/>
    <w:rsid w:val="00E63671"/>
    <w:rsid w:val="00E655A0"/>
    <w:rsid w:val="00E732FC"/>
    <w:rsid w:val="00E759F0"/>
    <w:rsid w:val="00E7651F"/>
    <w:rsid w:val="00E773A5"/>
    <w:rsid w:val="00E778A3"/>
    <w:rsid w:val="00E815C7"/>
    <w:rsid w:val="00E81915"/>
    <w:rsid w:val="00E81E8F"/>
    <w:rsid w:val="00E84FB1"/>
    <w:rsid w:val="00E852F6"/>
    <w:rsid w:val="00E86783"/>
    <w:rsid w:val="00E90DF7"/>
    <w:rsid w:val="00E91661"/>
    <w:rsid w:val="00EA07A7"/>
    <w:rsid w:val="00EA2146"/>
    <w:rsid w:val="00EA3039"/>
    <w:rsid w:val="00EA36F6"/>
    <w:rsid w:val="00EA47AA"/>
    <w:rsid w:val="00EA6EBF"/>
    <w:rsid w:val="00EB1597"/>
    <w:rsid w:val="00EB3E33"/>
    <w:rsid w:val="00EB505C"/>
    <w:rsid w:val="00EB524E"/>
    <w:rsid w:val="00EB5E9C"/>
    <w:rsid w:val="00EC0B00"/>
    <w:rsid w:val="00EC0F5E"/>
    <w:rsid w:val="00EC15A4"/>
    <w:rsid w:val="00EC18FB"/>
    <w:rsid w:val="00EC1EDF"/>
    <w:rsid w:val="00EC26E2"/>
    <w:rsid w:val="00EC465D"/>
    <w:rsid w:val="00EC62D0"/>
    <w:rsid w:val="00ED0CA4"/>
    <w:rsid w:val="00ED618C"/>
    <w:rsid w:val="00ED678D"/>
    <w:rsid w:val="00EE021B"/>
    <w:rsid w:val="00EE33A2"/>
    <w:rsid w:val="00EE4378"/>
    <w:rsid w:val="00EF1BF1"/>
    <w:rsid w:val="00EF4C55"/>
    <w:rsid w:val="00EF7432"/>
    <w:rsid w:val="00EF7C4D"/>
    <w:rsid w:val="00F01DBB"/>
    <w:rsid w:val="00F01E7D"/>
    <w:rsid w:val="00F03114"/>
    <w:rsid w:val="00F06AE7"/>
    <w:rsid w:val="00F070DE"/>
    <w:rsid w:val="00F07354"/>
    <w:rsid w:val="00F10584"/>
    <w:rsid w:val="00F12732"/>
    <w:rsid w:val="00F12FC5"/>
    <w:rsid w:val="00F13384"/>
    <w:rsid w:val="00F13E59"/>
    <w:rsid w:val="00F16EFD"/>
    <w:rsid w:val="00F23762"/>
    <w:rsid w:val="00F25CBA"/>
    <w:rsid w:val="00F321F5"/>
    <w:rsid w:val="00F3340C"/>
    <w:rsid w:val="00F347A2"/>
    <w:rsid w:val="00F36E44"/>
    <w:rsid w:val="00F40DA8"/>
    <w:rsid w:val="00F41BDE"/>
    <w:rsid w:val="00F42CD2"/>
    <w:rsid w:val="00F43CFE"/>
    <w:rsid w:val="00F447A2"/>
    <w:rsid w:val="00F44AE8"/>
    <w:rsid w:val="00F45353"/>
    <w:rsid w:val="00F51BC7"/>
    <w:rsid w:val="00F5410C"/>
    <w:rsid w:val="00F546CC"/>
    <w:rsid w:val="00F5734C"/>
    <w:rsid w:val="00F57D00"/>
    <w:rsid w:val="00F57E0C"/>
    <w:rsid w:val="00F57E54"/>
    <w:rsid w:val="00F67476"/>
    <w:rsid w:val="00F67619"/>
    <w:rsid w:val="00F7663F"/>
    <w:rsid w:val="00F774F5"/>
    <w:rsid w:val="00F77CAD"/>
    <w:rsid w:val="00F80076"/>
    <w:rsid w:val="00F8214B"/>
    <w:rsid w:val="00F8358C"/>
    <w:rsid w:val="00F83C92"/>
    <w:rsid w:val="00F85DEE"/>
    <w:rsid w:val="00F87027"/>
    <w:rsid w:val="00F87EA9"/>
    <w:rsid w:val="00F92B35"/>
    <w:rsid w:val="00F942C3"/>
    <w:rsid w:val="00F94935"/>
    <w:rsid w:val="00F9499C"/>
    <w:rsid w:val="00F9509C"/>
    <w:rsid w:val="00FA0EDE"/>
    <w:rsid w:val="00FA1ABE"/>
    <w:rsid w:val="00FA3666"/>
    <w:rsid w:val="00FA5796"/>
    <w:rsid w:val="00FA6B8B"/>
    <w:rsid w:val="00FB018D"/>
    <w:rsid w:val="00FB2356"/>
    <w:rsid w:val="00FB331C"/>
    <w:rsid w:val="00FB38C2"/>
    <w:rsid w:val="00FB4E55"/>
    <w:rsid w:val="00FB6BA9"/>
    <w:rsid w:val="00FB74B1"/>
    <w:rsid w:val="00FC00B3"/>
    <w:rsid w:val="00FC062B"/>
    <w:rsid w:val="00FC0CE4"/>
    <w:rsid w:val="00FC1A15"/>
    <w:rsid w:val="00FC5124"/>
    <w:rsid w:val="00FD0630"/>
    <w:rsid w:val="00FD171A"/>
    <w:rsid w:val="00FD225B"/>
    <w:rsid w:val="00FD507D"/>
    <w:rsid w:val="00FE04E2"/>
    <w:rsid w:val="00FE0B6C"/>
    <w:rsid w:val="00FE7D60"/>
    <w:rsid w:val="00FF028D"/>
    <w:rsid w:val="00FF0EA0"/>
    <w:rsid w:val="00FF24AD"/>
    <w:rsid w:val="00FF3EEA"/>
    <w:rsid w:val="00FF4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2" w:locked="1" w:uiPriority="0"/>
    <w:lsdException w:name="List Number 5"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uiPriority w:val="99"/>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99"/>
    <w:rsid w:val="00EB505C"/>
    <w:pPr>
      <w:spacing w:before="120" w:after="120"/>
    </w:pPr>
  </w:style>
  <w:style w:type="character" w:customStyle="1" w:styleId="BodyTextChar">
    <w:name w:val="Body Text Char"/>
    <w:link w:val="BodyText"/>
    <w:uiPriority w:val="99"/>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semiHidden/>
    <w:rsid w:val="00C800ED"/>
    <w:rPr>
      <w:rFonts w:cs="Times New Roman"/>
      <w:vertAlign w:val="superscript"/>
    </w:rPr>
  </w:style>
  <w:style w:type="paragraph" w:styleId="FootnoteText">
    <w:name w:val="footnote text"/>
    <w:basedOn w:val="Normal"/>
    <w:link w:val="FootnoteTextChar"/>
    <w:uiPriority w:val="99"/>
    <w:semiHidden/>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semiHidden/>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99"/>
    <w:qFormat/>
    <w:rsid w:val="00C800ED"/>
    <w:rPr>
      <w:rFonts w:cs="Times New Roman"/>
      <w:b/>
    </w:rPr>
  </w:style>
  <w:style w:type="table" w:styleId="TableGrid">
    <w:name w:val="Table Grid"/>
    <w:basedOn w:val="TableNormal"/>
    <w:uiPriority w:val="9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99"/>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E25830"/>
    <w:pPr>
      <w:widowControl w:val="0"/>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2" w:locked="1" w:uiPriority="0"/>
    <w:lsdException w:name="index 3" w:locked="1" w:uiPriority="0"/>
    <w:lsdException w:name="index 4" w:locked="1" w:uiPriority="0"/>
    <w:lsdException w:name="index 5" w:locked="1" w:uiPriority="0"/>
    <w:lsdException w:name="index 6" w:locked="1"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2" w:locked="1" w:uiPriority="0"/>
    <w:lsdException w:name="List Number 5"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Indent 3" w:locked="1" w:uiPriority="0"/>
    <w:lsdException w:name="Block Text" w:locked="1" w:uiPriority="0"/>
    <w:lsdException w:name="Hyperlink" w:locked="1" w:uiPriority="0"/>
    <w:lsdException w:name="Followed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749"/>
    <w:rPr>
      <w:sz w:val="24"/>
      <w:szCs w:val="24"/>
    </w:rPr>
  </w:style>
  <w:style w:type="paragraph" w:styleId="Heading1">
    <w:name w:val="heading 1"/>
    <w:basedOn w:val="Normal"/>
    <w:next w:val="Normal"/>
    <w:link w:val="Heading1Char"/>
    <w:uiPriority w:val="99"/>
    <w:qFormat/>
    <w:rsid w:val="00092002"/>
    <w:pPr>
      <w:keepNext/>
      <w:spacing w:line="360" w:lineRule="auto"/>
      <w:ind w:left="360"/>
      <w:jc w:val="center"/>
      <w:outlineLvl w:val="0"/>
    </w:pPr>
    <w:rPr>
      <w:b/>
    </w:rPr>
  </w:style>
  <w:style w:type="paragraph" w:styleId="Heading2">
    <w:name w:val="heading 2"/>
    <w:basedOn w:val="Normal"/>
    <w:next w:val="Normal"/>
    <w:link w:val="Heading2Char"/>
    <w:uiPriority w:val="99"/>
    <w:qFormat/>
    <w:rsid w:val="00424275"/>
    <w:pPr>
      <w:keepNext/>
      <w:outlineLvl w:val="1"/>
    </w:pPr>
    <w:rPr>
      <w:b/>
      <w:u w:val="single"/>
    </w:rPr>
  </w:style>
  <w:style w:type="paragraph" w:styleId="Heading3">
    <w:name w:val="heading 3"/>
    <w:basedOn w:val="Normal"/>
    <w:next w:val="Normal"/>
    <w:link w:val="Heading3Char"/>
    <w:uiPriority w:val="99"/>
    <w:qFormat/>
    <w:rsid w:val="00EB505C"/>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92002"/>
    <w:rPr>
      <w:rFonts w:cs="Times New Roman"/>
      <w:b/>
      <w:sz w:val="24"/>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sid w:val="00EB505C"/>
    <w:rPr>
      <w:rFonts w:cs="Times New Roman"/>
      <w:b/>
      <w:sz w:val="24"/>
    </w:rPr>
  </w:style>
  <w:style w:type="paragraph" w:styleId="BodyTextIndent2">
    <w:name w:val="Body Text Indent 2"/>
    <w:basedOn w:val="Normal"/>
    <w:link w:val="BodyTextIndent2Char"/>
    <w:uiPriority w:val="99"/>
    <w:rsid w:val="00C800ED"/>
    <w:pPr>
      <w:ind w:left="720" w:hanging="720"/>
    </w:pPr>
    <w:rPr>
      <w:b/>
      <w:bCs/>
    </w:rPr>
  </w:style>
  <w:style w:type="character" w:customStyle="1" w:styleId="BodyTextIndent2Char">
    <w:name w:val="Body Text Indent 2 Char"/>
    <w:link w:val="BodyTextIndent2"/>
    <w:uiPriority w:val="99"/>
    <w:semiHidden/>
    <w:locked/>
    <w:rPr>
      <w:rFonts w:cs="Times New Roman"/>
      <w:sz w:val="24"/>
      <w:szCs w:val="24"/>
    </w:rPr>
  </w:style>
  <w:style w:type="paragraph" w:styleId="BodyText">
    <w:name w:val="Body Text"/>
    <w:basedOn w:val="Normal"/>
    <w:link w:val="BodyTextChar"/>
    <w:uiPriority w:val="99"/>
    <w:rsid w:val="00EB505C"/>
    <w:pPr>
      <w:spacing w:before="120" w:after="120"/>
    </w:pPr>
  </w:style>
  <w:style w:type="character" w:customStyle="1" w:styleId="BodyTextChar">
    <w:name w:val="Body Text Char"/>
    <w:link w:val="BodyText"/>
    <w:uiPriority w:val="99"/>
    <w:locked/>
    <w:rsid w:val="00EB505C"/>
    <w:rPr>
      <w:rFonts w:cs="Times New Roman"/>
      <w:sz w:val="24"/>
    </w:rPr>
  </w:style>
  <w:style w:type="character" w:styleId="Hyperlink">
    <w:name w:val="Hyperlink"/>
    <w:uiPriority w:val="99"/>
    <w:rsid w:val="00C800ED"/>
    <w:rPr>
      <w:rFonts w:cs="Times New Roman"/>
      <w:color w:val="0000FF"/>
      <w:u w:val="single"/>
    </w:rPr>
  </w:style>
  <w:style w:type="paragraph" w:styleId="HTMLPreformatted">
    <w:name w:val="HTML Preformatted"/>
    <w:basedOn w:val="Normal"/>
    <w:link w:val="HTMLPreformattedChar"/>
    <w:uiPriority w:val="99"/>
    <w:rsid w:val="00C80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character" w:styleId="FootnoteReference">
    <w:name w:val="footnote reference"/>
    <w:uiPriority w:val="99"/>
    <w:semiHidden/>
    <w:rsid w:val="00C800ED"/>
    <w:rPr>
      <w:rFonts w:cs="Times New Roman"/>
      <w:vertAlign w:val="superscript"/>
    </w:rPr>
  </w:style>
  <w:style w:type="paragraph" w:styleId="FootnoteText">
    <w:name w:val="footnote text"/>
    <w:basedOn w:val="Normal"/>
    <w:link w:val="FootnoteTextChar"/>
    <w:uiPriority w:val="99"/>
    <w:semiHidden/>
    <w:rsid w:val="00C800ED"/>
    <w:pPr>
      <w:widowControl w:val="0"/>
      <w:autoSpaceDE w:val="0"/>
      <w:autoSpaceDN w:val="0"/>
      <w:adjustRightInd w:val="0"/>
    </w:pPr>
    <w:rPr>
      <w:sz w:val="20"/>
      <w:szCs w:val="20"/>
    </w:rPr>
  </w:style>
  <w:style w:type="character" w:customStyle="1" w:styleId="FootnoteTextChar">
    <w:name w:val="Footnote Text Char"/>
    <w:link w:val="FootnoteText"/>
    <w:uiPriority w:val="99"/>
    <w:semiHidden/>
    <w:locked/>
    <w:rPr>
      <w:rFonts w:cs="Times New Roman"/>
      <w:sz w:val="20"/>
      <w:szCs w:val="20"/>
    </w:rPr>
  </w:style>
  <w:style w:type="paragraph" w:styleId="Footer">
    <w:name w:val="footer"/>
    <w:basedOn w:val="Normal"/>
    <w:link w:val="FooterChar"/>
    <w:uiPriority w:val="99"/>
    <w:rsid w:val="00C800ED"/>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C800ED"/>
    <w:rPr>
      <w:rFonts w:cs="Times New Roman"/>
    </w:rPr>
  </w:style>
  <w:style w:type="paragraph" w:styleId="CommentText">
    <w:name w:val="annotation text"/>
    <w:basedOn w:val="Normal"/>
    <w:link w:val="CommentTextChar"/>
    <w:uiPriority w:val="99"/>
    <w:semiHidden/>
    <w:rsid w:val="00C800ED"/>
    <w:rPr>
      <w:sz w:val="20"/>
      <w:szCs w:val="20"/>
    </w:rPr>
  </w:style>
  <w:style w:type="character" w:customStyle="1" w:styleId="CommentTextChar">
    <w:name w:val="Comment Text Char"/>
    <w:link w:val="CommentText"/>
    <w:uiPriority w:val="99"/>
    <w:semiHidden/>
    <w:locked/>
    <w:rsid w:val="006C42EA"/>
    <w:rPr>
      <w:rFonts w:cs="Times New Roman"/>
    </w:rPr>
  </w:style>
  <w:style w:type="paragraph" w:styleId="NormalWeb">
    <w:name w:val="Normal (Web)"/>
    <w:basedOn w:val="Normal"/>
    <w:uiPriority w:val="99"/>
    <w:rsid w:val="00C800ED"/>
    <w:pPr>
      <w:spacing w:before="100" w:beforeAutospacing="1" w:after="100" w:afterAutospacing="1"/>
    </w:pPr>
    <w:rPr>
      <w:color w:val="000000"/>
    </w:rPr>
  </w:style>
  <w:style w:type="character" w:styleId="Strong">
    <w:name w:val="Strong"/>
    <w:uiPriority w:val="99"/>
    <w:qFormat/>
    <w:rsid w:val="00C800ED"/>
    <w:rPr>
      <w:rFonts w:cs="Times New Roman"/>
      <w:b/>
    </w:rPr>
  </w:style>
  <w:style w:type="table" w:styleId="TableGrid">
    <w:name w:val="Table Grid"/>
    <w:basedOn w:val="TableNormal"/>
    <w:uiPriority w:val="99"/>
    <w:rsid w:val="00C8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800ED"/>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customStyle="1" w:styleId="BodyText27">
    <w:name w:val="Body Text 27"/>
    <w:basedOn w:val="Normal"/>
    <w:uiPriority w:val="99"/>
    <w:rsid w:val="00C800ED"/>
    <w:pPr>
      <w:tabs>
        <w:tab w:val="left" w:pos="-120"/>
        <w:tab w:val="left" w:pos="720"/>
        <w:tab w:val="left" w:pos="870"/>
        <w:tab w:val="left" w:pos="1500"/>
        <w:tab w:val="left" w:pos="2040"/>
        <w:tab w:val="left" w:pos="25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66" w:lineRule="auto"/>
      <w:jc w:val="both"/>
    </w:pPr>
  </w:style>
  <w:style w:type="paragraph" w:styleId="ListParagraph">
    <w:name w:val="List Paragraph"/>
    <w:basedOn w:val="Normal"/>
    <w:uiPriority w:val="99"/>
    <w:qFormat/>
    <w:rsid w:val="00297BB9"/>
    <w:pPr>
      <w:spacing w:after="200" w:line="252" w:lineRule="auto"/>
      <w:ind w:left="720"/>
    </w:pPr>
    <w:rPr>
      <w:rFonts w:ascii="Arial" w:hAnsi="Arial" w:cs="Arial"/>
      <w:sz w:val="22"/>
      <w:szCs w:val="22"/>
    </w:rPr>
  </w:style>
  <w:style w:type="paragraph" w:styleId="BalloonText">
    <w:name w:val="Balloon Text"/>
    <w:basedOn w:val="Normal"/>
    <w:link w:val="BalloonTextChar"/>
    <w:uiPriority w:val="99"/>
    <w:rsid w:val="00AF4C91"/>
    <w:rPr>
      <w:rFonts w:ascii="Tahoma" w:hAnsi="Tahoma"/>
      <w:sz w:val="16"/>
      <w:szCs w:val="16"/>
    </w:rPr>
  </w:style>
  <w:style w:type="character" w:customStyle="1" w:styleId="BalloonTextChar">
    <w:name w:val="Balloon Text Char"/>
    <w:link w:val="BalloonText"/>
    <w:uiPriority w:val="99"/>
    <w:locked/>
    <w:rsid w:val="00AF4C91"/>
    <w:rPr>
      <w:rFonts w:ascii="Tahoma" w:hAnsi="Tahoma" w:cs="Times New Roman"/>
      <w:sz w:val="16"/>
    </w:rPr>
  </w:style>
  <w:style w:type="paragraph" w:customStyle="1" w:styleId="Default">
    <w:name w:val="Default"/>
    <w:uiPriority w:val="99"/>
    <w:rsid w:val="008A6DE8"/>
    <w:pPr>
      <w:autoSpaceDE w:val="0"/>
      <w:autoSpaceDN w:val="0"/>
      <w:adjustRightInd w:val="0"/>
    </w:pPr>
    <w:rPr>
      <w:rFonts w:ascii="Cambria" w:hAnsi="Cambria" w:cs="Cambria"/>
      <w:color w:val="000000"/>
      <w:sz w:val="24"/>
      <w:szCs w:val="24"/>
    </w:rPr>
  </w:style>
  <w:style w:type="character" w:styleId="Emphasis">
    <w:name w:val="Emphasis"/>
    <w:uiPriority w:val="99"/>
    <w:qFormat/>
    <w:rsid w:val="00CC3AD7"/>
    <w:rPr>
      <w:rFonts w:ascii="Georgia" w:hAnsi="Georgia" w:cs="Times New Roman"/>
      <w:color w:val="auto"/>
      <w:sz w:val="22"/>
    </w:rPr>
  </w:style>
  <w:style w:type="paragraph" w:customStyle="1" w:styleId="BodyText1">
    <w:name w:val="Body Text1"/>
    <w:basedOn w:val="Normal"/>
    <w:uiPriority w:val="99"/>
    <w:rsid w:val="00CC3AD7"/>
    <w:pPr>
      <w:tabs>
        <w:tab w:val="left" w:pos="2160"/>
      </w:tabs>
      <w:spacing w:after="80"/>
    </w:pPr>
    <w:rPr>
      <w:rFonts w:ascii="Arial" w:hAnsi="Arial"/>
      <w:spacing w:val="-3"/>
      <w:sz w:val="22"/>
    </w:rPr>
  </w:style>
  <w:style w:type="paragraph" w:styleId="Caption">
    <w:name w:val="caption"/>
    <w:basedOn w:val="Normal"/>
    <w:next w:val="Normal"/>
    <w:uiPriority w:val="99"/>
    <w:qFormat/>
    <w:rsid w:val="00333B6D"/>
    <w:pPr>
      <w:keepNext/>
      <w:widowControl w:val="0"/>
      <w:spacing w:before="60" w:after="40"/>
      <w:jc w:val="center"/>
    </w:pPr>
    <w:rPr>
      <w:rFonts w:ascii="Arial" w:hAnsi="Arial"/>
      <w:b/>
      <w:sz w:val="18"/>
    </w:rPr>
  </w:style>
  <w:style w:type="character" w:styleId="CommentReference">
    <w:name w:val="annotation reference"/>
    <w:uiPriority w:val="99"/>
    <w:rsid w:val="006C42EA"/>
    <w:rPr>
      <w:rFonts w:cs="Times New Roman"/>
      <w:sz w:val="16"/>
    </w:rPr>
  </w:style>
  <w:style w:type="paragraph" w:styleId="CommentSubject">
    <w:name w:val="annotation subject"/>
    <w:basedOn w:val="CommentText"/>
    <w:next w:val="CommentText"/>
    <w:link w:val="CommentSubjectChar"/>
    <w:uiPriority w:val="99"/>
    <w:rsid w:val="006C42EA"/>
    <w:rPr>
      <w:b/>
      <w:bCs/>
    </w:rPr>
  </w:style>
  <w:style w:type="character" w:customStyle="1" w:styleId="CommentSubjectChar">
    <w:name w:val="Comment Subject Char"/>
    <w:basedOn w:val="CommentTextChar"/>
    <w:link w:val="CommentSubject"/>
    <w:uiPriority w:val="99"/>
    <w:locked/>
    <w:rsid w:val="006C42EA"/>
    <w:rPr>
      <w:rFonts w:cs="Times New Roman"/>
    </w:rPr>
  </w:style>
  <w:style w:type="paragraph" w:styleId="ListNumber">
    <w:name w:val="List Number"/>
    <w:basedOn w:val="Normal"/>
    <w:uiPriority w:val="99"/>
    <w:rsid w:val="00692691"/>
    <w:pPr>
      <w:numPr>
        <w:numId w:val="1"/>
      </w:numPr>
      <w:tabs>
        <w:tab w:val="clear" w:pos="360"/>
        <w:tab w:val="num" w:pos="1440"/>
        <w:tab w:val="num" w:pos="1560"/>
      </w:tabs>
      <w:spacing w:after="120"/>
      <w:ind w:left="504"/>
    </w:pPr>
    <w:rPr>
      <w:rFonts w:ascii="Arial" w:hAnsi="Arial"/>
      <w:sz w:val="20"/>
    </w:rPr>
  </w:style>
  <w:style w:type="paragraph" w:styleId="ListBullet">
    <w:name w:val="List Bullet"/>
    <w:basedOn w:val="Normal"/>
    <w:autoRedefine/>
    <w:uiPriority w:val="99"/>
    <w:rsid w:val="003E0A75"/>
    <w:pPr>
      <w:numPr>
        <w:numId w:val="2"/>
      </w:numPr>
      <w:spacing w:before="120" w:after="120"/>
      <w:ind w:left="792" w:hanging="432"/>
    </w:pPr>
  </w:style>
  <w:style w:type="paragraph" w:styleId="ListNumber2">
    <w:name w:val="List Number 2"/>
    <w:basedOn w:val="Normal"/>
    <w:uiPriority w:val="99"/>
    <w:rsid w:val="00424275"/>
    <w:pPr>
      <w:numPr>
        <w:numId w:val="3"/>
      </w:numPr>
      <w:tabs>
        <w:tab w:val="clear" w:pos="720"/>
      </w:tabs>
      <w:spacing w:after="60"/>
      <w:ind w:left="360" w:firstLine="0"/>
    </w:pPr>
    <w:rPr>
      <w:b/>
      <w:i/>
    </w:rPr>
  </w:style>
  <w:style w:type="paragraph" w:customStyle="1" w:styleId="StyleHeading1Centered">
    <w:name w:val="Style Heading 1 + Centered"/>
    <w:basedOn w:val="Heading1"/>
    <w:uiPriority w:val="99"/>
    <w:rsid w:val="00250889"/>
    <w:pPr>
      <w:spacing w:after="120"/>
      <w:ind w:left="0"/>
    </w:pPr>
    <w:rPr>
      <w:rFonts w:ascii="Arial Narrow" w:hAnsi="Arial Narrow"/>
      <w:kern w:val="32"/>
      <w:sz w:val="32"/>
      <w:szCs w:val="20"/>
    </w:rPr>
  </w:style>
  <w:style w:type="paragraph" w:customStyle="1" w:styleId="StyleLeft05">
    <w:name w:val="Style Left:  0.5&quot;"/>
    <w:basedOn w:val="Normal"/>
    <w:uiPriority w:val="99"/>
    <w:rsid w:val="00EB505C"/>
    <w:pPr>
      <w:spacing w:before="120" w:after="120"/>
      <w:ind w:left="720"/>
    </w:pPr>
    <w:rPr>
      <w:szCs w:val="20"/>
    </w:rPr>
  </w:style>
  <w:style w:type="paragraph" w:customStyle="1" w:styleId="StyleLeft025Hanging05">
    <w:name w:val="Style Left:  0.25&quot; Hanging:  0.5&quot;"/>
    <w:basedOn w:val="Normal"/>
    <w:uiPriority w:val="99"/>
    <w:rsid w:val="00EB505C"/>
    <w:pPr>
      <w:spacing w:before="120" w:after="120"/>
      <w:ind w:left="1080" w:hanging="720"/>
    </w:pPr>
    <w:rPr>
      <w:szCs w:val="20"/>
    </w:rPr>
  </w:style>
  <w:style w:type="paragraph" w:styleId="ListNumber3">
    <w:name w:val="List Number 3"/>
    <w:basedOn w:val="Normal"/>
    <w:uiPriority w:val="99"/>
    <w:rsid w:val="00083749"/>
    <w:pPr>
      <w:numPr>
        <w:numId w:val="5"/>
      </w:numPr>
      <w:tabs>
        <w:tab w:val="clear" w:pos="720"/>
      </w:tabs>
      <w:ind w:left="432" w:firstLine="0"/>
      <w:contextualSpacing/>
    </w:pPr>
  </w:style>
  <w:style w:type="paragraph" w:styleId="ListBullet2">
    <w:name w:val="List Bullet 2"/>
    <w:basedOn w:val="Normal"/>
    <w:uiPriority w:val="99"/>
    <w:rsid w:val="00083749"/>
    <w:pPr>
      <w:numPr>
        <w:numId w:val="4"/>
      </w:numPr>
      <w:tabs>
        <w:tab w:val="clear" w:pos="1080"/>
        <w:tab w:val="num" w:pos="720"/>
      </w:tabs>
      <w:ind w:left="720"/>
      <w:contextualSpacing/>
    </w:pPr>
  </w:style>
  <w:style w:type="paragraph" w:styleId="EndnoteText">
    <w:name w:val="endnote text"/>
    <w:basedOn w:val="Normal"/>
    <w:link w:val="EndnoteTextChar"/>
    <w:uiPriority w:val="99"/>
    <w:rsid w:val="00E24C42"/>
    <w:rPr>
      <w:sz w:val="20"/>
      <w:szCs w:val="20"/>
    </w:rPr>
  </w:style>
  <w:style w:type="character" w:customStyle="1" w:styleId="EndnoteTextChar">
    <w:name w:val="Endnote Text Char"/>
    <w:link w:val="EndnoteText"/>
    <w:uiPriority w:val="99"/>
    <w:locked/>
    <w:rsid w:val="00E24C42"/>
    <w:rPr>
      <w:rFonts w:cs="Times New Roman"/>
    </w:rPr>
  </w:style>
  <w:style w:type="character" w:styleId="EndnoteReference">
    <w:name w:val="endnote reference"/>
    <w:uiPriority w:val="99"/>
    <w:rsid w:val="00E24C42"/>
    <w:rPr>
      <w:rFonts w:cs="Times New Roman"/>
      <w:vertAlign w:val="superscript"/>
    </w:rPr>
  </w:style>
  <w:style w:type="character" w:customStyle="1" w:styleId="BodyTextChar1">
    <w:name w:val="Body Text Char1"/>
    <w:uiPriority w:val="99"/>
    <w:rsid w:val="00695D9A"/>
    <w:rPr>
      <w:rFonts w:ascii="Georgia" w:hAnsi="Georgia"/>
      <w:sz w:val="20"/>
    </w:rPr>
  </w:style>
  <w:style w:type="paragraph" w:customStyle="1" w:styleId="bioref">
    <w:name w:val="bio ref"/>
    <w:link w:val="biorefChar"/>
    <w:uiPriority w:val="99"/>
    <w:rsid w:val="00695D9A"/>
    <w:pPr>
      <w:numPr>
        <w:numId w:val="11"/>
      </w:numPr>
      <w:spacing w:before="30" w:after="30" w:line="266" w:lineRule="exact"/>
      <w:ind w:left="480" w:hanging="480"/>
    </w:pPr>
    <w:rPr>
      <w:noProof/>
      <w:sz w:val="24"/>
      <w:szCs w:val="22"/>
    </w:rPr>
  </w:style>
  <w:style w:type="character" w:customStyle="1" w:styleId="biorefChar">
    <w:name w:val="bio ref Char"/>
    <w:link w:val="bioref"/>
    <w:uiPriority w:val="99"/>
    <w:locked/>
    <w:rsid w:val="00695D9A"/>
    <w:rPr>
      <w:noProof/>
      <w:sz w:val="24"/>
    </w:rPr>
  </w:style>
  <w:style w:type="character" w:styleId="FollowedHyperlink">
    <w:name w:val="FollowedHyperlink"/>
    <w:uiPriority w:val="99"/>
    <w:rsid w:val="006247B7"/>
    <w:rPr>
      <w:rFonts w:cs="Times New Roman"/>
      <w:color w:val="800080"/>
      <w:u w:val="single"/>
    </w:rPr>
  </w:style>
  <w:style w:type="paragraph" w:styleId="Revision">
    <w:name w:val="Revision"/>
    <w:hidden/>
    <w:uiPriority w:val="99"/>
    <w:semiHidden/>
    <w:rsid w:val="00805306"/>
    <w:rPr>
      <w:sz w:val="24"/>
      <w:szCs w:val="24"/>
    </w:rPr>
  </w:style>
  <w:style w:type="paragraph" w:customStyle="1" w:styleId="Table">
    <w:name w:val="Table"/>
    <w:basedOn w:val="Normal"/>
    <w:next w:val="Normal"/>
    <w:link w:val="TableChar"/>
    <w:rsid w:val="003C4CB4"/>
    <w:pPr>
      <w:tabs>
        <w:tab w:val="num" w:pos="1440"/>
      </w:tabs>
      <w:ind w:left="720" w:hanging="360"/>
      <w:jc w:val="center"/>
    </w:pPr>
    <w:rPr>
      <w:b/>
      <w:szCs w:val="20"/>
    </w:rPr>
  </w:style>
  <w:style w:type="character" w:customStyle="1" w:styleId="TableChar">
    <w:name w:val="Table Char"/>
    <w:link w:val="Table"/>
    <w:rsid w:val="003C4CB4"/>
    <w:rPr>
      <w:b/>
      <w:sz w:val="24"/>
    </w:rPr>
  </w:style>
  <w:style w:type="paragraph" w:customStyle="1" w:styleId="Figure">
    <w:name w:val="Figure"/>
    <w:basedOn w:val="Normal"/>
    <w:next w:val="Normal"/>
    <w:link w:val="FigureChar"/>
    <w:rsid w:val="003C4CB4"/>
    <w:pPr>
      <w:numPr>
        <w:numId w:val="19"/>
      </w:numPr>
      <w:jc w:val="center"/>
    </w:pPr>
    <w:rPr>
      <w:b/>
      <w:szCs w:val="20"/>
    </w:rPr>
  </w:style>
  <w:style w:type="character" w:customStyle="1" w:styleId="FigureChar">
    <w:name w:val="Figure Char"/>
    <w:link w:val="Figure"/>
    <w:rsid w:val="003C4CB4"/>
    <w:rPr>
      <w:b/>
      <w:sz w:val="24"/>
    </w:rPr>
  </w:style>
  <w:style w:type="paragraph" w:customStyle="1" w:styleId="TableParagraph">
    <w:name w:val="Table Paragraph"/>
    <w:basedOn w:val="Normal"/>
    <w:uiPriority w:val="1"/>
    <w:qFormat/>
    <w:rsid w:val="00E25830"/>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2061">
      <w:marLeft w:val="0"/>
      <w:marRight w:val="0"/>
      <w:marTop w:val="0"/>
      <w:marBottom w:val="0"/>
      <w:divBdr>
        <w:top w:val="none" w:sz="0" w:space="0" w:color="auto"/>
        <w:left w:val="none" w:sz="0" w:space="0" w:color="auto"/>
        <w:bottom w:val="none" w:sz="0" w:space="0" w:color="auto"/>
        <w:right w:val="none" w:sz="0" w:space="0" w:color="auto"/>
      </w:divBdr>
    </w:div>
    <w:div w:id="808592062">
      <w:marLeft w:val="0"/>
      <w:marRight w:val="0"/>
      <w:marTop w:val="0"/>
      <w:marBottom w:val="0"/>
      <w:divBdr>
        <w:top w:val="none" w:sz="0" w:space="0" w:color="auto"/>
        <w:left w:val="none" w:sz="0" w:space="0" w:color="auto"/>
        <w:bottom w:val="none" w:sz="0" w:space="0" w:color="auto"/>
        <w:right w:val="none" w:sz="0" w:space="0" w:color="auto"/>
      </w:divBdr>
    </w:div>
    <w:div w:id="808592063">
      <w:marLeft w:val="0"/>
      <w:marRight w:val="0"/>
      <w:marTop w:val="0"/>
      <w:marBottom w:val="0"/>
      <w:divBdr>
        <w:top w:val="none" w:sz="0" w:space="0" w:color="auto"/>
        <w:left w:val="none" w:sz="0" w:space="0" w:color="auto"/>
        <w:bottom w:val="none" w:sz="0" w:space="0" w:color="auto"/>
        <w:right w:val="none" w:sz="0" w:space="0" w:color="auto"/>
      </w:divBdr>
    </w:div>
    <w:div w:id="808592064">
      <w:marLeft w:val="0"/>
      <w:marRight w:val="0"/>
      <w:marTop w:val="0"/>
      <w:marBottom w:val="0"/>
      <w:divBdr>
        <w:top w:val="none" w:sz="0" w:space="0" w:color="auto"/>
        <w:left w:val="none" w:sz="0" w:space="0" w:color="auto"/>
        <w:bottom w:val="none" w:sz="0" w:space="0" w:color="auto"/>
        <w:right w:val="none" w:sz="0" w:space="0" w:color="auto"/>
      </w:divBdr>
    </w:div>
    <w:div w:id="808592066">
      <w:marLeft w:val="0"/>
      <w:marRight w:val="0"/>
      <w:marTop w:val="0"/>
      <w:marBottom w:val="0"/>
      <w:divBdr>
        <w:top w:val="none" w:sz="0" w:space="0" w:color="auto"/>
        <w:left w:val="none" w:sz="0" w:space="0" w:color="auto"/>
        <w:bottom w:val="none" w:sz="0" w:space="0" w:color="auto"/>
        <w:right w:val="none" w:sz="0" w:space="0" w:color="auto"/>
      </w:divBdr>
      <w:divsChild>
        <w:div w:id="808592070">
          <w:marLeft w:val="0"/>
          <w:marRight w:val="0"/>
          <w:marTop w:val="0"/>
          <w:marBottom w:val="0"/>
          <w:divBdr>
            <w:top w:val="none" w:sz="0" w:space="0" w:color="auto"/>
            <w:left w:val="none" w:sz="0" w:space="0" w:color="auto"/>
            <w:bottom w:val="none" w:sz="0" w:space="0" w:color="auto"/>
            <w:right w:val="none" w:sz="0" w:space="0" w:color="auto"/>
          </w:divBdr>
          <w:divsChild>
            <w:div w:id="808592065">
              <w:marLeft w:val="0"/>
              <w:marRight w:val="0"/>
              <w:marTop w:val="0"/>
              <w:marBottom w:val="0"/>
              <w:divBdr>
                <w:top w:val="none" w:sz="0" w:space="0" w:color="auto"/>
                <w:left w:val="none" w:sz="0" w:space="0" w:color="auto"/>
                <w:bottom w:val="none" w:sz="0" w:space="0" w:color="auto"/>
                <w:right w:val="none" w:sz="0" w:space="0" w:color="auto"/>
              </w:divBdr>
              <w:divsChild>
                <w:div w:id="80859207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08592067">
      <w:marLeft w:val="0"/>
      <w:marRight w:val="0"/>
      <w:marTop w:val="0"/>
      <w:marBottom w:val="0"/>
      <w:divBdr>
        <w:top w:val="none" w:sz="0" w:space="0" w:color="auto"/>
        <w:left w:val="none" w:sz="0" w:space="0" w:color="auto"/>
        <w:bottom w:val="none" w:sz="0" w:space="0" w:color="auto"/>
        <w:right w:val="none" w:sz="0" w:space="0" w:color="auto"/>
      </w:divBdr>
    </w:div>
    <w:div w:id="808592068">
      <w:marLeft w:val="0"/>
      <w:marRight w:val="0"/>
      <w:marTop w:val="0"/>
      <w:marBottom w:val="0"/>
      <w:divBdr>
        <w:top w:val="none" w:sz="0" w:space="0" w:color="auto"/>
        <w:left w:val="none" w:sz="0" w:space="0" w:color="auto"/>
        <w:bottom w:val="none" w:sz="0" w:space="0" w:color="auto"/>
        <w:right w:val="none" w:sz="0" w:space="0" w:color="auto"/>
      </w:divBdr>
    </w:div>
    <w:div w:id="808592069">
      <w:marLeft w:val="0"/>
      <w:marRight w:val="0"/>
      <w:marTop w:val="0"/>
      <w:marBottom w:val="0"/>
      <w:divBdr>
        <w:top w:val="none" w:sz="0" w:space="0" w:color="auto"/>
        <w:left w:val="none" w:sz="0" w:space="0" w:color="auto"/>
        <w:bottom w:val="none" w:sz="0" w:space="0" w:color="auto"/>
        <w:right w:val="none" w:sz="0" w:space="0" w:color="auto"/>
      </w:divBdr>
    </w:div>
    <w:div w:id="808592071">
      <w:marLeft w:val="0"/>
      <w:marRight w:val="0"/>
      <w:marTop w:val="0"/>
      <w:marBottom w:val="0"/>
      <w:divBdr>
        <w:top w:val="none" w:sz="0" w:space="0" w:color="auto"/>
        <w:left w:val="none" w:sz="0" w:space="0" w:color="auto"/>
        <w:bottom w:val="none" w:sz="0" w:space="0" w:color="auto"/>
        <w:right w:val="none" w:sz="0" w:space="0" w:color="auto"/>
      </w:divBdr>
    </w:div>
    <w:div w:id="808592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
  <cp:lastModifiedBy/>
  <cp:revision>1</cp:revision>
  <dcterms:created xsi:type="dcterms:W3CDTF">2016-02-25T21:13:00Z</dcterms:created>
  <dcterms:modified xsi:type="dcterms:W3CDTF">2016-02-25T21:13:00Z</dcterms:modified>
</cp:coreProperties>
</file>