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1FF" w:rsidRDefault="00516D2F" w:rsidP="00CF28FC">
      <w:pPr>
        <w:spacing w:after="0"/>
        <w:ind w:firstLine="432"/>
        <w:rPr>
          <w:szCs w:val="20"/>
        </w:rPr>
      </w:pPr>
      <w:r w:rsidRPr="00624043">
        <w:rPr>
          <w:szCs w:val="20"/>
        </w:rPr>
        <w:t xml:space="preserve">This </w:t>
      </w:r>
      <w:r w:rsidR="00807D8F" w:rsidRPr="00624043">
        <w:rPr>
          <w:szCs w:val="20"/>
        </w:rPr>
        <w:t>appendix</w:t>
      </w:r>
      <w:r w:rsidRPr="00624043">
        <w:rPr>
          <w:szCs w:val="20"/>
        </w:rPr>
        <w:t xml:space="preserve"> provides </w:t>
      </w:r>
      <w:r w:rsidR="00A82F0D" w:rsidRPr="00624043">
        <w:rPr>
          <w:szCs w:val="20"/>
        </w:rPr>
        <w:t xml:space="preserve">an overview of the </w:t>
      </w:r>
      <w:r w:rsidR="00807D8F" w:rsidRPr="00624043">
        <w:rPr>
          <w:szCs w:val="20"/>
        </w:rPr>
        <w:t>functional testing instruments</w:t>
      </w:r>
      <w:r w:rsidR="00A82F0D" w:rsidRPr="00624043">
        <w:rPr>
          <w:szCs w:val="20"/>
        </w:rPr>
        <w:t xml:space="preserve"> to be used in this study and their relationship to study goals and traffic safety applications</w:t>
      </w:r>
      <w:r w:rsidR="009F0167" w:rsidRPr="00624043">
        <w:rPr>
          <w:szCs w:val="20"/>
        </w:rPr>
        <w:t>.</w:t>
      </w:r>
      <w:r w:rsidR="00906AC6" w:rsidRPr="00624043">
        <w:rPr>
          <w:szCs w:val="20"/>
        </w:rPr>
        <w:t xml:space="preserve">  </w:t>
      </w:r>
      <w:r w:rsidR="008D0A09" w:rsidRPr="00624043">
        <w:rPr>
          <w:szCs w:val="20"/>
        </w:rPr>
        <w:t>It is important to note scores on these tests will be linked with and compared to each participant’s driving performance and exposure</w:t>
      </w:r>
      <w:r w:rsidR="00AD268D">
        <w:rPr>
          <w:szCs w:val="20"/>
        </w:rPr>
        <w:t xml:space="preserve"> data</w:t>
      </w:r>
      <w:r w:rsidR="008D0A09" w:rsidRPr="00624043">
        <w:rPr>
          <w:szCs w:val="20"/>
        </w:rPr>
        <w:t>.</w:t>
      </w:r>
      <w:r w:rsidR="00AD268D">
        <w:rPr>
          <w:szCs w:val="20"/>
        </w:rPr>
        <w:t xml:space="preserve"> The results will help NHTSA understand </w:t>
      </w:r>
      <w:r w:rsidR="0024281D">
        <w:rPr>
          <w:szCs w:val="20"/>
        </w:rPr>
        <w:t xml:space="preserve">whether </w:t>
      </w:r>
      <w:r w:rsidR="00AD268D">
        <w:rPr>
          <w:szCs w:val="20"/>
        </w:rPr>
        <w:t>older drivers are appropriately self-regulating their driving relative to any deficiencies identified by the functio</w:t>
      </w:r>
      <w:bookmarkStart w:id="0" w:name="_GoBack"/>
      <w:bookmarkEnd w:id="0"/>
      <w:r w:rsidR="00AD268D">
        <w:rPr>
          <w:szCs w:val="20"/>
        </w:rPr>
        <w:t>nal tests.</w:t>
      </w:r>
    </w:p>
    <w:p w:rsidR="00BB473F" w:rsidRDefault="00BB473F" w:rsidP="001A6977">
      <w:pPr>
        <w:spacing w:after="0"/>
        <w:ind w:firstLine="432"/>
        <w:rPr>
          <w:szCs w:val="20"/>
        </w:rPr>
      </w:pPr>
    </w:p>
    <w:tbl>
      <w:tblPr>
        <w:tblStyle w:val="TableGrid"/>
        <w:tblW w:w="9360" w:type="dxa"/>
        <w:tblInd w:w="-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3510"/>
        <w:gridCol w:w="4410"/>
      </w:tblGrid>
      <w:tr w:rsidR="000E6231" w:rsidRPr="007D71CB" w:rsidTr="00204420">
        <w:trPr>
          <w:tblHeader/>
        </w:trPr>
        <w:tc>
          <w:tcPr>
            <w:tcW w:w="1440" w:type="dxa"/>
            <w:tcBorders>
              <w:top w:val="double" w:sz="4" w:space="0" w:color="auto"/>
              <w:bottom w:val="triple" w:sz="4" w:space="0" w:color="auto"/>
            </w:tcBorders>
            <w:shd w:val="pct10" w:color="auto" w:fill="auto"/>
            <w:vAlign w:val="center"/>
          </w:tcPr>
          <w:p w:rsidR="000E6231" w:rsidRPr="007D71CB" w:rsidRDefault="000E6231" w:rsidP="001B1C5E">
            <w:pPr>
              <w:jc w:val="center"/>
              <w:rPr>
                <w:b/>
              </w:rPr>
            </w:pPr>
            <w:r w:rsidRPr="007D71CB">
              <w:rPr>
                <w:b/>
              </w:rPr>
              <w:t>Domain</w:t>
            </w:r>
          </w:p>
        </w:tc>
        <w:tc>
          <w:tcPr>
            <w:tcW w:w="3510" w:type="dxa"/>
            <w:tcBorders>
              <w:top w:val="double" w:sz="4" w:space="0" w:color="auto"/>
              <w:bottom w:val="triple" w:sz="4" w:space="0" w:color="auto"/>
            </w:tcBorders>
            <w:shd w:val="pct10" w:color="auto" w:fill="auto"/>
            <w:vAlign w:val="center"/>
          </w:tcPr>
          <w:p w:rsidR="000E6231" w:rsidRPr="007D71CB" w:rsidRDefault="000E6231" w:rsidP="00486C05">
            <w:pPr>
              <w:jc w:val="center"/>
              <w:rPr>
                <w:b/>
              </w:rPr>
            </w:pPr>
            <w:r w:rsidRPr="007D71CB">
              <w:rPr>
                <w:b/>
              </w:rPr>
              <w:t>Description</w:t>
            </w:r>
          </w:p>
        </w:tc>
        <w:tc>
          <w:tcPr>
            <w:tcW w:w="4410" w:type="dxa"/>
            <w:tcBorders>
              <w:top w:val="double" w:sz="4" w:space="0" w:color="auto"/>
              <w:bottom w:val="triple" w:sz="4" w:space="0" w:color="auto"/>
            </w:tcBorders>
            <w:shd w:val="pct10" w:color="auto" w:fill="auto"/>
            <w:vAlign w:val="center"/>
          </w:tcPr>
          <w:p w:rsidR="000E6231" w:rsidRPr="007D71CB" w:rsidRDefault="000E6231" w:rsidP="00A71ABA">
            <w:pPr>
              <w:jc w:val="center"/>
              <w:rPr>
                <w:b/>
              </w:rPr>
            </w:pPr>
            <w:r w:rsidRPr="007D71CB">
              <w:rPr>
                <w:b/>
              </w:rPr>
              <w:t>Application to Traffic Safety</w:t>
            </w:r>
          </w:p>
        </w:tc>
      </w:tr>
      <w:tr w:rsidR="000E6231" w:rsidRPr="007D71CB" w:rsidTr="00204420">
        <w:trPr>
          <w:tblHeader/>
        </w:trPr>
        <w:tc>
          <w:tcPr>
            <w:tcW w:w="9360" w:type="dxa"/>
            <w:gridSpan w:val="3"/>
            <w:tcBorders>
              <w:top w:val="double" w:sz="4" w:space="0" w:color="auto"/>
              <w:bottom w:val="triple" w:sz="4" w:space="0" w:color="auto"/>
            </w:tcBorders>
            <w:shd w:val="pct10" w:color="auto" w:fill="auto"/>
            <w:vAlign w:val="center"/>
          </w:tcPr>
          <w:p w:rsidR="000E6231" w:rsidRPr="007D71CB" w:rsidRDefault="000E6231" w:rsidP="00A71ABA">
            <w:pPr>
              <w:jc w:val="center"/>
              <w:rPr>
                <w:b/>
              </w:rPr>
            </w:pPr>
            <w:proofErr w:type="spellStart"/>
            <w:r w:rsidRPr="000E6231">
              <w:rPr>
                <w:b/>
              </w:rPr>
              <w:t>DrivingHealth</w:t>
            </w:r>
            <w:proofErr w:type="spellEnd"/>
            <w:r w:rsidRPr="000E6231">
              <w:rPr>
                <w:b/>
              </w:rPr>
              <w:t>® Inventory functional screening program</w:t>
            </w:r>
          </w:p>
        </w:tc>
      </w:tr>
      <w:tr w:rsidR="00BF45B2" w:rsidRPr="007D71CB" w:rsidTr="00204420">
        <w:tc>
          <w:tcPr>
            <w:tcW w:w="1440" w:type="dxa"/>
            <w:vAlign w:val="center"/>
          </w:tcPr>
          <w:p w:rsidR="00BF45B2" w:rsidRPr="0089648A" w:rsidRDefault="00BF45B2" w:rsidP="00BF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Visual acuity and </w:t>
            </w:r>
            <w:r w:rsidR="00752950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ontrast sensitivity</w:t>
            </w:r>
          </w:p>
        </w:tc>
        <w:tc>
          <w:tcPr>
            <w:tcW w:w="3510" w:type="dxa"/>
            <w:vAlign w:val="center"/>
          </w:tcPr>
          <w:p w:rsidR="00BF45B2" w:rsidRPr="0089648A" w:rsidRDefault="00BF45B2" w:rsidP="00577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Visual acuity refers to the clarity of vision. Contrast sensitivity refers to the </w:t>
            </w:r>
            <w:r w:rsidR="00577FF9" w:rsidRPr="00577FF9">
              <w:rPr>
                <w:sz w:val="20"/>
                <w:szCs w:val="20"/>
              </w:rPr>
              <w:t xml:space="preserve">ability of the visual system to distinguish bright and dim components </w:t>
            </w:r>
            <w:r w:rsidR="00577FF9">
              <w:rPr>
                <w:sz w:val="20"/>
                <w:szCs w:val="20"/>
              </w:rPr>
              <w:t xml:space="preserve">(various luminance levels) </w:t>
            </w:r>
            <w:r w:rsidR="00577FF9" w:rsidRPr="00577FF9">
              <w:rPr>
                <w:sz w:val="20"/>
                <w:szCs w:val="20"/>
              </w:rPr>
              <w:t>of a static image</w:t>
            </w:r>
            <w:r>
              <w:rPr>
                <w:sz w:val="20"/>
                <w:szCs w:val="20"/>
              </w:rPr>
              <w:t xml:space="preserve"> within the field of view.</w:t>
            </w:r>
          </w:p>
        </w:tc>
        <w:tc>
          <w:tcPr>
            <w:tcW w:w="4410" w:type="dxa"/>
            <w:vAlign w:val="center"/>
          </w:tcPr>
          <w:p w:rsidR="00BF45B2" w:rsidRPr="0089648A" w:rsidRDefault="007E0719" w:rsidP="007E0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Lower visual acuity often increase</w:t>
            </w:r>
            <w:r w:rsidR="001A697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the likelihood of accidents. </w:t>
            </w:r>
            <w:r w:rsidR="00BF45B2">
              <w:rPr>
                <w:sz w:val="20"/>
                <w:szCs w:val="20"/>
              </w:rPr>
              <w:t>Declines in contrast sensitivity</w:t>
            </w:r>
            <w:r w:rsidR="00BF45B2" w:rsidRPr="0089648A">
              <w:rPr>
                <w:sz w:val="20"/>
                <w:szCs w:val="20"/>
              </w:rPr>
              <w:t xml:space="preserve"> make it difficult for drivers</w:t>
            </w:r>
            <w:r w:rsidR="00BF45B2">
              <w:rPr>
                <w:sz w:val="20"/>
                <w:szCs w:val="20"/>
              </w:rPr>
              <w:t xml:space="preserve"> to drive in situations of low light, fog or glare,</w:t>
            </w:r>
            <w:r w:rsidR="00141AA0">
              <w:rPr>
                <w:sz w:val="20"/>
                <w:szCs w:val="20"/>
              </w:rPr>
              <w:t xml:space="preserve"> and during</w:t>
            </w:r>
            <w:r w:rsidR="00BF45B2">
              <w:rPr>
                <w:sz w:val="20"/>
                <w:szCs w:val="20"/>
              </w:rPr>
              <w:t xml:space="preserve"> nighttime. </w:t>
            </w:r>
          </w:p>
        </w:tc>
      </w:tr>
      <w:tr w:rsidR="00BF45B2" w:rsidRPr="0089648A" w:rsidTr="00204420"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F45B2" w:rsidRPr="0089648A" w:rsidRDefault="00AD268D" w:rsidP="00752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Simple and </w:t>
            </w:r>
            <w:r w:rsidR="00752950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hoice </w:t>
            </w:r>
            <w:r w:rsidR="00752950">
              <w:rPr>
                <w:sz w:val="20"/>
                <w:szCs w:val="20"/>
              </w:rPr>
              <w:t>b</w:t>
            </w:r>
            <w:r w:rsidR="008D0A09">
              <w:rPr>
                <w:sz w:val="20"/>
                <w:szCs w:val="20"/>
              </w:rPr>
              <w:t>r</w:t>
            </w:r>
            <w:r w:rsidR="00BF45B2">
              <w:rPr>
                <w:sz w:val="20"/>
                <w:szCs w:val="20"/>
              </w:rPr>
              <w:t xml:space="preserve">ake response time </w:t>
            </w:r>
          </w:p>
        </w:tc>
        <w:tc>
          <w:tcPr>
            <w:tcW w:w="35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F45B2" w:rsidRPr="0089648A" w:rsidRDefault="008D0A09" w:rsidP="008D0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Simple response time = </w:t>
            </w:r>
            <w:r w:rsidRPr="00C33A44">
              <w:rPr>
                <w:sz w:val="20"/>
                <w:szCs w:val="20"/>
              </w:rPr>
              <w:t xml:space="preserve">The amount of time between an emergency braking event and a person’s response – hitting the brake. </w:t>
            </w:r>
            <w:r>
              <w:rPr>
                <w:sz w:val="20"/>
                <w:szCs w:val="20"/>
              </w:rPr>
              <w:t xml:space="preserve"> Choice response time = The ability to inhibit an incorrect response under changing conditions.</w:t>
            </w:r>
            <w:r w:rsidR="007E07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F45B2" w:rsidRPr="0089648A" w:rsidRDefault="008D0A09" w:rsidP="00752950">
            <w:pPr>
              <w:rPr>
                <w:sz w:val="20"/>
                <w:szCs w:val="20"/>
              </w:rPr>
            </w:pPr>
            <w:r w:rsidRPr="00C33A44">
              <w:rPr>
                <w:sz w:val="20"/>
                <w:szCs w:val="20"/>
              </w:rPr>
              <w:t xml:space="preserve">In emergency braking events, longer brake response time in general requires larger following distance to avoid getting into </w:t>
            </w:r>
            <w:r w:rsidR="00752950">
              <w:rPr>
                <w:sz w:val="20"/>
                <w:szCs w:val="20"/>
              </w:rPr>
              <w:t>crashes</w:t>
            </w:r>
            <w:r w:rsidRPr="00C33A4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More importantly, making impulsive errors / failing to inhibit incorrect responses can lead to dangerous errors of commission.</w:t>
            </w:r>
          </w:p>
        </w:tc>
      </w:tr>
      <w:tr w:rsidR="00BF45B2" w:rsidRPr="0089648A" w:rsidTr="00204420"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F45B2" w:rsidRPr="0089648A" w:rsidRDefault="00BF45B2" w:rsidP="00A44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Working memory </w:t>
            </w:r>
          </w:p>
        </w:tc>
        <w:tc>
          <w:tcPr>
            <w:tcW w:w="35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A6977" w:rsidRPr="0089648A" w:rsidRDefault="001A6977" w:rsidP="00752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short-term memory system that supports drivers’ situation</w:t>
            </w:r>
            <w:r w:rsidR="00752950">
              <w:rPr>
                <w:sz w:val="20"/>
                <w:szCs w:val="20"/>
              </w:rPr>
              <w:t>al</w:t>
            </w:r>
            <w:r>
              <w:rPr>
                <w:sz w:val="20"/>
                <w:szCs w:val="20"/>
              </w:rPr>
              <w:t xml:space="preserve"> awareness </w:t>
            </w:r>
            <w:r w:rsidR="00752950">
              <w:rPr>
                <w:sz w:val="20"/>
                <w:szCs w:val="20"/>
              </w:rPr>
              <w:t>of the</w:t>
            </w:r>
            <w:r>
              <w:rPr>
                <w:sz w:val="20"/>
                <w:szCs w:val="20"/>
              </w:rPr>
              <w:t xml:space="preserve"> surrounding environment.</w:t>
            </w:r>
          </w:p>
        </w:tc>
        <w:tc>
          <w:tcPr>
            <w:tcW w:w="4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F45B2" w:rsidRPr="0089648A" w:rsidRDefault="00151CEA" w:rsidP="00151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Decreased working memory makes it more difficult t</w:t>
            </w:r>
            <w:r w:rsidR="001A6977">
              <w:rPr>
                <w:sz w:val="20"/>
                <w:szCs w:val="20"/>
              </w:rPr>
              <w:t>o apply all rules and regulations for safe driving, sign messages, route directions, and other trip information while simultaneously attending to traffic.</w:t>
            </w:r>
            <w:r>
              <w:rPr>
                <w:sz w:val="20"/>
                <w:szCs w:val="20"/>
              </w:rPr>
              <w:t xml:space="preserve">  Decreased working memory capacity might therefore place drivers at increased crash risk.</w:t>
            </w:r>
          </w:p>
        </w:tc>
      </w:tr>
      <w:tr w:rsidR="00BF45B2" w:rsidRPr="0089648A" w:rsidTr="00204420"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F45B2" w:rsidRDefault="00BF45B2" w:rsidP="00A44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Visualizing missing information </w:t>
            </w:r>
          </w:p>
        </w:tc>
        <w:tc>
          <w:tcPr>
            <w:tcW w:w="35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F45B2" w:rsidRDefault="00151CEA" w:rsidP="00514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ability to</w:t>
            </w:r>
            <w:r w:rsidR="002736DD">
              <w:rPr>
                <w:sz w:val="20"/>
                <w:szCs w:val="20"/>
              </w:rPr>
              <w:t xml:space="preserve"> recognize a whole object when only part is in view</w:t>
            </w:r>
            <w:r w:rsidR="005144C9">
              <w:rPr>
                <w:sz w:val="20"/>
                <w:szCs w:val="20"/>
              </w:rPr>
              <w:t>.</w:t>
            </w:r>
          </w:p>
        </w:tc>
        <w:tc>
          <w:tcPr>
            <w:tcW w:w="4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F45B2" w:rsidRDefault="005144C9" w:rsidP="00BF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Helps a driver anticipate and respond earlier to emerging safety threats.</w:t>
            </w:r>
          </w:p>
        </w:tc>
      </w:tr>
      <w:tr w:rsidR="00151CEA" w:rsidRPr="00151CEA" w:rsidTr="00204420">
        <w:tc>
          <w:tcPr>
            <w:tcW w:w="1440" w:type="dxa"/>
            <w:vAlign w:val="center"/>
          </w:tcPr>
          <w:p w:rsidR="00151CEA" w:rsidRPr="00151CEA" w:rsidRDefault="00151CEA" w:rsidP="00151CEA">
            <w:pPr>
              <w:rPr>
                <w:sz w:val="20"/>
                <w:szCs w:val="20"/>
              </w:rPr>
            </w:pPr>
            <w:r w:rsidRPr="00151CEA">
              <w:rPr>
                <w:sz w:val="20"/>
                <w:szCs w:val="20"/>
              </w:rPr>
              <w:t xml:space="preserve">Visual </w:t>
            </w:r>
            <w:r w:rsidR="003F53EE">
              <w:rPr>
                <w:sz w:val="20"/>
                <w:szCs w:val="20"/>
              </w:rPr>
              <w:t>s</w:t>
            </w:r>
            <w:r w:rsidRPr="00151CEA">
              <w:rPr>
                <w:sz w:val="20"/>
                <w:szCs w:val="20"/>
              </w:rPr>
              <w:t xml:space="preserve">earch (with </w:t>
            </w:r>
            <w:r w:rsidR="003F53EE">
              <w:rPr>
                <w:sz w:val="20"/>
                <w:szCs w:val="20"/>
              </w:rPr>
              <w:t>d</w:t>
            </w:r>
            <w:r w:rsidRPr="00151CEA">
              <w:rPr>
                <w:sz w:val="20"/>
                <w:szCs w:val="20"/>
              </w:rPr>
              <w:t xml:space="preserve">ivided </w:t>
            </w:r>
            <w:r w:rsidR="003F53EE">
              <w:rPr>
                <w:sz w:val="20"/>
                <w:szCs w:val="20"/>
              </w:rPr>
              <w:t>a</w:t>
            </w:r>
            <w:r w:rsidRPr="00151CEA">
              <w:rPr>
                <w:sz w:val="20"/>
                <w:szCs w:val="20"/>
              </w:rPr>
              <w:t>ttention)</w:t>
            </w:r>
          </w:p>
        </w:tc>
        <w:tc>
          <w:tcPr>
            <w:tcW w:w="3510" w:type="dxa"/>
            <w:vAlign w:val="center"/>
          </w:tcPr>
          <w:p w:rsidR="00151CEA" w:rsidRPr="00151CEA" w:rsidRDefault="00151CEA" w:rsidP="00151CEA">
            <w:pPr>
              <w:rPr>
                <w:sz w:val="20"/>
                <w:szCs w:val="20"/>
              </w:rPr>
            </w:pPr>
            <w:r w:rsidRPr="00151CEA">
              <w:rPr>
                <w:sz w:val="20"/>
                <w:szCs w:val="20"/>
              </w:rPr>
              <w:t>Attention is the awareness of selected elements of one’s environment; divided attention is attention to multiple sets of elements so as to carry out multiple tasks concurrently.</w:t>
            </w:r>
          </w:p>
        </w:tc>
        <w:tc>
          <w:tcPr>
            <w:tcW w:w="4410" w:type="dxa"/>
            <w:vAlign w:val="center"/>
          </w:tcPr>
          <w:p w:rsidR="00151CEA" w:rsidRPr="00151CEA" w:rsidRDefault="00151CEA" w:rsidP="00151CEA">
            <w:pPr>
              <w:rPr>
                <w:sz w:val="20"/>
                <w:szCs w:val="20"/>
              </w:rPr>
            </w:pPr>
            <w:r w:rsidRPr="00151CEA">
              <w:rPr>
                <w:sz w:val="20"/>
                <w:szCs w:val="20"/>
              </w:rPr>
              <w:t xml:space="preserve">A driver must rapidly and continuously scan the environment to detect and attend to the most safety-relevant stimuli, e.g., a traffic signals, signs, and road markings as well as other drivers, pedestrians, and cyclists. </w:t>
            </w:r>
          </w:p>
        </w:tc>
      </w:tr>
      <w:tr w:rsidR="00BF45B2" w:rsidRPr="0089648A" w:rsidTr="00204420"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F45B2" w:rsidRDefault="00BF45B2" w:rsidP="00A44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Route planning </w:t>
            </w:r>
          </w:p>
        </w:tc>
        <w:tc>
          <w:tcPr>
            <w:tcW w:w="35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F45B2" w:rsidRDefault="003E0D43" w:rsidP="00AD26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preferred measure of </w:t>
            </w:r>
            <w:r w:rsidR="002736DD">
              <w:rPr>
                <w:sz w:val="20"/>
                <w:szCs w:val="20"/>
              </w:rPr>
              <w:t>executive function that includes planning, foresight, judgment and visual attention.</w:t>
            </w:r>
          </w:p>
        </w:tc>
        <w:tc>
          <w:tcPr>
            <w:tcW w:w="4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F45B2" w:rsidRDefault="002736DD" w:rsidP="00BF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ability is essential not only for navigation but for safely negotiating any complex traffic </w:t>
            </w:r>
            <w:r w:rsidR="00852F12">
              <w:rPr>
                <w:sz w:val="20"/>
                <w:szCs w:val="20"/>
              </w:rPr>
              <w:t>situation.</w:t>
            </w:r>
          </w:p>
        </w:tc>
      </w:tr>
    </w:tbl>
    <w:p w:rsidR="0089648A" w:rsidRPr="007D71CB" w:rsidRDefault="0089648A" w:rsidP="00BB473F">
      <w:pPr>
        <w:spacing w:after="0"/>
      </w:pPr>
    </w:p>
    <w:sectPr w:rsidR="0089648A" w:rsidRPr="007D71CB" w:rsidSect="004F742D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3DE" w:rsidRDefault="00A063DE" w:rsidP="00F24E85">
      <w:pPr>
        <w:spacing w:after="0" w:line="240" w:lineRule="auto"/>
      </w:pPr>
      <w:r>
        <w:separator/>
      </w:r>
    </w:p>
    <w:p w:rsidR="00A063DE" w:rsidRDefault="00A063DE"/>
  </w:endnote>
  <w:endnote w:type="continuationSeparator" w:id="0">
    <w:p w:rsidR="00A063DE" w:rsidRDefault="00A063DE" w:rsidP="00F24E85">
      <w:pPr>
        <w:spacing w:after="0" w:line="240" w:lineRule="auto"/>
      </w:pPr>
      <w:r>
        <w:continuationSeparator/>
      </w:r>
    </w:p>
    <w:p w:rsidR="00A063DE" w:rsidRDefault="00A063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8FC" w:rsidRDefault="00CF28FC">
    <w:pPr>
      <w:pStyle w:val="Footer"/>
    </w:pPr>
  </w:p>
  <w:p w:rsidR="00890E11" w:rsidRDefault="00890E1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732126"/>
      <w:docPartObj>
        <w:docPartGallery w:val="Page Numbers (Bottom of Page)"/>
        <w:docPartUnique/>
      </w:docPartObj>
    </w:sdtPr>
    <w:sdtEndPr/>
    <w:sdtContent>
      <w:p w:rsidR="005A41FF" w:rsidRDefault="005A41FF">
        <w:pPr>
          <w:pStyle w:val="Footer"/>
          <w:jc w:val="center"/>
        </w:pPr>
        <w:r>
          <w:t>E-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63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0E11" w:rsidRDefault="00890E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3DE" w:rsidRDefault="00A063DE" w:rsidP="00F24E85">
      <w:pPr>
        <w:spacing w:after="0" w:line="240" w:lineRule="auto"/>
      </w:pPr>
      <w:r>
        <w:separator/>
      </w:r>
    </w:p>
    <w:p w:rsidR="00A063DE" w:rsidRDefault="00A063DE"/>
  </w:footnote>
  <w:footnote w:type="continuationSeparator" w:id="0">
    <w:p w:rsidR="00A063DE" w:rsidRDefault="00A063DE" w:rsidP="00F24E85">
      <w:pPr>
        <w:spacing w:after="0" w:line="240" w:lineRule="auto"/>
      </w:pPr>
      <w:r>
        <w:continuationSeparator/>
      </w:r>
    </w:p>
    <w:p w:rsidR="00A063DE" w:rsidRDefault="00A063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8FC" w:rsidRDefault="00CF28FC">
    <w:pPr>
      <w:pStyle w:val="Header"/>
    </w:pPr>
  </w:p>
  <w:p w:rsidR="00890E11" w:rsidRDefault="00890E1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sz w:val="24"/>
        <w:szCs w:val="24"/>
        <w:lang w:eastAsia="en-US"/>
      </w:rPr>
      <w:alias w:val="Title"/>
      <w:id w:val="77738743"/>
      <w:placeholder>
        <w:docPart w:val="163EB53B75744A58B70D0233C857B2C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A41FF" w:rsidRPr="00204420" w:rsidRDefault="00CF28FC" w:rsidP="0020442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 w:rsidRPr="00CF28FC">
          <w:rPr>
            <w:rFonts w:ascii="Times New Roman" w:hAnsi="Times New Roman" w:cs="Times New Roman"/>
            <w:b/>
            <w:sz w:val="24"/>
            <w:szCs w:val="24"/>
            <w:lang w:eastAsia="en-US"/>
          </w:rPr>
          <w:t>Older Drivers</w:t>
        </w:r>
        <w:r>
          <w:rPr>
            <w:rFonts w:ascii="Times New Roman" w:hAnsi="Times New Roman" w:cs="Times New Roman"/>
            <w:b/>
            <w:sz w:val="24"/>
            <w:szCs w:val="24"/>
            <w:lang w:eastAsia="en-US"/>
          </w:rPr>
          <w:t>’</w:t>
        </w:r>
        <w:r w:rsidR="00616351">
          <w:rPr>
            <w:rFonts w:ascii="Times New Roman" w:hAnsi="Times New Roman" w:cs="Times New Roman"/>
            <w:b/>
            <w:sz w:val="24"/>
            <w:szCs w:val="24"/>
            <w:lang w:eastAsia="en-US"/>
          </w:rPr>
          <w:t xml:space="preserve"> Self-R</w:t>
        </w:r>
        <w:r w:rsidRPr="00CF28FC">
          <w:rPr>
            <w:rFonts w:ascii="Times New Roman" w:hAnsi="Times New Roman" w:cs="Times New Roman"/>
            <w:b/>
            <w:sz w:val="24"/>
            <w:szCs w:val="24"/>
            <w:lang w:eastAsia="en-US"/>
          </w:rPr>
          <w:t>egulation and Exposure</w:t>
        </w:r>
        <w:r>
          <w:rPr>
            <w:rFonts w:ascii="Times New Roman" w:hAnsi="Times New Roman" w:cs="Times New Roman"/>
            <w:b/>
            <w:sz w:val="24"/>
            <w:szCs w:val="24"/>
            <w:lang w:eastAsia="en-US"/>
          </w:rPr>
          <w:t xml:space="preserve">                                                                   </w:t>
        </w:r>
        <w:r w:rsidRPr="00CF28FC">
          <w:rPr>
            <w:rFonts w:ascii="Times New Roman" w:hAnsi="Times New Roman" w:cs="Times New Roman"/>
            <w:b/>
            <w:sz w:val="24"/>
            <w:szCs w:val="24"/>
            <w:lang w:eastAsia="en-US"/>
          </w:rPr>
          <w:t>Appendix G – Functional Instrument Justification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14087"/>
    <w:multiLevelType w:val="hybridMultilevel"/>
    <w:tmpl w:val="9580E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DD1"/>
    <w:rsid w:val="0003536C"/>
    <w:rsid w:val="00046563"/>
    <w:rsid w:val="0005569E"/>
    <w:rsid w:val="00056D77"/>
    <w:rsid w:val="0006401A"/>
    <w:rsid w:val="00074148"/>
    <w:rsid w:val="00077140"/>
    <w:rsid w:val="0008215C"/>
    <w:rsid w:val="00085C49"/>
    <w:rsid w:val="0009038E"/>
    <w:rsid w:val="000A2AE2"/>
    <w:rsid w:val="000A39E4"/>
    <w:rsid w:val="000C4ABC"/>
    <w:rsid w:val="000D0A73"/>
    <w:rsid w:val="000D15BA"/>
    <w:rsid w:val="000D7FE3"/>
    <w:rsid w:val="000E1EA0"/>
    <w:rsid w:val="000E2A1F"/>
    <w:rsid w:val="000E2AC2"/>
    <w:rsid w:val="000E3C6B"/>
    <w:rsid w:val="000E6231"/>
    <w:rsid w:val="000F12BB"/>
    <w:rsid w:val="000F3DB0"/>
    <w:rsid w:val="000F618B"/>
    <w:rsid w:val="000F6AA4"/>
    <w:rsid w:val="001007A8"/>
    <w:rsid w:val="0010651F"/>
    <w:rsid w:val="00107BAE"/>
    <w:rsid w:val="001135AF"/>
    <w:rsid w:val="00124E9F"/>
    <w:rsid w:val="00133297"/>
    <w:rsid w:val="001353EB"/>
    <w:rsid w:val="00137344"/>
    <w:rsid w:val="00141AA0"/>
    <w:rsid w:val="0015182A"/>
    <w:rsid w:val="00151CEA"/>
    <w:rsid w:val="00152BC7"/>
    <w:rsid w:val="00162673"/>
    <w:rsid w:val="00173E92"/>
    <w:rsid w:val="0018469C"/>
    <w:rsid w:val="0018548C"/>
    <w:rsid w:val="00187FFD"/>
    <w:rsid w:val="001A2898"/>
    <w:rsid w:val="001A4DD1"/>
    <w:rsid w:val="001A6977"/>
    <w:rsid w:val="001B1C5E"/>
    <w:rsid w:val="001B7DF5"/>
    <w:rsid w:val="001D42F2"/>
    <w:rsid w:val="001D5303"/>
    <w:rsid w:val="001F047E"/>
    <w:rsid w:val="00204420"/>
    <w:rsid w:val="00205A97"/>
    <w:rsid w:val="00221BE8"/>
    <w:rsid w:val="002241E3"/>
    <w:rsid w:val="00230C68"/>
    <w:rsid w:val="00234D48"/>
    <w:rsid w:val="00236A48"/>
    <w:rsid w:val="00240FCC"/>
    <w:rsid w:val="0024281D"/>
    <w:rsid w:val="00243D7B"/>
    <w:rsid w:val="00244A4F"/>
    <w:rsid w:val="002625C6"/>
    <w:rsid w:val="00264932"/>
    <w:rsid w:val="00272820"/>
    <w:rsid w:val="002736DD"/>
    <w:rsid w:val="00295C23"/>
    <w:rsid w:val="002A30BA"/>
    <w:rsid w:val="002A7E82"/>
    <w:rsid w:val="002B23CF"/>
    <w:rsid w:val="002B45C7"/>
    <w:rsid w:val="002D0C49"/>
    <w:rsid w:val="002E3FA5"/>
    <w:rsid w:val="002F1119"/>
    <w:rsid w:val="00314264"/>
    <w:rsid w:val="00325A83"/>
    <w:rsid w:val="003270A8"/>
    <w:rsid w:val="00347780"/>
    <w:rsid w:val="0037765C"/>
    <w:rsid w:val="00390EE5"/>
    <w:rsid w:val="003A7DDC"/>
    <w:rsid w:val="003D111B"/>
    <w:rsid w:val="003D2995"/>
    <w:rsid w:val="003D3E7F"/>
    <w:rsid w:val="003E0D43"/>
    <w:rsid w:val="003E3662"/>
    <w:rsid w:val="003F53EE"/>
    <w:rsid w:val="004121CE"/>
    <w:rsid w:val="004178DC"/>
    <w:rsid w:val="004304E9"/>
    <w:rsid w:val="004331DC"/>
    <w:rsid w:val="004446EC"/>
    <w:rsid w:val="00444EC8"/>
    <w:rsid w:val="004479F5"/>
    <w:rsid w:val="004500B5"/>
    <w:rsid w:val="00461EA8"/>
    <w:rsid w:val="004631EE"/>
    <w:rsid w:val="00466A30"/>
    <w:rsid w:val="00474D3D"/>
    <w:rsid w:val="00482B45"/>
    <w:rsid w:val="004834CC"/>
    <w:rsid w:val="00486C05"/>
    <w:rsid w:val="004918A3"/>
    <w:rsid w:val="004A57FC"/>
    <w:rsid w:val="004B11C7"/>
    <w:rsid w:val="004B1DEF"/>
    <w:rsid w:val="004B354F"/>
    <w:rsid w:val="004C302D"/>
    <w:rsid w:val="004E5FF9"/>
    <w:rsid w:val="004F1190"/>
    <w:rsid w:val="004F593B"/>
    <w:rsid w:val="004F6DE3"/>
    <w:rsid w:val="004F742D"/>
    <w:rsid w:val="00503D28"/>
    <w:rsid w:val="00510171"/>
    <w:rsid w:val="00510961"/>
    <w:rsid w:val="005144C9"/>
    <w:rsid w:val="00516D2F"/>
    <w:rsid w:val="00521052"/>
    <w:rsid w:val="005217C5"/>
    <w:rsid w:val="00523289"/>
    <w:rsid w:val="00526AEF"/>
    <w:rsid w:val="005311C0"/>
    <w:rsid w:val="005618EA"/>
    <w:rsid w:val="00577FF9"/>
    <w:rsid w:val="0058112D"/>
    <w:rsid w:val="00583927"/>
    <w:rsid w:val="00590604"/>
    <w:rsid w:val="00591188"/>
    <w:rsid w:val="005952FF"/>
    <w:rsid w:val="00597A14"/>
    <w:rsid w:val="005A209E"/>
    <w:rsid w:val="005A3403"/>
    <w:rsid w:val="005A41FF"/>
    <w:rsid w:val="005B15F5"/>
    <w:rsid w:val="005B3E14"/>
    <w:rsid w:val="005C32B3"/>
    <w:rsid w:val="005D6CA0"/>
    <w:rsid w:val="005E009E"/>
    <w:rsid w:val="005E022E"/>
    <w:rsid w:val="005E42C8"/>
    <w:rsid w:val="005E61E2"/>
    <w:rsid w:val="00600841"/>
    <w:rsid w:val="00613B0A"/>
    <w:rsid w:val="00616351"/>
    <w:rsid w:val="00622124"/>
    <w:rsid w:val="00623FBB"/>
    <w:rsid w:val="00624043"/>
    <w:rsid w:val="006258FD"/>
    <w:rsid w:val="00627642"/>
    <w:rsid w:val="00632C25"/>
    <w:rsid w:val="00646869"/>
    <w:rsid w:val="00660E32"/>
    <w:rsid w:val="006629C4"/>
    <w:rsid w:val="00672277"/>
    <w:rsid w:val="00672B3A"/>
    <w:rsid w:val="006A3A07"/>
    <w:rsid w:val="006A3F53"/>
    <w:rsid w:val="006C564C"/>
    <w:rsid w:val="006F2770"/>
    <w:rsid w:val="006F2BC2"/>
    <w:rsid w:val="00730315"/>
    <w:rsid w:val="00736B52"/>
    <w:rsid w:val="007403BE"/>
    <w:rsid w:val="00751DCB"/>
    <w:rsid w:val="00752950"/>
    <w:rsid w:val="0075664E"/>
    <w:rsid w:val="00774382"/>
    <w:rsid w:val="007922D0"/>
    <w:rsid w:val="007B7DB8"/>
    <w:rsid w:val="007B7FF2"/>
    <w:rsid w:val="007C402B"/>
    <w:rsid w:val="007C437E"/>
    <w:rsid w:val="007D092D"/>
    <w:rsid w:val="007D5D09"/>
    <w:rsid w:val="007D71CB"/>
    <w:rsid w:val="007E0719"/>
    <w:rsid w:val="007E7BF4"/>
    <w:rsid w:val="007F5230"/>
    <w:rsid w:val="007F595B"/>
    <w:rsid w:val="007F7CF9"/>
    <w:rsid w:val="00807D8F"/>
    <w:rsid w:val="00807F4C"/>
    <w:rsid w:val="00812F5B"/>
    <w:rsid w:val="00821B05"/>
    <w:rsid w:val="0084644C"/>
    <w:rsid w:val="00852F12"/>
    <w:rsid w:val="00855A3F"/>
    <w:rsid w:val="00862717"/>
    <w:rsid w:val="00874C38"/>
    <w:rsid w:val="0088213B"/>
    <w:rsid w:val="00884DB1"/>
    <w:rsid w:val="00890094"/>
    <w:rsid w:val="00890E11"/>
    <w:rsid w:val="0089648A"/>
    <w:rsid w:val="008A2016"/>
    <w:rsid w:val="008D0A09"/>
    <w:rsid w:val="008D1650"/>
    <w:rsid w:val="008E7E67"/>
    <w:rsid w:val="00903F1D"/>
    <w:rsid w:val="00906AC6"/>
    <w:rsid w:val="00925D03"/>
    <w:rsid w:val="009662A8"/>
    <w:rsid w:val="009674BA"/>
    <w:rsid w:val="0097113D"/>
    <w:rsid w:val="00976829"/>
    <w:rsid w:val="009776F8"/>
    <w:rsid w:val="009A01A5"/>
    <w:rsid w:val="009A45CF"/>
    <w:rsid w:val="009B1ABD"/>
    <w:rsid w:val="009C0050"/>
    <w:rsid w:val="009D4B88"/>
    <w:rsid w:val="009D7779"/>
    <w:rsid w:val="009F0167"/>
    <w:rsid w:val="009F208A"/>
    <w:rsid w:val="009F3721"/>
    <w:rsid w:val="009F557F"/>
    <w:rsid w:val="00A02912"/>
    <w:rsid w:val="00A063DE"/>
    <w:rsid w:val="00A1013E"/>
    <w:rsid w:val="00A1606E"/>
    <w:rsid w:val="00A22333"/>
    <w:rsid w:val="00A24C09"/>
    <w:rsid w:val="00A44E2B"/>
    <w:rsid w:val="00A71ABA"/>
    <w:rsid w:val="00A71F02"/>
    <w:rsid w:val="00A762C4"/>
    <w:rsid w:val="00A82F0D"/>
    <w:rsid w:val="00A92732"/>
    <w:rsid w:val="00A93EC4"/>
    <w:rsid w:val="00AA1EF8"/>
    <w:rsid w:val="00AA2402"/>
    <w:rsid w:val="00AA6633"/>
    <w:rsid w:val="00AB363C"/>
    <w:rsid w:val="00AC207C"/>
    <w:rsid w:val="00AC31A4"/>
    <w:rsid w:val="00AC49D9"/>
    <w:rsid w:val="00AD268D"/>
    <w:rsid w:val="00AD5510"/>
    <w:rsid w:val="00AE28E6"/>
    <w:rsid w:val="00AF6F87"/>
    <w:rsid w:val="00B014F1"/>
    <w:rsid w:val="00B1272E"/>
    <w:rsid w:val="00B13397"/>
    <w:rsid w:val="00B13854"/>
    <w:rsid w:val="00B23777"/>
    <w:rsid w:val="00B2627D"/>
    <w:rsid w:val="00B37DA7"/>
    <w:rsid w:val="00B53072"/>
    <w:rsid w:val="00B549B8"/>
    <w:rsid w:val="00B60829"/>
    <w:rsid w:val="00B82511"/>
    <w:rsid w:val="00B8434B"/>
    <w:rsid w:val="00B84E00"/>
    <w:rsid w:val="00B8580C"/>
    <w:rsid w:val="00B90ACE"/>
    <w:rsid w:val="00B94527"/>
    <w:rsid w:val="00B964BF"/>
    <w:rsid w:val="00BB473F"/>
    <w:rsid w:val="00BC386D"/>
    <w:rsid w:val="00BD7B87"/>
    <w:rsid w:val="00BE7F12"/>
    <w:rsid w:val="00BF1763"/>
    <w:rsid w:val="00BF45B2"/>
    <w:rsid w:val="00C17E85"/>
    <w:rsid w:val="00C2267B"/>
    <w:rsid w:val="00C31C6F"/>
    <w:rsid w:val="00C33F97"/>
    <w:rsid w:val="00C3554C"/>
    <w:rsid w:val="00C451A7"/>
    <w:rsid w:val="00C57BC0"/>
    <w:rsid w:val="00C6326E"/>
    <w:rsid w:val="00C645F1"/>
    <w:rsid w:val="00C7405E"/>
    <w:rsid w:val="00C74D13"/>
    <w:rsid w:val="00C807F1"/>
    <w:rsid w:val="00C82D2B"/>
    <w:rsid w:val="00C8700F"/>
    <w:rsid w:val="00C90484"/>
    <w:rsid w:val="00CA3579"/>
    <w:rsid w:val="00CA3647"/>
    <w:rsid w:val="00CB1E30"/>
    <w:rsid w:val="00CB2AA2"/>
    <w:rsid w:val="00CC5FBC"/>
    <w:rsid w:val="00CC6C68"/>
    <w:rsid w:val="00CD718A"/>
    <w:rsid w:val="00CD78C4"/>
    <w:rsid w:val="00CE2707"/>
    <w:rsid w:val="00CF25DD"/>
    <w:rsid w:val="00CF28FC"/>
    <w:rsid w:val="00CF6B08"/>
    <w:rsid w:val="00CF743D"/>
    <w:rsid w:val="00D065B0"/>
    <w:rsid w:val="00D12597"/>
    <w:rsid w:val="00D27B0C"/>
    <w:rsid w:val="00D32900"/>
    <w:rsid w:val="00D401D2"/>
    <w:rsid w:val="00D477FB"/>
    <w:rsid w:val="00D53EF1"/>
    <w:rsid w:val="00D739F1"/>
    <w:rsid w:val="00D7412C"/>
    <w:rsid w:val="00D8047E"/>
    <w:rsid w:val="00D84105"/>
    <w:rsid w:val="00D85799"/>
    <w:rsid w:val="00D862CB"/>
    <w:rsid w:val="00DA0DBD"/>
    <w:rsid w:val="00DB5AF1"/>
    <w:rsid w:val="00E10F9E"/>
    <w:rsid w:val="00E2265E"/>
    <w:rsid w:val="00E308CD"/>
    <w:rsid w:val="00E36917"/>
    <w:rsid w:val="00E44C1E"/>
    <w:rsid w:val="00E56F23"/>
    <w:rsid w:val="00E627F2"/>
    <w:rsid w:val="00E73D59"/>
    <w:rsid w:val="00E770BF"/>
    <w:rsid w:val="00E800E0"/>
    <w:rsid w:val="00E95E49"/>
    <w:rsid w:val="00EC5E9A"/>
    <w:rsid w:val="00ED038F"/>
    <w:rsid w:val="00ED34A6"/>
    <w:rsid w:val="00ED44A4"/>
    <w:rsid w:val="00EE1B31"/>
    <w:rsid w:val="00F0778E"/>
    <w:rsid w:val="00F24E85"/>
    <w:rsid w:val="00F25CA7"/>
    <w:rsid w:val="00F312EF"/>
    <w:rsid w:val="00F4133C"/>
    <w:rsid w:val="00F4741C"/>
    <w:rsid w:val="00F57003"/>
    <w:rsid w:val="00F57387"/>
    <w:rsid w:val="00F65F82"/>
    <w:rsid w:val="00F67F52"/>
    <w:rsid w:val="00F84FF7"/>
    <w:rsid w:val="00F85571"/>
    <w:rsid w:val="00F94C66"/>
    <w:rsid w:val="00FA0082"/>
    <w:rsid w:val="00FB058A"/>
    <w:rsid w:val="00FB7F86"/>
    <w:rsid w:val="00FC3D41"/>
    <w:rsid w:val="00FC3F76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E85"/>
  </w:style>
  <w:style w:type="paragraph" w:styleId="Footer">
    <w:name w:val="footer"/>
    <w:basedOn w:val="Normal"/>
    <w:link w:val="FooterChar"/>
    <w:uiPriority w:val="99"/>
    <w:unhideWhenUsed/>
    <w:rsid w:val="00F2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E85"/>
  </w:style>
  <w:style w:type="paragraph" w:styleId="BalloonText">
    <w:name w:val="Balloon Text"/>
    <w:basedOn w:val="Normal"/>
    <w:link w:val="BalloonTextChar"/>
    <w:uiPriority w:val="99"/>
    <w:semiHidden/>
    <w:unhideWhenUsed/>
    <w:rsid w:val="00F2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A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0E2A1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1C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1C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CE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E85"/>
  </w:style>
  <w:style w:type="paragraph" w:styleId="Footer">
    <w:name w:val="footer"/>
    <w:basedOn w:val="Normal"/>
    <w:link w:val="FooterChar"/>
    <w:uiPriority w:val="99"/>
    <w:unhideWhenUsed/>
    <w:rsid w:val="00F2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E85"/>
  </w:style>
  <w:style w:type="paragraph" w:styleId="BalloonText">
    <w:name w:val="Balloon Text"/>
    <w:basedOn w:val="Normal"/>
    <w:link w:val="BalloonTextChar"/>
    <w:uiPriority w:val="99"/>
    <w:semiHidden/>
    <w:unhideWhenUsed/>
    <w:rsid w:val="00F2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A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0E2A1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1C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1C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C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9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63EB53B75744A58B70D0233C857B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B7535-5858-479A-8FFE-EC521CB6BD49}"/>
      </w:docPartPr>
      <w:docPartBody>
        <w:p w:rsidR="00523E83" w:rsidRDefault="009562F7" w:rsidP="009562F7">
          <w:pPr>
            <w:pStyle w:val="163EB53B75744A58B70D0233C857B2C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562F7"/>
    <w:rsid w:val="000A508D"/>
    <w:rsid w:val="00193D12"/>
    <w:rsid w:val="001C38AD"/>
    <w:rsid w:val="00384A1A"/>
    <w:rsid w:val="003A2E22"/>
    <w:rsid w:val="00447A40"/>
    <w:rsid w:val="004B4667"/>
    <w:rsid w:val="0052388E"/>
    <w:rsid w:val="00523E83"/>
    <w:rsid w:val="00871C89"/>
    <w:rsid w:val="00926601"/>
    <w:rsid w:val="009562F7"/>
    <w:rsid w:val="00BD3C35"/>
    <w:rsid w:val="00C84A09"/>
    <w:rsid w:val="00D24DF5"/>
    <w:rsid w:val="00DD5114"/>
    <w:rsid w:val="00F6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3EB53B75744A58B70D0233C857B2C8">
    <w:name w:val="163EB53B75744A58B70D0233C857B2C8"/>
    <w:rsid w:val="009562F7"/>
  </w:style>
  <w:style w:type="paragraph" w:customStyle="1" w:styleId="F914BFC972CF469A93524397DEF39115">
    <w:name w:val="F914BFC972CF469A93524397DEF39115"/>
    <w:rsid w:val="00D24DF5"/>
    <w:rPr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 – Functional Instrument Justification</vt:lpstr>
    </vt:vector>
  </TitlesOfParts>
  <Company>DOT-COE-20090818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Older Drivers’ Self-Regulation and Exposure                                                                   Appendix G – Functional Instrument Justification</dc:title>
  <dc:creator>randolph.atkins</dc:creator>
  <cp:lastModifiedBy>USDOT_User</cp:lastModifiedBy>
  <cp:revision>5</cp:revision>
  <dcterms:created xsi:type="dcterms:W3CDTF">2015-11-04T20:47:00Z</dcterms:created>
  <dcterms:modified xsi:type="dcterms:W3CDTF">2016-02-01T19:55:00Z</dcterms:modified>
</cp:coreProperties>
</file>