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id="0" w:name="a_Toc364673485"/>
      <w:bookmarkStart w:id="1" w:name="a_Toc364673490"/>
      <w:bookmarkStart w:id="2" w:name="a_Toc364673494"/>
      <w:bookmarkStart w:id="3" w:name="a_Toc364673495"/>
      <w:bookmarkStart w:id="4" w:name="a_Toc364673503"/>
      <w:r>
        <w:rPr>
          <w:b/>
          <w:bCs/>
          <w:sz w:val="28"/>
          <w:szCs w:val="28"/>
        </w:rPr>
        <w:t>SUPPORTING STATEMENT FOR</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EPA INFORMA</w:t>
      </w:r>
      <w:r w:rsidR="00D23F2F">
        <w:rPr>
          <w:b/>
          <w:bCs/>
          <w:sz w:val="28"/>
          <w:szCs w:val="28"/>
        </w:rPr>
        <w:t>TION COLLECTION REQUEST #1571.1</w:t>
      </w:r>
      <w:r w:rsidR="00D37870">
        <w:rPr>
          <w:b/>
          <w:bCs/>
          <w:sz w:val="28"/>
          <w:szCs w:val="28"/>
        </w:rPr>
        <w:t>1</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"GENERAL HAZARDOUS WASTE FACILITY STANDARDS"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r w:rsidR="00D37870">
        <w:rPr>
          <w:b/>
          <w:bCs/>
          <w:sz w:val="28"/>
          <w:szCs w:val="28"/>
        </w:rPr>
        <w:t>January</w:t>
      </w:r>
      <w:r w:rsidR="00D23F2F">
        <w:rPr>
          <w:b/>
          <w:bCs/>
          <w:sz w:val="28"/>
          <w:szCs w:val="28"/>
        </w:rPr>
        <w:t>, 201</w:t>
      </w:r>
      <w:r w:rsidR="00D37870">
        <w:rPr>
          <w:b/>
          <w:bCs/>
          <w:sz w:val="28"/>
          <w:szCs w:val="28"/>
        </w:rPr>
        <w:t>6</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2"/>
          <w:szCs w:val="22"/>
        </w:rPr>
        <w:sectPr w:rsidR="00147EDE">
          <w:pgSz w:w="12240" w:h="15840"/>
          <w:pgMar w:top="1440" w:right="1440" w:bottom="1440" w:left="1440" w:header="1440" w:footer="1440" w:gutter="0"/>
          <w:cols w:space="720"/>
          <w:vAlign w:val="center"/>
          <w:noEndnote/>
        </w:sectPr>
      </w:pPr>
      <w:r>
        <w:rPr>
          <w:sz w:val="22"/>
          <w:szCs w:val="22"/>
        </w:rPr>
        <w:br w:type="page"/>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2"/>
          <w:szCs w:val="22"/>
        </w:rPr>
      </w:pPr>
      <w:r>
        <w:rPr>
          <w:b/>
          <w:bCs/>
          <w:sz w:val="22"/>
          <w:szCs w:val="22"/>
        </w:rPr>
        <w:lastRenderedPageBreak/>
        <w:t>TABLE OF CONTENTS</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b/>
          <w:bCs/>
          <w:sz w:val="22"/>
          <w:szCs w:val="22"/>
        </w:rPr>
      </w:pPr>
      <w:r>
        <w:rPr>
          <w:sz w:val="22"/>
          <w:szCs w:val="22"/>
        </w:rPr>
        <w:t xml:space="preserve">1.  </w:t>
      </w:r>
      <w:r>
        <w:rPr>
          <w:sz w:val="22"/>
          <w:szCs w:val="22"/>
        </w:rPr>
        <w:tab/>
      </w:r>
      <w:r>
        <w:rPr>
          <w:b/>
          <w:bCs/>
          <w:sz w:val="22"/>
          <w:szCs w:val="22"/>
        </w:rPr>
        <w:t>IDENTIFICATION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1(a)</w:t>
      </w:r>
      <w:r>
        <w:rPr>
          <w:sz w:val="22"/>
          <w:szCs w:val="22"/>
        </w:rPr>
        <w:tab/>
        <w:t>Title and Number</w:t>
      </w:r>
      <w:r w:rsidR="00D61BD8">
        <w:rPr>
          <w:sz w:val="22"/>
          <w:szCs w:val="22"/>
        </w:rPr>
        <w:t xml:space="preserve"> of the Information Collection</w:t>
      </w:r>
      <w:r w:rsidR="00D61BD8">
        <w:rPr>
          <w:sz w:val="22"/>
          <w:szCs w:val="22"/>
        </w:rPr>
        <w:tab/>
        <w:t>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1(b)</w:t>
      </w:r>
      <w:r>
        <w:rPr>
          <w:sz w:val="22"/>
          <w:szCs w:val="22"/>
        </w:rPr>
        <w:tab/>
        <w:t>Characterization</w:t>
      </w:r>
      <w:r w:rsidR="00D61BD8">
        <w:rPr>
          <w:sz w:val="22"/>
          <w:szCs w:val="22"/>
        </w:rPr>
        <w:t xml:space="preserve"> of the Information Collection</w:t>
      </w:r>
      <w:r w:rsidR="00D61BD8">
        <w:rPr>
          <w:sz w:val="22"/>
          <w:szCs w:val="22"/>
        </w:rPr>
        <w:tab/>
        <w:t>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sz w:val="22"/>
          <w:szCs w:val="22"/>
        </w:rPr>
      </w:pPr>
      <w:r>
        <w:rPr>
          <w:sz w:val="22"/>
          <w:szCs w:val="22"/>
        </w:rPr>
        <w:t>2.</w:t>
      </w:r>
      <w:r>
        <w:rPr>
          <w:sz w:val="22"/>
          <w:szCs w:val="22"/>
        </w:rPr>
        <w:tab/>
      </w:r>
      <w:r>
        <w:rPr>
          <w:b/>
          <w:bCs/>
          <w:sz w:val="22"/>
          <w:szCs w:val="22"/>
        </w:rPr>
        <w:t>NEED FOR AND USE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2(a)</w:t>
      </w:r>
      <w:r>
        <w:rPr>
          <w:sz w:val="22"/>
          <w:szCs w:val="22"/>
        </w:rPr>
        <w:tab/>
        <w:t>Need an</w:t>
      </w:r>
      <w:r w:rsidR="00D61BD8">
        <w:rPr>
          <w:sz w:val="22"/>
          <w:szCs w:val="22"/>
        </w:rPr>
        <w:t>d Authority for the Collection</w:t>
      </w:r>
      <w:r w:rsidR="00D61BD8">
        <w:rPr>
          <w:sz w:val="22"/>
          <w:szCs w:val="22"/>
        </w:rPr>
        <w:tab/>
        <w:t>6</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2(b)</w:t>
      </w:r>
      <w:r>
        <w:rPr>
          <w:sz w:val="22"/>
          <w:szCs w:val="22"/>
        </w:rPr>
        <w:tab/>
        <w:t>Use and Users of the Data</w:t>
      </w:r>
      <w:r>
        <w:rPr>
          <w:sz w:val="22"/>
          <w:szCs w:val="22"/>
        </w:rPr>
        <w:tab/>
        <w:t>10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b/>
          <w:bCs/>
          <w:sz w:val="22"/>
          <w:szCs w:val="22"/>
        </w:rPr>
      </w:pPr>
      <w:r>
        <w:rPr>
          <w:sz w:val="22"/>
          <w:szCs w:val="22"/>
        </w:rPr>
        <w:t>3.</w:t>
      </w:r>
      <w:r>
        <w:rPr>
          <w:sz w:val="22"/>
          <w:szCs w:val="22"/>
        </w:rPr>
        <w:tab/>
      </w:r>
      <w:r>
        <w:rPr>
          <w:b/>
          <w:bCs/>
          <w:sz w:val="22"/>
          <w:szCs w:val="22"/>
        </w:rPr>
        <w:t>NONDUPLICATION, CONSULTATIONS, AND OTHER COLLECTION CRITERIA</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firstLine="720"/>
        <w:rPr>
          <w:sz w:val="22"/>
          <w:szCs w:val="22"/>
        </w:rPr>
      </w:pPr>
      <w:r>
        <w:rPr>
          <w:sz w:val="22"/>
          <w:szCs w:val="22"/>
        </w:rPr>
        <w:t>3(a)</w:t>
      </w:r>
      <w:r>
        <w:rPr>
          <w:sz w:val="22"/>
          <w:szCs w:val="22"/>
        </w:rPr>
        <w:tab/>
      </w:r>
      <w:proofErr w:type="spellStart"/>
      <w:r>
        <w:rPr>
          <w:sz w:val="22"/>
          <w:szCs w:val="22"/>
        </w:rPr>
        <w:t>Nonduplication</w:t>
      </w:r>
      <w:proofErr w:type="spellEnd"/>
      <w:r>
        <w:rPr>
          <w:sz w:val="22"/>
          <w:szCs w:val="22"/>
        </w:rPr>
        <w:tab/>
        <w:t>12</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w:t>
      </w:r>
      <w:r w:rsidR="00D61BD8">
        <w:rPr>
          <w:sz w:val="22"/>
          <w:szCs w:val="22"/>
        </w:rPr>
        <w:t>(b)</w:t>
      </w:r>
      <w:r w:rsidR="00D61BD8">
        <w:rPr>
          <w:sz w:val="22"/>
          <w:szCs w:val="22"/>
        </w:rPr>
        <w:tab/>
        <w:t>Consultations</w:t>
      </w:r>
      <w:r w:rsidR="00D61BD8">
        <w:rPr>
          <w:sz w:val="22"/>
          <w:szCs w:val="22"/>
        </w:rPr>
        <w:tab/>
        <w:t>12</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3(c)</w:t>
      </w:r>
      <w:r>
        <w:rPr>
          <w:sz w:val="22"/>
          <w:szCs w:val="22"/>
        </w:rPr>
        <w:tab/>
        <w:t>Public Notice</w:t>
      </w:r>
      <w:r>
        <w:rPr>
          <w:sz w:val="22"/>
          <w:szCs w:val="22"/>
        </w:rPr>
        <w:tab/>
        <w:t>13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3(d)</w:t>
      </w:r>
      <w:r>
        <w:rPr>
          <w:sz w:val="22"/>
          <w:szCs w:val="22"/>
        </w:rPr>
        <w:tab/>
        <w:t>Effect</w:t>
      </w:r>
      <w:r w:rsidR="00D61BD8">
        <w:rPr>
          <w:sz w:val="22"/>
          <w:szCs w:val="22"/>
        </w:rPr>
        <w:t>s of Less Frequent Collection</w:t>
      </w:r>
      <w:r w:rsidR="00D61BD8">
        <w:rPr>
          <w:sz w:val="22"/>
          <w:szCs w:val="22"/>
        </w:rPr>
        <w:tab/>
        <w:t>13</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3(e)</w:t>
      </w:r>
      <w:r>
        <w:rPr>
          <w:sz w:val="22"/>
          <w:szCs w:val="22"/>
        </w:rPr>
        <w:tab/>
        <w:t>General Guidelines</w:t>
      </w:r>
      <w:r>
        <w:rPr>
          <w:sz w:val="22"/>
          <w:szCs w:val="22"/>
        </w:rPr>
        <w:tab/>
        <w:t>13</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3(f)</w:t>
      </w:r>
      <w:r>
        <w:rPr>
          <w:sz w:val="22"/>
          <w:szCs w:val="22"/>
        </w:rPr>
        <w:tab/>
        <w:t>Confidentiality</w:t>
      </w:r>
      <w:r>
        <w:rPr>
          <w:sz w:val="22"/>
          <w:szCs w:val="22"/>
        </w:rPr>
        <w:tab/>
        <w:t>14</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3(g)</w:t>
      </w:r>
      <w:r>
        <w:rPr>
          <w:sz w:val="22"/>
          <w:szCs w:val="22"/>
        </w:rPr>
        <w:tab/>
        <w:t>Sensitive Questions</w:t>
      </w:r>
      <w:r>
        <w:rPr>
          <w:sz w:val="22"/>
          <w:szCs w:val="22"/>
        </w:rPr>
        <w:tab/>
        <w:t>14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b/>
          <w:bCs/>
          <w:sz w:val="22"/>
          <w:szCs w:val="22"/>
        </w:rPr>
      </w:pPr>
      <w:r>
        <w:rPr>
          <w:sz w:val="22"/>
          <w:szCs w:val="22"/>
        </w:rPr>
        <w:t>4.</w:t>
      </w:r>
      <w:r>
        <w:rPr>
          <w:sz w:val="22"/>
          <w:szCs w:val="22"/>
        </w:rPr>
        <w:tab/>
      </w:r>
      <w:r>
        <w:rPr>
          <w:b/>
          <w:bCs/>
          <w:sz w:val="22"/>
          <w:szCs w:val="22"/>
        </w:rPr>
        <w:t>THE RESPONDENTS AND THE INFORMATION REQUESTED</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4(a)</w:t>
      </w:r>
      <w:r>
        <w:rPr>
          <w:sz w:val="22"/>
          <w:szCs w:val="22"/>
        </w:rPr>
        <w:tab/>
        <w:t>Respondents/NAICS Codes</w:t>
      </w:r>
      <w:r>
        <w:rPr>
          <w:sz w:val="22"/>
          <w:szCs w:val="22"/>
        </w:rPr>
        <w:tab/>
        <w:t>14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4(b)</w:t>
      </w:r>
      <w:r>
        <w:rPr>
          <w:sz w:val="22"/>
          <w:szCs w:val="22"/>
        </w:rPr>
        <w:tab/>
        <w:t>Inf</w:t>
      </w:r>
      <w:r w:rsidR="00D61BD8">
        <w:rPr>
          <w:sz w:val="22"/>
          <w:szCs w:val="22"/>
        </w:rPr>
        <w:t>ormation Requested</w:t>
      </w:r>
      <w:r w:rsidR="00D61BD8">
        <w:rPr>
          <w:sz w:val="22"/>
          <w:szCs w:val="22"/>
        </w:rPr>
        <w:tab/>
        <w:t>15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5.</w:t>
      </w:r>
      <w:r>
        <w:rPr>
          <w:sz w:val="22"/>
          <w:szCs w:val="22"/>
        </w:rPr>
        <w:tab/>
      </w:r>
      <w:r>
        <w:rPr>
          <w:b/>
          <w:bCs/>
          <w:sz w:val="22"/>
          <w:szCs w:val="22"/>
        </w:rPr>
        <w:t>THE INFORMATION COLLECTED—AGENCY ACTIVITIES, COLLECTION METHODOLOGY, AND INFORMATION MANAGEMENT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5(a)</w:t>
      </w:r>
      <w:r>
        <w:rPr>
          <w:sz w:val="22"/>
          <w:szCs w:val="22"/>
        </w:rPr>
        <w:tab/>
        <w:t>Agency Activities</w:t>
      </w:r>
      <w:r>
        <w:rPr>
          <w:sz w:val="22"/>
          <w:szCs w:val="22"/>
        </w:rPr>
        <w:tab/>
        <w:t>58</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5(b)</w:t>
      </w:r>
      <w:r>
        <w:rPr>
          <w:sz w:val="22"/>
          <w:szCs w:val="22"/>
        </w:rPr>
        <w:tab/>
        <w:t>Collection Methodology and Management</w:t>
      </w:r>
      <w:r>
        <w:rPr>
          <w:sz w:val="22"/>
          <w:szCs w:val="22"/>
        </w:rPr>
        <w:tab/>
        <w:t>60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5(c)</w:t>
      </w:r>
      <w:r>
        <w:rPr>
          <w:sz w:val="22"/>
          <w:szCs w:val="22"/>
        </w:rPr>
        <w:tab/>
        <w:t>Small Entity Flexibility</w:t>
      </w:r>
      <w:r>
        <w:rPr>
          <w:sz w:val="22"/>
          <w:szCs w:val="22"/>
        </w:rPr>
        <w:tab/>
        <w:t>60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5(d)</w:t>
      </w:r>
      <w:r>
        <w:rPr>
          <w:sz w:val="22"/>
          <w:szCs w:val="22"/>
        </w:rPr>
        <w:tab/>
        <w:t>Collection Schedule</w:t>
      </w:r>
      <w:r>
        <w:rPr>
          <w:sz w:val="22"/>
          <w:szCs w:val="22"/>
        </w:rPr>
        <w:tab/>
        <w:t>60</w:t>
      </w:r>
    </w:p>
    <w:p w:rsidR="00E56374" w:rsidRDefault="00E56374"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Pr>
          <w:sz w:val="22"/>
          <w:szCs w:val="22"/>
        </w:rPr>
        <w:tab/>
      </w:r>
      <w:r>
        <w:rPr>
          <w:b/>
          <w:bCs/>
          <w:sz w:val="22"/>
          <w:szCs w:val="22"/>
        </w:rPr>
        <w:t>ESTIMATING THE BURDEN AND COST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6(a)</w:t>
      </w:r>
      <w:r>
        <w:rPr>
          <w:sz w:val="22"/>
          <w:szCs w:val="22"/>
        </w:rPr>
        <w:tab/>
        <w:t>Estimating Respondent Burden</w:t>
      </w:r>
      <w:r>
        <w:rPr>
          <w:sz w:val="22"/>
          <w:szCs w:val="22"/>
        </w:rPr>
        <w:tab/>
        <w:t>64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6(b)</w:t>
      </w:r>
      <w:r>
        <w:rPr>
          <w:sz w:val="22"/>
          <w:szCs w:val="22"/>
        </w:rPr>
        <w:tab/>
        <w:t>Estimating Respondent Cost</w:t>
      </w:r>
      <w:r>
        <w:rPr>
          <w:sz w:val="22"/>
          <w:szCs w:val="22"/>
        </w:rPr>
        <w:tab/>
        <w:t>65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6(c)</w:t>
      </w:r>
      <w:r>
        <w:rPr>
          <w:sz w:val="22"/>
          <w:szCs w:val="22"/>
        </w:rPr>
        <w:tab/>
        <w:t>Estimating Agency Burden and Cost</w:t>
      </w:r>
      <w:r>
        <w:rPr>
          <w:sz w:val="22"/>
          <w:szCs w:val="22"/>
        </w:rPr>
        <w:tab/>
        <w:t>66</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right" w:leader="dot" w:pos="9360"/>
        </w:tabs>
        <w:ind w:left="720"/>
        <w:rPr>
          <w:sz w:val="22"/>
          <w:szCs w:val="22"/>
        </w:rPr>
      </w:pPr>
      <w:r>
        <w:rPr>
          <w:sz w:val="22"/>
          <w:szCs w:val="22"/>
        </w:rPr>
        <w:t>6(d)</w:t>
      </w:r>
      <w:r>
        <w:rPr>
          <w:sz w:val="22"/>
          <w:szCs w:val="22"/>
        </w:rPr>
        <w:tab/>
        <w:t>Respondent Universe and Total Respondent Burden and Costs</w:t>
      </w:r>
      <w:r>
        <w:rPr>
          <w:sz w:val="22"/>
          <w:szCs w:val="22"/>
        </w:rPr>
        <w:tab/>
        <w:t>66</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6(e)</w:t>
      </w:r>
      <w:r>
        <w:rPr>
          <w:sz w:val="22"/>
          <w:szCs w:val="22"/>
        </w:rPr>
        <w:tab/>
        <w:t xml:space="preserve">Bottom Line Burden </w:t>
      </w:r>
      <w:r w:rsidR="00D61BD8">
        <w:rPr>
          <w:sz w:val="22"/>
          <w:szCs w:val="22"/>
        </w:rPr>
        <w:t>Hours and Costs</w:t>
      </w:r>
      <w:r w:rsidR="00D61BD8">
        <w:rPr>
          <w:sz w:val="22"/>
          <w:szCs w:val="22"/>
        </w:rPr>
        <w:tab/>
        <w:t>75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720"/>
        <w:rPr>
          <w:sz w:val="22"/>
          <w:szCs w:val="22"/>
        </w:rPr>
      </w:pPr>
      <w:r>
        <w:rPr>
          <w:sz w:val="22"/>
          <w:szCs w:val="22"/>
        </w:rPr>
        <w:t>6(f)</w:t>
      </w:r>
      <w:r w:rsidR="00D61BD8">
        <w:rPr>
          <w:sz w:val="22"/>
          <w:szCs w:val="22"/>
        </w:rPr>
        <w:tab/>
        <w:t>Reasons for Change in Burden</w:t>
      </w:r>
      <w:r w:rsidR="00D61BD8">
        <w:rPr>
          <w:sz w:val="22"/>
          <w:szCs w:val="22"/>
        </w:rPr>
        <w:tab/>
        <w:t>76</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6(g)</w:t>
      </w:r>
      <w:r>
        <w:rPr>
          <w:sz w:val="22"/>
          <w:szCs w:val="22"/>
        </w:rPr>
        <w:tab/>
        <w:t>Burden Statement</w:t>
      </w:r>
      <w:r>
        <w:rPr>
          <w:sz w:val="22"/>
          <w:szCs w:val="22"/>
        </w:rPr>
        <w:tab/>
        <w:t>76</w:t>
      </w:r>
    </w:p>
    <w:p w:rsidR="00D61BD8" w:rsidRDefault="00E84564" w:rsidP="00D61BD8">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Exhibits 1-10</w:t>
      </w:r>
      <w:r>
        <w:rPr>
          <w:sz w:val="22"/>
          <w:szCs w:val="22"/>
        </w:rPr>
        <w:tab/>
        <w:t>78-90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rsidR="00147EDE">
          <w:headerReference w:type="default" r:id="rId7"/>
          <w:type w:val="continuous"/>
          <w:pgSz w:w="12240" w:h="15840"/>
          <w:pgMar w:top="1440" w:right="1350" w:bottom="1080" w:left="1440" w:header="1440" w:footer="1080" w:gutter="0"/>
          <w:cols w:space="720"/>
          <w:noEndnote/>
        </w:sect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A3A8F">
        <w:rPr>
          <w:b/>
          <w:sz w:val="22"/>
          <w:szCs w:val="22"/>
        </w:rPr>
        <w:lastRenderedPageBreak/>
        <w:t>1.</w:t>
      </w:r>
      <w:r>
        <w:rPr>
          <w:b/>
          <w:sz w:val="22"/>
          <w:szCs w:val="22"/>
        </w:rPr>
        <w:tab/>
        <w:t>IDENTIFICATION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1(a)</w:t>
      </w:r>
      <w:r>
        <w:rPr>
          <w:b/>
          <w:sz w:val="22"/>
          <w:szCs w:val="22"/>
        </w:rPr>
        <w:tab/>
      </w:r>
      <w:r w:rsidR="008B0090">
        <w:rPr>
          <w:b/>
          <w:sz w:val="22"/>
          <w:szCs w:val="22"/>
        </w:rPr>
        <w:t>TITLE AND NUMBER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4336F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This ICR is entitled “General Hazardous Waste Facility Standards</w:t>
      </w:r>
      <w:r w:rsidR="004336FE">
        <w:rPr>
          <w:sz w:val="22"/>
          <w:szCs w:val="22"/>
        </w:rPr>
        <w:t xml:space="preserve"> (Renewal)</w:t>
      </w:r>
      <w:r>
        <w:rPr>
          <w:sz w:val="22"/>
          <w:szCs w:val="22"/>
        </w:rPr>
        <w:t xml:space="preserve">” </w:t>
      </w:r>
    </w:p>
    <w:p w:rsidR="00147EDE" w:rsidRDefault="004336F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00D25592">
        <w:rPr>
          <w:sz w:val="22"/>
          <w:szCs w:val="22"/>
        </w:rPr>
        <w:t xml:space="preserve">EPA </w:t>
      </w:r>
      <w:r w:rsidR="00147EDE">
        <w:rPr>
          <w:sz w:val="22"/>
          <w:szCs w:val="22"/>
        </w:rPr>
        <w:t xml:space="preserve">ICR </w:t>
      </w:r>
      <w:r w:rsidR="00D25592">
        <w:rPr>
          <w:sz w:val="22"/>
          <w:szCs w:val="22"/>
        </w:rPr>
        <w:t>#</w:t>
      </w:r>
      <w:r w:rsidR="00D23F2F">
        <w:rPr>
          <w:sz w:val="22"/>
          <w:szCs w:val="22"/>
        </w:rPr>
        <w:t>1571.1</w:t>
      </w:r>
      <w:r w:rsidR="008B0090">
        <w:rPr>
          <w:sz w:val="22"/>
          <w:szCs w:val="22"/>
        </w:rPr>
        <w:t>1</w:t>
      </w:r>
      <w:r>
        <w:rPr>
          <w:sz w:val="22"/>
          <w:szCs w:val="22"/>
        </w:rPr>
        <w:t>, OMB Control # 2050-0120</w:t>
      </w:r>
      <w:r w:rsidR="00147EDE">
        <w:rPr>
          <w:sz w:val="22"/>
          <w:szCs w:val="22"/>
        </w:rPr>
        <w: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1(b)</w:t>
      </w:r>
      <w:r w:rsidRPr="008B0090">
        <w:rPr>
          <w:b/>
          <w:sz w:val="22"/>
          <w:szCs w:val="22"/>
        </w:rPr>
        <w:tab/>
      </w:r>
      <w:r w:rsidR="008B0090" w:rsidRPr="008B0090">
        <w:rPr>
          <w:b/>
          <w:sz w:val="22"/>
          <w:szCs w:val="22"/>
        </w:rPr>
        <w:t xml:space="preserve">SHORT </w:t>
      </w:r>
      <w:r w:rsidRPr="008B0090">
        <w:rPr>
          <w:b/>
          <w:sz w:val="22"/>
          <w:szCs w:val="22"/>
        </w:rPr>
        <w:t>CHARACTERIZATION OF THE INFORMATION COLLECTION</w:t>
      </w:r>
    </w:p>
    <w:p w:rsidR="00147EDE" w:rsidRPr="007A3A8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3004 of the Resource Conservation and Recovery Act (RCRA), as amended, requires that the U.S. Environmental Protection Agency (EPA) develop standards for hazardous waste treatment, storage and disposal facilities (TSDFs) as may be necessary to pro</w:t>
      </w:r>
      <w:bookmarkStart w:id="5" w:name="_GoBack"/>
      <w:bookmarkEnd w:id="5"/>
      <w:r>
        <w:rPr>
          <w:sz w:val="22"/>
          <w:szCs w:val="22"/>
        </w:rPr>
        <w:t>tect human health and the environment.  Subsections 3004(a) (1), (3), (4), (5) and (6) specify that these standards include, but not be limited to, the following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DD5EC7"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Maintaining records of all hazardous wastes identified or listed under Subtitle C that are treated, stored, or disposed of, and the manner in which such wastes were treated, stored, or disposed of;</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703"/>
        <w:rPr>
          <w:sz w:val="22"/>
          <w:szCs w:val="22"/>
        </w:rPr>
      </w:pPr>
    </w:p>
    <w:p w:rsidR="00147EDE" w:rsidRPr="00DD5EC7"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Operating methods, techniques, and practices for treatment, storage, or disposal of hazardous waste;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Location, design, and construction of such hazardous waste treatment, disposal, or storage facilities;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plans for effective action to minimize unanticipated damage from any treatment, storage, or disposal of any such hazardous waste; and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or operating such facilities and requiring such additional qualifications as to ownership, continuity of operation, training for personnel, and financial responsibility as may be necessary or desirable.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regulations implementing these requirements are codified in the </w:t>
      </w:r>
      <w:r>
        <w:rPr>
          <w:sz w:val="22"/>
          <w:szCs w:val="22"/>
          <w:u w:val="single"/>
        </w:rPr>
        <w:t>Code of Federal Regulations</w:t>
      </w:r>
      <w:r>
        <w:rPr>
          <w:sz w:val="22"/>
          <w:szCs w:val="22"/>
        </w:rPr>
        <w:t xml:space="preserve"> (CFR) Title 40, Parts 264 and 265.  A brief summary of the information collection requirements associated with each TSDF regulation for the above areas is provided below.  A more specific discussion of the data elements and respondent activities associated with each of the information collection requirements is presented in Section 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Heading1"/>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r>
        <w:rPr>
          <w:rFonts w:ascii="Times New Roman" w:hAnsi="Times New Roman" w:cs="Times New Roman"/>
        </w:rPr>
        <w:t>2.</w:t>
      </w:r>
      <w:r>
        <w:rPr>
          <w:rFonts w:ascii="Times New Roman" w:hAnsi="Times New Roman" w:cs="Times New Roman"/>
        </w:rPr>
        <w:tab/>
        <w:t>NEED FOR AND USE OF THE COLLECTION</w:t>
      </w:r>
      <w:bookmarkStart w:id="6" w:name="a_Toc361661313"/>
      <w:bookmarkEnd w:id="0"/>
      <w:bookmarkEnd w:id="6"/>
      <w:r>
        <w:rPr>
          <w:rFonts w:ascii="Times New Roman" w:hAnsi="Times New Roman" w:cs="Times New Roman"/>
          <w:vanish/>
        </w:rPr>
        <w:t>2.NEED FOR AND USE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id="7" w:name="a_Toc364673486"/>
    </w:p>
    <w:p w:rsidR="00147EDE" w:rsidRPr="008B0090" w:rsidRDefault="00147EDE" w:rsidP="00147EDE">
      <w:p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8B0090">
        <w:rPr>
          <w:b/>
          <w:bCs/>
          <w:sz w:val="22"/>
          <w:szCs w:val="22"/>
        </w:rPr>
        <w:t>2(a)</w:t>
      </w:r>
      <w:r w:rsidRPr="008B0090">
        <w:rPr>
          <w:b/>
          <w:bCs/>
          <w:sz w:val="22"/>
          <w:szCs w:val="22"/>
        </w:rPr>
        <w:tab/>
        <w:t>NEED AND AUTHORITY FOR THE COLLECTION</w:t>
      </w:r>
      <w:bookmarkStart w:id="8" w:name="a_Toc361661314"/>
      <w:bookmarkEnd w:id="8"/>
      <w:r w:rsidRPr="008B0090">
        <w:rPr>
          <w:vanish/>
          <w:sz w:val="22"/>
          <w:szCs w:val="22"/>
        </w:rPr>
        <w:t>2(a)NEED AND AUTHORITY FOR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This section describes the need and authority for each type of information collection analyzed in this ICR.</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GENERAL FACILITY OPERATING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 xml:space="preserve">EPA promulgated regulations in §§264.12(a) and 265.12(a) requiring owners and operators of hazardous waste facilities that have arranged to receive hazardous wastes from foreign sources to notify the Regional Administrator in writing at least four weeks prior to the expected date of arrival of the shipments at the facility.  EPA uses information in the foreign shipment import report to determine: (1) whether hazardous wastes will be transported safely to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(2) whether the waste will 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(2)</w:t>
      </w:r>
      <w:r>
        <w:rPr>
          <w:b/>
          <w:bCs/>
          <w:sz w:val="22"/>
          <w:szCs w:val="22"/>
        </w:rPr>
        <w:tab/>
        <w:t>Notice of Appropriate Permits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264.12(b) requires the owner or operator of a facility receiving off-site waste to send a one-time notice to the generator stating that he or she has the appropriate permits, and will accept the waste the generator is shipping.  The owner or operator must retain a copy of the notice at the facility.  The notice is needed to ensure that waste is being managed properly.  EPA may examine the notices during inspections to ensure that the notifications are being transmitted.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b/>
          <w:bCs/>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(3)</w:t>
      </w:r>
      <w:r>
        <w:rPr>
          <w:b/>
          <w:bCs/>
          <w:sz w:val="22"/>
          <w:szCs w:val="22"/>
        </w:rPr>
        <w:tab/>
        <w:t>Notice of Part 264 or 265 and Part 270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264.12(c) and 265.12(b) require owners and operators transferring ownership of a facility during its operating life, or of a disposal facility during the post-closure care period, to notify the new owner or operator in writing of the requirements of 40 CFR Parts 264 and 270.  This information is needed to help new owners and operators understand applicable regulations and facilitate compliance.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(4)</w:t>
      </w:r>
      <w:r>
        <w:rPr>
          <w:b/>
          <w:bCs/>
          <w:sz w:val="22"/>
          <w:szCs w:val="22"/>
        </w:rPr>
        <w:tab/>
        <w:t>Waste Analysis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§§264.13(a) (1) and 265.13(a) (1) requiring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contributes to EPA's goal of preventing releases or reactions of hazardous waste on-site.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(5)</w:t>
      </w:r>
      <w:r>
        <w:rPr>
          <w:b/>
          <w:bCs/>
          <w:sz w:val="22"/>
          <w:szCs w:val="22"/>
        </w:rPr>
        <w:tab/>
        <w:t>Waste Analysis Plan</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264.13(a)(1) and 265.13(a)(1).  </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(6)</w:t>
      </w:r>
      <w:r>
        <w:rPr>
          <w:b/>
          <w:bCs/>
          <w:sz w:val="22"/>
          <w:szCs w:val="22"/>
        </w:rPr>
        <w:tab/>
        <w:t>Inspection Schedule</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§§264.15(d) and 265.15(d) requiring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Personnel Training</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owners and operators to maintain copies of personnel training documents and records at their facilities.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264.17(c) states that any owner or operator who treats, stores, or disposes of ignitable or reactive wastes, or mixes incompatible wastes, must document compliance with §264.17(a) and (b), which require certain precautions to prevent reactions.  EPA uses information in the documentation of compliance to determine whether facilities are operating in a manner that is protective of human health and the environment.  The documentation requirement contributes to EPA's goal of minimizing damage from the treatment, storage, or disposal of hazardous waste. </w:t>
      </w: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Section 265.19(b) 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The CQA plan helps to ensure proper structural stability and integrity of all unit components, and proper construction of all units.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40 CFR 264.73 and 265.73 directing owners or operators of hazardous waste treatment, storage, or disposal facilities to keep a written operating record at the facility.  Other recordkeeping requirements under 40 CFR Parts 264 and 265, Subpart E, include submitting copies of records of waste disposal locations and quantities under §§264.73(b)(2) and 265.73(b)(2) to the Regional Administrator and local land authority upon closure of the facility (§§264.74(c) and 265.74(c)).  In addition, 40 CFR 264.37(b) requires facilities to document in the operating record any refusal of State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or local authorities to enter into arrangements for emergency situations.  EPA uses information collected pursuant to these regulations to select appropriate corrective action and cleanup measures should an </w:t>
      </w:r>
      <w:r>
        <w:rPr>
          <w:sz w:val="22"/>
          <w:szCs w:val="22"/>
        </w:rPr>
        <w:lastRenderedPageBreak/>
        <w:t>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CONTINGENCY PLAN AND EMERGENCY REPORTING AND RECORDKEEPING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3004(a) (5) of RCRA, as amended, requires EPA to develop standards for contingency plans for effective action to minimize damage from any treatment, storage, or disposal of any such hazardous waste.  EPA codified regulations that address this statutory requirement in 40 CFR Parts 264 and 265.  40 CFR §§264.51 through 264.54 and 264.56 and 265.51 through 265.54 and 265.56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damage from the treatment, storage, or disposal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RELEASES FROM SOLID WASTE MANAGEMENT UNITS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264.96(c), EPA requires owners and operators to demonstrate that the ground-water protection standard has not been exceeded for a period of three years to ensure that the compliance period can be safely terminated.  40 CFR 264.97(g) requires owners and operators to prepare and submit an appropriate sampling procedure and interval to ensure that ground-water monitoring is being performed accurately and adequately.</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CLOSURE AND POST-CLOSURE REQUIREMENTS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40 CFR Parts 264 and 265, Subpart G (§§264.112, 264.115, 264.116, 264.118-120 and 265.112, 265.113, 265.115, 265.116, and 265.118-120), that require owners and operators to develop closure and post-closure plans, amend these plans when appropriate, and submit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to EPA closure certifications and post-closure notices.  EPA reviews information in the closure and post-closure plans to determine whether closure and post-closure activities will comply with the regulatory requirements.  EPA uses information in the closure certifications to determine that closure took place in accordance with the approved closure plan.  EPA, local authorities, and potential purchasers of a closed facility review information included in the post-closure notices to determine what future uses of the site will not lead to a release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40 CFR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Requiring facilities to comply with these regulations contributes to EPA's goal of ensuring that all hazardous waste management facilities are closed in a manner that minimizes the need for post-closure maintenance, and controls, minimizes, or eliminates post-closure escape of waste, leachate, contaminated rainfall, or waste decomposition products to ground or surface waters and the atmosphere to the extent necessary to protect human health and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FINANCIAL REQUIREMENTS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3004(a) (6)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Closure and Post-Closure Financial Assurance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need for financial assurance of closure and post-closure care is indicated by the numerous instances of environmental damage resulting from abandonment of hazardous waste management (HWM) facilities and other failures by owners and operators to provide adequately for closure and post-closure care.  The likelihood of such failure is increased by the fact that the costs for closure and post-closure care are expected to commence when the economic value of the facility is either at a minimum or nonexistent.  For most disposal facilities, post-closure care will extend for at least 30 years beyond the operating life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believes that significant numbers of owners and operators would lack the ability to provide for closure and post-closure care without effective requirements for financial assurance.  Consequently, the Agency developed 40 CFR Parts 264 and 265, Subpart H financial responsibility requirements for closure and post-closure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RPr="00F91B21" w:rsidRDefault="00147EDE" w:rsidP="00147EDE">
      <w:pPr>
        <w:pBdr>
          <w:top w:val="single" w:sz="6" w:space="0" w:color="FFFFFF"/>
          <w:left w:val="single" w:sz="6" w:space="0" w:color="FFFFFF"/>
          <w:bottom w:val="single" w:sz="6" w:space="0" w:color="FFFFFF"/>
          <w:right w:val="single" w:sz="6" w:space="0" w:color="FFFFFF"/>
        </w:pBd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u w:val="single"/>
        </w:rPr>
      </w:pPr>
      <w:r>
        <w:rPr>
          <w:vanish/>
          <w:sz w:val="22"/>
          <w:szCs w:val="22"/>
          <w:u w:val="single"/>
        </w:rPr>
        <w:t>2(a)NEED AND AUTHORITY FOR THE COLLECTIO</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EPA promulgated conditions applicable to all permits at 40 CFR Part 270, Subpart C.  Information collected under this authority is needed to ensure that permittees are complying with permit </w:t>
      </w:r>
      <w:r>
        <w:rPr>
          <w:sz w:val="22"/>
          <w:szCs w:val="22"/>
        </w:rPr>
        <w:lastRenderedPageBreak/>
        <w:t>conditions, and to determine whether cause exists for modifying, revoking and reissuing, or modifying a permit.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B0090">
        <w:rPr>
          <w:b/>
          <w:sz w:val="22"/>
          <w:szCs w:val="22"/>
        </w:rPr>
        <w:t>2(b)</w:t>
      </w:r>
      <w:r w:rsidRPr="008B0090">
        <w:rPr>
          <w:b/>
          <w:sz w:val="22"/>
          <w:szCs w:val="22"/>
        </w:rPr>
        <w:tab/>
        <w:t>USE AND USERS OF THE DATA</w:t>
      </w:r>
    </w:p>
    <w:p w:rsidR="00147EDE" w:rsidRPr="00CD01BF"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id="9" w:name="a_Toc364673487"/>
      <w:bookmarkEnd w:id="7"/>
      <w:r w:rsidRPr="00CD01BF">
        <w:rPr>
          <w:b/>
          <w:bCs/>
          <w:iCs/>
          <w:sz w:val="22"/>
          <w:szCs w:val="22"/>
        </w:rPr>
        <w:t>GENERAL FACILITY OPERATING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(1) </w:t>
      </w:r>
      <w:r>
        <w:rPr>
          <w:b/>
          <w:bCs/>
          <w:sz w:val="22"/>
          <w:szCs w:val="22"/>
        </w:rPr>
        <w:tab/>
        <w:t>Foreign Shipment Import Report, Notice of Appropriate Permit(s), and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Notice of Part 264 and Part 270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Generators use notices of appropriate permits to ensure that their waste is being managed by a permitted facility.  Owners and operators of TSDFs must keep the notices in the operating record, and these notices may be reviewed by EPA during facility inspections.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New owners and operators use the notice of Part 264 and Part 270 requirements to improve their understanding of applicable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(2) </w:t>
      </w:r>
      <w:r>
        <w:rPr>
          <w:b/>
          <w:bCs/>
          <w:sz w:val="22"/>
          <w:szCs w:val="22"/>
        </w:rPr>
        <w:tab/>
        <w:t>Waste Analysis, Waste Analysis Plan, Inspection</w:t>
      </w:r>
      <w:r>
        <w:rPr>
          <w:sz w:val="22"/>
          <w:szCs w:val="22"/>
        </w:rPr>
        <w:t xml:space="preserve"> </w:t>
      </w:r>
      <w:r>
        <w:rPr>
          <w:b/>
          <w:bCs/>
          <w:sz w:val="22"/>
          <w:szCs w:val="22"/>
        </w:rPr>
        <w:t>Schedule,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Documentation of Compliance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waste analysis and waste analysis plan, as well as the inspection schedule and documentation of compliance for ignitable or incompatible wastes, are primarily internal recordkeeping requirements used by owners and operators of facilities to assure that they can adequately handle incoming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b/>
          <w:bCs/>
          <w:sz w:val="22"/>
          <w:szCs w:val="22"/>
        </w:rPr>
        <w:t xml:space="preserve">(3) </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lastRenderedPageBreak/>
        <w:t>CONTINGENCY PLAN AND EMERGENCY REPORTING AND RECORDKEEPING REQUIREMENTS</w:t>
      </w:r>
      <w:r w:rsidRPr="00CD01BF">
        <w:rPr>
          <w:iCs/>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data demonstrating compliance with the ground-water protection standard to ensure that the compliance period can be safely terminated.  EPA collects and reviews proposed sampling procedures and intervals to ensure that facilities are taking appropriate steps to ensure that any ground-water contamination is detected rapidly and effectively.</w:t>
      </w: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uses information contained in closure and post-closure plans to determine whether an owner or operator's planned closure and post-closure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Local authorities, EPA, and potential purchasers of a closed facility review information included in post-closure notices to ensure that new owners or operators will not use land in a manner that will lead to a release of hazardous waste into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FINANCIAL REQUIREMENT</w:t>
      </w:r>
      <w:r>
        <w:rPr>
          <w:b/>
          <w:bCs/>
          <w:i/>
          <w:iCs/>
          <w:sz w:val="22"/>
          <w:szCs w:val="22"/>
        </w:rPr>
        <w: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closure, post-closure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post-closure care, and liability coverage in the event of default or bankruptcy of a facility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bookmarkEnd w:id="1"/>
    <w:bookmarkEnd w:id="9"/>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to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w:t>
      </w:r>
      <w:r w:rsidRPr="008B0090">
        <w:rPr>
          <w:sz w:val="22"/>
          <w:szCs w:val="22"/>
        </w:rPr>
        <w:tab/>
      </w:r>
      <w:r w:rsidRPr="008B0090">
        <w:rPr>
          <w:b/>
          <w:sz w:val="22"/>
          <w:szCs w:val="22"/>
        </w:rPr>
        <w:t>NONDUPLICATION, CONSULTATION, AND OTHER COLLECTION CRITERIA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3(a)</w:t>
      </w:r>
      <w:r w:rsidRPr="008B0090">
        <w:rPr>
          <w:b/>
          <w:sz w:val="22"/>
          <w:szCs w:val="22"/>
        </w:rPr>
        <w:tab/>
        <w:t>NONDUPLICATION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Most of the information required by the regulation is not available from any source but the respondents.  To avoid duplicating previous work, EPA is allowing respondents to draw upon similar </w:t>
      </w:r>
      <w:r>
        <w:rPr>
          <w:sz w:val="22"/>
          <w:szCs w:val="22"/>
        </w:rPr>
        <w:lastRenderedPageBreak/>
        <w:t>analyses in compiling data for waste analysis and testing requirements, provided the information meets the requirements specified in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3(b)</w:t>
      </w:r>
      <w:r w:rsidRPr="008B0090">
        <w:rPr>
          <w:b/>
          <w:sz w:val="22"/>
          <w:szCs w:val="22"/>
        </w:rPr>
        <w:tab/>
        <w:t>CONSULTATIONS</w:t>
      </w:r>
    </w:p>
    <w:p w:rsidR="00CF74CA" w:rsidRDefault="00CF74C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sidRPr="00CF74CA">
        <w:rPr>
          <w:sz w:val="22"/>
          <w:szCs w:val="22"/>
        </w:rPr>
        <w:t xml:space="preserve">The following consultants were contacted on the burden estimates for this ICR.  </w:t>
      </w:r>
    </w:p>
    <w:p w:rsidR="00A07B96" w:rsidRPr="00CF74CA" w:rsidRDefault="00A07B96"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CF74CA" w:rsidRPr="00CF74CA" w:rsidRDefault="00CF74C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F74CA">
        <w:rPr>
          <w:sz w:val="22"/>
          <w:szCs w:val="22"/>
        </w:rPr>
        <w:t xml:space="preserve">Mark </w:t>
      </w:r>
      <w:proofErr w:type="spellStart"/>
      <w:r w:rsidRPr="00CF74CA">
        <w:rPr>
          <w:sz w:val="22"/>
          <w:szCs w:val="22"/>
        </w:rPr>
        <w:t>Knighton</w:t>
      </w:r>
      <w:proofErr w:type="spellEnd"/>
      <w:r w:rsidRPr="00CF74CA">
        <w:rPr>
          <w:sz w:val="22"/>
          <w:szCs w:val="22"/>
        </w:rPr>
        <w:tab/>
      </w:r>
      <w:r>
        <w:rPr>
          <w:sz w:val="22"/>
          <w:szCs w:val="22"/>
        </w:rPr>
        <w:tab/>
      </w:r>
      <w:r w:rsidRPr="00CF74CA">
        <w:rPr>
          <w:sz w:val="22"/>
          <w:szCs w:val="22"/>
        </w:rPr>
        <w:t>Solutia Inc.</w:t>
      </w:r>
      <w:r w:rsidRPr="00CF74CA">
        <w:rPr>
          <w:sz w:val="22"/>
          <w:szCs w:val="22"/>
        </w:rPr>
        <w:tab/>
      </w:r>
      <w:r w:rsidRPr="00CF74CA">
        <w:rPr>
          <w:sz w:val="22"/>
          <w:szCs w:val="22"/>
        </w:rPr>
        <w:tab/>
      </w:r>
      <w:r w:rsidRPr="00CF74CA">
        <w:rPr>
          <w:sz w:val="22"/>
          <w:szCs w:val="22"/>
        </w:rPr>
        <w:tab/>
        <w:t>(256) 282-6292</w:t>
      </w:r>
    </w:p>
    <w:p w:rsidR="00CF74CA" w:rsidRPr="00CF74CA" w:rsidRDefault="00CF74C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F74CA">
        <w:rPr>
          <w:sz w:val="22"/>
          <w:szCs w:val="22"/>
        </w:rPr>
        <w:t xml:space="preserve">Amie </w:t>
      </w:r>
      <w:proofErr w:type="spellStart"/>
      <w:r w:rsidRPr="00CF74CA">
        <w:rPr>
          <w:sz w:val="22"/>
          <w:szCs w:val="22"/>
        </w:rPr>
        <w:t>Gronberg</w:t>
      </w:r>
      <w:proofErr w:type="spellEnd"/>
      <w:r w:rsidRPr="00CF74CA">
        <w:rPr>
          <w:sz w:val="22"/>
          <w:szCs w:val="22"/>
        </w:rPr>
        <w:tab/>
      </w:r>
      <w:r>
        <w:rPr>
          <w:sz w:val="22"/>
          <w:szCs w:val="22"/>
        </w:rPr>
        <w:tab/>
      </w:r>
      <w:r w:rsidRPr="00CF74CA">
        <w:rPr>
          <w:sz w:val="22"/>
          <w:szCs w:val="22"/>
        </w:rPr>
        <w:t>Safety-Kleen Systems, Inc.</w:t>
      </w:r>
      <w:r w:rsidRPr="00CF74CA">
        <w:rPr>
          <w:sz w:val="22"/>
          <w:szCs w:val="22"/>
        </w:rPr>
        <w:tab/>
        <w:t>(918) 355-1589</w:t>
      </w:r>
    </w:p>
    <w:p w:rsidR="00CF74CA" w:rsidRDefault="00CF74C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F74CA">
        <w:rPr>
          <w:sz w:val="22"/>
          <w:szCs w:val="22"/>
        </w:rPr>
        <w:t>Kevin Sheehan</w:t>
      </w:r>
      <w:r w:rsidRPr="00CF74CA">
        <w:rPr>
          <w:sz w:val="22"/>
          <w:szCs w:val="22"/>
        </w:rPr>
        <w:tab/>
      </w:r>
      <w:r w:rsidRPr="00CF74CA">
        <w:rPr>
          <w:sz w:val="22"/>
          <w:szCs w:val="22"/>
        </w:rPr>
        <w:tab/>
        <w:t>CWM Chemical Services</w:t>
      </w:r>
      <w:r w:rsidRPr="00CF74CA">
        <w:rPr>
          <w:sz w:val="22"/>
          <w:szCs w:val="22"/>
        </w:rPr>
        <w:tab/>
        <w:t>(716) 754-8231</w:t>
      </w:r>
    </w:p>
    <w:p w:rsidR="00A07B96" w:rsidRDefault="00A07B96"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CF74CA" w:rsidRDefault="00A07B96"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are no changes to the burden calculations based on these consultations.</w:t>
      </w:r>
    </w:p>
    <w:p w:rsidR="00147EDE" w:rsidRPr="00974BD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bookmarkStart w:id="10" w:name="a_Toc364673491"/>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 xml:space="preserve">3(c) </w:t>
      </w:r>
      <w:r w:rsidRPr="008B0090">
        <w:rPr>
          <w:b/>
          <w:sz w:val="22"/>
          <w:szCs w:val="22"/>
        </w:rPr>
        <w:tab/>
        <w:t>PUBLIC NOTICE</w:t>
      </w:r>
    </w:p>
    <w:p w:rsidR="00147EDE" w:rsidRPr="00974BD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974BDA">
        <w:rPr>
          <w:sz w:val="22"/>
          <w:szCs w:val="22"/>
        </w:rPr>
        <w:t xml:space="preserve">In compliance with the Paperwork Reduction Act of 1995, EPA issued a public notice in the </w:t>
      </w:r>
      <w:r w:rsidRPr="00974BDA">
        <w:rPr>
          <w:i/>
          <w:iCs/>
          <w:sz w:val="22"/>
          <w:szCs w:val="22"/>
        </w:rPr>
        <w:t xml:space="preserve">Federal Register </w:t>
      </w:r>
      <w:r w:rsidR="00974BDA">
        <w:rPr>
          <w:sz w:val="22"/>
          <w:szCs w:val="22"/>
        </w:rPr>
        <w:t xml:space="preserve">on </w:t>
      </w:r>
      <w:r w:rsidR="008B0090">
        <w:rPr>
          <w:sz w:val="22"/>
          <w:szCs w:val="22"/>
        </w:rPr>
        <w:t>October 28, 2015</w:t>
      </w:r>
      <w:r w:rsidR="003C69CE" w:rsidRPr="00974BDA">
        <w:rPr>
          <w:sz w:val="22"/>
          <w:szCs w:val="22"/>
        </w:rPr>
        <w:t xml:space="preserve"> (</w:t>
      </w:r>
      <w:r w:rsidR="008B0090">
        <w:rPr>
          <w:sz w:val="22"/>
          <w:szCs w:val="22"/>
        </w:rPr>
        <w:t>80</w:t>
      </w:r>
      <w:r w:rsidR="003C69CE" w:rsidRPr="00974BDA">
        <w:rPr>
          <w:sz w:val="22"/>
          <w:szCs w:val="22"/>
        </w:rPr>
        <w:t xml:space="preserve"> FR </w:t>
      </w:r>
      <w:r w:rsidR="008B0090">
        <w:rPr>
          <w:sz w:val="22"/>
          <w:szCs w:val="22"/>
        </w:rPr>
        <w:t>65999</w:t>
      </w:r>
      <w:r w:rsidRPr="00974BDA">
        <w:rPr>
          <w:sz w:val="22"/>
          <w:szCs w:val="22"/>
        </w:rPr>
        <w:t>), and provid</w:t>
      </w:r>
      <w:r w:rsidR="003C69CE" w:rsidRPr="00974BDA">
        <w:rPr>
          <w:sz w:val="22"/>
          <w:szCs w:val="22"/>
        </w:rPr>
        <w:t xml:space="preserve">ed a 60 day comment period.  </w:t>
      </w:r>
      <w:bookmarkEnd w:id="10"/>
      <w:r w:rsidR="008B0090">
        <w:rPr>
          <w:sz w:val="22"/>
          <w:szCs w:val="22"/>
        </w:rPr>
        <w:t>No comments were received.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noProof/>
        </w:rPr>
      </w:pPr>
      <w:bookmarkStart w:id="11" w:name="a_Toc364673492"/>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noProof/>
        </w:rPr>
      </w:pPr>
      <w:r w:rsidRPr="008B0090">
        <w:rPr>
          <w:b/>
          <w:noProof/>
        </w:rPr>
        <w:t>3(d)</w:t>
      </w:r>
      <w:r w:rsidRPr="008B0090">
        <w:rPr>
          <w:b/>
          <w:noProof/>
        </w:rPr>
        <w:tab/>
        <w:t>EFFECTS OF LESS FREQUENT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has carefully considered the burden imposed u</w:t>
      </w:r>
      <w:bookmarkEnd w:id="11"/>
      <w:r>
        <w:rPr>
          <w:sz w:val="22"/>
          <w:szCs w:val="22"/>
        </w:rPr>
        <w:t xml:space="preserve">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8B0090">
        <w:rPr>
          <w:b/>
          <w:bCs/>
          <w:sz w:val="22"/>
          <w:szCs w:val="22"/>
        </w:rPr>
        <w:t>3(e)</w:t>
      </w:r>
      <w:r w:rsidRPr="008B0090">
        <w:rPr>
          <w:b/>
          <w:bCs/>
          <w:sz w:val="22"/>
          <w:szCs w:val="22"/>
        </w:rPr>
        <w:tab/>
        <w:t>GENERAL GUIDELINES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 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D60D33">
        <w:rPr>
          <w:b/>
          <w:bCs/>
          <w:iCs/>
          <w:sz w:val="22"/>
          <w:szCs w:val="22"/>
        </w:rPr>
        <w:t>GENERAL FACILITY OPERATING STANDARDS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General Inspection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general inspection requirements require the owner or operator to keep inspection records at the facility for at least three years from the date of inspection.  Keeping inspection records for longer than three years may be advisable to keep track of any long standing violations or continued areas of concern regarding potential spills, leaks or mismanagement of the hazardous wastes.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lastRenderedPageBreak/>
        <w:t>(2)</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waste, and allow the facility to keep up to date on its employee training.</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D60D3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OPERATING RECORD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Owners or operators are required to maintain an operating record at the facility until closure.  This record will help ensure compliance with the hazardous waste regulations, and make it easier to locate the cause of any potential hazardous waste leak or spill.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D60D3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CLOSURE/POST-CLOSURE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bookmarkStart w:id="12" w:name="a_Toc364673497"/>
      <w:bookmarkEnd w:id="2"/>
      <w:bookmarkEnd w:id="3"/>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3(f)</w:t>
      </w:r>
      <w:r w:rsidRPr="008B0090">
        <w:rPr>
          <w:b/>
          <w:sz w:val="22"/>
          <w:szCs w:val="22"/>
        </w:rPr>
        <w:tab/>
        <w:t>CONFIDENTIALITY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Section 3007(b) of RCRA and 40 CFR Part 2, Subpart B, which define EPA’s general policy on the public disclosure of information, contain provisions for confidentiality.  EPA does not anticipate requesting any confidential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3(g)</w:t>
      </w:r>
      <w:r w:rsidRPr="008B0090">
        <w:rPr>
          <w:b/>
          <w:sz w:val="22"/>
          <w:szCs w:val="22"/>
        </w:rPr>
        <w:tab/>
        <w:t>SENSITIVE QUESTIONS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No questions of a sensitive nature are included in any of the information collection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w:t>
      </w:r>
      <w:r w:rsidRPr="008B0090">
        <w:rPr>
          <w:b/>
          <w:sz w:val="22"/>
          <w:szCs w:val="22"/>
        </w:rPr>
        <w:tab/>
        <w:t>THE RESPONDENTS AND THE INFORMATION REQUESTED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4(a)</w:t>
      </w:r>
      <w:r w:rsidRPr="008B0090">
        <w:rPr>
          <w:b/>
          <w:sz w:val="22"/>
          <w:szCs w:val="22"/>
        </w:rPr>
        <w:tab/>
        <w:t>RESPONDENTS/NAICS CODES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is a list of North American Industrial Classification System (NAICS) codes associated with industries most likely affected by the information collection requirements covered under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323110</w:t>
      </w:r>
      <w:r>
        <w:rPr>
          <w:sz w:val="22"/>
          <w:szCs w:val="22"/>
        </w:rPr>
        <w:tab/>
      </w:r>
      <w:r>
        <w:rPr>
          <w:sz w:val="22"/>
          <w:szCs w:val="22"/>
        </w:rPr>
        <w:tab/>
        <w:t>Commercial Lithographic Printing</w:t>
      </w:r>
      <w:bookmarkEnd w:id="12"/>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323114</w:t>
      </w:r>
      <w:r>
        <w:rPr>
          <w:sz w:val="22"/>
          <w:szCs w:val="22"/>
        </w:rPr>
        <w:tab/>
      </w:r>
      <w:r>
        <w:rPr>
          <w:sz w:val="22"/>
          <w:szCs w:val="22"/>
        </w:rPr>
        <w:tab/>
        <w:t>Quick Printing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325131</w:t>
      </w:r>
      <w:r>
        <w:rPr>
          <w:sz w:val="22"/>
          <w:szCs w:val="22"/>
        </w:rPr>
        <w:tab/>
      </w:r>
      <w:r>
        <w:rPr>
          <w:sz w:val="22"/>
          <w:szCs w:val="22"/>
        </w:rPr>
        <w:tab/>
        <w:t xml:space="preserve">Inorganic Dye and Pigment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Basic Inorganic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 xml:space="preserve">All Other Miscellaneous Chemical Product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331311</w:t>
      </w:r>
      <w:r>
        <w:rPr>
          <w:sz w:val="22"/>
          <w:szCs w:val="22"/>
        </w:rPr>
        <w:tab/>
      </w:r>
      <w:r>
        <w:rPr>
          <w:sz w:val="22"/>
          <w:szCs w:val="22"/>
        </w:rPr>
        <w:tab/>
        <w:t>Alumina refining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325211</w:t>
      </w:r>
      <w:r>
        <w:rPr>
          <w:sz w:val="22"/>
          <w:szCs w:val="22"/>
        </w:rPr>
        <w:tab/>
      </w:r>
      <w:r>
        <w:rPr>
          <w:sz w:val="22"/>
          <w:szCs w:val="22"/>
        </w:rPr>
        <w:tab/>
        <w:t>Plastics Material and Resins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32551</w:t>
      </w:r>
      <w:r>
        <w:rPr>
          <w:sz w:val="22"/>
          <w:szCs w:val="22"/>
        </w:rPr>
        <w:tab/>
      </w:r>
      <w:r>
        <w:rPr>
          <w:sz w:val="22"/>
          <w:szCs w:val="22"/>
        </w:rPr>
        <w:tab/>
        <w:t>Paint and Coating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32511</w:t>
      </w:r>
      <w:r>
        <w:rPr>
          <w:sz w:val="22"/>
          <w:szCs w:val="22"/>
        </w:rPr>
        <w:tab/>
      </w:r>
      <w:r>
        <w:rPr>
          <w:sz w:val="22"/>
          <w:szCs w:val="22"/>
        </w:rPr>
        <w:tab/>
        <w:t>Petrochemical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32512</w:t>
      </w:r>
      <w:r>
        <w:rPr>
          <w:sz w:val="22"/>
          <w:szCs w:val="22"/>
        </w:rPr>
        <w:tab/>
      </w:r>
      <w:r>
        <w:rPr>
          <w:sz w:val="22"/>
          <w:szCs w:val="22"/>
        </w:rPr>
        <w:tab/>
        <w:t>Industrial Gas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Inorganic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325193</w:t>
      </w:r>
      <w:r>
        <w:rPr>
          <w:sz w:val="22"/>
          <w:szCs w:val="22"/>
        </w:rPr>
        <w:tab/>
      </w:r>
      <w:r>
        <w:rPr>
          <w:sz w:val="22"/>
          <w:szCs w:val="22"/>
        </w:rPr>
        <w:tab/>
        <w:t>Ethyl Alcohol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lastRenderedPageBreak/>
        <w:t>325199</w:t>
      </w:r>
      <w:r>
        <w:rPr>
          <w:sz w:val="22"/>
          <w:szCs w:val="22"/>
        </w:rPr>
        <w:tab/>
      </w:r>
      <w:r>
        <w:rPr>
          <w:sz w:val="22"/>
          <w:szCs w:val="22"/>
        </w:rPr>
        <w:tab/>
        <w:t>All Other Basic 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All Other Miscellaneous Chemical Product Manufacturing</w:t>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311942</w:t>
      </w:r>
      <w:r>
        <w:rPr>
          <w:sz w:val="22"/>
          <w:szCs w:val="22"/>
        </w:rPr>
        <w:tab/>
      </w:r>
      <w:r>
        <w:rPr>
          <w:sz w:val="22"/>
          <w:szCs w:val="22"/>
        </w:rPr>
        <w:tab/>
        <w:t xml:space="preserve">Spice and Extract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32411</w:t>
      </w:r>
      <w:r>
        <w:rPr>
          <w:sz w:val="22"/>
          <w:szCs w:val="22"/>
        </w:rPr>
        <w:tab/>
      </w:r>
      <w:r>
        <w:rPr>
          <w:sz w:val="22"/>
          <w:szCs w:val="22"/>
        </w:rPr>
        <w:tab/>
        <w:t>Petroleum Refineries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332813</w:t>
      </w:r>
      <w:r>
        <w:rPr>
          <w:sz w:val="22"/>
          <w:szCs w:val="22"/>
        </w:rPr>
        <w:tab/>
      </w:r>
      <w:r>
        <w:rPr>
          <w:sz w:val="22"/>
          <w:szCs w:val="22"/>
        </w:rPr>
        <w:tab/>
        <w:t>Electroplating, Plating, Polishing, Anodizing and Coloring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33271</w:t>
      </w:r>
      <w:r>
        <w:rPr>
          <w:sz w:val="22"/>
          <w:szCs w:val="22"/>
        </w:rPr>
        <w:tab/>
      </w:r>
      <w:r>
        <w:rPr>
          <w:sz w:val="22"/>
          <w:szCs w:val="22"/>
        </w:rPr>
        <w:tab/>
        <w:t>Machine Shops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332991</w:t>
      </w:r>
      <w:r>
        <w:rPr>
          <w:sz w:val="22"/>
          <w:szCs w:val="22"/>
        </w:rPr>
        <w:tab/>
      </w:r>
      <w:r>
        <w:rPr>
          <w:sz w:val="22"/>
          <w:szCs w:val="22"/>
        </w:rPr>
        <w:tab/>
        <w:t>All Other Miscellaneous Fabricated Metal Product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333319</w:t>
      </w:r>
      <w:r>
        <w:rPr>
          <w:sz w:val="22"/>
          <w:szCs w:val="22"/>
        </w:rPr>
        <w:tab/>
      </w:r>
      <w:r>
        <w:rPr>
          <w:sz w:val="22"/>
          <w:szCs w:val="22"/>
        </w:rPr>
        <w:tab/>
        <w:t>Other Commercial or Service Industry Machinery Manufacturing</w:t>
      </w:r>
      <w:r>
        <w:rPr>
          <w:sz w:val="22"/>
          <w:szCs w:val="22"/>
        </w:rPr>
        <w:tab/>
      </w:r>
      <w:r>
        <w:rPr>
          <w:sz w:val="22"/>
          <w:szCs w:val="22"/>
        </w:rPr>
        <w:tab/>
        <w:t>Accessories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333999</w:t>
      </w:r>
      <w:r>
        <w:rPr>
          <w:sz w:val="22"/>
          <w:szCs w:val="22"/>
        </w:rPr>
        <w:tab/>
      </w:r>
      <w:r>
        <w:rPr>
          <w:sz w:val="22"/>
          <w:szCs w:val="22"/>
        </w:rPr>
        <w:tab/>
        <w:t>All Other General Purpose Machinery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336399</w:t>
      </w:r>
      <w:r>
        <w:rPr>
          <w:sz w:val="22"/>
          <w:szCs w:val="22"/>
        </w:rPr>
        <w:tab/>
      </w:r>
      <w:r>
        <w:rPr>
          <w:sz w:val="22"/>
          <w:szCs w:val="22"/>
        </w:rPr>
        <w:tab/>
        <w:t>All Other Motor Vehicle Part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334</w:t>
      </w:r>
      <w:r>
        <w:rPr>
          <w:sz w:val="22"/>
          <w:szCs w:val="22"/>
        </w:rPr>
        <w:tab/>
      </w:r>
      <w:r>
        <w:rPr>
          <w:sz w:val="22"/>
          <w:szCs w:val="22"/>
        </w:rPr>
        <w:tab/>
        <w:t>Computer and Electronic Product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w:t>
      </w:r>
      <w:r>
        <w:rPr>
          <w:sz w:val="22"/>
          <w:szCs w:val="22"/>
        </w:rPr>
        <w:tab/>
      </w:r>
      <w:r>
        <w:rPr>
          <w:sz w:val="22"/>
          <w:szCs w:val="22"/>
        </w:rPr>
        <w:tab/>
        <w:t>Transportation Equipment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48422</w:t>
      </w:r>
      <w:r>
        <w:rPr>
          <w:sz w:val="22"/>
          <w:szCs w:val="22"/>
        </w:rPr>
        <w:tab/>
      </w:r>
      <w:r>
        <w:rPr>
          <w:sz w:val="22"/>
          <w:szCs w:val="22"/>
        </w:rPr>
        <w:tab/>
        <w:t>Specialized Freight (except Used Goods) Trucking, Local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56211</w:t>
      </w:r>
      <w:r>
        <w:rPr>
          <w:sz w:val="22"/>
          <w:szCs w:val="22"/>
        </w:rPr>
        <w:tab/>
      </w:r>
      <w:r>
        <w:rPr>
          <w:sz w:val="22"/>
          <w:szCs w:val="22"/>
        </w:rPr>
        <w:tab/>
        <w:t>Waste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22111</w:t>
      </w:r>
      <w:r>
        <w:rPr>
          <w:sz w:val="22"/>
          <w:szCs w:val="22"/>
        </w:rPr>
        <w:tab/>
      </w:r>
      <w:r>
        <w:rPr>
          <w:sz w:val="22"/>
          <w:szCs w:val="22"/>
        </w:rPr>
        <w:tab/>
        <w:t>Electric Power Generation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22112</w:t>
      </w:r>
      <w:r>
        <w:rPr>
          <w:sz w:val="22"/>
          <w:szCs w:val="22"/>
        </w:rPr>
        <w:tab/>
      </w:r>
      <w:r>
        <w:rPr>
          <w:sz w:val="22"/>
          <w:szCs w:val="22"/>
        </w:rPr>
        <w:tab/>
        <w:t>Fossil Fuel Electric Power Generation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22132</w:t>
      </w:r>
      <w:r>
        <w:rPr>
          <w:sz w:val="22"/>
          <w:szCs w:val="22"/>
        </w:rPr>
        <w:tab/>
      </w:r>
      <w:r>
        <w:rPr>
          <w:sz w:val="22"/>
          <w:szCs w:val="22"/>
        </w:rPr>
        <w:tab/>
        <w:t>Sewage Treatment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56292</w:t>
      </w:r>
      <w:r>
        <w:rPr>
          <w:sz w:val="22"/>
          <w:szCs w:val="22"/>
        </w:rPr>
        <w:tab/>
      </w:r>
      <w:r>
        <w:rPr>
          <w:sz w:val="22"/>
          <w:szCs w:val="22"/>
        </w:rPr>
        <w:tab/>
        <w:t>Materials Recovery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56221</w:t>
      </w:r>
      <w:r>
        <w:rPr>
          <w:sz w:val="22"/>
          <w:szCs w:val="22"/>
        </w:rPr>
        <w:tab/>
      </w:r>
      <w:r>
        <w:rPr>
          <w:sz w:val="22"/>
          <w:szCs w:val="22"/>
        </w:rPr>
        <w:tab/>
        <w:t>Waste Treatment and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42271</w:t>
      </w:r>
      <w:r>
        <w:rPr>
          <w:sz w:val="22"/>
          <w:szCs w:val="22"/>
        </w:rPr>
        <w:tab/>
      </w:r>
      <w:r>
        <w:rPr>
          <w:sz w:val="22"/>
          <w:szCs w:val="22"/>
        </w:rPr>
        <w:tab/>
        <w:t>Petroleum Bulk Stations and Terminals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45431</w:t>
      </w:r>
      <w:r>
        <w:rPr>
          <w:sz w:val="22"/>
          <w:szCs w:val="22"/>
        </w:rPr>
        <w:tab/>
      </w:r>
      <w:r>
        <w:rPr>
          <w:sz w:val="22"/>
          <w:szCs w:val="22"/>
        </w:rPr>
        <w:tab/>
        <w:t>Fuel Dealers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4411</w:t>
      </w:r>
      <w:r>
        <w:rPr>
          <w:sz w:val="22"/>
          <w:szCs w:val="22"/>
        </w:rPr>
        <w:tab/>
      </w:r>
      <w:r>
        <w:rPr>
          <w:sz w:val="22"/>
          <w:szCs w:val="22"/>
        </w:rPr>
        <w:tab/>
        <w:t>Automobile Dealers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4471</w:t>
      </w:r>
      <w:r>
        <w:rPr>
          <w:sz w:val="22"/>
          <w:szCs w:val="22"/>
        </w:rPr>
        <w:tab/>
      </w:r>
      <w:r>
        <w:rPr>
          <w:sz w:val="22"/>
          <w:szCs w:val="22"/>
        </w:rPr>
        <w:tab/>
        <w:t>Gasoline Stations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811111</w:t>
      </w:r>
      <w:r>
        <w:rPr>
          <w:sz w:val="22"/>
          <w:szCs w:val="22"/>
        </w:rPr>
        <w:tab/>
      </w:r>
      <w:r>
        <w:rPr>
          <w:sz w:val="22"/>
          <w:szCs w:val="22"/>
        </w:rPr>
        <w:tab/>
        <w:t>General Automotive Repair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id="13" w:name="a_Toc364673498"/>
    </w:p>
    <w:p w:rsidR="00147EDE" w:rsidRPr="008B0090"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4(b)</w:t>
      </w:r>
      <w:r w:rsidRPr="008B0090">
        <w:rPr>
          <w:b/>
          <w:sz w:val="22"/>
          <w:szCs w:val="22"/>
        </w:rPr>
        <w:tab/>
        <w:t>INFORMATION REQUESTED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subsections summarize the data items and respondent activities required for each of the information collection requirements discussed in this ICR.  The information collection requirements are divided into seven categories: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General facility operating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 and emergency reporting and 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Closure and post-closure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Corrective action management unit requirements;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60D33">
        <w:rPr>
          <w:b/>
          <w:bCs/>
          <w:iCs/>
          <w:sz w:val="22"/>
          <w:szCs w:val="22"/>
        </w:rPr>
        <w:lastRenderedPageBreak/>
        <w:t>GENERAL FACILITY OPERATING REQUIREMENTS</w:t>
      </w: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264.12(a) and 265.12(a) require owners or operators that have arranged to receive hazardous wastes from foreign sources to notify the Regional Administrator in writing at least four weeks prior to the expected date of arrival of the shipments at the facility.  Data items that should be included in this notification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the type and quantity of waste to be received;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Date shipment is expected to arrive;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how imported waste will be managed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foreign shipment report requirements,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data;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Notice of Appropriate Permits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264.12(b),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one-time notice;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Retain a copy of the notice.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(3)</w:t>
      </w:r>
      <w:r>
        <w:rPr>
          <w:b/>
          <w:bCs/>
          <w:sz w:val="22"/>
          <w:szCs w:val="22"/>
        </w:rPr>
        <w:tab/>
        <w:t>Notice of Part 264 and Part 270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264.12(c) and 265.12(b),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and submit the notice.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451F0C" w:rsidRDefault="00451F0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264.13(a) (1) and 265.13(a) (1),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data;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Perform waste analysis (sampling, testing).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Parameters for which each hazardous waste will be analyzed and the rationale for the selection of these parameters;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Test methods used to test for the parameters;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bookmarkEnd w:id="13"/>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Sampling method used to obtain a representative sample of the waste to be analyzed;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Frequency with which the initial analysis of the waste will be reviewed or repeated to ensure that the analysis is accurate and up to date;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36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off-site facilities, the waste analyses that hazardous waste generators have agreed to supply;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 For surface impoundments exempted from land disposal restrictions under Section 268.4(a) procedures and schedules for: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sampling of impoundment contents;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analysis of test data;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hanging="16"/>
        <w:rPr>
          <w:sz w:val="22"/>
          <w:szCs w:val="22"/>
        </w:rPr>
      </w:pPr>
      <w:r>
        <w:rPr>
          <w:sz w:val="22"/>
          <w:szCs w:val="22"/>
        </w:rPr>
        <w:tab/>
      </w:r>
      <w:r>
        <w:rPr>
          <w:sz w:val="22"/>
          <w:szCs w:val="22"/>
        </w:rPr>
        <w:tab/>
        <w:t>--</w:t>
      </w:r>
      <w:r>
        <w:rPr>
          <w:sz w:val="22"/>
          <w:szCs w:val="22"/>
        </w:rPr>
        <w:tab/>
        <w:t>The annual removal of residues which are not delisted under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§260.22 or which exhibit a characteristic of hazardous waste and meet the requirements specified in §§264.13(b)(7)(iii)(A),(B),(B)(1) or (B)(2) and 265.13(b)(7)(iii)(A), (B), (B)(1), or (B)(2);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450"/>
          <w:tab w:val="left" w:pos="254"/>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973"/>
        <w:rPr>
          <w:sz w:val="22"/>
          <w:szCs w:val="22"/>
        </w:rPr>
      </w:pPr>
      <w:r>
        <w:rPr>
          <w:sz w:val="22"/>
          <w:szCs w:val="22"/>
        </w:rPr>
        <w:t>For off-site facilities, the procedures used to inspect and analyze each movement of hazardous waste received at the facility, as required under §§264.13(c) and 265.13(c), including: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Procedures that will be used to determine the identity of each</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movement of waste managed at the facility;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The sampling method which will be used to obtain a representative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sample of the waste to be identified, if the identification method includes sampling.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70"/>
          <w:tab w:val="left" w:pos="974"/>
          <w:tab w:val="left" w:pos="1693"/>
          <w:tab w:val="left" w:pos="2413"/>
          <w:tab w:val="left" w:pos="3133"/>
          <w:tab w:val="left" w:pos="3853"/>
          <w:tab w:val="left" w:pos="4573"/>
          <w:tab w:val="left" w:pos="5293"/>
          <w:tab w:val="left" w:pos="6013"/>
          <w:tab w:val="left" w:pos="6733"/>
          <w:tab w:val="left" w:pos="7453"/>
          <w:tab w:val="left" w:pos="8173"/>
          <w:tab w:val="left" w:pos="8893"/>
        </w:tabs>
        <w:ind w:left="99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 xml:space="preserve">Since permitted facilities submit the waste analysis plan with the Part B permit application, activities associated with developing and modifying the waste analysis plan are discussed in the Hazardous Waste Part B Permit Applications, Special Permits, and Permit Modifications ICR (#1573).  However, prior to submitting a permit application, an interim status facility must prepare a waste analysis plan.  Therefore, preparation and modification of waste analysis plans for interim status facilities will be discussed in this ICR (#1571).  In </w:t>
      </w:r>
      <w:r>
        <w:rPr>
          <w:sz w:val="22"/>
          <w:szCs w:val="22"/>
        </w:rPr>
        <w:lastRenderedPageBreak/>
        <w:t>addition to the development of the plan, this ICR will also focus on activities associated with the recordkeeping aspects of the regulations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To meet the recordkeeping requirement outlined in §§264.13(b) and 265.13(b), owners or operators must file the waste analysis plan at the facility.  Activities associated with developing a waste analysis plan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Reading the regulations;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Collecting the data required in the waste analysis plan;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Writing the waste analysis plan;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Maintaining the plan (e.g., photocopying and filing); and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Modifying the waste analysis plan (for new and existing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RDefault="00451F0C"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r>
        <w:rPr>
          <w:b/>
          <w:bCs/>
          <w:sz w:val="22"/>
          <w:szCs w:val="22"/>
        </w:rPr>
        <w:tab/>
      </w:r>
      <w:r>
        <w:rPr>
          <w:b/>
          <w:bCs/>
          <w:sz w:val="22"/>
          <w:szCs w:val="22"/>
        </w:rPr>
        <w:tab/>
      </w:r>
      <w:r w:rsidR="00147EDE">
        <w:rPr>
          <w:b/>
          <w:bCs/>
          <w:sz w:val="22"/>
          <w:szCs w:val="22"/>
        </w:rPr>
        <w:t>(6)</w:t>
      </w:r>
      <w:r w:rsidR="00147EDE">
        <w:rPr>
          <w:b/>
          <w:bCs/>
          <w:sz w:val="22"/>
          <w:szCs w:val="22"/>
        </w:rPr>
        <w:tab/>
        <w:t>Inspection Schedule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90"/>
          <w:tab w:val="left" w:pos="1694"/>
          <w:tab w:val="left" w:pos="2413"/>
          <w:tab w:val="left" w:pos="3133"/>
          <w:tab w:val="left" w:pos="3853"/>
          <w:tab w:val="left" w:pos="4573"/>
          <w:tab w:val="left" w:pos="5293"/>
          <w:tab w:val="left" w:pos="6013"/>
          <w:tab w:val="left" w:pos="6733"/>
          <w:tab w:val="left" w:pos="7453"/>
          <w:tab w:val="left" w:pos="8173"/>
          <w:tab w:val="left" w:pos="8893"/>
        </w:tabs>
        <w:ind w:left="171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w:t>
      </w:r>
      <w:r w:rsidR="00052E58">
        <w:rPr>
          <w:sz w:val="22"/>
          <w:szCs w:val="22"/>
        </w:rPr>
        <w:t xml:space="preserve">264.195, </w:t>
      </w:r>
      <w:r>
        <w:rPr>
          <w:sz w:val="22"/>
          <w:szCs w:val="22"/>
        </w:rPr>
        <w:t xml:space="preserve">264.226, 264.253, 264.254, 264.303, 264.347, 264.602, 264.1033, 264.1052, 264.1053, 264.1058, 265.174, 265.193, 265.195, 265.226, 265.347, 265.377, 265.403, 265.1033, 265.1052, 265.1053, and 265.1058 and must identify the types of problems that are to be investigated during the inspection.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264.15(d) and 265.15(d) state that an owner or operator must record inspections conducted according to the written schedule developed pursuant to §§264.15(b)(1) and 265.15(b)(1) in an inspection log or summary that is to be maintained at the facility.  The inspection log or summary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time of inspection;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of inspector;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Notation of the observations made;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nature of any repairs or other remedial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permitted facilities submit the inspection schedule with the Part B permit application, activities associated with developing and modifying the schedule are discussed in the Hazardous Waste Part B Permit Applications, Special Permits, and Permit Modifications ICR (#1573).  Prior to submitting </w:t>
      </w:r>
      <w:r>
        <w:rPr>
          <w:sz w:val="22"/>
          <w:szCs w:val="22"/>
        </w:rPr>
        <w:lastRenderedPageBreak/>
        <w:t>a permit application, interim status facilities must prepare an inspection schedule; preparation of and modification to the inspection schedule for these facilities will be discussed in this ICR (#1571).  This ICR will also focus on activities associated with the recordkeeping aspects of the regulations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meet the requirements outlined in §§264.15(d) and 265.15(d), the owner or operator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Develop an inspection schedule (new interim status facilities 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1E3486"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Maintain and modify the inspection schedule at the facility (new and existing interim facilities only); and</w:t>
      </w:r>
    </w:p>
    <w:p w:rsidR="00147EDE" w:rsidRPr="001E3486"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Record problems identified during inspections in the inspection log</w:t>
      </w:r>
    </w:p>
    <w:p w:rsidR="00147EDE" w:rsidRPr="00086BFC"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86BFC" w:rsidRDefault="00451F0C" w:rsidP="00451F0C">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r>
        <w:rPr>
          <w:b/>
          <w:bCs/>
        </w:rPr>
        <w:tab/>
      </w:r>
      <w:r w:rsidR="00147EDE">
        <w:rPr>
          <w:b/>
          <w:bCs/>
        </w:rPr>
        <w:t>(7)</w:t>
      </w:r>
      <w:r w:rsidR="00147EDE">
        <w:rPr>
          <w:b/>
          <w:bCs/>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an owner or operator to maintain copies of personnel training documents and records at the facility.  These documents should include the following data items: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Job title for each position at the facility related to hazardous waste management, and the name of the employee filling each job;</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Written job description for each position, which includes the necessary skill, education, or other qualifications and duties of employees assigned to each position;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Written description of the type and amount of both introductory and continuing training that will be given to each person filling a position; and records that document that the training or job experience required have been given to, and completed by, facility personnel.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Sections 264.16(d) and 265.16(d)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the data items listed above;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the information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 264.17(c)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and documenting the data items mentioned above;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documentation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[Permitted facilities must also develop a CQA plan for surface impoundments, waste piles, and landfills.  Activities associated with CQA plans at permitted facilities are burdened in the Part B Permit Application, Permit Modifications, and Special Permits ICR, #1573.]  The CQA plan must include the following information: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applicable units, and a description of how they will be constructed;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key personnel in the development and implementation of the CQA plan, and CQA officer qualifications;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inspection and sampling activities for all unit components, including observations and tests that will be used before, during, and after construction to ensure that the construction materials and the installed unit components meet design specifications.  This description must cover: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Sampling size and locations;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Frequency of testing;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Data evaluation procedures;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Acceptance and rejection criteria for construction materials;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Plans for implementing corrective measures;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Data or other information to be recorded and retained in the </w:t>
      </w:r>
      <w:r>
        <w:rPr>
          <w:sz w:val="22"/>
          <w:szCs w:val="22"/>
        </w:rPr>
        <w:tab/>
      </w:r>
      <w:r>
        <w:rPr>
          <w:sz w:val="22"/>
          <w:szCs w:val="22"/>
        </w:rPr>
        <w:tab/>
      </w:r>
      <w:r>
        <w:rPr>
          <w:sz w:val="22"/>
          <w:szCs w:val="22"/>
        </w:rPr>
        <w:tab/>
        <w:t>operating record under §265.73.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owner or operator also must prepare and submit a certification signed by the CQA officer at least 30 days prior to receiving waste that the CQA plan has been successfully carried out and that the unit meets the requirements of §§265.221(a), 265.254, or 265.301(a).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265.19, owners and operators must: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CQA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materials to EPA;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 records of the materials.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45604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Operating Record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264.73 and 265.73 outline specific operating recordkeeping requirements that are imposed on TSDFs.  This ICR covers the requirements found at §264.73(b) (1)-(16) and §265.73(b) (1)-(16), which state that the operating record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and the quantity of each hazardous waste received, and the method(s) </w:t>
      </w:r>
      <w:r>
        <w:rPr>
          <w:sz w:val="22"/>
          <w:szCs w:val="22"/>
        </w:rPr>
        <w:tab/>
        <w:t>and date(s) of its treatment, storage, or disposal at the facility as required by Appendix 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location of each hazardous waste within the facility and the quantity at each location. For disposal facilities, the location and quantity of each hazardous waste must be recorded on a map or diagram of each cell or disposal area;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and results of waste analyses performed;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Summary reports and details of all incidents that require implementing the 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and results of inspection reports (which must be kept for three years);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testing, or analytical data and corrective action where required;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Copies of written notices (for off-site facilities) certifying that the facility is permitted and will accept the waste the generator is shipping;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Closure cost estimates and, for disposal facilities, post-closure cost estimates;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Records of the quantities (and date of placement) for each shipment of hazardous waste placed in land disposal units under an extension to the effective date of any land disposal restriction, or a certification, and the applicable notice required by a generator;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Documents stating refusal of State or local authorities to enter into arrangements to address emergency situations;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of hazardous waste application dates and rates;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Maps detailing (1) the exact location, dimensions, and depths of each cell with respect to permanently surveyed benchmarks, and (2) the contents of each cell and the approximate location of each hazardous waste type within each cell.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comply with sections 264.73 and 265.73, 264.37, 264.279 and 265.279, and 264.309 and 265.309, owners or operators are required to maintain a written operating record at the facility.  Respondent activities associated with maintaining an operating record include maintaining (e.g., photocopying and filing) the data items listed above.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Other Recordkeeping and Reporting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upon closure of the facility, data items and respondent activities are included in the closure/post-closure section.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45604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(1)</w:t>
      </w:r>
      <w:r>
        <w:rPr>
          <w:b/>
          <w:bCs/>
          <w:sz w:val="22"/>
          <w:szCs w:val="22"/>
        </w:rPr>
        <w:tab/>
        <w:t>Contingency Plan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arrangements agreed to by local police departments, fire departments, hospitals, contractors, and State and local emergency response teams to coordinate emergency services;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updated list of the names, addresses, and phone numbers (office and home) of all persons qualified to act as emergency coordinators;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updated list of all emergency equipment at the facility and the location, physical description, and capabilities of the emergency equipment.  The contingency plan should also indicate where the emergency equipment will be required;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An evacuation plan for facility personnel where there is a possibility that evacuation may be necessary.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Since permitted facilities submit the contingency plan with the Part B permit application, activities associated with developing and modifying the contingency plan are discussed in the Hazardous Waste Part B Permit Applications, Special Permits, and Permit Modifications ICR (#1573).  Interim status facilities must prepare contingency plans prior to submitting a permit application; therefore, preparation of the contingency plan for these facilities is covered under this ICR (#1571).  This ICR also includes submittal of the plan to State and local authorities and recordkeeping activities for both permitted and interim status facilities.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In order to comply with contingency plan requirements, owners or operators are required to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Collect the data required in the contingency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Write the contingency plan (new interim status facilities 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Submit the contingency plan to State and local authorities;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Maintain (e.g., photocopy and file) the contingency plan;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Amend the contingency plan when appropriate.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r>
        <w:rPr>
          <w:sz w:val="22"/>
          <w:szCs w:val="22"/>
        </w:rPr>
        <w:t>[Although permitted and interim-status facilities must comply with appropriate requirements for amending a contingency plan, this ICR addresses only interim status facilities amending their plans.  As mentioned, permitted facilities amending their plans must comply with sections 264.54 and submit a permit modification under section 270.42.  These permitted facilities are addressed in the Hazardous Waste Part B Permit Applications, Special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14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720"/>
        <w:rPr>
          <w:sz w:val="22"/>
          <w:szCs w:val="22"/>
        </w:rPr>
      </w:pPr>
      <w:r>
        <w:rPr>
          <w:b/>
          <w:bCs/>
          <w:sz w:val="22"/>
          <w:szCs w:val="22"/>
        </w:rPr>
        <w:t>(2)</w:t>
      </w:r>
      <w:r>
        <w:rPr>
          <w:b/>
          <w:bCs/>
          <w:sz w:val="22"/>
          <w:szCs w:val="22"/>
        </w:rPr>
        <w:tab/>
        <w:t>Emergency Reporting and 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Sections 264.56(a) (2) and 265.56(a) (2) require owners and operators to immediately notify State and local authorities with designated response roles of an imminent or actual emergency situation.  Sections 264.56(d)(1) and 265.56(d)(1) require owners and operators to notify local authorities if his or her assessment of a release, fire, or explosion indicates that evacuation of local areas may be advisable.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264.56(d) (2) and 265.56(d) (2) require the facility emergency coordinator to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 fire, or explosion that could threaten human health or the environment outside the facility.  The emergency notification report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telephone number of reporter;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address of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Possible hazards to human health or the environment outside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264.56(</w:t>
      </w:r>
      <w:proofErr w:type="spellStart"/>
      <w:r>
        <w:rPr>
          <w:sz w:val="22"/>
          <w:szCs w:val="22"/>
        </w:rPr>
        <w:t>i</w:t>
      </w:r>
      <w:proofErr w:type="spellEnd"/>
      <w:r>
        <w:rPr>
          <w:sz w:val="22"/>
          <w:szCs w:val="22"/>
        </w:rPr>
        <w:t>) and 265.56(</w:t>
      </w:r>
      <w:proofErr w:type="spellStart"/>
      <w:r>
        <w:rPr>
          <w:sz w:val="22"/>
          <w:szCs w:val="22"/>
        </w:rPr>
        <w:t>i</w:t>
      </w:r>
      <w:proofErr w:type="spellEnd"/>
      <w:r>
        <w:rPr>
          <w:sz w:val="22"/>
          <w:szCs w:val="22"/>
        </w:rPr>
        <w:t xml:space="preserve">) state that the owner or operator should notify the Regional Administrator and appropriate State and local authorities that their facility is in compliance with §§264.56(h) and 265.56(h) before resuming operations in the affected area(s)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Within 15 days of the incident, owners and operators are required, under Sections 264.56(j) and 265.56(j) to submit a written report ("owner/operator emergency report") on the incident to the Regional Administrator.  The report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assessment of actual or potential hazards to human health or the environment;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Estimated quantity and disposition of recovered material that resulted from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reporting requirements of §264.56(a) (2) and §265.56(a) (2),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 required notification of an imminent or actual emergency situation to State and/or local authorities.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(1) and §265.56(d) (1),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Notify local authorities of the owner or operator's recommendation to evacuate local areas.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(2) and §265.56(d) (2),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prepare an emergency report under §264.56(d) (2) and §265.56(d) (2), emergency coordinators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Collect the information required in the emergency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ind w:left="1530" w:hanging="81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Write the emergency notification report.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prepare an owner/operator's emergency report under §264.56(j) and §265.56(j), owners and operators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the information required in the emergency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emergency report.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addition to preparing an emergency report, the owner or operator must notify the Regional Administrator that the facility is in compliance with §§264.56(h) and 265.56(h) before resuming operations in affected areas of the facility.  In order to comply with this requirement, respondents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Compile information that demonstrates that all affected areas are in compliance;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br w:type="page"/>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Prepare and submit a letter notifying the Regional Administrator of this compliance.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 and 265.56 require the owner/operator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77A7">
        <w:rPr>
          <w:b/>
          <w:bCs/>
          <w:iCs/>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(1)</w:t>
      </w:r>
      <w:r>
        <w:rPr>
          <w:b/>
          <w:bCs/>
          <w:sz w:val="22"/>
          <w:szCs w:val="22"/>
        </w:rPr>
        <w:tab/>
        <w:t>Termination of Compliance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264.96(c) extends the compliance period for facilities that are engaged in corrective action.  Owners and operators of these facilities must demonstrate, with monitoring data, that the ground-water protection standard of §264.92 has not been exceeded for a period of three consecutive years to complete the compliance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 264.96(c),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Prepare the monitoring data and submit it to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Sampling Procedures and Intervals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264.97(g) requires owners and operators conducting detection monitoring and compliance monitoring to determine an appropriate sampling procedure and interval for each hazardous constituent listed in the facility permit.  The sampling procedure must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sequence of at least four samples, taken at an interval that assures, to the greatest extent technically possible, that an independent sample is obtained, by reference to the uppermost aquifer's effective porosity, hydraulic conductivity, and hydraulic gradient, and the fate and transport characteristics of the potential contaminants;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sz w:val="22"/>
          <w:szCs w:val="22"/>
        </w:rPr>
        <w:br w:type="page"/>
      </w: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An alternative sampling procedure proposed by the owner or operators and approved by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264.97(g),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CD77A7"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Develop an appropriate sampling procedure and interval, and submit this information to EPA for approval.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77A7">
        <w:rPr>
          <w:b/>
          <w:bCs/>
          <w:iCs/>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w:t>
      </w:r>
      <w:r>
        <w:rPr>
          <w:b/>
          <w:bCs/>
          <w:sz w:val="22"/>
          <w:szCs w:val="22"/>
        </w:rPr>
        <w:tab/>
        <w:t>Closure Plan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264.112(a) and 265.112(a) state that an owner or operator must have a written closure plan.  The closure plan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how each hazardous waste management unit at the facility will be closed in accordance with §§264.111 and 265.111;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how final closure of the facility will be conducted in accordance with §§264.111 and 265.111.  The description must identify the maximum extent of operations which will be unclosed during the active life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estimate of the maximum inventory of hazardous wastes ever on-site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applicable;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the steps needed to remove or decontaminate all hazardous waste residues and contaminated containment system components, equipment, structures, and soils during partial and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other activities necessary during the closure period to ensure that all partial closures and final closure satisfy the closure performance standards, including ground-water monitoring, leachate collection, and run-on and run-off control;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schedule for closure of each hazardous waste management unit and for final closure of the facility.  The schedule must include, at a minimum: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total time required to close each hazardous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management unit;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time required for intervening closure activities which will allow </w:t>
      </w:r>
      <w:r>
        <w:rPr>
          <w:sz w:val="22"/>
          <w:szCs w:val="22"/>
        </w:rPr>
        <w:tab/>
      </w:r>
      <w:r>
        <w:rPr>
          <w:sz w:val="22"/>
          <w:szCs w:val="22"/>
        </w:rPr>
        <w:tab/>
        <w:t>tracking of the progress of partial and final closure;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facilities that use trust funds to establish financial assurance under §§264.143 and 265.143, or 264.145 and 265.145, and that are expected to close prior to the expiration of the permit, an estimate of the expected year of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Certain permitted surface impoundments and waste piles from which the owner or operator intends to remove or decontaminate the hazardous waste at partial or final closure are required by Sections 264.228(c)(1)(ii) and 264.258(c)(1)(ii) to have contingent closure plans.  In addition, owners or operators of tank systems or drip pads that intend to remove or decontaminate hazardous waste at partial or final closure are required to submit contingent closure plans as specified in sections 264.197(c)(1) and 265.197(c)(1), and 264.575(c)(1)(</w:t>
      </w:r>
      <w:proofErr w:type="spellStart"/>
      <w:r>
        <w:rPr>
          <w:sz w:val="22"/>
          <w:szCs w:val="22"/>
        </w:rPr>
        <w:t>i</w:t>
      </w:r>
      <w:proofErr w:type="spellEnd"/>
      <w:r>
        <w:rPr>
          <w:sz w:val="22"/>
          <w:szCs w:val="22"/>
        </w:rPr>
        <w:t>)and 265.445(c)(1)(</w:t>
      </w:r>
      <w:proofErr w:type="spellStart"/>
      <w:r>
        <w:rPr>
          <w:sz w:val="22"/>
          <w:szCs w:val="22"/>
        </w:rPr>
        <w:t>i</w:t>
      </w:r>
      <w:proofErr w:type="spellEnd"/>
      <w:r>
        <w:rPr>
          <w:sz w:val="22"/>
          <w:szCs w:val="22"/>
        </w:rPr>
        <w:t xml:space="preserve">), respectively.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permitted facilities submit the closure plan and contingency closure plans with the Part B permit application, activities associated with developing and modifying the closure plan are discussed in the Hazardous Waste Part B Permit Applications, Special Permits, and Permit Modifications ICR (#1573).  Prior to submitting a permit application, interim status facilities must prepare a closure plan.  Therefore, preparation of and modification to the closure plan for interim status facilities will be covered in this ICR (#1571).  This ICR will also include activities associated with the recordkeeping aspects of the regulations for both permitted and interim status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Maintaining the closure plan at the facility is the only respondent activity associated with the recordkeeping aspects of this regulation.  Respondent activities associated with developing a closure plan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Conducting an inventory of the hazardous waste present;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Recording results of inventory;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Writing descriptions for the necessary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Estimating final closure;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Writing the closure schedule.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lastRenderedPageBreak/>
        <w:t>(2)</w:t>
      </w:r>
      <w:r>
        <w:rPr>
          <w:b/>
          <w:bCs/>
          <w:sz w:val="22"/>
          <w:szCs w:val="22"/>
        </w:rPr>
        <w:tab/>
        <w:t>Notification and Amendment of 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 </w:t>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Permit modifications for permitted facilities under section 264.112(c) are included in the Hazardous Waste Part B Permit Applications, Special Permits, and Permit Modifications ICR (#1573).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Interim status facilities with approved closure plans must prepare and submit a notification of amendment, amend the plan, and submit the plan to EPA, pursuant to section 265.112(c).</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(3)</w:t>
      </w:r>
      <w:r>
        <w:rPr>
          <w:b/>
          <w:bCs/>
          <w:sz w:val="22"/>
          <w:szCs w:val="22"/>
        </w:rPr>
        <w:tab/>
        <w:t>Partial Closure and Final Closure Notification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Under Section 264.112(d)(1), owners or operators of permitted facilities must notify the Regional Administrator of imminent closure intentions.  Section 265.112(d)(1) requires owners or operators of interim status facilities with approved closure plans to notify EPA of closure in writing within a specified period of time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section 264.112(d)(1) or 265.112(d)(1) permitted and interim status facilities must prepare and submit a notification to EPA of imminent closure.  Interim status facilities also must submit a closure plan under section 265.112(d)(1) or 265.112(d)(3).</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(4)</w:t>
      </w:r>
      <w:r>
        <w:rPr>
          <w:b/>
          <w:bCs/>
          <w:sz w:val="22"/>
          <w:szCs w:val="22"/>
        </w:rPr>
        <w:tab/>
        <w:t xml:space="preserve"> Extensions and Allowances During the Closure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Treatment, storage, and removal activities will, of necessity, take longer than 90 days to complete;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264.113(b) and 265.113(b) allow owners and operators to request an extension of the closure period.  To receive such an extension, the owner or operator must request a permit modification and demonstrate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Partial of final closure activities will, of necessity, take longer than 180 days to complete;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264.113(d) and 265.113(d) allow owners and operators to request an allowance to receive only non-hazardous wastes in a landfill, land treatment, or surface impoundment unit after the final receipt of hazardous waste.  To receive such an allowance, the owner or operator must request a permit modification, and include the following demonstrations and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unit has the existing design capacity as indicated on the part A application to receive non-hazardous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it a reasonable likelihood that operations will be recommenced within one year after the final receipt of 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non-hazardous wastes will not be incompatible with any remaining wastes in the unit or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Closure of the unit would be incompatible with continued operation of the site;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is operating and will continue to operate in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br w:type="page"/>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The request to modify the permit includes an amended waste analysis plan, ground-water monitoring and response program, human exposure assessment, closure and post-closure plans, updated cost estimates and demonstrations of financial assurance for closure and post-closure care, and changes in closure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burden associated with developing a permit modification for such an extension or allowance is addressed in the Hazardous Waste Part B Permit Application, Permit Modifications, and Special Permits ICR (#1573).  Other respondent activities associated with obtaining an extension or allowance include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for treatment, storage, or removal of hazardous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of the closure period;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receiving non-hazardous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(5)</w:t>
      </w:r>
      <w:r>
        <w:rPr>
          <w:b/>
          <w:bCs/>
          <w:sz w:val="22"/>
          <w:szCs w:val="22"/>
        </w:rPr>
        <w:tab/>
        <w:t xml:space="preserve"> Closure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before he or she releases the owner or operator from the financial assurance requirements for closure under §§264.143(</w:t>
      </w:r>
      <w:proofErr w:type="spellStart"/>
      <w:r>
        <w:rPr>
          <w:sz w:val="22"/>
          <w:szCs w:val="22"/>
        </w:rPr>
        <w:t>i</w:t>
      </w:r>
      <w:proofErr w:type="spellEnd"/>
      <w:r>
        <w:rPr>
          <w:sz w:val="22"/>
          <w:szCs w:val="22"/>
        </w:rPr>
        <w:t xml:space="preserve">) and 265.143(h).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certify that the unit or facility has been closed in accordance with the specifications in the approved closure plan, respondents must perform the following activities: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Have a registered professional engineer inspect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documentation to support the certification and submit the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w:t>
      </w:r>
      <w:r>
        <w:rPr>
          <w:b/>
          <w:bCs/>
          <w:sz w:val="22"/>
          <w:szCs w:val="22"/>
        </w:rPr>
        <w:tab/>
        <w:t>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§264.116 and §265.116, respondents must have a professional land surveyor prepare and certify a survey plat, and submit the plat to the Regional Administrator.</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(7)</w:t>
      </w:r>
      <w:r>
        <w:rPr>
          <w:b/>
          <w:bCs/>
          <w:sz w:val="22"/>
          <w:szCs w:val="22"/>
        </w:rPr>
        <w:tab/>
        <w:t>Post-Closure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In addition, owners or operators of tank systems or drip pads that intend to remove or decontaminate the hazardous waste at partial or final closure are required to submit a contingent post-closure plan, as specified in sections 264.197(c)(2) and 265.197(c)(2), and 264.575(c)(1)(ii) and 265.445(c)(1)(ii), respectively.  Section 265.118 requires owners or operators to maintain a copy of the post-closure plan at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Data items included in the post-closure plan are listed below:</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facility's monitoring activities and frequencies at which they will be performed to comply with Subparts F, K, L, M, N, and X during the post-closure care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planned maintenance activities, and frequencies at which they will be performed;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name, address, and phone number of the person or office to contact about the hazardous waste disposal unit or facility during the post-closure care period;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the approved post-closure plan, to be provided to the Regional Administrator upon request, until final closure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permitted facilities submit post-closure and contingent post-closure plans with the Part B permit application, activities associated with developing these post-closure plans are discussed in the Hazardous Waste Part B Permit Applications, Special Permits, and Permit Modifications ICR (#1573).  Prior to submitting a permit, interim status facilities must develop a post-closure plan.  Therefore, preparation of these plans for interim status facilities will be covered in this ICR (#1571).  This ICR will also focus on activities associated with the recordkeeping aspects of the regulations for both permitted and interim status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265.118(e) requires an interim status facility owner or operator to submit a post-closure plan to the Regional Administrator no later than 15 days after termination of interim status, except when a </w:t>
      </w:r>
      <w:r>
        <w:rPr>
          <w:sz w:val="22"/>
          <w:szCs w:val="22"/>
        </w:rPr>
        <w:lastRenderedPageBreak/>
        <w:t>permit is issued simultaneously with termination of interim status, or the facility is issued a judicial decree or final order under §3008 of RCRA to cease receiving hazardous wastes or close.  If the Regional Administrator does not approve the plan, the owner or operator must modify the plan or submit a new plan for approval.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post-closure plan requirements,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Read the regulations;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Collect the necessary information;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Prepare and submit the post-closure plan or contingent post-closure plan, if applicable (new interim status facilities only); and</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Maintain the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(8)</w:t>
      </w:r>
      <w:r>
        <w:rPr>
          <w:b/>
          <w:bCs/>
          <w:sz w:val="22"/>
          <w:szCs w:val="22"/>
        </w:rPr>
        <w:tab/>
        <w:t>Notification and Amendment of Post-Closure Plan Under 265.118(d)(1)-(3)</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265.118(d)(1)-(3) requires owners or operators of interim status facilities to submit written requests to authorize changes to approved post closure plans, and requires submittal of modified plans to the Regional Administrator.  Under section 264.118(d)(1)-(3), permitted facilities must request permit modifications to authorize and make changes to approved post-closure plans.  Such permit modifications are included in ICR #1573.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facilities must: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 notification of amendment;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Amend the plan;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these data items to EPA, as required by section 265.118(d)(1)-(3).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lastRenderedPageBreak/>
        <w:t>(9)</w:t>
      </w:r>
      <w:r>
        <w:rPr>
          <w:b/>
          <w:bCs/>
          <w:sz w:val="22"/>
          <w:szCs w:val="22"/>
        </w:rPr>
        <w:tab/>
        <w:t>Amendment of Post-Closure Plan Under 265.118(d)(4), (f), and (g)(1)</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If the Regional Administrator requests modifications to the plan, the owner or operator must submit the modified plan no later than 60 days after the Regional Administrator's request or no later than 90 days if the unit is a surface impoundment or waste pile not previously required to prepare a contingent 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265.118(f), if the Regional Administrator does not approve the plan, he or she must provide the owner or operator with a detailed written statement of reasons for the refusal.  The owner or operator must modify the plan or submit a new plan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265.118(g)(1), the owner or operator may prepare and submit a petition to the Regional Administrator to extend or reduce the post-closure period applicable to a hazardous waste management unit or facility, or to alter the requirements of the post-closure care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265.118(d)(4) and 265.118(f),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Prepare an amended post-closure plan; </w:t>
      </w: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Submit the amended plan to EPA; and</w:t>
      </w: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Modify and resubmit plan, if not approved by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obtain an extension or reduction of the post-closure period, per section 265.118(g)(1), respondents must prepare a petition and submit it to EPA.  (Permitted facilities are covered in the Hazardous Waste Part B Permit Applications, Specific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(10)</w:t>
      </w:r>
      <w:r>
        <w:rPr>
          <w:b/>
          <w:bCs/>
          <w:sz w:val="22"/>
          <w:szCs w:val="22"/>
        </w:rPr>
        <w:tab/>
        <w:t>Hazardous Waste Disposal Records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264.119(a) and 265.119(a), respondents must perform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Determine the specifications of the hazardous waste activity;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Establish, submit, and maintain (i.e., photocopying and filing) a record of the activity.</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(11)</w:t>
      </w:r>
      <w:r>
        <w:rPr>
          <w:b/>
          <w:bCs/>
          <w:sz w:val="22"/>
          <w:szCs w:val="22"/>
        </w:rPr>
        <w:tab/>
        <w:t xml:space="preserve">Hazardous Waste Notation Certification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264.119(b)(2) and 265.119(b)(2), respondents must record the notation on the deed, and develop and submit the certification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(12)</w:t>
      </w:r>
      <w:r>
        <w:rPr>
          <w:b/>
          <w:bCs/>
          <w:sz w:val="22"/>
          <w:szCs w:val="22"/>
        </w:rPr>
        <w:tab/>
        <w:t>Post-Closure Permit</w:t>
      </w:r>
      <w:r>
        <w:rPr>
          <w:sz w:val="22"/>
          <w:szCs w:val="22"/>
        </w:rPr>
        <w:t xml:space="preserve"> </w:t>
      </w:r>
      <w:r>
        <w:rPr>
          <w:b/>
          <w:bCs/>
          <w:sz w:val="22"/>
          <w:szCs w:val="22"/>
        </w:rPr>
        <w:t xml:space="preserve">Modification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264.119(c) and 265.119(c) state that if an owner wishes to remove hazardous wastes and residues, liners, or contaminated soils, he or she must request a modification to the post-closure permit and demonstrate that removal of hazardous waste will satisfy the criteria of §§264.117(c) and 265.118(g).  For permitted facilities, the modification will be done through the permit modification process and will be covered by the Hazardous Waste Part B Permit Applications, Special Permits, and Permit Modifications ICR (#1573).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modification of the post-closure permit include: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Preparing a request for modification;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Demonstrating compliance through a written document or some other form of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lastRenderedPageBreak/>
        <w:t>(13)</w:t>
      </w:r>
      <w:r>
        <w:rPr>
          <w:b/>
          <w:bCs/>
          <w:sz w:val="22"/>
          <w:szCs w:val="22"/>
        </w:rPr>
        <w:tab/>
        <w:t>Post-Closure Care</w:t>
      </w:r>
      <w:r>
        <w:rPr>
          <w:sz w:val="22"/>
          <w:szCs w:val="22"/>
        </w:rPr>
        <w:t xml:space="preserve"> </w:t>
      </w:r>
      <w:r>
        <w:rPr>
          <w:b/>
          <w:bCs/>
          <w:sz w:val="22"/>
          <w:szCs w:val="22"/>
        </w:rPr>
        <w:t xml:space="preserve">Certification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w:t>
      </w:r>
      <w:proofErr w:type="spellStart"/>
      <w:r>
        <w:rPr>
          <w:sz w:val="22"/>
          <w:szCs w:val="22"/>
        </w:rPr>
        <w:t>i</w:t>
      </w:r>
      <w:proofErr w:type="spellEnd"/>
      <w:r>
        <w:rPr>
          <w:sz w:val="22"/>
          <w:szCs w:val="22"/>
        </w:rPr>
        <w:t>) and 265.145(h).</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certifying completion of post-closure care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Obtaining certification of compliance from an independent registered professional engineer;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Maintaining a copy of the certification; and </w:t>
      </w: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Submitting the necessary documentation to the Regional Administrator as required.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77A7">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Financial Responsibility for Corrective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activity</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In order to comply with sections 264.101(b) and 264.101(c), respondents must prepare and submit to the Regional Administrator, with the permit, documented assurances of financial responsibility for the corrective action chosen to be implemented.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Cost Estimates for Closure and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Sections 264.142, 265.142, 264.144, and 265.144 require owners and operators to maintain a detailed written estimate of the cost of facility closure or post-closure care, in accordance with the requirements specified in §§264.142(a), 265.142(a), 264.144(a), and 265.144(a), respectively.  Section 264.144 only applies to owners or operators of disposal surface impoundments, disposal miscellaneous units, land treatment units, or landfill units, or owners or operators of surface impoundments or waste piles required to prepare contingency closure and post-closure plans, while Section 265.144 applies to owners or operators of interim status hazardous waste disposal units.  These estimates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written estimate containing: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costs of final closure at the point in the facility's active life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when the extent and manner of its operation would make closure the most expensive, as indicated by its closure plan (§§264.142(a)(1) and 265.142(a)(1));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annual cost of post-closure monitoring and maintenance of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facility in accordance with the applicable post-closure regulations specified in §§264.144(a) and 265.144(a);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§264.258(c)(2) for waste piles only:</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r>
        <w:rPr>
          <w:sz w:val="22"/>
          <w:szCs w:val="22"/>
        </w:rPr>
        <w:t>--</w:t>
      </w:r>
      <w:r>
        <w:rPr>
          <w:sz w:val="22"/>
          <w:szCs w:val="22"/>
        </w:rPr>
        <w:tab/>
        <w:t xml:space="preserve">The cost of complying with the contingent closure plan or the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§264.258(c)(2);</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Estimates of the following cost, as required under §§264.197(c)(3) and 265.197(c)(3) for tank systems only: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if those costs are greater than the costs of complying with the closure plan prepared for the expected closure under §§264.197(a) and 265.197(a).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§264.228(c)(2) for surface impoundments, §§264.575(c)(2) and 265.445(c)(2) for drip pads, and §264.258(c)(2) for waste piles: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§§264.228(a) for surface impoundments, 264.575(a) or 265.445(a) for drip pads, and 264.258(a) for waste piles.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Costs to owners or operators of hiring a third party to conduct closure or post-closure care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adjustment of the closure or post-closure cost estimate for inflation within sixty days of the anniversary date of the establishment of the financial instrument(s) used to assure financial responsibility for closure (thirty days in the case of owners or operators using the financial test or corporate guarantee)(§§264.142(b), 265.142(b), 264.144(b), and 265.144(b));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revision of the closure or post-closure cost estimate no later than thirty days after a modification has been made to the closure or post-closure plan which increases the closure or post-closure cost (§§264.142(c), 265.142(c), 264.144(c), and 265.144(c)).</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will need to engage in several activities in order to collect and maintain the data required by §§264.142, 265.142, 264.144, and 265.144:</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Collecting data;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the written cost estimate;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Periodically adjusting the cost estimate to include inflation and/or revisions to the closure or post-closure plan;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at the facility the latest closure or post-closure cost estimate and any subsequent adjustments.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Financial Assurance for Closure and Post-Closure Care</w:t>
      </w:r>
      <w:r>
        <w:rPr>
          <w:sz w:val="22"/>
          <w:szCs w:val="22"/>
        </w:rPr>
        <w:t xml:space="preserve">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are required to establish and provide evidence of financial assurance for facility closure (§§264.143 and 265.143) and post-closure care (§§264.145 and 265.145).  Several financial instruments are described throughout these sections for the purpose of establishing financial assurance: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Closure or Post-Closure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264.143(a), 265.143(a), 264.145(a), and 265.145(a) explain that owners or operators may establish a closure or post-closure trust fund in order to comply with §§264.143, 265.143, 264.145, and 265.145 requirements.  Data items for establishing and providing evidence of a closure or post-closure trust fund include:</w:t>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 compliance with §§264.143(a)(2)-(8) and (10), 265.143(a)(2)-(8) and (10), 264.145(a)(2)-(8) and (11), and 265.145(a)(2)-(8) and (11);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post-closure trust funds, a formal certification of acknowledgment (§§264.145(a)(2) and 265.145(a)(2)).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establishing a trust fund in order to comply with the closure and post-closure financial assurance requirements of sections 264.143, 265.143, 264.145, and 265.145 will need to engage in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a closure or post-closure trust fund, in compliance with §§264.143(a)(2)-(8) and (10), 265.143(a)(2)-(8) and (10), 264.145(a)(2)-(8) and (11), and 265.145(a)(2)-(8) and (11);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EPA Regional Administrator (owners or operators of new facilities must submit this at least sixty days prior to receiving hazardous waste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formal certification of acknowledgment required for post-closure trust funds;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owners and operators of new facilities, submitting a receipt for the first payment under the trust agreement before the initial receipt of 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(b)</w:t>
      </w:r>
      <w:r>
        <w:rPr>
          <w:b/>
          <w:bCs/>
          <w:sz w:val="22"/>
          <w:szCs w:val="22"/>
        </w:rPr>
        <w:tab/>
        <w:t>Surety Bond Guaranteeing Payment into a Closure or Post-Closure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264.143(b), 265.143(b), 264.145(b), and 265.145(b) allow owners and operators to establish surety bonds in order to comply with the financial assurance requirements of Sections 264.143, 265.143, 264.145, and 265.145.  Establishing surety bonds that guarantee payment into a closure or post-closure trust fund will entail the collection of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closure or post-closure standby trust fund specified in §§264.143(b)(2)-(6) and (8), 265.143(b)(2)-(6) and (8), 264.145(b)(2)-(6) and (8), and 265.145(b)(2)-(6) and (8);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or decrease in the closure or post-closure cost estimate that may require the penal sum of the surety bond to be increased or decreased accordingly (§§264.143(b)(7), 265.143(b)(7), 264.145(b)(7), and 265.145(b)(7)).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Establishing a surety bond and trust agreement that comply with the financial assurance requirements of §§264.143, 265.143, 264.145, and 265.145;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originally signed duplicates of the surety bond and trust agreement to the Regional Administrator (for new facilities, these must be submitted at least sixty days before receiving hazardous waste for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Increasing the penal sum amount, in the case of an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such an increase in the closure or post-closure cost estimate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b/>
          <w:bCs/>
          <w:sz w:val="22"/>
          <w:szCs w:val="22"/>
        </w:rPr>
        <w:t>(c)</w:t>
      </w:r>
      <w:r>
        <w:rPr>
          <w:b/>
          <w:bCs/>
          <w:sz w:val="22"/>
          <w:szCs w:val="22"/>
        </w:rPr>
        <w:tab/>
        <w:t>Surety Bond Guaranteeing Performance of Closure or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264.143(c) and 264.145(c) allow owners or operators of permitted facilities to comply with §§264.143 and 264.145 requirements by obtaining a surety bond that guarantees performance of closure or post-closure care.  Data items for this option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standby trust fund specified in §§264.143(c)(2)-(6) and (8) and 264.145(c)(2)-(6) and (9);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penal sum of the surety bond to be increased or decreased accordingly (§§264.143(c)(7) and 264.145(c)(7)).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surety bond and trust agreement that comply with the financial assurance requirements of §§264.143 and 264.145;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originally signed duplicates of the surety bond and trust agreement to the Regional Administrator (for new facilities, these must be submitted at least sixty days prior to receiving hazardous wastes for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penal sum amount, in the case of a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such an increase in the closure or post-closure cost estimate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(d)</w:t>
      </w:r>
      <w:r>
        <w:rPr>
          <w:b/>
          <w:bCs/>
          <w:sz w:val="22"/>
          <w:szCs w:val="22"/>
        </w:rPr>
        <w:tab/>
        <w:t>Closure or Post-Closure Letter of Credit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264.143(d), 265.143(c), 264.145(d), and 265.145(c) specify that owners or operators may obtain an irrevocable standby letter of credit in order to satisfy financial assurance requirements.  Data items for this information collection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of credit from an issuing institution authorized to issue letters of credit and whose letter-of-credit operations are regulated and examined by a Federal or State agency;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indicating the conditions of payment into the standby trust fund specified in §§264.143(d)(2)-(4) and (6), 265.143(c)(2)-(4) and (6), 264.145(d)(2)-(6), and 265.145(c)(2)-(6);</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Notification from the issuing institution to the owner/operator and EPA of a decision not to extend the expiration date mailed at least 120 days before the current expiration date of the letter of credit (§§264.143(d)(5) and 265.143(c)(5));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(to accompany the letter of credit) from the owner or operator providing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number, issuing institution, and date of the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EPA identification number, name, and address of the facility; </w:t>
      </w:r>
      <w:r>
        <w:rPr>
          <w:sz w:val="22"/>
          <w:szCs w:val="22"/>
        </w:rPr>
        <w:tab/>
      </w:r>
      <w:r>
        <w:rPr>
          <w:sz w:val="22"/>
          <w:szCs w:val="22"/>
        </w:rPr>
        <w:tab/>
        <w:t>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amount of funds assured for closure of or post-closure care for </w:t>
      </w:r>
      <w:r>
        <w:rPr>
          <w:sz w:val="22"/>
          <w:szCs w:val="22"/>
        </w:rPr>
        <w:tab/>
      </w:r>
      <w:r>
        <w:rPr>
          <w:sz w:val="22"/>
          <w:szCs w:val="22"/>
        </w:rPr>
        <w:tab/>
        <w:t>the facility by the letter of credit;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614"/>
          <w:tab w:val="left" w:pos="1333"/>
          <w:tab w:val="left" w:pos="2053"/>
          <w:tab w:val="left" w:pos="2773"/>
          <w:tab w:val="left" w:pos="3493"/>
          <w:tab w:val="left" w:pos="4213"/>
          <w:tab w:val="left" w:pos="4933"/>
          <w:tab w:val="left" w:pos="5653"/>
          <w:tab w:val="left" w:pos="6373"/>
          <w:tab w:val="left" w:pos="7093"/>
          <w:tab w:val="left" w:pos="7813"/>
          <w:tab w:val="left" w:pos="8533"/>
          <w:tab w:val="left" w:pos="9253"/>
        </w:tabs>
        <w:ind w:left="1333"/>
        <w:rPr>
          <w:sz w:val="22"/>
          <w:szCs w:val="22"/>
        </w:rPr>
      </w:pPr>
      <w:r>
        <w:rPr>
          <w:sz w:val="22"/>
          <w:szCs w:val="22"/>
        </w:rPr>
        <w:t>Evidence of an increase in the closure or post-closure cost estimate that may require the amount of credit to be increased accordingly (§§264.143(d)(7), 265.143(c)(7), 264.145(d)(7), and 265.145(c)(7)).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financial assurance requirements with a closure or post-closure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letter of credit from an issuing institution and establishing the stand-by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a letter from the owner or operator to accompany the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4"/>
          <w:tab w:val="left" w:pos="2160"/>
          <w:tab w:val="left" w:pos="3060"/>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The letter of credit (in the case of new permitted facilities, this must be </w:t>
      </w:r>
      <w:r>
        <w:rPr>
          <w:sz w:val="22"/>
          <w:szCs w:val="22"/>
        </w:rPr>
        <w:tab/>
        <w:t xml:space="preserve">submitted at least sixty days prior to receiving hazardous waste for </w:t>
      </w:r>
      <w:r>
        <w:rPr>
          <w:sz w:val="22"/>
          <w:szCs w:val="22"/>
        </w:rPr>
        <w:tab/>
      </w:r>
      <w:r>
        <w:rPr>
          <w:sz w:val="22"/>
          <w:szCs w:val="22"/>
        </w:rPr>
        <w:tab/>
        <w:t xml:space="preserve">treatment, storage, or disposal, pursuant to §§264.143(d)(1) and </w:t>
      </w:r>
      <w:r>
        <w:rPr>
          <w:sz w:val="22"/>
          <w:szCs w:val="22"/>
        </w:rPr>
        <w:tab/>
      </w:r>
      <w:r>
        <w:rPr>
          <w:sz w:val="22"/>
          <w:szCs w:val="22"/>
        </w:rPr>
        <w:tab/>
        <w:t>264.145(d)(1));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1456"/>
          <w:tab w:val="left" w:pos="-736"/>
          <w:tab w:val="left" w:pos="0"/>
          <w:tab w:val="left" w:pos="900"/>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2160"/>
          <w:tab w:val="left" w:pos="3060"/>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accompanying letter from the owner or operator;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1456"/>
          <w:tab w:val="left" w:pos="0"/>
          <w:tab w:val="left" w:pos="90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An originally signed duplicate of the trust agreement;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7"/>
        </w:numPr>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amount of the letter of credit, in the case of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7"/>
        </w:numPr>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t>Submitting evidence of such an increase in the closure or post-closure cost estimate to the Regional Administrator.</w:t>
      </w:r>
    </w:p>
    <w:p w:rsidR="00147EDE" w:rsidRPr="00CD77A7"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Closure or Post-Closure Insurance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may satisfy the financial assurance requirements for closure or post-closure care by establishing closure or post-closure insurance according to §§264.143(e), 265.143(d), 264.145(e), and 265.145(d).  Data items for this information collection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closure or post-closure insurance policy (identified by a certificate of insurance) that meets the requirements specified in §§264.143(e)(1)-(4) and (8), 265.143(d)(1)-(4) and (8), 264.145(e)(1)-(5) and (8), or 265.145(d)(1)-(5) and (8);</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In the case of some interim status facilities, a letter from an insurer stating that an owner or operator is being considered for a closure insurance policy (§§265.143(d)(1) and 265.145(d)(1));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face amount of the insurance policy to be increased accordingly (§§264.143(e)(7), 265.143(d)(7), 264.145(e)(7), and 265.145(d)(7)).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Collecting this data will entail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closure or post-closure insurance policy that satisfies the requirements of §§264.143, 265.143, 264.145, or 265.145;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certificate of this insurance policy to the Regional Administrator (for new facilities, this must be submitted at least sixty days prior to receiving hazardous wastes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submitting a letter from an insurer stating that the insurer is considering issuance of an insurance certificate (in this case, owners or operators must submit the certificate of insurance within ninety days of the effective date of these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Submitting evidence of an increase in the current closure or post-closure cost estimate that may require the face amount of the insurance policy to be modified accordingly.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6"/>
        <w:rPr>
          <w:b/>
          <w:bCs/>
          <w:sz w:val="22"/>
          <w:szCs w:val="22"/>
        </w:rPr>
      </w:pPr>
      <w:r>
        <w:rPr>
          <w:b/>
          <w:bCs/>
          <w:sz w:val="22"/>
          <w:szCs w:val="22"/>
        </w:rPr>
        <w:t>(f)</w:t>
      </w:r>
      <w:r>
        <w:rPr>
          <w:b/>
          <w:bCs/>
          <w:sz w:val="22"/>
          <w:szCs w:val="22"/>
        </w:rPr>
        <w:tab/>
        <w:t xml:space="preserve">Financial Test and Corporate Guarantee for Closure or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b/>
          <w:bCs/>
          <w:sz w:val="22"/>
          <w:szCs w:val="22"/>
        </w:rPr>
        <w:t>Post-Closure Care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264.143(f), 265.143(e), 264.145(f), and 265.145(e) allow owners and operators to satisfy closure or post-closure financial assurance requirements by demonstrating financial strength using the financial test specified in these sections.  Data items for this demonstration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§264.151(f);</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§§264.143(f)(3)(iii), 265.143(e)(3)(iii), 264.145(f)(3)(iii), or 265.145(e)(3)(iii);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and 265.145(e)(4),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certification that the chief financial officer believes that the owner </w:t>
      </w:r>
      <w:r>
        <w:rPr>
          <w:sz w:val="22"/>
          <w:szCs w:val="22"/>
        </w:rPr>
        <w:tab/>
      </w:r>
      <w:r>
        <w:rPr>
          <w:sz w:val="22"/>
          <w:szCs w:val="22"/>
        </w:rPr>
        <w:tab/>
        <w:t>or operator meets the criteria of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For each facility to be covered by the test, the EPA identification </w:t>
      </w:r>
      <w:r>
        <w:rPr>
          <w:sz w:val="22"/>
          <w:szCs w:val="22"/>
        </w:rPr>
        <w:tab/>
      </w:r>
      <w:r>
        <w:rPr>
          <w:sz w:val="22"/>
          <w:szCs w:val="22"/>
        </w:rPr>
        <w:tab/>
        <w:t xml:space="preserve">number, name, address, and current closure and post-closure cost </w:t>
      </w:r>
      <w:r>
        <w:rPr>
          <w:sz w:val="22"/>
          <w:szCs w:val="22"/>
        </w:rPr>
        <w:tab/>
      </w:r>
      <w:r>
        <w:rPr>
          <w:sz w:val="22"/>
          <w:szCs w:val="22"/>
        </w:rPr>
        <w:tab/>
        <w:t>estimates to be covered by the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specification of the date (no later than ninety days after the end </w:t>
      </w:r>
      <w:r>
        <w:rPr>
          <w:sz w:val="22"/>
          <w:szCs w:val="22"/>
        </w:rPr>
        <w:tab/>
      </w:r>
      <w:r>
        <w:rPr>
          <w:sz w:val="22"/>
          <w:szCs w:val="22"/>
        </w:rPr>
        <w:tab/>
        <w:t xml:space="preserve">of such fiscal year) when the owner or operator will submit the </w:t>
      </w:r>
      <w:r>
        <w:rPr>
          <w:sz w:val="22"/>
          <w:szCs w:val="22"/>
        </w:rPr>
        <w:tab/>
      </w:r>
      <w:r>
        <w:rPr>
          <w:sz w:val="22"/>
          <w:szCs w:val="22"/>
        </w:rPr>
        <w:tab/>
      </w:r>
      <w:r>
        <w:rPr>
          <w:sz w:val="22"/>
          <w:szCs w:val="22"/>
        </w:rPr>
        <w:tab/>
        <w:t>documents specified in §§265.143(e)(3) and 265.145(e)(3);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certification that the year-end financial statements of the owner </w:t>
      </w:r>
      <w:r>
        <w:rPr>
          <w:sz w:val="22"/>
          <w:szCs w:val="22"/>
        </w:rPr>
        <w:tab/>
      </w:r>
      <w:r>
        <w:rPr>
          <w:sz w:val="22"/>
          <w:szCs w:val="22"/>
        </w:rPr>
        <w:tab/>
        <w:t xml:space="preserve">or operator for such fiscal year will be audited by an independent </w:t>
      </w:r>
      <w:r>
        <w:rPr>
          <w:sz w:val="22"/>
          <w:szCs w:val="22"/>
        </w:rPr>
        <w:tab/>
      </w:r>
      <w:r>
        <w:rPr>
          <w:sz w:val="22"/>
          <w:szCs w:val="22"/>
        </w:rPr>
        <w:tab/>
        <w:t>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Annual updates of the above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 notice of intent to establish alternative financial assurance, if the owner or operator fails the financial test and no longer meets the requirements of §§264.143(f)(1), 265.143(e)(1), 264.145(f)(1), or 265.145(e)(1);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Reports of financial conditions as required by the Regional Administrator (§§264.143(f)(7), 265.143(e)(7), 264.145(f)(7), and 265.145(e)(7));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If applicable, a written guarantee from the parent corporation of the owner or operator that satisfies financial assurance requirements (§§264.143(f)(10), 265.143(e)(10), 264.145(f)(10), or 265.145(e)(10));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Notification from the insurer to the owner/operator and EPA of a decision to cancel, terminate, or fail to renew the policy (§§264.145(f)(11)(ii) and 265.143(e)(11)(ii)).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Submitting the following documents to the Regional Administrator (for new facilities, these documents must be submitted at least sixty days prior to receiving hazardous waste for treatment, storage, or disposal):</w:t>
      </w:r>
    </w:p>
    <w:p w:rsidR="00451F0C" w:rsidRDefault="00451F0C" w:rsidP="00451F0C">
      <w:pPr>
        <w:pStyle w:val="a"/>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the independent certified public accountant's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special report from the independent certified public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Submitting updated information annually;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writing and submitting a notice, by certified mail, to the Regional Administrator of intent to establish other financial assurance;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Writing and submitting additional reports of financial condition at any time, as directed by the Regional Administrator;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submitting the corporate guarantee from the parent corporation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Use of a Financial Mechanism for Multiple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264.143(h), 265.143(g), 264.145(h), and 265.145(g) specify that owners or operators may use one of the above financial assurance mechanisms to meet the requirements of §§264.143, 265.143, 264.145, or 265.145 for more than one facility.  In such cases, the owner and operator must provide the following data items for each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amount of funds for closure or post-closure care assured by the mechanism.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comply with the requirements of these sections, owners and operators will need to engage in the following activities: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data items listed above to the Regional Administrator;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facilities covered by the mechanism are located in more than one Region, submitting identical evidence of financial assurance to all the applicable Regional Administrators.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(4)</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 xml:space="preserve">Coverage for Sudden or </w:t>
      </w:r>
      <w:proofErr w:type="spellStart"/>
      <w:r>
        <w:rPr>
          <w:b/>
          <w:bCs/>
          <w:sz w:val="22"/>
          <w:szCs w:val="22"/>
        </w:rPr>
        <w:t>Nonsudden</w:t>
      </w:r>
      <w:proofErr w:type="spellEnd"/>
      <w:r>
        <w:rPr>
          <w:b/>
          <w:bCs/>
          <w:sz w:val="22"/>
          <w:szCs w:val="22"/>
        </w:rPr>
        <w:t xml:space="preserve"> Accidental Occurrences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2"/>
        </w:numPr>
        <w:pBdr>
          <w:top w:val="single" w:sz="6" w:space="0" w:color="FFFFFF"/>
          <w:left w:val="single" w:sz="6" w:space="0" w:color="FFFFFF"/>
          <w:bottom w:val="single" w:sz="6" w:space="0" w:color="FFFFFF"/>
          <w:right w:val="single" w:sz="6" w:space="0" w:color="FFFFFF"/>
        </w:pBdr>
        <w:tabs>
          <w:tab w:val="left" w:pos="1440"/>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Similarly, §§264.147(b) and 265.147(b) require owners or operators of surface impoundments, landfills, land treatment facilities managing hazardous wastes, or combinations of such facilities to demonstrate financial responsibility for bodily injury and property damage to third parties caused by </w:t>
      </w:r>
      <w:proofErr w:type="spellStart"/>
      <w:r>
        <w:rPr>
          <w:sz w:val="22"/>
          <w:szCs w:val="22"/>
        </w:rPr>
        <w:t>nonsudden</w:t>
      </w:r>
      <w:proofErr w:type="spellEnd"/>
      <w:r>
        <w:rPr>
          <w:sz w:val="22"/>
          <w:szCs w:val="22"/>
        </w:rPr>
        <w:t xml:space="preserve"> accidental occurrences arising from facilities' operations.  In order to comply with these sections, owners or operators will need to gather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Liability coverage demonstrated by one of the following documents (data items for these documents are described in full in the following sections):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w:t>
      </w:r>
      <w:r>
        <w:rPr>
          <w:sz w:val="22"/>
          <w:szCs w:val="22"/>
        </w:rPr>
        <w:tab/>
        <w:t xml:space="preserve">A liability insurance policy (§§264.147(a)(1), 265.147(a)(1),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264.147(b)(1), or 265.147(b)(1)), accompanied by a signed duplicate </w:t>
      </w:r>
      <w:r>
        <w:rPr>
          <w:sz w:val="22"/>
          <w:szCs w:val="22"/>
        </w:rPr>
        <w:tab/>
      </w:r>
      <w:r>
        <w:rPr>
          <w:sz w:val="22"/>
          <w:szCs w:val="22"/>
        </w:rPr>
        <w:tab/>
      </w:r>
      <w:r>
        <w:rPr>
          <w:sz w:val="22"/>
          <w:szCs w:val="22"/>
        </w:rPr>
        <w:tab/>
      </w:r>
      <w:r>
        <w:rPr>
          <w:sz w:val="22"/>
          <w:szCs w:val="22"/>
        </w:rPr>
        <w:tab/>
      </w:r>
      <w:r>
        <w:rPr>
          <w:sz w:val="22"/>
          <w:szCs w:val="22"/>
        </w:rPr>
        <w:tab/>
      </w:r>
      <w:r>
        <w:rPr>
          <w:sz w:val="22"/>
          <w:szCs w:val="22"/>
        </w:rPr>
        <w:tab/>
        <w:t>original of a Hazardous Waste Facility Liability Endorsement or 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Pr>
          <w:sz w:val="22"/>
          <w:szCs w:val="22"/>
        </w:rPr>
        <w:tab/>
      </w:r>
      <w:r>
        <w:rPr>
          <w:sz w:val="22"/>
          <w:szCs w:val="22"/>
        </w:rPr>
        <w:tab/>
      </w:r>
      <w:r>
        <w:rPr>
          <w:sz w:val="22"/>
          <w:szCs w:val="22"/>
        </w:rPr>
        <w:tab/>
        <w:t xml:space="preserve">Certificate of Liability Insurance (§§264.147(a)(1) and 264.147(b)(1) </w:t>
      </w:r>
      <w:r>
        <w:rPr>
          <w:sz w:val="22"/>
          <w:szCs w:val="22"/>
        </w:rPr>
        <w:tab/>
      </w:r>
      <w:r>
        <w:rPr>
          <w:sz w:val="22"/>
          <w:szCs w:val="22"/>
        </w:rPr>
        <w:tab/>
      </w:r>
      <w:r>
        <w:rPr>
          <w:sz w:val="22"/>
          <w:szCs w:val="22"/>
        </w:rPr>
        <w:tab/>
      </w:r>
      <w:r>
        <w:rPr>
          <w:sz w:val="22"/>
          <w:szCs w:val="22"/>
        </w:rPr>
        <w:tab/>
      </w:r>
      <w:r>
        <w:rPr>
          <w:sz w:val="22"/>
          <w:szCs w:val="22"/>
        </w:rPr>
        <w:tab/>
      </w:r>
      <w:r>
        <w:rPr>
          <w:sz w:val="22"/>
          <w:szCs w:val="22"/>
        </w:rPr>
        <w:tab/>
        <w:t>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350"/>
          <w:tab w:val="left" w:pos="2054"/>
          <w:tab w:val="left" w:pos="2773"/>
          <w:tab w:val="left" w:pos="3493"/>
          <w:tab w:val="left" w:pos="4213"/>
          <w:tab w:val="left" w:pos="4933"/>
          <w:tab w:val="left" w:pos="5653"/>
          <w:tab w:val="left" w:pos="6373"/>
          <w:tab w:val="left" w:pos="7093"/>
          <w:tab w:val="left" w:pos="7813"/>
          <w:tab w:val="left" w:pos="8533"/>
          <w:tab w:val="left" w:pos="9253"/>
        </w:tabs>
        <w:ind w:left="2070" w:hanging="16"/>
        <w:rPr>
          <w:sz w:val="22"/>
          <w:szCs w:val="22"/>
        </w:rPr>
      </w:pPr>
      <w:r>
        <w:rPr>
          <w:sz w:val="22"/>
          <w:szCs w:val="22"/>
        </w:rPr>
        <w:t xml:space="preserve"> --</w:t>
      </w:r>
      <w:r>
        <w:rPr>
          <w:sz w:val="22"/>
          <w:szCs w:val="22"/>
        </w:rPr>
        <w:tab/>
        <w:t>Written evidence of passing a financial test or a written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letter of credit for liability coverage (§§264.147(a)(3),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265.147(a)(3), 264.147(b)(3), and 265.147(b)(3));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surety bond for liability coverage (§§264.147(a)(4),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265.147(a)(4), 264.147(b)(4), and 265.147(b)(4));</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trust fund for liability coverage (§§264.147(a)(5), 265.147(a)(5), </w:t>
      </w:r>
      <w:r>
        <w:rPr>
          <w:sz w:val="22"/>
          <w:szCs w:val="22"/>
        </w:rPr>
        <w:tab/>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264.147(b)(5), and 265.147(b)(5)); or</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combination of insurance, financial test, guarantee, letter of</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credit, surety bond, and trust fund (§§264.147(a)(6), 265.147(a)(6), 264.147(b)(6), and 265.147(b)(6));</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24"/>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 will need to engage in the following activities in order to comply with the information collection requirements of §§264.147(a) and (b), and 265.147(a) and (b):</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44"/>
          <w:tab w:val="left" w:pos="1063"/>
          <w:tab w:val="left" w:pos="1783"/>
          <w:tab w:val="left" w:pos="2503"/>
          <w:tab w:val="left" w:pos="3223"/>
          <w:tab w:val="left" w:pos="3943"/>
          <w:tab w:val="left" w:pos="4663"/>
          <w:tab w:val="left" w:pos="5383"/>
          <w:tab w:val="left" w:pos="6103"/>
          <w:tab w:val="left" w:pos="6823"/>
          <w:tab w:val="left" w:pos="7543"/>
          <w:tab w:val="left" w:pos="8263"/>
          <w:tab w:val="left" w:pos="8983"/>
        </w:tabs>
        <w:ind w:left="36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 liability coverage using one of the financial instruments listed above;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Submit appropriate evidence of such financial instruments to the Regional Administrator (in the case of new facilities establishing liability insurance, this must be submitted at least sixty days before receiving hazardous wastes for treatment, storage, or disposal, according to §§264.147(a)(1)(</w:t>
      </w:r>
      <w:proofErr w:type="spellStart"/>
      <w:r>
        <w:rPr>
          <w:sz w:val="22"/>
          <w:szCs w:val="22"/>
        </w:rPr>
        <w:t>i</w:t>
      </w:r>
      <w:proofErr w:type="spellEnd"/>
      <w:r>
        <w:rPr>
          <w:sz w:val="22"/>
          <w:szCs w:val="22"/>
        </w:rPr>
        <w:t>) and 265.147(b)(1)(</w:t>
      </w:r>
      <w:proofErr w:type="spellStart"/>
      <w:r>
        <w:rPr>
          <w:sz w:val="22"/>
          <w:szCs w:val="22"/>
        </w:rPr>
        <w:t>i</w:t>
      </w:r>
      <w:proofErr w:type="spellEnd"/>
      <w:r>
        <w:rPr>
          <w:sz w:val="22"/>
          <w:szCs w:val="22"/>
        </w:rPr>
        <w:t>));</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24" w:hanging="720"/>
        <w:rPr>
          <w:sz w:val="22"/>
          <w:szCs w:val="22"/>
        </w:rPr>
      </w:pPr>
    </w:p>
    <w:p w:rsidR="00147EDE"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Prepare, write, and submit a notification to the Regional Administrator whenever a claim for bodily injury is made against the owner or operator; and</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24" w:hanging="720"/>
        <w:rPr>
          <w:sz w:val="22"/>
          <w:szCs w:val="22"/>
        </w:rPr>
      </w:pPr>
    </w:p>
    <w:p w:rsidR="00147EDE" w:rsidRPr="001E3486"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t xml:space="preserve">Prepare, write, and submit a notification to the Regional Administrator whenever the amount of financial assurance for liability coverage is reduced.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Submission of the two notifications listed immediately above will only occur in the event of a claim; therefore, if no accidental releases occur, owners or operators may never need to submit these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b/>
          <w:bCs/>
          <w:sz w:val="22"/>
          <w:szCs w:val="22"/>
        </w:rPr>
        <w:t>(b)</w:t>
      </w:r>
      <w:r>
        <w:rPr>
          <w:b/>
          <w:bCs/>
          <w:sz w:val="22"/>
          <w:szCs w:val="22"/>
        </w:rPr>
        <w:tab/>
        <w:t>Liability Insurance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Sections 264.147(a)(1), 264.147(b)(1), 265.147(a)(1), and 265.147(b)(1) require owners or operators to submit a duplicate of the endorsement or certificate of insurance, and, if requested by the Regional Administrator, a duplicate of the insurance policy.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Owners or operators will need to engage in the following activities to complete the requirements for this option: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Reading the regulations;</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Obtaining an insurance policy amended by attachment of the Hazardous Waste Facility Liability Endorsement or evidenced by a Certificate of Liability Insurance and meeting other specifications outlined in §§264.147(a)(1), 264.147(b)(1), 265.147(a)(1), or 265.147(b)(1); </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Submitting a signed duplicate original of the endorsement or the certificate of insurance to the Regional Administrator, or Regional Administrators if the facilities are located in more than one Region; and</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If requested by the Regional Administrator, submitting a signed duplicate original of the insurance policy (for new facilities this must be submitted at least sixty days before receiving hazardous waste for treatment, storage, or disposal).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21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b/>
          <w:bCs/>
          <w:sz w:val="22"/>
          <w:szCs w:val="22"/>
        </w:rPr>
      </w:pPr>
      <w:r>
        <w:rPr>
          <w:b/>
          <w:bCs/>
          <w:sz w:val="22"/>
          <w:szCs w:val="22"/>
        </w:rPr>
        <w:t>(c)</w:t>
      </w:r>
      <w:r>
        <w:rPr>
          <w:b/>
          <w:bCs/>
          <w:sz w:val="22"/>
          <w:szCs w:val="22"/>
        </w:rPr>
        <w:tab/>
        <w:t>Variance of Financial Responsibility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Activity</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that wish to apply for a variance must prepare and submit information in support of the variance.</w:t>
      </w:r>
    </w:p>
    <w:p w:rsidR="008B38FB" w:rsidRDefault="008B38FB" w:rsidP="008B38FB">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8B38FB" w:rsidP="008B38FB">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t>(d)</w:t>
      </w:r>
      <w:r>
        <w:rPr>
          <w:b/>
          <w:bCs/>
          <w:sz w:val="22"/>
          <w:szCs w:val="22"/>
        </w:rPr>
        <w:tab/>
      </w:r>
      <w:r w:rsidR="00147EDE">
        <w:rPr>
          <w:b/>
          <w:bCs/>
          <w:sz w:val="22"/>
          <w:szCs w:val="22"/>
        </w:rPr>
        <w:t>Financial Test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264.147(f) and 265.147(f) allow owners or operators to satisfy liability requirements by passing a financial test.  Data items for these sections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§264.151(g); if the financial test is also being used to demonstrate closure or post-closure financial assurance, the letter specified in §264.151(g) must be submitted to cover both forms of financial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§§264.147(f)(3)(iii) and 265.147(f)(3)(iii);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certification that the chief financial officer believes that the owner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meets the criteria of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For each facility to be covered by the test, the EPA identification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number, name, address, and current closure and post-closure cost estimates to be covered by the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specification of the date (no later than ninety days after the end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of such fiscal year) when the owner or operator will submit the documents specified in §§265.147(f)(3);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hanging="720"/>
        <w:rPr>
          <w:sz w:val="22"/>
          <w:szCs w:val="22"/>
        </w:rPr>
      </w:pPr>
      <w:r>
        <w:rPr>
          <w:sz w:val="22"/>
          <w:szCs w:val="22"/>
        </w:rPr>
        <w:t>--</w:t>
      </w:r>
      <w:r>
        <w:rPr>
          <w:sz w:val="22"/>
          <w:szCs w:val="22"/>
        </w:rPr>
        <w:tab/>
        <w:t xml:space="preserve">A certification that the year-end financial statements of the owner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for such fiscal year will be audited by an independent 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Annual updates of the above data items;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Should the owner or operator fail the test and no longer meet the requirements of §§264.147(f)(1) or 265.147(f)(1), evidence of insurance obtained for the entire amount of required liability coverage specified in §§264.147 and 265.147.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an independent certified public accountant's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special report from an independent 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updated information annually;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Should the owner or operator fail the test and no longer meet §§264.147 or 265.147 requirements, submitting evidence to the Regional Administrator of insurance obtained for the entire amount of required liability coverage specified in these sections.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lastRenderedPageBreak/>
        <w:t>(e)</w:t>
      </w:r>
      <w:r>
        <w:rPr>
          <w:b/>
          <w:bCs/>
          <w:sz w:val="22"/>
          <w:szCs w:val="22"/>
        </w:rPr>
        <w:tab/>
        <w:t>Guarantee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264.147(g) and 265.147(g) allow owners or operators to meet liability requirements by obtaining a written guarantee, under the conditions specified in §§264.147(g)(2) and 265.147(g)(2).  Data items for this option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certified copy of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(§§264.147(g)(2) and 265.147(g)(2));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from the guarantor's chief financial officer as specified in §§264.147(f)(3) and 265.147(f)(3) that demonstrates that the guarantor has passed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certified copy of this written guarantee to the Regional Administrator along with the items specified in §§264.147(f)(3) and 265.147(f)(3);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letter from the guarantor's chief financial officer as specified in §§264.147(f)(3) and 265.147(f)(3) that demonstrates that the guarantor has passed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(f)</w:t>
      </w:r>
      <w:r>
        <w:rPr>
          <w:b/>
          <w:bCs/>
          <w:sz w:val="22"/>
          <w:szCs w:val="22"/>
        </w:rPr>
        <w:tab/>
        <w:t>Letter of Credit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264.147(h) and 265.147(h) allow owners or operators to satisfy financial requirements for liability by obtaining the following data item: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Lines/>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standby letter of credit described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letter of credit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Surety Bond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w:t>
      </w:r>
      <w:proofErr w:type="spellStart"/>
      <w:r>
        <w:rPr>
          <w:sz w:val="22"/>
          <w:szCs w:val="22"/>
        </w:rPr>
        <w:t>i</w:t>
      </w:r>
      <w:proofErr w:type="spellEnd"/>
      <w:r>
        <w:rPr>
          <w:sz w:val="22"/>
          <w:szCs w:val="22"/>
        </w:rPr>
        <w:t>) and 265.147(</w:t>
      </w:r>
      <w:proofErr w:type="spellStart"/>
      <w:r>
        <w:rPr>
          <w:sz w:val="22"/>
          <w:szCs w:val="22"/>
        </w:rPr>
        <w:t>i</w:t>
      </w:r>
      <w:proofErr w:type="spellEnd"/>
      <w:r>
        <w:rPr>
          <w:sz w:val="22"/>
          <w:szCs w:val="22"/>
        </w:rPr>
        <w:t>) allow owners or operators to satisfy financial requirements for liability.  Under sections 264.147(</w:t>
      </w:r>
      <w:proofErr w:type="spellStart"/>
      <w:r>
        <w:rPr>
          <w:sz w:val="22"/>
          <w:szCs w:val="22"/>
        </w:rPr>
        <w:t>i</w:t>
      </w:r>
      <w:proofErr w:type="spellEnd"/>
      <w:r>
        <w:rPr>
          <w:sz w:val="22"/>
          <w:szCs w:val="22"/>
        </w:rPr>
        <w:t>)(4) and 265.147(</w:t>
      </w:r>
      <w:proofErr w:type="spellStart"/>
      <w:r>
        <w:rPr>
          <w:sz w:val="22"/>
          <w:szCs w:val="22"/>
        </w:rPr>
        <w:t>i</w:t>
      </w:r>
      <w:proofErr w:type="spellEnd"/>
      <w:r>
        <w:rPr>
          <w:sz w:val="22"/>
          <w:szCs w:val="22"/>
        </w:rPr>
        <w:t>)(4),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owner/operator must obtain a surety bond (and other information, where applicable) that conforms to the requirements specified in §§264.147(</w:t>
      </w:r>
      <w:proofErr w:type="spellStart"/>
      <w:r>
        <w:rPr>
          <w:sz w:val="22"/>
          <w:szCs w:val="22"/>
        </w:rPr>
        <w:t>i</w:t>
      </w:r>
      <w:proofErr w:type="spellEnd"/>
      <w:r>
        <w:rPr>
          <w:sz w:val="22"/>
          <w:szCs w:val="22"/>
        </w:rPr>
        <w:t>) and 265.147(</w:t>
      </w:r>
      <w:proofErr w:type="spellStart"/>
      <w:r>
        <w:rPr>
          <w:sz w:val="22"/>
          <w:szCs w:val="22"/>
        </w:rPr>
        <w:t>i</w:t>
      </w:r>
      <w:proofErr w:type="spellEnd"/>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surety bond described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surety bond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(h)</w:t>
      </w:r>
      <w:r>
        <w:rPr>
          <w:b/>
          <w:bCs/>
          <w:sz w:val="22"/>
          <w:szCs w:val="22"/>
        </w:rPr>
        <w:tab/>
        <w:t>Trust Fund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264.147(j) and 265.147(j) allow owners or operators to satisfy financial requirements for liability by establishing a trust fund that conforms to the requirements specified in §§264.147(j) and 265.147(j).</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the trust fund described above; and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Regional Administrator.</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Adjustments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264.147(d) and 265.147(d) allow Regional Administrators to adjust the level of financial responsibility required under §§264.147 and 265.147 in order to protect human health and the environment.  Respondents will need to furnish the following data items should Regional Administrators make such a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information which the Regional Administrator requests to determine whether cause exists for such adjustments of level or type of coverage;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Regional Administrator decides to adjust the level or type of coverage, the data elements necessary for a permit modification (detailed in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information collection requirements of this section: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 any requested information; and</w:t>
      </w:r>
    </w:p>
    <w:p w:rsidR="00147EDE" w:rsidRDefault="00147EDE" w:rsidP="00147EDE">
      <w:pPr>
        <w:pStyle w:val="Level1"/>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0"/>
        <w:rPr>
          <w:sz w:val="22"/>
          <w:szCs w:val="22"/>
        </w:rPr>
      </w:pPr>
    </w:p>
    <w:p w:rsidR="00147EDE" w:rsidRPr="001E6F80"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Preparing, writing, and submitting a permit modification if the Regional Administrator decides to adjust level or type of coverage (specific respondent activities for permit modifications are detailed in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Incapacity of Owners or Operators, Guarantors, or Financial Institutions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264.148 and 265.148 require owners or operators to submit, if applicable, a notification of the commencement of a voluntary or involuntary proceeding under Title 11 (Bankruptcy), U.S. Code, naming the owner or operator as debtor (if the guarantor is named as the debtor, the collection of this data is the guarantor's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by certified mail, a notice to the Regional Administrator indicating the commencement of bankruptcy proceedings in which the owner or operator or guarantor is named as debtor.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Use of State-Required Mechanisms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264.149 and 265.149 allow owners or operators to use State-required financial assurance mechanisms to meet §§264.143, 264.145, 264.147, 265.143, 265.145, or 265.147 requirements.  Data items for this option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letter from the owner or operator requesting that the State-required mechanism be considered acceptable for meeting the requirements of this subpart;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the establishment of a State-required mechanism, including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sz w:val="22"/>
          <w:szCs w:val="22"/>
        </w:rPr>
        <w:t>--</w:t>
      </w:r>
      <w:r>
        <w:rPr>
          <w:sz w:val="22"/>
          <w:szCs w:val="22"/>
        </w:rPr>
        <w:tab/>
        <w:t>The facility's 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amount of funds for closure or post-closure care or liability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coverage assured by the mechanism;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required by the Regional Administrator in order to make the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The letter from the owner or operator;</w:t>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Written evidence of the establishment of a State-required financial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 xml:space="preserve">assurance mechanism;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 xml:space="preserve">Any additional information requested by the Regional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State Assumption of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264.150 and 265.150 require owners or operators to notify EPA when a State assumes legal responsibility or assures availability of funds for an owner's or operator's compliance with the closure, post-closure care, or liability requirements of this part.   Data items to be collected in this case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owner or operator requesting that the State's assumption of responsibility be considered acceptable for meeting the requirements of this subpart;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State describing the nature of the State's assumption of responsibility, including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facility's 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amount of funds for closure or post-closure care or liability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 coverage that are guaranteed by the State;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which the Regional Administrator deems necessary to make the determination whether the State's assumption of responsibility is acceptable.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letter from the owner or operator;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letter from the State describing the State's assumption of </w:t>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responsibility and including the information specified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956B84"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Submitting any additional information requested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Subpart F and G Requirements (§§266.70 and 266.80)</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266.70(d) and 266.80(b)(2) explain that two specific groups of respondents are also subject to Parts 264 and 265 financial assurance requirements:</w:t>
      </w:r>
    </w:p>
    <w:p w:rsidR="00147EDE" w:rsidRDefault="00147EDE" w:rsidP="00147EDE">
      <w:pPr>
        <w:pStyle w:val="ListBullet"/>
        <w:keepLines/>
        <w:widowControl/>
        <w:pBdr>
          <w:top w:val="single" w:sz="6" w:space="0" w:color="FFFFFF"/>
          <w:left w:val="single" w:sz="6" w:space="0" w:color="FFFFFF"/>
          <w:bottom w:val="single" w:sz="6" w:space="0" w:color="FFFFFF"/>
          <w:right w:val="single" w:sz="6" w:space="0" w:color="FFFFFF"/>
        </w:pBdr>
        <w:tabs>
          <w:tab w:val="clear" w:pos="720"/>
          <w:tab w:val="clear" w:pos="1080"/>
          <w:tab w:val="clear" w:pos="2520"/>
          <w:tab w:val="clear" w:pos="3240"/>
          <w:tab w:val="clear" w:pos="3960"/>
          <w:tab w:val="clear" w:pos="4680"/>
          <w:tab w:val="clear" w:pos="5400"/>
          <w:tab w:val="clear" w:pos="6120"/>
          <w:tab w:val="clear" w:pos="6840"/>
          <w:tab w:val="clear" w:pos="7560"/>
          <w:tab w:val="clear" w:pos="8280"/>
          <w:tab w:val="clear" w:pos="900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Persons who generate, transport, or store recyclable materials that are reclaimed to recover economically significant amounts of gold, silver, platinum, palladium, iridium, osmium, rhodium, ruthenium, or any combination of these;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of facilities that store spent lead acid batteries before reclaiming them.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40 CFR Part 270, Subpart C specifies conditions applicable to all permitted facilities.  40 CFR 270.30(h) requires owners and operators of permitted facilities to furnish any relevant information requested by EPA to determine whether cause exists for modifying, revoking and reissuing, or terminating a permit, or to determine compliance with the permit.  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Prompt notice of planned physical alternations or additions (§270.30(l)(1));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planned changes or activities which may result in noncompliance with permit requirements (§270.30(l)(2));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Letter certifying that the facility has been constructed or modified in compliance with the permit (§270.30(l)(2)(</w:t>
      </w:r>
      <w:proofErr w:type="spellStart"/>
      <w:r>
        <w:rPr>
          <w:sz w:val="22"/>
          <w:szCs w:val="22"/>
        </w:rPr>
        <w:t>i</w:t>
      </w:r>
      <w:proofErr w:type="spellEnd"/>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reports, submitted at the intervals specified in the permit (§270.30(l)(4));</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Reports of compliance or noncompliance with, or any progress reports on, interim and final requirements contained in any compliance schedule of the permit, submitted no later than 14 days following each schedule date (§270.30(l)(5));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report containing information concerning a release that may threaten drinking water supplies (§270.30(l)(6)(</w:t>
      </w:r>
      <w:proofErr w:type="spellStart"/>
      <w:r>
        <w:rPr>
          <w:sz w:val="22"/>
          <w:szCs w:val="22"/>
        </w:rPr>
        <w:t>i</w:t>
      </w:r>
      <w:proofErr w:type="spellEnd"/>
      <w:r>
        <w:rPr>
          <w:sz w:val="22"/>
          <w:szCs w:val="22"/>
        </w:rPr>
        <w:t>)(A), or information concerning a release, fire, or explosion which could threaten human health or the environment outside the facility (§270.30(l)(6)(</w:t>
      </w:r>
      <w:proofErr w:type="spellStart"/>
      <w:r>
        <w:rPr>
          <w:sz w:val="22"/>
          <w:szCs w:val="22"/>
        </w:rPr>
        <w:t>i</w:t>
      </w:r>
      <w:proofErr w:type="spellEnd"/>
      <w:r>
        <w:rPr>
          <w:sz w:val="22"/>
          <w:szCs w:val="22"/>
        </w:rPr>
        <w:t>)(B)), within 24 hours from the time the permittee becomes aware of the circumstances.  Such a report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lastRenderedPageBreak/>
        <w:t>--</w:t>
      </w:r>
      <w:r>
        <w:rPr>
          <w:sz w:val="22"/>
          <w:szCs w:val="22"/>
        </w:rPr>
        <w:tab/>
        <w:t>Name, address, and telephone number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address, and telephone number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Date, 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extent of injuries, if any;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An assessment of actual or potential hazards to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and human health outside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Estimated quantity and disposition of recovered material that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resulted from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(§270.30(l)(6)(iii);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any manifest discrepancy, as required by §264.72 (§270.30(l)(7).  [This requirement is burdened in "Requirements for Generators, Transporters, and Waste Management Facilities Under the RCRA Hazardous Waste Manifest System", ICR #801.];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receipt of </w:t>
      </w:r>
      <w:proofErr w:type="spellStart"/>
      <w:r>
        <w:rPr>
          <w:sz w:val="22"/>
          <w:szCs w:val="22"/>
        </w:rPr>
        <w:t>unmanifested</w:t>
      </w:r>
      <w:proofErr w:type="spellEnd"/>
      <w:r>
        <w:rPr>
          <w:sz w:val="22"/>
          <w:szCs w:val="22"/>
        </w:rPr>
        <w:t xml:space="preserve"> waste, as required by §264.76 (§270.30(l)(8)).   [This requirement is burdened in "Requirements for Generators, Transporters, and Waste Management Facilities Under the RCRA Hazardous Waste Manifest System", ICR #801.];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biennial report covering facility activities, as required by §264.75 (§270.30(l)(9)).  [This requirement is burdened in the "Hazardous Waste Report ICR", ICR #976.]</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other noncompliance not submitted with monitoring reports, compliance schedule reports, and reports of releases, fires, or explosions (§270.30(l)(10));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cases where the permittee becomes aware that he or she failed to submit any relevant facts in a permit application, or submitted incorrect information in any permit application or report, corrected or new information (§270.30(l)(11)).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40 CFR Part 270, Subpart C, owners and operators of permitted facilities must perform the following activities: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required information as described above.</w:t>
      </w:r>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bookmarkStart w:id="14" w:name="a_Toc364673499"/>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r>
        <w:rPr>
          <w:rFonts w:ascii="Times New Roman" w:hAnsi="Times New Roman" w:cs="Times New Roman"/>
        </w:rPr>
        <w:t>5.</w:t>
      </w:r>
      <w:r>
        <w:rPr>
          <w:rFonts w:ascii="Times New Roman" w:hAnsi="Times New Roman" w:cs="Times New Roman"/>
        </w:rPr>
        <w:tab/>
        <w:t>THE INFORMATION COLLECTED--AGENCY ACTIVITIES, COLLECTION METHODOLOGY, AND INFORMATION MANAGEMENT</w:t>
      </w:r>
      <w:bookmarkEnd w:id="14"/>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fldChar w:fldCharType="begin"/>
      </w:r>
      <w:r>
        <w:rPr>
          <w:b/>
          <w:bCs/>
          <w:sz w:val="22"/>
          <w:szCs w:val="22"/>
        </w:rPr>
        <w:instrText>tc \l1 "5.</w:instrText>
      </w:r>
      <w:r>
        <w:rPr>
          <w:b/>
          <w:bCs/>
          <w:sz w:val="22"/>
          <w:szCs w:val="22"/>
        </w:rPr>
        <w:tab/>
        <w:instrText>THE INFORMATION COLLECTED--AGENCY ACTIVITIES, COLLECTION METHODOLOGY, AND INFORMATION MANAGEMENT</w:instrText>
      </w:r>
      <w:r>
        <w:rPr>
          <w:b/>
          <w:bCs/>
          <w:sz w:val="22"/>
          <w:szCs w:val="22"/>
        </w:rPr>
        <w:fldChar w:fldCharType="end"/>
      </w:r>
      <w:bookmarkStart w:id="15" w:name="a_Toc361661316"/>
      <w:bookmarkEnd w:id="15"/>
      <w:r>
        <w:rPr>
          <w:rFonts w:ascii="Helvetica" w:hAnsi="Helvetica" w:cs="Helvetica"/>
          <w:vanish/>
          <w:sz w:val="22"/>
          <w:szCs w:val="22"/>
        </w:rPr>
        <w:t>4.THE INFORMATION COLLECTED</w:t>
      </w:r>
      <w:r>
        <w:rPr>
          <w:rFonts w:ascii="Helvetica" w:hAnsi="Helvetica" w:cs="Helvetica"/>
          <w:vanish/>
          <w:sz w:val="22"/>
          <w:szCs w:val="22"/>
        </w:rPr>
        <w:noBreakHyphen/>
      </w:r>
      <w:r>
        <w:rPr>
          <w:rFonts w:ascii="Helvetica" w:hAnsi="Helvetica" w:cs="Helvetica"/>
          <w:vanish/>
          <w:sz w:val="22"/>
          <w:szCs w:val="22"/>
        </w:rPr>
        <w:noBreakHyphen/>
        <w:t>AGENCY ACTIVITIES, COLLECTION METHODOLOGY, AND INFORMATION MANAGEMENT</w:t>
      </w:r>
      <w:r>
        <w:rPr>
          <w:rFonts w:ascii="Helvetica" w:hAnsi="Helvetica" w:cs="Helvetica"/>
          <w:vanish/>
          <w:sz w:val="22"/>
          <w:szCs w:val="22"/>
        </w:rPr>
        <w:fldChar w:fldCharType="begin"/>
      </w:r>
      <w:r>
        <w:rPr>
          <w:rFonts w:ascii="Helvetica" w:hAnsi="Helvetica" w:cs="Helvetica"/>
          <w:vanish/>
          <w:sz w:val="22"/>
          <w:szCs w:val="22"/>
        </w:rPr>
        <w:instrText>tc \l1 "4.THE INFORMATION COLLECTED</w:instrText>
      </w:r>
      <w:r>
        <w:rPr>
          <w:rFonts w:ascii="Helvetica" w:hAnsi="Helvetica" w:cs="Helvetica"/>
          <w:vanish/>
          <w:sz w:val="22"/>
          <w:szCs w:val="22"/>
        </w:rPr>
        <w:noBreakHyphen/>
      </w:r>
      <w:r>
        <w:rPr>
          <w:rFonts w:ascii="Helvetica" w:hAnsi="Helvetica" w:cs="Helvetica"/>
          <w:vanish/>
          <w:sz w:val="22"/>
          <w:szCs w:val="22"/>
        </w:rPr>
        <w:noBreakHyphen/>
        <w:instrText>AGENCY ACTIVITIES, COLLECTION METHODOLOGY, AND INFORMATION MANAGEMENT</w:instrText>
      </w:r>
      <w:r>
        <w:rPr>
          <w:rFonts w:ascii="Helvetica" w:hAnsi="Helvetica" w:cs="Helvetica"/>
          <w:vanish/>
          <w:sz w:val="22"/>
          <w:szCs w:val="22"/>
        </w:rPr>
        <w:fldChar w:fldCharType="end"/>
      </w:r>
      <w:r>
        <w:rPr>
          <w:sz w:val="22"/>
          <w:szCs w:val="22"/>
        </w:rPr>
        <w:tab/>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bookmarkStart w:id="16" w:name="a_Toc364673500"/>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823B86"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23B86">
        <w:rPr>
          <w:b/>
          <w:sz w:val="22"/>
          <w:szCs w:val="22"/>
        </w:rPr>
        <w:t>5(a)</w:t>
      </w:r>
      <w:r w:rsidRPr="00823B86">
        <w:rPr>
          <w:b/>
          <w:sz w:val="22"/>
          <w:szCs w:val="22"/>
        </w:rPr>
        <w:tab/>
        <w:t>AGENCY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GENERAL FACILITY OPERATING STANDARDS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RECORDKEEPING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Only one Agency activity is associated with the operating record requirements:  on-site review of the record.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b/>
          <w:bCs/>
          <w:sz w:val="22"/>
          <w:szCs w:val="22"/>
        </w:rPr>
        <w:t>(1)</w:t>
      </w:r>
      <w:r>
        <w:rPr>
          <w:b/>
          <w:bCs/>
          <w:sz w:val="22"/>
          <w:szCs w:val="22"/>
        </w:rPr>
        <w:tab/>
        <w:t>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Two Agency activities are associated with the development and amendment of the contingency plan:  reviewing the contingency plan during on-site inspections and reviewing revisions to the 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b/>
          <w:bCs/>
          <w:sz w:val="22"/>
          <w:szCs w:val="22"/>
        </w:rPr>
        <w:t>(2)</w:t>
      </w:r>
      <w:r>
        <w:rPr>
          <w:b/>
          <w:bCs/>
          <w:sz w:val="22"/>
          <w:szCs w:val="22"/>
        </w:rPr>
        <w:tab/>
        <w:t>Emergency Reporting Requirements</w:t>
      </w:r>
      <w:bookmarkEnd w:id="16"/>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Agency activities associated with emergency reporting requirements include reviewing documents in the owners' or operators' and emergency coordinators' emergency reports.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iCs/>
          <w:sz w:val="22"/>
          <w:szCs w:val="22"/>
        </w:rPr>
        <w:br w:type="page"/>
      </w:r>
      <w:r w:rsidRPr="00F9442C">
        <w:rPr>
          <w:b/>
          <w:bCs/>
          <w:iCs/>
          <w:sz w:val="22"/>
          <w:szCs w:val="22"/>
        </w:rPr>
        <w:lastRenderedPageBreak/>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There are two Agency activities associated with ground-water monitoring demonstrations and procedures:  reviewing demonstrations to terminate the compliance period and review and approval of proposed sampling methods and intervals.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RPr="00F9442C"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9442C">
        <w:rPr>
          <w:b/>
          <w:bCs/>
          <w:iCs/>
          <w:sz w:val="22"/>
          <w:szCs w:val="22"/>
        </w:rPr>
        <w:t>CLOSURE AND POST-CLOSURE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Agency activities associated with the regulations promulgated in 40 CFR, Parts 264 and 265, Subpart G, include reviewing the following data items: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 amendment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Partial/final closure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extensions and allowances;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Survey plats;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amendment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uses the cost estimates and financial assurance mechanisms to ensure compliance with Subpart H.  In the event that an owner or operator is unable or unwilling to perform closure or post-closure activities or to pay third-party damages, EPA will draw upon the mechanisms.  The cost estimates are normally retained by the owner or operator during interim status; they are submitted to the Region or authorized State as part of the permit process.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phase-in period for </w:t>
      </w:r>
      <w:proofErr w:type="spellStart"/>
      <w:r>
        <w:rPr>
          <w:sz w:val="22"/>
          <w:szCs w:val="22"/>
        </w:rPr>
        <w:t>nonsudden</w:t>
      </w:r>
      <w:proofErr w:type="spellEnd"/>
      <w:r>
        <w:rPr>
          <w:sz w:val="22"/>
          <w:szCs w:val="22"/>
        </w:rPr>
        <w:t xml:space="preserve"> coverage for existing facilities.  January 16, 1985 was the final phase-in date.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financial assurance information is submitted, EPA conducts a review for completeness, then enters the information into the RCRIS data base.  The EPA Regional or State offices establish a file </w:t>
      </w:r>
      <w:r>
        <w:rPr>
          <w:sz w:val="22"/>
          <w:szCs w:val="22"/>
        </w:rPr>
        <w:lastRenderedPageBreak/>
        <w:t>for each applicant that contains the submissions.  The financial instruments are maintained in a secure area.</w:t>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sz w:val="22"/>
          <w:szCs w:val="22"/>
        </w:rPr>
      </w:pPr>
      <w:r w:rsidRPr="00577104">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2B6D3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2B6D3C">
        <w:rPr>
          <w:b/>
          <w:bCs/>
          <w:sz w:val="22"/>
          <w:szCs w:val="22"/>
        </w:rPr>
        <w:t>5(b)</w:t>
      </w:r>
      <w:r w:rsidRPr="002B6D3C">
        <w:rPr>
          <w:b/>
          <w:bCs/>
          <w:sz w:val="22"/>
          <w:szCs w:val="22"/>
        </w:rPr>
        <w:tab/>
        <w:t>COLLECTION METHODOLOGY AND MANAGEMENT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collect and analyze the info</w:t>
      </w:r>
      <w:r w:rsidR="00E04A23">
        <w:rPr>
          <w:sz w:val="22"/>
          <w:szCs w:val="22"/>
        </w:rPr>
        <w:t>rmation discussed in this ICR,</w:t>
      </w:r>
      <w:r>
        <w:rPr>
          <w:sz w:val="22"/>
          <w:szCs w:val="22"/>
        </w:rPr>
        <w:t xml:space="preserve"> EPA keeps records of and reviews all of the information submitted.  Authorized States and EPA Regions enter the information into electronic data base systems.  States coordinate with the EPA Regions and OSW Headquarters to supply EPA with the data reported for inclusion in the </w:t>
      </w:r>
      <w:proofErr w:type="spellStart"/>
      <w:r>
        <w:rPr>
          <w:sz w:val="22"/>
          <w:szCs w:val="22"/>
        </w:rPr>
        <w:t>RCRAInfo</w:t>
      </w:r>
      <w:proofErr w:type="spellEnd"/>
      <w:r>
        <w:rPr>
          <w:sz w:val="22"/>
          <w:szCs w:val="22"/>
        </w:rPr>
        <w:t xml:space="preserve"> national database.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2B6D3C" w:rsidRDefault="00147EDE" w:rsidP="00147EDE">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b w:val="0"/>
          <w:bCs w:val="0"/>
        </w:rPr>
      </w:pPr>
      <w:bookmarkStart w:id="17" w:name="a_Toc364673502"/>
      <w:r w:rsidRPr="002B6D3C">
        <w:rPr>
          <w:rFonts w:ascii="Times New Roman" w:hAnsi="Times New Roman" w:cs="Times New Roman"/>
        </w:rPr>
        <w:t>5(c)</w:t>
      </w:r>
      <w:r w:rsidRPr="002B6D3C">
        <w:rPr>
          <w:rFonts w:ascii="Times New Roman" w:hAnsi="Times New Roman" w:cs="Times New Roman"/>
        </w:rPr>
        <w:tab/>
        <w:t>SMALL ENTITY FLEXIBILITY</w:t>
      </w:r>
      <w:bookmarkStart w:id="18" w:name="a_Toc361661319"/>
      <w:bookmarkEnd w:id="18"/>
      <w:r w:rsidRPr="002B6D3C">
        <w:rPr>
          <w:rFonts w:ascii="Times New Roman" w:hAnsi="Times New Roman" w:cs="Times New Roman"/>
          <w:vanish/>
        </w:rPr>
        <w:t>4(c)SMALL ENTITY FLEXIBILITY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fldChar w:fldCharType="begin"/>
      </w:r>
      <w:r>
        <w:rPr>
          <w:b/>
          <w:bCs/>
          <w:sz w:val="22"/>
          <w:szCs w:val="22"/>
        </w:rPr>
        <w:instrText>tc \l2 "5(c)</w:instrText>
      </w:r>
      <w:r>
        <w:rPr>
          <w:b/>
          <w:bCs/>
          <w:sz w:val="22"/>
          <w:szCs w:val="22"/>
        </w:rPr>
        <w:tab/>
      </w:r>
      <w:r>
        <w:rPr>
          <w:b/>
          <w:bCs/>
          <w:sz w:val="22"/>
          <w:szCs w:val="22"/>
          <w:u w:val="single"/>
        </w:rPr>
        <w:instrText>SMALL ENTITY FLEXIBILITY</w:instrText>
      </w:r>
      <w:r>
        <w:rPr>
          <w:b/>
          <w:bCs/>
          <w:vanish/>
          <w:sz w:val="22"/>
          <w:szCs w:val="22"/>
        </w:rPr>
        <w:instrText>4(c)SMALL ENTITY FLEXIBILITY</w:instrText>
      </w:r>
      <w:r>
        <w:rPr>
          <w:b/>
          <w:bCs/>
          <w:sz w:val="22"/>
          <w:szCs w:val="22"/>
        </w:rPr>
        <w:fldChar w:fldCharType="end"/>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bookmarkEnd w:id="17"/>
    <w:p w:rsidR="00147EDE" w:rsidRPr="002B6D3C" w:rsidRDefault="00147EDE" w:rsidP="00147EDE">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rPr>
      </w:pPr>
      <w:r w:rsidRPr="002B6D3C">
        <w:rPr>
          <w:rFonts w:ascii="Times New Roman" w:hAnsi="Times New Roman" w:cs="Times New Roman"/>
        </w:rPr>
        <w:t>5(d)</w:t>
      </w:r>
      <w:r w:rsidRPr="002B6D3C">
        <w:rPr>
          <w:rFonts w:ascii="Times New Roman" w:hAnsi="Times New Roman" w:cs="Times New Roman"/>
        </w:rPr>
        <w:tab/>
        <w:t>COLLECTION SCHEDULE</w:t>
      </w:r>
      <w:bookmarkStart w:id="19" w:name="a_Toc361661320"/>
      <w:bookmarkEnd w:id="4"/>
      <w:bookmarkEnd w:id="19"/>
      <w:r w:rsidRPr="002B6D3C">
        <w:rPr>
          <w:rFonts w:ascii="Times New Roman" w:hAnsi="Times New Roman" w:cs="Times New Roman"/>
          <w:vanish/>
        </w:rPr>
        <w:t>4(d)COLLECTION SCHEDULE</w:t>
      </w:r>
      <w:r w:rsidRPr="002B6D3C">
        <w:rPr>
          <w:rFonts w:ascii="Times New Roman" w:hAnsi="Times New Roman" w:cs="Times New Roman"/>
          <w:vanish/>
        </w:rPr>
        <w:fldChar w:fldCharType="begin"/>
      </w:r>
      <w:r w:rsidRPr="002B6D3C">
        <w:rPr>
          <w:rFonts w:ascii="Times New Roman" w:hAnsi="Times New Roman" w:cs="Times New Roman"/>
          <w:vanish/>
        </w:rPr>
        <w:instrText>tc \l2 "</w:instrText>
      </w:r>
      <w:r w:rsidRPr="002B6D3C">
        <w:rPr>
          <w:rFonts w:ascii="Times New Roman" w:hAnsi="Times New Roman" w:cs="Times New Roman"/>
        </w:rPr>
        <w:instrText>5(d)</w:instrText>
      </w:r>
      <w:r w:rsidRPr="002B6D3C">
        <w:rPr>
          <w:rFonts w:ascii="Times New Roman" w:hAnsi="Times New Roman" w:cs="Times New Roman"/>
        </w:rPr>
        <w:tab/>
        <w:instrText>COLLECTION SCHEDULE</w:instrText>
      </w:r>
      <w:r w:rsidRPr="002B6D3C">
        <w:rPr>
          <w:rFonts w:ascii="Times New Roman" w:hAnsi="Times New Roman" w:cs="Times New Roman"/>
          <w:vanish/>
        </w:rPr>
        <w:instrText>4(d)COLLECTION SCHEDULE</w:instrText>
      </w:r>
      <w:r w:rsidRPr="002B6D3C">
        <w:rPr>
          <w:rFonts w:ascii="Times New Roman" w:hAnsi="Times New Roman" w:cs="Times New Roman"/>
          <w:vanish/>
        </w:rPr>
        <w:fldChar w:fldCharType="end"/>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577104">
        <w:rPr>
          <w:b/>
          <w:bCs/>
          <w:iCs/>
          <w:sz w:val="22"/>
          <w:szCs w:val="22"/>
        </w:rPr>
        <w:t>GENERAL FACILITY STANDARDS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reporting requirements outlined in the regulations will vary according to individual facility circumstances (e.g., when receiving hazardous waste from a foreign source).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RECORDKEEPING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the operating record is maintained at the facility, discussion of a collection schedule is not applicable.  Copies of records of waste disposal are submitted to EPA upon closure of the facility.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lastRenderedPageBreak/>
        <w:t>CONTINGENCY PLAN AND EMERGENCY REPORTING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contingency plan is collected when the permittee submits the Part B permit application.  A discussion of the contingency plan collection schedule for permitted facilities is included in the Hazardous Waste Part B Permit Applications, Special Permits, and Permit Modifications ICR (#1573).  Since interim status facilities are not required to submit their contingency plans to EPA, discussion of a collection schedule for these facilities is not applicable.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 xml:space="preserve">CLOSURE AND POST-CLOSURE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Permitted facilities submit their closure and post-closure plans to EPA when submitting a Part B permit application.  A discussion addressing collection schedules for permitted facilities is included in the Hazardous Waste Part B Permit Applications, Special Permits, and Permit Modifications ICR (#1573).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closure and post-closure plans must be submitted according to the following schedules: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45 days prior to the date on which he or she expects to begin final closure of a facility with only tanks, container storage, or incinerator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and operators with approved closure plans must notify the Regional Administrator in writing at least 45 days prior to the date on which they expect to begin final closure of a facility with only tanks, container storage, or incinerator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no later than 15 days after: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Termination of interim status except when a permit is issued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simultaneously with termination of interim status;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Issuance of a judicial decree or final order under §3008 of RCRA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to cease receiving hazardous wastes or close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does not approve the closure plan, he or she shall provide the owner or operator with a detailed written statement of reasons for the refusal and the owner or operator must modify the plan or submit a new plan for approval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An owner or operator of a surface impoundment or waste pile that intends to remove all hazardous waste at closure must prepare a post-closure plan and submit it to the Regional Administrator within 90 days of the date that the owner or operator or Regional Administrator determines that the hazardous waste management unit or facility must be closed as a landfill, subject to the requirements of §§265.117 through 265.120;</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an owner or operator of a surface impoundment or a waste pile who intended to remove all hazardous wastes at closure in accordance with §265.228(b) or §265.258(a) is required to close as a landfill in accordance with §265.310, the owner or operator must submit a post-closure plan within 90 days of the determination by the owner or operator or Regional Administrator that the unit must be closed;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determines that an owner or operator of a surface impoundment or waste pile who intended to remove all hazardous wastes at closure must close the facility as a landfill, the owner or operator must submit a post-closure plan for approval to the Regional Administrator within 90 days of the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the post-closure plan to the Regional Administrator at least 180 days before the date he or she expects to begin partial or final closure of the first hazardous waste disposal unit.  The date he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his post-closure plan to the Regional Administrator no later than 15 days after: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Termination of interim status except when a permit is issued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simultaneously with termination of interim status;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hanging="16"/>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Issuance of a judicial decree or final order under §3008 of RCRA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to cease receiving hazardous wastes or close.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Both interim status and permitted facilities are required to request approval for post-closure plan modifications.  Since permitted facilities must submit permit modifications to authorize changes to their post-closure plans, a discussion addressing scheduling requirements for permitted facilities' modifications to the post-closure plan is included in ICR #1573.  The following is a schedule for interim status facilities: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owner or operator with an approved post-closure plan must submit the modified plan to the Regional Administrator at least 60 days prior to the proposed change in facility </w:t>
      </w:r>
      <w:r>
        <w:rPr>
          <w:sz w:val="22"/>
          <w:szCs w:val="22"/>
        </w:rPr>
        <w:lastRenderedPageBreak/>
        <w:t>design or operation, or no more than 60 days after an unexpected event has occurred which has affected the post-closure plan;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Regional Administrator requests modifications to the post-closure plan, the owner or operator with an approved post-closure plan must submit the modified plan to the Regional Administrator no later than 60 days of the request from the Regional Administrator.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Both interim status and permitted facilities are required to submit closure certifications, survey plats, and post-closure notices according to the following schedules: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certification of closure to the Regional Administrator within 60 days of completion of closure for each hazardous waste surface impoundment, waste pile, land treatment, and landfill unit and within 60 days of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the submission of the certification of closure, the owner or operator must submit to the Regional Administrator a 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Regional Administrator does not approve the post-closure plan, he shall provide the owner or operator with a detailed written statement of reasons for the refusal and the owner or operator must modify the plan or submit a new plan for approval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post-closure notice to the Regional Administrator within 60 days of certification of closure for each hazardous waste disposal unit;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certification of closure of each hazardous waste disposal unit, the owner or operator must submit to the Regional Administrator a record of the type, location, and quantity of hazardous wastes disposed of within each cell or other disposal unit of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the completion of the established post-closure care period for each hazardous waste disposal unit, the owner or operator must submit to the Regional Administrator a certification that the post-closure care period for the unit was performed in accordance with the specifications in the approved post-closure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FINANCIAL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For closure and post-closure cost estimates, owners or operators must prepare initial cost estimates for activities identified in the closure and post-closure plans.  Thereafter, owners or operators must provide annual adjustments of these cost estimates to account for inflation.  Also, owners or operators may be required to prepare new cost estimates, if changes in the closure or post-closure plan increase closure or post-closure costs.  This burden will vary from facility to facility.</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closure and post-closure care financial instruments, owners or operators must initially establish a financial instrument(s) assuring the cost of closure and post-closure care.  Thereafter, owners or operators must annually check the amount covered by the instrument(s) to make sure it equals the adjusted cost estimate, and change the amount assured accordingly.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 xml:space="preserve">For liability coverage requirements, owners or operators of facilities identified in §§264.147 and 265.147 must initially demonstrate liability coverage for sudden and </w:t>
      </w:r>
      <w:proofErr w:type="spellStart"/>
      <w:r>
        <w:rPr>
          <w:sz w:val="22"/>
          <w:szCs w:val="22"/>
        </w:rPr>
        <w:t>nonsudden</w:t>
      </w:r>
      <w:proofErr w:type="spellEnd"/>
      <w:r>
        <w:rPr>
          <w:sz w:val="22"/>
          <w:szCs w:val="22"/>
        </w:rPr>
        <w:t xml:space="preserve">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CONDITIONS APPLICABLE TO ALL PERMIT</w:t>
      </w:r>
      <w:r>
        <w:rPr>
          <w:b/>
          <w:bCs/>
          <w:i/>
          <w:iCs/>
          <w:sz w:val="22"/>
          <w:szCs w:val="22"/>
        </w:rPr>
        <w: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6.</w:t>
      </w:r>
      <w:r>
        <w:rPr>
          <w:b/>
          <w:bCs/>
          <w:sz w:val="22"/>
          <w:szCs w:val="22"/>
        </w:rPr>
        <w:tab/>
        <w:t>ESTIMATING THE BURDEN AND COST OF THE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2B6D3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2B6D3C">
        <w:rPr>
          <w:b/>
          <w:bCs/>
          <w:sz w:val="22"/>
          <w:szCs w:val="22"/>
        </w:rPr>
        <w:t>6(a)</w:t>
      </w:r>
      <w:r w:rsidRPr="002B6D3C">
        <w:rPr>
          <w:b/>
          <w:bCs/>
          <w:sz w:val="22"/>
          <w:szCs w:val="22"/>
        </w:rPr>
        <w:tab/>
        <w:t>ESTIMATING RESPONDENT BURDEN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42592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00147EDE">
        <w:rPr>
          <w:sz w:val="22"/>
          <w:szCs w:val="22"/>
        </w:rPr>
        <w:t xml:space="preserve">Exhibits 1 through 7 </w:t>
      </w:r>
      <w:r>
        <w:rPr>
          <w:sz w:val="22"/>
          <w:szCs w:val="22"/>
        </w:rPr>
        <w:t xml:space="preserve">below </w:t>
      </w:r>
      <w:r w:rsidR="00147EDE">
        <w:rPr>
          <w:sz w:val="22"/>
          <w:szCs w:val="22"/>
        </w:rPr>
        <w:t>present the number of hours required to conduct each individual information collection activity and the cost associated with that activity.  Exhibit 8 presents annual respondent bottom-line burden hours and costs for all information collection requirements in this ICR.</w:t>
      </w:r>
      <w:r>
        <w:rPr>
          <w:sz w:val="22"/>
          <w:szCs w:val="22"/>
        </w:rPr>
        <w:t xml:space="preserve">  Exhibits 11 and 12 present the number of hours for State Agencies.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br w:type="page"/>
      </w:r>
    </w:p>
    <w:p w:rsidR="00147EDE" w:rsidRPr="002B6D3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2B6D3C">
        <w:rPr>
          <w:b/>
          <w:bCs/>
          <w:sz w:val="22"/>
          <w:szCs w:val="22"/>
        </w:rPr>
        <w:lastRenderedPageBreak/>
        <w:t>6(b)</w:t>
      </w:r>
      <w:r w:rsidRPr="002B6D3C">
        <w:rPr>
          <w:b/>
          <w:bCs/>
          <w:sz w:val="22"/>
          <w:szCs w:val="22"/>
        </w:rPr>
        <w:tab/>
        <w:t>ESTIMATING RESPONDENT COSTS</w:t>
      </w:r>
      <w:bookmarkStart w:id="20" w:name="a_Toc361661332"/>
      <w:bookmarkEnd w:id="20"/>
      <w:r w:rsidRPr="002B6D3C">
        <w:rPr>
          <w:b/>
          <w:bCs/>
          <w:vanish/>
          <w:sz w:val="22"/>
          <w:szCs w:val="22"/>
        </w:rPr>
        <w:t>6(a)ESTIMATING RESPONDENT BURDEN</w:t>
      </w: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797F">
        <w:rPr>
          <w:b/>
          <w:bCs/>
          <w:sz w:val="22"/>
          <w:szCs w:val="22"/>
        </w:rPr>
        <w:t>LABOR COSTS</w:t>
      </w: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5130D" w:rsidRPr="0025130D" w:rsidRDefault="00F56BBC" w:rsidP="002513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141FA5">
        <w:rPr>
          <w:sz w:val="22"/>
          <w:szCs w:val="22"/>
        </w:rPr>
        <w:t>For the private sector, EPA estimates an average hourly respondent labor cost (including fringe and overhead) of $12</w:t>
      </w:r>
      <w:r w:rsidR="0025130D">
        <w:rPr>
          <w:sz w:val="22"/>
          <w:szCs w:val="22"/>
        </w:rPr>
        <w:t>6.89 for legal staff, $75.00 for managerial staff, $55.89 for technical staff, and $33.62</w:t>
      </w:r>
      <w:r w:rsidRPr="00141FA5">
        <w:rPr>
          <w:sz w:val="22"/>
          <w:szCs w:val="22"/>
        </w:rPr>
        <w:t xml:space="preserve"> for clerical staff.  </w:t>
      </w:r>
      <w:r w:rsidR="0025130D" w:rsidRPr="0025130D">
        <w:rPr>
          <w:sz w:val="22"/>
          <w:szCs w:val="22"/>
        </w:rPr>
        <w:t>These wage rates are based on the rates from last renewal, multiplied by an inflation rate of 3.4% to bring them up to 201</w:t>
      </w:r>
      <w:r w:rsidR="0025130D">
        <w:rPr>
          <w:sz w:val="22"/>
          <w:szCs w:val="22"/>
        </w:rPr>
        <w:t>6</w:t>
      </w:r>
      <w:r w:rsidR="0025130D" w:rsidRPr="0025130D">
        <w:rPr>
          <w:sz w:val="22"/>
          <w:szCs w:val="22"/>
        </w:rPr>
        <w:t xml:space="preserve"> rates.</w:t>
      </w:r>
    </w:p>
    <w:p w:rsidR="00141FA5" w:rsidRPr="00141FA5" w:rsidRDefault="00141FA5" w:rsidP="00141FA5">
      <w:pPr>
        <w:widowControl/>
        <w:tabs>
          <w:tab w:val="left" w:pos="-1440"/>
        </w:tabs>
        <w:rPr>
          <w:sz w:val="22"/>
          <w:szCs w:val="22"/>
        </w:rPr>
      </w:pPr>
      <w:r w:rsidRPr="00141FA5">
        <w:rPr>
          <w:sz w:val="22"/>
          <w:szCs w:val="22"/>
        </w:rPr>
        <w:tab/>
      </w:r>
    </w:p>
    <w:p w:rsidR="00141FA5" w:rsidRPr="00141FA5" w:rsidRDefault="00141FA5" w:rsidP="00141FA5">
      <w:pPr>
        <w:widowControl/>
        <w:tabs>
          <w:tab w:val="left" w:pos="-1440"/>
        </w:tabs>
        <w:rPr>
          <w:sz w:val="22"/>
          <w:szCs w:val="22"/>
        </w:rPr>
      </w:pPr>
      <w:r w:rsidRPr="00141FA5">
        <w:rPr>
          <w:sz w:val="22"/>
          <w:szCs w:val="22"/>
        </w:rPr>
        <w:tab/>
      </w:r>
      <w:r w:rsidR="0025130D">
        <w:rPr>
          <w:sz w:val="22"/>
          <w:szCs w:val="22"/>
        </w:rPr>
        <w:t xml:space="preserve">For State Agencies, </w:t>
      </w:r>
      <w:r w:rsidR="0025130D" w:rsidRPr="0025130D">
        <w:rPr>
          <w:sz w:val="22"/>
          <w:szCs w:val="22"/>
        </w:rPr>
        <w:t>EPA estimates an average hourly respondent labor cost (including fringe and overhead) of $60.57 for legal staff, $56.86 for managerial staff, $34.02 for technical staff, and $21.70 for clerical staff.</w:t>
      </w:r>
      <w:r w:rsidR="0025130D" w:rsidRPr="00982A74">
        <w:t xml:space="preserve">  </w:t>
      </w:r>
      <w:r w:rsidRPr="00141FA5">
        <w:rPr>
          <w:sz w:val="22"/>
          <w:szCs w:val="22"/>
        </w:rPr>
        <w:t>These labor costs were obta</w:t>
      </w:r>
      <w:r w:rsidR="0025130D">
        <w:rPr>
          <w:sz w:val="22"/>
          <w:szCs w:val="22"/>
        </w:rPr>
        <w:t>ined from EPA ICR Number 0976.16</w:t>
      </w:r>
      <w:r w:rsidRPr="00141FA5">
        <w:rPr>
          <w:sz w:val="22"/>
          <w:szCs w:val="22"/>
        </w:rPr>
        <w:t>.</w:t>
      </w:r>
    </w:p>
    <w:p w:rsidR="00141FA5" w:rsidRPr="009265AA" w:rsidRDefault="00141FA5" w:rsidP="00141FA5">
      <w:pPr>
        <w:keepNext/>
        <w:widowControl/>
        <w:tabs>
          <w:tab w:val="left" w:pos="-1440"/>
        </w:tabs>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CAPITAL COSTS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estimates that all new facilities and facilities with new Part B permits will incur capital costs associated with purchasing file storage systems for maintaining records.  EPA realizes that facilities will likely use different and various file storage systems (e.g., file cabinets, CD-ROM, off-site storage, </w:t>
      </w:r>
      <w:proofErr w:type="spellStart"/>
      <w:r>
        <w:rPr>
          <w:sz w:val="22"/>
          <w:szCs w:val="22"/>
        </w:rPr>
        <w:t>etc</w:t>
      </w:r>
      <w:proofErr w:type="spellEnd"/>
      <w:r>
        <w:rPr>
          <w:sz w:val="22"/>
          <w:szCs w:val="22"/>
        </w:rPr>
        <w:t xml:space="preserve">) and store their files on different media (paper, microfiche, electronic files, </w:t>
      </w:r>
      <w:proofErr w:type="spellStart"/>
      <w:r>
        <w:rPr>
          <w:sz w:val="22"/>
          <w:szCs w:val="22"/>
        </w:rPr>
        <w:t>etc</w:t>
      </w:r>
      <w:proofErr w:type="spellEnd"/>
      <w:r>
        <w:rPr>
          <w:sz w:val="22"/>
          <w:szCs w:val="22"/>
        </w:rPr>
        <w:t>).  For purposes of estimating these capital costs across all facilities, EPA has made the conservative assumption that every facility will store their files in paper form in file cabinets.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EPA estimates that during the facilities’ operating and post-closure periods each facility will store an average 48,000 pieces of paper.  Therefore, the average facility will need to purchase three 5-drawer lateral file cabinets that each hold 16,000 pieces of paper.  As the current market price for such a file cabinet is $549, each facility would therefore purchase $1,647 worth of file cabinets.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OPERATION AND MAINTENANCE COSTS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755FD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As shown in all exhibits, post</w:t>
      </w:r>
      <w:r w:rsidR="00755FD4">
        <w:rPr>
          <w:sz w:val="22"/>
          <w:szCs w:val="22"/>
        </w:rPr>
        <w:t>age costs are estimated at $0.49</w:t>
      </w:r>
      <w:r w:rsidRPr="00C30398">
        <w:rPr>
          <w:sz w:val="22"/>
          <w:szCs w:val="22"/>
        </w:rPr>
        <w:t xml:space="preserve"> per one ounce letter, $</w:t>
      </w:r>
      <w:r w:rsidR="00755FD4">
        <w:rPr>
          <w:sz w:val="22"/>
          <w:szCs w:val="22"/>
        </w:rPr>
        <w:t>5.75</w:t>
      </w:r>
      <w:r w:rsidRPr="00C30398">
        <w:rPr>
          <w:sz w:val="22"/>
          <w:szCs w:val="22"/>
        </w:rPr>
        <w:t xml:space="preserve"> </w:t>
      </w:r>
      <w:r w:rsidR="00755FD4">
        <w:rPr>
          <w:sz w:val="22"/>
          <w:szCs w:val="22"/>
        </w:rPr>
        <w:t>per submittal for flat-rate</w:t>
      </w:r>
      <w:r w:rsidRPr="00C30398">
        <w:rPr>
          <w:sz w:val="22"/>
          <w:szCs w:val="22"/>
        </w:rPr>
        <w:t xml:space="preserve"> by priority mail, and $</w:t>
      </w:r>
      <w:r w:rsidR="00755FD4">
        <w:rPr>
          <w:sz w:val="22"/>
          <w:szCs w:val="22"/>
        </w:rPr>
        <w:t>12.20</w:t>
      </w:r>
      <w:r w:rsidRPr="00C30398">
        <w:rPr>
          <w:sz w:val="22"/>
          <w:szCs w:val="22"/>
        </w:rPr>
        <w:t xml:space="preserve"> per submittal that must be sent by registered, priority mail.  </w:t>
      </w:r>
    </w:p>
    <w:p w:rsidR="00755FD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In Exhibit 1, EPA estimates purchased material costs/and or lump-sum purchased service costs for waste analysis, specifically $</w:t>
      </w:r>
      <w:r w:rsidR="00E04A23" w:rsidRPr="00C30398">
        <w:rPr>
          <w:sz w:val="22"/>
          <w:szCs w:val="22"/>
        </w:rPr>
        <w:t>1,000</w:t>
      </w:r>
      <w:r w:rsidRPr="00C30398">
        <w:rPr>
          <w:sz w:val="22"/>
          <w:szCs w:val="22"/>
        </w:rPr>
        <w:t xml:space="preserve"> per analysis for non-commercial facilities and $400 per analysis for commercial facilities.  </w:t>
      </w:r>
    </w:p>
    <w:p w:rsidR="00755FD4" w:rsidRDefault="00755FD4"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In Exhibit 5, EPA estimates 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2B6D3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6D3C">
        <w:rPr>
          <w:b/>
          <w:bCs/>
          <w:sz w:val="22"/>
          <w:szCs w:val="22"/>
        </w:rPr>
        <w:t>6(c)</w:t>
      </w:r>
      <w:r w:rsidRPr="002B6D3C">
        <w:rPr>
          <w:b/>
          <w:bCs/>
          <w:sz w:val="22"/>
          <w:szCs w:val="22"/>
        </w:rPr>
        <w:tab/>
        <w:t>ESTIMATING AGENCY BURDEN AND COST</w:t>
      </w: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A51F3C" w:rsidRPr="00F56BBC" w:rsidRDefault="00A51F3C" w:rsidP="00A51F3C">
      <w:pPr>
        <w:ind w:firstLine="720"/>
        <w:rPr>
          <w:sz w:val="22"/>
          <w:szCs w:val="22"/>
        </w:rPr>
      </w:pPr>
      <w:r w:rsidRPr="00F56BBC">
        <w:rPr>
          <w:sz w:val="22"/>
          <w:szCs w:val="22"/>
        </w:rPr>
        <w:t xml:space="preserve">EPA estimates annual Agency burden hours and costs associated with all the requirements </w:t>
      </w:r>
      <w:r w:rsidRPr="00F56BBC">
        <w:rPr>
          <w:sz w:val="22"/>
          <w:szCs w:val="22"/>
        </w:rPr>
        <w:lastRenderedPageBreak/>
        <w:t>covered in this ICR in Exhibit</w:t>
      </w:r>
      <w:r w:rsidR="0042592A">
        <w:rPr>
          <w:sz w:val="22"/>
          <w:szCs w:val="22"/>
        </w:rPr>
        <w:t>s 9 and 10.</w:t>
      </w:r>
      <w:r w:rsidRPr="00F56BBC">
        <w:rPr>
          <w:sz w:val="22"/>
          <w:szCs w:val="22"/>
        </w:rPr>
        <w:t xml:space="preserve">  EPA estimates the Agency hour and cost burden associated with the information collection requirements covered in this ICR.  EPA estimates an average hourly labor cost of $86.56 for legal staff (GS15, Step 5), $76.38 for managerial staff (GS-15, Step 1), $54.94 for technical staff (GS-13, Step 1), and $23.44 for clerical staff (GS-06, Step 1).  To derive these hourly estimates, EPA referred to the General Schedule (GS) Salary Table 201</w:t>
      </w:r>
      <w:r>
        <w:rPr>
          <w:sz w:val="22"/>
          <w:szCs w:val="22"/>
        </w:rPr>
        <w:t>6</w:t>
      </w:r>
      <w:r w:rsidRPr="00F56BBC">
        <w:rPr>
          <w:sz w:val="22"/>
          <w:szCs w:val="22"/>
        </w:rPr>
        <w:t>.  This publication summarizes the unloaded (base) hourly rate for various labor categories in the Federal Government.  EPA then applied the standard government overhead factor of 1.6 to the unloaded rate to derive loaded hourly rates.</w:t>
      </w:r>
    </w:p>
    <w:p w:rsidR="00A51F3C" w:rsidRDefault="00A51F3C" w:rsidP="00A51F3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00147EDE" w:rsidRPr="002B6D3C" w:rsidRDefault="00147EDE" w:rsidP="00147EDE">
      <w:pPr>
        <w:rPr>
          <w:b/>
          <w:sz w:val="22"/>
          <w:szCs w:val="22"/>
        </w:rPr>
      </w:pPr>
      <w:r w:rsidRPr="002B6D3C">
        <w:rPr>
          <w:b/>
          <w:sz w:val="22"/>
          <w:szCs w:val="22"/>
        </w:rPr>
        <w:t>6(d)</w:t>
      </w:r>
      <w:r w:rsidRPr="002B6D3C">
        <w:rPr>
          <w:b/>
          <w:sz w:val="22"/>
          <w:szCs w:val="22"/>
        </w:rPr>
        <w:tab/>
        <w:t>RESPONDENT UNIVERSE AND TOTAL RESPONDENT BURDEN AND COST</w:t>
      </w:r>
    </w:p>
    <w:p w:rsidR="00147EDE" w:rsidRPr="00577104" w:rsidRDefault="00147EDE" w:rsidP="00147EDE">
      <w:pPr>
        <w:rPr>
          <w:b/>
          <w:sz w:val="22"/>
          <w:szCs w:val="22"/>
        </w:rPr>
      </w:pPr>
    </w:p>
    <w:p w:rsidR="00147EDE" w:rsidRPr="00577104" w:rsidRDefault="00147EDE" w:rsidP="00147EDE">
      <w:pPr>
        <w:rPr>
          <w:b/>
          <w:sz w:val="22"/>
          <w:szCs w:val="22"/>
        </w:rPr>
      </w:pPr>
      <w:r w:rsidRPr="00577104">
        <w:rPr>
          <w:b/>
          <w:sz w:val="22"/>
          <w:szCs w:val="22"/>
        </w:rPr>
        <w:t>RESPONDENT UNIVERSE</w:t>
      </w:r>
    </w:p>
    <w:p w:rsidR="00147EDE" w:rsidRPr="00577104" w:rsidRDefault="00147EDE" w:rsidP="00147EDE">
      <w:pPr>
        <w:rPr>
          <w:b/>
          <w:sz w:val="22"/>
          <w:szCs w:val="22"/>
        </w:rPr>
      </w:pPr>
    </w:p>
    <w:p w:rsidR="00147EDE" w:rsidRDefault="00147EDE" w:rsidP="00147EDE">
      <w:pPr>
        <w:rPr>
          <w:sz w:val="22"/>
          <w:szCs w:val="22"/>
        </w:rPr>
      </w:pPr>
      <w:r w:rsidRPr="00577104">
        <w:rPr>
          <w:sz w:val="22"/>
          <w:szCs w:val="22"/>
        </w:rPr>
        <w:t xml:space="preserve">Table 1 presents the estimated universe of facilities that are affected by the General Facility Standard requirements. </w:t>
      </w:r>
    </w:p>
    <w:p w:rsidR="00147EDE" w:rsidRPr="00577104" w:rsidRDefault="00147EDE" w:rsidP="00147EDE">
      <w:pPr>
        <w:rPr>
          <w:sz w:val="22"/>
          <w:szCs w:val="22"/>
        </w:rPr>
      </w:pP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lastRenderedPageBreak/>
        <w:t>TABLE 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r>
        <w:rPr>
          <w:b/>
          <w:bCs/>
          <w:sz w:val="18"/>
          <w:szCs w:val="18"/>
        </w:rPr>
        <w:t>Estimated Universe of Facilities Affected by General Facility Standard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p>
    <w:tbl>
      <w:tblPr>
        <w:tblW w:w="0" w:type="auto"/>
        <w:tblInd w:w="31" w:type="dxa"/>
        <w:tblLayout w:type="fixed"/>
        <w:tblCellMar>
          <w:left w:w="31" w:type="dxa"/>
          <w:right w:w="31" w:type="dxa"/>
        </w:tblCellMar>
        <w:tblLook w:val="0000" w:firstRow="0" w:lastRow="0" w:firstColumn="0" w:lastColumn="0" w:noHBand="0" w:noVBand="0"/>
      </w:tblPr>
      <w:tblGrid>
        <w:gridCol w:w="5040"/>
        <w:gridCol w:w="1140"/>
        <w:gridCol w:w="1672"/>
        <w:gridCol w:w="1417"/>
      </w:tblGrid>
      <w:tr w:rsidR="00147EDE" w:rsidTr="002208CC">
        <w:tc>
          <w:tcPr>
            <w:tcW w:w="5040" w:type="dxa"/>
            <w:tcBorders>
              <w:top w:val="single" w:sz="15" w:space="0" w:color="000000"/>
              <w:left w:val="single" w:sz="15" w:space="0" w:color="000000"/>
              <w:bottom w:val="double" w:sz="4" w:space="0" w:color="000000"/>
              <w:right w:val="single" w:sz="6" w:space="0" w:color="000000"/>
            </w:tcBorders>
          </w:tcPr>
          <w:p w:rsidR="00147EDE" w:rsidRDefault="00147EDE" w:rsidP="002208CC">
            <w:pPr>
              <w:spacing w:line="58" w:lineRule="exact"/>
              <w:rPr>
                <w:sz w:val="22"/>
                <w:szCs w:val="22"/>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6"/>
                <w:szCs w:val="16"/>
              </w:rPr>
            </w:pPr>
          </w:p>
        </w:tc>
        <w:tc>
          <w:tcPr>
            <w:tcW w:w="1140" w:type="dxa"/>
            <w:tcBorders>
              <w:top w:val="single" w:sz="15" w:space="0" w:color="000000"/>
              <w:left w:val="single" w:sz="6" w:space="0" w:color="000000"/>
              <w:bottom w:val="double" w:sz="4"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Permitted</w:t>
            </w:r>
          </w:p>
        </w:tc>
        <w:tc>
          <w:tcPr>
            <w:tcW w:w="1672" w:type="dxa"/>
            <w:tcBorders>
              <w:top w:val="single" w:sz="15" w:space="0" w:color="000000"/>
              <w:left w:val="single" w:sz="6" w:space="0" w:color="000000"/>
              <w:bottom w:val="double" w:sz="4"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Interim Status</w:t>
            </w:r>
          </w:p>
        </w:tc>
        <w:tc>
          <w:tcPr>
            <w:tcW w:w="1417" w:type="dxa"/>
            <w:tcBorders>
              <w:top w:val="single" w:sz="15" w:space="0" w:color="000000"/>
              <w:left w:val="single" w:sz="6" w:space="0" w:color="000000"/>
              <w:bottom w:val="double" w:sz="4" w:space="0" w:color="000000"/>
              <w:right w:val="single" w:sz="15"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Total</w:t>
            </w:r>
          </w:p>
        </w:tc>
      </w:tr>
      <w:tr w:rsidR="00147EDE" w:rsidTr="002208CC">
        <w:tc>
          <w:tcPr>
            <w:tcW w:w="5040" w:type="dxa"/>
            <w:tcBorders>
              <w:top w:val="double" w:sz="4" w:space="0" w:color="000000"/>
              <w:left w:val="single" w:sz="15" w:space="0" w:color="000000"/>
              <w:bottom w:val="single" w:sz="6" w:space="0" w:color="000000"/>
              <w:right w:val="single" w:sz="6" w:space="0" w:color="000000"/>
            </w:tcBorders>
          </w:tcPr>
          <w:p w:rsidR="00147EDE" w:rsidRDefault="00147EDE" w:rsidP="002208CC">
            <w:pPr>
              <w:spacing w:line="80"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All Facilities (Operating &amp; Closed/Post Closed)</w:t>
            </w:r>
          </w:p>
        </w:tc>
        <w:tc>
          <w:tcPr>
            <w:tcW w:w="1140" w:type="dxa"/>
            <w:tcBorders>
              <w:top w:val="double" w:sz="4" w:space="0" w:color="000000"/>
              <w:left w:val="single" w:sz="6" w:space="0" w:color="000000"/>
              <w:bottom w:val="single" w:sz="6" w:space="0" w:color="000000"/>
              <w:right w:val="single" w:sz="6" w:space="0" w:color="000000"/>
            </w:tcBorders>
          </w:tcPr>
          <w:p w:rsidR="00147EDE" w:rsidRDefault="00147EDE" w:rsidP="002208CC">
            <w:pPr>
              <w:spacing w:line="80"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1,427</w:t>
            </w:r>
          </w:p>
        </w:tc>
        <w:tc>
          <w:tcPr>
            <w:tcW w:w="1672" w:type="dxa"/>
            <w:tcBorders>
              <w:top w:val="double" w:sz="4" w:space="0" w:color="000000"/>
              <w:left w:val="single" w:sz="6" w:space="0" w:color="000000"/>
              <w:bottom w:val="single" w:sz="6" w:space="0" w:color="000000"/>
              <w:right w:val="single" w:sz="6" w:space="0" w:color="000000"/>
            </w:tcBorders>
          </w:tcPr>
          <w:p w:rsidR="00147EDE" w:rsidRDefault="00147EDE" w:rsidP="002208CC">
            <w:pPr>
              <w:spacing w:line="80"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395</w:t>
            </w:r>
          </w:p>
        </w:tc>
        <w:tc>
          <w:tcPr>
            <w:tcW w:w="1417" w:type="dxa"/>
            <w:tcBorders>
              <w:top w:val="double" w:sz="4" w:space="0" w:color="000000"/>
              <w:left w:val="single" w:sz="6" w:space="0" w:color="000000"/>
              <w:bottom w:val="single" w:sz="6" w:space="0" w:color="000000"/>
              <w:right w:val="single" w:sz="15" w:space="0" w:color="000000"/>
            </w:tcBorders>
          </w:tcPr>
          <w:p w:rsidR="00147EDE" w:rsidRPr="00E9640C" w:rsidRDefault="00147EDE" w:rsidP="002208CC">
            <w:pPr>
              <w:spacing w:line="80" w:lineRule="exact"/>
              <w:rPr>
                <w:sz w:val="16"/>
                <w:szCs w:val="16"/>
              </w:rPr>
            </w:pPr>
          </w:p>
          <w:p w:rsidR="00147EDE" w:rsidRPr="00E9640C" w:rsidRDefault="00147EDE"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1,</w:t>
            </w:r>
            <w:r w:rsidR="00E9640C" w:rsidRPr="00E9640C">
              <w:rPr>
                <w:sz w:val="16"/>
                <w:szCs w:val="16"/>
              </w:rPr>
              <w:t>822</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Operating Facilities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r w:rsidR="00E9640C">
              <w:rPr>
                <w:sz w:val="16"/>
                <w:szCs w:val="16"/>
              </w:rPr>
              <w:t>07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28</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8</w:t>
            </w:r>
            <w:r w:rsidR="00E9640C" w:rsidRPr="00E9640C">
              <w:rPr>
                <w:sz w:val="16"/>
                <w:szCs w:val="16"/>
              </w:rPr>
              <w:t>38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Commercial</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310</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315</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Non-Commercial</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397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2</w:t>
            </w:r>
            <w:r w:rsidR="00E9640C">
              <w:rPr>
                <w:sz w:val="16"/>
                <w:szCs w:val="16"/>
              </w:rPr>
              <w:t>3</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420</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Closed Facilities (New Annual Closures)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134</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13</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147</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Post-Closed Facilities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586</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88</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674</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Land Disposal Facilities (Op. &amp; Cl/P-Cl)</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609</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229</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838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Operating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72</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3</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75</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Closed LDFs (New Annual Closures)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4</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sidRPr="00E9640C">
              <w:rPr>
                <w:sz w:val="16"/>
                <w:szCs w:val="16"/>
              </w:rPr>
              <w:t>1</w:t>
            </w:r>
            <w:r w:rsidRPr="00E9640C">
              <w:rPr>
                <w:sz w:val="16"/>
                <w:szCs w:val="16"/>
              </w:rPr>
              <w:t>1</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Post-Closed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560</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80</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D55971">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640</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Closed or Post-Closed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583</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226</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809</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with Incinerators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D55971">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sidRPr="00E9640C">
              <w:rPr>
                <w:sz w:val="16"/>
                <w:szCs w:val="16"/>
              </w:rPr>
              <w:t>58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Treatment and Storage Only Facilities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6</w:t>
            </w:r>
            <w:r w:rsidR="00E9640C">
              <w:rPr>
                <w:sz w:val="16"/>
                <w:szCs w:val="16"/>
              </w:rPr>
              <w:t>65</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D55971">
              <w:rPr>
                <w:sz w:val="16"/>
                <w:szCs w:val="16"/>
              </w:rPr>
              <w:t xml:space="preserve">   25</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6</w:t>
            </w:r>
            <w:r w:rsidR="00E9640C" w:rsidRPr="00E9640C">
              <w:rPr>
                <w:sz w:val="16"/>
                <w:szCs w:val="16"/>
              </w:rPr>
              <w:t>90</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New Interim Status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NA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0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0</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New Part B Permits (Incl. New Construction)</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NA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7</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Facilities Who Intend to Close Annually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5</w:t>
            </w:r>
            <w:r>
              <w:rPr>
                <w:sz w:val="16"/>
                <w:szCs w:val="16"/>
              </w:rPr>
              <w:t>8</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4</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Pr>
                <w:sz w:val="16"/>
                <w:szCs w:val="16"/>
              </w:rPr>
              <w:t>62</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LDFs Who Intend to 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9</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9</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Who Intend to Post-Close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8</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Pr>
                <w:sz w:val="16"/>
                <w:szCs w:val="16"/>
              </w:rPr>
              <w:t>8</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LDFs Who Intend to Post-Close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2</w:t>
            </w:r>
            <w:r>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2</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15"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Completing Post-Closure Annually</w:t>
            </w:r>
          </w:p>
        </w:tc>
        <w:tc>
          <w:tcPr>
            <w:tcW w:w="1140" w:type="dxa"/>
            <w:tcBorders>
              <w:top w:val="single" w:sz="6" w:space="0" w:color="000000"/>
              <w:left w:val="single" w:sz="6" w:space="0" w:color="000000"/>
              <w:bottom w:val="single" w:sz="15"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w:t>
            </w:r>
            <w:r w:rsidR="00147EDE">
              <w:rPr>
                <w:sz w:val="16"/>
                <w:szCs w:val="16"/>
              </w:rPr>
              <w:t xml:space="preserve"> </w:t>
            </w:r>
          </w:p>
        </w:tc>
        <w:tc>
          <w:tcPr>
            <w:tcW w:w="1672" w:type="dxa"/>
            <w:tcBorders>
              <w:top w:val="single" w:sz="6" w:space="0" w:color="000000"/>
              <w:left w:val="single" w:sz="6" w:space="0" w:color="000000"/>
              <w:bottom w:val="single" w:sz="15"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0 </w:t>
            </w:r>
          </w:p>
        </w:tc>
        <w:tc>
          <w:tcPr>
            <w:tcW w:w="1417" w:type="dxa"/>
            <w:tcBorders>
              <w:top w:val="single" w:sz="6" w:space="0" w:color="000000"/>
              <w:left w:val="single" w:sz="6" w:space="0" w:color="000000"/>
              <w:bottom w:val="single" w:sz="15"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22"/>
                <w:szCs w:val="22"/>
              </w:rPr>
            </w:pPr>
            <w:r>
              <w:rPr>
                <w:sz w:val="16"/>
                <w:szCs w:val="16"/>
              </w:rPr>
              <w:t>5</w:t>
            </w:r>
            <w:r w:rsidR="00147EDE" w:rsidRPr="00E9640C">
              <w:rPr>
                <w:sz w:val="16"/>
                <w:szCs w:val="16"/>
              </w:rPr>
              <w:t xml:space="preserve"> </w:t>
            </w:r>
          </w:p>
        </w:tc>
      </w:tr>
    </w:tbl>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033D9C" w:rsidRDefault="00033D9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033D9C" w:rsidRDefault="00033D9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Pr="0068239A"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b/>
          <w:sz w:val="22"/>
          <w:szCs w:val="22"/>
        </w:rPr>
      </w:pPr>
      <w:r w:rsidRPr="0068239A">
        <w:rPr>
          <w:b/>
          <w:bCs/>
          <w:iCs/>
          <w:sz w:val="22"/>
          <w:szCs w:val="22"/>
        </w:rPr>
        <w:t>GENERAL FACILITY OPERATING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right" w:pos="9450"/>
        </w:tabs>
        <w:ind w:right="-90"/>
        <w:rPr>
          <w:sz w:val="22"/>
          <w:szCs w:val="22"/>
        </w:rPr>
      </w:pPr>
      <w:r>
        <w:rPr>
          <w:sz w:val="22"/>
          <w:szCs w:val="22"/>
        </w:rPr>
        <w:tab/>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b/>
          <w:bCs/>
          <w:sz w:val="22"/>
          <w:szCs w:val="22"/>
        </w:rPr>
      </w:pPr>
      <w:r>
        <w:rPr>
          <w:b/>
          <w:bCs/>
          <w:sz w:val="22"/>
          <w:szCs w:val="22"/>
        </w:rPr>
        <w:t>(1)</w:t>
      </w:r>
      <w:r>
        <w:rPr>
          <w:b/>
          <w:bCs/>
          <w:sz w:val="22"/>
          <w:szCs w:val="22"/>
        </w:rPr>
        <w:tab/>
        <w:t>Foreign Shipment Import Report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 xml:space="preserve">Based on previous experience, EPA estimates that approximately six percent of the operating respondent universe </w:t>
      </w:r>
      <w:r w:rsidR="00A70571">
        <w:rPr>
          <w:sz w:val="22"/>
          <w:szCs w:val="22"/>
        </w:rPr>
        <w:t>w</w:t>
      </w:r>
      <w:r>
        <w:rPr>
          <w:sz w:val="22"/>
          <w:szCs w:val="22"/>
        </w:rPr>
        <w:t xml:space="preserve">ill submit foreign shipment import reports annually.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sz w:val="22"/>
          <w:szCs w:val="22"/>
        </w:rPr>
      </w:pPr>
      <w:r>
        <w:rPr>
          <w:b/>
          <w:bCs/>
          <w:sz w:val="22"/>
          <w:szCs w:val="22"/>
        </w:rPr>
        <w:t>(2)</w:t>
      </w:r>
      <w:r>
        <w:rPr>
          <w:b/>
          <w:bCs/>
          <w:sz w:val="22"/>
          <w:szCs w:val="22"/>
        </w:rPr>
        <w:tab/>
        <w:t>Notice of Appropriate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EPA estimates that approximately 12 percent of operatin</w:t>
      </w:r>
      <w:r w:rsidR="00033D9C">
        <w:rPr>
          <w:sz w:val="22"/>
          <w:szCs w:val="22"/>
        </w:rPr>
        <w:t xml:space="preserve">g TSDFs accept off-site waste. </w:t>
      </w:r>
      <w:r>
        <w:rPr>
          <w:sz w:val="22"/>
          <w:szCs w:val="22"/>
        </w:rPr>
        <w:t xml:space="preserve"> These commercial facilities must submit a one-time notice to these generators before accepting their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b/>
          <w:bCs/>
          <w:sz w:val="22"/>
          <w:szCs w:val="22"/>
        </w:rPr>
        <w:t>(3)</w:t>
      </w:r>
      <w:r>
        <w:rPr>
          <w:b/>
          <w:bCs/>
          <w:sz w:val="22"/>
          <w:szCs w:val="22"/>
        </w:rPr>
        <w:tab/>
        <w:t>Notice of Part 264 or Part 265, and Part 270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approximately one percent of all facilities will experience a transfer in ownership each year.  The owners and operators of these facilities will be required to submit a notice of Part 264 or 265 and Part 270 requirements to the new owner or operator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operating facilities are required to conduct waste analysis testing.  EPA believes that the commercial incinerator and land disposal sites have the greatest responsibility for waste analysis.  Based on previous experience, EPA estimates that commercial incinerator and land disp</w:t>
      </w:r>
      <w:r w:rsidR="00A70571">
        <w:rPr>
          <w:sz w:val="22"/>
          <w:szCs w:val="22"/>
        </w:rPr>
        <w:t xml:space="preserve">osal facilities </w:t>
      </w:r>
      <w:r>
        <w:rPr>
          <w:sz w:val="22"/>
          <w:szCs w:val="22"/>
        </w:rPr>
        <w:t xml:space="preserve">will conduct testing 50 times a year, while </w:t>
      </w:r>
      <w:r w:rsidR="00A70571">
        <w:rPr>
          <w:sz w:val="22"/>
          <w:szCs w:val="22"/>
        </w:rPr>
        <w:t>the</w:t>
      </w:r>
      <w:r w:rsidR="00033D9C">
        <w:rPr>
          <w:sz w:val="22"/>
          <w:szCs w:val="22"/>
        </w:rPr>
        <w:t xml:space="preserve"> remaining</w:t>
      </w:r>
      <w:r w:rsidR="00A70571">
        <w:rPr>
          <w:sz w:val="22"/>
          <w:szCs w:val="22"/>
        </w:rPr>
        <w:t xml:space="preserve"> </w:t>
      </w:r>
      <w:r>
        <w:rPr>
          <w:sz w:val="22"/>
          <w:szCs w:val="22"/>
        </w:rPr>
        <w:t>operating facilities will conduct this analysis twice a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 waste analysis plan.  Therefore, only new interim and permitted facilities will develop waste analysis plans.  EPA estimates that no new interim facilities will be entering the universe whereas the 13 newly permitted facilities will have to prepare a waste analysis plan.  In addition to preparing a waste analysis plan, these 13 facilities must also maintain (i.e., photocopy and file) the plan at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also assumes that 20 percent of all operating facilities will modify the plan and maintain the modified plan each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Inspection Schedule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an inspection schedule.  Therefore, only new permitted and interim status facilities will develop inspection schedules.  EPA estimates that no new interim and 13 new permitted facilities will enter the universe during the period covered by this ICR.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addition to preparin</w:t>
      </w:r>
      <w:r w:rsidR="00FA5E16">
        <w:rPr>
          <w:sz w:val="22"/>
          <w:szCs w:val="22"/>
        </w:rPr>
        <w:t>g an inspection schedule,</w:t>
      </w:r>
      <w:r>
        <w:rPr>
          <w:sz w:val="22"/>
          <w:szCs w:val="22"/>
        </w:rPr>
        <w:t xml:space="preserve"> new permitted facilities must also maintain (i.e., photocopy, file, and update) the schedule at the facility</w:t>
      </w:r>
      <w:r w:rsidR="00FA5E16">
        <w:rPr>
          <w:sz w:val="22"/>
          <w:szCs w:val="22"/>
        </w:rPr>
        <w:t xml:space="preserve">. </w:t>
      </w:r>
      <w:r>
        <w:rPr>
          <w:sz w:val="22"/>
          <w:szCs w:val="22"/>
        </w:rPr>
        <w:t xml:space="preserve"> EPA estimates that five percent of all operating facilities and facilities undergoing closure or post-closure will modify their inspection schedules annually and maintain the modified inspection schedu</w:t>
      </w:r>
      <w:r w:rsidR="00FA5E16">
        <w:rPr>
          <w:sz w:val="22"/>
          <w:szCs w:val="22"/>
        </w:rPr>
        <w:t>le</w:t>
      </w:r>
      <w:r>
        <w:rPr>
          <w:sz w:val="22"/>
          <w:szCs w:val="22"/>
        </w:rPr>
        <w:t xml:space="preserve">.  All operating facilities are required to record problems in an inspection log.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(7)</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collected the information necessary to prepare a personnel training record.  Therefore, only new interim status facilities and newly constructed permitted facilities will be required to collect information regarding their employees' training experiences.  EPA estimates that no new interim status facilities will join the universe during the period </w:t>
      </w:r>
      <w:r w:rsidR="00FA5E16">
        <w:rPr>
          <w:sz w:val="22"/>
          <w:szCs w:val="22"/>
        </w:rPr>
        <w:t>covered by this ICR.  N</w:t>
      </w:r>
      <w:r>
        <w:rPr>
          <w:sz w:val="22"/>
          <w:szCs w:val="22"/>
        </w:rPr>
        <w:t xml:space="preserve">ewly constructed facilities with Part B permits will have to read the regulations and collect information.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operating and newly constructed facilities must also maintain (i.e., photocopy, file, and update) their training records.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 Incompatible Wastes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Based on previous experience, EPA estimates that 40 percent of the permitted operating universe will have to maintain documentation of compliance for ignitable, reactive, or incompatible wastes.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permitted and interim status facilities have submitted their construction quality assurance plan to EPA.  Therefore, only new interim status facilities will be required to submit the CQA plan.  EPA estimates that no new facilities will obtain interim status during the period covered by this ICR.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iCs/>
          <w:sz w:val="22"/>
          <w:szCs w:val="22"/>
        </w:rPr>
      </w:pPr>
      <w:r>
        <w:rPr>
          <w:b/>
          <w:bCs/>
          <w:iCs/>
          <w:sz w:val="22"/>
          <w:szCs w:val="22"/>
        </w:rPr>
        <w:t>RECORDKEEPING</w:t>
      </w:r>
      <w:r w:rsidRPr="0068239A">
        <w:rPr>
          <w:b/>
          <w:bCs/>
          <w:iCs/>
          <w:sz w:val="22"/>
          <w:szCs w:val="22"/>
        </w:rPr>
        <w:t xml:space="preserv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iCs/>
          <w:sz w:val="22"/>
          <w:szCs w:val="22"/>
        </w:rPr>
        <w:tab/>
      </w:r>
      <w:r>
        <w:rPr>
          <w:b/>
          <w:bCs/>
          <w:sz w:val="22"/>
          <w:szCs w:val="22"/>
        </w:rPr>
        <w:t>Operating Record</w:t>
      </w:r>
    </w:p>
    <w:p w:rsidR="00147EDE" w:rsidRPr="0065316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r>
      <w:r>
        <w:rPr>
          <w:sz w:val="22"/>
          <w:szCs w:val="22"/>
        </w:rPr>
        <w:t>Excluding the inspection information requirements, only operating facilities are required to comply with the operating record recordkeeping re</w:t>
      </w:r>
      <w:r w:rsidR="00FA5E16">
        <w:rPr>
          <w:sz w:val="22"/>
          <w:szCs w:val="22"/>
        </w:rPr>
        <w:t xml:space="preserve">quirements. </w:t>
      </w:r>
      <w:r>
        <w:rPr>
          <w:sz w:val="22"/>
          <w:szCs w:val="22"/>
        </w:rPr>
        <w:t xml:space="preserve"> There are sixteen information components of the operating record requirements contained in 40 CFR §§264.73(b)(1)-(16) and 265.73(b)(1)-(16).  Some of the requirements apply only to certain types of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Facilities must document any refusal of State and local agencies to enter into arrangements to address emergency situations (§264.37(b)).  EPA estimates that only one percent of all operating facilities will be required to comply with this regulation.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Facilities that have emergency incidents requiring implementation of the contingency plan must maintain (i.e., photocopy and file) written documentation of the incident (§§264.73(b)(4) and 265.73(b)(4)).  EPA estimates that only one percent of all operating facilities will be required to comply with this regulation.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FA5E16">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Both operating and post-closure facilities are required to maintain updated inspection information in the operating record (§§264.73(b)(5) and (265.73(b)(5)).</w:t>
      </w:r>
      <w:r w:rsidRPr="00FA5E16">
        <w:rPr>
          <w:sz w:val="22"/>
          <w:szCs w:val="22"/>
        </w:rPr>
        <w:t xml:space="preserve">Only land disposal facilities and incinerator facilities are required to collect and record monitoring data (§264.73(b)(6)) in the operating record.  </w:t>
      </w:r>
    </w:p>
    <w:p w:rsidR="00FA5E16" w:rsidRDefault="00FA5E16" w:rsidP="00FA5E16">
      <w:pPr>
        <w:pStyle w:val="ListParagraph"/>
        <w:rPr>
          <w:sz w:val="22"/>
          <w:szCs w:val="22"/>
        </w:rPr>
      </w:pPr>
    </w:p>
    <w:p w:rsidR="003F6289" w:rsidRDefault="00FA5E16"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lastRenderedPageBreak/>
        <w:t>Only land disposal facilities and incinerator facilities are required to collect and record monitoring data (§264.73(b)(6)) in the operating record.</w:t>
      </w:r>
    </w:p>
    <w:p w:rsidR="003F6289" w:rsidRDefault="003F6289"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Pr="003F6289"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facilities that receive hazardous waste from an off-site source (except where the owner or operator is also the generator) are required to maintain (i.e., photocopy and file) notices for generators verifying that they have a permit to handle the hazardous waste they are receiving (§§264.73(b)(7) and (265.73(b)(7)).  Thus, EPA has determined that 12 pe</w:t>
      </w:r>
      <w:r w:rsidR="00B819CB" w:rsidRPr="003F6289">
        <w:rPr>
          <w:sz w:val="22"/>
          <w:szCs w:val="22"/>
        </w:rPr>
        <w:t>rcent of the operating universe</w:t>
      </w:r>
      <w:r w:rsidRPr="003F6289">
        <w:rPr>
          <w:sz w:val="22"/>
          <w:szCs w:val="22"/>
        </w:rPr>
        <w:t>, including non-commercial facilities, will need to maintain, in the operating record, the notice to generators.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All facilities must maintain updated information in the operating record closure cost estimates.  However, only land disposal facilities must maintain post-closure cost estimates (§§264.73(b)(8) and (265.73(b)(8)).   EPA </w:t>
      </w:r>
      <w:r w:rsidR="000B5B64">
        <w:rPr>
          <w:sz w:val="22"/>
          <w:szCs w:val="22"/>
        </w:rPr>
        <w:t>expects</w:t>
      </w:r>
      <w:r w:rsidR="00FA5E16">
        <w:rPr>
          <w:sz w:val="22"/>
          <w:szCs w:val="22"/>
        </w:rPr>
        <w:t xml:space="preserve"> </w:t>
      </w:r>
      <w:r w:rsidR="00ED15E9">
        <w:rPr>
          <w:sz w:val="22"/>
          <w:szCs w:val="22"/>
        </w:rPr>
        <w:t xml:space="preserve">that </w:t>
      </w:r>
      <w:r w:rsidR="00FA5E16">
        <w:rPr>
          <w:sz w:val="22"/>
          <w:szCs w:val="22"/>
        </w:rPr>
        <w:t>all permitted and</w:t>
      </w:r>
      <w:r>
        <w:rPr>
          <w:sz w:val="22"/>
          <w:szCs w:val="22"/>
        </w:rPr>
        <w:t xml:space="preserve"> interim status facilities will have to main</w:t>
      </w:r>
      <w:r w:rsidR="00FA5E16">
        <w:rPr>
          <w:sz w:val="22"/>
          <w:szCs w:val="22"/>
        </w:rPr>
        <w:t>tain closure cost estimates</w:t>
      </w:r>
      <w:r w:rsidR="000B5B64">
        <w:rPr>
          <w:sz w:val="22"/>
          <w:szCs w:val="22"/>
        </w:rPr>
        <w:t>.  Permitted</w:t>
      </w:r>
      <w:r w:rsidR="00FA5E16">
        <w:rPr>
          <w:sz w:val="22"/>
          <w:szCs w:val="22"/>
        </w:rPr>
        <w:t xml:space="preserve"> and</w:t>
      </w:r>
      <w:r>
        <w:rPr>
          <w:sz w:val="22"/>
          <w:szCs w:val="22"/>
        </w:rPr>
        <w:t xml:space="preserve"> interim status operating land disposal facilities will </w:t>
      </w:r>
      <w:r w:rsidR="00E84564">
        <w:rPr>
          <w:sz w:val="22"/>
          <w:szCs w:val="22"/>
        </w:rPr>
        <w:t xml:space="preserve">also </w:t>
      </w:r>
      <w:r>
        <w:rPr>
          <w:sz w:val="22"/>
          <w:szCs w:val="22"/>
        </w:rPr>
        <w:t>need to maintain post-closure cost estimates.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All operating land disposal facilities must also maintain records of the quantities (and date of placement) for each shipment of hazardous waste placed in land disposal units under an extension to the effective date of any land disposal restriction, or a certification, and the applicable notice required by the generator (§§264.73(b)(10) and (265.73(b)(10)).</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off-site TSDFs are required to maintain (i.e., photocopy and file) a copy of the notice, and the certification and demonstration, if applicable, required by the generator or owner or operator in the operating record (§§264.73(b)(11), (13) and (15) and (265.73(b)(11), (13) and 15)).  Thus EPA has determined that five percent of the operating universe will need to maintain (i.e., photocopy and file) this information in the operating record.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on-site TSDFS are required to maintain (i.e., photocopy and file) the information contained in the notice (except the manifest number), and the certification and demonstration if applicable, required by the generator or owner or operator (§§264.73(b)(12), (14) and (16) and (265.73(b)(12), (14) and (16)).  EPA had determined that 95 percent of the operating universe will need to maintain (i.e. photocopy and file) this information in the operating record.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r>
        <w:rPr>
          <w:sz w:val="22"/>
          <w:szCs w:val="22"/>
        </w:rPr>
        <w:t>The remaining requirements (§§264.73(b)(1)-(3) and (9) and (265.73(b)(1)-(3), and (9)) apply to</w:t>
      </w:r>
    </w:p>
    <w:p w:rsidR="00147EDE" w:rsidRDefault="00147EDE" w:rsidP="00DA3817">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the entire universe of operating facilities.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5"/>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For this ICR, the Agency assumes that existing interim status and permitted facilities have already prepared contingency plans.  Therefore, only new interim status facilities will be required to prepare a contingency plan.  (Modifications to contingency plans of permitted facilities are covered under the hazardous Waste Part B Permit Application, Special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estimates that no new facilities will obtain interim status during the period covered by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(#1571), or submit the contingency plan to all local police and fire departments, hospitals, and State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local response teams.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lastRenderedPageBreak/>
        <w:t>Emergency Reporting And Recordkeeping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program experience, the Agency estimates that one percent of all facilities with experience an emergency situation each year that will require the help of State or local authorities with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designated response roles.  Therefore, </w:t>
      </w:r>
      <w:r w:rsidR="00DA3817">
        <w:rPr>
          <w:sz w:val="22"/>
          <w:szCs w:val="22"/>
        </w:rPr>
        <w:t>emergency coordinators</w:t>
      </w:r>
      <w:r>
        <w:rPr>
          <w:sz w:val="22"/>
          <w:szCs w:val="22"/>
        </w:rPr>
        <w:t xml:space="preserve"> </w:t>
      </w:r>
      <w:r w:rsidR="00E84564">
        <w:rPr>
          <w:sz w:val="22"/>
          <w:szCs w:val="22"/>
        </w:rPr>
        <w:t>at permitted</w:t>
      </w:r>
      <w:r w:rsidR="00DA3817">
        <w:rPr>
          <w:sz w:val="22"/>
          <w:szCs w:val="22"/>
        </w:rPr>
        <w:t xml:space="preserve"> and interim status facilities </w:t>
      </w:r>
      <w:r>
        <w:rPr>
          <w:sz w:val="22"/>
          <w:szCs w:val="22"/>
        </w:rPr>
        <w:t>will be required to notify these authorities of an actual or imminent emergency situation (§§264.56(a)(2) and (265.56(a)(2)).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estimates that one percent of those facilities experiencing an emergency situation will have a release, fire, or explosion for which the </w:t>
      </w:r>
      <w:r w:rsidR="00DA3817">
        <w:rPr>
          <w:sz w:val="22"/>
          <w:szCs w:val="22"/>
        </w:rPr>
        <w:t xml:space="preserve">emergency coordination determines that is may be advisable to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evacuate local areas.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C30398">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estimates that one percent of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w:t>
      </w:r>
      <w:r w:rsidR="00C30398">
        <w:rPr>
          <w:sz w:val="22"/>
          <w:szCs w:val="22"/>
        </w:rPr>
        <w:t xml:space="preserve">e contingency plan and will be required to prepare an emergency report.  </w:t>
      </w:r>
      <w:r w:rsidR="00DA3817">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All owners and operators experiencing an emergency situation are required to notify the Regional Administrator that the facility is in compliance with §265.56(h) before resuming operation in the affected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areas.  The owner operator must also submit a written report to the Regional Administrator 15 days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after the incident (§§264.56(j) and 265.56(j)).  The respondent burden for recording emergency details in the operating record is covered in the operating record section.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RELEASES FROM SOLIE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expects that no facilities will be required to demonstrate that the ground-water protection standard of §264.92 has not been exceeded for three consecutive years (§264.96(c)).  EPA also expects all facilities submitting a Part B permit application to develop and submit sampling procedures to EPA (§264.97(g)).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The only facilities that are expected to read the closure requirements will be the newly permi</w:t>
      </w:r>
      <w:r w:rsidR="00DA3817">
        <w:rPr>
          <w:sz w:val="22"/>
          <w:szCs w:val="22"/>
        </w:rPr>
        <w:t>tted facilities.  L</w:t>
      </w:r>
      <w:r>
        <w:rPr>
          <w:sz w:val="22"/>
          <w:szCs w:val="22"/>
        </w:rPr>
        <w:t>and disposal facilities are expected to read the post-closure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Since existing interim status and permitted facilities have already developed closure and post-closure plans, activities associated with developing closure/pose-closure plans apply to newly interim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 only.  EPA expects no new facilities to develop and submit 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 Amendment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previous experience, EPA estimates that five percent of operating or closing interim </w:t>
      </w:r>
    </w:p>
    <w:p w:rsidR="00147EDE" w:rsidRDefault="00DA3817"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w:t>
      </w:r>
      <w:r w:rsidR="00147EDE">
        <w:rPr>
          <w:sz w:val="22"/>
          <w:szCs w:val="22"/>
        </w:rPr>
        <w:t xml:space="preserve">, such as facilities converting waste piles to containment building, will amend their closure plans annually and will submit a request to the Regional Administrator to authorize a change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in the closure plan.  Since closure plan amendments for permitted facilities are associated with permit modifications, amendments and discussed in the Hazardous Waste Part B Permit Application, Special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Partial Closure and Final Closure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Owners and operators of all permitted and interim status facilities who intend to close their facility annually must notify EPA of closure.  In addition, owners and operators of the interim status facilities must also submit their closure plans to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Extensions and Allowances During the Closure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Of the total number of facilities that will be closing, EPA estimates that 20 percent will request an extension for the treatment, storage, or removal of hazardous waste (§§264.113(a) and 265.113(a)).  EPA estimates that an additional 20 percent will request an extension for completing closure activities.  EPA also estimates that an additional five percent of all closing facilities will request an allowance to receive non-hazardous wastes in a land-based unit after the final receipt of hazardous waste (§§264.113(d) and 265.113(d)).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all of the permitted and interim status facilities that will be closing annually will complete a certification of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Pr="00F73EE1"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50 percent of the land disposal facilities that will be closing annually will submit a survey plat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Post-Closure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Existing permitted land disposal facilities already have approved post-closure plans.  Therefore, only new interim status land disposal facilities will develop post-closure plans.  EPA estimates that no new interim status land disposa</w:t>
      </w:r>
      <w:r w:rsidR="00DA3817">
        <w:rPr>
          <w:sz w:val="22"/>
          <w:szCs w:val="22"/>
        </w:rPr>
        <w:t>l facilities</w:t>
      </w:r>
      <w:r>
        <w:rPr>
          <w:sz w:val="22"/>
          <w:szCs w:val="22"/>
        </w:rPr>
        <w:t xml:space="preserve"> will prepare a post-closure plan annually.  In addition to preparing a post-closure plan, all permitted and interim status land disposal facilities must also maintain (i.e., photocopy, file, and update) the post-closure plan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Notification and Amendment of Post-Closure Plan Under 265.118(d)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respondent activities associated with permit modifications are discussed in the Hazardous Waste Part B Permit Applications, Special Permits, and Permit Modifications ICR (#1573), this ICR focuses on interim status facilities' activities associated with notification of a post-closure amendment.  EPA estimates that 20 percent of interim status facilities that will be undergoing post-closure, or two facilities, will amend their post-closure plans and submit written notification of a change in the approved post-closure plans.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(10)</w:t>
      </w:r>
      <w:r>
        <w:rPr>
          <w:b/>
          <w:bCs/>
          <w:sz w:val="22"/>
          <w:szCs w:val="22"/>
        </w:rPr>
        <w:tab/>
        <w:t>Amendment of Post-Closure Plan Under 265.118(d)(4), (f), and (g)(1)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the Regional Administrator will require owners or operators of surface impoundments or waste piles who intend to remove all hazardous wastes at closure to modify their post-</w:t>
      </w:r>
      <w:r>
        <w:rPr>
          <w:sz w:val="22"/>
          <w:szCs w:val="22"/>
        </w:rPr>
        <w:lastRenderedPageBreak/>
        <w:t>closure plans.  EPA expects that ten percent of interim status facilities that are undergoing post-closure will be required to modify their post-closure plan.  EPA estimates that the Agency will reject ten percent of these plans, which will require approximately no facilities to modify its plan or submit a new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facilities will request that the Agency extend or reduce the post-closure period applicable to a hazardous waste management unit or facility, or to alter the requirements of the post-closure care period.  EPA estimates that 20 percent of interim status facilities that are undergoing post-closure (two facilities), will prepare and submit such a request.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(11)</w:t>
      </w:r>
      <w:r>
        <w:rPr>
          <w:b/>
          <w:bCs/>
          <w:sz w:val="22"/>
          <w:szCs w:val="22"/>
        </w:rPr>
        <w:tab/>
        <w:t>Hazardous Waste Disposal Records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w:t>
      </w:r>
      <w:r w:rsidR="007E32B9">
        <w:rPr>
          <w:sz w:val="22"/>
          <w:szCs w:val="22"/>
        </w:rPr>
        <w:t>o</w:t>
      </w:r>
      <w:r>
        <w:rPr>
          <w:sz w:val="22"/>
          <w:szCs w:val="22"/>
        </w:rPr>
        <w:t xml:space="preserve">wners and operators who close their land disposal facilities annually must submit hazardous waste disposal records.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00147EDE" w:rsidRPr="0025777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r>
        <w:rPr>
          <w:b/>
          <w:bCs/>
          <w:sz w:val="22"/>
          <w:szCs w:val="22"/>
        </w:rPr>
        <w:t>(12)</w:t>
      </w:r>
      <w:r>
        <w:rPr>
          <w:b/>
          <w:bCs/>
          <w:sz w:val="22"/>
          <w:szCs w:val="22"/>
        </w:rPr>
        <w:tab/>
        <w:t>Hazardous Waste Notation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owners and operators who close their land disposal facilities annually must submit a certification that they have recorded the notation required in §§264.119(b)(2) and 265.119(b)(2).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(13)</w:t>
      </w:r>
      <w:r>
        <w:rPr>
          <w:b/>
          <w:bCs/>
          <w:sz w:val="22"/>
          <w:szCs w:val="22"/>
        </w:rPr>
        <w:tab/>
        <w:t>Post-Closure Plan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does not expect that any interim status facilities will subject to section 265.119(c) during the effective period of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(14)</w:t>
      </w:r>
      <w:r>
        <w:rPr>
          <w:b/>
          <w:bCs/>
          <w:sz w:val="22"/>
          <w:szCs w:val="22"/>
        </w:rPr>
        <w:tab/>
        <w:t>Post-Closure Care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the post-closure care period lasts for 30 years, except for those facilities that qualify for "early outs," EPA does not expect many owners/operators to submit certifications of post-closure care during the period covered by this ICR.  Based on previous experience, EPA estimates that no facilities will complete post-closure care and be required to submit certifications.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0B6C0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operating and newly constructed facilities are expected to read the financial requirements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Financial Responsibility for Corrective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Because financial responsibility for corrective action is required under Part 264, only permitted facilities are included in the burden estimate.  EPA estimates that 80 percent of permitted facilities completed a RCRA Facility Assessment (RFA) that indicated that further investigation, or a RCRA Facility Investigation (RFI), was necessary.  Because such further investigation will entail the submission of corrective action financial assurance documentation, EPA concludes that 80 percent of the </w:t>
      </w:r>
      <w:r w:rsidR="007E32B9">
        <w:rPr>
          <w:sz w:val="22"/>
          <w:szCs w:val="22"/>
        </w:rPr>
        <w:t>p</w:t>
      </w:r>
      <w:r>
        <w:rPr>
          <w:sz w:val="22"/>
          <w:szCs w:val="22"/>
        </w:rPr>
        <w:t>ermitted facilities will need to meet corrective action financial responsibility requirements.  These facilities will need to include this financial assurance documentation in their permit renewals; because most TSDF permits are valid for five years, EPA estimates that each year approximately 20 percent</w:t>
      </w:r>
      <w:r w:rsidR="007E32B9">
        <w:rPr>
          <w:sz w:val="22"/>
          <w:szCs w:val="22"/>
        </w:rPr>
        <w:t xml:space="preserve"> </w:t>
      </w:r>
      <w:r>
        <w:rPr>
          <w:sz w:val="22"/>
          <w:szCs w:val="22"/>
        </w:rPr>
        <w:t xml:space="preserve">will submit financial assurance documentation for corrective action.  EPA estimates that ten percent of these facilities </w:t>
      </w:r>
      <w:r>
        <w:rPr>
          <w:sz w:val="22"/>
          <w:szCs w:val="22"/>
        </w:rPr>
        <w:lastRenderedPageBreak/>
        <w:t xml:space="preserve">per year will need to provide the additional demonstration of denied permission to implement corrective action beyond facility boundaries.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Cost Estimates for Closure and Post-Closure Care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burden for respondents to collect data, to prepare closure and post-closure care cost estimates, and to maintain these estimates at the facility is already calculated in Exhibit 5, Closure and Post-Closure Care Requirements.  Therefore, Exhibit 6 only determines the burden for owners or operators to update cost estimates on a yearly basis to reflect inflation, and the burden for amending cost estimates due to changes in the closure or post-closure care plan.  Except for those facilities already closed or post-closed, all operating facilities will need to adjust estimates annually to reflect inflation.  Since closure and post-closure plan amendments for permitted facilities are associated with permit modifications, such amendments are instead discussed in the Hazardous Waste Part B Permit Applications, Special Permits, and Permit Modifications ICR (#1573).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Financial Assurance for Closure or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Because evidence of establishing a financial instrument for closure or post-closure care is submitted with the Part B permit application, such activities for permitted facilities are discussed in the Hazardous Waste Part B Permit Applications, Special Permits, and Permit Modifications ICR (#1573). However, prior to submitting a permit application, interim status facilities must present evidence of an established financial instrument for closure or post-closure care under §§265.143 and 265.145.  Therefore, preparation of the required evidence for interim status facilities is discussed in Exhibit 6.  In addition, the burden associated with annual updates or modifications to financial instruments is calculated in this exhibit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financial test for liability coverage and the other coverage options.  EPA estimates that no new interim facilities will join the universe in the period this ICR covers.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projects that two percent of existing facilities amend closure and post-closure financial instruments due to changes in the cost estimates or plans.  Finally, all facilities covered under the financial test will need to submit annual updates; accordingly, 50 percent of existing facilities will submit this update.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calculates the number of respondents for demonstrating liability coverage in a manner similar to determining the number of closure and post-closure care respondents.  Because evidence of establishing a financial instrument for liability coverage is submitted with the Part B permit application, such activities for permitted facilities are discussed in the Hazardous Waste Part B Permit Applications, Special Permits, and Permit Modifications ICR (#1573).  However, prior to submitting a permit application, interim status facilities must present evidence of an established financial instrument for liability coverage under §265.147.  Therefore, preparation of the required evidence for interim status facilities is shown in Exhibit 6 of this ICR.  In addition, the burden associated with annual updates or modifications to financial instruments for liability coverage is calculated in this exhibit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liability coverage options.  EPA estimates that no new interim facilities will join the universe in the period this ICR covers.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expects that all existing TSDFs using the financial test or guarantee will submit the financial test documentation on an annual basis for review.  EPA estimates that one percent of all facilities will become bankrupt and will need to submit evidence of insurance.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Other Requirements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activities relating to State-required mechanisms and State assumption of responsibility, EPA estimates that one percent of interim status facilities (permitted facilities are included in ICR #1573), will be included in the respondent burden estimate.  EPA estimates that of these facilities, only one percent (approximately zero interim status facilities) will be required by EPA to furnish additional information under the State assumption of responsibility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B6C0A"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CONDITIONS APPLICABLE TO ALL PERMITS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each year 20 percent of permitted facilities will submit a permit modification at the request of the Agency.  These permittees will be required to furnish any relevant information requested by EPA to determine whether cause exists to modify, revoke and reissue, or terminate a permit, or to determine compliance with a permit.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15 percent of permitted facilities will annually submit a notice of physical alterations or additions.  Of these facilities, 50 percent will submit a notice of planned changes that may result in noncompliance with permit requirements.  Of these facilities, 50 percent will submit a letter certifying that the facility has been constructed or modified in compliance with the terms of the permit.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all permitted facilities with land-based units and incinerators must submit monitoring reports.  EPA further estimates that one percent will be required to prepare and submit reports of compliance and noncompliance with the compliance schedule at intervals specified in the permit.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one percent of all permitted facilities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two percent of all permitted facilities will be required to submit reports of other noncompliance that are not submitted with monitoring reports, compliance schedule reports, and reports of releases, fires, and explosions.  An additional one percent will submit amended information that was incorrect or omitted during an initial submittal.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6(e)</w:t>
      </w:r>
      <w:r>
        <w:rPr>
          <w:b/>
          <w:bCs/>
          <w:sz w:val="22"/>
          <w:szCs w:val="22"/>
        </w:rPr>
        <w:tab/>
        <w:t>BOTTOM LINE BURDEN HOURS AND COSTS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5578D5" w:rsidRDefault="005578D5"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B206D4">
        <w:rPr>
          <w:sz w:val="22"/>
          <w:szCs w:val="22"/>
        </w:rPr>
        <w:t xml:space="preserve">Exhibit 8 illustrates the total respondent burden and costs associated with all of the information collection activities covered in this ICR.  As shown in Exhibit 8, EPA estimates that the total annual respondent burden for all activities covered in the ICR is approximately </w:t>
      </w:r>
      <w:r w:rsidR="001552E6">
        <w:rPr>
          <w:sz w:val="22"/>
          <w:szCs w:val="22"/>
        </w:rPr>
        <w:t>672,417</w:t>
      </w:r>
      <w:r w:rsidRPr="00B206D4">
        <w:rPr>
          <w:sz w:val="22"/>
          <w:szCs w:val="22"/>
        </w:rPr>
        <w:t xml:space="preserve"> hours, at an annual </w:t>
      </w:r>
      <w:r w:rsidR="00B549A4">
        <w:rPr>
          <w:sz w:val="22"/>
          <w:szCs w:val="22"/>
        </w:rPr>
        <w:t xml:space="preserve">capital/operations &amp; maintenance </w:t>
      </w:r>
      <w:r w:rsidRPr="00B206D4">
        <w:rPr>
          <w:sz w:val="22"/>
          <w:szCs w:val="22"/>
        </w:rPr>
        <w:t>cost of $</w:t>
      </w:r>
      <w:r w:rsidR="00B549A4">
        <w:rPr>
          <w:sz w:val="22"/>
          <w:szCs w:val="22"/>
        </w:rPr>
        <w:t>533,525</w:t>
      </w:r>
      <w:r w:rsidRPr="00B206D4">
        <w:rPr>
          <w:sz w:val="22"/>
          <w:szCs w:val="22"/>
        </w:rPr>
        <w:t>.</w:t>
      </w:r>
    </w:p>
    <w:p w:rsidR="00B549A4" w:rsidRDefault="00B549A4"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tbl>
      <w:tblPr>
        <w:tblStyle w:val="TableGrid"/>
        <w:tblW w:w="0" w:type="auto"/>
        <w:tblLook w:val="04A0" w:firstRow="1" w:lastRow="0" w:firstColumn="1" w:lastColumn="0" w:noHBand="0" w:noVBand="1"/>
      </w:tblPr>
      <w:tblGrid>
        <w:gridCol w:w="1928"/>
        <w:gridCol w:w="1844"/>
        <w:gridCol w:w="2058"/>
        <w:gridCol w:w="1841"/>
        <w:gridCol w:w="1679"/>
        <w:tblGridChange w:id="21">
          <w:tblGrid>
            <w:gridCol w:w="1928"/>
            <w:gridCol w:w="1844"/>
            <w:gridCol w:w="2058"/>
            <w:gridCol w:w="1841"/>
            <w:gridCol w:w="1679"/>
          </w:tblGrid>
        </w:tblGridChange>
      </w:tblGrid>
      <w:tr w:rsidR="00B549A4" w:rsidTr="0031412B">
        <w:tc>
          <w:tcPr>
            <w:tcW w:w="192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tc>
        <w:tc>
          <w:tcPr>
            <w:tcW w:w="1844"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Hours</w:t>
            </w:r>
          </w:p>
        </w:tc>
        <w:tc>
          <w:tcPr>
            <w:tcW w:w="205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Capital/O&amp;M</w:t>
            </w:r>
          </w:p>
        </w:tc>
        <w:tc>
          <w:tcPr>
            <w:tcW w:w="1841"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Labor</w:t>
            </w:r>
          </w:p>
        </w:tc>
        <w:tc>
          <w:tcPr>
            <w:tcW w:w="1679"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Total Cost</w:t>
            </w:r>
          </w:p>
        </w:tc>
      </w:tr>
      <w:tr w:rsidR="00B549A4" w:rsidTr="0031412B">
        <w:tc>
          <w:tcPr>
            <w:tcW w:w="192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Private Facilities</w:t>
            </w:r>
          </w:p>
        </w:tc>
        <w:tc>
          <w:tcPr>
            <w:tcW w:w="1844"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619,997</w:t>
            </w:r>
          </w:p>
        </w:tc>
        <w:tc>
          <w:tcPr>
            <w:tcW w:w="205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$533,525</w:t>
            </w:r>
          </w:p>
        </w:tc>
        <w:tc>
          <w:tcPr>
            <w:tcW w:w="1841" w:type="dxa"/>
          </w:tcPr>
          <w:p w:rsidR="00B549A4" w:rsidRDefault="00205890"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$39,527,307</w:t>
            </w:r>
          </w:p>
        </w:tc>
        <w:tc>
          <w:tcPr>
            <w:tcW w:w="1679"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$40,060,832</w:t>
            </w:r>
          </w:p>
        </w:tc>
      </w:tr>
      <w:tr w:rsidR="00B549A4" w:rsidTr="0031412B">
        <w:tc>
          <w:tcPr>
            <w:tcW w:w="192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States</w:t>
            </w:r>
          </w:p>
        </w:tc>
        <w:tc>
          <w:tcPr>
            <w:tcW w:w="1844"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52,420</w:t>
            </w:r>
          </w:p>
        </w:tc>
        <w:tc>
          <w:tcPr>
            <w:tcW w:w="205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$0</w:t>
            </w:r>
          </w:p>
        </w:tc>
        <w:tc>
          <w:tcPr>
            <w:tcW w:w="1841" w:type="dxa"/>
          </w:tcPr>
          <w:p w:rsidR="00B549A4" w:rsidRDefault="00205890"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r w:rsidR="00B549A4">
              <w:rPr>
                <w:sz w:val="22"/>
                <w:szCs w:val="22"/>
              </w:rPr>
              <w:t>$1,698,312</w:t>
            </w:r>
          </w:p>
        </w:tc>
        <w:tc>
          <w:tcPr>
            <w:tcW w:w="1679"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$1,698,312</w:t>
            </w:r>
          </w:p>
        </w:tc>
      </w:tr>
      <w:tr w:rsidR="00B549A4" w:rsidTr="00B549A4">
        <w:tc>
          <w:tcPr>
            <w:tcW w:w="192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Total</w:t>
            </w:r>
          </w:p>
        </w:tc>
        <w:tc>
          <w:tcPr>
            <w:tcW w:w="1844"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672,417</w:t>
            </w:r>
          </w:p>
        </w:tc>
        <w:tc>
          <w:tcPr>
            <w:tcW w:w="2058"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$533,525</w:t>
            </w:r>
          </w:p>
        </w:tc>
        <w:tc>
          <w:tcPr>
            <w:tcW w:w="1841" w:type="dxa"/>
          </w:tcPr>
          <w:p w:rsidR="00B549A4" w:rsidRDefault="00205890"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$41,225,619</w:t>
            </w:r>
          </w:p>
        </w:tc>
        <w:tc>
          <w:tcPr>
            <w:tcW w:w="1679" w:type="dxa"/>
          </w:tcPr>
          <w:p w:rsidR="00B549A4" w:rsidRDefault="00B549A4" w:rsidP="005578D5">
            <w:pPr>
              <w:widowControl/>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$41,759,144</w:t>
            </w:r>
          </w:p>
        </w:tc>
      </w:tr>
    </w:tbl>
    <w:p w:rsidR="00B549A4" w:rsidRDefault="00B549A4"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B549A4" w:rsidRDefault="00B549A4"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B549A4" w:rsidRPr="00B206D4" w:rsidRDefault="00B549A4"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9346B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highlight w:val="yellow"/>
        </w:rPr>
      </w:pPr>
    </w:p>
    <w:p w:rsidR="00147EDE" w:rsidRPr="00B206D4"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sz w:val="22"/>
          <w:szCs w:val="22"/>
        </w:rPr>
      </w:pPr>
      <w:r w:rsidRPr="00B206D4">
        <w:rPr>
          <w:b/>
          <w:sz w:val="22"/>
          <w:szCs w:val="22"/>
        </w:rPr>
        <w:t>6(f)</w:t>
      </w:r>
      <w:r w:rsidRPr="00B206D4">
        <w:rPr>
          <w:b/>
          <w:sz w:val="22"/>
          <w:szCs w:val="22"/>
        </w:rPr>
        <w:tab/>
        <w:t>REASONS FOR CHANGE IN BURDEN</w:t>
      </w:r>
    </w:p>
    <w:p w:rsidR="00C77CF1" w:rsidRDefault="00147EDE" w:rsidP="00B206D4">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b w:val="0"/>
        </w:rPr>
      </w:pPr>
      <w:r w:rsidRPr="00B206D4">
        <w:fldChar w:fldCharType="begin"/>
      </w:r>
      <w:r w:rsidRPr="00B206D4">
        <w:instrText>ADVANCE \d12</w:instrText>
      </w:r>
      <w:r w:rsidRPr="00B206D4">
        <w:fldChar w:fldCharType="end"/>
      </w:r>
      <w:r w:rsidRPr="00B206D4">
        <w:tab/>
      </w:r>
      <w:r w:rsidR="008F7376" w:rsidRPr="00B206D4">
        <w:rPr>
          <w:rFonts w:ascii="Times New Roman" w:hAnsi="Times New Roman" w:cs="Times New Roman"/>
        </w:rPr>
        <w:tab/>
      </w:r>
      <w:r w:rsidR="003209E2" w:rsidRPr="00B206D4">
        <w:rPr>
          <w:rFonts w:ascii="Times New Roman" w:hAnsi="Times New Roman" w:cs="Times New Roman"/>
          <w:b w:val="0"/>
        </w:rPr>
        <w:t xml:space="preserve">There is </w:t>
      </w:r>
      <w:r w:rsidR="00B206D4" w:rsidRPr="00B206D4">
        <w:rPr>
          <w:rFonts w:ascii="Times New Roman" w:hAnsi="Times New Roman" w:cs="Times New Roman"/>
          <w:b w:val="0"/>
        </w:rPr>
        <w:t>no change in burden</w:t>
      </w:r>
      <w:r w:rsidR="008F7376" w:rsidRPr="00B206D4">
        <w:rPr>
          <w:rFonts w:ascii="Times New Roman" w:hAnsi="Times New Roman" w:cs="Times New Roman"/>
          <w:b w:val="0"/>
        </w:rPr>
        <w:t xml:space="preserve"> hours </w:t>
      </w:r>
      <w:r w:rsidR="00C77CF1" w:rsidRPr="00B206D4">
        <w:rPr>
          <w:rFonts w:ascii="Times New Roman" w:hAnsi="Times New Roman" w:cs="Times New Roman"/>
          <w:b w:val="0"/>
        </w:rPr>
        <w:t>in this</w:t>
      </w:r>
      <w:r w:rsidR="003209E2" w:rsidRPr="00B206D4">
        <w:rPr>
          <w:rFonts w:ascii="Times New Roman" w:hAnsi="Times New Roman" w:cs="Times New Roman"/>
          <w:b w:val="0"/>
        </w:rPr>
        <w:t xml:space="preserve"> renewal</w:t>
      </w:r>
      <w:r w:rsidR="00B206D4">
        <w:rPr>
          <w:rFonts w:ascii="Times New Roman" w:hAnsi="Times New Roman" w:cs="Times New Roman"/>
          <w:b w:val="0"/>
        </w:rPr>
        <w:t>.</w:t>
      </w:r>
    </w:p>
    <w:p w:rsidR="00B206D4" w:rsidRDefault="00B206D4" w:rsidP="00B206D4"/>
    <w:p w:rsidR="00B206D4" w:rsidRPr="00B206D4" w:rsidRDefault="00B206D4" w:rsidP="00B206D4"/>
    <w:p w:rsidR="00147EDE" w:rsidRPr="008F7376"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8F7376">
        <w:rPr>
          <w:b/>
          <w:bCs/>
          <w:sz w:val="22"/>
          <w:szCs w:val="22"/>
        </w:rPr>
        <w:t>6(g)</w:t>
      </w:r>
      <w:r w:rsidRPr="008F7376">
        <w:rPr>
          <w:b/>
          <w:bCs/>
          <w:sz w:val="22"/>
          <w:szCs w:val="22"/>
        </w:rPr>
        <w:tab/>
        <w:t>BURDEN STATEMENT</w:t>
      </w:r>
    </w:p>
    <w:p w:rsidR="00147EDE" w:rsidRPr="008F7376"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E1436E" w:rsidRDefault="00147EDE" w:rsidP="00147EDE">
      <w:pPr>
        <w:widowControl/>
        <w:tabs>
          <w:tab w:val="left" w:pos="-1152"/>
        </w:tabs>
        <w:ind w:firstLine="720"/>
        <w:rPr>
          <w:color w:val="000000"/>
          <w:sz w:val="22"/>
          <w:szCs w:val="22"/>
        </w:rPr>
      </w:pPr>
      <w:r w:rsidRPr="008F7376">
        <w:rPr>
          <w:sz w:val="22"/>
          <w:szCs w:val="22"/>
        </w:rPr>
        <w:t xml:space="preserve">The annual public reporting burden for this collection of information is estimated to average </w:t>
      </w:r>
      <w:r w:rsidR="00205890">
        <w:rPr>
          <w:sz w:val="22"/>
          <w:szCs w:val="22"/>
        </w:rPr>
        <w:t>1,285</w:t>
      </w:r>
      <w:r w:rsidR="00205890" w:rsidRPr="008F7376">
        <w:rPr>
          <w:sz w:val="22"/>
          <w:szCs w:val="22"/>
        </w:rPr>
        <w:t xml:space="preserve"> </w:t>
      </w:r>
      <w:r w:rsidRPr="008F7376">
        <w:rPr>
          <w:sz w:val="22"/>
          <w:szCs w:val="22"/>
        </w:rPr>
        <w:t>hours per respondent, and the annual</w:t>
      </w:r>
      <w:r>
        <w:rPr>
          <w:sz w:val="22"/>
          <w:szCs w:val="22"/>
        </w:rPr>
        <w:t xml:space="preserve"> public recordkeeping burden for this collection of information is estimated to average </w:t>
      </w:r>
      <w:r w:rsidR="00205890">
        <w:rPr>
          <w:sz w:val="22"/>
          <w:szCs w:val="22"/>
        </w:rPr>
        <w:t>103</w:t>
      </w:r>
      <w:r w:rsidR="00205890">
        <w:rPr>
          <w:sz w:val="22"/>
          <w:szCs w:val="22"/>
        </w:rPr>
        <w:t xml:space="preserve"> </w:t>
      </w:r>
      <w:r>
        <w:rPr>
          <w:sz w:val="22"/>
          <w:szCs w:val="22"/>
        </w:rPr>
        <w:t>hours per respondent</w:t>
      </w:r>
      <w:r w:rsidR="00AB1C92">
        <w:rPr>
          <w:sz w:val="22"/>
          <w:szCs w:val="22"/>
        </w:rPr>
        <w:t>.</w:t>
      </w:r>
      <w:r>
        <w:rPr>
          <w:sz w:val="22"/>
          <w:szCs w:val="22"/>
        </w:rPr>
        <w:t xml:space="preserve"> </w:t>
      </w:r>
      <w:r w:rsidRPr="00E1436E">
        <w:rPr>
          <w:color w:val="000000"/>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147EDE" w:rsidRPr="005578D5" w:rsidRDefault="00147EDE" w:rsidP="00147EDE">
      <w:pPr>
        <w:widowControl/>
        <w:tabs>
          <w:tab w:val="left" w:pos="-1152"/>
        </w:tabs>
        <w:rPr>
          <w:sz w:val="22"/>
          <w:szCs w:val="22"/>
        </w:rPr>
      </w:pPr>
    </w:p>
    <w:p w:rsidR="00E56374" w:rsidRPr="005578D5"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5578D5">
        <w:rPr>
          <w:sz w:val="22"/>
          <w:szCs w:val="22"/>
        </w:rPr>
        <w:t>To comment on EPA 's need for this information, the accuracy of the provided burden estimates, and any suggested methods for minimizing respondent burden, including the use of automated collection techniques, EPA has established a public docket for this ICR under Docket ID Number EPA-HQ-RCRA-</w:t>
      </w:r>
      <w:r w:rsidR="00E04960">
        <w:rPr>
          <w:sz w:val="22"/>
          <w:szCs w:val="22"/>
        </w:rPr>
        <w:t>201</w:t>
      </w:r>
      <w:r w:rsidR="009346B3">
        <w:rPr>
          <w:sz w:val="22"/>
          <w:szCs w:val="22"/>
        </w:rPr>
        <w:t>5-0606</w:t>
      </w:r>
      <w:r w:rsidRPr="005578D5">
        <w:rPr>
          <w:sz w:val="22"/>
          <w:szCs w:val="22"/>
        </w:rPr>
        <w:t xml:space="preserve">, which is available for online viewing at www.regulations.gov, or in person viewing at the RCRA Docket in the EPA Docket Center (EPA/DC), EPA West, Room B102,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578D5">
            <w:rPr>
              <w:sz w:val="22"/>
              <w:szCs w:val="22"/>
            </w:rPr>
            <w:t>725 17th Street, NW</w:t>
          </w:r>
        </w:smartTag>
        <w:r w:rsidRPr="005578D5">
          <w:rPr>
            <w:sz w:val="22"/>
            <w:szCs w:val="22"/>
          </w:rPr>
          <w:t xml:space="preserve">, </w:t>
        </w:r>
        <w:smartTag w:uri="urn:schemas-microsoft-com:office:smarttags" w:element="City">
          <w:r w:rsidRPr="005578D5">
            <w:rPr>
              <w:sz w:val="22"/>
              <w:szCs w:val="22"/>
            </w:rPr>
            <w:t>Washington</w:t>
          </w:r>
        </w:smartTag>
        <w:r w:rsidRPr="005578D5">
          <w:rPr>
            <w:sz w:val="22"/>
            <w:szCs w:val="22"/>
          </w:rPr>
          <w:t xml:space="preserve">, </w:t>
        </w:r>
        <w:smartTag w:uri="urn:schemas-microsoft-com:office:smarttags" w:element="State">
          <w:r w:rsidRPr="005578D5">
            <w:rPr>
              <w:sz w:val="22"/>
              <w:szCs w:val="22"/>
            </w:rPr>
            <w:t>D.C.</w:t>
          </w:r>
        </w:smartTag>
        <w:r w:rsidRPr="005578D5">
          <w:rPr>
            <w:sz w:val="22"/>
            <w:szCs w:val="22"/>
          </w:rPr>
          <w:t xml:space="preserve"> </w:t>
        </w:r>
        <w:smartTag w:uri="urn:schemas-microsoft-com:office:smarttags" w:element="PostalCode">
          <w:r w:rsidRPr="005578D5">
            <w:rPr>
              <w:sz w:val="22"/>
              <w:szCs w:val="22"/>
            </w:rPr>
            <w:t>20503</w:t>
          </w:r>
        </w:smartTag>
      </w:smartTag>
      <w:r w:rsidRPr="005578D5">
        <w:rPr>
          <w:sz w:val="22"/>
          <w:szCs w:val="22"/>
        </w:rPr>
        <w:t>, Attention: Desk Officer for EPA.  Please include the EPA Docket ID Number EPA-HQ-RCRA-</w:t>
      </w:r>
      <w:r w:rsidR="00E04960">
        <w:rPr>
          <w:sz w:val="22"/>
          <w:szCs w:val="22"/>
        </w:rPr>
        <w:t>201</w:t>
      </w:r>
      <w:r w:rsidR="009346B3">
        <w:rPr>
          <w:sz w:val="22"/>
          <w:szCs w:val="22"/>
        </w:rPr>
        <w:t>5-0606</w:t>
      </w:r>
      <w:r w:rsidRPr="005578D5">
        <w:rPr>
          <w:sz w:val="22"/>
          <w:szCs w:val="22"/>
        </w:rPr>
        <w:t xml:space="preserve"> and OMB Control Number 2050-</w:t>
      </w:r>
      <w:r w:rsidR="005578D5" w:rsidRPr="005578D5">
        <w:rPr>
          <w:sz w:val="22"/>
          <w:szCs w:val="22"/>
        </w:rPr>
        <w:t>0120</w:t>
      </w:r>
      <w:r w:rsidRPr="005578D5">
        <w:rPr>
          <w:sz w:val="22"/>
          <w:szCs w:val="22"/>
        </w:rPr>
        <w:t xml:space="preserve"> in any correspondence.</w:t>
      </w:r>
    </w:p>
    <w:p w:rsidR="00E56374" w:rsidRDefault="00E56374" w:rsidP="00E5637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sectPr w:rsidR="00E56374" w:rsidSect="00210748">
          <w:pgSz w:w="12240" w:h="15840"/>
          <w:pgMar w:top="1440" w:right="1440" w:bottom="1440" w:left="1440" w:header="720" w:footer="720" w:gutter="0"/>
          <w:cols w:space="720"/>
          <w:docGrid w:linePitch="360"/>
        </w:sectPr>
      </w:pPr>
    </w:p>
    <w:p w:rsidR="00F3465A" w:rsidRPr="00033441" w:rsidRDefault="002854AA">
      <w:r w:rsidRPr="00042A86">
        <w:rPr>
          <w:noProof/>
        </w:rPr>
        <w:lastRenderedPageBreak/>
        <w:drawing>
          <wp:inline distT="0" distB="0" distL="0" distR="0">
            <wp:extent cx="8218805" cy="5401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8805" cy="5401310"/>
                    </a:xfrm>
                    <a:prstGeom prst="rect">
                      <a:avLst/>
                    </a:prstGeom>
                    <a:noFill/>
                    <a:ln>
                      <a:noFill/>
                    </a:ln>
                  </pic:spPr>
                </pic:pic>
              </a:graphicData>
            </a:graphic>
          </wp:inline>
        </w:drawing>
      </w:r>
      <w:r w:rsidR="00F3465A">
        <w:br w:type="page"/>
      </w:r>
    </w:p>
    <w:p w:rsidR="00F3465A" w:rsidRPr="00033441" w:rsidRDefault="002854AA">
      <w:r w:rsidRPr="005B4D59">
        <w:rPr>
          <w:noProof/>
        </w:rPr>
        <w:lastRenderedPageBreak/>
        <w:drawing>
          <wp:inline distT="0" distB="0" distL="0" distR="0">
            <wp:extent cx="8218805"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8805" cy="1190625"/>
                    </a:xfrm>
                    <a:prstGeom prst="rect">
                      <a:avLst/>
                    </a:prstGeom>
                    <a:noFill/>
                    <a:ln>
                      <a:noFill/>
                    </a:ln>
                  </pic:spPr>
                </pic:pic>
              </a:graphicData>
            </a:graphic>
          </wp:inline>
        </w:drawing>
      </w:r>
      <w:r w:rsidRPr="00042A86">
        <w:rPr>
          <w:noProof/>
        </w:rPr>
        <w:drawing>
          <wp:inline distT="0" distB="0" distL="0" distR="0">
            <wp:extent cx="8218805" cy="2115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8805" cy="2115820"/>
                    </a:xfrm>
                    <a:prstGeom prst="rect">
                      <a:avLst/>
                    </a:prstGeom>
                    <a:noFill/>
                    <a:ln>
                      <a:noFill/>
                    </a:ln>
                  </pic:spPr>
                </pic:pic>
              </a:graphicData>
            </a:graphic>
          </wp:inline>
        </w:drawing>
      </w:r>
      <w:r w:rsidR="00F3465A">
        <w:br w:type="page"/>
      </w:r>
    </w:p>
    <w:p w:rsidR="00F3465A" w:rsidRDefault="002854AA">
      <w:r w:rsidRPr="00042A86">
        <w:rPr>
          <w:noProof/>
        </w:rPr>
        <w:lastRenderedPageBreak/>
        <w:drawing>
          <wp:inline distT="0" distB="0" distL="0" distR="0">
            <wp:extent cx="8229600" cy="38595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859530"/>
                    </a:xfrm>
                    <a:prstGeom prst="rect">
                      <a:avLst/>
                    </a:prstGeom>
                    <a:noFill/>
                    <a:ln>
                      <a:noFill/>
                    </a:ln>
                  </pic:spPr>
                </pic:pic>
              </a:graphicData>
            </a:graphic>
          </wp:inline>
        </w:drawing>
      </w:r>
      <w:r w:rsidR="00F3465A">
        <w:br w:type="page"/>
      </w:r>
    </w:p>
    <w:p w:rsidR="00F3465A" w:rsidRDefault="002854AA">
      <w:r w:rsidRPr="00042A86">
        <w:rPr>
          <w:noProof/>
        </w:rPr>
        <w:lastRenderedPageBreak/>
        <w:drawing>
          <wp:inline distT="0" distB="0" distL="0" distR="0">
            <wp:extent cx="8229600" cy="42208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4220845"/>
                    </a:xfrm>
                    <a:prstGeom prst="rect">
                      <a:avLst/>
                    </a:prstGeom>
                    <a:noFill/>
                    <a:ln>
                      <a:noFill/>
                    </a:ln>
                  </pic:spPr>
                </pic:pic>
              </a:graphicData>
            </a:graphic>
          </wp:inline>
        </w:drawing>
      </w:r>
      <w:r w:rsidR="00F3465A">
        <w:br w:type="page"/>
      </w:r>
    </w:p>
    <w:p w:rsidR="00F3465A" w:rsidRDefault="002854AA">
      <w:r w:rsidRPr="00042A86">
        <w:rPr>
          <w:noProof/>
        </w:rPr>
        <w:lastRenderedPageBreak/>
        <w:drawing>
          <wp:inline distT="0" distB="0" distL="0" distR="0">
            <wp:extent cx="8229600" cy="19773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1977390"/>
                    </a:xfrm>
                    <a:prstGeom prst="rect">
                      <a:avLst/>
                    </a:prstGeom>
                    <a:noFill/>
                    <a:ln>
                      <a:noFill/>
                    </a:ln>
                  </pic:spPr>
                </pic:pic>
              </a:graphicData>
            </a:graphic>
          </wp:inline>
        </w:drawing>
      </w:r>
      <w:r w:rsidR="00F3465A">
        <w:br w:type="page"/>
      </w:r>
      <w:r w:rsidRPr="00042A86">
        <w:rPr>
          <w:noProof/>
        </w:rPr>
        <w:lastRenderedPageBreak/>
        <w:drawing>
          <wp:inline distT="0" distB="0" distL="0" distR="0">
            <wp:extent cx="8218805" cy="5358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8805" cy="5358765"/>
                    </a:xfrm>
                    <a:prstGeom prst="rect">
                      <a:avLst/>
                    </a:prstGeom>
                    <a:noFill/>
                    <a:ln>
                      <a:noFill/>
                    </a:ln>
                  </pic:spPr>
                </pic:pic>
              </a:graphicData>
            </a:graphic>
          </wp:inline>
        </w:drawing>
      </w:r>
    </w:p>
    <w:p w:rsidR="00F3465A" w:rsidRPr="00280526" w:rsidRDefault="00F3465A">
      <w:r>
        <w:br w:type="page"/>
      </w:r>
      <w:r w:rsidR="002854AA" w:rsidRPr="005B4D59">
        <w:rPr>
          <w:noProof/>
        </w:rPr>
        <w:lastRenderedPageBreak/>
        <w:drawing>
          <wp:inline distT="0" distB="0" distL="0" distR="0">
            <wp:extent cx="8218805" cy="11163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8805" cy="1116330"/>
                    </a:xfrm>
                    <a:prstGeom prst="rect">
                      <a:avLst/>
                    </a:prstGeom>
                    <a:noFill/>
                    <a:ln>
                      <a:noFill/>
                    </a:ln>
                  </pic:spPr>
                </pic:pic>
              </a:graphicData>
            </a:graphic>
          </wp:inline>
        </w:drawing>
      </w:r>
      <w:r w:rsidR="00042A86" w:rsidRPr="00042A86">
        <w:t xml:space="preserve"> </w:t>
      </w:r>
      <w:r w:rsidR="002854AA" w:rsidRPr="00042A86">
        <w:rPr>
          <w:noProof/>
        </w:rPr>
        <w:drawing>
          <wp:inline distT="0" distB="0" distL="0" distR="0">
            <wp:extent cx="8218805" cy="34448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8805" cy="3444875"/>
                    </a:xfrm>
                    <a:prstGeom prst="rect">
                      <a:avLst/>
                    </a:prstGeom>
                    <a:noFill/>
                    <a:ln>
                      <a:noFill/>
                    </a:ln>
                  </pic:spPr>
                </pic:pic>
              </a:graphicData>
            </a:graphic>
          </wp:inline>
        </w:drawing>
      </w:r>
      <w:r>
        <w:br w:type="page"/>
      </w:r>
      <w:r w:rsidR="002854AA" w:rsidRPr="00042A86">
        <w:rPr>
          <w:noProof/>
        </w:rPr>
        <w:lastRenderedPageBreak/>
        <w:drawing>
          <wp:inline distT="0" distB="0" distL="0" distR="0">
            <wp:extent cx="8218805" cy="4763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8805" cy="4763135"/>
                    </a:xfrm>
                    <a:prstGeom prst="rect">
                      <a:avLst/>
                    </a:prstGeom>
                    <a:noFill/>
                    <a:ln>
                      <a:noFill/>
                    </a:ln>
                  </pic:spPr>
                </pic:pic>
              </a:graphicData>
            </a:graphic>
          </wp:inline>
        </w:drawing>
      </w:r>
      <w:r>
        <w:br w:type="page"/>
      </w:r>
      <w:r w:rsidR="002854AA" w:rsidRPr="005B4D59">
        <w:rPr>
          <w:noProof/>
        </w:rPr>
        <w:lastRenderedPageBreak/>
        <w:drawing>
          <wp:inline distT="0" distB="0" distL="0" distR="0">
            <wp:extent cx="8218805" cy="999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8805" cy="999490"/>
                    </a:xfrm>
                    <a:prstGeom prst="rect">
                      <a:avLst/>
                    </a:prstGeom>
                    <a:noFill/>
                    <a:ln>
                      <a:noFill/>
                    </a:ln>
                  </pic:spPr>
                </pic:pic>
              </a:graphicData>
            </a:graphic>
          </wp:inline>
        </w:drawing>
      </w:r>
    </w:p>
    <w:p w:rsidR="00F3465A" w:rsidRDefault="002854AA">
      <w:r w:rsidRPr="00042A86">
        <w:rPr>
          <w:noProof/>
        </w:rPr>
        <w:drawing>
          <wp:inline distT="0" distB="0" distL="0" distR="0">
            <wp:extent cx="8218805" cy="4083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8805" cy="4083050"/>
                    </a:xfrm>
                    <a:prstGeom prst="rect">
                      <a:avLst/>
                    </a:prstGeom>
                    <a:noFill/>
                    <a:ln>
                      <a:noFill/>
                    </a:ln>
                  </pic:spPr>
                </pic:pic>
              </a:graphicData>
            </a:graphic>
          </wp:inline>
        </w:drawing>
      </w:r>
      <w:r w:rsidR="00F3465A">
        <w:br w:type="page"/>
      </w:r>
      <w:r w:rsidRPr="005B4D59">
        <w:rPr>
          <w:noProof/>
        </w:rPr>
        <w:lastRenderedPageBreak/>
        <w:drawing>
          <wp:inline distT="0" distB="0" distL="0" distR="0">
            <wp:extent cx="8218805" cy="9994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8805" cy="999490"/>
                    </a:xfrm>
                    <a:prstGeom prst="rect">
                      <a:avLst/>
                    </a:prstGeom>
                    <a:noFill/>
                    <a:ln>
                      <a:noFill/>
                    </a:ln>
                  </pic:spPr>
                </pic:pic>
              </a:graphicData>
            </a:graphic>
          </wp:inline>
        </w:drawing>
      </w:r>
      <w:r w:rsidR="00042A86" w:rsidRPr="00042A86">
        <w:t xml:space="preserve">   </w:t>
      </w:r>
      <w:r w:rsidRPr="00042A86">
        <w:rPr>
          <w:noProof/>
        </w:rPr>
        <w:drawing>
          <wp:inline distT="0" distB="0" distL="0" distR="0">
            <wp:extent cx="8218805" cy="30943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18805" cy="3094355"/>
                    </a:xfrm>
                    <a:prstGeom prst="rect">
                      <a:avLst/>
                    </a:prstGeom>
                    <a:noFill/>
                    <a:ln>
                      <a:noFill/>
                    </a:ln>
                  </pic:spPr>
                </pic:pic>
              </a:graphicData>
            </a:graphic>
          </wp:inline>
        </w:drawing>
      </w:r>
      <w:r w:rsidR="004D0B78">
        <w:br w:type="page"/>
      </w:r>
      <w:r w:rsidRPr="005B4D59">
        <w:rPr>
          <w:noProof/>
        </w:rPr>
        <w:lastRenderedPageBreak/>
        <w:drawing>
          <wp:inline distT="0" distB="0" distL="0" distR="0">
            <wp:extent cx="8218805" cy="999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8805" cy="999490"/>
                    </a:xfrm>
                    <a:prstGeom prst="rect">
                      <a:avLst/>
                    </a:prstGeom>
                    <a:noFill/>
                    <a:ln>
                      <a:noFill/>
                    </a:ln>
                  </pic:spPr>
                </pic:pic>
              </a:graphicData>
            </a:graphic>
          </wp:inline>
        </w:drawing>
      </w:r>
    </w:p>
    <w:p w:rsidR="00F3465A" w:rsidRDefault="002854AA">
      <w:r w:rsidRPr="00042A86">
        <w:rPr>
          <w:noProof/>
        </w:rPr>
        <w:drawing>
          <wp:inline distT="0" distB="0" distL="0" distR="0">
            <wp:extent cx="8218805" cy="22752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8805" cy="2275205"/>
                    </a:xfrm>
                    <a:prstGeom prst="rect">
                      <a:avLst/>
                    </a:prstGeom>
                    <a:noFill/>
                    <a:ln>
                      <a:noFill/>
                    </a:ln>
                  </pic:spPr>
                </pic:pic>
              </a:graphicData>
            </a:graphic>
          </wp:inline>
        </w:drawing>
      </w:r>
      <w:r w:rsidR="00F3465A">
        <w:br w:type="page"/>
      </w:r>
    </w:p>
    <w:p w:rsidR="00F3465A" w:rsidRDefault="002854AA">
      <w:r w:rsidRPr="00042A86">
        <w:rPr>
          <w:noProof/>
        </w:rPr>
        <w:lastRenderedPageBreak/>
        <w:drawing>
          <wp:inline distT="0" distB="0" distL="0" distR="0">
            <wp:extent cx="8218805" cy="337058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18805" cy="3370580"/>
                    </a:xfrm>
                    <a:prstGeom prst="rect">
                      <a:avLst/>
                    </a:prstGeom>
                    <a:noFill/>
                    <a:ln>
                      <a:noFill/>
                    </a:ln>
                  </pic:spPr>
                </pic:pic>
              </a:graphicData>
            </a:graphic>
          </wp:inline>
        </w:drawing>
      </w:r>
      <w:r w:rsidR="00F3465A">
        <w:br w:type="page"/>
      </w:r>
    </w:p>
    <w:p w:rsidR="00141FA5" w:rsidRDefault="00205890">
      <w:r>
        <w:lastRenderedPageBreak/>
        <w:t>$</w:t>
      </w:r>
      <w:r w:rsidR="002854AA" w:rsidRPr="00042A86">
        <w:rPr>
          <w:noProof/>
        </w:rPr>
        <w:drawing>
          <wp:inline distT="0" distB="0" distL="0" distR="0">
            <wp:extent cx="6591935" cy="29133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2913380"/>
                    </a:xfrm>
                    <a:prstGeom prst="rect">
                      <a:avLst/>
                    </a:prstGeom>
                    <a:noFill/>
                    <a:ln>
                      <a:noFill/>
                    </a:ln>
                  </pic:spPr>
                </pic:pic>
              </a:graphicData>
            </a:graphic>
          </wp:inline>
        </w:drawing>
      </w:r>
      <w:r w:rsidR="00F3465A">
        <w:br w:type="page"/>
      </w:r>
    </w:p>
    <w:p w:rsidR="00141FA5" w:rsidRDefault="002854AA">
      <w:r w:rsidRPr="005B4D59">
        <w:rPr>
          <w:noProof/>
        </w:rPr>
        <w:lastRenderedPageBreak/>
        <w:drawing>
          <wp:inline distT="0" distB="0" distL="0" distR="0">
            <wp:extent cx="8218805" cy="55073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18805" cy="5507355"/>
                    </a:xfrm>
                    <a:prstGeom prst="rect">
                      <a:avLst/>
                    </a:prstGeom>
                    <a:noFill/>
                    <a:ln>
                      <a:noFill/>
                    </a:ln>
                  </pic:spPr>
                </pic:pic>
              </a:graphicData>
            </a:graphic>
          </wp:inline>
        </w:drawing>
      </w:r>
      <w:r w:rsidR="00141FA5">
        <w:br w:type="page"/>
      </w:r>
      <w:r w:rsidRPr="00141FA5">
        <w:rPr>
          <w:noProof/>
        </w:rPr>
        <w:lastRenderedPageBreak/>
        <w:drawing>
          <wp:inline distT="0" distB="0" distL="0" distR="0">
            <wp:extent cx="8218805" cy="10845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18805" cy="1084580"/>
                    </a:xfrm>
                    <a:prstGeom prst="rect">
                      <a:avLst/>
                    </a:prstGeom>
                    <a:noFill/>
                    <a:ln>
                      <a:noFill/>
                    </a:ln>
                  </pic:spPr>
                </pic:pic>
              </a:graphicData>
            </a:graphic>
          </wp:inline>
        </w:drawing>
      </w:r>
    </w:p>
    <w:p w:rsidR="005B4D59" w:rsidRDefault="002854AA">
      <w:r w:rsidRPr="005B4D59">
        <w:rPr>
          <w:noProof/>
        </w:rPr>
        <w:drawing>
          <wp:inline distT="0" distB="0" distL="0" distR="0">
            <wp:extent cx="8218805" cy="3221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18805" cy="3221355"/>
                    </a:xfrm>
                    <a:prstGeom prst="rect">
                      <a:avLst/>
                    </a:prstGeom>
                    <a:noFill/>
                    <a:ln>
                      <a:noFill/>
                    </a:ln>
                  </pic:spPr>
                </pic:pic>
              </a:graphicData>
            </a:graphic>
          </wp:inline>
        </w:drawing>
      </w:r>
    </w:p>
    <w:p w:rsidR="00A476E4" w:rsidRDefault="005B4D59">
      <w:r>
        <w:br w:type="page"/>
      </w:r>
      <w:r w:rsidR="002854AA" w:rsidRPr="005B4D59">
        <w:rPr>
          <w:noProof/>
        </w:rPr>
        <w:lastRenderedPageBreak/>
        <w:drawing>
          <wp:inline distT="0" distB="0" distL="0" distR="0">
            <wp:extent cx="5295265" cy="3083560"/>
            <wp:effectExtent l="0" t="0" r="63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95265" cy="3083560"/>
                    </a:xfrm>
                    <a:prstGeom prst="rect">
                      <a:avLst/>
                    </a:prstGeom>
                    <a:noFill/>
                    <a:ln>
                      <a:noFill/>
                    </a:ln>
                  </pic:spPr>
                </pic:pic>
              </a:graphicData>
            </a:graphic>
          </wp:inline>
        </w:drawing>
      </w:r>
      <w:r w:rsidR="00141FA5">
        <w:br w:type="page"/>
      </w:r>
    </w:p>
    <w:p w:rsidR="00836EC7" w:rsidRDefault="002854AA">
      <w:r w:rsidRPr="005B4D59">
        <w:rPr>
          <w:noProof/>
        </w:rPr>
        <w:lastRenderedPageBreak/>
        <w:drawing>
          <wp:inline distT="0" distB="0" distL="0" distR="0">
            <wp:extent cx="8218805" cy="44018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18805" cy="4401820"/>
                    </a:xfrm>
                    <a:prstGeom prst="rect">
                      <a:avLst/>
                    </a:prstGeom>
                    <a:noFill/>
                    <a:ln>
                      <a:noFill/>
                    </a:ln>
                  </pic:spPr>
                </pic:pic>
              </a:graphicData>
            </a:graphic>
          </wp:inline>
        </w:drawing>
      </w:r>
      <w:r w:rsidR="00A476E4">
        <w:br w:type="page"/>
      </w:r>
      <w:r w:rsidR="00A476E4" w:rsidRPr="00A476E4">
        <w:lastRenderedPageBreak/>
        <w:t xml:space="preserve"> </w:t>
      </w:r>
      <w:r w:rsidRPr="005B4D59">
        <w:rPr>
          <w:noProof/>
        </w:rPr>
        <w:drawing>
          <wp:inline distT="0" distB="0" distL="0" distR="0">
            <wp:extent cx="8218805" cy="999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18805" cy="999490"/>
                    </a:xfrm>
                    <a:prstGeom prst="rect">
                      <a:avLst/>
                    </a:prstGeom>
                    <a:noFill/>
                    <a:ln>
                      <a:noFill/>
                    </a:ln>
                  </pic:spPr>
                </pic:pic>
              </a:graphicData>
            </a:graphic>
          </wp:inline>
        </w:drawing>
      </w:r>
    </w:p>
    <w:p w:rsidR="00091083" w:rsidRPr="00280526" w:rsidRDefault="002854AA">
      <w:r w:rsidRPr="005B4D59">
        <w:rPr>
          <w:noProof/>
        </w:rPr>
        <w:drawing>
          <wp:inline distT="0" distB="0" distL="0" distR="0">
            <wp:extent cx="8218805" cy="431673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8805" cy="4316730"/>
                    </a:xfrm>
                    <a:prstGeom prst="rect">
                      <a:avLst/>
                    </a:prstGeom>
                    <a:noFill/>
                    <a:ln>
                      <a:noFill/>
                    </a:ln>
                  </pic:spPr>
                </pic:pic>
              </a:graphicData>
            </a:graphic>
          </wp:inline>
        </w:drawing>
      </w:r>
      <w:r w:rsidR="00836EC7">
        <w:br w:type="page"/>
      </w:r>
      <w:r w:rsidRPr="00F84603">
        <w:rPr>
          <w:noProof/>
        </w:rPr>
        <w:lastRenderedPageBreak/>
        <w:drawing>
          <wp:inline distT="0" distB="0" distL="0" distR="0">
            <wp:extent cx="5295265" cy="3083560"/>
            <wp:effectExtent l="0" t="0" r="63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5265" cy="3083560"/>
                    </a:xfrm>
                    <a:prstGeom prst="rect">
                      <a:avLst/>
                    </a:prstGeom>
                    <a:noFill/>
                    <a:ln>
                      <a:noFill/>
                    </a:ln>
                  </pic:spPr>
                </pic:pic>
              </a:graphicData>
            </a:graphic>
          </wp:inline>
        </w:drawing>
      </w:r>
    </w:p>
    <w:sectPr w:rsidR="00091083" w:rsidRPr="00280526" w:rsidSect="00E563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E6" w:rsidRDefault="001552E6">
      <w:r>
        <w:separator/>
      </w:r>
    </w:p>
  </w:endnote>
  <w:endnote w:type="continuationSeparator" w:id="0">
    <w:p w:rsidR="001552E6" w:rsidRDefault="0015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E6" w:rsidRDefault="001552E6">
      <w:r>
        <w:separator/>
      </w:r>
    </w:p>
  </w:footnote>
  <w:footnote w:type="continuationSeparator" w:id="0">
    <w:p w:rsidR="001552E6" w:rsidRDefault="0015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E6" w:rsidRDefault="001552E6">
    <w:pPr>
      <w:framePr w:w="9361" w:wrap="notBeside" w:vAnchor="text" w:hAnchor="text" w:x="1" w:y="1"/>
      <w:jc w:val="right"/>
    </w:pPr>
    <w:r>
      <w:fldChar w:fldCharType="begin"/>
    </w:r>
    <w:r>
      <w:instrText xml:space="preserve">PAGE </w:instrText>
    </w:r>
    <w:r>
      <w:fldChar w:fldCharType="separate"/>
    </w:r>
    <w:r w:rsidR="0031412B">
      <w:rPr>
        <w:noProof/>
      </w:rPr>
      <w:t>3</w:t>
    </w:r>
    <w:r>
      <w:fldChar w:fldCharType="end"/>
    </w:r>
  </w:p>
  <w:p w:rsidR="001552E6" w:rsidRDefault="001552E6"/>
  <w:p w:rsidR="001552E6" w:rsidRDefault="001552E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532BC58"/>
    <w:lvl w:ilvl="0">
      <w:numFmt w:val="bullet"/>
      <w:lvlText w:val="*"/>
      <w:lvlJc w:val="left"/>
    </w:lvl>
  </w:abstractNum>
  <w:abstractNum w:abstractNumId="2" w15:restartNumberingAfterBreak="0">
    <w:nsid w:val="0BEB57C9"/>
    <w:multiLevelType w:val="hybridMultilevel"/>
    <w:tmpl w:val="B8D686E8"/>
    <w:lvl w:ilvl="0" w:tplc="F5E4E166">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 w15:restartNumberingAfterBreak="0">
    <w:nsid w:val="1CFF0A1F"/>
    <w:multiLevelType w:val="hybridMultilevel"/>
    <w:tmpl w:val="BC0C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85B6D"/>
    <w:multiLevelType w:val="hybridMultilevel"/>
    <w:tmpl w:val="CD94554C"/>
    <w:lvl w:ilvl="0" w:tplc="AE2653D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375E63"/>
    <w:multiLevelType w:val="hybridMultilevel"/>
    <w:tmpl w:val="F9864ADA"/>
    <w:lvl w:ilvl="0" w:tplc="9BBADD6C">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0">
    <w:nsid w:val="5D9B608A"/>
    <w:multiLevelType w:val="hybridMultilevel"/>
    <w:tmpl w:val="CD640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FFB4FB2"/>
    <w:multiLevelType w:val="hybridMultilevel"/>
    <w:tmpl w:val="058AF1EA"/>
    <w:lvl w:ilvl="0" w:tplc="C0FE8B98">
      <w:start w:val="1"/>
      <w:numFmt w:val="lowerRoman"/>
      <w:lvlText w:val="(%1)"/>
      <w:lvlJc w:val="left"/>
      <w:pPr>
        <w:tabs>
          <w:tab w:val="num" w:pos="2160"/>
        </w:tabs>
        <w:ind w:left="2160" w:hanging="720"/>
      </w:pPr>
      <w:rPr>
        <w:rFonts w:hint="default"/>
      </w:rPr>
    </w:lvl>
    <w:lvl w:ilvl="1" w:tplc="3E68AB5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lvlOverride w:ilvl="0">
      <w:lvl w:ilvl="0">
        <w:numFmt w:val="bullet"/>
        <w:lvlText w:val=""/>
        <w:legacy w:legacy="1" w:legacySpace="0" w:legacyIndent="703"/>
        <w:lvlJc w:val="left"/>
        <w:pPr>
          <w:ind w:left="1423" w:hanging="703"/>
        </w:pPr>
        <w:rPr>
          <w:rFonts w:ascii="Symbol" w:hAnsi="Symbol" w:hint="default"/>
        </w:rPr>
      </w:lvl>
    </w:lvlOverride>
  </w:num>
  <w:num w:numId="3">
    <w:abstractNumId w:val="1"/>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lvlOverride w:ilvl="0">
      <w:lvl w:ilvl="0">
        <w:numFmt w:val="bullet"/>
        <w:lvlText w:val=""/>
        <w:legacy w:legacy="1" w:legacySpace="0" w:legacyIndent="720"/>
        <w:lvlJc w:val="left"/>
        <w:pPr>
          <w:ind w:left="1423" w:hanging="720"/>
        </w:pPr>
        <w:rPr>
          <w:rFonts w:ascii="Symbol" w:hAnsi="Symbol" w:hint="default"/>
        </w:rPr>
      </w:lvl>
    </w:lvlOverride>
  </w:num>
  <w:num w:numId="5">
    <w:abstractNumId w:val="1"/>
    <w:lvlOverride w:ilvl="0">
      <w:lvl w:ilvl="0">
        <w:numFmt w:val="bullet"/>
        <w:lvlText w:val=""/>
        <w:legacy w:legacy="1" w:legacySpace="0" w:legacyIndent="704"/>
        <w:lvlJc w:val="left"/>
        <w:pPr>
          <w:ind w:left="1424" w:hanging="704"/>
        </w:pPr>
        <w:rPr>
          <w:rFonts w:ascii="Symbol" w:hAnsi="Symbol" w:hint="default"/>
        </w:rPr>
      </w:lvl>
    </w:lvlOverride>
  </w:num>
  <w:num w:numId="6">
    <w:abstractNumId w:val="1"/>
    <w:lvlOverride w:ilvl="0">
      <w:lvl w:ilvl="0">
        <w:numFmt w:val="bullet"/>
        <w:lvlText w:val=""/>
        <w:legacy w:legacy="1" w:legacySpace="0" w:legacyIndent="793"/>
        <w:lvlJc w:val="left"/>
        <w:pPr>
          <w:ind w:left="1513" w:hanging="793"/>
        </w:pPr>
        <w:rPr>
          <w:rFonts w:ascii="Symbol" w:hAnsi="Symbol" w:hint="default"/>
        </w:rPr>
      </w:lvl>
    </w:lvlOverride>
  </w:num>
  <w:num w:numId="7">
    <w:abstractNumId w:val="1"/>
    <w:lvlOverride w:ilvl="0">
      <w:lvl w:ilvl="0">
        <w:numFmt w:val="bullet"/>
        <w:lvlText w:val=""/>
        <w:legacy w:legacy="1" w:legacySpace="0" w:legacyIndent="900"/>
        <w:lvlJc w:val="left"/>
        <w:pPr>
          <w:ind w:left="1620" w:hanging="900"/>
        </w:pPr>
        <w:rPr>
          <w:rFonts w:ascii="Symbol" w:hAnsi="Symbol" w:hint="default"/>
        </w:rPr>
      </w:lvl>
    </w:lvlOverride>
  </w:num>
  <w:num w:numId="8">
    <w:abstractNumId w:val="1"/>
    <w:lvlOverride w:ilvl="0">
      <w:lvl w:ilvl="0">
        <w:numFmt w:val="bullet"/>
        <w:lvlText w:val="·"/>
        <w:legacy w:legacy="1" w:legacySpace="0" w:legacyIndent="703"/>
        <w:lvlJc w:val="left"/>
        <w:pPr>
          <w:ind w:left="1423" w:hanging="703"/>
        </w:pPr>
        <w:rPr>
          <w:rFonts w:ascii="Times New Roman" w:hAnsi="Times New Roman" w:cs="Times New Roman" w:hint="default"/>
        </w:rPr>
      </w:lvl>
    </w:lvlOverride>
  </w:num>
  <w:num w:numId="9">
    <w:abstractNumId w:val="2"/>
  </w:num>
  <w:num w:numId="10">
    <w:abstractNumId w:val="5"/>
  </w:num>
  <w:num w:numId="11">
    <w:abstractNumId w:val="4"/>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DE"/>
    <w:rsid w:val="00033441"/>
    <w:rsid w:val="00033D9C"/>
    <w:rsid w:val="0003797F"/>
    <w:rsid w:val="00042A86"/>
    <w:rsid w:val="00051EB6"/>
    <w:rsid w:val="00052E58"/>
    <w:rsid w:val="0006555B"/>
    <w:rsid w:val="00091083"/>
    <w:rsid w:val="00093063"/>
    <w:rsid w:val="00094B52"/>
    <w:rsid w:val="00095143"/>
    <w:rsid w:val="000B3E66"/>
    <w:rsid w:val="000B5B64"/>
    <w:rsid w:val="000C10F9"/>
    <w:rsid w:val="000D37BF"/>
    <w:rsid w:val="000F1CBD"/>
    <w:rsid w:val="00103024"/>
    <w:rsid w:val="00133E45"/>
    <w:rsid w:val="00141585"/>
    <w:rsid w:val="00141FA5"/>
    <w:rsid w:val="00147EDE"/>
    <w:rsid w:val="001552E6"/>
    <w:rsid w:val="0017176B"/>
    <w:rsid w:val="001822A1"/>
    <w:rsid w:val="001A382B"/>
    <w:rsid w:val="001B14AF"/>
    <w:rsid w:val="001C6959"/>
    <w:rsid w:val="001E2039"/>
    <w:rsid w:val="002010A5"/>
    <w:rsid w:val="00202EB5"/>
    <w:rsid w:val="00205890"/>
    <w:rsid w:val="00210748"/>
    <w:rsid w:val="002208CC"/>
    <w:rsid w:val="0025130D"/>
    <w:rsid w:val="00252C6D"/>
    <w:rsid w:val="002707EB"/>
    <w:rsid w:val="00280526"/>
    <w:rsid w:val="002854AA"/>
    <w:rsid w:val="002B6D3C"/>
    <w:rsid w:val="0031412B"/>
    <w:rsid w:val="003209E2"/>
    <w:rsid w:val="00386AF3"/>
    <w:rsid w:val="003C4CC5"/>
    <w:rsid w:val="003C69CE"/>
    <w:rsid w:val="003F6289"/>
    <w:rsid w:val="0042592A"/>
    <w:rsid w:val="004336FE"/>
    <w:rsid w:val="00451F0C"/>
    <w:rsid w:val="00466256"/>
    <w:rsid w:val="00475EC8"/>
    <w:rsid w:val="0049001A"/>
    <w:rsid w:val="00491124"/>
    <w:rsid w:val="004D0B78"/>
    <w:rsid w:val="004F47BD"/>
    <w:rsid w:val="005578D5"/>
    <w:rsid w:val="00591208"/>
    <w:rsid w:val="005B4D59"/>
    <w:rsid w:val="005C7EF3"/>
    <w:rsid w:val="00605B0F"/>
    <w:rsid w:val="00614BE9"/>
    <w:rsid w:val="0061621F"/>
    <w:rsid w:val="00630811"/>
    <w:rsid w:val="006B0964"/>
    <w:rsid w:val="006D32B0"/>
    <w:rsid w:val="00755FD4"/>
    <w:rsid w:val="00777435"/>
    <w:rsid w:val="007E32B9"/>
    <w:rsid w:val="00836EC7"/>
    <w:rsid w:val="008B0090"/>
    <w:rsid w:val="008B38FB"/>
    <w:rsid w:val="008F2067"/>
    <w:rsid w:val="008F7376"/>
    <w:rsid w:val="00902D6A"/>
    <w:rsid w:val="009210DE"/>
    <w:rsid w:val="009346B3"/>
    <w:rsid w:val="00941C5C"/>
    <w:rsid w:val="00974BDA"/>
    <w:rsid w:val="009A7C70"/>
    <w:rsid w:val="009B6DAF"/>
    <w:rsid w:val="00A07B96"/>
    <w:rsid w:val="00A359FF"/>
    <w:rsid w:val="00A476E4"/>
    <w:rsid w:val="00A51F3C"/>
    <w:rsid w:val="00A6602C"/>
    <w:rsid w:val="00A70571"/>
    <w:rsid w:val="00AB1C92"/>
    <w:rsid w:val="00B206D4"/>
    <w:rsid w:val="00B440F5"/>
    <w:rsid w:val="00B549A4"/>
    <w:rsid w:val="00B819CB"/>
    <w:rsid w:val="00C30398"/>
    <w:rsid w:val="00C42D25"/>
    <w:rsid w:val="00C77CF1"/>
    <w:rsid w:val="00C923F0"/>
    <w:rsid w:val="00CC4B08"/>
    <w:rsid w:val="00CF74CA"/>
    <w:rsid w:val="00D06836"/>
    <w:rsid w:val="00D23F2F"/>
    <w:rsid w:val="00D25592"/>
    <w:rsid w:val="00D37870"/>
    <w:rsid w:val="00D55971"/>
    <w:rsid w:val="00D61BD8"/>
    <w:rsid w:val="00D626C8"/>
    <w:rsid w:val="00D92777"/>
    <w:rsid w:val="00DA3817"/>
    <w:rsid w:val="00DE1783"/>
    <w:rsid w:val="00E03771"/>
    <w:rsid w:val="00E04960"/>
    <w:rsid w:val="00E04A23"/>
    <w:rsid w:val="00E172A5"/>
    <w:rsid w:val="00E539B2"/>
    <w:rsid w:val="00E53A14"/>
    <w:rsid w:val="00E56374"/>
    <w:rsid w:val="00E630DB"/>
    <w:rsid w:val="00E83337"/>
    <w:rsid w:val="00E84564"/>
    <w:rsid w:val="00E9640C"/>
    <w:rsid w:val="00ED10CE"/>
    <w:rsid w:val="00ED15E9"/>
    <w:rsid w:val="00EE003A"/>
    <w:rsid w:val="00F123CE"/>
    <w:rsid w:val="00F3465A"/>
    <w:rsid w:val="00F43CC1"/>
    <w:rsid w:val="00F52F98"/>
    <w:rsid w:val="00F56BBC"/>
    <w:rsid w:val="00F84603"/>
    <w:rsid w:val="00FA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F20B633-090C-4686-8169-77C280CA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A51F3C"/>
    <w:rPr>
      <w:rFonts w:ascii="Segoe UI" w:hAnsi="Segoe UI" w:cs="Segoe UI"/>
      <w:sz w:val="18"/>
      <w:szCs w:val="18"/>
    </w:rPr>
  </w:style>
  <w:style w:type="character" w:customStyle="1" w:styleId="BalloonTextChar">
    <w:name w:val="Balloon Text Char"/>
    <w:link w:val="BalloonText"/>
    <w:rsid w:val="00A51F3C"/>
    <w:rPr>
      <w:rFonts w:ascii="Segoe UI" w:hAnsi="Segoe UI" w:cs="Segoe UI"/>
      <w:sz w:val="18"/>
      <w:szCs w:val="18"/>
    </w:rPr>
  </w:style>
  <w:style w:type="table" w:styleId="TableGrid">
    <w:name w:val="Table Grid"/>
    <w:basedOn w:val="TableNormal"/>
    <w:rsid w:val="00B5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23914</Words>
  <Characters>142993</Characters>
  <Application>Microsoft Office Word</Application>
  <DocSecurity>0</DocSecurity>
  <Lines>1191</Lines>
  <Paragraphs>333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166574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Suzuki, Judy</cp:lastModifiedBy>
  <cp:revision>3</cp:revision>
  <cp:lastPrinted>2016-02-05T16:56:00Z</cp:lastPrinted>
  <dcterms:created xsi:type="dcterms:W3CDTF">2016-02-08T20:08:00Z</dcterms:created>
  <dcterms:modified xsi:type="dcterms:W3CDTF">2016-02-08T20:09:00Z</dcterms:modified>
</cp:coreProperties>
</file>