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2E99" w14:textId="77777777" w:rsidR="006902C7" w:rsidRDefault="006902C7" w:rsidP="0006096C">
      <w:pPr>
        <w:spacing w:after="0" w:line="240" w:lineRule="auto"/>
        <w:rPr>
          <w:rFonts w:ascii="Times New Roman" w:hAnsi="Times New Roman"/>
          <w:b/>
          <w:sz w:val="24"/>
          <w:szCs w:val="24"/>
        </w:rPr>
      </w:pPr>
    </w:p>
    <w:p w14:paraId="43DF8E5B" w14:textId="77777777" w:rsidR="0006096C" w:rsidRDefault="0006096C">
      <w:pPr>
        <w:spacing w:after="0" w:line="240" w:lineRule="auto"/>
        <w:rPr>
          <w:rFonts w:ascii="Times New Roman" w:hAnsi="Times New Roman"/>
          <w:sz w:val="24"/>
          <w:szCs w:val="24"/>
        </w:rPr>
      </w:pPr>
    </w:p>
    <w:p w14:paraId="72650CC0" w14:textId="77777777" w:rsidR="009349F8" w:rsidRPr="00071FE9" w:rsidRDefault="009349F8" w:rsidP="00071FE9">
      <w:pPr>
        <w:spacing w:after="0" w:line="240" w:lineRule="auto"/>
        <w:jc w:val="center"/>
        <w:rPr>
          <w:rFonts w:ascii="Times New Roman" w:hAnsi="Times New Roman"/>
          <w:sz w:val="24"/>
          <w:szCs w:val="24"/>
        </w:rPr>
      </w:pPr>
      <w:r w:rsidRPr="00071FE9">
        <w:rPr>
          <w:rFonts w:ascii="Times New Roman" w:hAnsi="Times New Roman"/>
          <w:sz w:val="24"/>
          <w:szCs w:val="24"/>
        </w:rPr>
        <w:t>Supporting Statement</w:t>
      </w:r>
      <w:r w:rsidR="00635E74">
        <w:rPr>
          <w:rFonts w:ascii="Times New Roman" w:hAnsi="Times New Roman"/>
          <w:sz w:val="24"/>
          <w:szCs w:val="24"/>
        </w:rPr>
        <w:t xml:space="preserve"> for</w:t>
      </w:r>
    </w:p>
    <w:p w14:paraId="29A71DD5" w14:textId="77777777" w:rsidR="009349F8" w:rsidRPr="00071FE9" w:rsidRDefault="00722B24" w:rsidP="00071FE9">
      <w:pPr>
        <w:spacing w:after="0" w:line="240" w:lineRule="auto"/>
        <w:jc w:val="center"/>
        <w:rPr>
          <w:rFonts w:ascii="Times New Roman" w:hAnsi="Times New Roman"/>
          <w:b/>
          <w:sz w:val="24"/>
          <w:szCs w:val="24"/>
        </w:rPr>
      </w:pPr>
      <w:r w:rsidRPr="00071FE9">
        <w:rPr>
          <w:rFonts w:ascii="Times New Roman" w:hAnsi="Times New Roman"/>
          <w:b/>
          <w:sz w:val="24"/>
          <w:szCs w:val="24"/>
        </w:rPr>
        <w:t>FERC-606</w:t>
      </w:r>
      <w:r w:rsidR="009349F8" w:rsidRPr="00071FE9">
        <w:rPr>
          <w:rFonts w:ascii="Times New Roman" w:hAnsi="Times New Roman"/>
          <w:b/>
          <w:sz w:val="24"/>
          <w:szCs w:val="24"/>
        </w:rPr>
        <w:t xml:space="preserve">, </w:t>
      </w:r>
      <w:r w:rsidRPr="00071FE9">
        <w:rPr>
          <w:rFonts w:ascii="Times New Roman" w:hAnsi="Times New Roman"/>
          <w:b/>
          <w:sz w:val="24"/>
          <w:szCs w:val="24"/>
        </w:rPr>
        <w:t>Notification of Request for Federal Authorization and Requests for Further Information</w:t>
      </w:r>
      <w:r w:rsidR="00635E74">
        <w:rPr>
          <w:rFonts w:ascii="Times New Roman" w:hAnsi="Times New Roman"/>
          <w:b/>
          <w:sz w:val="24"/>
          <w:szCs w:val="24"/>
        </w:rPr>
        <w:t xml:space="preserve">, and </w:t>
      </w:r>
    </w:p>
    <w:p w14:paraId="0B30466E" w14:textId="77777777" w:rsidR="00722B24" w:rsidRPr="00071FE9" w:rsidRDefault="00722B24" w:rsidP="00071FE9">
      <w:pPr>
        <w:spacing w:after="0" w:line="240" w:lineRule="auto"/>
        <w:jc w:val="center"/>
        <w:rPr>
          <w:rFonts w:ascii="Times New Roman" w:hAnsi="Times New Roman"/>
          <w:b/>
          <w:sz w:val="24"/>
          <w:szCs w:val="24"/>
        </w:rPr>
      </w:pPr>
      <w:r w:rsidRPr="00071FE9">
        <w:rPr>
          <w:rFonts w:ascii="Times New Roman" w:hAnsi="Times New Roman"/>
          <w:b/>
          <w:sz w:val="24"/>
          <w:szCs w:val="24"/>
        </w:rPr>
        <w:t>FERC-607, Report on Decision or Action on Request for Federal Authorization</w:t>
      </w:r>
    </w:p>
    <w:p w14:paraId="560A9977" w14:textId="77777777" w:rsidR="00C9381C" w:rsidRPr="00071FE9" w:rsidRDefault="00C9381C" w:rsidP="00071FE9">
      <w:pPr>
        <w:spacing w:after="0" w:line="240" w:lineRule="auto"/>
        <w:jc w:val="center"/>
        <w:rPr>
          <w:rFonts w:ascii="Times New Roman" w:hAnsi="Times New Roman"/>
          <w:sz w:val="24"/>
          <w:szCs w:val="24"/>
        </w:rPr>
      </w:pPr>
    </w:p>
    <w:p w14:paraId="6FAE4A36" w14:textId="77777777" w:rsidR="002C33E1"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Federal Energy Regulatory Commission (Commission or FERC) requests that the Office of Management and Budget (</w:t>
      </w:r>
      <w:r w:rsidR="00722B24" w:rsidRPr="00071FE9">
        <w:rPr>
          <w:rFonts w:ascii="Times New Roman" w:hAnsi="Times New Roman"/>
          <w:sz w:val="24"/>
          <w:szCs w:val="24"/>
        </w:rPr>
        <w:t xml:space="preserve">OMB) review and approve </w:t>
      </w:r>
      <w:r w:rsidR="00635E74" w:rsidRPr="00071FE9">
        <w:rPr>
          <w:rFonts w:ascii="Times New Roman" w:hAnsi="Times New Roman"/>
          <w:sz w:val="24"/>
          <w:szCs w:val="24"/>
        </w:rPr>
        <w:t>for a three</w:t>
      </w:r>
      <w:r w:rsidR="00635E74">
        <w:rPr>
          <w:rFonts w:ascii="Times New Roman" w:hAnsi="Times New Roman"/>
          <w:sz w:val="24"/>
          <w:szCs w:val="24"/>
        </w:rPr>
        <w:t>-</w:t>
      </w:r>
      <w:r w:rsidR="00635E74" w:rsidRPr="00071FE9">
        <w:rPr>
          <w:rFonts w:ascii="Times New Roman" w:hAnsi="Times New Roman"/>
          <w:sz w:val="24"/>
          <w:szCs w:val="24"/>
        </w:rPr>
        <w:t>year period</w:t>
      </w:r>
      <w:r w:rsidR="00635E74">
        <w:rPr>
          <w:rFonts w:ascii="Times New Roman" w:hAnsi="Times New Roman"/>
          <w:sz w:val="24"/>
          <w:szCs w:val="24"/>
        </w:rPr>
        <w:t xml:space="preserve"> the </w:t>
      </w:r>
      <w:r w:rsidR="00722B24" w:rsidRPr="00635E74">
        <w:rPr>
          <w:rFonts w:ascii="Times New Roman" w:hAnsi="Times New Roman"/>
          <w:sz w:val="24"/>
          <w:szCs w:val="24"/>
        </w:rPr>
        <w:t>FERC-606</w:t>
      </w:r>
      <w:r w:rsidRPr="00635E74">
        <w:rPr>
          <w:rFonts w:ascii="Times New Roman" w:hAnsi="Times New Roman"/>
          <w:sz w:val="24"/>
          <w:szCs w:val="24"/>
        </w:rPr>
        <w:t xml:space="preserve"> </w:t>
      </w:r>
      <w:r w:rsidR="00722B24" w:rsidRPr="00635E74">
        <w:rPr>
          <w:rFonts w:ascii="Times New Roman" w:hAnsi="Times New Roman"/>
          <w:sz w:val="24"/>
          <w:szCs w:val="24"/>
        </w:rPr>
        <w:t>(Notification of Request for Federal Authorization and Requests for Further Information) and FERC-607 (Report on Decision or Action on Request for Federal Authorization)</w:t>
      </w:r>
      <w:r w:rsidR="00635E74">
        <w:rPr>
          <w:rFonts w:ascii="Times New Roman" w:hAnsi="Times New Roman"/>
          <w:sz w:val="24"/>
          <w:szCs w:val="24"/>
        </w:rPr>
        <w:t>, both of which are included in</w:t>
      </w:r>
      <w:r w:rsidR="00722B24" w:rsidRPr="00043DEA">
        <w:rPr>
          <w:rFonts w:ascii="Times New Roman" w:hAnsi="Times New Roman"/>
          <w:b/>
          <w:sz w:val="24"/>
          <w:szCs w:val="24"/>
        </w:rPr>
        <w:t xml:space="preserve"> </w:t>
      </w:r>
      <w:r w:rsidR="00C049C6">
        <w:rPr>
          <w:rFonts w:ascii="Times New Roman" w:hAnsi="Times New Roman"/>
          <w:sz w:val="24"/>
          <w:szCs w:val="24"/>
        </w:rPr>
        <w:t>OMB Control Number 1902-0241</w:t>
      </w:r>
      <w:r w:rsidR="00722B24" w:rsidRPr="00071FE9">
        <w:rPr>
          <w:rFonts w:ascii="Times New Roman" w:hAnsi="Times New Roman"/>
          <w:sz w:val="24"/>
          <w:szCs w:val="24"/>
        </w:rPr>
        <w:t xml:space="preserve">.  </w:t>
      </w:r>
    </w:p>
    <w:p w14:paraId="0C61ED9C" w14:textId="77777777" w:rsidR="002C33E1" w:rsidRDefault="002C33E1" w:rsidP="00071FE9">
      <w:pPr>
        <w:spacing w:after="0" w:line="240" w:lineRule="auto"/>
        <w:rPr>
          <w:rFonts w:ascii="Times New Roman" w:hAnsi="Times New Roman"/>
          <w:sz w:val="24"/>
          <w:szCs w:val="24"/>
        </w:rPr>
      </w:pPr>
    </w:p>
    <w:p w14:paraId="23E5340B" w14:textId="77777777" w:rsidR="008678FF" w:rsidRDefault="002C33E1" w:rsidP="00635E74">
      <w:pPr>
        <w:spacing w:after="0" w:line="240" w:lineRule="auto"/>
        <w:rPr>
          <w:rFonts w:ascii="Times New Roman" w:hAnsi="Times New Roman"/>
          <w:sz w:val="24"/>
          <w:szCs w:val="24"/>
        </w:rPr>
      </w:pPr>
      <w:r>
        <w:rPr>
          <w:rFonts w:ascii="Times New Roman" w:hAnsi="Times New Roman"/>
          <w:sz w:val="24"/>
          <w:szCs w:val="24"/>
        </w:rPr>
        <w:t>Both the FERC-606 and FERC-607 are</w:t>
      </w:r>
      <w:r w:rsidRPr="00071FE9">
        <w:rPr>
          <w:rFonts w:ascii="Times New Roman" w:hAnsi="Times New Roman"/>
          <w:sz w:val="24"/>
          <w:szCs w:val="24"/>
        </w:rPr>
        <w:t xml:space="preserve"> existing Commission data collection</w:t>
      </w:r>
      <w:r>
        <w:rPr>
          <w:rFonts w:ascii="Times New Roman" w:hAnsi="Times New Roman"/>
          <w:sz w:val="24"/>
          <w:szCs w:val="24"/>
        </w:rPr>
        <w:t>s</w:t>
      </w:r>
      <w:r w:rsidRPr="00071FE9">
        <w:rPr>
          <w:rFonts w:ascii="Times New Roman" w:hAnsi="Times New Roman"/>
          <w:sz w:val="24"/>
          <w:szCs w:val="24"/>
        </w:rPr>
        <w:t xml:space="preserve"> as stated by 18 Code of Federal Regulations (CFR) Part 385.</w:t>
      </w:r>
      <w:r w:rsidR="00635E74" w:rsidDel="00635E74">
        <w:rPr>
          <w:rFonts w:ascii="Times New Roman" w:hAnsi="Times New Roman"/>
          <w:sz w:val="24"/>
          <w:szCs w:val="24"/>
        </w:rPr>
        <w:t xml:space="preserve"> </w:t>
      </w:r>
      <w:r w:rsidR="00635E74">
        <w:rPr>
          <w:rFonts w:ascii="Times New Roman" w:hAnsi="Times New Roman"/>
          <w:sz w:val="24"/>
          <w:szCs w:val="24"/>
        </w:rPr>
        <w:t xml:space="preserve"> </w:t>
      </w:r>
      <w:r w:rsidR="008678FF">
        <w:rPr>
          <w:rFonts w:ascii="Times New Roman" w:hAnsi="Times New Roman"/>
          <w:sz w:val="24"/>
          <w:szCs w:val="24"/>
        </w:rPr>
        <w:t xml:space="preserve"> There ha</w:t>
      </w:r>
      <w:r w:rsidR="00635E74">
        <w:rPr>
          <w:rFonts w:ascii="Times New Roman" w:hAnsi="Times New Roman"/>
          <w:sz w:val="24"/>
          <w:szCs w:val="24"/>
        </w:rPr>
        <w:t>ve</w:t>
      </w:r>
      <w:r w:rsidR="008678FF">
        <w:rPr>
          <w:rFonts w:ascii="Times New Roman" w:hAnsi="Times New Roman"/>
          <w:sz w:val="24"/>
          <w:szCs w:val="24"/>
        </w:rPr>
        <w:t xml:space="preserve"> been no change</w:t>
      </w:r>
      <w:r w:rsidR="00635E74">
        <w:rPr>
          <w:rFonts w:ascii="Times New Roman" w:hAnsi="Times New Roman"/>
          <w:sz w:val="24"/>
          <w:szCs w:val="24"/>
        </w:rPr>
        <w:t>s</w:t>
      </w:r>
      <w:r w:rsidR="008678FF">
        <w:rPr>
          <w:rFonts w:ascii="Times New Roman" w:hAnsi="Times New Roman"/>
          <w:sz w:val="24"/>
          <w:szCs w:val="24"/>
        </w:rPr>
        <w:t xml:space="preserve"> to </w:t>
      </w:r>
      <w:r w:rsidR="00FD4453">
        <w:rPr>
          <w:rFonts w:ascii="Times New Roman" w:hAnsi="Times New Roman"/>
          <w:sz w:val="24"/>
          <w:szCs w:val="24"/>
        </w:rPr>
        <w:t>the</w:t>
      </w:r>
      <w:r w:rsidR="008678FF">
        <w:rPr>
          <w:rFonts w:ascii="Times New Roman" w:hAnsi="Times New Roman"/>
          <w:sz w:val="24"/>
          <w:szCs w:val="24"/>
        </w:rPr>
        <w:t xml:space="preserve"> reporting requirements.   </w:t>
      </w:r>
    </w:p>
    <w:p w14:paraId="2B0A5095" w14:textId="77777777" w:rsidR="009349F8" w:rsidRPr="00071FE9" w:rsidRDefault="009349F8" w:rsidP="00071FE9">
      <w:pPr>
        <w:spacing w:after="0" w:line="240" w:lineRule="auto"/>
        <w:rPr>
          <w:rFonts w:ascii="Times New Roman" w:hAnsi="Times New Roman"/>
          <w:sz w:val="24"/>
          <w:szCs w:val="24"/>
        </w:rPr>
      </w:pPr>
    </w:p>
    <w:p w14:paraId="45C21BA7"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CIRCUMSTANCES THAT MAKE THE COLLECTION OF INFORMATION NECESSARY</w:t>
      </w:r>
    </w:p>
    <w:p w14:paraId="42AB9FFF" w14:textId="77777777" w:rsidR="009349F8" w:rsidRPr="00071FE9" w:rsidRDefault="009349F8" w:rsidP="00071FE9">
      <w:pPr>
        <w:spacing w:after="0" w:line="240" w:lineRule="auto"/>
        <w:rPr>
          <w:rFonts w:ascii="Times New Roman" w:hAnsi="Times New Roman"/>
          <w:sz w:val="24"/>
          <w:szCs w:val="24"/>
        </w:rPr>
      </w:pPr>
    </w:p>
    <w:p w14:paraId="4D25DAAB" w14:textId="77777777" w:rsidR="00722B24" w:rsidRPr="00B16754"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 xml:space="preserve">The Commission authorizes the construction and operation of proposed </w:t>
      </w:r>
      <w:r w:rsidR="00B16754">
        <w:rPr>
          <w:rFonts w:ascii="Times New Roman" w:eastAsia="Times New Roman" w:hAnsi="Times New Roman"/>
          <w:sz w:val="24"/>
          <w:szCs w:val="24"/>
        </w:rPr>
        <w:t>natural gas projects under NGA S</w:t>
      </w:r>
      <w:r w:rsidRPr="00071FE9">
        <w:rPr>
          <w:rFonts w:ascii="Times New Roman" w:eastAsia="Times New Roman" w:hAnsi="Times New Roman"/>
          <w:sz w:val="24"/>
          <w:szCs w:val="24"/>
        </w:rPr>
        <w:t>ections 3 and 7.</w:t>
      </w:r>
      <w:r w:rsidRPr="00071FE9">
        <w:rPr>
          <w:rFonts w:ascii="Times New Roman" w:eastAsia="Times New Roman" w:hAnsi="Times New Roman"/>
          <w:color w:val="000000"/>
          <w:sz w:val="24"/>
          <w:szCs w:val="24"/>
          <w:vertAlign w:val="superscript"/>
        </w:rPr>
        <w:footnoteReference w:id="1"/>
      </w:r>
      <w:r w:rsidRPr="00071FE9">
        <w:rPr>
          <w:rFonts w:ascii="Times New Roman" w:eastAsia="Times New Roman" w:hAnsi="Times New Roman"/>
          <w:sz w:val="24"/>
          <w:szCs w:val="24"/>
        </w:rPr>
        <w:t xml:space="preserve">  However, the Commission does not have jurisdiction over every aspect of each natural gas project.  </w:t>
      </w:r>
      <w:r w:rsidR="0071500F">
        <w:rPr>
          <w:rFonts w:ascii="Times New Roman" w:eastAsia="Times New Roman" w:hAnsi="Times New Roman"/>
          <w:sz w:val="24"/>
          <w:szCs w:val="24"/>
        </w:rPr>
        <w:t xml:space="preserve">In addition to receiving Commission approval, </w:t>
      </w:r>
      <w:r w:rsidRPr="00B16754">
        <w:rPr>
          <w:rFonts w:ascii="Times New Roman" w:eastAsia="Times New Roman" w:hAnsi="Times New Roman"/>
          <w:sz w:val="24"/>
          <w:szCs w:val="24"/>
        </w:rPr>
        <w:t>different agencies must typically reach favorable findings regarding other aspects of the project</w:t>
      </w:r>
      <w:r w:rsidR="0071500F">
        <w:rPr>
          <w:rFonts w:ascii="Times New Roman" w:eastAsia="Times New Roman" w:hAnsi="Times New Roman"/>
          <w:sz w:val="24"/>
          <w:szCs w:val="24"/>
        </w:rPr>
        <w:t xml:space="preserve">. </w:t>
      </w:r>
    </w:p>
    <w:p w14:paraId="4042B494" w14:textId="77777777" w:rsidR="00722B24" w:rsidRPr="00071FE9" w:rsidRDefault="00722B24" w:rsidP="00071FE9">
      <w:pPr>
        <w:spacing w:after="0" w:line="240" w:lineRule="auto"/>
        <w:rPr>
          <w:rFonts w:ascii="Times New Roman" w:eastAsia="Times New Roman" w:hAnsi="Times New Roman"/>
          <w:sz w:val="24"/>
          <w:szCs w:val="24"/>
        </w:rPr>
      </w:pPr>
    </w:p>
    <w:p w14:paraId="5A165F2A" w14:textId="77777777" w:rsidR="00B16754"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 coordinate the activities of the separate agencies with varying responsibilities over proposed natural gas projects, the Energy Policy Act of 2005 (EPAct 2005) modified FERC’s role.  Section 313 of EPAct 2005 directs FERC</w:t>
      </w:r>
      <w:r w:rsidR="00FF790D">
        <w:rPr>
          <w:rFonts w:ascii="Times New Roman" w:eastAsia="Times New Roman" w:hAnsi="Times New Roman"/>
          <w:sz w:val="24"/>
          <w:szCs w:val="24"/>
        </w:rPr>
        <w:t xml:space="preserve"> to</w:t>
      </w:r>
      <w:r w:rsidRPr="00071FE9">
        <w:rPr>
          <w:rFonts w:ascii="Times New Roman" w:eastAsia="Times New Roman" w:hAnsi="Times New Roman"/>
          <w:sz w:val="24"/>
          <w:szCs w:val="24"/>
        </w:rPr>
        <w:t xml:space="preserve">: </w:t>
      </w:r>
    </w:p>
    <w:p w14:paraId="274DC073" w14:textId="77777777" w:rsidR="007A4E65" w:rsidRDefault="007A4E65" w:rsidP="00071FE9">
      <w:pPr>
        <w:spacing w:after="0" w:line="240" w:lineRule="auto"/>
        <w:rPr>
          <w:rFonts w:ascii="Times New Roman" w:eastAsia="Times New Roman" w:hAnsi="Times New Roman"/>
          <w:sz w:val="24"/>
          <w:szCs w:val="24"/>
        </w:rPr>
      </w:pPr>
    </w:p>
    <w:p w14:paraId="6CDCCEB8" w14:textId="77777777" w:rsidR="00B16754" w:rsidRPr="00B16754" w:rsidRDefault="00FF790D" w:rsidP="005F0E5A">
      <w:pPr>
        <w:pStyle w:val="ListParagraph"/>
        <w:numPr>
          <w:ilvl w:val="0"/>
          <w:numId w:val="15"/>
        </w:numPr>
        <w:spacing w:after="0" w:line="240" w:lineRule="auto"/>
        <w:rPr>
          <w:rFonts w:ascii="Times New Roman" w:eastAsia="Times New Roman" w:hAnsi="Times New Roman"/>
          <w:b/>
          <w:sz w:val="24"/>
          <w:szCs w:val="24"/>
        </w:rPr>
      </w:pPr>
      <w:r>
        <w:rPr>
          <w:rFonts w:ascii="Times New Roman" w:eastAsia="Times New Roman" w:hAnsi="Times New Roman"/>
          <w:sz w:val="24"/>
          <w:szCs w:val="24"/>
        </w:rPr>
        <w:t>E</w:t>
      </w:r>
      <w:r w:rsidR="00722B24" w:rsidRPr="00B16754">
        <w:rPr>
          <w:rFonts w:ascii="Times New Roman" w:eastAsia="Times New Roman" w:hAnsi="Times New Roman"/>
          <w:sz w:val="24"/>
          <w:szCs w:val="24"/>
        </w:rPr>
        <w:t>stablish a schedule for agencies</w:t>
      </w:r>
      <w:bookmarkStart w:id="0" w:name="_Ref257624561"/>
      <w:r w:rsidR="00722B24" w:rsidRPr="0071500F">
        <w:rPr>
          <w:rFonts w:ascii="Times New Roman" w:hAnsi="Times New Roman"/>
          <w:b/>
          <w:vertAlign w:val="superscript"/>
        </w:rPr>
        <w:footnoteReference w:id="2"/>
      </w:r>
      <w:bookmarkEnd w:id="0"/>
      <w:r w:rsidR="00722B24" w:rsidRPr="00B16754">
        <w:rPr>
          <w:rFonts w:ascii="Times New Roman" w:eastAsia="Times New Roman" w:hAnsi="Times New Roman"/>
          <w:sz w:val="24"/>
          <w:szCs w:val="24"/>
        </w:rPr>
        <w:t xml:space="preserve"> to review requests for federal authorizations required for a project, and </w:t>
      </w:r>
    </w:p>
    <w:p w14:paraId="6DF36BF7" w14:textId="77777777" w:rsidR="00722B24" w:rsidRPr="00B16754" w:rsidRDefault="00FF790D" w:rsidP="005F0E5A">
      <w:pPr>
        <w:pStyle w:val="ListParagraph"/>
        <w:numPr>
          <w:ilvl w:val="0"/>
          <w:numId w:val="15"/>
        </w:numPr>
        <w:spacing w:after="0" w:line="240" w:lineRule="auto"/>
        <w:rPr>
          <w:rFonts w:ascii="Times New Roman" w:eastAsia="Times New Roman" w:hAnsi="Times New Roman"/>
          <w:b/>
          <w:sz w:val="24"/>
          <w:szCs w:val="24"/>
        </w:rPr>
      </w:pPr>
      <w:r>
        <w:rPr>
          <w:rFonts w:ascii="Times New Roman" w:eastAsia="Times New Roman" w:hAnsi="Times New Roman"/>
          <w:sz w:val="24"/>
          <w:szCs w:val="24"/>
        </w:rPr>
        <w:t>C</w:t>
      </w:r>
      <w:r w:rsidR="00722B24" w:rsidRPr="00B16754">
        <w:rPr>
          <w:rFonts w:ascii="Times New Roman" w:eastAsia="Times New Roman" w:hAnsi="Times New Roman"/>
          <w:sz w:val="24"/>
          <w:szCs w:val="24"/>
        </w:rPr>
        <w:t>ompile a record of each agency’s</w:t>
      </w:r>
      <w:r w:rsidR="00722B24" w:rsidRPr="00B16754">
        <w:rPr>
          <w:rFonts w:ascii="Times New Roman" w:eastAsia="Times New Roman" w:hAnsi="Times New Roman"/>
          <w:sz w:val="24"/>
          <w:szCs w:val="24"/>
          <w:vertAlign w:val="superscript"/>
        </w:rPr>
        <w:t xml:space="preserve"> </w:t>
      </w:r>
      <w:r w:rsidR="00722B24" w:rsidRPr="00B16754">
        <w:rPr>
          <w:rFonts w:ascii="Times New Roman" w:eastAsia="Times New Roman" w:hAnsi="Times New Roman"/>
          <w:sz w:val="24"/>
          <w:szCs w:val="24"/>
        </w:rPr>
        <w:t xml:space="preserve">decision, together with the record of the Commission’s decision, to serve as a consolidated record for </w:t>
      </w:r>
      <w:r w:rsidR="00B16754">
        <w:rPr>
          <w:rFonts w:ascii="Times New Roman" w:eastAsia="Times New Roman" w:hAnsi="Times New Roman"/>
          <w:sz w:val="24"/>
          <w:szCs w:val="24"/>
        </w:rPr>
        <w:t>the purpose of appeal or review</w:t>
      </w:r>
      <w:r>
        <w:rPr>
          <w:rFonts w:ascii="Times New Roman" w:eastAsia="Times New Roman" w:hAnsi="Times New Roman"/>
          <w:sz w:val="24"/>
          <w:szCs w:val="24"/>
        </w:rPr>
        <w:t>,</w:t>
      </w:r>
      <w:r w:rsidR="00722B24" w:rsidRPr="00B16754">
        <w:rPr>
          <w:rFonts w:ascii="Times New Roman" w:eastAsia="Times New Roman" w:hAnsi="Times New Roman"/>
          <w:sz w:val="24"/>
          <w:szCs w:val="24"/>
        </w:rPr>
        <w:t xml:space="preserve"> including judicial review.</w:t>
      </w:r>
    </w:p>
    <w:p w14:paraId="2E81DDFD" w14:textId="77777777" w:rsidR="00722B24" w:rsidRPr="00071FE9" w:rsidRDefault="00722B24" w:rsidP="00071FE9">
      <w:pPr>
        <w:spacing w:after="0" w:line="240" w:lineRule="auto"/>
        <w:rPr>
          <w:rFonts w:ascii="Times New Roman" w:eastAsia="Times New Roman" w:hAnsi="Times New Roman"/>
          <w:sz w:val="24"/>
          <w:szCs w:val="24"/>
        </w:rPr>
      </w:pPr>
    </w:p>
    <w:p w14:paraId="472E051B" w14:textId="77777777" w:rsidR="00722B24" w:rsidRPr="00071FE9"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 assumes that upon initial receipt of a request for federal authorizations, agencies will make an initial assessment to verify whether the request is ready for processing.  18</w:t>
      </w:r>
      <w:r w:rsidR="00B16754">
        <w:rPr>
          <w:rFonts w:ascii="Times New Roman" w:eastAsia="Times New Roman" w:hAnsi="Times New Roman"/>
          <w:sz w:val="24"/>
          <w:szCs w:val="24"/>
        </w:rPr>
        <w:t xml:space="preserve"> CFR</w:t>
      </w:r>
      <w:r w:rsidRPr="00071FE9">
        <w:rPr>
          <w:rFonts w:ascii="Times New Roman" w:eastAsia="Times New Roman" w:hAnsi="Times New Roman"/>
          <w:sz w:val="24"/>
          <w:szCs w:val="24"/>
        </w:rPr>
        <w:t xml:space="preserve"> 385.2013 directs the agency or official to forward that initial assessment to the Commission.  If </w:t>
      </w:r>
      <w:r w:rsidRPr="00071FE9">
        <w:rPr>
          <w:rFonts w:ascii="Times New Roman" w:eastAsia="Times New Roman" w:hAnsi="Times New Roman"/>
          <w:sz w:val="24"/>
          <w:szCs w:val="24"/>
        </w:rPr>
        <w:lastRenderedPageBreak/>
        <w:t>in the course of processing a request, an agency or official finds additional information</w:t>
      </w:r>
      <w:r w:rsidR="00B16754">
        <w:rPr>
          <w:rFonts w:ascii="Times New Roman" w:eastAsia="Times New Roman" w:hAnsi="Times New Roman"/>
          <w:sz w:val="24"/>
          <w:szCs w:val="24"/>
        </w:rPr>
        <w:t xml:space="preserve"> from the applicant is needed, 18 CFR</w:t>
      </w:r>
      <w:r w:rsidRPr="00071FE9">
        <w:rPr>
          <w:rFonts w:ascii="Times New Roman" w:eastAsia="Times New Roman" w:hAnsi="Times New Roman"/>
          <w:sz w:val="24"/>
          <w:szCs w:val="24"/>
        </w:rPr>
        <w:t xml:space="preserve"> 385.2013 directs the agency or official to forward to the Commission a copy of any data request sent to the applicant.  With respect to 18</w:t>
      </w:r>
      <w:r w:rsidR="00B16754">
        <w:rPr>
          <w:rFonts w:ascii="Times New Roman" w:eastAsia="Times New Roman" w:hAnsi="Times New Roman"/>
          <w:sz w:val="24"/>
          <w:szCs w:val="24"/>
        </w:rPr>
        <w:t xml:space="preserve"> CFR</w:t>
      </w:r>
      <w:r w:rsidRPr="00071FE9">
        <w:rPr>
          <w:rFonts w:ascii="Times New Roman" w:eastAsia="Times New Roman" w:hAnsi="Times New Roman"/>
          <w:sz w:val="24"/>
          <w:szCs w:val="24"/>
        </w:rPr>
        <w:t xml:space="preserve"> 385.2014, the Commission assumes that in considering a request for a federal authorization, agencies compile and title the documents and materials they rely upon in reaching a decision.  The Commission does not require a specific format for the index that is to be submitted to FERC.  An agency’s in-house recordkeeping may be presented as an index, as long as it functions as a table of contents to the documents and materials. </w:t>
      </w:r>
    </w:p>
    <w:p w14:paraId="4B86C09D" w14:textId="77777777" w:rsidR="009349F8" w:rsidRPr="00071FE9" w:rsidRDefault="009349F8" w:rsidP="00071FE9">
      <w:pPr>
        <w:spacing w:after="0" w:line="240" w:lineRule="auto"/>
        <w:rPr>
          <w:rFonts w:ascii="Times New Roman" w:hAnsi="Times New Roman"/>
          <w:sz w:val="24"/>
          <w:szCs w:val="24"/>
        </w:rPr>
      </w:pPr>
    </w:p>
    <w:p w14:paraId="0B981EC8"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HOW, BY WHOM, AND FOR WHAT PURPOSE THE INFORMATION IS TO BE USED AND THE CONSEQUENCES OF NOT COLLECTING THE INFORMATION</w:t>
      </w:r>
    </w:p>
    <w:p w14:paraId="65E186AA" w14:textId="77777777" w:rsidR="009349F8" w:rsidRDefault="009349F8" w:rsidP="00071FE9">
      <w:pPr>
        <w:spacing w:after="0" w:line="240" w:lineRule="auto"/>
        <w:rPr>
          <w:rFonts w:ascii="Times New Roman" w:hAnsi="Times New Roman"/>
          <w:sz w:val="24"/>
          <w:szCs w:val="24"/>
        </w:rPr>
      </w:pPr>
    </w:p>
    <w:p w14:paraId="17F827D0" w14:textId="77777777" w:rsidR="00E27675" w:rsidRPr="00071FE9" w:rsidRDefault="00E27675" w:rsidP="00E27675">
      <w:pPr>
        <w:spacing w:after="0" w:line="240" w:lineRule="auto"/>
        <w:rPr>
          <w:rFonts w:ascii="Times New Roman" w:eastAsia="Times New Roman" w:hAnsi="Times New Roman"/>
          <w:sz w:val="24"/>
          <w:szCs w:val="24"/>
        </w:rPr>
      </w:pPr>
      <w:r w:rsidRPr="0067180D">
        <w:rPr>
          <w:rFonts w:ascii="Times New Roman" w:eastAsia="Times New Roman" w:hAnsi="Times New Roman"/>
          <w:b/>
          <w:sz w:val="24"/>
          <w:szCs w:val="24"/>
        </w:rPr>
        <w:t>FERC-606</w:t>
      </w:r>
      <w:r w:rsidR="0067180D">
        <w:rPr>
          <w:rFonts w:ascii="Times New Roman" w:eastAsia="Times New Roman" w:hAnsi="Times New Roman"/>
          <w:b/>
          <w:sz w:val="24"/>
          <w:szCs w:val="24"/>
        </w:rPr>
        <w:t xml:space="preserve">.  </w:t>
      </w:r>
      <w:r w:rsidRPr="00071FE9">
        <w:rPr>
          <w:rFonts w:ascii="Times New Roman" w:eastAsia="Times New Roman" w:hAnsi="Times New Roman"/>
          <w:sz w:val="24"/>
          <w:szCs w:val="24"/>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14:paraId="261C1A4D" w14:textId="77777777" w:rsidR="00E27675" w:rsidRPr="00071FE9" w:rsidRDefault="00E27675" w:rsidP="00E27675">
      <w:pPr>
        <w:spacing w:after="0" w:line="240" w:lineRule="auto"/>
        <w:rPr>
          <w:rFonts w:ascii="Times New Roman" w:eastAsia="Times New Roman" w:hAnsi="Times New Roman"/>
          <w:sz w:val="24"/>
          <w:szCs w:val="24"/>
        </w:rPr>
      </w:pPr>
    </w:p>
    <w:p w14:paraId="1F29B73E" w14:textId="77777777" w:rsidR="00E27675" w:rsidRPr="00E27675" w:rsidRDefault="00E27675" w:rsidP="00071FE9">
      <w:pPr>
        <w:spacing w:after="0" w:line="240" w:lineRule="auto"/>
        <w:rPr>
          <w:rFonts w:ascii="Times New Roman" w:eastAsia="Times New Roman" w:hAnsi="Times New Roman"/>
          <w:sz w:val="24"/>
          <w:szCs w:val="24"/>
        </w:rPr>
      </w:pPr>
      <w:r w:rsidRPr="0067180D">
        <w:rPr>
          <w:rFonts w:ascii="Times New Roman" w:eastAsia="Times New Roman" w:hAnsi="Times New Roman"/>
          <w:b/>
          <w:sz w:val="24"/>
          <w:szCs w:val="24"/>
        </w:rPr>
        <w:t>FERC-607</w:t>
      </w:r>
      <w:r w:rsidR="0067180D">
        <w:rPr>
          <w:rFonts w:ascii="Times New Roman" w:eastAsia="Times New Roman" w:hAnsi="Times New Roman"/>
          <w:b/>
          <w:sz w:val="24"/>
          <w:szCs w:val="24"/>
        </w:rPr>
        <w:t xml:space="preserve">.  </w:t>
      </w:r>
      <w:r w:rsidRPr="00071FE9">
        <w:rPr>
          <w:rFonts w:ascii="Times New Roman" w:eastAsia="Times New Roman" w:hAnsi="Times New Roman"/>
          <w:sz w:val="24"/>
          <w:szCs w:val="24"/>
        </w:rPr>
        <w:t>FERC-607 requires agencies</w:t>
      </w:r>
      <w:r>
        <w:rPr>
          <w:rFonts w:ascii="Times New Roman" w:eastAsia="Times New Roman" w:hAnsi="Times New Roman"/>
          <w:sz w:val="24"/>
          <w:szCs w:val="24"/>
        </w:rPr>
        <w:t xml:space="preserve"> </w:t>
      </w:r>
      <w:r w:rsidRPr="00071FE9">
        <w:rPr>
          <w:rFonts w:ascii="Times New Roman" w:eastAsia="Times New Roman" w:hAnsi="Times New Roman"/>
          <w:sz w:val="24"/>
          <w:szCs w:val="24"/>
        </w:rPr>
        <w:t>or officials to submit to the Commission a copy of a decision or action on a request for federal authorization and an accompanying index to the documents and materials relied on in reaching a conclusion</w:t>
      </w:r>
      <w:r w:rsidRPr="00071FE9">
        <w:rPr>
          <w:rFonts w:ascii="Times New Roman" w:hAnsi="Times New Roman"/>
          <w:sz w:val="24"/>
          <w:szCs w:val="24"/>
        </w:rPr>
        <w:t>.</w:t>
      </w:r>
    </w:p>
    <w:p w14:paraId="1E679300" w14:textId="77777777" w:rsidR="00E27675" w:rsidRDefault="00E27675" w:rsidP="00071FE9">
      <w:pPr>
        <w:spacing w:after="0" w:line="240" w:lineRule="auto"/>
        <w:rPr>
          <w:rFonts w:ascii="Times New Roman" w:eastAsia="Times New Roman" w:hAnsi="Times New Roman"/>
          <w:sz w:val="24"/>
          <w:szCs w:val="24"/>
        </w:rPr>
      </w:pPr>
    </w:p>
    <w:p w14:paraId="067F39CD" w14:textId="77777777" w:rsidR="00AD4502"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The information collections cannot be discontinued nor collected less frequently because of statutory requirements.  The consequences of not collecting this information are that the Commission would be unable to fulfill its statutory mandate under the Energy Policy Act of 2005</w:t>
      </w:r>
      <w:r w:rsidR="00FF790D">
        <w:rPr>
          <w:rFonts w:ascii="Times New Roman" w:eastAsia="Times New Roman" w:hAnsi="Times New Roman"/>
          <w:sz w:val="24"/>
          <w:szCs w:val="24"/>
        </w:rPr>
        <w:t xml:space="preserve"> to</w:t>
      </w:r>
      <w:r w:rsidRPr="00071FE9">
        <w:rPr>
          <w:rFonts w:ascii="Times New Roman" w:eastAsia="Times New Roman" w:hAnsi="Times New Roman"/>
          <w:sz w:val="24"/>
          <w:szCs w:val="24"/>
        </w:rPr>
        <w:t xml:space="preserve">: </w:t>
      </w:r>
    </w:p>
    <w:p w14:paraId="59D915EF" w14:textId="77777777" w:rsidR="00FF790D" w:rsidRPr="00071FE9" w:rsidRDefault="00FF790D" w:rsidP="00071FE9">
      <w:pPr>
        <w:spacing w:after="0" w:line="240" w:lineRule="auto"/>
        <w:rPr>
          <w:rFonts w:ascii="Times New Roman" w:eastAsia="Times New Roman" w:hAnsi="Times New Roman"/>
          <w:sz w:val="24"/>
          <w:szCs w:val="24"/>
        </w:rPr>
      </w:pPr>
    </w:p>
    <w:p w14:paraId="782B4EF5" w14:textId="77777777" w:rsidR="00E27675" w:rsidRDefault="00FF790D" w:rsidP="005F0E5A">
      <w:pPr>
        <w:numPr>
          <w:ilvl w:val="0"/>
          <w:numId w:val="1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00AD4502" w:rsidRPr="00071FE9">
        <w:rPr>
          <w:rFonts w:ascii="Times New Roman" w:eastAsia="Times New Roman" w:hAnsi="Times New Roman"/>
          <w:sz w:val="24"/>
          <w:szCs w:val="24"/>
        </w:rPr>
        <w:t>stablish a schedule for agencies to review requests for federal authorizations required for a project, and</w:t>
      </w:r>
    </w:p>
    <w:p w14:paraId="308104BE" w14:textId="77777777" w:rsidR="00AD4502" w:rsidRPr="00E27675" w:rsidRDefault="00FF790D" w:rsidP="005F0E5A">
      <w:pPr>
        <w:numPr>
          <w:ilvl w:val="0"/>
          <w:numId w:val="1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AD4502" w:rsidRPr="00E27675">
        <w:rPr>
          <w:rFonts w:ascii="Times New Roman" w:eastAsia="Times New Roman" w:hAnsi="Times New Roman"/>
          <w:sz w:val="24"/>
          <w:szCs w:val="24"/>
        </w:rPr>
        <w:t>ompile a record of each agency’s decision, together with the record of the Commission’s decision, to serve as a consolidated record for the purpose of appeal or review, including judicial review.</w:t>
      </w:r>
    </w:p>
    <w:p w14:paraId="609FAA8A" w14:textId="77777777" w:rsidR="009349F8" w:rsidRPr="00071FE9" w:rsidRDefault="009349F8" w:rsidP="00071FE9">
      <w:pPr>
        <w:spacing w:after="0" w:line="240" w:lineRule="auto"/>
        <w:rPr>
          <w:rFonts w:ascii="Times New Roman" w:hAnsi="Times New Roman"/>
          <w:sz w:val="24"/>
          <w:szCs w:val="24"/>
        </w:rPr>
      </w:pPr>
    </w:p>
    <w:p w14:paraId="685E4ED7"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ANY CONSIDERATION OF THE USE OF IMPROVED INFORMATION TECHNOLOGY TO REDUCE THE BURDEN AND TECHNICAL OR LEGAL OBSTACLES TO REDUCING BURDEN</w:t>
      </w:r>
    </w:p>
    <w:p w14:paraId="05037EBA" w14:textId="77777777" w:rsidR="009349F8" w:rsidRPr="00071FE9" w:rsidRDefault="009349F8" w:rsidP="00071FE9">
      <w:pPr>
        <w:spacing w:after="0" w:line="240" w:lineRule="auto"/>
        <w:rPr>
          <w:rFonts w:ascii="Times New Roman" w:hAnsi="Times New Roman"/>
          <w:sz w:val="24"/>
          <w:szCs w:val="24"/>
        </w:rPr>
      </w:pPr>
    </w:p>
    <w:p w14:paraId="72215945" w14:textId="77777777" w:rsidR="009349F8" w:rsidRPr="00071FE9" w:rsidRDefault="0067180D" w:rsidP="00071FE9">
      <w:pPr>
        <w:spacing w:after="0" w:line="240" w:lineRule="auto"/>
        <w:rPr>
          <w:rFonts w:ascii="Times New Roman" w:hAnsi="Times New Roman"/>
          <w:sz w:val="24"/>
          <w:szCs w:val="24"/>
        </w:rPr>
      </w:pPr>
      <w:r w:rsidRPr="00071FE9">
        <w:rPr>
          <w:rFonts w:ascii="Times New Roman" w:eastAsia="Times New Roman" w:hAnsi="Times New Roman"/>
          <w:sz w:val="24"/>
          <w:szCs w:val="24"/>
        </w:rPr>
        <w:t>The FERC-606 and FER-607 filings can be submitted electronically, on CD or on paper.</w:t>
      </w:r>
      <w:r>
        <w:rPr>
          <w:rFonts w:ascii="Times New Roman" w:eastAsia="Times New Roman" w:hAnsi="Times New Roman"/>
          <w:sz w:val="24"/>
          <w:szCs w:val="24"/>
        </w:rPr>
        <w:t xml:space="preserve">  </w:t>
      </w:r>
      <w:r w:rsidR="00AD4502" w:rsidRPr="00071FE9">
        <w:rPr>
          <w:rFonts w:ascii="Times New Roman" w:eastAsia="Times New Roman" w:hAnsi="Times New Roman"/>
          <w:sz w:val="24"/>
          <w:szCs w:val="24"/>
        </w:rPr>
        <w:t xml:space="preserve">FERC’s eFiling program is described at </w:t>
      </w:r>
      <w:hyperlink r:id="rId12" w:history="1">
        <w:r w:rsidR="00AD4502" w:rsidRPr="00071FE9">
          <w:rPr>
            <w:rFonts w:ascii="Times New Roman" w:eastAsia="Times New Roman" w:hAnsi="Times New Roman"/>
            <w:color w:val="0000FF"/>
            <w:sz w:val="24"/>
            <w:szCs w:val="24"/>
            <w:u w:val="single"/>
          </w:rPr>
          <w:t>http://www.ferc.gov/docs-filing/efiling.asp</w:t>
        </w:r>
      </w:hyperlink>
      <w:r w:rsidR="00D36ECB">
        <w:rPr>
          <w:rFonts w:ascii="Times New Roman" w:eastAsia="Times New Roman" w:hAnsi="Times New Roman"/>
          <w:sz w:val="24"/>
          <w:szCs w:val="24"/>
        </w:rPr>
        <w:t xml:space="preserve">.  </w:t>
      </w:r>
    </w:p>
    <w:p w14:paraId="046A92A6" w14:textId="77777777" w:rsidR="009349F8" w:rsidRPr="00071FE9" w:rsidRDefault="009349F8" w:rsidP="00071FE9">
      <w:pPr>
        <w:spacing w:after="0" w:line="240" w:lineRule="auto"/>
        <w:rPr>
          <w:rFonts w:ascii="Times New Roman" w:hAnsi="Times New Roman"/>
          <w:sz w:val="24"/>
          <w:szCs w:val="24"/>
        </w:rPr>
      </w:pPr>
    </w:p>
    <w:p w14:paraId="0788910C"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1D312951" w14:textId="77777777" w:rsidR="009349F8" w:rsidRPr="00071FE9" w:rsidRDefault="009349F8" w:rsidP="00071FE9">
      <w:pPr>
        <w:spacing w:after="0" w:line="240" w:lineRule="auto"/>
        <w:rPr>
          <w:rFonts w:ascii="Times New Roman" w:hAnsi="Times New Roman"/>
          <w:sz w:val="24"/>
          <w:szCs w:val="24"/>
        </w:rPr>
      </w:pPr>
    </w:p>
    <w:p w14:paraId="020AC57F" w14:textId="77777777" w:rsidR="00FF790D"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lastRenderedPageBreak/>
        <w:t>Filing requirements are periodically reviewed as OMB review date</w:t>
      </w:r>
      <w:r w:rsidR="00B16754">
        <w:rPr>
          <w:rFonts w:ascii="Times New Roman" w:eastAsia="Times New Roman" w:hAnsi="Times New Roman"/>
          <w:sz w:val="24"/>
          <w:szCs w:val="24"/>
        </w:rPr>
        <w:t>s arise or as the Commission</w:t>
      </w:r>
      <w:r w:rsidRPr="00071FE9">
        <w:rPr>
          <w:rFonts w:ascii="Times New Roman" w:eastAsia="Times New Roman" w:hAnsi="Times New Roman"/>
          <w:sz w:val="24"/>
          <w:szCs w:val="24"/>
        </w:rPr>
        <w:t xml:space="preserve"> deem</w:t>
      </w:r>
      <w:r w:rsidR="00B16754">
        <w:rPr>
          <w:rFonts w:ascii="Times New Roman" w:eastAsia="Times New Roman" w:hAnsi="Times New Roman"/>
          <w:sz w:val="24"/>
          <w:szCs w:val="24"/>
        </w:rPr>
        <w:t>s necessary in performing</w:t>
      </w:r>
      <w:r w:rsidRPr="00071FE9">
        <w:rPr>
          <w:rFonts w:ascii="Times New Roman" w:eastAsia="Times New Roman" w:hAnsi="Times New Roman"/>
          <w:sz w:val="24"/>
          <w:szCs w:val="24"/>
        </w:rPr>
        <w:t xml:space="preserve"> its regulatory responsibilities in an effort to alleviate duplication.  </w:t>
      </w:r>
    </w:p>
    <w:p w14:paraId="72474E09" w14:textId="77777777" w:rsidR="00AD4502" w:rsidRPr="00071FE9"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All Commission information collections are subject to analysis by Commission staff and are examined for redundancy.  There is no other source of this information.</w:t>
      </w:r>
    </w:p>
    <w:p w14:paraId="34899241" w14:textId="77777777" w:rsidR="009349F8" w:rsidRPr="00071FE9" w:rsidRDefault="009349F8" w:rsidP="00071FE9">
      <w:pPr>
        <w:spacing w:after="0" w:line="240" w:lineRule="auto"/>
        <w:rPr>
          <w:rFonts w:ascii="Times New Roman" w:hAnsi="Times New Roman"/>
          <w:sz w:val="24"/>
          <w:szCs w:val="24"/>
        </w:rPr>
      </w:pPr>
    </w:p>
    <w:p w14:paraId="1CBC9012"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METHODS USED TO MINIMIZE THE BURDEN IN COLLECTION OF INFORMATION INVOLVING SMALL ENTITIES</w:t>
      </w:r>
    </w:p>
    <w:p w14:paraId="08EFCED2" w14:textId="77777777" w:rsidR="009349F8" w:rsidRPr="00071FE9" w:rsidRDefault="009349F8" w:rsidP="00071FE9">
      <w:pPr>
        <w:spacing w:after="0" w:line="240" w:lineRule="auto"/>
        <w:rPr>
          <w:rFonts w:ascii="Times New Roman" w:hAnsi="Times New Roman"/>
          <w:sz w:val="24"/>
          <w:szCs w:val="24"/>
        </w:rPr>
      </w:pPr>
    </w:p>
    <w:p w14:paraId="72DDFE51" w14:textId="77777777" w:rsidR="00DA4F3E" w:rsidRDefault="00DA4F3E" w:rsidP="00071FE9">
      <w:pPr>
        <w:spacing w:after="0" w:line="240" w:lineRule="auto"/>
        <w:rPr>
          <w:rFonts w:ascii="Times New Roman" w:hAnsi="Times New Roman"/>
          <w:sz w:val="24"/>
          <w:szCs w:val="24"/>
        </w:rPr>
      </w:pPr>
      <w:r>
        <w:rPr>
          <w:rFonts w:ascii="Times New Roman" w:hAnsi="Times New Roman"/>
          <w:sz w:val="24"/>
          <w:szCs w:val="24"/>
        </w:rPr>
        <w:t xml:space="preserve">The Commission does not implement measures to reduce the burden upon small entities for the FERC-606. </w:t>
      </w:r>
      <w:r w:rsidRPr="00DA4F3E">
        <w:rPr>
          <w:rFonts w:ascii="Times New Roman" w:hAnsi="Times New Roman"/>
          <w:sz w:val="24"/>
          <w:szCs w:val="24"/>
        </w:rPr>
        <w:t xml:space="preserve"> </w:t>
      </w:r>
      <w:r>
        <w:rPr>
          <w:rFonts w:ascii="Times New Roman" w:hAnsi="Times New Roman"/>
          <w:sz w:val="24"/>
          <w:szCs w:val="24"/>
        </w:rPr>
        <w:t>However</w:t>
      </w:r>
      <w:r w:rsidRPr="00071FE9">
        <w:rPr>
          <w:rFonts w:ascii="Times New Roman" w:hAnsi="Times New Roman"/>
          <w:sz w:val="24"/>
          <w:szCs w:val="24"/>
        </w:rPr>
        <w:t>, FERC-607 allows agencies to submit the information in t</w:t>
      </w:r>
      <w:r>
        <w:rPr>
          <w:rFonts w:ascii="Times New Roman" w:hAnsi="Times New Roman"/>
          <w:sz w:val="24"/>
          <w:szCs w:val="24"/>
        </w:rPr>
        <w:t>he format they readily have</w:t>
      </w:r>
      <w:r w:rsidR="0067180D">
        <w:rPr>
          <w:rFonts w:ascii="Times New Roman" w:hAnsi="Times New Roman"/>
          <w:sz w:val="24"/>
          <w:szCs w:val="24"/>
        </w:rPr>
        <w:t>,</w:t>
      </w:r>
      <w:r w:rsidRPr="00071FE9">
        <w:rPr>
          <w:rFonts w:ascii="Times New Roman" w:hAnsi="Times New Roman"/>
          <w:sz w:val="24"/>
          <w:szCs w:val="24"/>
        </w:rPr>
        <w:t xml:space="preserve"> rather </w:t>
      </w:r>
      <w:r>
        <w:rPr>
          <w:rFonts w:ascii="Times New Roman" w:hAnsi="Times New Roman"/>
          <w:sz w:val="24"/>
          <w:szCs w:val="24"/>
        </w:rPr>
        <w:t>than requiring a specific format that may not naturally be part of their business practices.</w:t>
      </w:r>
    </w:p>
    <w:p w14:paraId="497253D3" w14:textId="77777777" w:rsidR="00DA4F3E" w:rsidRDefault="00DA4F3E" w:rsidP="00071FE9">
      <w:pPr>
        <w:spacing w:after="0" w:line="240" w:lineRule="auto"/>
        <w:rPr>
          <w:rFonts w:ascii="Times New Roman" w:hAnsi="Times New Roman"/>
          <w:sz w:val="24"/>
          <w:szCs w:val="24"/>
        </w:rPr>
      </w:pPr>
    </w:p>
    <w:p w14:paraId="42069CCB" w14:textId="77777777" w:rsidR="009349F8" w:rsidRPr="00071FE9"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t>FERC-606 and FERC-607 are regulatory filing requirements implementing a statutory provision as stated above in Questions 1 and 2.  The information requirement is i</w:t>
      </w:r>
      <w:r w:rsidR="00B16754">
        <w:rPr>
          <w:rFonts w:ascii="Times New Roman" w:hAnsi="Times New Roman"/>
          <w:sz w:val="24"/>
          <w:szCs w:val="24"/>
        </w:rPr>
        <w:t>mposed on federal agencies, or s</w:t>
      </w:r>
      <w:r w:rsidRPr="00071FE9">
        <w:rPr>
          <w:rFonts w:ascii="Times New Roman" w:hAnsi="Times New Roman"/>
          <w:sz w:val="24"/>
          <w:szCs w:val="24"/>
        </w:rPr>
        <w:t>tate agencies or officers acting pursuant to delega</w:t>
      </w:r>
      <w:r w:rsidR="00B16754">
        <w:rPr>
          <w:rFonts w:ascii="Times New Roman" w:hAnsi="Times New Roman"/>
          <w:sz w:val="24"/>
          <w:szCs w:val="24"/>
        </w:rPr>
        <w:t>ted f</w:t>
      </w:r>
      <w:r w:rsidRPr="00071FE9">
        <w:rPr>
          <w:rFonts w:ascii="Times New Roman" w:hAnsi="Times New Roman"/>
          <w:sz w:val="24"/>
          <w:szCs w:val="24"/>
        </w:rPr>
        <w:t>edera</w:t>
      </w:r>
      <w:r w:rsidR="00B16754">
        <w:rPr>
          <w:rFonts w:ascii="Times New Roman" w:hAnsi="Times New Roman"/>
          <w:sz w:val="24"/>
          <w:szCs w:val="24"/>
        </w:rPr>
        <w:t>l authority, responsible for a f</w:t>
      </w:r>
      <w:r w:rsidRPr="00071FE9">
        <w:rPr>
          <w:rFonts w:ascii="Times New Roman" w:hAnsi="Times New Roman"/>
          <w:sz w:val="24"/>
          <w:szCs w:val="24"/>
        </w:rPr>
        <w:t>ederal authorization (</w:t>
      </w:r>
      <w:r w:rsidR="00B16754">
        <w:rPr>
          <w:rFonts w:ascii="Times New Roman" w:hAnsi="Times New Roman"/>
          <w:sz w:val="24"/>
          <w:szCs w:val="24"/>
        </w:rPr>
        <w:t xml:space="preserve">e.g. </w:t>
      </w:r>
      <w:r w:rsidRPr="00071FE9">
        <w:rPr>
          <w:rFonts w:ascii="Times New Roman" w:hAnsi="Times New Roman"/>
          <w:sz w:val="24"/>
          <w:szCs w:val="24"/>
        </w:rPr>
        <w:t>issuing, conditioning, or denying requests) necessary for a proposed natural gas project.  The information is</w:t>
      </w:r>
      <w:r w:rsidR="00C91FB6">
        <w:rPr>
          <w:rFonts w:ascii="Times New Roman" w:hAnsi="Times New Roman"/>
          <w:sz w:val="24"/>
          <w:szCs w:val="24"/>
        </w:rPr>
        <w:t xml:space="preserve"> already</w:t>
      </w:r>
      <w:r w:rsidRPr="00071FE9">
        <w:rPr>
          <w:rFonts w:ascii="Times New Roman" w:hAnsi="Times New Roman"/>
          <w:sz w:val="24"/>
          <w:szCs w:val="24"/>
        </w:rPr>
        <w:t xml:space="preserve"> readily available to the federal and</w:t>
      </w:r>
      <w:r w:rsidR="00B16754">
        <w:rPr>
          <w:rFonts w:ascii="Times New Roman" w:hAnsi="Times New Roman"/>
          <w:sz w:val="24"/>
          <w:szCs w:val="24"/>
        </w:rPr>
        <w:t xml:space="preserve"> state respondents.  </w:t>
      </w:r>
    </w:p>
    <w:p w14:paraId="12B9FB1B" w14:textId="77777777" w:rsidR="009349F8" w:rsidRPr="00071FE9" w:rsidRDefault="009349F8" w:rsidP="00071FE9">
      <w:pPr>
        <w:spacing w:after="0" w:line="240" w:lineRule="auto"/>
        <w:rPr>
          <w:rFonts w:ascii="Times New Roman" w:hAnsi="Times New Roman"/>
          <w:sz w:val="24"/>
          <w:szCs w:val="24"/>
        </w:rPr>
      </w:pPr>
    </w:p>
    <w:p w14:paraId="03E2E8BE"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CONSEQUENCE TO FEDERAL PROGRAM IF COLLECTION WERE CONDUCTED LESS FREQUENTLY</w:t>
      </w:r>
    </w:p>
    <w:p w14:paraId="330781C3" w14:textId="77777777" w:rsidR="009349F8" w:rsidRPr="00071FE9" w:rsidRDefault="009349F8" w:rsidP="00071FE9">
      <w:pPr>
        <w:spacing w:after="0" w:line="240" w:lineRule="auto"/>
        <w:rPr>
          <w:rFonts w:ascii="Times New Roman" w:hAnsi="Times New Roman"/>
          <w:sz w:val="24"/>
          <w:szCs w:val="24"/>
        </w:rPr>
      </w:pPr>
    </w:p>
    <w:p w14:paraId="4209ED48" w14:textId="77777777" w:rsidR="009349F8"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t>The information collection cannot be discontinued or collected less frequently because of statutory requirements.  The consequences of not collecting this information are that the Commission would be unable to fulfill its statutory mandate under the EPAct 2005</w:t>
      </w:r>
      <w:r w:rsidR="001F0BE8">
        <w:rPr>
          <w:rFonts w:ascii="Times New Roman" w:hAnsi="Times New Roman"/>
          <w:sz w:val="24"/>
          <w:szCs w:val="24"/>
        </w:rPr>
        <w:t xml:space="preserve"> to:</w:t>
      </w:r>
    </w:p>
    <w:p w14:paraId="11E0BC06" w14:textId="77777777" w:rsidR="00FF790D" w:rsidRDefault="00FF790D" w:rsidP="00071FE9">
      <w:pPr>
        <w:spacing w:after="0" w:line="240" w:lineRule="auto"/>
        <w:rPr>
          <w:rFonts w:ascii="Times New Roman" w:hAnsi="Times New Roman"/>
          <w:sz w:val="24"/>
          <w:szCs w:val="24"/>
        </w:rPr>
      </w:pPr>
    </w:p>
    <w:p w14:paraId="7599F5FD" w14:textId="77777777" w:rsidR="001F0BE8" w:rsidRDefault="001F0BE8" w:rsidP="005F0E5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Establish a schedule for agencies to review requests for federal authorizations required for a project, and</w:t>
      </w:r>
    </w:p>
    <w:p w14:paraId="2E7ED383" w14:textId="77777777" w:rsidR="001F0BE8" w:rsidRPr="001F0BE8" w:rsidRDefault="001F0BE8" w:rsidP="005F0E5A">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Compile a record of each agency’s decision</w:t>
      </w:r>
      <w:r w:rsidR="00FF790D">
        <w:rPr>
          <w:rFonts w:ascii="Times New Roman" w:hAnsi="Times New Roman"/>
          <w:sz w:val="24"/>
          <w:szCs w:val="24"/>
        </w:rPr>
        <w:t>,</w:t>
      </w:r>
      <w:r>
        <w:rPr>
          <w:rFonts w:ascii="Times New Roman" w:hAnsi="Times New Roman"/>
          <w:sz w:val="24"/>
          <w:szCs w:val="24"/>
        </w:rPr>
        <w:t xml:space="preserve"> together with the record of the Commission’s decision</w:t>
      </w:r>
      <w:r w:rsidR="00FF790D">
        <w:rPr>
          <w:rFonts w:ascii="Times New Roman" w:hAnsi="Times New Roman"/>
          <w:sz w:val="24"/>
          <w:szCs w:val="24"/>
        </w:rPr>
        <w:t>,</w:t>
      </w:r>
      <w:r>
        <w:rPr>
          <w:rFonts w:ascii="Times New Roman" w:hAnsi="Times New Roman"/>
          <w:sz w:val="24"/>
          <w:szCs w:val="24"/>
        </w:rPr>
        <w:t xml:space="preserve"> to serve as a consolidated record for the purpose of appeal or review</w:t>
      </w:r>
      <w:r w:rsidR="00FF790D">
        <w:rPr>
          <w:rFonts w:ascii="Times New Roman" w:hAnsi="Times New Roman"/>
          <w:sz w:val="24"/>
          <w:szCs w:val="24"/>
        </w:rPr>
        <w:t>,</w:t>
      </w:r>
      <w:r>
        <w:rPr>
          <w:rFonts w:ascii="Times New Roman" w:hAnsi="Times New Roman"/>
          <w:sz w:val="24"/>
          <w:szCs w:val="24"/>
        </w:rPr>
        <w:t xml:space="preserve"> includ</w:t>
      </w:r>
      <w:r w:rsidR="00FF790D">
        <w:rPr>
          <w:rFonts w:ascii="Times New Roman" w:hAnsi="Times New Roman"/>
          <w:sz w:val="24"/>
          <w:szCs w:val="24"/>
        </w:rPr>
        <w:t>ing</w:t>
      </w:r>
      <w:r>
        <w:rPr>
          <w:rFonts w:ascii="Times New Roman" w:hAnsi="Times New Roman"/>
          <w:sz w:val="24"/>
          <w:szCs w:val="24"/>
        </w:rPr>
        <w:t xml:space="preserve"> judicial review.</w:t>
      </w:r>
    </w:p>
    <w:p w14:paraId="528511F2" w14:textId="77777777" w:rsidR="009349F8" w:rsidRPr="00071FE9" w:rsidRDefault="009349F8" w:rsidP="00071FE9">
      <w:pPr>
        <w:spacing w:after="0" w:line="240" w:lineRule="auto"/>
        <w:rPr>
          <w:rFonts w:ascii="Times New Roman" w:hAnsi="Times New Roman"/>
          <w:sz w:val="24"/>
          <w:szCs w:val="24"/>
        </w:rPr>
      </w:pPr>
    </w:p>
    <w:p w14:paraId="560E4415"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EXPLAIN ANY SPECIAL CIRCUMSTANCES RELATING TO THE INFORMATION COLLECTION</w:t>
      </w:r>
    </w:p>
    <w:p w14:paraId="7C56CB4B" w14:textId="77777777" w:rsidR="009349F8" w:rsidRPr="00071FE9" w:rsidRDefault="009349F8" w:rsidP="00071FE9">
      <w:pPr>
        <w:spacing w:after="0" w:line="240" w:lineRule="auto"/>
        <w:rPr>
          <w:rFonts w:ascii="Times New Roman" w:hAnsi="Times New Roman"/>
          <w:sz w:val="24"/>
          <w:szCs w:val="24"/>
        </w:rPr>
      </w:pPr>
    </w:p>
    <w:p w14:paraId="28C1EB24" w14:textId="77777777" w:rsidR="009349F8" w:rsidRPr="00071FE9" w:rsidRDefault="006A333B" w:rsidP="00071FE9">
      <w:pPr>
        <w:spacing w:after="0" w:line="240" w:lineRule="auto"/>
        <w:rPr>
          <w:rFonts w:ascii="Times New Roman" w:hAnsi="Times New Roman"/>
          <w:sz w:val="24"/>
          <w:szCs w:val="24"/>
        </w:rPr>
      </w:pPr>
      <w:r>
        <w:rPr>
          <w:rFonts w:ascii="Times New Roman" w:hAnsi="Times New Roman"/>
          <w:sz w:val="24"/>
          <w:szCs w:val="24"/>
        </w:rPr>
        <w:t>There are no special circumstances.</w:t>
      </w:r>
    </w:p>
    <w:p w14:paraId="32669753" w14:textId="77777777" w:rsidR="009349F8" w:rsidRPr="00071FE9" w:rsidRDefault="009349F8" w:rsidP="00071FE9">
      <w:pPr>
        <w:spacing w:after="0" w:line="240" w:lineRule="auto"/>
        <w:rPr>
          <w:rFonts w:ascii="Times New Roman" w:hAnsi="Times New Roman"/>
          <w:sz w:val="24"/>
          <w:szCs w:val="24"/>
        </w:rPr>
      </w:pPr>
    </w:p>
    <w:p w14:paraId="24C81D6D"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EFFORTS TO CONSULT OUTSIDE THE AGENCY: SUMMARIZE PUBLIC COMMENTS AND THE AGENCY’S RESPONSE</w:t>
      </w:r>
    </w:p>
    <w:p w14:paraId="2C1DA302" w14:textId="77777777" w:rsidR="009349F8" w:rsidRPr="00071FE9" w:rsidRDefault="009349F8" w:rsidP="00071FE9">
      <w:pPr>
        <w:spacing w:after="0" w:line="240" w:lineRule="auto"/>
        <w:rPr>
          <w:rFonts w:ascii="Times New Roman" w:hAnsi="Times New Roman"/>
          <w:sz w:val="24"/>
          <w:szCs w:val="24"/>
        </w:rPr>
      </w:pPr>
    </w:p>
    <w:p w14:paraId="0803575A" w14:textId="77777777"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In accordance with OMB requirements, the Commission published a 60-day notice</w:t>
      </w:r>
      <w:bookmarkStart w:id="1" w:name="_Ref332712251"/>
      <w:r w:rsidRPr="00071FE9">
        <w:rPr>
          <w:rStyle w:val="FootnoteReference"/>
          <w:rFonts w:ascii="Times New Roman" w:hAnsi="Times New Roman"/>
          <w:sz w:val="24"/>
          <w:szCs w:val="24"/>
          <w:vertAlign w:val="superscript"/>
        </w:rPr>
        <w:footnoteReference w:id="3"/>
      </w:r>
      <w:bookmarkEnd w:id="1"/>
      <w:r w:rsidR="00036AD8">
        <w:rPr>
          <w:rFonts w:ascii="Times New Roman" w:hAnsi="Times New Roman"/>
          <w:sz w:val="24"/>
          <w:szCs w:val="24"/>
        </w:rPr>
        <w:t xml:space="preserve"> in Docket IC16-3. </w:t>
      </w:r>
      <w:r w:rsidR="00A15570">
        <w:rPr>
          <w:rFonts w:ascii="Times New Roman" w:hAnsi="Times New Roman"/>
          <w:sz w:val="24"/>
          <w:szCs w:val="24"/>
        </w:rPr>
        <w:t xml:space="preserve"> </w:t>
      </w:r>
      <w:r w:rsidRPr="00071FE9">
        <w:rPr>
          <w:rFonts w:ascii="Times New Roman" w:hAnsi="Times New Roman"/>
          <w:sz w:val="24"/>
          <w:szCs w:val="24"/>
        </w:rPr>
        <w:t>The Commission received no comments</w:t>
      </w:r>
      <w:r w:rsidR="006A333B">
        <w:rPr>
          <w:rFonts w:ascii="Times New Roman" w:hAnsi="Times New Roman"/>
          <w:sz w:val="24"/>
          <w:szCs w:val="24"/>
        </w:rPr>
        <w:t xml:space="preserve"> from the 60-day notice.</w:t>
      </w:r>
      <w:r w:rsidR="006A333B" w:rsidRPr="006A333B">
        <w:rPr>
          <w:rFonts w:ascii="Times New Roman" w:hAnsi="Times New Roman"/>
          <w:sz w:val="24"/>
          <w:szCs w:val="24"/>
        </w:rPr>
        <w:t xml:space="preserve"> </w:t>
      </w:r>
      <w:r w:rsidR="006A333B">
        <w:rPr>
          <w:rFonts w:ascii="Times New Roman" w:hAnsi="Times New Roman"/>
          <w:sz w:val="24"/>
          <w:szCs w:val="24"/>
        </w:rPr>
        <w:t xml:space="preserve"> The</w:t>
      </w:r>
      <w:r w:rsidR="006A333B" w:rsidRPr="00071FE9">
        <w:rPr>
          <w:rFonts w:ascii="Times New Roman" w:hAnsi="Times New Roman"/>
          <w:sz w:val="24"/>
          <w:szCs w:val="24"/>
        </w:rPr>
        <w:t xml:space="preserve"> 30-day notice</w:t>
      </w:r>
      <w:r w:rsidR="006A333B">
        <w:rPr>
          <w:rFonts w:ascii="Times New Roman" w:hAnsi="Times New Roman"/>
          <w:sz w:val="24"/>
          <w:szCs w:val="24"/>
        </w:rPr>
        <w:t xml:space="preserve"> </w:t>
      </w:r>
      <w:r w:rsidR="006F6609">
        <w:rPr>
          <w:rFonts w:ascii="Times New Roman" w:hAnsi="Times New Roman"/>
          <w:sz w:val="24"/>
          <w:szCs w:val="24"/>
        </w:rPr>
        <w:t>is also being published in the FR for public comment.</w:t>
      </w:r>
    </w:p>
    <w:p w14:paraId="033AC016" w14:textId="77777777" w:rsidR="009349F8" w:rsidRPr="00071FE9" w:rsidRDefault="009349F8" w:rsidP="00071FE9">
      <w:pPr>
        <w:spacing w:after="0" w:line="240" w:lineRule="auto"/>
        <w:rPr>
          <w:rFonts w:ascii="Times New Roman" w:hAnsi="Times New Roman"/>
          <w:sz w:val="24"/>
          <w:szCs w:val="24"/>
        </w:rPr>
      </w:pPr>
    </w:p>
    <w:p w14:paraId="7FE7BBCB" w14:textId="77777777" w:rsidR="009349F8" w:rsidRPr="00071FE9" w:rsidRDefault="009349F8" w:rsidP="005F0E5A">
      <w:pPr>
        <w:pStyle w:val="ListParagraph"/>
        <w:numPr>
          <w:ilvl w:val="0"/>
          <w:numId w:val="11"/>
        </w:numPr>
        <w:spacing w:after="0" w:line="240" w:lineRule="auto"/>
        <w:ind w:left="0" w:firstLine="0"/>
        <w:rPr>
          <w:rFonts w:ascii="Times New Roman" w:hAnsi="Times New Roman"/>
          <w:b/>
          <w:sz w:val="24"/>
          <w:szCs w:val="24"/>
        </w:rPr>
      </w:pPr>
      <w:r w:rsidRPr="00071FE9">
        <w:rPr>
          <w:rFonts w:ascii="Times New Roman" w:hAnsi="Times New Roman"/>
          <w:b/>
          <w:sz w:val="24"/>
          <w:szCs w:val="24"/>
        </w:rPr>
        <w:t>EXPLAIN ANY PAYMENT OR GIFTS TO RESPONDENTS</w:t>
      </w:r>
    </w:p>
    <w:p w14:paraId="781C569A" w14:textId="77777777" w:rsidR="009349F8" w:rsidRPr="00071FE9" w:rsidRDefault="009349F8" w:rsidP="00071FE9">
      <w:pPr>
        <w:spacing w:after="0" w:line="240" w:lineRule="auto"/>
        <w:rPr>
          <w:rFonts w:ascii="Times New Roman" w:hAnsi="Times New Roman"/>
          <w:sz w:val="24"/>
          <w:szCs w:val="24"/>
        </w:rPr>
      </w:pPr>
    </w:p>
    <w:p w14:paraId="72334C73" w14:textId="77777777"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There are no payments or gifts to FERC-</w:t>
      </w:r>
      <w:r w:rsidR="009C6B00" w:rsidRPr="00071FE9">
        <w:rPr>
          <w:rFonts w:ascii="Times New Roman" w:hAnsi="Times New Roman"/>
          <w:sz w:val="24"/>
          <w:szCs w:val="24"/>
        </w:rPr>
        <w:t>606 and FERC-607</w:t>
      </w:r>
      <w:r w:rsidRPr="00071FE9">
        <w:rPr>
          <w:rFonts w:ascii="Times New Roman" w:hAnsi="Times New Roman"/>
          <w:sz w:val="24"/>
          <w:szCs w:val="24"/>
        </w:rPr>
        <w:t xml:space="preserve"> respondents.</w:t>
      </w:r>
    </w:p>
    <w:p w14:paraId="3508D762" w14:textId="77777777" w:rsidR="009349F8" w:rsidRPr="00071FE9" w:rsidRDefault="009349F8" w:rsidP="00071FE9">
      <w:pPr>
        <w:spacing w:after="0" w:line="240" w:lineRule="auto"/>
        <w:rPr>
          <w:rFonts w:ascii="Times New Roman" w:hAnsi="Times New Roman"/>
          <w:sz w:val="24"/>
          <w:szCs w:val="24"/>
        </w:rPr>
      </w:pPr>
    </w:p>
    <w:p w14:paraId="2F3B8AF7" w14:textId="77777777" w:rsidR="009349F8" w:rsidRPr="00071FE9" w:rsidRDefault="009349F8" w:rsidP="005F0E5A">
      <w:pPr>
        <w:pStyle w:val="ListParagraph"/>
        <w:numPr>
          <w:ilvl w:val="0"/>
          <w:numId w:val="1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ANY ASSURANCE OF CONFIDENTIALITY PROVIDED TO RESPONDENTS</w:t>
      </w:r>
    </w:p>
    <w:p w14:paraId="1A4F00B2" w14:textId="77777777" w:rsidR="009349F8" w:rsidRPr="00071FE9" w:rsidRDefault="009349F8" w:rsidP="00071FE9">
      <w:pPr>
        <w:spacing w:after="0" w:line="240" w:lineRule="auto"/>
        <w:rPr>
          <w:rFonts w:ascii="Times New Roman" w:hAnsi="Times New Roman"/>
          <w:sz w:val="24"/>
          <w:szCs w:val="24"/>
        </w:rPr>
      </w:pPr>
    </w:p>
    <w:p w14:paraId="63DA73C5" w14:textId="77777777"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does not consider the i</w:t>
      </w:r>
      <w:r w:rsidR="006A3D98">
        <w:rPr>
          <w:rFonts w:ascii="Times New Roman" w:hAnsi="Times New Roman"/>
          <w:sz w:val="24"/>
          <w:szCs w:val="24"/>
        </w:rPr>
        <w:t>nformation collected in FERC-606 or the FERC-607</w:t>
      </w:r>
      <w:r w:rsidRPr="00071FE9">
        <w:rPr>
          <w:rFonts w:ascii="Times New Roman" w:hAnsi="Times New Roman"/>
          <w:sz w:val="24"/>
          <w:szCs w:val="24"/>
        </w:rPr>
        <w:t xml:space="preserve"> filings to be confidential.  However, the filer may request privileged treatment of a filing that may contain information harmful to the competitive posture of the applicant if released to the general public.</w:t>
      </w:r>
      <w:r w:rsidRPr="00071FE9">
        <w:rPr>
          <w:rStyle w:val="FootnoteReference"/>
          <w:rFonts w:ascii="Times New Roman" w:hAnsi="Times New Roman"/>
          <w:sz w:val="24"/>
          <w:szCs w:val="24"/>
          <w:vertAlign w:val="superscript"/>
        </w:rPr>
        <w:footnoteReference w:id="4"/>
      </w:r>
      <w:r w:rsidRPr="00071FE9">
        <w:rPr>
          <w:rFonts w:ascii="Times New Roman" w:hAnsi="Times New Roman"/>
          <w:sz w:val="24"/>
          <w:szCs w:val="24"/>
        </w:rPr>
        <w:t xml:space="preserve">  </w:t>
      </w:r>
    </w:p>
    <w:p w14:paraId="4E9834DE" w14:textId="77777777" w:rsidR="009349F8" w:rsidRPr="00071FE9" w:rsidRDefault="009349F8" w:rsidP="00071FE9">
      <w:pPr>
        <w:spacing w:after="0" w:line="240" w:lineRule="auto"/>
        <w:rPr>
          <w:rFonts w:ascii="Times New Roman" w:hAnsi="Times New Roman"/>
          <w:sz w:val="24"/>
          <w:szCs w:val="24"/>
        </w:rPr>
      </w:pPr>
    </w:p>
    <w:p w14:paraId="4030FC7E" w14:textId="77777777" w:rsidR="00FB54CF" w:rsidRPr="00FB54CF" w:rsidRDefault="00FB54CF" w:rsidP="009415DC">
      <w:pPr>
        <w:spacing w:after="0" w:line="240" w:lineRule="auto"/>
        <w:ind w:left="720" w:hanging="720"/>
        <w:rPr>
          <w:rFonts w:ascii="Times New Roman" w:hAnsi="Times New Roman"/>
          <w:b/>
          <w:sz w:val="24"/>
          <w:szCs w:val="24"/>
        </w:rPr>
      </w:pPr>
      <w:r w:rsidRPr="00FB54CF">
        <w:rPr>
          <w:rFonts w:ascii="Times New Roman" w:hAnsi="Times New Roman"/>
          <w:b/>
          <w:sz w:val="24"/>
          <w:szCs w:val="24"/>
        </w:rPr>
        <w:t>11.</w:t>
      </w:r>
      <w:r w:rsidRPr="00FB54CF">
        <w:rPr>
          <w:rFonts w:ascii="Times New Roman" w:hAnsi="Times New Roman"/>
          <w:b/>
          <w:sz w:val="24"/>
          <w:szCs w:val="24"/>
        </w:rPr>
        <w:tab/>
        <w:t>PROVIDE ADDITIONAL JUSTIFICATION FOR ANY QUESTIONS OF A SENSITIVE NATURE, SUCH AS SEXUAL BEHAVIOR AND ATTITUDES, RELIGIOUS BELIEFS, AND OTHER MATTERS THAT ARE COMMONLY CONSIDERED PRIVATE</w:t>
      </w:r>
    </w:p>
    <w:p w14:paraId="3253516E" w14:textId="77777777" w:rsidR="00FB54CF" w:rsidRPr="00FB54CF" w:rsidRDefault="00FB54CF" w:rsidP="00FB54CF">
      <w:pPr>
        <w:spacing w:after="0" w:line="240" w:lineRule="auto"/>
        <w:rPr>
          <w:rFonts w:ascii="Times New Roman" w:hAnsi="Times New Roman"/>
          <w:sz w:val="24"/>
          <w:szCs w:val="24"/>
        </w:rPr>
      </w:pPr>
    </w:p>
    <w:p w14:paraId="4167B2C4" w14:textId="77777777" w:rsidR="009349F8" w:rsidRPr="00FB54CF" w:rsidRDefault="00FB54CF" w:rsidP="00FB54CF">
      <w:pPr>
        <w:spacing w:after="0" w:line="240" w:lineRule="auto"/>
        <w:rPr>
          <w:rFonts w:ascii="Times New Roman" w:hAnsi="Times New Roman"/>
          <w:sz w:val="24"/>
          <w:szCs w:val="24"/>
        </w:rPr>
      </w:pPr>
      <w:r w:rsidRPr="00FB54CF">
        <w:rPr>
          <w:rFonts w:ascii="Times New Roman" w:hAnsi="Times New Roman"/>
          <w:sz w:val="24"/>
          <w:szCs w:val="24"/>
        </w:rPr>
        <w:t>Th</w:t>
      </w:r>
      <w:r>
        <w:rPr>
          <w:rFonts w:ascii="Times New Roman" w:hAnsi="Times New Roman"/>
          <w:sz w:val="24"/>
          <w:szCs w:val="24"/>
        </w:rPr>
        <w:t>e</w:t>
      </w:r>
      <w:r w:rsidRPr="00FB54CF">
        <w:rPr>
          <w:rFonts w:ascii="Times New Roman" w:hAnsi="Times New Roman"/>
          <w:sz w:val="24"/>
          <w:szCs w:val="24"/>
        </w:rPr>
        <w:t xml:space="preserve"> collection</w:t>
      </w:r>
      <w:r>
        <w:rPr>
          <w:rFonts w:ascii="Times New Roman" w:hAnsi="Times New Roman"/>
          <w:sz w:val="24"/>
          <w:szCs w:val="24"/>
        </w:rPr>
        <w:t>s</w:t>
      </w:r>
      <w:r w:rsidRPr="00FB54CF">
        <w:rPr>
          <w:rFonts w:ascii="Times New Roman" w:hAnsi="Times New Roman"/>
          <w:sz w:val="24"/>
          <w:szCs w:val="24"/>
        </w:rPr>
        <w:t xml:space="preserve"> do not contain any questions of a sensitive nature.  </w:t>
      </w:r>
    </w:p>
    <w:p w14:paraId="4241DFD2" w14:textId="77777777" w:rsidR="00FB54CF" w:rsidRPr="00071FE9" w:rsidRDefault="00FB54CF" w:rsidP="00FB54CF">
      <w:pPr>
        <w:spacing w:after="0" w:line="240" w:lineRule="auto"/>
        <w:rPr>
          <w:rFonts w:ascii="Times New Roman" w:hAnsi="Times New Roman"/>
          <w:sz w:val="24"/>
          <w:szCs w:val="24"/>
        </w:rPr>
      </w:pPr>
    </w:p>
    <w:p w14:paraId="7434543A" w14:textId="77777777" w:rsidR="009349F8" w:rsidRPr="00071FE9" w:rsidRDefault="009349F8" w:rsidP="005F0E5A">
      <w:pPr>
        <w:pStyle w:val="ListParagraph"/>
        <w:numPr>
          <w:ilvl w:val="0"/>
          <w:numId w:val="17"/>
        </w:numPr>
        <w:spacing w:after="0" w:line="240" w:lineRule="auto"/>
        <w:ind w:left="720" w:hanging="720"/>
        <w:rPr>
          <w:rFonts w:ascii="Times New Roman" w:hAnsi="Times New Roman"/>
          <w:b/>
          <w:sz w:val="24"/>
          <w:szCs w:val="24"/>
        </w:rPr>
      </w:pPr>
      <w:r w:rsidRPr="00071FE9">
        <w:rPr>
          <w:rFonts w:ascii="Times New Roman" w:hAnsi="Times New Roman"/>
          <w:b/>
          <w:sz w:val="24"/>
          <w:szCs w:val="24"/>
        </w:rPr>
        <w:t>ESTIMATED BURDEN OF COLLECTION OF INFORMATION</w:t>
      </w:r>
    </w:p>
    <w:p w14:paraId="16902637" w14:textId="77777777" w:rsidR="009349F8" w:rsidRPr="00071FE9" w:rsidRDefault="009349F8" w:rsidP="00071FE9">
      <w:pPr>
        <w:spacing w:after="0" w:line="240" w:lineRule="auto"/>
        <w:rPr>
          <w:rFonts w:ascii="Times New Roman" w:hAnsi="Times New Roman"/>
          <w:sz w:val="24"/>
          <w:szCs w:val="24"/>
        </w:rPr>
      </w:pPr>
    </w:p>
    <w:p w14:paraId="3316CA19" w14:textId="77777777"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 xml:space="preserve">The Commission estimates </w:t>
      </w:r>
      <w:r w:rsidR="000471AE" w:rsidRPr="000471AE">
        <w:rPr>
          <w:rFonts w:ascii="Times New Roman" w:hAnsi="Times New Roman"/>
          <w:sz w:val="24"/>
          <w:szCs w:val="24"/>
        </w:rPr>
        <w:t>the annual public reporting burden and cost</w:t>
      </w:r>
      <w:r w:rsidR="000471AE" w:rsidRPr="000471AE">
        <w:rPr>
          <w:rStyle w:val="FootnoteReference"/>
          <w:rFonts w:ascii="Times New Roman" w:hAnsi="Times New Roman"/>
          <w:sz w:val="24"/>
          <w:szCs w:val="24"/>
          <w:vertAlign w:val="superscript"/>
        </w:rPr>
        <w:footnoteReference w:id="5"/>
      </w:r>
      <w:r w:rsidR="000471AE" w:rsidRPr="000471AE">
        <w:rPr>
          <w:rFonts w:ascii="Times New Roman" w:hAnsi="Times New Roman"/>
          <w:sz w:val="24"/>
          <w:szCs w:val="24"/>
        </w:rPr>
        <w:t xml:space="preserve"> (rounded)</w:t>
      </w:r>
      <w:r w:rsidR="000471AE">
        <w:rPr>
          <w:rFonts w:ascii="Times New Roman" w:hAnsi="Times New Roman"/>
          <w:sz w:val="24"/>
          <w:szCs w:val="24"/>
        </w:rPr>
        <w:t>.</w:t>
      </w:r>
    </w:p>
    <w:p w14:paraId="0C53EAD1" w14:textId="77777777" w:rsidR="00D22318" w:rsidRPr="00071FE9" w:rsidRDefault="00D22318" w:rsidP="00071FE9">
      <w:pPr>
        <w:spacing w:after="0" w:line="240" w:lineRule="auto"/>
        <w:rPr>
          <w:rFonts w:ascii="Times New Roman" w:hAnsi="Times New Roman"/>
          <w:sz w:val="24"/>
          <w:szCs w:val="24"/>
        </w:rPr>
      </w:pPr>
    </w:p>
    <w:tbl>
      <w:tblPr>
        <w:tblW w:w="488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306"/>
        <w:gridCol w:w="1228"/>
        <w:gridCol w:w="1290"/>
        <w:gridCol w:w="1306"/>
        <w:gridCol w:w="1655"/>
        <w:gridCol w:w="1228"/>
      </w:tblGrid>
      <w:tr w:rsidR="00FB54CF" w:rsidRPr="00FB54CF" w14:paraId="4B46269D" w14:textId="77777777" w:rsidTr="00FD4453">
        <w:trPr>
          <w:cantSplit/>
          <w:trHeight w:val="395"/>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hideMark/>
          </w:tcPr>
          <w:p w14:paraId="0A63FD37" w14:textId="77777777" w:rsid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 xml:space="preserve">FERC-606 (Notification of Request for Federal Authorization and Requests for Further Information), </w:t>
            </w:r>
          </w:p>
          <w:p w14:paraId="38F5DDAE"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and</w:t>
            </w:r>
            <w:r>
              <w:rPr>
                <w:rFonts w:ascii="Times New Roman" w:hAnsi="Times New Roman"/>
                <w:b/>
                <w:sz w:val="20"/>
                <w:szCs w:val="20"/>
              </w:rPr>
              <w:t xml:space="preserve"> </w:t>
            </w:r>
            <w:r w:rsidRPr="00FB54CF">
              <w:rPr>
                <w:rFonts w:ascii="Times New Roman" w:hAnsi="Times New Roman"/>
                <w:b/>
                <w:bCs/>
                <w:sz w:val="20"/>
                <w:szCs w:val="20"/>
              </w:rPr>
              <w:t>FERC-607 (Report on Decision or Action on Request for Federal Authorization)</w:t>
            </w:r>
          </w:p>
        </w:tc>
      </w:tr>
      <w:tr w:rsidR="00FD4453" w:rsidRPr="00FB54CF" w14:paraId="7C40866E" w14:textId="77777777" w:rsidTr="00FD4453">
        <w:trPr>
          <w:cantSplit/>
        </w:trPr>
        <w:tc>
          <w:tcPr>
            <w:tcW w:w="624" w:type="pct"/>
            <w:tcBorders>
              <w:top w:val="single" w:sz="4" w:space="0" w:color="auto"/>
              <w:left w:val="single" w:sz="4" w:space="0" w:color="auto"/>
              <w:bottom w:val="single" w:sz="4" w:space="0" w:color="auto"/>
              <w:right w:val="single" w:sz="4" w:space="0" w:color="auto"/>
            </w:tcBorders>
            <w:shd w:val="clear" w:color="auto" w:fill="BFBFBF"/>
            <w:vAlign w:val="bottom"/>
          </w:tcPr>
          <w:p w14:paraId="5D443D09" w14:textId="77777777" w:rsidR="00FB54CF" w:rsidRPr="00FB54CF" w:rsidRDefault="00FB54CF" w:rsidP="00FB54CF">
            <w:pPr>
              <w:spacing w:after="0" w:line="240" w:lineRule="auto"/>
              <w:jc w:val="center"/>
              <w:rPr>
                <w:rFonts w:ascii="Times New Roman" w:hAnsi="Times New Roman"/>
                <w:b/>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DE6609B"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Number of Respondents</w:t>
            </w:r>
            <w:r w:rsidRPr="00FB54CF">
              <w:rPr>
                <w:rFonts w:ascii="Times New Roman" w:hAnsi="Times New Roman"/>
                <w:b/>
                <w:sz w:val="20"/>
                <w:szCs w:val="20"/>
              </w:rPr>
              <w:br/>
              <w:t>(1)</w:t>
            </w:r>
          </w:p>
        </w:tc>
        <w:tc>
          <w:tcPr>
            <w:tcW w:w="674"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2A14E816"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Annual Number of Responses per Respondent</w:t>
            </w:r>
          </w:p>
          <w:p w14:paraId="7F185C4B"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(2)</w:t>
            </w:r>
          </w:p>
        </w:tc>
        <w:tc>
          <w:tcPr>
            <w:tcW w:w="720"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6499B450"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Total Number of Responses (1)*(2)=(3)</w:t>
            </w:r>
          </w:p>
        </w:tc>
        <w:tc>
          <w:tcPr>
            <w:tcW w:w="722"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77A73FB2"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Average Burden Hours &amp; Cost Per Response</w:t>
            </w:r>
          </w:p>
          <w:p w14:paraId="66437950"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(4)</w:t>
            </w:r>
          </w:p>
        </w:tc>
        <w:tc>
          <w:tcPr>
            <w:tcW w:w="913"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4591D03F"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Total Annual Burden Hours &amp; Total Annual Cost</w:t>
            </w:r>
          </w:p>
          <w:p w14:paraId="05EEE718"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(3)*(4)=(5)</w:t>
            </w:r>
          </w:p>
        </w:tc>
        <w:tc>
          <w:tcPr>
            <w:tcW w:w="626"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39242DE7"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Cost per Respondent</w:t>
            </w:r>
          </w:p>
          <w:p w14:paraId="3C01DADF"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 xml:space="preserve"> ($)</w:t>
            </w:r>
          </w:p>
          <w:p w14:paraId="2E3682B1" w14:textId="77777777" w:rsidR="00FB54CF" w:rsidRPr="00FB54CF" w:rsidRDefault="00FB54CF" w:rsidP="00FB54CF">
            <w:pPr>
              <w:spacing w:after="0" w:line="240" w:lineRule="auto"/>
              <w:jc w:val="center"/>
              <w:rPr>
                <w:rFonts w:ascii="Times New Roman" w:hAnsi="Times New Roman"/>
                <w:b/>
                <w:sz w:val="20"/>
                <w:szCs w:val="20"/>
              </w:rPr>
            </w:pPr>
            <w:r w:rsidRPr="00FB54CF">
              <w:rPr>
                <w:rFonts w:ascii="Times New Roman" w:hAnsi="Times New Roman"/>
                <w:b/>
                <w:sz w:val="20"/>
                <w:szCs w:val="20"/>
              </w:rPr>
              <w:t>(5)÷(1)</w:t>
            </w:r>
          </w:p>
        </w:tc>
      </w:tr>
      <w:tr w:rsidR="00FD4453" w:rsidRPr="00FB54CF" w14:paraId="2610AE9C" w14:textId="77777777" w:rsidTr="00FD4453">
        <w:trPr>
          <w:cantSplit/>
        </w:trPr>
        <w:tc>
          <w:tcPr>
            <w:tcW w:w="624" w:type="pct"/>
            <w:tcBorders>
              <w:top w:val="single" w:sz="4" w:space="0" w:color="auto"/>
              <w:left w:val="single" w:sz="4" w:space="0" w:color="auto"/>
              <w:bottom w:val="single" w:sz="4" w:space="0" w:color="auto"/>
              <w:right w:val="single" w:sz="4" w:space="0" w:color="auto"/>
            </w:tcBorders>
            <w:vAlign w:val="bottom"/>
            <w:hideMark/>
          </w:tcPr>
          <w:p w14:paraId="52722AC3" w14:textId="77777777" w:rsidR="00FB54CF" w:rsidRPr="00FB54CF" w:rsidRDefault="00FB54CF" w:rsidP="00FB54CF">
            <w:pPr>
              <w:spacing w:after="0" w:line="240" w:lineRule="auto"/>
              <w:rPr>
                <w:rFonts w:ascii="Times New Roman" w:hAnsi="Times New Roman"/>
                <w:sz w:val="20"/>
                <w:szCs w:val="20"/>
              </w:rPr>
            </w:pPr>
            <w:r w:rsidRPr="00FB54CF">
              <w:rPr>
                <w:rFonts w:ascii="Times New Roman" w:hAnsi="Times New Roman"/>
                <w:sz w:val="20"/>
                <w:szCs w:val="20"/>
              </w:rPr>
              <w:t>FERC-606</w:t>
            </w:r>
          </w:p>
        </w:tc>
        <w:tc>
          <w:tcPr>
            <w:tcW w:w="722" w:type="pct"/>
            <w:tcBorders>
              <w:top w:val="single" w:sz="4" w:space="0" w:color="auto"/>
              <w:left w:val="single" w:sz="4" w:space="0" w:color="auto"/>
              <w:bottom w:val="single" w:sz="4" w:space="0" w:color="auto"/>
              <w:right w:val="single" w:sz="4" w:space="0" w:color="auto"/>
            </w:tcBorders>
            <w:vAlign w:val="bottom"/>
            <w:hideMark/>
          </w:tcPr>
          <w:p w14:paraId="00DF5DF9"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6</w:t>
            </w:r>
          </w:p>
        </w:tc>
        <w:tc>
          <w:tcPr>
            <w:tcW w:w="674" w:type="pct"/>
            <w:tcBorders>
              <w:top w:val="single" w:sz="4" w:space="0" w:color="auto"/>
              <w:left w:val="single" w:sz="4" w:space="0" w:color="auto"/>
              <w:bottom w:val="single" w:sz="4" w:space="0" w:color="auto"/>
              <w:right w:val="single" w:sz="4" w:space="0" w:color="auto"/>
            </w:tcBorders>
            <w:vAlign w:val="bottom"/>
            <w:hideMark/>
          </w:tcPr>
          <w:p w14:paraId="1424D8D9"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1</w:t>
            </w:r>
          </w:p>
        </w:tc>
        <w:tc>
          <w:tcPr>
            <w:tcW w:w="720" w:type="pct"/>
            <w:tcBorders>
              <w:top w:val="single" w:sz="4" w:space="0" w:color="auto"/>
              <w:left w:val="single" w:sz="4" w:space="0" w:color="auto"/>
              <w:bottom w:val="single" w:sz="4" w:space="0" w:color="auto"/>
              <w:right w:val="single" w:sz="4" w:space="0" w:color="auto"/>
            </w:tcBorders>
            <w:vAlign w:val="bottom"/>
            <w:hideMark/>
          </w:tcPr>
          <w:p w14:paraId="649FC9EF"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6</w:t>
            </w:r>
          </w:p>
        </w:tc>
        <w:tc>
          <w:tcPr>
            <w:tcW w:w="722" w:type="pct"/>
            <w:tcBorders>
              <w:top w:val="single" w:sz="4" w:space="0" w:color="auto"/>
              <w:left w:val="single" w:sz="4" w:space="0" w:color="auto"/>
              <w:bottom w:val="single" w:sz="4" w:space="0" w:color="auto"/>
              <w:right w:val="single" w:sz="4" w:space="0" w:color="auto"/>
            </w:tcBorders>
            <w:vAlign w:val="bottom"/>
            <w:hideMark/>
          </w:tcPr>
          <w:p w14:paraId="6112B7A4"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 xml:space="preserve">4 hrs; </w:t>
            </w:r>
          </w:p>
          <w:p w14:paraId="261C00B2"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$288</w:t>
            </w:r>
          </w:p>
        </w:tc>
        <w:tc>
          <w:tcPr>
            <w:tcW w:w="913" w:type="pct"/>
            <w:tcBorders>
              <w:top w:val="single" w:sz="4" w:space="0" w:color="auto"/>
              <w:left w:val="single" w:sz="4" w:space="0" w:color="auto"/>
              <w:bottom w:val="single" w:sz="4" w:space="0" w:color="auto"/>
              <w:right w:val="single" w:sz="4" w:space="0" w:color="auto"/>
            </w:tcBorders>
            <w:vAlign w:val="bottom"/>
            <w:hideMark/>
          </w:tcPr>
          <w:p w14:paraId="1B5378A5"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 xml:space="preserve">24 hrs; </w:t>
            </w:r>
          </w:p>
          <w:p w14:paraId="6C480C75"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$1,728</w:t>
            </w:r>
          </w:p>
        </w:tc>
        <w:tc>
          <w:tcPr>
            <w:tcW w:w="626" w:type="pct"/>
            <w:tcBorders>
              <w:top w:val="single" w:sz="4" w:space="0" w:color="auto"/>
              <w:left w:val="single" w:sz="4" w:space="0" w:color="auto"/>
              <w:bottom w:val="single" w:sz="4" w:space="0" w:color="auto"/>
              <w:right w:val="single" w:sz="4" w:space="0" w:color="auto"/>
            </w:tcBorders>
            <w:vAlign w:val="bottom"/>
            <w:hideMark/>
          </w:tcPr>
          <w:p w14:paraId="2312DF63"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$288</w:t>
            </w:r>
          </w:p>
        </w:tc>
      </w:tr>
      <w:tr w:rsidR="00FD4453" w:rsidRPr="00FB54CF" w14:paraId="74B0F5E3" w14:textId="77777777" w:rsidTr="00FD4453">
        <w:trPr>
          <w:cantSplit/>
        </w:trPr>
        <w:tc>
          <w:tcPr>
            <w:tcW w:w="624" w:type="pct"/>
            <w:tcBorders>
              <w:top w:val="single" w:sz="4" w:space="0" w:color="auto"/>
              <w:left w:val="single" w:sz="4" w:space="0" w:color="auto"/>
              <w:bottom w:val="single" w:sz="4" w:space="0" w:color="auto"/>
              <w:right w:val="single" w:sz="4" w:space="0" w:color="auto"/>
            </w:tcBorders>
            <w:vAlign w:val="bottom"/>
            <w:hideMark/>
          </w:tcPr>
          <w:p w14:paraId="690761BF" w14:textId="77777777" w:rsidR="00FB54CF" w:rsidRPr="00FB54CF" w:rsidRDefault="00FB54CF" w:rsidP="00FB54CF">
            <w:pPr>
              <w:spacing w:after="0" w:line="240" w:lineRule="auto"/>
              <w:rPr>
                <w:rFonts w:ascii="Times New Roman" w:hAnsi="Times New Roman"/>
                <w:sz w:val="20"/>
                <w:szCs w:val="20"/>
              </w:rPr>
            </w:pPr>
            <w:r w:rsidRPr="00FB54CF">
              <w:rPr>
                <w:rFonts w:ascii="Times New Roman" w:hAnsi="Times New Roman"/>
                <w:sz w:val="20"/>
                <w:szCs w:val="20"/>
              </w:rPr>
              <w:t>FERC-607</w:t>
            </w:r>
          </w:p>
        </w:tc>
        <w:tc>
          <w:tcPr>
            <w:tcW w:w="722" w:type="pct"/>
            <w:tcBorders>
              <w:top w:val="single" w:sz="4" w:space="0" w:color="auto"/>
              <w:left w:val="single" w:sz="4" w:space="0" w:color="auto"/>
              <w:bottom w:val="single" w:sz="4" w:space="0" w:color="auto"/>
              <w:right w:val="single" w:sz="4" w:space="0" w:color="auto"/>
            </w:tcBorders>
            <w:vAlign w:val="bottom"/>
            <w:hideMark/>
          </w:tcPr>
          <w:p w14:paraId="5B3DDCBD"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1</w:t>
            </w:r>
          </w:p>
        </w:tc>
        <w:tc>
          <w:tcPr>
            <w:tcW w:w="674" w:type="pct"/>
            <w:tcBorders>
              <w:top w:val="single" w:sz="4" w:space="0" w:color="auto"/>
              <w:left w:val="single" w:sz="4" w:space="0" w:color="auto"/>
              <w:bottom w:val="single" w:sz="4" w:space="0" w:color="auto"/>
              <w:right w:val="single" w:sz="4" w:space="0" w:color="auto"/>
            </w:tcBorders>
            <w:vAlign w:val="bottom"/>
            <w:hideMark/>
          </w:tcPr>
          <w:p w14:paraId="6F4A1E44"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1</w:t>
            </w:r>
          </w:p>
        </w:tc>
        <w:tc>
          <w:tcPr>
            <w:tcW w:w="720" w:type="pct"/>
            <w:tcBorders>
              <w:top w:val="single" w:sz="4" w:space="0" w:color="auto"/>
              <w:left w:val="single" w:sz="4" w:space="0" w:color="auto"/>
              <w:bottom w:val="single" w:sz="4" w:space="0" w:color="auto"/>
              <w:right w:val="single" w:sz="4" w:space="0" w:color="auto"/>
            </w:tcBorders>
            <w:vAlign w:val="bottom"/>
            <w:hideMark/>
          </w:tcPr>
          <w:p w14:paraId="09780E38"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1</w:t>
            </w:r>
          </w:p>
        </w:tc>
        <w:tc>
          <w:tcPr>
            <w:tcW w:w="722" w:type="pct"/>
            <w:tcBorders>
              <w:top w:val="single" w:sz="4" w:space="0" w:color="auto"/>
              <w:left w:val="single" w:sz="4" w:space="0" w:color="auto"/>
              <w:bottom w:val="single" w:sz="4" w:space="0" w:color="auto"/>
              <w:right w:val="single" w:sz="4" w:space="0" w:color="auto"/>
            </w:tcBorders>
            <w:vAlign w:val="bottom"/>
            <w:hideMark/>
          </w:tcPr>
          <w:p w14:paraId="5DC62307"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 xml:space="preserve">1 hr.; </w:t>
            </w:r>
          </w:p>
          <w:p w14:paraId="153AB596"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$72</w:t>
            </w:r>
          </w:p>
        </w:tc>
        <w:tc>
          <w:tcPr>
            <w:tcW w:w="913" w:type="pct"/>
            <w:tcBorders>
              <w:top w:val="single" w:sz="4" w:space="0" w:color="auto"/>
              <w:left w:val="single" w:sz="4" w:space="0" w:color="auto"/>
              <w:bottom w:val="single" w:sz="4" w:space="0" w:color="auto"/>
              <w:right w:val="single" w:sz="4" w:space="0" w:color="auto"/>
            </w:tcBorders>
            <w:vAlign w:val="bottom"/>
            <w:hideMark/>
          </w:tcPr>
          <w:p w14:paraId="08550081"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 xml:space="preserve">1 hr.; </w:t>
            </w:r>
          </w:p>
          <w:p w14:paraId="40011381"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$72</w:t>
            </w:r>
          </w:p>
        </w:tc>
        <w:tc>
          <w:tcPr>
            <w:tcW w:w="626" w:type="pct"/>
            <w:tcBorders>
              <w:top w:val="single" w:sz="4" w:space="0" w:color="auto"/>
              <w:left w:val="single" w:sz="4" w:space="0" w:color="auto"/>
              <w:bottom w:val="single" w:sz="4" w:space="0" w:color="auto"/>
              <w:right w:val="single" w:sz="4" w:space="0" w:color="auto"/>
            </w:tcBorders>
            <w:vAlign w:val="bottom"/>
            <w:hideMark/>
          </w:tcPr>
          <w:p w14:paraId="04561003" w14:textId="77777777" w:rsidR="00FB54CF" w:rsidRPr="00FB54CF" w:rsidRDefault="00FB54CF" w:rsidP="00FB54CF">
            <w:pPr>
              <w:spacing w:after="0" w:line="240" w:lineRule="auto"/>
              <w:jc w:val="right"/>
              <w:rPr>
                <w:rFonts w:ascii="Times New Roman" w:hAnsi="Times New Roman"/>
                <w:sz w:val="20"/>
                <w:szCs w:val="20"/>
              </w:rPr>
            </w:pPr>
            <w:r w:rsidRPr="00FB54CF">
              <w:rPr>
                <w:rFonts w:ascii="Times New Roman" w:hAnsi="Times New Roman"/>
                <w:sz w:val="20"/>
                <w:szCs w:val="20"/>
              </w:rPr>
              <w:t>$72</w:t>
            </w:r>
          </w:p>
        </w:tc>
      </w:tr>
      <w:tr w:rsidR="00FD4453" w:rsidRPr="00FB54CF" w14:paraId="113D4E20" w14:textId="77777777" w:rsidTr="00FD4453">
        <w:trPr>
          <w:cantSplit/>
        </w:trPr>
        <w:tc>
          <w:tcPr>
            <w:tcW w:w="624" w:type="pct"/>
            <w:tcBorders>
              <w:top w:val="single" w:sz="4" w:space="0" w:color="auto"/>
              <w:left w:val="single" w:sz="4" w:space="0" w:color="auto"/>
              <w:bottom w:val="single" w:sz="4" w:space="0" w:color="auto"/>
              <w:right w:val="single" w:sz="4" w:space="0" w:color="auto"/>
            </w:tcBorders>
            <w:vAlign w:val="bottom"/>
            <w:hideMark/>
          </w:tcPr>
          <w:p w14:paraId="43D60B83" w14:textId="77777777" w:rsidR="00FB54CF" w:rsidRPr="00FB54CF" w:rsidRDefault="00FB54CF" w:rsidP="00FB54CF">
            <w:pPr>
              <w:spacing w:after="0" w:line="240" w:lineRule="auto"/>
              <w:rPr>
                <w:rFonts w:ascii="Times New Roman" w:hAnsi="Times New Roman"/>
                <w:b/>
                <w:sz w:val="20"/>
                <w:szCs w:val="20"/>
              </w:rPr>
            </w:pPr>
            <w:r w:rsidRPr="00FB54CF">
              <w:rPr>
                <w:rFonts w:ascii="Times New Roman" w:hAnsi="Times New Roman"/>
                <w:b/>
                <w:sz w:val="20"/>
                <w:szCs w:val="20"/>
              </w:rPr>
              <w:t>TOTAL</w:t>
            </w:r>
          </w:p>
        </w:tc>
        <w:tc>
          <w:tcPr>
            <w:tcW w:w="722" w:type="pct"/>
            <w:tcBorders>
              <w:top w:val="single" w:sz="4" w:space="0" w:color="auto"/>
              <w:left w:val="single" w:sz="4" w:space="0" w:color="auto"/>
              <w:bottom w:val="single" w:sz="4" w:space="0" w:color="auto"/>
              <w:right w:val="single" w:sz="4" w:space="0" w:color="auto"/>
            </w:tcBorders>
            <w:vAlign w:val="bottom"/>
            <w:hideMark/>
          </w:tcPr>
          <w:p w14:paraId="058478C9" w14:textId="77777777" w:rsidR="00FB54CF" w:rsidRPr="00FB54CF" w:rsidRDefault="00FB54CF" w:rsidP="00FB54CF">
            <w:pPr>
              <w:spacing w:after="0" w:line="240" w:lineRule="auto"/>
              <w:jc w:val="right"/>
              <w:rPr>
                <w:rFonts w:ascii="Times New Roman" w:hAnsi="Times New Roman"/>
                <w:b/>
                <w:sz w:val="20"/>
                <w:szCs w:val="20"/>
              </w:rPr>
            </w:pPr>
            <w:r w:rsidRPr="00FB54CF">
              <w:rPr>
                <w:rFonts w:ascii="Times New Roman" w:hAnsi="Times New Roman"/>
                <w:b/>
                <w:sz w:val="20"/>
                <w:szCs w:val="20"/>
              </w:rPr>
              <w:t>7</w:t>
            </w:r>
          </w:p>
        </w:tc>
        <w:tc>
          <w:tcPr>
            <w:tcW w:w="674" w:type="pct"/>
            <w:tcBorders>
              <w:top w:val="single" w:sz="4" w:space="0" w:color="auto"/>
              <w:left w:val="single" w:sz="4" w:space="0" w:color="auto"/>
              <w:bottom w:val="single" w:sz="4" w:space="0" w:color="auto"/>
              <w:right w:val="single" w:sz="4" w:space="0" w:color="auto"/>
            </w:tcBorders>
            <w:shd w:val="clear" w:color="auto" w:fill="BFBFBF"/>
            <w:vAlign w:val="bottom"/>
          </w:tcPr>
          <w:p w14:paraId="461A627A" w14:textId="77777777" w:rsidR="00FB54CF" w:rsidRPr="00FB54CF" w:rsidRDefault="00FB54CF" w:rsidP="00FB54CF">
            <w:pPr>
              <w:spacing w:after="0" w:line="240" w:lineRule="auto"/>
              <w:jc w:val="right"/>
              <w:rPr>
                <w:rFonts w:ascii="Times New Roman" w:hAnsi="Times New Roman"/>
                <w:b/>
                <w:sz w:val="20"/>
                <w:szCs w:val="20"/>
              </w:rPr>
            </w:pPr>
          </w:p>
        </w:tc>
        <w:tc>
          <w:tcPr>
            <w:tcW w:w="720" w:type="pct"/>
            <w:tcBorders>
              <w:top w:val="single" w:sz="4" w:space="0" w:color="auto"/>
              <w:left w:val="single" w:sz="4" w:space="0" w:color="auto"/>
              <w:bottom w:val="single" w:sz="4" w:space="0" w:color="auto"/>
              <w:right w:val="single" w:sz="4" w:space="0" w:color="auto"/>
            </w:tcBorders>
            <w:shd w:val="clear" w:color="auto" w:fill="BFBFBF"/>
            <w:vAlign w:val="bottom"/>
          </w:tcPr>
          <w:p w14:paraId="7D40C9A5" w14:textId="77777777" w:rsidR="00FB54CF" w:rsidRPr="00FB54CF" w:rsidRDefault="00FB54CF" w:rsidP="00FB54CF">
            <w:pPr>
              <w:spacing w:after="0" w:line="240" w:lineRule="auto"/>
              <w:jc w:val="right"/>
              <w:rPr>
                <w:rFonts w:ascii="Times New Roman" w:hAnsi="Times New Roman"/>
                <w:b/>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BFBFBF"/>
            <w:vAlign w:val="bottom"/>
          </w:tcPr>
          <w:p w14:paraId="3984AB4A" w14:textId="77777777" w:rsidR="00FB54CF" w:rsidRPr="00FB54CF" w:rsidRDefault="00FB54CF" w:rsidP="00FB54CF">
            <w:pPr>
              <w:spacing w:after="0" w:line="240" w:lineRule="auto"/>
              <w:jc w:val="right"/>
              <w:rPr>
                <w:rFonts w:ascii="Times New Roman" w:hAnsi="Times New Roman"/>
                <w:b/>
                <w:sz w:val="20"/>
                <w:szCs w:val="20"/>
              </w:rPr>
            </w:pPr>
          </w:p>
        </w:tc>
        <w:tc>
          <w:tcPr>
            <w:tcW w:w="913" w:type="pct"/>
            <w:tcBorders>
              <w:top w:val="single" w:sz="4" w:space="0" w:color="auto"/>
              <w:left w:val="single" w:sz="4" w:space="0" w:color="auto"/>
              <w:bottom w:val="single" w:sz="4" w:space="0" w:color="auto"/>
              <w:right w:val="single" w:sz="4" w:space="0" w:color="auto"/>
            </w:tcBorders>
            <w:vAlign w:val="bottom"/>
            <w:hideMark/>
          </w:tcPr>
          <w:p w14:paraId="31AC0263" w14:textId="77777777" w:rsidR="00FB54CF" w:rsidRPr="00FB54CF" w:rsidRDefault="00FB54CF" w:rsidP="00FB54CF">
            <w:pPr>
              <w:spacing w:after="0" w:line="240" w:lineRule="auto"/>
              <w:jc w:val="right"/>
              <w:rPr>
                <w:rFonts w:ascii="Times New Roman" w:hAnsi="Times New Roman"/>
                <w:b/>
                <w:sz w:val="20"/>
                <w:szCs w:val="20"/>
              </w:rPr>
            </w:pPr>
            <w:r w:rsidRPr="00FB54CF">
              <w:rPr>
                <w:rFonts w:ascii="Times New Roman" w:hAnsi="Times New Roman"/>
                <w:b/>
                <w:sz w:val="20"/>
                <w:szCs w:val="20"/>
              </w:rPr>
              <w:t xml:space="preserve">25 hrs; </w:t>
            </w:r>
          </w:p>
          <w:p w14:paraId="2EE454E6" w14:textId="77777777" w:rsidR="00FB54CF" w:rsidRPr="00FB54CF" w:rsidRDefault="00FB54CF" w:rsidP="00FB54CF">
            <w:pPr>
              <w:spacing w:after="0" w:line="240" w:lineRule="auto"/>
              <w:jc w:val="right"/>
              <w:rPr>
                <w:rFonts w:ascii="Times New Roman" w:hAnsi="Times New Roman"/>
                <w:b/>
                <w:sz w:val="20"/>
                <w:szCs w:val="20"/>
              </w:rPr>
            </w:pPr>
            <w:r w:rsidRPr="00FB54CF">
              <w:rPr>
                <w:rFonts w:ascii="Times New Roman" w:hAnsi="Times New Roman"/>
                <w:b/>
                <w:sz w:val="20"/>
                <w:szCs w:val="20"/>
              </w:rPr>
              <w:t>$1,800</w:t>
            </w:r>
          </w:p>
        </w:tc>
        <w:tc>
          <w:tcPr>
            <w:tcW w:w="626" w:type="pct"/>
            <w:tcBorders>
              <w:top w:val="single" w:sz="4" w:space="0" w:color="auto"/>
              <w:left w:val="single" w:sz="4" w:space="0" w:color="auto"/>
              <w:bottom w:val="single" w:sz="4" w:space="0" w:color="auto"/>
              <w:right w:val="single" w:sz="4" w:space="0" w:color="auto"/>
            </w:tcBorders>
            <w:shd w:val="clear" w:color="auto" w:fill="BFBFBF"/>
            <w:vAlign w:val="bottom"/>
          </w:tcPr>
          <w:p w14:paraId="0899D998" w14:textId="77777777" w:rsidR="00FB54CF" w:rsidRPr="00FB54CF" w:rsidRDefault="00FB54CF" w:rsidP="00FB54CF">
            <w:pPr>
              <w:spacing w:after="0" w:line="240" w:lineRule="auto"/>
              <w:jc w:val="right"/>
              <w:rPr>
                <w:rFonts w:ascii="Times New Roman" w:hAnsi="Times New Roman"/>
                <w:b/>
                <w:sz w:val="20"/>
                <w:szCs w:val="20"/>
              </w:rPr>
            </w:pPr>
          </w:p>
        </w:tc>
      </w:tr>
    </w:tbl>
    <w:p w14:paraId="77EAD40C" w14:textId="77777777" w:rsidR="00FB54CF" w:rsidRDefault="00FB54CF" w:rsidP="00071FE9">
      <w:pPr>
        <w:spacing w:after="0" w:line="240" w:lineRule="auto"/>
        <w:rPr>
          <w:rFonts w:ascii="Times New Roman" w:hAnsi="Times New Roman"/>
          <w:sz w:val="24"/>
          <w:szCs w:val="24"/>
        </w:rPr>
      </w:pPr>
    </w:p>
    <w:p w14:paraId="06D5D9EE" w14:textId="77777777" w:rsidR="009349F8" w:rsidRPr="00071FE9" w:rsidRDefault="009349F8" w:rsidP="005F0E5A">
      <w:pPr>
        <w:pStyle w:val="ListParagraph"/>
        <w:numPr>
          <w:ilvl w:val="0"/>
          <w:numId w:val="17"/>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 OF THE TOTAL ANNUAL COST BURDEN TO RESPONDENTS</w:t>
      </w:r>
    </w:p>
    <w:p w14:paraId="551645D1" w14:textId="77777777" w:rsidR="009349F8" w:rsidRPr="00071FE9" w:rsidRDefault="009349F8" w:rsidP="00071FE9">
      <w:pPr>
        <w:pStyle w:val="ListParagraph"/>
        <w:spacing w:after="0" w:line="240" w:lineRule="auto"/>
        <w:ind w:left="0"/>
        <w:rPr>
          <w:rFonts w:ascii="Times New Roman" w:hAnsi="Times New Roman"/>
          <w:b/>
          <w:sz w:val="24"/>
          <w:szCs w:val="24"/>
        </w:rPr>
      </w:pPr>
    </w:p>
    <w:p w14:paraId="52815245" w14:textId="77777777" w:rsidR="009349F8" w:rsidRDefault="00ED5E91" w:rsidP="00071FE9">
      <w:pPr>
        <w:spacing w:after="0" w:line="240" w:lineRule="auto"/>
        <w:rPr>
          <w:rFonts w:ascii="Times New Roman" w:hAnsi="Times New Roman"/>
          <w:sz w:val="24"/>
          <w:szCs w:val="24"/>
        </w:rPr>
      </w:pPr>
      <w:r>
        <w:rPr>
          <w:rFonts w:ascii="Times New Roman" w:hAnsi="Times New Roman"/>
          <w:sz w:val="24"/>
          <w:szCs w:val="24"/>
        </w:rPr>
        <w:lastRenderedPageBreak/>
        <w:t>Commission staff conducted analyses of past filings and has concluded that t</w:t>
      </w:r>
      <w:r w:rsidR="0093634A">
        <w:rPr>
          <w:rFonts w:ascii="Times New Roman" w:hAnsi="Times New Roman"/>
          <w:sz w:val="24"/>
          <w:szCs w:val="24"/>
        </w:rPr>
        <w:t>here are no</w:t>
      </w:r>
      <w:r w:rsidR="00064F1C">
        <w:rPr>
          <w:rFonts w:ascii="Times New Roman" w:hAnsi="Times New Roman"/>
          <w:sz w:val="24"/>
          <w:szCs w:val="24"/>
        </w:rPr>
        <w:t xml:space="preserve"> capital costs associated with </w:t>
      </w:r>
      <w:r w:rsidR="0093634A">
        <w:rPr>
          <w:rFonts w:ascii="Times New Roman" w:hAnsi="Times New Roman"/>
          <w:sz w:val="24"/>
          <w:szCs w:val="24"/>
        </w:rPr>
        <w:t>either the FERC-606 or the FERC-607.  Additionally, there is no operation, maintenanc</w:t>
      </w:r>
      <w:r>
        <w:rPr>
          <w:rFonts w:ascii="Times New Roman" w:hAnsi="Times New Roman"/>
          <w:sz w:val="24"/>
          <w:szCs w:val="24"/>
        </w:rPr>
        <w:t>e, or purchase of services cost</w:t>
      </w:r>
      <w:r w:rsidR="0093634A">
        <w:rPr>
          <w:rFonts w:ascii="Times New Roman" w:hAnsi="Times New Roman"/>
          <w:sz w:val="24"/>
          <w:szCs w:val="24"/>
        </w:rPr>
        <w:t xml:space="preserve"> associated with either collection. </w:t>
      </w:r>
    </w:p>
    <w:p w14:paraId="463DF7C2" w14:textId="77777777" w:rsidR="0093634A" w:rsidRPr="00071FE9" w:rsidRDefault="0093634A" w:rsidP="00071FE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170"/>
      </w:tblGrid>
      <w:tr w:rsidR="00BC1960" w:rsidRPr="00071FE9" w14:paraId="441B399E" w14:textId="77777777" w:rsidTr="00071FE9">
        <w:tc>
          <w:tcPr>
            <w:tcW w:w="6138" w:type="dxa"/>
            <w:shd w:val="clear" w:color="auto" w:fill="auto"/>
          </w:tcPr>
          <w:p w14:paraId="5256AD62" w14:textId="77777777" w:rsidR="00BC1960" w:rsidRPr="00071FE9" w:rsidRDefault="00BC1960"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Total Capital and Start-up Cost</w:t>
            </w:r>
          </w:p>
        </w:tc>
        <w:tc>
          <w:tcPr>
            <w:tcW w:w="1170" w:type="dxa"/>
            <w:shd w:val="clear" w:color="auto" w:fill="auto"/>
          </w:tcPr>
          <w:p w14:paraId="6246759F" w14:textId="77777777" w:rsidR="00BC1960" w:rsidRPr="00071FE9" w:rsidRDefault="00BC1960" w:rsidP="00071FE9">
            <w:pPr>
              <w:widowControl w:val="0"/>
              <w:autoSpaceDE w:val="0"/>
              <w:autoSpaceDN w:val="0"/>
              <w:adjustRightInd w:val="0"/>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$0</w:t>
            </w:r>
          </w:p>
        </w:tc>
      </w:tr>
      <w:tr w:rsidR="00BC1960" w:rsidRPr="00071FE9" w14:paraId="6CDD826A" w14:textId="77777777" w:rsidTr="00071FE9">
        <w:tc>
          <w:tcPr>
            <w:tcW w:w="6138" w:type="dxa"/>
            <w:shd w:val="clear" w:color="auto" w:fill="auto"/>
          </w:tcPr>
          <w:p w14:paraId="637E289B" w14:textId="77777777" w:rsidR="00BC1960" w:rsidRPr="00071FE9" w:rsidRDefault="00BC1960"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Total Operation, Maintenance, and Purchase of Services</w:t>
            </w:r>
          </w:p>
        </w:tc>
        <w:tc>
          <w:tcPr>
            <w:tcW w:w="1170" w:type="dxa"/>
            <w:shd w:val="clear" w:color="auto" w:fill="auto"/>
          </w:tcPr>
          <w:p w14:paraId="79E8A3B6" w14:textId="77777777" w:rsidR="00BC1960" w:rsidRPr="00071FE9" w:rsidRDefault="00BC1960" w:rsidP="00071FE9">
            <w:pPr>
              <w:widowControl w:val="0"/>
              <w:autoSpaceDE w:val="0"/>
              <w:autoSpaceDN w:val="0"/>
              <w:adjustRightInd w:val="0"/>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$0</w:t>
            </w:r>
          </w:p>
        </w:tc>
      </w:tr>
    </w:tbl>
    <w:p w14:paraId="08E0FBBF" w14:textId="77777777" w:rsidR="009349F8" w:rsidRPr="00071FE9" w:rsidRDefault="009349F8" w:rsidP="00071FE9">
      <w:pPr>
        <w:spacing w:after="0" w:line="240" w:lineRule="auto"/>
        <w:rPr>
          <w:rFonts w:ascii="Times New Roman" w:hAnsi="Times New Roman"/>
          <w:sz w:val="24"/>
          <w:szCs w:val="24"/>
        </w:rPr>
      </w:pPr>
    </w:p>
    <w:p w14:paraId="3A267CC5" w14:textId="77777777" w:rsidR="009349F8" w:rsidRPr="00071FE9" w:rsidRDefault="009349F8" w:rsidP="005F0E5A">
      <w:pPr>
        <w:pStyle w:val="ListParagraph"/>
        <w:numPr>
          <w:ilvl w:val="0"/>
          <w:numId w:val="17"/>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ESTIMATED ANNUALIZED COST TO FEDERAL GOVERNMENT</w:t>
      </w:r>
    </w:p>
    <w:p w14:paraId="718D55C0" w14:textId="77777777" w:rsidR="009349F8" w:rsidRPr="00071FE9" w:rsidRDefault="009349F8" w:rsidP="00071FE9">
      <w:pPr>
        <w:spacing w:after="0" w:line="240" w:lineRule="auto"/>
        <w:rPr>
          <w:rFonts w:ascii="Times New Roman" w:hAnsi="Times New Roman"/>
          <w:sz w:val="24"/>
          <w:szCs w:val="24"/>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2326"/>
        <w:gridCol w:w="2880"/>
      </w:tblGrid>
      <w:tr w:rsidR="009349F8" w:rsidRPr="00071FE9" w14:paraId="0EB31EDC" w14:textId="77777777" w:rsidTr="00064F1C">
        <w:tc>
          <w:tcPr>
            <w:tcW w:w="3182" w:type="dxa"/>
            <w:shd w:val="clear" w:color="auto" w:fill="CCCCCC"/>
          </w:tcPr>
          <w:p w14:paraId="561F8BD4" w14:textId="77777777" w:rsidR="009349F8" w:rsidRPr="00071FE9" w:rsidRDefault="009349F8" w:rsidP="00071FE9">
            <w:pPr>
              <w:spacing w:after="0" w:line="240" w:lineRule="auto"/>
              <w:rPr>
                <w:rFonts w:ascii="Times New Roman" w:hAnsi="Times New Roman"/>
                <w:sz w:val="24"/>
                <w:szCs w:val="24"/>
              </w:rPr>
            </w:pPr>
          </w:p>
        </w:tc>
        <w:tc>
          <w:tcPr>
            <w:tcW w:w="2326" w:type="dxa"/>
            <w:shd w:val="clear" w:color="auto" w:fill="CCCCCC"/>
          </w:tcPr>
          <w:p w14:paraId="13441F35" w14:textId="3A4DFDC3" w:rsidR="009349F8" w:rsidRPr="00071FE9" w:rsidRDefault="009349F8" w:rsidP="003B1420">
            <w:pPr>
              <w:spacing w:after="0" w:line="240" w:lineRule="auto"/>
              <w:rPr>
                <w:rFonts w:ascii="Times New Roman" w:hAnsi="Times New Roman"/>
                <w:b/>
                <w:sz w:val="24"/>
                <w:szCs w:val="24"/>
              </w:rPr>
            </w:pPr>
            <w:r w:rsidRPr="00071FE9">
              <w:rPr>
                <w:rFonts w:ascii="Times New Roman" w:hAnsi="Times New Roman"/>
                <w:b/>
                <w:sz w:val="24"/>
                <w:szCs w:val="24"/>
              </w:rPr>
              <w:t xml:space="preserve">Number of </w:t>
            </w:r>
            <w:r w:rsidR="00E12F12">
              <w:rPr>
                <w:rFonts w:ascii="Times New Roman" w:hAnsi="Times New Roman"/>
                <w:b/>
                <w:sz w:val="24"/>
                <w:szCs w:val="24"/>
              </w:rPr>
              <w:t xml:space="preserve">FERC </w:t>
            </w:r>
            <w:r w:rsidR="003B1420">
              <w:rPr>
                <w:rFonts w:ascii="Times New Roman" w:hAnsi="Times New Roman"/>
                <w:b/>
                <w:sz w:val="24"/>
                <w:szCs w:val="24"/>
              </w:rPr>
              <w:t>Work Hours</w:t>
            </w:r>
          </w:p>
        </w:tc>
        <w:tc>
          <w:tcPr>
            <w:tcW w:w="2880" w:type="dxa"/>
            <w:shd w:val="clear" w:color="auto" w:fill="CCCCCC"/>
          </w:tcPr>
          <w:p w14:paraId="376DE9E7" w14:textId="77777777"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t>Estimated Annual Federal Cost</w:t>
            </w:r>
          </w:p>
        </w:tc>
      </w:tr>
      <w:tr w:rsidR="009349F8" w:rsidRPr="00071FE9" w14:paraId="13F8656A" w14:textId="77777777" w:rsidTr="00064F1C">
        <w:tc>
          <w:tcPr>
            <w:tcW w:w="3182" w:type="dxa"/>
          </w:tcPr>
          <w:p w14:paraId="08B38C88" w14:textId="77777777"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 xml:space="preserve">Analysis and Processing of </w:t>
            </w:r>
            <w:r w:rsidR="002A1BCC">
              <w:rPr>
                <w:rFonts w:ascii="Times New Roman" w:hAnsi="Times New Roman"/>
                <w:sz w:val="24"/>
                <w:szCs w:val="24"/>
              </w:rPr>
              <w:t xml:space="preserve">FERC-606 and FERC-607 </w:t>
            </w:r>
            <w:r w:rsidRPr="00071FE9">
              <w:rPr>
                <w:rFonts w:ascii="Times New Roman" w:hAnsi="Times New Roman"/>
                <w:sz w:val="24"/>
                <w:szCs w:val="24"/>
              </w:rPr>
              <w:t>filings</w:t>
            </w:r>
            <w:r w:rsidRPr="00071FE9">
              <w:rPr>
                <w:rStyle w:val="FootnoteReference"/>
                <w:rFonts w:ascii="Times New Roman" w:hAnsi="Times New Roman"/>
                <w:sz w:val="24"/>
                <w:szCs w:val="24"/>
                <w:vertAlign w:val="superscript"/>
              </w:rPr>
              <w:footnoteReference w:id="6"/>
            </w:r>
          </w:p>
        </w:tc>
        <w:tc>
          <w:tcPr>
            <w:tcW w:w="2326" w:type="dxa"/>
            <w:vAlign w:val="bottom"/>
          </w:tcPr>
          <w:p w14:paraId="6B22F021" w14:textId="113BC7F7" w:rsidR="009349F8" w:rsidRPr="001D2971" w:rsidRDefault="00DD14E0" w:rsidP="00071FE9">
            <w:pPr>
              <w:spacing w:after="0" w:line="240" w:lineRule="auto"/>
              <w:jc w:val="right"/>
              <w:rPr>
                <w:rFonts w:ascii="Times New Roman" w:hAnsi="Times New Roman"/>
                <w:sz w:val="24"/>
                <w:szCs w:val="24"/>
              </w:rPr>
            </w:pPr>
            <w:r w:rsidRPr="001D2971">
              <w:rPr>
                <w:rFonts w:ascii="Times New Roman" w:hAnsi="Times New Roman"/>
                <w:sz w:val="24"/>
                <w:szCs w:val="24"/>
              </w:rPr>
              <w:t>28</w:t>
            </w:r>
          </w:p>
        </w:tc>
        <w:tc>
          <w:tcPr>
            <w:tcW w:w="2880" w:type="dxa"/>
            <w:vAlign w:val="bottom"/>
          </w:tcPr>
          <w:p w14:paraId="36632111" w14:textId="474B39B4" w:rsidR="009349F8" w:rsidRPr="001D2971" w:rsidRDefault="00DD14E0" w:rsidP="00071FE9">
            <w:pPr>
              <w:spacing w:after="0" w:line="240" w:lineRule="auto"/>
              <w:jc w:val="right"/>
              <w:rPr>
                <w:rFonts w:ascii="Times New Roman" w:hAnsi="Times New Roman"/>
                <w:sz w:val="24"/>
                <w:szCs w:val="24"/>
              </w:rPr>
            </w:pPr>
            <w:r w:rsidRPr="001D2971">
              <w:rPr>
                <w:rFonts w:ascii="Times New Roman" w:hAnsi="Times New Roman"/>
                <w:sz w:val="24"/>
                <w:szCs w:val="24"/>
              </w:rPr>
              <w:t>$2,016</w:t>
            </w:r>
          </w:p>
        </w:tc>
      </w:tr>
      <w:tr w:rsidR="009349F8" w:rsidRPr="00071FE9" w14:paraId="748EACC5" w14:textId="77777777" w:rsidTr="00064F1C">
        <w:tc>
          <w:tcPr>
            <w:tcW w:w="3182" w:type="dxa"/>
          </w:tcPr>
          <w:p w14:paraId="3B575DFD" w14:textId="77777777"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PRA</w:t>
            </w:r>
            <w:r w:rsidRPr="00071FE9">
              <w:rPr>
                <w:rStyle w:val="FootnoteReference"/>
                <w:rFonts w:ascii="Times New Roman" w:hAnsi="Times New Roman"/>
                <w:sz w:val="24"/>
                <w:szCs w:val="24"/>
                <w:vertAlign w:val="superscript"/>
              </w:rPr>
              <w:footnoteReference w:id="7"/>
            </w:r>
            <w:r w:rsidRPr="00071FE9">
              <w:rPr>
                <w:rFonts w:ascii="Times New Roman" w:hAnsi="Times New Roman"/>
                <w:sz w:val="24"/>
                <w:szCs w:val="24"/>
              </w:rPr>
              <w:t xml:space="preserve"> Administrative Cost</w:t>
            </w:r>
            <w:r w:rsidRPr="00071FE9">
              <w:rPr>
                <w:rStyle w:val="FootnoteReference"/>
                <w:rFonts w:ascii="Times New Roman" w:hAnsi="Times New Roman"/>
                <w:sz w:val="24"/>
                <w:szCs w:val="24"/>
                <w:vertAlign w:val="superscript"/>
              </w:rPr>
              <w:footnoteReference w:id="8"/>
            </w:r>
          </w:p>
        </w:tc>
        <w:tc>
          <w:tcPr>
            <w:tcW w:w="2326" w:type="dxa"/>
            <w:shd w:val="clear" w:color="auto" w:fill="D9D9D9"/>
            <w:vAlign w:val="center"/>
          </w:tcPr>
          <w:p w14:paraId="21BD7B85" w14:textId="77777777" w:rsidR="009349F8" w:rsidRPr="001D2971" w:rsidRDefault="009349F8" w:rsidP="00071FE9">
            <w:pPr>
              <w:spacing w:after="0" w:line="240" w:lineRule="auto"/>
              <w:jc w:val="right"/>
              <w:rPr>
                <w:rFonts w:ascii="Times New Roman" w:hAnsi="Times New Roman"/>
                <w:sz w:val="24"/>
                <w:szCs w:val="24"/>
              </w:rPr>
            </w:pPr>
          </w:p>
        </w:tc>
        <w:tc>
          <w:tcPr>
            <w:tcW w:w="2880" w:type="dxa"/>
            <w:vAlign w:val="center"/>
          </w:tcPr>
          <w:p w14:paraId="7D38512A" w14:textId="77777777" w:rsidR="009349F8" w:rsidRPr="001D2971" w:rsidRDefault="009349F8" w:rsidP="00064F1C">
            <w:pPr>
              <w:spacing w:after="0" w:line="240" w:lineRule="auto"/>
              <w:jc w:val="right"/>
              <w:rPr>
                <w:rFonts w:ascii="Times New Roman" w:hAnsi="Times New Roman"/>
                <w:sz w:val="24"/>
                <w:szCs w:val="24"/>
              </w:rPr>
            </w:pPr>
            <w:r w:rsidRPr="001D2971">
              <w:rPr>
                <w:rFonts w:ascii="Times New Roman" w:hAnsi="Times New Roman"/>
                <w:sz w:val="24"/>
                <w:szCs w:val="24"/>
              </w:rPr>
              <w:t>$</w:t>
            </w:r>
            <w:r w:rsidR="00064F1C" w:rsidRPr="001D2971">
              <w:rPr>
                <w:rFonts w:ascii="Times New Roman" w:hAnsi="Times New Roman"/>
                <w:sz w:val="24"/>
                <w:szCs w:val="24"/>
              </w:rPr>
              <w:t>5,193</w:t>
            </w:r>
          </w:p>
        </w:tc>
      </w:tr>
      <w:tr w:rsidR="009349F8" w:rsidRPr="002A1BCC" w14:paraId="765FDD90" w14:textId="77777777" w:rsidTr="00064F1C">
        <w:tc>
          <w:tcPr>
            <w:tcW w:w="3182" w:type="dxa"/>
          </w:tcPr>
          <w:p w14:paraId="2086ECCB" w14:textId="77777777"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t>FERC Total</w:t>
            </w:r>
          </w:p>
        </w:tc>
        <w:tc>
          <w:tcPr>
            <w:tcW w:w="2326" w:type="dxa"/>
            <w:shd w:val="clear" w:color="auto" w:fill="D9D9D9"/>
            <w:vAlign w:val="center"/>
          </w:tcPr>
          <w:p w14:paraId="7336D886" w14:textId="77777777" w:rsidR="009349F8" w:rsidRPr="001D2971" w:rsidRDefault="009349F8" w:rsidP="00071FE9">
            <w:pPr>
              <w:spacing w:after="0" w:line="240" w:lineRule="auto"/>
              <w:jc w:val="right"/>
              <w:rPr>
                <w:rFonts w:ascii="Times New Roman" w:hAnsi="Times New Roman"/>
                <w:sz w:val="24"/>
                <w:szCs w:val="24"/>
              </w:rPr>
            </w:pPr>
          </w:p>
        </w:tc>
        <w:tc>
          <w:tcPr>
            <w:tcW w:w="2880" w:type="dxa"/>
            <w:vAlign w:val="center"/>
          </w:tcPr>
          <w:p w14:paraId="1A1D700A" w14:textId="6A6063FC" w:rsidR="009349F8" w:rsidRPr="001D2971" w:rsidRDefault="00EA3155" w:rsidP="00EA3155">
            <w:pPr>
              <w:spacing w:after="0" w:line="240" w:lineRule="auto"/>
              <w:jc w:val="right"/>
              <w:rPr>
                <w:rFonts w:ascii="Times New Roman" w:hAnsi="Times New Roman"/>
                <w:sz w:val="24"/>
                <w:szCs w:val="24"/>
              </w:rPr>
            </w:pPr>
            <w:r w:rsidRPr="001D2971">
              <w:rPr>
                <w:rFonts w:ascii="Times New Roman" w:hAnsi="Times New Roman"/>
                <w:sz w:val="24"/>
                <w:szCs w:val="24"/>
              </w:rPr>
              <w:t>$7,209</w:t>
            </w:r>
          </w:p>
        </w:tc>
      </w:tr>
    </w:tbl>
    <w:p w14:paraId="56C3C46A" w14:textId="77777777" w:rsidR="009349F8" w:rsidRPr="00071FE9" w:rsidRDefault="009349F8" w:rsidP="00071FE9">
      <w:pPr>
        <w:spacing w:after="0" w:line="240" w:lineRule="auto"/>
        <w:rPr>
          <w:rFonts w:ascii="Times New Roman" w:hAnsi="Times New Roman"/>
          <w:sz w:val="24"/>
          <w:szCs w:val="24"/>
        </w:rPr>
      </w:pPr>
    </w:p>
    <w:p w14:paraId="2F52EDF3" w14:textId="0EE8AE2A" w:rsidR="009349F8"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 xml:space="preserve">The Commission bases its estimate of the “Analysis and Processing of filings” cost to the </w:t>
      </w:r>
      <w:r w:rsidR="00E12F12">
        <w:rPr>
          <w:rFonts w:ascii="Times New Roman" w:hAnsi="Times New Roman"/>
          <w:sz w:val="24"/>
          <w:szCs w:val="24"/>
        </w:rPr>
        <w:t>FERC</w:t>
      </w:r>
      <w:r w:rsidRPr="00071FE9">
        <w:rPr>
          <w:rFonts w:ascii="Times New Roman" w:hAnsi="Times New Roman"/>
          <w:sz w:val="24"/>
          <w:szCs w:val="24"/>
        </w:rPr>
        <w:t xml:space="preserve"> on salaries and benefits for professional and clerical support.  This estimated cost represents staff analysis, decision-making, and review of any actual filings submitted in response to the information collection.</w:t>
      </w:r>
      <w:r w:rsidR="00E12F12">
        <w:rPr>
          <w:rFonts w:ascii="Times New Roman" w:hAnsi="Times New Roman"/>
          <w:sz w:val="24"/>
          <w:szCs w:val="24"/>
        </w:rPr>
        <w:t xml:space="preserve">  [Note that the time and associated burden and cost of preparing </w:t>
      </w:r>
      <w:r w:rsidR="002A447D">
        <w:rPr>
          <w:rFonts w:ascii="Times New Roman" w:hAnsi="Times New Roman"/>
          <w:sz w:val="24"/>
          <w:szCs w:val="24"/>
        </w:rPr>
        <w:t xml:space="preserve">and submitting </w:t>
      </w:r>
      <w:r w:rsidR="00E12F12">
        <w:rPr>
          <w:rFonts w:ascii="Times New Roman" w:hAnsi="Times New Roman"/>
          <w:sz w:val="24"/>
          <w:szCs w:val="24"/>
        </w:rPr>
        <w:t xml:space="preserve">the filings </w:t>
      </w:r>
      <w:r w:rsidR="002A447D">
        <w:rPr>
          <w:rFonts w:ascii="Times New Roman" w:hAnsi="Times New Roman"/>
          <w:sz w:val="24"/>
          <w:szCs w:val="24"/>
        </w:rPr>
        <w:t xml:space="preserve">to FERC </w:t>
      </w:r>
      <w:r w:rsidR="00E12F12">
        <w:rPr>
          <w:rFonts w:ascii="Times New Roman" w:hAnsi="Times New Roman"/>
          <w:sz w:val="24"/>
          <w:szCs w:val="24"/>
        </w:rPr>
        <w:t>(</w:t>
      </w:r>
      <w:r w:rsidR="002A447D">
        <w:rPr>
          <w:rFonts w:ascii="Times New Roman" w:hAnsi="Times New Roman"/>
          <w:sz w:val="24"/>
          <w:szCs w:val="24"/>
        </w:rPr>
        <w:t xml:space="preserve">all </w:t>
      </w:r>
      <w:r w:rsidR="00E12F12">
        <w:rPr>
          <w:rFonts w:ascii="Times New Roman" w:hAnsi="Times New Roman"/>
          <w:sz w:val="24"/>
          <w:szCs w:val="24"/>
        </w:rPr>
        <w:t xml:space="preserve">done by </w:t>
      </w:r>
      <w:r w:rsidR="002A447D">
        <w:rPr>
          <w:rFonts w:ascii="Times New Roman" w:hAnsi="Times New Roman"/>
          <w:sz w:val="24"/>
          <w:szCs w:val="24"/>
        </w:rPr>
        <w:t>respondents who are n</w:t>
      </w:r>
      <w:r w:rsidR="00E12F12">
        <w:rPr>
          <w:rFonts w:ascii="Times New Roman" w:hAnsi="Times New Roman"/>
          <w:sz w:val="24"/>
          <w:szCs w:val="24"/>
        </w:rPr>
        <w:t xml:space="preserve">on-FERC agencies) </w:t>
      </w:r>
      <w:r w:rsidR="002A447D">
        <w:rPr>
          <w:rFonts w:ascii="Times New Roman" w:hAnsi="Times New Roman"/>
          <w:sz w:val="24"/>
          <w:szCs w:val="24"/>
        </w:rPr>
        <w:t>are</w:t>
      </w:r>
      <w:r w:rsidR="00E12F12">
        <w:rPr>
          <w:rFonts w:ascii="Times New Roman" w:hAnsi="Times New Roman"/>
          <w:sz w:val="24"/>
          <w:szCs w:val="24"/>
        </w:rPr>
        <w:t xml:space="preserve"> discussed in Questions 12 and 15.]</w:t>
      </w:r>
    </w:p>
    <w:p w14:paraId="1B7F5C25" w14:textId="77777777" w:rsidR="009349F8" w:rsidRPr="00071FE9" w:rsidRDefault="009349F8" w:rsidP="00071FE9">
      <w:pPr>
        <w:spacing w:after="0" w:line="240" w:lineRule="auto"/>
        <w:rPr>
          <w:rFonts w:ascii="Times New Roman" w:hAnsi="Times New Roman"/>
          <w:sz w:val="24"/>
          <w:szCs w:val="24"/>
        </w:rPr>
      </w:pPr>
    </w:p>
    <w:p w14:paraId="7FFEBB3F" w14:textId="77777777" w:rsidR="009349F8" w:rsidRPr="00071FE9" w:rsidRDefault="009349F8" w:rsidP="005F0E5A">
      <w:pPr>
        <w:pStyle w:val="ListParagraph"/>
        <w:numPr>
          <w:ilvl w:val="0"/>
          <w:numId w:val="17"/>
        </w:numPr>
        <w:spacing w:after="0" w:line="240" w:lineRule="auto"/>
        <w:ind w:left="720" w:hanging="720"/>
        <w:rPr>
          <w:rFonts w:ascii="Times New Roman" w:hAnsi="Times New Roman"/>
          <w:b/>
          <w:sz w:val="24"/>
          <w:szCs w:val="24"/>
        </w:rPr>
      </w:pPr>
      <w:r w:rsidRPr="00071FE9">
        <w:rPr>
          <w:rFonts w:ascii="Times New Roman" w:hAnsi="Times New Roman"/>
          <w:b/>
          <w:sz w:val="24"/>
          <w:szCs w:val="24"/>
        </w:rPr>
        <w:t>REASONS FOR CHANGES IN BURDEN INCLUDING THE NEED FOR ANY INCREASE</w:t>
      </w:r>
    </w:p>
    <w:p w14:paraId="6A626ED9" w14:textId="77777777" w:rsidR="009349F8" w:rsidRPr="00071FE9" w:rsidRDefault="009349F8" w:rsidP="00071FE9">
      <w:pPr>
        <w:pStyle w:val="ListParagraph"/>
        <w:spacing w:after="0" w:line="240" w:lineRule="auto"/>
        <w:ind w:left="0"/>
        <w:rPr>
          <w:rFonts w:ascii="Times New Roman" w:hAnsi="Times New Roman"/>
          <w:b/>
          <w:sz w:val="24"/>
          <w:szCs w:val="24"/>
        </w:rPr>
      </w:pPr>
    </w:p>
    <w:p w14:paraId="4AE160EA" w14:textId="43089A3D" w:rsidR="00DF6624" w:rsidRDefault="00C63320" w:rsidP="00F835BB">
      <w:pPr>
        <w:spacing w:after="0" w:line="240" w:lineRule="auto"/>
        <w:rPr>
          <w:rFonts w:ascii="Times New Roman" w:hAnsi="Times New Roman"/>
          <w:sz w:val="24"/>
          <w:szCs w:val="24"/>
        </w:rPr>
      </w:pPr>
      <w:r>
        <w:rPr>
          <w:rFonts w:ascii="Times New Roman" w:hAnsi="Times New Roman"/>
          <w:sz w:val="24"/>
          <w:szCs w:val="24"/>
        </w:rPr>
        <w:t xml:space="preserve">The change in burden is not due </w:t>
      </w:r>
      <w:r w:rsidR="00AC0D7D">
        <w:rPr>
          <w:rFonts w:ascii="Times New Roman" w:hAnsi="Times New Roman"/>
          <w:sz w:val="24"/>
          <w:szCs w:val="24"/>
        </w:rPr>
        <w:t xml:space="preserve">to </w:t>
      </w:r>
      <w:r>
        <w:rPr>
          <w:rFonts w:ascii="Times New Roman" w:hAnsi="Times New Roman"/>
          <w:sz w:val="24"/>
          <w:szCs w:val="24"/>
        </w:rPr>
        <w:t>any change in recordkeeping or report</w:t>
      </w:r>
      <w:r w:rsidR="00AA1195">
        <w:rPr>
          <w:rFonts w:ascii="Times New Roman" w:hAnsi="Times New Roman"/>
          <w:sz w:val="24"/>
          <w:szCs w:val="24"/>
        </w:rPr>
        <w:t xml:space="preserve">ing requirements.  These </w:t>
      </w:r>
      <w:r w:rsidR="009133E4">
        <w:rPr>
          <w:rFonts w:ascii="Times New Roman" w:hAnsi="Times New Roman"/>
          <w:sz w:val="24"/>
          <w:szCs w:val="24"/>
        </w:rPr>
        <w:t>change</w:t>
      </w:r>
      <w:r w:rsidR="00401F53">
        <w:rPr>
          <w:rFonts w:ascii="Times New Roman" w:hAnsi="Times New Roman"/>
          <w:sz w:val="24"/>
          <w:szCs w:val="24"/>
        </w:rPr>
        <w:t>d estimates</w:t>
      </w:r>
      <w:r w:rsidR="009133E4">
        <w:rPr>
          <w:rFonts w:ascii="Times New Roman" w:hAnsi="Times New Roman"/>
          <w:sz w:val="24"/>
          <w:szCs w:val="24"/>
        </w:rPr>
        <w:t xml:space="preserve"> </w:t>
      </w:r>
      <w:r w:rsidR="009F3CEC">
        <w:rPr>
          <w:rFonts w:ascii="Times New Roman" w:hAnsi="Times New Roman"/>
          <w:sz w:val="24"/>
          <w:szCs w:val="24"/>
        </w:rPr>
        <w:t>are due</w:t>
      </w:r>
      <w:r w:rsidR="002374DF">
        <w:rPr>
          <w:rFonts w:ascii="Times New Roman" w:hAnsi="Times New Roman"/>
          <w:sz w:val="24"/>
          <w:szCs w:val="24"/>
        </w:rPr>
        <w:t xml:space="preserve"> to</w:t>
      </w:r>
      <w:r w:rsidR="00AD3E68">
        <w:rPr>
          <w:rFonts w:ascii="Times New Roman" w:hAnsi="Times New Roman"/>
          <w:sz w:val="24"/>
          <w:szCs w:val="24"/>
        </w:rPr>
        <w:t xml:space="preserve"> </w:t>
      </w:r>
      <w:r w:rsidR="009A778A">
        <w:rPr>
          <w:rFonts w:ascii="Times New Roman" w:hAnsi="Times New Roman"/>
          <w:sz w:val="24"/>
          <w:szCs w:val="24"/>
        </w:rPr>
        <w:t xml:space="preserve">better information on the </w:t>
      </w:r>
      <w:r w:rsidR="00AD3E68">
        <w:rPr>
          <w:rFonts w:ascii="Times New Roman" w:hAnsi="Times New Roman"/>
          <w:sz w:val="24"/>
          <w:szCs w:val="24"/>
        </w:rPr>
        <w:t xml:space="preserve">federal agencies and state agencies with federal authorizations </w:t>
      </w:r>
      <w:r w:rsidR="009A778A">
        <w:rPr>
          <w:rFonts w:ascii="Times New Roman" w:hAnsi="Times New Roman"/>
          <w:sz w:val="24"/>
          <w:szCs w:val="24"/>
        </w:rPr>
        <w:t xml:space="preserve">to whom </w:t>
      </w:r>
      <w:r w:rsidR="00AD3E68">
        <w:rPr>
          <w:rFonts w:ascii="Times New Roman" w:hAnsi="Times New Roman"/>
          <w:sz w:val="24"/>
          <w:szCs w:val="24"/>
        </w:rPr>
        <w:t xml:space="preserve"> these requirements </w:t>
      </w:r>
      <w:r w:rsidR="009A778A">
        <w:rPr>
          <w:rFonts w:ascii="Times New Roman" w:hAnsi="Times New Roman"/>
          <w:sz w:val="24"/>
          <w:szCs w:val="24"/>
        </w:rPr>
        <w:t>apply</w:t>
      </w:r>
      <w:r w:rsidR="00AD3E68">
        <w:rPr>
          <w:rFonts w:ascii="Times New Roman" w:hAnsi="Times New Roman"/>
          <w:sz w:val="24"/>
          <w:szCs w:val="24"/>
        </w:rPr>
        <w:t xml:space="preserve">. </w:t>
      </w:r>
      <w:bookmarkStart w:id="2" w:name="_GoBack"/>
      <w:bookmarkEnd w:id="2"/>
      <w:r w:rsidR="00AD3E68">
        <w:rPr>
          <w:rFonts w:ascii="Times New Roman" w:hAnsi="Times New Roman"/>
          <w:sz w:val="24"/>
          <w:szCs w:val="24"/>
        </w:rPr>
        <w:t xml:space="preserve"> FERC staff continues to outreach to these specific agencies and alerts them of their requirements in project-specific interagency meetings and in the Notice of Schedule for Environmental Review issued for each project.</w:t>
      </w:r>
      <w:r w:rsidR="009F3CEC">
        <w:rPr>
          <w:rFonts w:ascii="Times New Roman" w:hAnsi="Times New Roman"/>
          <w:sz w:val="24"/>
          <w:szCs w:val="24"/>
        </w:rPr>
        <w:t xml:space="preserve">  </w:t>
      </w:r>
    </w:p>
    <w:p w14:paraId="670BD9AA" w14:textId="77777777" w:rsidR="00DF6624" w:rsidRDefault="00DF6624">
      <w:pPr>
        <w:spacing w:after="0" w:line="240" w:lineRule="auto"/>
        <w:rPr>
          <w:rFonts w:ascii="Times New Roman" w:hAnsi="Times New Roman"/>
          <w:sz w:val="24"/>
          <w:szCs w:val="24"/>
        </w:rPr>
      </w:pPr>
      <w:r>
        <w:rPr>
          <w:rFonts w:ascii="Times New Roman" w:hAnsi="Times New Roman"/>
          <w:sz w:val="24"/>
          <w:szCs w:val="24"/>
        </w:rPr>
        <w:br w:type="page"/>
      </w:r>
    </w:p>
    <w:p w14:paraId="5D436A8C" w14:textId="434FCA2C" w:rsidR="00C63320" w:rsidRDefault="00C63320" w:rsidP="00F835BB">
      <w:pPr>
        <w:spacing w:after="0" w:line="240" w:lineRule="auto"/>
        <w:rPr>
          <w:rFonts w:ascii="Times New Roman" w:hAnsi="Times New Roman"/>
          <w:sz w:val="24"/>
          <w:szCs w:val="24"/>
        </w:rPr>
      </w:pPr>
    </w:p>
    <w:p w14:paraId="7E5B7664" w14:textId="77777777" w:rsidR="00C63320" w:rsidRDefault="00C63320" w:rsidP="00F835BB">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620"/>
        <w:gridCol w:w="1800"/>
        <w:gridCol w:w="1800"/>
      </w:tblGrid>
      <w:tr w:rsidR="00E27675" w:rsidRPr="00E27675" w14:paraId="4E1C284D" w14:textId="77777777" w:rsidTr="00E27675">
        <w:trPr>
          <w:trHeight w:val="870"/>
        </w:trPr>
        <w:tc>
          <w:tcPr>
            <w:tcW w:w="2880" w:type="dxa"/>
            <w:shd w:val="clear" w:color="auto" w:fill="D9D9D9"/>
            <w:vAlign w:val="bottom"/>
          </w:tcPr>
          <w:p w14:paraId="15D9CBFF" w14:textId="77777777" w:rsidR="00E27675" w:rsidRPr="00E27675" w:rsidRDefault="00E27675" w:rsidP="00E27675">
            <w:pPr>
              <w:spacing w:after="0" w:line="240" w:lineRule="auto"/>
              <w:jc w:val="center"/>
              <w:rPr>
                <w:rFonts w:ascii="Times New Roman" w:hAnsi="Times New Roman"/>
                <w:b/>
                <w:sz w:val="24"/>
                <w:szCs w:val="24"/>
              </w:rPr>
            </w:pPr>
            <w:r>
              <w:rPr>
                <w:rFonts w:ascii="Times New Roman" w:hAnsi="Times New Roman"/>
                <w:b/>
                <w:sz w:val="24"/>
                <w:szCs w:val="24"/>
              </w:rPr>
              <w:t>FERC-606 &amp; FERC-607</w:t>
            </w:r>
          </w:p>
        </w:tc>
        <w:tc>
          <w:tcPr>
            <w:tcW w:w="1260" w:type="dxa"/>
            <w:shd w:val="clear" w:color="auto" w:fill="D9D9D9"/>
            <w:vAlign w:val="bottom"/>
          </w:tcPr>
          <w:p w14:paraId="5F73BE3E" w14:textId="77777777"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Total Request</w:t>
            </w:r>
          </w:p>
        </w:tc>
        <w:tc>
          <w:tcPr>
            <w:tcW w:w="1620" w:type="dxa"/>
            <w:shd w:val="clear" w:color="auto" w:fill="D9D9D9"/>
            <w:vAlign w:val="bottom"/>
          </w:tcPr>
          <w:p w14:paraId="76562ABC" w14:textId="77777777"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Previously Approved</w:t>
            </w:r>
          </w:p>
        </w:tc>
        <w:tc>
          <w:tcPr>
            <w:tcW w:w="1800" w:type="dxa"/>
            <w:shd w:val="clear" w:color="auto" w:fill="D9D9D9"/>
            <w:vAlign w:val="bottom"/>
          </w:tcPr>
          <w:p w14:paraId="62B262CF" w14:textId="77777777"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Change due to Adjustment in Estimate</w:t>
            </w:r>
          </w:p>
        </w:tc>
        <w:tc>
          <w:tcPr>
            <w:tcW w:w="1800" w:type="dxa"/>
            <w:shd w:val="clear" w:color="auto" w:fill="D9D9D9"/>
            <w:vAlign w:val="bottom"/>
          </w:tcPr>
          <w:p w14:paraId="70858A6B" w14:textId="77777777"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Change Due to Agency Discretion</w:t>
            </w:r>
          </w:p>
        </w:tc>
      </w:tr>
      <w:tr w:rsidR="00E27675" w:rsidRPr="00E27675" w14:paraId="6A71E775" w14:textId="77777777" w:rsidTr="00136834">
        <w:trPr>
          <w:trHeight w:val="591"/>
        </w:trPr>
        <w:tc>
          <w:tcPr>
            <w:tcW w:w="2880" w:type="dxa"/>
            <w:vAlign w:val="bottom"/>
          </w:tcPr>
          <w:p w14:paraId="2942EE5C" w14:textId="77777777" w:rsidR="00E27675" w:rsidRPr="00E27675" w:rsidRDefault="00E27675" w:rsidP="00136834">
            <w:pPr>
              <w:spacing w:after="0" w:line="240" w:lineRule="auto"/>
              <w:rPr>
                <w:rFonts w:ascii="Times New Roman" w:hAnsi="Times New Roman"/>
                <w:sz w:val="24"/>
                <w:szCs w:val="24"/>
              </w:rPr>
            </w:pPr>
            <w:r w:rsidRPr="00E27675">
              <w:rPr>
                <w:rFonts w:ascii="Times New Roman" w:hAnsi="Times New Roman"/>
                <w:sz w:val="24"/>
                <w:szCs w:val="24"/>
              </w:rPr>
              <w:t>Annual Number of Responses</w:t>
            </w:r>
          </w:p>
        </w:tc>
        <w:tc>
          <w:tcPr>
            <w:tcW w:w="1260" w:type="dxa"/>
            <w:vAlign w:val="bottom"/>
          </w:tcPr>
          <w:p w14:paraId="07BF17D7" w14:textId="77777777" w:rsidR="00E27675"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7</w:t>
            </w:r>
          </w:p>
        </w:tc>
        <w:tc>
          <w:tcPr>
            <w:tcW w:w="1620" w:type="dxa"/>
            <w:vAlign w:val="bottom"/>
          </w:tcPr>
          <w:p w14:paraId="49025378" w14:textId="77777777" w:rsidR="00E27675"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2</w:t>
            </w:r>
          </w:p>
        </w:tc>
        <w:tc>
          <w:tcPr>
            <w:tcW w:w="1800" w:type="dxa"/>
            <w:vAlign w:val="bottom"/>
          </w:tcPr>
          <w:p w14:paraId="7948FD8E" w14:textId="3538B7CD" w:rsidR="00E27675"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+5</w:t>
            </w:r>
            <w:r w:rsidR="00DF6624" w:rsidRPr="00867600">
              <w:rPr>
                <w:rStyle w:val="FootnoteReference"/>
                <w:rFonts w:ascii="Times New Roman" w:hAnsi="Times New Roman"/>
                <w:sz w:val="24"/>
                <w:szCs w:val="24"/>
                <w:vertAlign w:val="superscript"/>
              </w:rPr>
              <w:footnoteReference w:id="9"/>
            </w:r>
          </w:p>
        </w:tc>
        <w:tc>
          <w:tcPr>
            <w:tcW w:w="1800" w:type="dxa"/>
            <w:vAlign w:val="bottom"/>
          </w:tcPr>
          <w:p w14:paraId="00341E0F" w14:textId="77777777" w:rsidR="00E27675" w:rsidRPr="00E27675" w:rsidRDefault="00443522" w:rsidP="00136834">
            <w:pPr>
              <w:spacing w:after="0" w:line="240" w:lineRule="auto"/>
              <w:jc w:val="right"/>
              <w:rPr>
                <w:rFonts w:ascii="Times New Roman" w:hAnsi="Times New Roman"/>
                <w:sz w:val="24"/>
                <w:szCs w:val="24"/>
              </w:rPr>
            </w:pPr>
            <w:r>
              <w:rPr>
                <w:rFonts w:ascii="Times New Roman" w:hAnsi="Times New Roman"/>
                <w:sz w:val="24"/>
                <w:szCs w:val="24"/>
              </w:rPr>
              <w:t>0</w:t>
            </w:r>
          </w:p>
        </w:tc>
      </w:tr>
      <w:tr w:rsidR="00E27675" w:rsidRPr="00E27675" w14:paraId="6065B86A" w14:textId="77777777" w:rsidTr="00136834">
        <w:trPr>
          <w:trHeight w:val="350"/>
        </w:trPr>
        <w:tc>
          <w:tcPr>
            <w:tcW w:w="2880" w:type="dxa"/>
            <w:vAlign w:val="bottom"/>
          </w:tcPr>
          <w:p w14:paraId="2EC974AF" w14:textId="77777777" w:rsidR="00E27675" w:rsidRPr="00E27675" w:rsidRDefault="00E27675" w:rsidP="00136834">
            <w:pPr>
              <w:spacing w:after="0" w:line="240" w:lineRule="auto"/>
              <w:rPr>
                <w:rFonts w:ascii="Times New Roman" w:hAnsi="Times New Roman"/>
                <w:sz w:val="24"/>
                <w:szCs w:val="24"/>
              </w:rPr>
            </w:pPr>
            <w:r w:rsidRPr="00E27675">
              <w:rPr>
                <w:rFonts w:ascii="Times New Roman" w:hAnsi="Times New Roman"/>
                <w:sz w:val="24"/>
                <w:szCs w:val="24"/>
              </w:rPr>
              <w:t>Annual Time Burden (Hr</w:t>
            </w:r>
            <w:r w:rsidR="00136834">
              <w:rPr>
                <w:rFonts w:ascii="Times New Roman" w:hAnsi="Times New Roman"/>
                <w:sz w:val="24"/>
                <w:szCs w:val="24"/>
              </w:rPr>
              <w:t>s</w:t>
            </w:r>
            <w:r w:rsidR="002374DF">
              <w:rPr>
                <w:rFonts w:ascii="Times New Roman" w:hAnsi="Times New Roman"/>
                <w:sz w:val="24"/>
                <w:szCs w:val="24"/>
              </w:rPr>
              <w:t>.</w:t>
            </w:r>
            <w:r w:rsidRPr="00E27675">
              <w:rPr>
                <w:rFonts w:ascii="Times New Roman" w:hAnsi="Times New Roman"/>
                <w:sz w:val="24"/>
                <w:szCs w:val="24"/>
              </w:rPr>
              <w:t>)</w:t>
            </w:r>
          </w:p>
        </w:tc>
        <w:tc>
          <w:tcPr>
            <w:tcW w:w="1260" w:type="dxa"/>
            <w:vAlign w:val="bottom"/>
          </w:tcPr>
          <w:p w14:paraId="018E2523" w14:textId="77777777" w:rsidR="00E27675"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25</w:t>
            </w:r>
          </w:p>
        </w:tc>
        <w:tc>
          <w:tcPr>
            <w:tcW w:w="1620" w:type="dxa"/>
            <w:vAlign w:val="bottom"/>
          </w:tcPr>
          <w:p w14:paraId="45334EBC" w14:textId="77777777" w:rsidR="00E27675"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10</w:t>
            </w:r>
          </w:p>
        </w:tc>
        <w:tc>
          <w:tcPr>
            <w:tcW w:w="1800" w:type="dxa"/>
            <w:vAlign w:val="bottom"/>
          </w:tcPr>
          <w:p w14:paraId="5C6063C7" w14:textId="77777777" w:rsidR="00E27675"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+15</w:t>
            </w:r>
          </w:p>
        </w:tc>
        <w:tc>
          <w:tcPr>
            <w:tcW w:w="1800" w:type="dxa"/>
            <w:vAlign w:val="bottom"/>
          </w:tcPr>
          <w:p w14:paraId="78E0BAA8" w14:textId="77777777" w:rsidR="00E27675" w:rsidRPr="00E27675" w:rsidRDefault="00443522" w:rsidP="00136834">
            <w:pPr>
              <w:spacing w:after="0" w:line="240" w:lineRule="auto"/>
              <w:jc w:val="right"/>
              <w:rPr>
                <w:rFonts w:ascii="Times New Roman" w:hAnsi="Times New Roman"/>
                <w:sz w:val="24"/>
                <w:szCs w:val="24"/>
              </w:rPr>
            </w:pPr>
            <w:r>
              <w:rPr>
                <w:rFonts w:ascii="Times New Roman" w:hAnsi="Times New Roman"/>
                <w:sz w:val="24"/>
                <w:szCs w:val="24"/>
              </w:rPr>
              <w:t>0</w:t>
            </w:r>
          </w:p>
        </w:tc>
      </w:tr>
      <w:tr w:rsidR="00443522" w:rsidRPr="00E27675" w14:paraId="2AEF270D" w14:textId="77777777" w:rsidTr="00136834">
        <w:trPr>
          <w:trHeight w:val="295"/>
        </w:trPr>
        <w:tc>
          <w:tcPr>
            <w:tcW w:w="2880" w:type="dxa"/>
            <w:vAlign w:val="bottom"/>
          </w:tcPr>
          <w:p w14:paraId="39609E3D" w14:textId="77777777" w:rsidR="00443522" w:rsidRPr="00E27675" w:rsidRDefault="00443522" w:rsidP="00136834">
            <w:pPr>
              <w:spacing w:after="0" w:line="240" w:lineRule="auto"/>
              <w:rPr>
                <w:rFonts w:ascii="Times New Roman" w:hAnsi="Times New Roman"/>
                <w:sz w:val="24"/>
                <w:szCs w:val="24"/>
              </w:rPr>
            </w:pPr>
            <w:r w:rsidRPr="00E27675">
              <w:rPr>
                <w:rFonts w:ascii="Times New Roman" w:hAnsi="Times New Roman"/>
                <w:sz w:val="24"/>
                <w:szCs w:val="24"/>
              </w:rPr>
              <w:t>Annual Cost Burden ($)</w:t>
            </w:r>
          </w:p>
        </w:tc>
        <w:tc>
          <w:tcPr>
            <w:tcW w:w="1260" w:type="dxa"/>
            <w:vAlign w:val="bottom"/>
          </w:tcPr>
          <w:p w14:paraId="4AA35AEF" w14:textId="77777777" w:rsidR="00443522" w:rsidRPr="00E27675" w:rsidRDefault="00443522" w:rsidP="00136834">
            <w:pPr>
              <w:spacing w:after="0" w:line="240" w:lineRule="auto"/>
              <w:jc w:val="right"/>
              <w:rPr>
                <w:rFonts w:ascii="Times New Roman" w:hAnsi="Times New Roman"/>
                <w:sz w:val="24"/>
                <w:szCs w:val="24"/>
              </w:rPr>
            </w:pPr>
            <w:r w:rsidRPr="00E27675">
              <w:rPr>
                <w:rFonts w:ascii="Times New Roman" w:hAnsi="Times New Roman"/>
                <w:sz w:val="24"/>
                <w:szCs w:val="24"/>
              </w:rPr>
              <w:t>$</w:t>
            </w:r>
            <w:r>
              <w:rPr>
                <w:rFonts w:ascii="Times New Roman" w:hAnsi="Times New Roman"/>
                <w:sz w:val="24"/>
                <w:szCs w:val="24"/>
              </w:rPr>
              <w:t>0</w:t>
            </w:r>
          </w:p>
        </w:tc>
        <w:tc>
          <w:tcPr>
            <w:tcW w:w="1620" w:type="dxa"/>
            <w:vAlign w:val="bottom"/>
          </w:tcPr>
          <w:p w14:paraId="77E45551" w14:textId="77777777" w:rsidR="00443522"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bottom"/>
          </w:tcPr>
          <w:p w14:paraId="0DAA041B" w14:textId="77777777" w:rsidR="00443522" w:rsidRPr="00E27675" w:rsidRDefault="002374DF" w:rsidP="00136834">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bottom"/>
          </w:tcPr>
          <w:p w14:paraId="4E6C4711" w14:textId="77777777" w:rsidR="00443522" w:rsidRPr="00E27675" w:rsidRDefault="00443522" w:rsidP="00136834">
            <w:pPr>
              <w:spacing w:after="0" w:line="240" w:lineRule="auto"/>
              <w:jc w:val="right"/>
              <w:rPr>
                <w:rFonts w:ascii="Times New Roman" w:hAnsi="Times New Roman"/>
                <w:sz w:val="24"/>
                <w:szCs w:val="24"/>
              </w:rPr>
            </w:pPr>
            <w:r>
              <w:rPr>
                <w:rFonts w:ascii="Times New Roman" w:hAnsi="Times New Roman"/>
                <w:sz w:val="24"/>
                <w:szCs w:val="24"/>
              </w:rPr>
              <w:t>$0</w:t>
            </w:r>
          </w:p>
        </w:tc>
      </w:tr>
    </w:tbl>
    <w:p w14:paraId="33B9E954" w14:textId="77777777" w:rsidR="00E27675" w:rsidRPr="00071FE9" w:rsidRDefault="00E27675" w:rsidP="00071FE9">
      <w:pPr>
        <w:widowControl w:val="0"/>
        <w:autoSpaceDE w:val="0"/>
        <w:autoSpaceDN w:val="0"/>
        <w:adjustRightInd w:val="0"/>
        <w:spacing w:after="0" w:line="240" w:lineRule="auto"/>
        <w:rPr>
          <w:rFonts w:ascii="Times New Roman" w:eastAsia="Times New Roman" w:hAnsi="Times New Roman"/>
          <w:sz w:val="24"/>
          <w:szCs w:val="24"/>
        </w:rPr>
      </w:pPr>
    </w:p>
    <w:p w14:paraId="7E38F98E" w14:textId="77777777" w:rsidR="009349F8" w:rsidRPr="00071FE9" w:rsidRDefault="009349F8" w:rsidP="005F0E5A">
      <w:pPr>
        <w:pStyle w:val="ListParagraph"/>
        <w:numPr>
          <w:ilvl w:val="0"/>
          <w:numId w:val="17"/>
        </w:numPr>
        <w:spacing w:after="0" w:line="240" w:lineRule="auto"/>
        <w:ind w:left="0" w:firstLine="0"/>
        <w:rPr>
          <w:rFonts w:ascii="Times New Roman" w:hAnsi="Times New Roman"/>
          <w:b/>
          <w:sz w:val="24"/>
          <w:szCs w:val="24"/>
        </w:rPr>
      </w:pPr>
      <w:r w:rsidRPr="00071FE9">
        <w:rPr>
          <w:rFonts w:ascii="Times New Roman" w:hAnsi="Times New Roman"/>
          <w:b/>
          <w:sz w:val="24"/>
          <w:szCs w:val="24"/>
        </w:rPr>
        <w:t>TIME SCHEDULE FOR PUBLICATION OF DATA</w:t>
      </w:r>
    </w:p>
    <w:p w14:paraId="6ACAA5B5" w14:textId="77777777" w:rsidR="009349F8" w:rsidRPr="00071FE9" w:rsidRDefault="009349F8" w:rsidP="00071FE9">
      <w:pPr>
        <w:spacing w:after="0" w:line="240" w:lineRule="auto"/>
        <w:rPr>
          <w:rFonts w:ascii="Times New Roman" w:hAnsi="Times New Roman"/>
          <w:sz w:val="24"/>
          <w:szCs w:val="24"/>
        </w:rPr>
      </w:pPr>
    </w:p>
    <w:p w14:paraId="7B440AF5" w14:textId="77777777"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There are no publication plans.  The Commission uses the data for regulatory purposes only.</w:t>
      </w:r>
    </w:p>
    <w:p w14:paraId="7C656318" w14:textId="77777777" w:rsidR="009349F8" w:rsidRPr="00071FE9" w:rsidRDefault="009349F8" w:rsidP="00071FE9">
      <w:pPr>
        <w:spacing w:after="0" w:line="240" w:lineRule="auto"/>
        <w:rPr>
          <w:rFonts w:ascii="Times New Roman" w:hAnsi="Times New Roman"/>
          <w:sz w:val="24"/>
          <w:szCs w:val="24"/>
        </w:rPr>
      </w:pPr>
    </w:p>
    <w:p w14:paraId="589786EE" w14:textId="77777777" w:rsidR="005F0E5A" w:rsidRDefault="005F0E5A" w:rsidP="005F0E5A">
      <w:pPr>
        <w:pStyle w:val="ListParagraph"/>
        <w:numPr>
          <w:ilvl w:val="0"/>
          <w:numId w:val="18"/>
        </w:numPr>
        <w:spacing w:after="0" w:line="240" w:lineRule="auto"/>
        <w:ind w:left="810" w:hanging="810"/>
        <w:rPr>
          <w:rFonts w:ascii="Times New Roman" w:hAnsi="Times New Roman"/>
          <w:b/>
          <w:sz w:val="24"/>
          <w:szCs w:val="24"/>
        </w:rPr>
      </w:pPr>
      <w:r>
        <w:rPr>
          <w:rFonts w:ascii="Times New Roman" w:hAnsi="Times New Roman"/>
          <w:b/>
          <w:sz w:val="24"/>
          <w:szCs w:val="24"/>
        </w:rPr>
        <w:t>DISPLAY OF EXPIRATION DATE</w:t>
      </w:r>
    </w:p>
    <w:p w14:paraId="48203200" w14:textId="77777777" w:rsidR="005F0E5A" w:rsidRDefault="005F0E5A" w:rsidP="005F0E5A">
      <w:pPr>
        <w:spacing w:after="0" w:line="240" w:lineRule="auto"/>
        <w:rPr>
          <w:rFonts w:ascii="Times New Roman" w:hAnsi="Times New Roman"/>
          <w:sz w:val="24"/>
          <w:szCs w:val="24"/>
        </w:rPr>
      </w:pPr>
    </w:p>
    <w:p w14:paraId="162B062A" w14:textId="77777777" w:rsidR="005F0E5A" w:rsidRDefault="005F0E5A" w:rsidP="005F0E5A">
      <w:pPr>
        <w:spacing w:after="0" w:line="240" w:lineRule="auto"/>
        <w:rPr>
          <w:rFonts w:ascii="Times New Roman" w:hAnsi="Times New Roman"/>
          <w:sz w:val="24"/>
          <w:szCs w:val="24"/>
        </w:rPr>
      </w:pPr>
      <w:r>
        <w:rPr>
          <w:rFonts w:ascii="Times New Roman" w:hAnsi="Times New Roman"/>
          <w:sz w:val="24"/>
          <w:szCs w:val="24"/>
        </w:rPr>
        <w:t xml:space="preserve">The clearance information and expiration dates are available at </w:t>
      </w:r>
      <w:hyperlink r:id="rId13" w:history="1">
        <w:r>
          <w:rPr>
            <w:rStyle w:val="Hyperlink"/>
            <w:rFonts w:ascii="Times New Roman" w:hAnsi="Times New Roman"/>
            <w:sz w:val="24"/>
            <w:szCs w:val="24"/>
          </w:rPr>
          <w:t>http://www.ferc.gov/docs-filing/info-collections.asp</w:t>
        </w:r>
      </w:hyperlink>
      <w:r>
        <w:rPr>
          <w:rFonts w:ascii="Times New Roman" w:hAnsi="Times New Roman"/>
          <w:sz w:val="24"/>
          <w:szCs w:val="24"/>
        </w:rPr>
        <w:t xml:space="preserve">. </w:t>
      </w:r>
    </w:p>
    <w:p w14:paraId="0B983CC6" w14:textId="77777777" w:rsidR="005F0E5A" w:rsidRDefault="005F0E5A" w:rsidP="005F0E5A">
      <w:pPr>
        <w:spacing w:after="0" w:line="240" w:lineRule="auto"/>
        <w:rPr>
          <w:rFonts w:ascii="Times New Roman" w:hAnsi="Times New Roman"/>
          <w:sz w:val="24"/>
          <w:szCs w:val="24"/>
        </w:rPr>
      </w:pPr>
    </w:p>
    <w:p w14:paraId="6A601E4A" w14:textId="77777777" w:rsidR="005F0E5A" w:rsidRDefault="005F0E5A" w:rsidP="005F0E5A">
      <w:pPr>
        <w:pStyle w:val="ListParagraph"/>
        <w:numPr>
          <w:ilvl w:val="0"/>
          <w:numId w:val="18"/>
        </w:numPr>
        <w:spacing w:after="0" w:line="240" w:lineRule="auto"/>
        <w:ind w:left="720" w:hanging="720"/>
        <w:rPr>
          <w:rFonts w:ascii="Times New Roman" w:hAnsi="Times New Roman"/>
          <w:b/>
          <w:sz w:val="24"/>
          <w:szCs w:val="24"/>
        </w:rPr>
      </w:pPr>
      <w:r>
        <w:rPr>
          <w:rFonts w:ascii="Times New Roman" w:hAnsi="Times New Roman"/>
          <w:b/>
          <w:sz w:val="24"/>
          <w:szCs w:val="24"/>
        </w:rPr>
        <w:t>EXCEPTIONS TO THE CERTIFICATION STATEMENT</w:t>
      </w:r>
    </w:p>
    <w:p w14:paraId="0476FD17" w14:textId="77777777" w:rsidR="005F0E5A" w:rsidRDefault="005F0E5A" w:rsidP="005F0E5A">
      <w:pPr>
        <w:spacing w:after="0" w:line="240" w:lineRule="auto"/>
        <w:rPr>
          <w:rFonts w:ascii="Times New Roman" w:hAnsi="Times New Roman"/>
          <w:b/>
          <w:sz w:val="24"/>
          <w:szCs w:val="24"/>
        </w:rPr>
      </w:pPr>
    </w:p>
    <w:p w14:paraId="63D806AA" w14:textId="77777777" w:rsidR="009349F8" w:rsidRPr="00071FE9" w:rsidRDefault="005F0E5A" w:rsidP="005F0E5A">
      <w:pPr>
        <w:spacing w:after="0" w:line="240" w:lineRule="auto"/>
        <w:rPr>
          <w:rFonts w:ascii="Times New Roman" w:hAnsi="Times New Roman"/>
          <w:sz w:val="24"/>
          <w:szCs w:val="24"/>
        </w:rPr>
      </w:pPr>
      <w:r>
        <w:rPr>
          <w:rFonts w:ascii="Times New Roman" w:hAnsi="Times New Roman"/>
          <w:sz w:val="24"/>
          <w:szCs w:val="24"/>
        </w:rPr>
        <w:t>There are no exceptions.</w:t>
      </w:r>
    </w:p>
    <w:sectPr w:rsidR="009349F8" w:rsidRPr="00071FE9" w:rsidSect="0076155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56250" w14:textId="77777777" w:rsidR="0025667B" w:rsidRDefault="0025667B" w:rsidP="00FD66F1">
      <w:pPr>
        <w:spacing w:after="0" w:line="240" w:lineRule="auto"/>
      </w:pPr>
      <w:r>
        <w:separator/>
      </w:r>
    </w:p>
  </w:endnote>
  <w:endnote w:type="continuationSeparator" w:id="0">
    <w:p w14:paraId="4F494D1D" w14:textId="77777777" w:rsidR="0025667B" w:rsidRDefault="0025667B"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413547"/>
      <w:docPartObj>
        <w:docPartGallery w:val="Page Numbers (Bottom of Page)"/>
        <w:docPartUnique/>
      </w:docPartObj>
    </w:sdtPr>
    <w:sdtEndPr>
      <w:rPr>
        <w:noProof/>
      </w:rPr>
    </w:sdtEndPr>
    <w:sdtContent>
      <w:p w14:paraId="0AD0B4DF" w14:textId="77777777" w:rsidR="00136834" w:rsidRDefault="00136834">
        <w:pPr>
          <w:pStyle w:val="Footer"/>
          <w:jc w:val="right"/>
        </w:pPr>
        <w:r>
          <w:fldChar w:fldCharType="begin"/>
        </w:r>
        <w:r>
          <w:instrText xml:space="preserve"> PAGE   \* MERGEFORMAT </w:instrText>
        </w:r>
        <w:r>
          <w:fldChar w:fldCharType="separate"/>
        </w:r>
        <w:r w:rsidR="00867600">
          <w:rPr>
            <w:noProof/>
          </w:rPr>
          <w:t>6</w:t>
        </w:r>
        <w:r>
          <w:rPr>
            <w:noProof/>
          </w:rPr>
          <w:fldChar w:fldCharType="end"/>
        </w:r>
      </w:p>
    </w:sdtContent>
  </w:sdt>
  <w:p w14:paraId="03B77621" w14:textId="77777777" w:rsidR="003F60D6" w:rsidRDefault="003F6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46A5E" w14:textId="77777777" w:rsidR="0025667B" w:rsidRDefault="0025667B" w:rsidP="00FD66F1">
      <w:pPr>
        <w:spacing w:after="0" w:line="240" w:lineRule="auto"/>
      </w:pPr>
      <w:r>
        <w:separator/>
      </w:r>
    </w:p>
  </w:footnote>
  <w:footnote w:type="continuationSeparator" w:id="0">
    <w:p w14:paraId="00CCBA4A" w14:textId="77777777" w:rsidR="0025667B" w:rsidRDefault="0025667B" w:rsidP="00FD66F1">
      <w:pPr>
        <w:spacing w:after="0" w:line="240" w:lineRule="auto"/>
      </w:pPr>
      <w:r>
        <w:continuationSeparator/>
      </w:r>
    </w:p>
  </w:footnote>
  <w:footnote w:id="1">
    <w:p w14:paraId="6DC307C3" w14:textId="77777777" w:rsidR="00AB79A8" w:rsidRPr="00722B24" w:rsidRDefault="00AB79A8" w:rsidP="00722B24">
      <w:pPr>
        <w:pStyle w:val="FootnoteText"/>
      </w:pPr>
      <w:r w:rsidRPr="00722B24">
        <w:rPr>
          <w:rStyle w:val="FootnoteReference"/>
        </w:rPr>
        <w:footnoteRef/>
      </w:r>
      <w:r w:rsidR="002B0B76">
        <w:t xml:space="preserve"> Under NGA S</w:t>
      </w:r>
      <w:r w:rsidRPr="00722B24">
        <w:t>ection 7, the Commission has jurisdiction over the transportation or sale of natural gas in interstate commerce and the construction, acquisition, operation, and abandonment of facilities to transport natural gas in interstate commerce.  Pursuant to Department of Energy (DOE) Delegation O</w:t>
      </w:r>
      <w:r w:rsidR="00A05462">
        <w:t>rder No. 00-004.00 (67 FR</w:t>
      </w:r>
      <w:r w:rsidRPr="00722B24">
        <w:t xml:space="preserve"> 8946</w:t>
      </w:r>
      <w:r w:rsidR="00A05462">
        <w:t xml:space="preserve">, </w:t>
      </w:r>
      <w:r w:rsidRPr="00722B24">
        <w:t>February 27, 2002), the Secretary of Energy delegated to the Comm</w:t>
      </w:r>
      <w:r w:rsidR="00A05462">
        <w:t>ission the authority under NGA S</w:t>
      </w:r>
      <w:r w:rsidRPr="00722B24">
        <w:t>ection 3 to approve or disapprove applications for the construction and operation of facilities to import or export natural gas, including liquefied natural gas.</w:t>
      </w:r>
    </w:p>
  </w:footnote>
  <w:footnote w:id="2">
    <w:p w14:paraId="6E0DBC2C" w14:textId="77777777" w:rsidR="00AB79A8" w:rsidRPr="00722B24" w:rsidRDefault="00AB79A8" w:rsidP="00722B24">
      <w:pPr>
        <w:pStyle w:val="FootnoteText"/>
      </w:pPr>
      <w:r w:rsidRPr="00722B24">
        <w:rPr>
          <w:rStyle w:val="FootnoteReference"/>
        </w:rPr>
        <w:footnoteRef/>
      </w:r>
      <w:r w:rsidRPr="00722B24">
        <w:t xml:space="preserve"> “Agency” means a Federal agency or officer, or State agency or officer acting pursuant to delegated Federal authority, responsible for a Federal authorization.</w:t>
      </w:r>
    </w:p>
  </w:footnote>
  <w:footnote w:id="3">
    <w:p w14:paraId="1FF8D940" w14:textId="77777777" w:rsidR="00AB79A8" w:rsidRPr="00722B24" w:rsidRDefault="00AB79A8" w:rsidP="00722B24">
      <w:pPr>
        <w:pStyle w:val="FootnoteText"/>
      </w:pPr>
      <w:r w:rsidRPr="00722B24">
        <w:rPr>
          <w:rStyle w:val="FootnoteReference"/>
        </w:rPr>
        <w:footnoteRef/>
      </w:r>
      <w:r w:rsidR="006A3D98">
        <w:t xml:space="preserve"> </w:t>
      </w:r>
      <w:r w:rsidR="006A333B">
        <w:t xml:space="preserve">80 FR </w:t>
      </w:r>
      <w:r w:rsidR="006A333B" w:rsidRPr="006A333B">
        <w:t>74101</w:t>
      </w:r>
      <w:r w:rsidR="006A333B">
        <w:t>, 11/27/</w:t>
      </w:r>
      <w:r w:rsidR="006A333B" w:rsidRPr="006A333B">
        <w:t>2015</w:t>
      </w:r>
      <w:r w:rsidR="00603DF9">
        <w:t xml:space="preserve">.  The 60-day notice is also posted at </w:t>
      </w:r>
      <w:hyperlink r:id="rId1" w:history="1">
        <w:r w:rsidR="00603DF9" w:rsidRPr="00FD678C">
          <w:rPr>
            <w:rStyle w:val="Hyperlink"/>
          </w:rPr>
          <w:t>http://elibrary.ferc.gov/idmws/common/opennat.asp?fileID=14051110</w:t>
        </w:r>
      </w:hyperlink>
      <w:r w:rsidR="00603DF9">
        <w:t xml:space="preserve"> .</w:t>
      </w:r>
    </w:p>
  </w:footnote>
  <w:footnote w:id="4">
    <w:p w14:paraId="28B32A11" w14:textId="77777777" w:rsidR="00AB79A8" w:rsidRPr="00722B24" w:rsidRDefault="00AB79A8" w:rsidP="00722B24">
      <w:pPr>
        <w:pStyle w:val="FootnoteText"/>
      </w:pPr>
      <w:r w:rsidRPr="00722B24">
        <w:rPr>
          <w:rStyle w:val="FootnoteReference"/>
        </w:rPr>
        <w:footnoteRef/>
      </w:r>
      <w:r w:rsidRPr="00722B24">
        <w:t xml:space="preserve"> 18 CFR 388.112</w:t>
      </w:r>
    </w:p>
  </w:footnote>
  <w:footnote w:id="5">
    <w:p w14:paraId="7C61A264" w14:textId="77777777" w:rsidR="000471AE" w:rsidRDefault="000471AE">
      <w:pPr>
        <w:pStyle w:val="FootnoteText"/>
      </w:pPr>
      <w:r>
        <w:rPr>
          <w:rStyle w:val="FootnoteReference"/>
        </w:rPr>
        <w:footnoteRef/>
      </w:r>
      <w:r>
        <w:t xml:space="preserve"> </w:t>
      </w:r>
      <w:r w:rsidRPr="000471AE">
        <w:t>The cost is based on FERC’s average cost (salary plus benefits) of $72/hour for 2015.  The Commission staff believes that the level</w:t>
      </w:r>
      <w:r>
        <w:t>,</w:t>
      </w:r>
      <w:r w:rsidRPr="000471AE">
        <w:t xml:space="preserve"> skill set (as a reporting agency official, e.g., Environmental Program Manager or Reviewer) </w:t>
      </w:r>
      <w:r>
        <w:t>and hourly cost are</w:t>
      </w:r>
      <w:r w:rsidRPr="000471AE">
        <w:t xml:space="preserve"> comparable to </w:t>
      </w:r>
      <w:r>
        <w:t xml:space="preserve">the </w:t>
      </w:r>
      <w:r w:rsidRPr="000471AE">
        <w:t>FERC staff.</w:t>
      </w:r>
    </w:p>
  </w:footnote>
  <w:footnote w:id="6">
    <w:p w14:paraId="489FDCD3" w14:textId="77777777" w:rsidR="00AB79A8" w:rsidRPr="00722B24" w:rsidRDefault="00AB79A8" w:rsidP="00722B24">
      <w:pPr>
        <w:pStyle w:val="FootnoteText"/>
      </w:pPr>
      <w:r w:rsidRPr="00722B24">
        <w:rPr>
          <w:rStyle w:val="FootnoteReference"/>
        </w:rPr>
        <w:footnoteRef/>
      </w:r>
      <w:r w:rsidR="00064F1C">
        <w:t xml:space="preserve"> </w:t>
      </w:r>
      <w:r w:rsidR="00064F1C" w:rsidRPr="00064F1C">
        <w:t>The federal cost of analysis and processing of filings is based upon FERC’s 2015 FTE (full time equivalent) average salary plus benefits of $149,489 (or $72 per hour).</w:t>
      </w:r>
    </w:p>
  </w:footnote>
  <w:footnote w:id="7">
    <w:p w14:paraId="37E7664A" w14:textId="77777777" w:rsidR="00AB79A8" w:rsidRPr="00722B24" w:rsidRDefault="00AB79A8" w:rsidP="00722B24">
      <w:pPr>
        <w:pStyle w:val="FootnoteText"/>
      </w:pPr>
      <w:r w:rsidRPr="00722B24">
        <w:rPr>
          <w:rStyle w:val="FootnoteReference"/>
        </w:rPr>
        <w:footnoteRef/>
      </w:r>
      <w:r w:rsidRPr="00722B24">
        <w:t xml:space="preserve"> Paperwork Reduction Act of 1995 (PRA)</w:t>
      </w:r>
    </w:p>
  </w:footnote>
  <w:footnote w:id="8">
    <w:p w14:paraId="434C0457" w14:textId="77777777" w:rsidR="00AB79A8" w:rsidRPr="00722B24" w:rsidRDefault="00AB79A8" w:rsidP="00722B24">
      <w:pPr>
        <w:pStyle w:val="FootnoteText"/>
      </w:pPr>
      <w:r w:rsidRPr="00722B24">
        <w:rPr>
          <w:rStyle w:val="FootnoteReference"/>
        </w:rPr>
        <w:footnoteRef/>
      </w:r>
      <w:r w:rsidRPr="00722B24">
        <w:t xml:space="preserve"> </w:t>
      </w:r>
      <w:r w:rsidR="00064F1C" w:rsidRPr="00064F1C">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w:t>
      </w:r>
      <w:r w:rsidR="00064F1C">
        <w:t>kings</w:t>
      </w:r>
      <w:r w:rsidR="00064F1C" w:rsidRPr="00064F1C">
        <w:t>, and other changes to the collection.</w:t>
      </w:r>
    </w:p>
  </w:footnote>
  <w:footnote w:id="9">
    <w:p w14:paraId="5BF016AD" w14:textId="09EE6B33" w:rsidR="00DF6624" w:rsidRDefault="00DF6624">
      <w:pPr>
        <w:pStyle w:val="FootnoteText"/>
      </w:pPr>
      <w:r>
        <w:rPr>
          <w:rStyle w:val="FootnoteReference"/>
        </w:rPr>
        <w:footnoteRef/>
      </w:r>
      <w:r>
        <w:t xml:space="preserve"> We estimate an additional 5 FERC-606 responses.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1FCB" w14:textId="6FC02B67" w:rsidR="006902C7" w:rsidRDefault="006A3D98">
    <w:pPr>
      <w:pStyle w:val="Header"/>
      <w:rPr>
        <w:rFonts w:ascii="Times New Roman" w:hAnsi="Times New Roman"/>
        <w:sz w:val="24"/>
        <w:szCs w:val="24"/>
      </w:rPr>
    </w:pPr>
    <w:r>
      <w:rPr>
        <w:rFonts w:ascii="Times New Roman" w:hAnsi="Times New Roman"/>
        <w:sz w:val="24"/>
        <w:szCs w:val="24"/>
      </w:rPr>
      <w:t xml:space="preserve">FERC-606 </w:t>
    </w:r>
    <w:r w:rsidR="00635E74">
      <w:rPr>
        <w:rFonts w:ascii="Times New Roman" w:hAnsi="Times New Roman"/>
        <w:sz w:val="24"/>
        <w:szCs w:val="24"/>
      </w:rPr>
      <w:t xml:space="preserve">and </w:t>
    </w:r>
    <w:r>
      <w:rPr>
        <w:rFonts w:ascii="Times New Roman" w:hAnsi="Times New Roman"/>
        <w:sz w:val="24"/>
        <w:szCs w:val="24"/>
      </w:rPr>
      <w:t xml:space="preserve">FERC-607 </w:t>
    </w:r>
  </w:p>
  <w:p w14:paraId="0DF58870" w14:textId="77777777" w:rsidR="00AB79A8" w:rsidRDefault="00B31C64">
    <w:pPr>
      <w:pStyle w:val="Header"/>
      <w:rPr>
        <w:rFonts w:ascii="Times New Roman" w:hAnsi="Times New Roman"/>
        <w:sz w:val="24"/>
        <w:szCs w:val="24"/>
      </w:rPr>
    </w:pPr>
    <w:r>
      <w:rPr>
        <w:rFonts w:ascii="Times New Roman" w:hAnsi="Times New Roman"/>
        <w:sz w:val="24"/>
        <w:szCs w:val="24"/>
      </w:rPr>
      <w:t>OMB Control No. 1902-0241</w:t>
    </w:r>
  </w:p>
  <w:p w14:paraId="5C222DAC" w14:textId="02767111" w:rsidR="001D2971" w:rsidRDefault="00CB2F9D">
    <w:pPr>
      <w:pStyle w:val="Header"/>
    </w:pPr>
    <w:r>
      <w:rPr>
        <w:rFonts w:ascii="Times New Roman" w:hAnsi="Times New Roman"/>
        <w:sz w:val="24"/>
        <w:szCs w:val="24"/>
      </w:rPr>
      <w:t>(updated 5/24/2016)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36CD1C"/>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542E00"/>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C046D5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D50A70E"/>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E2BE6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064051"/>
    <w:multiLevelType w:val="hybridMultilevel"/>
    <w:tmpl w:val="0D468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2" w15:restartNumberingAfterBreak="0">
    <w:nsid w:val="4FCC1895"/>
    <w:multiLevelType w:val="hybridMultilevel"/>
    <w:tmpl w:val="632C2E0E"/>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3" w15:restartNumberingAfterBreak="0">
    <w:nsid w:val="50AF180E"/>
    <w:multiLevelType w:val="hybridMultilevel"/>
    <w:tmpl w:val="10A027CC"/>
    <w:lvl w:ilvl="0" w:tplc="B4B65028">
      <w:start w:val="12"/>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0761BD"/>
    <w:multiLevelType w:val="hybridMultilevel"/>
    <w:tmpl w:val="B7C6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255AA"/>
    <w:multiLevelType w:val="hybridMultilevel"/>
    <w:tmpl w:val="4D9244D4"/>
    <w:lvl w:ilvl="0" w:tplc="5E94D18E">
      <w:start w:val="17"/>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41D34"/>
    <w:multiLevelType w:val="hybridMultilevel"/>
    <w:tmpl w:val="1064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10"/>
  </w:num>
  <w:num w:numId="15">
    <w:abstractNumId w:val="15"/>
  </w:num>
  <w:num w:numId="16">
    <w:abstractNumId w:val="17"/>
  </w:num>
  <w:num w:numId="17">
    <w:abstractNumId w:val="13"/>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1636"/>
    <w:rsid w:val="00005066"/>
    <w:rsid w:val="00005C25"/>
    <w:rsid w:val="000240E7"/>
    <w:rsid w:val="00030375"/>
    <w:rsid w:val="0003053D"/>
    <w:rsid w:val="00035845"/>
    <w:rsid w:val="00036AD8"/>
    <w:rsid w:val="00043DEA"/>
    <w:rsid w:val="00044424"/>
    <w:rsid w:val="000471AE"/>
    <w:rsid w:val="00050A5B"/>
    <w:rsid w:val="000547C2"/>
    <w:rsid w:val="0006096C"/>
    <w:rsid w:val="000634C3"/>
    <w:rsid w:val="00064F1C"/>
    <w:rsid w:val="00067457"/>
    <w:rsid w:val="00071FE9"/>
    <w:rsid w:val="0007328D"/>
    <w:rsid w:val="00080A48"/>
    <w:rsid w:val="000838B0"/>
    <w:rsid w:val="0009299B"/>
    <w:rsid w:val="000A2EC8"/>
    <w:rsid w:val="000B0C37"/>
    <w:rsid w:val="000B2C9D"/>
    <w:rsid w:val="000C5BD0"/>
    <w:rsid w:val="000D2930"/>
    <w:rsid w:val="000D3807"/>
    <w:rsid w:val="000E3417"/>
    <w:rsid w:val="000F3BF4"/>
    <w:rsid w:val="000F7323"/>
    <w:rsid w:val="00116779"/>
    <w:rsid w:val="00124988"/>
    <w:rsid w:val="001319C2"/>
    <w:rsid w:val="00136834"/>
    <w:rsid w:val="00143103"/>
    <w:rsid w:val="00144CB3"/>
    <w:rsid w:val="00146BB0"/>
    <w:rsid w:val="00156F4C"/>
    <w:rsid w:val="00175D78"/>
    <w:rsid w:val="00176BE9"/>
    <w:rsid w:val="001805A2"/>
    <w:rsid w:val="00181727"/>
    <w:rsid w:val="00185730"/>
    <w:rsid w:val="00187FAB"/>
    <w:rsid w:val="00194D14"/>
    <w:rsid w:val="001A6397"/>
    <w:rsid w:val="001B7E0A"/>
    <w:rsid w:val="001D2971"/>
    <w:rsid w:val="001D2F8B"/>
    <w:rsid w:val="001E3AD8"/>
    <w:rsid w:val="001F0BE8"/>
    <w:rsid w:val="001F5574"/>
    <w:rsid w:val="00220CF1"/>
    <w:rsid w:val="002374DF"/>
    <w:rsid w:val="00254D95"/>
    <w:rsid w:val="0025667B"/>
    <w:rsid w:val="0025683E"/>
    <w:rsid w:val="0026674D"/>
    <w:rsid w:val="00286CFC"/>
    <w:rsid w:val="002A1BCC"/>
    <w:rsid w:val="002A3A8D"/>
    <w:rsid w:val="002A447D"/>
    <w:rsid w:val="002B0B76"/>
    <w:rsid w:val="002C33E1"/>
    <w:rsid w:val="002C64C6"/>
    <w:rsid w:val="002E1D1B"/>
    <w:rsid w:val="002E6A49"/>
    <w:rsid w:val="002F7A0D"/>
    <w:rsid w:val="00300B1F"/>
    <w:rsid w:val="00330771"/>
    <w:rsid w:val="00331283"/>
    <w:rsid w:val="00331764"/>
    <w:rsid w:val="00334743"/>
    <w:rsid w:val="00365CA0"/>
    <w:rsid w:val="003A4859"/>
    <w:rsid w:val="003A6D60"/>
    <w:rsid w:val="003A72E2"/>
    <w:rsid w:val="003B09A2"/>
    <w:rsid w:val="003B1420"/>
    <w:rsid w:val="003B669D"/>
    <w:rsid w:val="003C2060"/>
    <w:rsid w:val="003D0B60"/>
    <w:rsid w:val="003D3823"/>
    <w:rsid w:val="003D5CD2"/>
    <w:rsid w:val="003F60D6"/>
    <w:rsid w:val="00401F53"/>
    <w:rsid w:val="00402EDD"/>
    <w:rsid w:val="0041113E"/>
    <w:rsid w:val="004115D7"/>
    <w:rsid w:val="004144F8"/>
    <w:rsid w:val="00414F32"/>
    <w:rsid w:val="00417678"/>
    <w:rsid w:val="004236FE"/>
    <w:rsid w:val="00436066"/>
    <w:rsid w:val="00443522"/>
    <w:rsid w:val="00464178"/>
    <w:rsid w:val="0046569D"/>
    <w:rsid w:val="004670F1"/>
    <w:rsid w:val="004770BE"/>
    <w:rsid w:val="00485549"/>
    <w:rsid w:val="00493D39"/>
    <w:rsid w:val="004B0EBC"/>
    <w:rsid w:val="004B6DA9"/>
    <w:rsid w:val="004C390A"/>
    <w:rsid w:val="004C4C89"/>
    <w:rsid w:val="004C7DBD"/>
    <w:rsid w:val="004F6977"/>
    <w:rsid w:val="00522F69"/>
    <w:rsid w:val="0053287C"/>
    <w:rsid w:val="005610C9"/>
    <w:rsid w:val="005642A6"/>
    <w:rsid w:val="00571C5E"/>
    <w:rsid w:val="0057700F"/>
    <w:rsid w:val="005828A1"/>
    <w:rsid w:val="005876C7"/>
    <w:rsid w:val="005A2149"/>
    <w:rsid w:val="005A2792"/>
    <w:rsid w:val="005B0430"/>
    <w:rsid w:val="005B1309"/>
    <w:rsid w:val="005B77CE"/>
    <w:rsid w:val="005C1B75"/>
    <w:rsid w:val="005C3177"/>
    <w:rsid w:val="005C542C"/>
    <w:rsid w:val="005D04EF"/>
    <w:rsid w:val="005D09B0"/>
    <w:rsid w:val="005F0E5A"/>
    <w:rsid w:val="005F1C3C"/>
    <w:rsid w:val="005F74ED"/>
    <w:rsid w:val="00603DF9"/>
    <w:rsid w:val="006050FD"/>
    <w:rsid w:val="006166FA"/>
    <w:rsid w:val="00635E74"/>
    <w:rsid w:val="00640241"/>
    <w:rsid w:val="006632B9"/>
    <w:rsid w:val="00664BC0"/>
    <w:rsid w:val="0067180D"/>
    <w:rsid w:val="00672E19"/>
    <w:rsid w:val="0068236E"/>
    <w:rsid w:val="006837F8"/>
    <w:rsid w:val="00690136"/>
    <w:rsid w:val="006902C7"/>
    <w:rsid w:val="00696062"/>
    <w:rsid w:val="006A333B"/>
    <w:rsid w:val="006A3D98"/>
    <w:rsid w:val="006B4576"/>
    <w:rsid w:val="006C5925"/>
    <w:rsid w:val="006D607B"/>
    <w:rsid w:val="006E7BF6"/>
    <w:rsid w:val="006F4A6D"/>
    <w:rsid w:val="006F6609"/>
    <w:rsid w:val="00701737"/>
    <w:rsid w:val="0071500F"/>
    <w:rsid w:val="007164EF"/>
    <w:rsid w:val="00722B24"/>
    <w:rsid w:val="00761550"/>
    <w:rsid w:val="00766983"/>
    <w:rsid w:val="00767313"/>
    <w:rsid w:val="007737B1"/>
    <w:rsid w:val="00773A09"/>
    <w:rsid w:val="00773AEB"/>
    <w:rsid w:val="00787670"/>
    <w:rsid w:val="007954B4"/>
    <w:rsid w:val="007A1A3F"/>
    <w:rsid w:val="007A1BE4"/>
    <w:rsid w:val="007A2C84"/>
    <w:rsid w:val="007A2F92"/>
    <w:rsid w:val="007A4E65"/>
    <w:rsid w:val="007C068B"/>
    <w:rsid w:val="007C3AC4"/>
    <w:rsid w:val="007D6013"/>
    <w:rsid w:val="007E3489"/>
    <w:rsid w:val="007E4B6C"/>
    <w:rsid w:val="007E7C0F"/>
    <w:rsid w:val="00802092"/>
    <w:rsid w:val="00805EA2"/>
    <w:rsid w:val="00807D0E"/>
    <w:rsid w:val="0082425C"/>
    <w:rsid w:val="00830E9C"/>
    <w:rsid w:val="008330BD"/>
    <w:rsid w:val="008356FF"/>
    <w:rsid w:val="00836A04"/>
    <w:rsid w:val="00860D2E"/>
    <w:rsid w:val="008619E1"/>
    <w:rsid w:val="0086457D"/>
    <w:rsid w:val="00867600"/>
    <w:rsid w:val="008678FF"/>
    <w:rsid w:val="008712A5"/>
    <w:rsid w:val="0087615B"/>
    <w:rsid w:val="00876F75"/>
    <w:rsid w:val="008A1D7F"/>
    <w:rsid w:val="008A21A4"/>
    <w:rsid w:val="008A22DB"/>
    <w:rsid w:val="008C2774"/>
    <w:rsid w:val="008C288D"/>
    <w:rsid w:val="008E70CD"/>
    <w:rsid w:val="008E7479"/>
    <w:rsid w:val="008F4A9D"/>
    <w:rsid w:val="008F7554"/>
    <w:rsid w:val="00906893"/>
    <w:rsid w:val="009133E4"/>
    <w:rsid w:val="00913A8B"/>
    <w:rsid w:val="009349F8"/>
    <w:rsid w:val="0093634A"/>
    <w:rsid w:val="009415DC"/>
    <w:rsid w:val="00941FFF"/>
    <w:rsid w:val="00945869"/>
    <w:rsid w:val="0094624A"/>
    <w:rsid w:val="00950BC1"/>
    <w:rsid w:val="00955CB7"/>
    <w:rsid w:val="00960FF9"/>
    <w:rsid w:val="0096365B"/>
    <w:rsid w:val="00970FE4"/>
    <w:rsid w:val="0099408E"/>
    <w:rsid w:val="009A0F6A"/>
    <w:rsid w:val="009A778A"/>
    <w:rsid w:val="009C1C9F"/>
    <w:rsid w:val="009C3198"/>
    <w:rsid w:val="009C6B00"/>
    <w:rsid w:val="009D11CF"/>
    <w:rsid w:val="009D4950"/>
    <w:rsid w:val="009D6740"/>
    <w:rsid w:val="009E1190"/>
    <w:rsid w:val="009E4633"/>
    <w:rsid w:val="009F1894"/>
    <w:rsid w:val="009F3CEC"/>
    <w:rsid w:val="009F595F"/>
    <w:rsid w:val="00A00D62"/>
    <w:rsid w:val="00A05462"/>
    <w:rsid w:val="00A107DD"/>
    <w:rsid w:val="00A15570"/>
    <w:rsid w:val="00A276F5"/>
    <w:rsid w:val="00A3160E"/>
    <w:rsid w:val="00A4071B"/>
    <w:rsid w:val="00A436E1"/>
    <w:rsid w:val="00A50033"/>
    <w:rsid w:val="00A55DBC"/>
    <w:rsid w:val="00A5730C"/>
    <w:rsid w:val="00A66B55"/>
    <w:rsid w:val="00A674E5"/>
    <w:rsid w:val="00A72E7B"/>
    <w:rsid w:val="00A83085"/>
    <w:rsid w:val="00A90371"/>
    <w:rsid w:val="00A90A94"/>
    <w:rsid w:val="00A9638D"/>
    <w:rsid w:val="00A96B65"/>
    <w:rsid w:val="00AA1195"/>
    <w:rsid w:val="00AA2062"/>
    <w:rsid w:val="00AA31F2"/>
    <w:rsid w:val="00AA3554"/>
    <w:rsid w:val="00AA6B2B"/>
    <w:rsid w:val="00AB53AD"/>
    <w:rsid w:val="00AB79A8"/>
    <w:rsid w:val="00AC0D7D"/>
    <w:rsid w:val="00AD3DE5"/>
    <w:rsid w:val="00AD3E68"/>
    <w:rsid w:val="00AD4502"/>
    <w:rsid w:val="00AF3E81"/>
    <w:rsid w:val="00B01772"/>
    <w:rsid w:val="00B15847"/>
    <w:rsid w:val="00B16754"/>
    <w:rsid w:val="00B24695"/>
    <w:rsid w:val="00B26FB2"/>
    <w:rsid w:val="00B31C64"/>
    <w:rsid w:val="00B36454"/>
    <w:rsid w:val="00B44B01"/>
    <w:rsid w:val="00BA1C7D"/>
    <w:rsid w:val="00BA3C9E"/>
    <w:rsid w:val="00BA4E1F"/>
    <w:rsid w:val="00BA7C56"/>
    <w:rsid w:val="00BC050C"/>
    <w:rsid w:val="00BC1960"/>
    <w:rsid w:val="00BD407C"/>
    <w:rsid w:val="00BF3D9A"/>
    <w:rsid w:val="00C01698"/>
    <w:rsid w:val="00C049C6"/>
    <w:rsid w:val="00C108BB"/>
    <w:rsid w:val="00C12066"/>
    <w:rsid w:val="00C1313B"/>
    <w:rsid w:val="00C160D1"/>
    <w:rsid w:val="00C246F9"/>
    <w:rsid w:val="00C31FBB"/>
    <w:rsid w:val="00C42BB2"/>
    <w:rsid w:val="00C510DD"/>
    <w:rsid w:val="00C51B04"/>
    <w:rsid w:val="00C616BD"/>
    <w:rsid w:val="00C628E0"/>
    <w:rsid w:val="00C63320"/>
    <w:rsid w:val="00C65768"/>
    <w:rsid w:val="00C76146"/>
    <w:rsid w:val="00C83337"/>
    <w:rsid w:val="00C84FE6"/>
    <w:rsid w:val="00C91FB6"/>
    <w:rsid w:val="00C9381C"/>
    <w:rsid w:val="00C96BC0"/>
    <w:rsid w:val="00CA1C4B"/>
    <w:rsid w:val="00CA59C3"/>
    <w:rsid w:val="00CB2792"/>
    <w:rsid w:val="00CB2F9D"/>
    <w:rsid w:val="00CB701C"/>
    <w:rsid w:val="00CC7AE4"/>
    <w:rsid w:val="00CD0831"/>
    <w:rsid w:val="00CD4E43"/>
    <w:rsid w:val="00CE63ED"/>
    <w:rsid w:val="00CF297F"/>
    <w:rsid w:val="00CF5A45"/>
    <w:rsid w:val="00D03E32"/>
    <w:rsid w:val="00D1686B"/>
    <w:rsid w:val="00D20C0A"/>
    <w:rsid w:val="00D20EC9"/>
    <w:rsid w:val="00D22318"/>
    <w:rsid w:val="00D340F7"/>
    <w:rsid w:val="00D36ECB"/>
    <w:rsid w:val="00D46243"/>
    <w:rsid w:val="00D56041"/>
    <w:rsid w:val="00D62C34"/>
    <w:rsid w:val="00D73DCF"/>
    <w:rsid w:val="00D758B6"/>
    <w:rsid w:val="00D80FBD"/>
    <w:rsid w:val="00D940DB"/>
    <w:rsid w:val="00DA4F3E"/>
    <w:rsid w:val="00DC4E36"/>
    <w:rsid w:val="00DD14E0"/>
    <w:rsid w:val="00DF2C33"/>
    <w:rsid w:val="00DF6624"/>
    <w:rsid w:val="00E105BF"/>
    <w:rsid w:val="00E11CA6"/>
    <w:rsid w:val="00E12F12"/>
    <w:rsid w:val="00E14565"/>
    <w:rsid w:val="00E15F00"/>
    <w:rsid w:val="00E20612"/>
    <w:rsid w:val="00E27675"/>
    <w:rsid w:val="00E445DF"/>
    <w:rsid w:val="00E44F77"/>
    <w:rsid w:val="00E614C4"/>
    <w:rsid w:val="00E636D7"/>
    <w:rsid w:val="00E63754"/>
    <w:rsid w:val="00E64A4D"/>
    <w:rsid w:val="00E65CE0"/>
    <w:rsid w:val="00E86597"/>
    <w:rsid w:val="00E87A4F"/>
    <w:rsid w:val="00E87AFB"/>
    <w:rsid w:val="00EA3155"/>
    <w:rsid w:val="00EA31AE"/>
    <w:rsid w:val="00EA4E2E"/>
    <w:rsid w:val="00EB06F5"/>
    <w:rsid w:val="00EB3E6F"/>
    <w:rsid w:val="00EB6D44"/>
    <w:rsid w:val="00EB7488"/>
    <w:rsid w:val="00EC3FE1"/>
    <w:rsid w:val="00ED4D76"/>
    <w:rsid w:val="00ED5560"/>
    <w:rsid w:val="00ED5E91"/>
    <w:rsid w:val="00EF35DC"/>
    <w:rsid w:val="00EF4E94"/>
    <w:rsid w:val="00EF5F66"/>
    <w:rsid w:val="00F06D4F"/>
    <w:rsid w:val="00F0760C"/>
    <w:rsid w:val="00F10526"/>
    <w:rsid w:val="00F114FA"/>
    <w:rsid w:val="00F12DC2"/>
    <w:rsid w:val="00F152DF"/>
    <w:rsid w:val="00F2092A"/>
    <w:rsid w:val="00F2118F"/>
    <w:rsid w:val="00F31F68"/>
    <w:rsid w:val="00F4133B"/>
    <w:rsid w:val="00F459F4"/>
    <w:rsid w:val="00F5265E"/>
    <w:rsid w:val="00F62F79"/>
    <w:rsid w:val="00F6690F"/>
    <w:rsid w:val="00F77D11"/>
    <w:rsid w:val="00F835BB"/>
    <w:rsid w:val="00F86929"/>
    <w:rsid w:val="00FB54CF"/>
    <w:rsid w:val="00FB5D48"/>
    <w:rsid w:val="00FC0A87"/>
    <w:rsid w:val="00FD4453"/>
    <w:rsid w:val="00FD66F1"/>
    <w:rsid w:val="00FE4CD9"/>
    <w:rsid w:val="00FE5796"/>
    <w:rsid w:val="00FF577D"/>
    <w:rsid w:val="00FF7774"/>
    <w:rsid w:val="00FF79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80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uiPriority w:val="99"/>
    <w:rsid w:val="00D80FBD"/>
    <w:pPr>
      <w:numPr>
        <w:numId w:val="1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1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859922">
      <w:bodyDiv w:val="1"/>
      <w:marLeft w:val="0"/>
      <w:marRight w:val="0"/>
      <w:marTop w:val="0"/>
      <w:marBottom w:val="0"/>
      <w:divBdr>
        <w:top w:val="none" w:sz="0" w:space="0" w:color="auto"/>
        <w:left w:val="none" w:sz="0" w:space="0" w:color="auto"/>
        <w:bottom w:val="none" w:sz="0" w:space="0" w:color="auto"/>
        <w:right w:val="none" w:sz="0" w:space="0" w:color="auto"/>
      </w:divBdr>
    </w:div>
    <w:div w:id="166593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library.ferc.gov/idmws/common/opennat.asp?fileID=1405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606</_x0031__x002e__x0020_Collection_x0020_Number>
    <Date xmlns="d6eefc7d-9817-4fa6-84d5-3bc009be21b8">2016-05-24T00:00:00-04:00</Date>
    <Status xmlns="d6eefc7d-9817-4fa6-84d5-3bc009be21b8">Final</Status>
    <_x0032__x002e__x0020_Docket_x0020_Number xmlns="d6eefc7d-9817-4fa6-84d5-3bc009be21b8" xsi:nil="true"/>
    <_x0032__x002e__x0020_Collection_x0020_Number xmlns="d6eefc7d-9817-4fa6-84d5-3bc009be21b8">607</_x0032__x002e__x0020_Collection_x0020_Number>
    <_x0031__x002e__x0020_Docket_x0020_Number xmlns="d6eefc7d-9817-4fa6-84d5-3bc009be21b8">IC16-3</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03D4-52FE-48F9-98E6-4B443AF6C5BC}">
  <ds:schemaRefs>
    <ds:schemaRef ds:uri="http://schemas.microsoft.com/sharepoint/v3/contenttype/forms"/>
  </ds:schemaRefs>
</ds:datastoreItem>
</file>

<file path=customXml/itemProps2.xml><?xml version="1.0" encoding="utf-8"?>
<ds:datastoreItem xmlns:ds="http://schemas.openxmlformats.org/officeDocument/2006/customXml" ds:itemID="{014CC701-830A-4346-A701-0C76CB5F0324}">
  <ds:schemaRefs>
    <ds:schemaRef ds:uri="http://schemas.microsoft.com/office/2006/metadata/customXsn"/>
  </ds:schemaRefs>
</ds:datastoreItem>
</file>

<file path=customXml/itemProps3.xml><?xml version="1.0" encoding="utf-8"?>
<ds:datastoreItem xmlns:ds="http://schemas.openxmlformats.org/officeDocument/2006/customXml" ds:itemID="{12DB87DD-4983-4C29-8F36-0715B6A21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7E46F-EE7D-4B91-B3EF-24A6B6709495}">
  <ds:schemaRef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6eefc7d-9817-4fa6-84d5-3bc009be21b8"/>
    <ds:schemaRef ds:uri="http://www.w3.org/XML/1998/namespace"/>
  </ds:schemaRefs>
</ds:datastoreItem>
</file>

<file path=customXml/itemProps5.xml><?xml version="1.0" encoding="utf-8"?>
<ds:datastoreItem xmlns:ds="http://schemas.openxmlformats.org/officeDocument/2006/customXml" ds:itemID="{D6E057D7-28E6-40DE-B4A3-2B05D72D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2016-05-24T19:15:00Z</dcterms:created>
  <dcterms:modified xsi:type="dcterms:W3CDTF">2016-05-24T19:47:00Z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