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4471A" w:rsidRPr="0034471A" w14:paraId="212B52EA" w14:textId="77777777" w:rsidTr="0034471A">
        <w:trPr>
          <w:tblCellSpacing w:w="15" w:type="dxa"/>
          <w:jc w:val="center"/>
        </w:trPr>
        <w:tc>
          <w:tcPr>
            <w:tcW w:w="0" w:type="auto"/>
            <w:hideMark/>
          </w:tcPr>
          <w:p w14:paraId="518973C6" w14:textId="77777777" w:rsidR="00000000" w:rsidRPr="0034471A" w:rsidRDefault="0034471A" w:rsidP="0034471A">
            <w:pPr>
              <w:spacing w:after="0" w:line="240" w:lineRule="auto"/>
              <w:rPr>
                <w:b/>
                <w:bCs/>
              </w:rPr>
            </w:pPr>
            <w:r w:rsidRPr="0034471A">
              <w:rPr>
                <w:b/>
                <w:bCs/>
              </w:rPr>
              <w:t>e-CFR data is current as of February 23, 2016</w:t>
            </w:r>
          </w:p>
        </w:tc>
      </w:tr>
    </w:tbl>
    <w:p w14:paraId="1618A8A3" w14:textId="77777777" w:rsidR="0034471A" w:rsidRPr="0034471A" w:rsidRDefault="0034471A" w:rsidP="0034471A">
      <w:pPr>
        <w:spacing w:after="0" w:line="240" w:lineRule="auto"/>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02"/>
      </w:tblGrid>
      <w:tr w:rsidR="0034471A" w:rsidRPr="0034471A" w14:paraId="33363ACA" w14:textId="77777777" w:rsidTr="0034471A">
        <w:trPr>
          <w:tblCellSpacing w:w="15" w:type="dxa"/>
          <w:jc w:val="center"/>
        </w:trPr>
        <w:tc>
          <w:tcPr>
            <w:tcW w:w="0" w:type="auto"/>
            <w:hideMark/>
          </w:tcPr>
          <w:p w14:paraId="4B0A2F95" w14:textId="77777777" w:rsidR="0034471A" w:rsidRPr="0034471A" w:rsidRDefault="0034471A" w:rsidP="0034471A">
            <w:pPr>
              <w:spacing w:after="0" w:line="240" w:lineRule="auto"/>
            </w:pPr>
            <w:hyperlink r:id="rId11" w:history="1">
              <w:r w:rsidRPr="0034471A">
                <w:rPr>
                  <w:rStyle w:val="Hyperlink"/>
                </w:rPr>
                <w:t>Title 18</w:t>
              </w:r>
            </w:hyperlink>
            <w:r w:rsidRPr="0034471A">
              <w:t xml:space="preserve"> → </w:t>
            </w:r>
            <w:hyperlink r:id="rId12" w:history="1">
              <w:r w:rsidRPr="0034471A">
                <w:rPr>
                  <w:rStyle w:val="Hyperlink"/>
                </w:rPr>
                <w:t>Chapter I</w:t>
              </w:r>
            </w:hyperlink>
            <w:r w:rsidRPr="0034471A">
              <w:t xml:space="preserve"> → </w:t>
            </w:r>
            <w:hyperlink r:id="rId13" w:history="1">
              <w:r w:rsidRPr="0034471A">
                <w:rPr>
                  <w:rStyle w:val="Hyperlink"/>
                </w:rPr>
                <w:t>Subchapter E</w:t>
              </w:r>
            </w:hyperlink>
            <w:r w:rsidRPr="0034471A">
              <w:t xml:space="preserve"> → Part 154</w:t>
            </w:r>
          </w:p>
          <w:p w14:paraId="60D05413" w14:textId="77777777" w:rsidR="0034471A" w:rsidRPr="0034471A" w:rsidRDefault="0034471A" w:rsidP="0034471A">
            <w:pPr>
              <w:spacing w:after="0" w:line="240" w:lineRule="auto"/>
            </w:pPr>
            <w:r w:rsidRPr="0034471A">
              <w:pict w14:anchorId="7475AFCE">
                <v:rect id="_x0000_i1025" style="width:0;height:1.5pt" o:hralign="center" o:hrstd="t" o:hrnoshade="t" o:hr="t" fillcolor="black" stroked="f"/>
              </w:pict>
            </w:r>
          </w:p>
        </w:tc>
      </w:tr>
    </w:tbl>
    <w:p w14:paraId="427A21B6" w14:textId="77777777" w:rsidR="0034471A" w:rsidRPr="0034471A" w:rsidRDefault="0034471A" w:rsidP="0034471A">
      <w:pPr>
        <w:spacing w:after="0" w:line="240" w:lineRule="auto"/>
      </w:pPr>
      <w:r w:rsidRPr="0034471A">
        <w:t xml:space="preserve">Title 18: Conservation of Power and Water Resources </w:t>
      </w:r>
    </w:p>
    <w:p w14:paraId="626C2426" w14:textId="77777777" w:rsidR="0034471A" w:rsidRPr="0034471A" w:rsidRDefault="0034471A" w:rsidP="0034471A">
      <w:pPr>
        <w:spacing w:after="0" w:line="240" w:lineRule="auto"/>
      </w:pPr>
      <w:r w:rsidRPr="0034471A">
        <w:pict w14:anchorId="61E67662">
          <v:rect id="_x0000_i1026" style="width:0;height:1.5pt" o:hralign="center" o:hrstd="t" o:hr="t" fillcolor="#a0a0a0" stroked="f"/>
        </w:pict>
      </w:r>
    </w:p>
    <w:p w14:paraId="69B3A842" w14:textId="77777777" w:rsidR="0034471A" w:rsidRDefault="0034471A" w:rsidP="0034471A">
      <w:pPr>
        <w:spacing w:after="0" w:line="240" w:lineRule="auto"/>
        <w:rPr>
          <w:b/>
          <w:bCs/>
        </w:rPr>
      </w:pPr>
      <w:bookmarkStart w:id="0" w:name="_top"/>
      <w:bookmarkEnd w:id="0"/>
      <w:r w:rsidRPr="0034471A">
        <w:rPr>
          <w:b/>
          <w:bCs/>
        </w:rPr>
        <w:t xml:space="preserve">PART 154—RATE SCHEDULES AND TARIFFS </w:t>
      </w:r>
    </w:p>
    <w:p w14:paraId="2C4ADFBE" w14:textId="77777777" w:rsidR="0034471A" w:rsidRPr="0034471A" w:rsidRDefault="0034471A" w:rsidP="0034471A">
      <w:pPr>
        <w:spacing w:after="0" w:line="240" w:lineRule="auto"/>
        <w:rPr>
          <w:bCs/>
        </w:rPr>
      </w:pPr>
      <w:r w:rsidRPr="0034471A">
        <w:rPr>
          <w:bCs/>
        </w:rPr>
        <w:t>….</w:t>
      </w:r>
    </w:p>
    <w:p w14:paraId="4F7647DA" w14:textId="77777777" w:rsidR="0034471A" w:rsidRPr="0034471A" w:rsidRDefault="0034471A" w:rsidP="0034471A">
      <w:pPr>
        <w:spacing w:after="0" w:line="240" w:lineRule="auto"/>
        <w:rPr>
          <w:b/>
          <w:bCs/>
        </w:rPr>
      </w:pPr>
      <w:r w:rsidRPr="0034471A">
        <w:rPr>
          <w:b/>
          <w:bCs/>
        </w:rPr>
        <w:t>§154.4   Electronic filing of tariffs and related materials.</w:t>
      </w:r>
    </w:p>
    <w:p w14:paraId="07AF4925" w14:textId="77777777" w:rsidR="0034471A" w:rsidRPr="0034471A" w:rsidRDefault="0034471A" w:rsidP="0034471A">
      <w:pPr>
        <w:spacing w:after="0" w:line="240" w:lineRule="auto"/>
        <w:rPr>
          <w:bCs/>
        </w:rPr>
      </w:pPr>
      <w:r w:rsidRPr="0034471A">
        <w:rPr>
          <w:bCs/>
        </w:rPr>
        <w:t xml:space="preserve">(a) </w:t>
      </w:r>
      <w:r w:rsidRPr="0034471A">
        <w:rPr>
          <w:bCs/>
          <w:i/>
          <w:iCs/>
        </w:rPr>
        <w:t>General rule.</w:t>
      </w:r>
      <w:r w:rsidRPr="0034471A">
        <w:rPr>
          <w:bCs/>
        </w:rPr>
        <w:t xml:space="preserve"> All filings made in proceedings initiated under this part must be made electronically, including tariffs, rate schedules, service agreements, and contracts, or parts thereof, and material that relates to or bears upon such documents, such as cancellations, amendments, withdrawals, termination, or adoption of tariffs, and motions relating to suspension.</w:t>
      </w:r>
    </w:p>
    <w:p w14:paraId="6A95C6D6" w14:textId="77777777" w:rsidR="0034471A" w:rsidRPr="0034471A" w:rsidRDefault="0034471A" w:rsidP="0034471A">
      <w:pPr>
        <w:spacing w:after="0" w:line="240" w:lineRule="auto"/>
        <w:rPr>
          <w:bCs/>
        </w:rPr>
      </w:pPr>
      <w:r w:rsidRPr="0034471A">
        <w:rPr>
          <w:bCs/>
        </w:rPr>
        <w:t xml:space="preserve">(b) </w:t>
      </w:r>
      <w:r w:rsidRPr="0034471A">
        <w:rPr>
          <w:bCs/>
          <w:i/>
          <w:iCs/>
        </w:rPr>
        <w:t>Requirement for signature.</w:t>
      </w:r>
      <w:r w:rsidRPr="0034471A">
        <w:rPr>
          <w:bCs/>
        </w:rPr>
        <w:t xml:space="preserve"> All filings must be signed in compliance with the following:</w:t>
      </w:r>
    </w:p>
    <w:p w14:paraId="0EF9FB01" w14:textId="77777777" w:rsidR="0034471A" w:rsidRPr="0034471A" w:rsidRDefault="0034471A" w:rsidP="0034471A">
      <w:pPr>
        <w:spacing w:after="0" w:line="240" w:lineRule="auto"/>
        <w:rPr>
          <w:bCs/>
        </w:rPr>
      </w:pPr>
      <w:r w:rsidRPr="0034471A">
        <w:rPr>
          <w:bCs/>
        </w:rPr>
        <w:t>(1) The signature on a filing constitutes a certification that the contents are true to the best knowledge and belief of the signer, and that the signer possesses full power and authority to sign the filing.</w:t>
      </w:r>
    </w:p>
    <w:p w14:paraId="271F0120" w14:textId="77777777" w:rsidR="0034471A" w:rsidRPr="0034471A" w:rsidRDefault="0034471A" w:rsidP="0034471A">
      <w:pPr>
        <w:spacing w:after="0" w:line="240" w:lineRule="auto"/>
        <w:rPr>
          <w:bCs/>
        </w:rPr>
      </w:pPr>
      <w:r w:rsidRPr="0034471A">
        <w:rPr>
          <w:bCs/>
        </w:rPr>
        <w:t>(2) A filing must be signed by one of the following:</w:t>
      </w:r>
    </w:p>
    <w:p w14:paraId="6B7ADF18" w14:textId="77777777" w:rsidR="0034471A" w:rsidRPr="0034471A" w:rsidRDefault="0034471A" w:rsidP="0034471A">
      <w:pPr>
        <w:spacing w:after="0" w:line="240" w:lineRule="auto"/>
        <w:rPr>
          <w:bCs/>
        </w:rPr>
      </w:pPr>
      <w:r w:rsidRPr="0034471A">
        <w:rPr>
          <w:bCs/>
        </w:rPr>
        <w:t>(i) The person on behalf of whom the filing is made;</w:t>
      </w:r>
    </w:p>
    <w:p w14:paraId="63CD9DF1" w14:textId="77777777" w:rsidR="0034471A" w:rsidRPr="0034471A" w:rsidRDefault="0034471A" w:rsidP="0034471A">
      <w:pPr>
        <w:spacing w:after="0" w:line="240" w:lineRule="auto"/>
        <w:rPr>
          <w:bCs/>
        </w:rPr>
      </w:pPr>
      <w:r w:rsidRPr="0034471A">
        <w:rPr>
          <w:bCs/>
        </w:rPr>
        <w:t>(ii) An officer, agent, or employee of the company, governmental authority, agency, or instrumentality on behalf of which the filing is made; or,</w:t>
      </w:r>
    </w:p>
    <w:p w14:paraId="62311AEA" w14:textId="77777777" w:rsidR="0034471A" w:rsidRPr="0034471A" w:rsidRDefault="0034471A" w:rsidP="0034471A">
      <w:pPr>
        <w:spacing w:after="0" w:line="240" w:lineRule="auto"/>
        <w:rPr>
          <w:bCs/>
        </w:rPr>
      </w:pPr>
      <w:r w:rsidRPr="0034471A">
        <w:rPr>
          <w:bCs/>
        </w:rPr>
        <w:t>(iii) A representative qualified to practice before the Commission under §385.2101 of this chapter who possesses authority to sign.</w:t>
      </w:r>
    </w:p>
    <w:p w14:paraId="10E26039" w14:textId="77777777" w:rsidR="0034471A" w:rsidRPr="0034471A" w:rsidRDefault="0034471A" w:rsidP="0034471A">
      <w:pPr>
        <w:spacing w:after="0" w:line="240" w:lineRule="auto"/>
        <w:rPr>
          <w:bCs/>
        </w:rPr>
      </w:pPr>
      <w:r w:rsidRPr="0034471A">
        <w:rPr>
          <w:bCs/>
        </w:rPr>
        <w:t>(3) All signatures on the filing or any document included in the filing must comply, where applicable, with the requirements in §385.2005 of this chapter with respect to sworn declarations or statements and electronic signatures.</w:t>
      </w:r>
    </w:p>
    <w:p w14:paraId="57921CAF" w14:textId="77777777" w:rsidR="0034471A" w:rsidRPr="0034471A" w:rsidRDefault="0034471A" w:rsidP="0034471A">
      <w:pPr>
        <w:spacing w:after="0" w:line="240" w:lineRule="auto"/>
        <w:rPr>
          <w:bCs/>
        </w:rPr>
      </w:pPr>
      <w:r w:rsidRPr="0034471A">
        <w:rPr>
          <w:bCs/>
        </w:rPr>
        <w:t xml:space="preserve">(c) Format requirements for electronic filing. The requirements and formats for electronic filing are listed in instructions for electronic filing and for each form. These formats are available on the Internet at </w:t>
      </w:r>
      <w:r w:rsidRPr="0034471A">
        <w:rPr>
          <w:bCs/>
          <w:i/>
          <w:iCs/>
        </w:rPr>
        <w:t>http://www.ferc.gov</w:t>
      </w:r>
      <w:r w:rsidRPr="0034471A">
        <w:rPr>
          <w:bCs/>
        </w:rPr>
        <w:t xml:space="preserve"> and can be obtained at the Federal Energy Regulatory Commission, Public Reference Room, 888 First Street, NE., </w:t>
      </w:r>
      <w:proofErr w:type="gramStart"/>
      <w:r w:rsidRPr="0034471A">
        <w:rPr>
          <w:bCs/>
        </w:rPr>
        <w:t>Washington</w:t>
      </w:r>
      <w:proofErr w:type="gramEnd"/>
      <w:r w:rsidRPr="0034471A">
        <w:rPr>
          <w:bCs/>
        </w:rPr>
        <w:t>, DC 20426.</w:t>
      </w:r>
    </w:p>
    <w:p w14:paraId="1B634556" w14:textId="77777777" w:rsidR="0034471A" w:rsidRPr="0034471A" w:rsidRDefault="0034471A" w:rsidP="0034471A">
      <w:pPr>
        <w:spacing w:after="0" w:line="240" w:lineRule="auto"/>
        <w:rPr>
          <w:bCs/>
        </w:rPr>
      </w:pPr>
      <w:r w:rsidRPr="0034471A">
        <w:rPr>
          <w:bCs/>
        </w:rPr>
        <w:t>(d) Only filings filed and designated as filings with statutory action dates in accordance with these electronic filing requirements and formats will be considered to have statutory action dates. Filings not properly filed and designated as having statutory action dates will not become effective, pursuant to the Natural Gas Act, should the Commission not act by the requested action date.</w:t>
      </w:r>
    </w:p>
    <w:p w14:paraId="4A67ACF6" w14:textId="77777777" w:rsidR="0034471A" w:rsidRPr="0034471A" w:rsidRDefault="0034471A" w:rsidP="0034471A">
      <w:pPr>
        <w:spacing w:after="0" w:line="240" w:lineRule="auto"/>
        <w:rPr>
          <w:bCs/>
        </w:rPr>
      </w:pPr>
      <w:r w:rsidRPr="0034471A">
        <w:rPr>
          <w:bCs/>
        </w:rPr>
        <w:t>[Order 714, 73 FR 57533, Oct. 3, 2008, as amended by Order 714-A, 79 FR 29076, May 21, 2014]</w:t>
      </w:r>
    </w:p>
    <w:p w14:paraId="06634677" w14:textId="77777777" w:rsidR="0034471A" w:rsidRPr="0034471A" w:rsidRDefault="0034471A" w:rsidP="0034471A">
      <w:pPr>
        <w:spacing w:after="0" w:line="240" w:lineRule="auto"/>
        <w:rPr>
          <w:b/>
          <w:bCs/>
        </w:rPr>
      </w:pPr>
      <w:r w:rsidRPr="0034471A">
        <w:rPr>
          <w:bCs/>
        </w:rPr>
        <w:t>….</w:t>
      </w:r>
    </w:p>
    <w:p w14:paraId="299308B1" w14:textId="77777777" w:rsidR="0034471A" w:rsidRPr="0034471A" w:rsidRDefault="0034471A" w:rsidP="0034471A">
      <w:pPr>
        <w:spacing w:after="0" w:line="240" w:lineRule="auto"/>
        <w:rPr>
          <w:b/>
          <w:bCs/>
        </w:rPr>
      </w:pPr>
      <w:r w:rsidRPr="0034471A">
        <w:rPr>
          <w:b/>
          <w:bCs/>
        </w:rPr>
        <w:t>§154.7   General requirements for the submission of a tariff filing or executed service agreement.</w:t>
      </w:r>
    </w:p>
    <w:p w14:paraId="08C13064" w14:textId="77777777" w:rsidR="0034471A" w:rsidRPr="0034471A" w:rsidRDefault="0034471A" w:rsidP="0034471A">
      <w:pPr>
        <w:spacing w:after="0" w:line="240" w:lineRule="auto"/>
        <w:rPr>
          <w:bCs/>
        </w:rPr>
      </w:pPr>
      <w:r w:rsidRPr="0034471A">
        <w:rPr>
          <w:bCs/>
        </w:rPr>
        <w:t xml:space="preserve">The following must be included with the filing of any tariff, executed service agreement, or part thereof, or change thereto. </w:t>
      </w:r>
    </w:p>
    <w:p w14:paraId="766A27BE" w14:textId="77777777" w:rsidR="0034471A" w:rsidRPr="0034471A" w:rsidRDefault="0034471A" w:rsidP="0034471A">
      <w:pPr>
        <w:spacing w:after="0" w:line="240" w:lineRule="auto"/>
        <w:rPr>
          <w:bCs/>
        </w:rPr>
      </w:pPr>
      <w:r w:rsidRPr="0034471A">
        <w:rPr>
          <w:bCs/>
        </w:rPr>
        <w:t xml:space="preserve">(a) A letter of transmittal containing: </w:t>
      </w:r>
    </w:p>
    <w:p w14:paraId="6183A5CC" w14:textId="77777777" w:rsidR="0034471A" w:rsidRPr="0034471A" w:rsidRDefault="0034471A" w:rsidP="0034471A">
      <w:pPr>
        <w:spacing w:after="0" w:line="240" w:lineRule="auto"/>
        <w:rPr>
          <w:bCs/>
        </w:rPr>
      </w:pPr>
      <w:r w:rsidRPr="0034471A">
        <w:rPr>
          <w:bCs/>
        </w:rPr>
        <w:t xml:space="preserve">(1) A list of the material enclosed, </w:t>
      </w:r>
    </w:p>
    <w:p w14:paraId="127C7408" w14:textId="77777777" w:rsidR="0034471A" w:rsidRPr="0034471A" w:rsidRDefault="0034471A" w:rsidP="0034471A">
      <w:pPr>
        <w:spacing w:after="0" w:line="240" w:lineRule="auto"/>
        <w:rPr>
          <w:bCs/>
        </w:rPr>
      </w:pPr>
      <w:r w:rsidRPr="0034471A">
        <w:rPr>
          <w:bCs/>
        </w:rPr>
        <w:t xml:space="preserve">(2) The name of a responsible company official to whom questions regarding the filing may be addressed, with a telephone number at which the official may be reached, </w:t>
      </w:r>
    </w:p>
    <w:p w14:paraId="4B7C001E" w14:textId="77777777" w:rsidR="0034471A" w:rsidRPr="0034471A" w:rsidRDefault="0034471A" w:rsidP="0034471A">
      <w:pPr>
        <w:spacing w:after="0" w:line="240" w:lineRule="auto"/>
        <w:rPr>
          <w:bCs/>
        </w:rPr>
      </w:pPr>
      <w:r w:rsidRPr="0034471A">
        <w:rPr>
          <w:bCs/>
        </w:rPr>
        <w:t xml:space="preserve">(3) The date on which such filing is proposed to become effective, </w:t>
      </w:r>
    </w:p>
    <w:p w14:paraId="6F1D54FD" w14:textId="77777777" w:rsidR="0034471A" w:rsidRPr="0034471A" w:rsidRDefault="0034471A" w:rsidP="0034471A">
      <w:pPr>
        <w:spacing w:after="0" w:line="240" w:lineRule="auto"/>
        <w:rPr>
          <w:bCs/>
        </w:rPr>
      </w:pPr>
      <w:r w:rsidRPr="0034471A">
        <w:rPr>
          <w:bCs/>
        </w:rPr>
        <w:t xml:space="preserve">(4) Reference to the authority under which the filing is made, including the specific section of a statute, subpart of these regulations, order of the Commission, provision of the company's tariff, or any other appropriate authority. If an order is referenced, the letter must include the citation to the FERC Reports, the date of issuance, and the lead docket number of the proceeding in which the order was issued. </w:t>
      </w:r>
    </w:p>
    <w:p w14:paraId="535262CC" w14:textId="77777777" w:rsidR="0034471A" w:rsidRPr="0034471A" w:rsidRDefault="0034471A" w:rsidP="0034471A">
      <w:pPr>
        <w:spacing w:after="0" w:line="240" w:lineRule="auto"/>
        <w:rPr>
          <w:bCs/>
        </w:rPr>
      </w:pPr>
      <w:r w:rsidRPr="0034471A">
        <w:rPr>
          <w:bCs/>
        </w:rPr>
        <w:t xml:space="preserve">(5) A list of the tariff sheets or sections enclosed, </w:t>
      </w:r>
    </w:p>
    <w:p w14:paraId="1AA513BD" w14:textId="77777777" w:rsidR="0034471A" w:rsidRPr="0034471A" w:rsidRDefault="0034471A" w:rsidP="0034471A">
      <w:pPr>
        <w:spacing w:after="0" w:line="240" w:lineRule="auto"/>
        <w:rPr>
          <w:bCs/>
        </w:rPr>
      </w:pPr>
      <w:r w:rsidRPr="0034471A">
        <w:rPr>
          <w:bCs/>
        </w:rPr>
        <w:lastRenderedPageBreak/>
        <w:t xml:space="preserve">(6) A statement of the nature, the reasons, and the basis for the filing. The statement must include a summary of the changes or additions made to the tariff or executed service agreement, as appropriate. The statement must include a quantified summary comparing the cost of service, rate base and throughput underlying each change in rate made to the tariff or executed service agreement compared to the same information underlying the last rate found by the Commission to be just and reasonable. A detailed explanation of the need for each change or addition to the tariff or executed service agreement must be included. The natural gas company also must note all relevant precedents relied upon to prepare its filing. </w:t>
      </w:r>
    </w:p>
    <w:p w14:paraId="49F2F527" w14:textId="77777777" w:rsidR="0034471A" w:rsidRPr="0034471A" w:rsidRDefault="0034471A" w:rsidP="0034471A">
      <w:pPr>
        <w:spacing w:after="0" w:line="240" w:lineRule="auto"/>
        <w:rPr>
          <w:bCs/>
        </w:rPr>
      </w:pPr>
      <w:r w:rsidRPr="0034471A">
        <w:rPr>
          <w:bCs/>
        </w:rPr>
        <w:t xml:space="preserve">(7) Any requests for waiver. A request for waiver must include a reference to the specific section of the statute, regulations, or the company's tariff from which waiver is sought, and a justification for the waiver. </w:t>
      </w:r>
    </w:p>
    <w:p w14:paraId="08B3BB8D" w14:textId="77777777" w:rsidR="0034471A" w:rsidRPr="0034471A" w:rsidRDefault="0034471A" w:rsidP="0034471A">
      <w:pPr>
        <w:spacing w:after="0" w:line="240" w:lineRule="auto"/>
        <w:rPr>
          <w:bCs/>
        </w:rPr>
      </w:pPr>
      <w:r w:rsidRPr="0034471A">
        <w:rPr>
          <w:bCs/>
        </w:rPr>
        <w:t xml:space="preserve">(8) Where the natural gas company proposes a new rate, identification of the last rate, found by the Commission to be just and </w:t>
      </w:r>
      <w:proofErr w:type="gramStart"/>
      <w:r w:rsidRPr="0034471A">
        <w:rPr>
          <w:bCs/>
        </w:rPr>
        <w:t>reasonable, that</w:t>
      </w:r>
      <w:proofErr w:type="gramEnd"/>
      <w:r w:rsidRPr="0034471A">
        <w:rPr>
          <w:bCs/>
        </w:rPr>
        <w:t xml:space="preserve"> underlies the proposed rate. </w:t>
      </w:r>
    </w:p>
    <w:p w14:paraId="722ED6A7" w14:textId="77777777" w:rsidR="0034471A" w:rsidRPr="0034471A" w:rsidRDefault="0034471A" w:rsidP="0034471A">
      <w:pPr>
        <w:spacing w:after="0" w:line="240" w:lineRule="auto"/>
        <w:rPr>
          <w:bCs/>
        </w:rPr>
      </w:pPr>
      <w:r w:rsidRPr="0034471A">
        <w:rPr>
          <w:bCs/>
        </w:rPr>
        <w:t xml:space="preserve">(9) A motion, in case of minimal suspension, to place the proposed rates into effect at the end of the suspension period; or, a specific statement that the pipeline reserves its right to file a later motion to place the proposed rates into effect at the end of the suspension period. </w:t>
      </w:r>
    </w:p>
    <w:p w14:paraId="09EDBAFC" w14:textId="77777777" w:rsidR="0034471A" w:rsidRPr="0034471A" w:rsidRDefault="0034471A" w:rsidP="0034471A">
      <w:pPr>
        <w:spacing w:after="0" w:line="240" w:lineRule="auto"/>
        <w:rPr>
          <w:bCs/>
        </w:rPr>
      </w:pPr>
      <w:r w:rsidRPr="0034471A">
        <w:rPr>
          <w:bCs/>
        </w:rPr>
        <w:t>(b) A certification of service to all customers and state commissions pursuant to §154.2(d).</w:t>
      </w:r>
    </w:p>
    <w:p w14:paraId="002B01D5" w14:textId="77777777" w:rsidR="0034471A" w:rsidRPr="0034471A" w:rsidRDefault="0034471A" w:rsidP="0034471A">
      <w:pPr>
        <w:spacing w:after="0" w:line="240" w:lineRule="auto"/>
        <w:rPr>
          <w:bCs/>
        </w:rPr>
      </w:pPr>
      <w:r w:rsidRPr="0034471A">
        <w:rPr>
          <w:bCs/>
        </w:rPr>
        <w:t>[Order 582, 60 FR 52996, Oct. 11, 1995, as amended by Order 582-A, 61 FR 9628, Mar. 11, 1996; Order 714, 73 FR 57534, 57535, Oct. 3, 2008]</w:t>
      </w:r>
    </w:p>
    <w:p w14:paraId="0CF20945" w14:textId="77777777" w:rsidR="0034471A" w:rsidRPr="0034471A" w:rsidRDefault="0034471A" w:rsidP="0034471A">
      <w:pPr>
        <w:spacing w:after="0" w:line="240" w:lineRule="auto"/>
        <w:rPr>
          <w:b/>
          <w:bCs/>
        </w:rPr>
      </w:pPr>
      <w:r w:rsidRPr="0034471A">
        <w:rPr>
          <w:bCs/>
        </w:rPr>
        <w:t>….</w:t>
      </w:r>
    </w:p>
    <w:p w14:paraId="3C5A5B15" w14:textId="77777777" w:rsidR="0034471A" w:rsidRPr="0034471A" w:rsidRDefault="0034471A" w:rsidP="0034471A">
      <w:pPr>
        <w:spacing w:after="0" w:line="240" w:lineRule="auto"/>
        <w:rPr>
          <w:b/>
          <w:bCs/>
        </w:rPr>
      </w:pPr>
      <w:r w:rsidRPr="0034471A">
        <w:rPr>
          <w:b/>
          <w:bCs/>
        </w:rPr>
        <w:t>§154.107   </w:t>
      </w:r>
      <w:proofErr w:type="gramStart"/>
      <w:r w:rsidRPr="0034471A">
        <w:rPr>
          <w:b/>
          <w:bCs/>
        </w:rPr>
        <w:t>Currently</w:t>
      </w:r>
      <w:proofErr w:type="gramEnd"/>
      <w:r w:rsidRPr="0034471A">
        <w:rPr>
          <w:b/>
          <w:bCs/>
        </w:rPr>
        <w:t xml:space="preserve"> effective rates.</w:t>
      </w:r>
    </w:p>
    <w:p w14:paraId="716513A0" w14:textId="77777777" w:rsidR="0034471A" w:rsidRPr="0034471A" w:rsidRDefault="0034471A" w:rsidP="0034471A">
      <w:pPr>
        <w:spacing w:after="0" w:line="240" w:lineRule="auto"/>
        <w:rPr>
          <w:bCs/>
        </w:rPr>
      </w:pPr>
      <w:r w:rsidRPr="0034471A">
        <w:rPr>
          <w:bCs/>
        </w:rPr>
        <w:t xml:space="preserve">(a) This section of the tariff must present the currently effective rates and charges under each rate schedule. </w:t>
      </w:r>
    </w:p>
    <w:p w14:paraId="4DAEDE54" w14:textId="77777777" w:rsidR="0034471A" w:rsidRPr="0034471A" w:rsidRDefault="0034471A" w:rsidP="0034471A">
      <w:pPr>
        <w:spacing w:after="0" w:line="240" w:lineRule="auto"/>
        <w:rPr>
          <w:bCs/>
        </w:rPr>
      </w:pPr>
      <w:r w:rsidRPr="0034471A">
        <w:rPr>
          <w:bCs/>
        </w:rPr>
        <w:t xml:space="preserve">(b) All rates must be stated clearly in cents or dollars and cents per thermal unit. The unit of measure must be stated for each component of a rate. </w:t>
      </w:r>
    </w:p>
    <w:p w14:paraId="48942A6F" w14:textId="77777777" w:rsidR="0034471A" w:rsidRPr="0034471A" w:rsidRDefault="0034471A" w:rsidP="0034471A">
      <w:pPr>
        <w:spacing w:after="0" w:line="240" w:lineRule="auto"/>
        <w:rPr>
          <w:bCs/>
        </w:rPr>
      </w:pPr>
      <w:r w:rsidRPr="0034471A">
        <w:rPr>
          <w:bCs/>
        </w:rPr>
        <w:t xml:space="preserve">(c) A rate having more than one part must have each component set out separately under appropriate headings (e.g., “Reservation Charge,” “Usage Charge.”) </w:t>
      </w:r>
    </w:p>
    <w:p w14:paraId="772CD011" w14:textId="77777777" w:rsidR="0034471A" w:rsidRPr="0034471A" w:rsidRDefault="0034471A" w:rsidP="0034471A">
      <w:pPr>
        <w:spacing w:after="0" w:line="240" w:lineRule="auto"/>
        <w:rPr>
          <w:bCs/>
        </w:rPr>
      </w:pPr>
      <w:r w:rsidRPr="0034471A">
        <w:rPr>
          <w:bCs/>
        </w:rPr>
        <w:t xml:space="preserve">(d) Where a component of a rate is adjusted pursuant to a mechanism approved under subpart E of this part, the adjustment must be stated in a separate column on the rate sheet or section. </w:t>
      </w:r>
    </w:p>
    <w:p w14:paraId="0D372406" w14:textId="77777777" w:rsidR="0034471A" w:rsidRPr="0034471A" w:rsidRDefault="0034471A" w:rsidP="0034471A">
      <w:pPr>
        <w:spacing w:after="0" w:line="240" w:lineRule="auto"/>
        <w:rPr>
          <w:bCs/>
        </w:rPr>
      </w:pPr>
      <w:r w:rsidRPr="0034471A">
        <w:rPr>
          <w:bCs/>
        </w:rPr>
        <w:t xml:space="preserve">(e) Exception to paragraph (d) of this section. Where the rate component is an Annual Charge Adjustment surcharge approved by the Commission, the adjustment or surcharge may be stated in a footnote on the rate sheet or section. </w:t>
      </w:r>
    </w:p>
    <w:p w14:paraId="176DB9CC" w14:textId="77777777" w:rsidR="0034471A" w:rsidRPr="0034471A" w:rsidRDefault="0034471A" w:rsidP="0034471A">
      <w:pPr>
        <w:spacing w:after="0" w:line="240" w:lineRule="auto"/>
        <w:rPr>
          <w:bCs/>
        </w:rPr>
      </w:pPr>
      <w:r w:rsidRPr="0034471A">
        <w:rPr>
          <w:bCs/>
        </w:rPr>
        <w:t xml:space="preserve">(f) A total rate, indicating the sum of the rate components under paragraph (c) of this section plus the adjustments under paragraph (d) of this section, must be shown in the last column at the end of a line for a rate, so that a reader can readily determine the separate components comprising the total rate for a service. </w:t>
      </w:r>
    </w:p>
    <w:p w14:paraId="677D82C0" w14:textId="77777777" w:rsidR="0034471A" w:rsidRPr="0034471A" w:rsidRDefault="0034471A" w:rsidP="0034471A">
      <w:pPr>
        <w:spacing w:after="0" w:line="240" w:lineRule="auto"/>
        <w:rPr>
          <w:bCs/>
        </w:rPr>
      </w:pPr>
      <w:r w:rsidRPr="0034471A">
        <w:rPr>
          <w:bCs/>
        </w:rPr>
        <w:t xml:space="preserve">[Order 582, 60 FR 52996, Oct. 11, 1995, as amended by Order 714, 73 FR 57534, </w:t>
      </w:r>
      <w:proofErr w:type="gramStart"/>
      <w:r w:rsidRPr="0034471A">
        <w:rPr>
          <w:bCs/>
        </w:rPr>
        <w:t>Oct</w:t>
      </w:r>
      <w:proofErr w:type="gramEnd"/>
      <w:r w:rsidRPr="0034471A">
        <w:rPr>
          <w:bCs/>
        </w:rPr>
        <w:t>. 3, 2008]</w:t>
      </w:r>
    </w:p>
    <w:p w14:paraId="550DF011" w14:textId="77777777" w:rsidR="0034471A" w:rsidRPr="0034471A" w:rsidRDefault="0034471A" w:rsidP="0034471A">
      <w:pPr>
        <w:spacing w:after="0" w:line="240" w:lineRule="auto"/>
        <w:rPr>
          <w:b/>
          <w:bCs/>
        </w:rPr>
      </w:pPr>
      <w:r w:rsidRPr="0034471A">
        <w:rPr>
          <w:bCs/>
        </w:rPr>
        <w:t>….</w:t>
      </w:r>
    </w:p>
    <w:p w14:paraId="12BFA0BC" w14:textId="77777777" w:rsidR="0034471A" w:rsidRPr="0034471A" w:rsidRDefault="0034471A" w:rsidP="0034471A">
      <w:pPr>
        <w:spacing w:after="0" w:line="240" w:lineRule="auto"/>
        <w:rPr>
          <w:b/>
          <w:bCs/>
        </w:rPr>
      </w:pPr>
      <w:r w:rsidRPr="0034471A">
        <w:rPr>
          <w:b/>
          <w:bCs/>
        </w:rPr>
        <w:t>§154.201   Filing requirements.</w:t>
      </w:r>
    </w:p>
    <w:p w14:paraId="5C85F6A1" w14:textId="77777777" w:rsidR="0034471A" w:rsidRPr="0034471A" w:rsidRDefault="0034471A" w:rsidP="0034471A">
      <w:pPr>
        <w:spacing w:after="0" w:line="240" w:lineRule="auto"/>
        <w:rPr>
          <w:bCs/>
        </w:rPr>
      </w:pPr>
      <w:r w:rsidRPr="0034471A">
        <w:rPr>
          <w:bCs/>
        </w:rPr>
        <w:t xml:space="preserve">In addition to the requirements of subparts A and B of this part, the following must be included with the filing of any tariff, executed service agreement, or part thereof, that changes or supersedes any tariff, contract, or part thereof, on file with the Commission. </w:t>
      </w:r>
    </w:p>
    <w:p w14:paraId="1A537062" w14:textId="77777777" w:rsidR="0034471A" w:rsidRPr="0034471A" w:rsidRDefault="0034471A" w:rsidP="0034471A">
      <w:pPr>
        <w:spacing w:after="0" w:line="240" w:lineRule="auto"/>
        <w:rPr>
          <w:bCs/>
        </w:rPr>
      </w:pPr>
      <w:r w:rsidRPr="0034471A">
        <w:rPr>
          <w:bCs/>
        </w:rPr>
        <w:t xml:space="preserve">(a) A list in the transmittal letter of the tariff sheets or sections being revised and a marked version of the sheets or sections to be changed or superseded showing additions and deletions. New numbers and text must be marked by </w:t>
      </w:r>
      <w:proofErr w:type="gramStart"/>
      <w:r w:rsidRPr="0034471A">
        <w:rPr>
          <w:bCs/>
        </w:rPr>
        <w:t>either highlight</w:t>
      </w:r>
      <w:proofErr w:type="gramEnd"/>
      <w:r w:rsidRPr="0034471A">
        <w:rPr>
          <w:bCs/>
        </w:rPr>
        <w:t xml:space="preserve">, background shading, bold, or underline. Deleted text and numbers must be indicated by strike-through. Only those revisions appropriately designated and marked constitute the filing. Revisions to unmarked portions of the rate schedule or tariff are not </w:t>
      </w:r>
      <w:r w:rsidRPr="0034471A">
        <w:rPr>
          <w:bCs/>
        </w:rPr>
        <w:lastRenderedPageBreak/>
        <w:t>considered part of the filing nor will any acceptance of the filing by the Commission constitute acceptance of such unmarked changes.</w:t>
      </w:r>
    </w:p>
    <w:p w14:paraId="0E0B16AD" w14:textId="77777777" w:rsidR="0034471A" w:rsidRPr="0034471A" w:rsidRDefault="0034471A" w:rsidP="0034471A">
      <w:pPr>
        <w:spacing w:after="0" w:line="240" w:lineRule="auto"/>
        <w:rPr>
          <w:bCs/>
        </w:rPr>
      </w:pPr>
      <w:r w:rsidRPr="0034471A">
        <w:rPr>
          <w:bCs/>
        </w:rPr>
        <w:t xml:space="preserve">(b) Documentation whether in the form of </w:t>
      </w:r>
      <w:proofErr w:type="spellStart"/>
      <w:r w:rsidRPr="0034471A">
        <w:rPr>
          <w:bCs/>
        </w:rPr>
        <w:t>workpapers</w:t>
      </w:r>
      <w:proofErr w:type="spellEnd"/>
      <w:r w:rsidRPr="0034471A">
        <w:rPr>
          <w:bCs/>
        </w:rPr>
        <w:t xml:space="preserve">, or otherwise, sufficiently detailed to support the company's proposed change. </w:t>
      </w:r>
    </w:p>
    <w:p w14:paraId="5A71B1BB" w14:textId="77777777" w:rsidR="0034471A" w:rsidRPr="0034471A" w:rsidRDefault="0034471A" w:rsidP="0034471A">
      <w:pPr>
        <w:spacing w:after="0" w:line="240" w:lineRule="auto"/>
        <w:rPr>
          <w:bCs/>
        </w:rPr>
      </w:pPr>
      <w:r w:rsidRPr="0034471A">
        <w:rPr>
          <w:bCs/>
        </w:rPr>
        <w:t xml:space="preserve">(1) The documentation must include but is not limited to the schedules, </w:t>
      </w:r>
      <w:proofErr w:type="spellStart"/>
      <w:r w:rsidRPr="0034471A">
        <w:rPr>
          <w:bCs/>
        </w:rPr>
        <w:t>workpapers</w:t>
      </w:r>
      <w:proofErr w:type="spellEnd"/>
      <w:r w:rsidRPr="0034471A">
        <w:rPr>
          <w:bCs/>
        </w:rPr>
        <w:t xml:space="preserve">, and supporting documentation required by these rules and regulations and the Commission's orders. </w:t>
      </w:r>
    </w:p>
    <w:p w14:paraId="56BC2654" w14:textId="77777777" w:rsidR="0034471A" w:rsidRPr="0034471A" w:rsidRDefault="0034471A" w:rsidP="0034471A">
      <w:pPr>
        <w:spacing w:after="0" w:line="240" w:lineRule="auto"/>
        <w:rPr>
          <w:bCs/>
        </w:rPr>
      </w:pPr>
      <w:r w:rsidRPr="0034471A">
        <w:rPr>
          <w:bCs/>
        </w:rPr>
        <w:t xml:space="preserve">(2) All rate changes in the filing must be supported by step-by-step mathematical calculations and sufficient written narrative to allow the Commission and interested parties to duplicate the company's calculations. </w:t>
      </w:r>
    </w:p>
    <w:p w14:paraId="0B1744BA" w14:textId="77777777" w:rsidR="0034471A" w:rsidRPr="0034471A" w:rsidRDefault="0034471A" w:rsidP="0034471A">
      <w:pPr>
        <w:spacing w:after="0" w:line="240" w:lineRule="auto"/>
        <w:rPr>
          <w:bCs/>
        </w:rPr>
      </w:pPr>
      <w:r w:rsidRPr="0034471A">
        <w:rPr>
          <w:bCs/>
        </w:rPr>
        <w:t xml:space="preserve">(3) Any data or summaries included in the filing purporting to reflect the books of account must be supported by accounting </w:t>
      </w:r>
      <w:proofErr w:type="spellStart"/>
      <w:r w:rsidRPr="0034471A">
        <w:rPr>
          <w:bCs/>
        </w:rPr>
        <w:t>workpapers</w:t>
      </w:r>
      <w:proofErr w:type="spellEnd"/>
      <w:r w:rsidRPr="0034471A">
        <w:rPr>
          <w:bCs/>
        </w:rPr>
        <w:t xml:space="preserve"> setting forth all necessary particulars from which an auditor may readily verify that such data are in agreement with the company's books of account. All statements, schedules, and </w:t>
      </w:r>
      <w:proofErr w:type="spellStart"/>
      <w:r w:rsidRPr="0034471A">
        <w:rPr>
          <w:bCs/>
        </w:rPr>
        <w:t>workpapers</w:t>
      </w:r>
      <w:proofErr w:type="spellEnd"/>
      <w:r w:rsidRPr="0034471A">
        <w:rPr>
          <w:bCs/>
        </w:rPr>
        <w:t xml:space="preserve"> must be prepared in accordance with the classifications of the Commission's Uniform System of Accounts. </w:t>
      </w:r>
      <w:proofErr w:type="spellStart"/>
      <w:r w:rsidRPr="0034471A">
        <w:rPr>
          <w:bCs/>
        </w:rPr>
        <w:t>Workpapers</w:t>
      </w:r>
      <w:proofErr w:type="spellEnd"/>
      <w:r w:rsidRPr="0034471A">
        <w:rPr>
          <w:bCs/>
        </w:rPr>
        <w:t xml:space="preserve"> in support of all adjustments, computations, and other information, properly indexed and cross-referenced to the filing and other </w:t>
      </w:r>
      <w:proofErr w:type="spellStart"/>
      <w:r w:rsidRPr="0034471A">
        <w:rPr>
          <w:bCs/>
        </w:rPr>
        <w:t>workpapers</w:t>
      </w:r>
      <w:proofErr w:type="spellEnd"/>
      <w:r w:rsidRPr="0034471A">
        <w:rPr>
          <w:bCs/>
        </w:rPr>
        <w:t xml:space="preserve">, must be available for Commission examination. </w:t>
      </w:r>
    </w:p>
    <w:p w14:paraId="16B44FBE" w14:textId="77777777" w:rsidR="0034471A" w:rsidRPr="0034471A" w:rsidRDefault="0034471A" w:rsidP="0034471A">
      <w:pPr>
        <w:spacing w:after="0" w:line="240" w:lineRule="auto"/>
        <w:rPr>
          <w:bCs/>
        </w:rPr>
      </w:pPr>
      <w:r w:rsidRPr="0034471A">
        <w:rPr>
          <w:bCs/>
        </w:rPr>
        <w:t xml:space="preserve">(4) Where a rate, cost, or volume is derived from another rate, cost, or volume, the derivation must be shown mathematically and be accompanied by a written narrative sufficient to allow the Commission and interested parties to duplicate the calculations. If the derivation is due to a load factor adjustment, application of a percentage, or other adjusting factor, the pipeline must also note or explain the origin of the adjusting factor. </w:t>
      </w:r>
    </w:p>
    <w:p w14:paraId="1E63DA08" w14:textId="77777777" w:rsidR="0034471A" w:rsidRPr="0034471A" w:rsidRDefault="0034471A" w:rsidP="0034471A">
      <w:pPr>
        <w:spacing w:after="0" w:line="240" w:lineRule="auto"/>
        <w:rPr>
          <w:bCs/>
        </w:rPr>
      </w:pPr>
      <w:r w:rsidRPr="0034471A">
        <w:rPr>
          <w:bCs/>
        </w:rPr>
        <w:t xml:space="preserve">(5) Where </w:t>
      </w:r>
      <w:proofErr w:type="spellStart"/>
      <w:r w:rsidRPr="0034471A">
        <w:rPr>
          <w:bCs/>
        </w:rPr>
        <w:t>workpapers</w:t>
      </w:r>
      <w:proofErr w:type="spellEnd"/>
      <w:r w:rsidRPr="0034471A">
        <w:rPr>
          <w:bCs/>
        </w:rPr>
        <w:t xml:space="preserve"> show progressive calculations, any discontinuity between one working paper and another must be explained. </w:t>
      </w:r>
    </w:p>
    <w:p w14:paraId="77B02C9C" w14:textId="77777777" w:rsidR="0034471A" w:rsidRPr="0034471A" w:rsidRDefault="0034471A" w:rsidP="0034471A">
      <w:pPr>
        <w:spacing w:after="0" w:line="240" w:lineRule="auto"/>
        <w:rPr>
          <w:bCs/>
        </w:rPr>
      </w:pPr>
      <w:r w:rsidRPr="0034471A">
        <w:rPr>
          <w:bCs/>
        </w:rPr>
        <w:t xml:space="preserve">[Order 582, 60 FR 52996, Oct. 11, 1995, as amended by Order 714, 73 FR 57534, </w:t>
      </w:r>
      <w:proofErr w:type="gramStart"/>
      <w:r w:rsidRPr="0034471A">
        <w:rPr>
          <w:bCs/>
        </w:rPr>
        <w:t>Oct</w:t>
      </w:r>
      <w:proofErr w:type="gramEnd"/>
      <w:r w:rsidRPr="0034471A">
        <w:rPr>
          <w:bCs/>
        </w:rPr>
        <w:t>. 3, 2008]</w:t>
      </w:r>
    </w:p>
    <w:p w14:paraId="3CAC565B" w14:textId="77777777" w:rsidR="0034471A" w:rsidRPr="0034471A" w:rsidRDefault="0034471A" w:rsidP="0034471A">
      <w:pPr>
        <w:spacing w:after="0" w:line="240" w:lineRule="auto"/>
        <w:rPr>
          <w:b/>
          <w:bCs/>
        </w:rPr>
      </w:pPr>
      <w:r w:rsidRPr="0034471A">
        <w:rPr>
          <w:bCs/>
        </w:rPr>
        <w:t>….</w:t>
      </w:r>
    </w:p>
    <w:p w14:paraId="3A79BA4D" w14:textId="77777777" w:rsidR="0034471A" w:rsidRPr="0034471A" w:rsidRDefault="0034471A" w:rsidP="0034471A">
      <w:pPr>
        <w:spacing w:after="0" w:line="240" w:lineRule="auto"/>
        <w:rPr>
          <w:b/>
          <w:bCs/>
        </w:rPr>
      </w:pPr>
      <w:r w:rsidRPr="0034471A">
        <w:rPr>
          <w:b/>
          <w:bCs/>
        </w:rPr>
        <w:t>§154.401   RD&amp;D expenditures.</w:t>
      </w:r>
    </w:p>
    <w:p w14:paraId="6AECDC42" w14:textId="77777777" w:rsidR="0034471A" w:rsidRPr="0034471A" w:rsidRDefault="0034471A" w:rsidP="0034471A">
      <w:pPr>
        <w:spacing w:after="0" w:line="240" w:lineRule="auto"/>
        <w:rPr>
          <w:bCs/>
        </w:rPr>
      </w:pPr>
    </w:p>
    <w:p w14:paraId="1BCACA56" w14:textId="77777777" w:rsidR="0034471A" w:rsidRPr="0034471A" w:rsidRDefault="0034471A" w:rsidP="0034471A">
      <w:pPr>
        <w:spacing w:after="0" w:line="240" w:lineRule="auto"/>
        <w:rPr>
          <w:bCs/>
        </w:rPr>
      </w:pPr>
      <w:r w:rsidRPr="0034471A">
        <w:rPr>
          <w:bCs/>
        </w:rPr>
        <w:t xml:space="preserve">(a) Requirements. Upon approval by the Commission, a natural gas company may file to recover research, development, and demonstration (RD&amp;D) expenditures in its rates under this subpart. </w:t>
      </w:r>
    </w:p>
    <w:p w14:paraId="4DC1108B" w14:textId="77777777" w:rsidR="0034471A" w:rsidRPr="0034471A" w:rsidRDefault="0034471A" w:rsidP="0034471A">
      <w:pPr>
        <w:spacing w:after="0" w:line="240" w:lineRule="auto"/>
        <w:rPr>
          <w:bCs/>
        </w:rPr>
      </w:pPr>
    </w:p>
    <w:p w14:paraId="02A49365" w14:textId="77777777" w:rsidR="0034471A" w:rsidRPr="0034471A" w:rsidRDefault="0034471A" w:rsidP="0034471A">
      <w:pPr>
        <w:spacing w:after="0" w:line="240" w:lineRule="auto"/>
        <w:rPr>
          <w:bCs/>
        </w:rPr>
      </w:pPr>
      <w:r w:rsidRPr="0034471A">
        <w:rPr>
          <w:bCs/>
        </w:rPr>
        <w:t xml:space="preserve">(b) Applications for rate treatment approval. (1) An application for advance approval of rate treatment may be filed by a natural gas company for RD&amp;D expenditures related to a project or group of projects undertaken by the company or as part of a project undertaken by others. When more than one company supports an RD&amp;D organization, the RD&amp;D organization may submit an application that covers the organization's RD&amp;D program. Approval by the Commission of such an RD&amp;D application and program will constitute approval of the individual companies' contributions to the RD&amp;D organization. </w:t>
      </w:r>
    </w:p>
    <w:p w14:paraId="7EB73692" w14:textId="77777777" w:rsidR="0034471A" w:rsidRPr="0034471A" w:rsidRDefault="0034471A" w:rsidP="0034471A">
      <w:pPr>
        <w:spacing w:after="0" w:line="240" w:lineRule="auto"/>
        <w:rPr>
          <w:bCs/>
        </w:rPr>
      </w:pPr>
    </w:p>
    <w:p w14:paraId="55B577AD" w14:textId="77777777" w:rsidR="0034471A" w:rsidRPr="0034471A" w:rsidRDefault="0034471A" w:rsidP="0034471A">
      <w:pPr>
        <w:spacing w:after="0" w:line="240" w:lineRule="auto"/>
        <w:rPr>
          <w:bCs/>
        </w:rPr>
      </w:pPr>
      <w:r w:rsidRPr="0034471A">
        <w:rPr>
          <w:bCs/>
        </w:rPr>
        <w:t xml:space="preserve">(2) An application for advance approval of rate treatment must include a 5-year program plan and must be filed at least 180 days prior to the commencement of the 5-year period of the plan. </w:t>
      </w:r>
    </w:p>
    <w:p w14:paraId="2DBD0330" w14:textId="77777777" w:rsidR="0034471A" w:rsidRPr="0034471A" w:rsidRDefault="0034471A" w:rsidP="0034471A">
      <w:pPr>
        <w:spacing w:after="0" w:line="240" w:lineRule="auto"/>
        <w:rPr>
          <w:bCs/>
        </w:rPr>
      </w:pPr>
    </w:p>
    <w:p w14:paraId="47300C06" w14:textId="77777777" w:rsidR="0034471A" w:rsidRPr="0034471A" w:rsidRDefault="0034471A" w:rsidP="0034471A">
      <w:pPr>
        <w:spacing w:after="0" w:line="240" w:lineRule="auto"/>
        <w:rPr>
          <w:bCs/>
        </w:rPr>
      </w:pPr>
      <w:r w:rsidRPr="0034471A">
        <w:rPr>
          <w:bCs/>
        </w:rPr>
        <w:t xml:space="preserve">(3) A 5-year program plan must include at a minimum: </w:t>
      </w:r>
    </w:p>
    <w:p w14:paraId="194A15E1" w14:textId="77777777" w:rsidR="0034471A" w:rsidRPr="0034471A" w:rsidRDefault="0034471A" w:rsidP="0034471A">
      <w:pPr>
        <w:spacing w:after="0" w:line="240" w:lineRule="auto"/>
        <w:rPr>
          <w:bCs/>
        </w:rPr>
      </w:pPr>
    </w:p>
    <w:p w14:paraId="4A360818" w14:textId="77777777" w:rsidR="0034471A" w:rsidRPr="0034471A" w:rsidRDefault="0034471A" w:rsidP="0034471A">
      <w:pPr>
        <w:spacing w:after="0" w:line="240" w:lineRule="auto"/>
        <w:rPr>
          <w:bCs/>
        </w:rPr>
      </w:pPr>
      <w:r w:rsidRPr="0034471A">
        <w:rPr>
          <w:bCs/>
        </w:rPr>
        <w:t xml:space="preserve">(i) A statement of the objectives for the 5-year period that relates the objectives to the interests of ratepayers, the public, and the industry and to the objectives of other major research organizations. </w:t>
      </w:r>
    </w:p>
    <w:p w14:paraId="15E152C5" w14:textId="77777777" w:rsidR="0034471A" w:rsidRPr="0034471A" w:rsidRDefault="0034471A" w:rsidP="0034471A">
      <w:pPr>
        <w:spacing w:after="0" w:line="240" w:lineRule="auto"/>
        <w:rPr>
          <w:bCs/>
        </w:rPr>
      </w:pPr>
    </w:p>
    <w:p w14:paraId="0030FF13" w14:textId="77777777" w:rsidR="0034471A" w:rsidRPr="0034471A" w:rsidRDefault="0034471A" w:rsidP="0034471A">
      <w:pPr>
        <w:spacing w:after="0" w:line="240" w:lineRule="auto"/>
        <w:rPr>
          <w:bCs/>
        </w:rPr>
      </w:pPr>
      <w:r w:rsidRPr="0034471A">
        <w:rPr>
          <w:bCs/>
        </w:rPr>
        <w:t>(</w:t>
      </w:r>
      <w:proofErr w:type="gramStart"/>
      <w:r w:rsidRPr="0034471A">
        <w:rPr>
          <w:bCs/>
        </w:rPr>
        <w:t>ii</w:t>
      </w:r>
      <w:proofErr w:type="gramEnd"/>
      <w:r w:rsidRPr="0034471A">
        <w:rPr>
          <w:bCs/>
        </w:rPr>
        <w:t xml:space="preserve">) Budget, technical, and schedule information in sufficient detail to explain the work to be performed and allow an assessment of the probability of success and a comparison with other organizations' research plans. </w:t>
      </w:r>
    </w:p>
    <w:p w14:paraId="72B63585" w14:textId="77777777" w:rsidR="0034471A" w:rsidRPr="0034471A" w:rsidRDefault="0034471A" w:rsidP="0034471A">
      <w:pPr>
        <w:spacing w:after="0" w:line="240" w:lineRule="auto"/>
        <w:rPr>
          <w:bCs/>
        </w:rPr>
      </w:pPr>
    </w:p>
    <w:p w14:paraId="5330234E" w14:textId="77777777" w:rsidR="0034471A" w:rsidRPr="0034471A" w:rsidRDefault="0034471A" w:rsidP="0034471A">
      <w:pPr>
        <w:spacing w:after="0" w:line="240" w:lineRule="auto"/>
        <w:rPr>
          <w:bCs/>
        </w:rPr>
      </w:pPr>
      <w:r w:rsidRPr="0034471A">
        <w:rPr>
          <w:bCs/>
        </w:rPr>
        <w:t xml:space="preserve">(iii) The commencement date, expected termination date, and expected annual costs for individual RD&amp;D projects to be initiated during the first year of the plan. </w:t>
      </w:r>
    </w:p>
    <w:p w14:paraId="78C75674" w14:textId="77777777" w:rsidR="0034471A" w:rsidRPr="0034471A" w:rsidRDefault="0034471A" w:rsidP="0034471A">
      <w:pPr>
        <w:spacing w:after="0" w:line="240" w:lineRule="auto"/>
        <w:rPr>
          <w:bCs/>
        </w:rPr>
      </w:pPr>
    </w:p>
    <w:p w14:paraId="124C884B" w14:textId="77777777" w:rsidR="0034471A" w:rsidRPr="0034471A" w:rsidRDefault="0034471A" w:rsidP="0034471A">
      <w:pPr>
        <w:spacing w:after="0" w:line="240" w:lineRule="auto"/>
        <w:rPr>
          <w:bCs/>
        </w:rPr>
      </w:pPr>
      <w:proofErr w:type="gramStart"/>
      <w:r w:rsidRPr="0034471A">
        <w:rPr>
          <w:bCs/>
        </w:rPr>
        <w:t>(iv) A</w:t>
      </w:r>
      <w:proofErr w:type="gramEnd"/>
      <w:r w:rsidRPr="0034471A">
        <w:rPr>
          <w:bCs/>
        </w:rPr>
        <w:t xml:space="preserve"> discussion of the RD&amp;D efforts and progress since the preparation of the program plan submitted the previous year and an explanation of any changes that have been made in objectives, priorities, or budgets since the plan of the previous year. </w:t>
      </w:r>
    </w:p>
    <w:p w14:paraId="1D156B28" w14:textId="77777777" w:rsidR="0034471A" w:rsidRPr="0034471A" w:rsidRDefault="0034471A" w:rsidP="0034471A">
      <w:pPr>
        <w:spacing w:after="0" w:line="240" w:lineRule="auto"/>
        <w:rPr>
          <w:bCs/>
        </w:rPr>
      </w:pPr>
    </w:p>
    <w:p w14:paraId="59BCA310" w14:textId="77777777" w:rsidR="0034471A" w:rsidRPr="0034471A" w:rsidRDefault="0034471A" w:rsidP="0034471A">
      <w:pPr>
        <w:spacing w:after="0" w:line="240" w:lineRule="auto"/>
        <w:rPr>
          <w:bCs/>
        </w:rPr>
      </w:pPr>
      <w:r w:rsidRPr="0034471A">
        <w:rPr>
          <w:bCs/>
        </w:rPr>
        <w:t xml:space="preserve">(v) A statement identifying all jurisdictional natural gas companies that will support the program and specifying the amounts of their budgeted support. </w:t>
      </w:r>
    </w:p>
    <w:p w14:paraId="34C88C3B" w14:textId="77777777" w:rsidR="0034471A" w:rsidRPr="0034471A" w:rsidRDefault="0034471A" w:rsidP="0034471A">
      <w:pPr>
        <w:spacing w:after="0" w:line="240" w:lineRule="auto"/>
        <w:rPr>
          <w:bCs/>
        </w:rPr>
      </w:pPr>
    </w:p>
    <w:p w14:paraId="0CB89119" w14:textId="77777777" w:rsidR="0034471A" w:rsidRPr="0034471A" w:rsidRDefault="0034471A" w:rsidP="0034471A">
      <w:pPr>
        <w:spacing w:after="0" w:line="240" w:lineRule="auto"/>
        <w:rPr>
          <w:bCs/>
        </w:rPr>
      </w:pPr>
      <w:proofErr w:type="gramStart"/>
      <w:r w:rsidRPr="0034471A">
        <w:rPr>
          <w:bCs/>
        </w:rPr>
        <w:t>(vi) A</w:t>
      </w:r>
      <w:proofErr w:type="gramEnd"/>
      <w:r w:rsidRPr="0034471A">
        <w:rPr>
          <w:bCs/>
        </w:rPr>
        <w:t xml:space="preserve"> statement identifying those persons involved in the development, review, and approval of the plan and specifying the amount of effort contributed and the degree of control exercised by each. </w:t>
      </w:r>
    </w:p>
    <w:p w14:paraId="1FA32182" w14:textId="77777777" w:rsidR="0034471A" w:rsidRPr="0034471A" w:rsidRDefault="0034471A" w:rsidP="0034471A">
      <w:pPr>
        <w:spacing w:after="0" w:line="240" w:lineRule="auto"/>
        <w:rPr>
          <w:bCs/>
        </w:rPr>
      </w:pPr>
    </w:p>
    <w:p w14:paraId="50493F42" w14:textId="77777777" w:rsidR="0034471A" w:rsidRPr="0034471A" w:rsidRDefault="0034471A" w:rsidP="0034471A">
      <w:pPr>
        <w:spacing w:after="0" w:line="240" w:lineRule="auto"/>
        <w:rPr>
          <w:bCs/>
        </w:rPr>
      </w:pPr>
      <w:r w:rsidRPr="0034471A">
        <w:rPr>
          <w:bCs/>
        </w:rPr>
        <w:t xml:space="preserve">(c) Applications must describe the RD&amp;D projects in such detail as to satisfy the Commission that the RD&amp;D expenditures qualify as valid, justifiable, and reasonable. </w:t>
      </w:r>
    </w:p>
    <w:p w14:paraId="250CA84F" w14:textId="77777777" w:rsidR="0034471A" w:rsidRPr="0034471A" w:rsidRDefault="0034471A" w:rsidP="0034471A">
      <w:pPr>
        <w:spacing w:after="0" w:line="240" w:lineRule="auto"/>
        <w:rPr>
          <w:bCs/>
        </w:rPr>
      </w:pPr>
    </w:p>
    <w:p w14:paraId="71A1B6AA" w14:textId="77777777" w:rsidR="0034471A" w:rsidRPr="0034471A" w:rsidRDefault="0034471A" w:rsidP="0034471A">
      <w:pPr>
        <w:spacing w:after="0" w:line="240" w:lineRule="auto"/>
        <w:rPr>
          <w:bCs/>
        </w:rPr>
      </w:pPr>
      <w:r w:rsidRPr="0034471A">
        <w:rPr>
          <w:bCs/>
        </w:rPr>
        <w:t xml:space="preserve">(d) Within 120 days of the filing of an application for rate treatment approval and a 5-year program plan, the Commission will state its decision with respect to acceptance, partial acceptance, or rejection of the plan, or, when the complexity of issues in the plan so requires, will set a date certain by which a final decision will be made, or will order the matter set for hearing. Partial rejection of a plan by the Commission will be accompanied by a decision as to the partial level of acceptance which will be proportionally applied to all contributions listed for jurisdictional companies in the plan. Approval by the Commission of a 5-year plan constitutes approval for rate treatment of all projects identified as starting during the first year of the approved plan. Continued rate treatment will depend upon review and evaluation of subsequent annual applications and 5-year program plans. </w:t>
      </w:r>
    </w:p>
    <w:p w14:paraId="63E97B09" w14:textId="77777777" w:rsidR="0034471A" w:rsidRPr="0034471A" w:rsidRDefault="0034471A" w:rsidP="0034471A">
      <w:pPr>
        <w:spacing w:after="0" w:line="240" w:lineRule="auto"/>
        <w:rPr>
          <w:bCs/>
        </w:rPr>
      </w:pPr>
    </w:p>
    <w:p w14:paraId="0F21FC09" w14:textId="77777777" w:rsidR="0034471A" w:rsidRPr="0034471A" w:rsidRDefault="0034471A" w:rsidP="0034471A">
      <w:pPr>
        <w:spacing w:after="0" w:line="240" w:lineRule="auto"/>
        <w:rPr>
          <w:b/>
          <w:bCs/>
        </w:rPr>
      </w:pPr>
      <w:r w:rsidRPr="0034471A">
        <w:rPr>
          <w:b/>
          <w:bCs/>
        </w:rPr>
        <w:t>§154.402   ACA expenditures.</w:t>
      </w:r>
    </w:p>
    <w:p w14:paraId="25CEB119" w14:textId="77777777" w:rsidR="0034471A" w:rsidRPr="0034471A" w:rsidRDefault="0034471A" w:rsidP="0034471A">
      <w:pPr>
        <w:spacing w:after="0" w:line="240" w:lineRule="auto"/>
        <w:rPr>
          <w:bCs/>
        </w:rPr>
      </w:pPr>
    </w:p>
    <w:p w14:paraId="056CDF08" w14:textId="77777777" w:rsidR="0034471A" w:rsidRPr="0034471A" w:rsidRDefault="0034471A" w:rsidP="0034471A">
      <w:pPr>
        <w:spacing w:after="0" w:line="240" w:lineRule="auto"/>
        <w:rPr>
          <w:bCs/>
        </w:rPr>
      </w:pPr>
      <w:r w:rsidRPr="0034471A">
        <w:rPr>
          <w:bCs/>
        </w:rPr>
        <w:t xml:space="preserve">(a) Requirements. Upon approval by the Commission, a natural gas pipeline company may adjust its rates, annually, to recover from its </w:t>
      </w:r>
      <w:proofErr w:type="gramStart"/>
      <w:r w:rsidRPr="0034471A">
        <w:rPr>
          <w:bCs/>
        </w:rPr>
        <w:t>customers</w:t>
      </w:r>
      <w:proofErr w:type="gramEnd"/>
      <w:r w:rsidRPr="0034471A">
        <w:rPr>
          <w:bCs/>
        </w:rPr>
        <w:t xml:space="preserve"> annual charges assessed by the Commission under part 382 of this chapter pursuant to an annual charge adjustment clause (ACA clause). Prior to the start of each fiscal year, the Commission will post on its Web site the amount of annual charges to be flowed through per unit of energy sold or transported (ACA unit charge) for that fiscal year. A company's ACA clause must be filed with the Commission and must incorporate by reference the ACA unit charge for the upcoming fiscal year as posted on the Commission's Web site. A company must incorporate by reference the ACA unit charge posted on the Commission's Web site in each of its rate schedules applicable to sales or transportation deliveries. The company must apply the ACA unit charge posted on the Commission's Web site to the usage component of rate schedules with two-part rates. A company may recover annual charges through an ACA unit charge only if its rates do not otherwise reflect the costs of annual charges assessed by the Commission under §382.106(a) of this chapter. The applicable annual charge, required by §382.103 of this chapter, must be paid before the company applies the ACA unit charge. Upon payment to the Commission of its annual charges, the ACA unit charge for that fiscal year will be incorporated by reference into the company's tariff, effective throughout that fiscal year.</w:t>
      </w:r>
    </w:p>
    <w:p w14:paraId="3CB4EC4E" w14:textId="77777777" w:rsidR="0034471A" w:rsidRPr="0034471A" w:rsidRDefault="0034471A" w:rsidP="0034471A">
      <w:pPr>
        <w:spacing w:after="0" w:line="240" w:lineRule="auto"/>
        <w:rPr>
          <w:bCs/>
        </w:rPr>
      </w:pPr>
    </w:p>
    <w:p w14:paraId="03DA413C" w14:textId="77777777" w:rsidR="0034471A" w:rsidRPr="0034471A" w:rsidRDefault="0034471A" w:rsidP="0034471A">
      <w:pPr>
        <w:spacing w:after="0" w:line="240" w:lineRule="auto"/>
        <w:rPr>
          <w:bCs/>
        </w:rPr>
      </w:pPr>
      <w:r w:rsidRPr="0034471A">
        <w:rPr>
          <w:bCs/>
        </w:rPr>
        <w:t>(b) Application for rate treatment authorization. A company seeking authorization to use an ACA unit charge must file with the Commission a separate ACA tariff record containing:</w:t>
      </w:r>
    </w:p>
    <w:p w14:paraId="6705468E" w14:textId="77777777" w:rsidR="0034471A" w:rsidRPr="0034471A" w:rsidRDefault="0034471A" w:rsidP="0034471A">
      <w:pPr>
        <w:spacing w:after="0" w:line="240" w:lineRule="auto"/>
        <w:rPr>
          <w:bCs/>
        </w:rPr>
      </w:pPr>
    </w:p>
    <w:p w14:paraId="5070926C" w14:textId="77777777" w:rsidR="0034471A" w:rsidRPr="0034471A" w:rsidRDefault="0034471A" w:rsidP="0034471A">
      <w:pPr>
        <w:spacing w:after="0" w:line="240" w:lineRule="auto"/>
        <w:rPr>
          <w:bCs/>
        </w:rPr>
      </w:pPr>
      <w:r w:rsidRPr="0034471A">
        <w:rPr>
          <w:bCs/>
        </w:rPr>
        <w:lastRenderedPageBreak/>
        <w:t xml:space="preserve">(1) A statement that the company is collecting an ACA unit charge, as calculated by the Commission, applicable to </w:t>
      </w:r>
      <w:proofErr w:type="gramStart"/>
      <w:r w:rsidRPr="0034471A">
        <w:rPr>
          <w:bCs/>
        </w:rPr>
        <w:t>all the</w:t>
      </w:r>
      <w:proofErr w:type="gramEnd"/>
      <w:r w:rsidRPr="0034471A">
        <w:rPr>
          <w:bCs/>
        </w:rPr>
        <w:t xml:space="preserve"> pipeline's sales and transportation rate schedules,</w:t>
      </w:r>
    </w:p>
    <w:p w14:paraId="09AE151A" w14:textId="77777777" w:rsidR="0034471A" w:rsidRPr="0034471A" w:rsidRDefault="0034471A" w:rsidP="0034471A">
      <w:pPr>
        <w:spacing w:after="0" w:line="240" w:lineRule="auto"/>
        <w:rPr>
          <w:bCs/>
        </w:rPr>
      </w:pPr>
    </w:p>
    <w:p w14:paraId="766C2E14" w14:textId="77777777" w:rsidR="0034471A" w:rsidRPr="0034471A" w:rsidRDefault="0034471A" w:rsidP="0034471A">
      <w:pPr>
        <w:spacing w:after="0" w:line="240" w:lineRule="auto"/>
        <w:rPr>
          <w:bCs/>
        </w:rPr>
      </w:pPr>
      <w:r w:rsidRPr="0034471A">
        <w:rPr>
          <w:bCs/>
        </w:rPr>
        <w:t xml:space="preserve">(2) A statement that the ACA </w:t>
      </w:r>
      <w:proofErr w:type="gramStart"/>
      <w:r w:rsidRPr="0034471A">
        <w:rPr>
          <w:bCs/>
        </w:rPr>
        <w:t>unit charge</w:t>
      </w:r>
      <w:proofErr w:type="gramEnd"/>
      <w:r w:rsidRPr="0034471A">
        <w:rPr>
          <w:bCs/>
        </w:rPr>
        <w:t>, as revised annually and posted on the Commission's Web site, is incorporated by reference into the company's tariff,</w:t>
      </w:r>
    </w:p>
    <w:p w14:paraId="2F30B8D7" w14:textId="77777777" w:rsidR="0034471A" w:rsidRPr="0034471A" w:rsidRDefault="0034471A" w:rsidP="0034471A">
      <w:pPr>
        <w:spacing w:after="0" w:line="240" w:lineRule="auto"/>
        <w:rPr>
          <w:bCs/>
        </w:rPr>
      </w:pPr>
    </w:p>
    <w:p w14:paraId="7B2FE871" w14:textId="77777777" w:rsidR="0034471A" w:rsidRPr="0034471A" w:rsidRDefault="0034471A" w:rsidP="0034471A">
      <w:pPr>
        <w:spacing w:after="0" w:line="240" w:lineRule="auto"/>
        <w:rPr>
          <w:bCs/>
        </w:rPr>
      </w:pPr>
      <w:r w:rsidRPr="0034471A">
        <w:rPr>
          <w:bCs/>
        </w:rPr>
        <w:t>(3) For companies with existing ACA clauses, a proposed effective date of the tariff change of October 1 of the fiscal year; for companies seeking to utilize an ACA clause after October 1 of the fiscal year, a proposed effective date 30 days after the filing of the tariff record, unless a shorter period is specifically requested in a waiver petition and approved), and</w:t>
      </w:r>
    </w:p>
    <w:p w14:paraId="77F53D2B" w14:textId="77777777" w:rsidR="0034471A" w:rsidRPr="0034471A" w:rsidRDefault="0034471A" w:rsidP="0034471A">
      <w:pPr>
        <w:spacing w:after="0" w:line="240" w:lineRule="auto"/>
        <w:rPr>
          <w:bCs/>
        </w:rPr>
      </w:pPr>
    </w:p>
    <w:p w14:paraId="1638A012" w14:textId="77777777" w:rsidR="0034471A" w:rsidRPr="0034471A" w:rsidRDefault="0034471A" w:rsidP="0034471A">
      <w:pPr>
        <w:spacing w:after="0" w:line="240" w:lineRule="auto"/>
        <w:rPr>
          <w:bCs/>
        </w:rPr>
      </w:pPr>
      <w:r w:rsidRPr="0034471A">
        <w:rPr>
          <w:bCs/>
        </w:rPr>
        <w:t>(4) A statement that the pipeline will not recover any annual charges recorded in FERC Account 928 in a proceeding under subpart D of this part.</w:t>
      </w:r>
    </w:p>
    <w:p w14:paraId="15619959" w14:textId="77777777" w:rsidR="0034471A" w:rsidRPr="0034471A" w:rsidRDefault="0034471A" w:rsidP="0034471A">
      <w:pPr>
        <w:spacing w:after="0" w:line="240" w:lineRule="auto"/>
        <w:rPr>
          <w:bCs/>
        </w:rPr>
      </w:pPr>
    </w:p>
    <w:p w14:paraId="5C44B7C2" w14:textId="77777777" w:rsidR="0034471A" w:rsidRPr="0034471A" w:rsidRDefault="0034471A" w:rsidP="0034471A">
      <w:pPr>
        <w:spacing w:after="0" w:line="240" w:lineRule="auto"/>
        <w:rPr>
          <w:bCs/>
        </w:rPr>
      </w:pPr>
      <w:r w:rsidRPr="0034471A">
        <w:rPr>
          <w:bCs/>
        </w:rPr>
        <w:t xml:space="preserve">(c) Changes to the ACA unit charge must be filed annually, to reflect the annual charge unit rate authorized by the Commission each fiscal year. </w:t>
      </w:r>
    </w:p>
    <w:p w14:paraId="534A71CE" w14:textId="77777777" w:rsidR="0034471A" w:rsidRPr="0034471A" w:rsidRDefault="0034471A" w:rsidP="0034471A">
      <w:pPr>
        <w:spacing w:after="0" w:line="240" w:lineRule="auto"/>
        <w:rPr>
          <w:bCs/>
        </w:rPr>
      </w:pPr>
    </w:p>
    <w:p w14:paraId="69FCCDFD" w14:textId="77777777" w:rsidR="0034471A" w:rsidRPr="0034471A" w:rsidRDefault="0034471A" w:rsidP="0034471A">
      <w:pPr>
        <w:spacing w:after="0" w:line="240" w:lineRule="auto"/>
        <w:rPr>
          <w:bCs/>
        </w:rPr>
      </w:pPr>
      <w:r w:rsidRPr="0034471A">
        <w:rPr>
          <w:bCs/>
        </w:rPr>
        <w:t>[Order 582, 60 FR 52996, Oct. 11, 1995, as amended by Order 714, 73 FR 57535, Oct. 3, 2008; Order 776, 78 FR 19412, Apr. 1, 2013]</w:t>
      </w:r>
    </w:p>
    <w:p w14:paraId="2277612B" w14:textId="77777777" w:rsidR="0034471A" w:rsidRPr="0034471A" w:rsidRDefault="0034471A" w:rsidP="0034471A">
      <w:pPr>
        <w:spacing w:after="0" w:line="240" w:lineRule="auto"/>
        <w:rPr>
          <w:bCs/>
        </w:rPr>
      </w:pPr>
    </w:p>
    <w:p w14:paraId="58D76491" w14:textId="77777777" w:rsidR="0034471A" w:rsidRPr="0034471A" w:rsidRDefault="0034471A" w:rsidP="0034471A">
      <w:pPr>
        <w:spacing w:after="0" w:line="240" w:lineRule="auto"/>
        <w:rPr>
          <w:b/>
          <w:bCs/>
        </w:rPr>
      </w:pPr>
      <w:bookmarkStart w:id="1" w:name="_GoBack"/>
      <w:r w:rsidRPr="0034471A">
        <w:rPr>
          <w:b/>
          <w:bCs/>
        </w:rPr>
        <w:t>§154.403   Periodic rate adjustments.</w:t>
      </w:r>
    </w:p>
    <w:bookmarkEnd w:id="1"/>
    <w:p w14:paraId="5A3A067C" w14:textId="77777777" w:rsidR="0034471A" w:rsidRPr="0034471A" w:rsidRDefault="0034471A" w:rsidP="0034471A">
      <w:pPr>
        <w:spacing w:after="0" w:line="240" w:lineRule="auto"/>
        <w:rPr>
          <w:bCs/>
        </w:rPr>
      </w:pPr>
    </w:p>
    <w:p w14:paraId="7F17ADE4" w14:textId="77777777" w:rsidR="0034471A" w:rsidRPr="0034471A" w:rsidRDefault="0034471A" w:rsidP="0034471A">
      <w:pPr>
        <w:spacing w:after="0" w:line="240" w:lineRule="auto"/>
        <w:rPr>
          <w:bCs/>
        </w:rPr>
      </w:pPr>
      <w:r w:rsidRPr="0034471A">
        <w:rPr>
          <w:bCs/>
        </w:rPr>
        <w:t xml:space="preserve">(a) This section applies to the </w:t>
      </w:r>
      <w:proofErr w:type="spellStart"/>
      <w:r w:rsidRPr="0034471A">
        <w:rPr>
          <w:bCs/>
        </w:rPr>
        <w:t>passthrough</w:t>
      </w:r>
      <w:proofErr w:type="spellEnd"/>
      <w:r w:rsidRPr="0034471A">
        <w:rPr>
          <w:bCs/>
        </w:rPr>
        <w:t xml:space="preserve">, on a periodic basis, of a single cost item or revenue item for which </w:t>
      </w:r>
      <w:proofErr w:type="spellStart"/>
      <w:r w:rsidRPr="0034471A">
        <w:rPr>
          <w:bCs/>
        </w:rPr>
        <w:t>passthrough</w:t>
      </w:r>
      <w:proofErr w:type="spellEnd"/>
      <w:r w:rsidRPr="0034471A">
        <w:rPr>
          <w:bCs/>
        </w:rPr>
        <w:t xml:space="preserve"> is not regulated under another section of this subpart, and to revisions on a periodic basis of a gas reimbursement percentage. </w:t>
      </w:r>
    </w:p>
    <w:p w14:paraId="4A7704C8" w14:textId="77777777" w:rsidR="0034471A" w:rsidRPr="0034471A" w:rsidRDefault="0034471A" w:rsidP="0034471A">
      <w:pPr>
        <w:spacing w:after="0" w:line="240" w:lineRule="auto"/>
        <w:rPr>
          <w:bCs/>
        </w:rPr>
      </w:pPr>
    </w:p>
    <w:p w14:paraId="52FF375C" w14:textId="77777777" w:rsidR="0034471A" w:rsidRPr="0034471A" w:rsidRDefault="0034471A" w:rsidP="0034471A">
      <w:pPr>
        <w:spacing w:after="0" w:line="240" w:lineRule="auto"/>
        <w:rPr>
          <w:bCs/>
        </w:rPr>
      </w:pPr>
      <w:r w:rsidRPr="0034471A">
        <w:rPr>
          <w:bCs/>
        </w:rPr>
        <w:t xml:space="preserve">(b) Where a pipeline recovers fuel use and unaccounted-for natural gas in kind, the fuel reimbursement percentage must be stated in the tariff either on the tariff sheet stating the currently effective rate or on a separate tariff sheet or section in such a way that it is clear what amount of natural gas must be tendered in kind for each service rendered. </w:t>
      </w:r>
    </w:p>
    <w:p w14:paraId="23FBA1EF" w14:textId="77777777" w:rsidR="0034471A" w:rsidRPr="0034471A" w:rsidRDefault="0034471A" w:rsidP="0034471A">
      <w:pPr>
        <w:spacing w:after="0" w:line="240" w:lineRule="auto"/>
        <w:rPr>
          <w:bCs/>
        </w:rPr>
      </w:pPr>
    </w:p>
    <w:p w14:paraId="07801BAE" w14:textId="77777777" w:rsidR="0034471A" w:rsidRPr="0034471A" w:rsidRDefault="0034471A" w:rsidP="0034471A">
      <w:pPr>
        <w:spacing w:after="0" w:line="240" w:lineRule="auto"/>
        <w:rPr>
          <w:bCs/>
        </w:rPr>
      </w:pPr>
      <w:r w:rsidRPr="0034471A">
        <w:rPr>
          <w:bCs/>
        </w:rPr>
        <w:t xml:space="preserve">(c) A natural gas company that passes through a cost or revenue item or adjusts its fuel reimbursement percentage under this section, must state within the general terms and conditions of its tariff, the methodology and timing of any adjustments. The following must be included in the general terms and conditions: </w:t>
      </w:r>
    </w:p>
    <w:p w14:paraId="58B28B1F" w14:textId="77777777" w:rsidR="0034471A" w:rsidRPr="0034471A" w:rsidRDefault="0034471A" w:rsidP="0034471A">
      <w:pPr>
        <w:spacing w:after="0" w:line="240" w:lineRule="auto"/>
        <w:rPr>
          <w:bCs/>
        </w:rPr>
      </w:pPr>
    </w:p>
    <w:p w14:paraId="549004D8" w14:textId="77777777" w:rsidR="0034471A" w:rsidRPr="0034471A" w:rsidRDefault="0034471A" w:rsidP="0034471A">
      <w:pPr>
        <w:spacing w:after="0" w:line="240" w:lineRule="auto"/>
        <w:rPr>
          <w:bCs/>
        </w:rPr>
      </w:pPr>
      <w:r w:rsidRPr="0034471A">
        <w:rPr>
          <w:bCs/>
        </w:rPr>
        <w:t xml:space="preserve">(1) A statement of the nature of the revenue or costs to be flowed through to the customer; </w:t>
      </w:r>
    </w:p>
    <w:p w14:paraId="3416B17B" w14:textId="77777777" w:rsidR="0034471A" w:rsidRPr="0034471A" w:rsidRDefault="0034471A" w:rsidP="0034471A">
      <w:pPr>
        <w:spacing w:after="0" w:line="240" w:lineRule="auto"/>
        <w:rPr>
          <w:bCs/>
        </w:rPr>
      </w:pPr>
    </w:p>
    <w:p w14:paraId="65A37B72" w14:textId="77777777" w:rsidR="0034471A" w:rsidRPr="0034471A" w:rsidRDefault="0034471A" w:rsidP="0034471A">
      <w:pPr>
        <w:spacing w:after="0" w:line="240" w:lineRule="auto"/>
        <w:rPr>
          <w:bCs/>
        </w:rPr>
      </w:pPr>
      <w:r w:rsidRPr="0034471A">
        <w:rPr>
          <w:bCs/>
        </w:rPr>
        <w:t xml:space="preserve">(2) A statement of the manner in which the cost or revenue will be collected or returned, whether through a surcharge, offset, or otherwise; </w:t>
      </w:r>
    </w:p>
    <w:p w14:paraId="4BC3B45B" w14:textId="77777777" w:rsidR="0034471A" w:rsidRPr="0034471A" w:rsidRDefault="0034471A" w:rsidP="0034471A">
      <w:pPr>
        <w:spacing w:after="0" w:line="240" w:lineRule="auto"/>
        <w:rPr>
          <w:bCs/>
        </w:rPr>
      </w:pPr>
    </w:p>
    <w:p w14:paraId="2DEAEF23" w14:textId="77777777" w:rsidR="0034471A" w:rsidRPr="0034471A" w:rsidRDefault="0034471A" w:rsidP="0034471A">
      <w:pPr>
        <w:spacing w:after="0" w:line="240" w:lineRule="auto"/>
        <w:rPr>
          <w:bCs/>
        </w:rPr>
      </w:pPr>
      <w:r w:rsidRPr="0034471A">
        <w:rPr>
          <w:bCs/>
        </w:rPr>
        <w:t xml:space="preserve">(3) A statement of which customers are recipients of the revenue credit and which rate schedules are subject to the cost or fuel reimbursement percentage; </w:t>
      </w:r>
    </w:p>
    <w:p w14:paraId="28E4D0A8" w14:textId="77777777" w:rsidR="0034471A" w:rsidRPr="0034471A" w:rsidRDefault="0034471A" w:rsidP="0034471A">
      <w:pPr>
        <w:spacing w:after="0" w:line="240" w:lineRule="auto"/>
        <w:rPr>
          <w:bCs/>
        </w:rPr>
      </w:pPr>
    </w:p>
    <w:p w14:paraId="6D2586AF" w14:textId="77777777" w:rsidR="0034471A" w:rsidRPr="0034471A" w:rsidRDefault="0034471A" w:rsidP="0034471A">
      <w:pPr>
        <w:spacing w:after="0" w:line="240" w:lineRule="auto"/>
        <w:rPr>
          <w:bCs/>
        </w:rPr>
      </w:pPr>
      <w:r w:rsidRPr="0034471A">
        <w:rPr>
          <w:bCs/>
        </w:rPr>
        <w:t xml:space="preserve">(4) A statement of the frequency of the adjustment and the dates on which the adjustment will become effective; </w:t>
      </w:r>
    </w:p>
    <w:p w14:paraId="53ACD69E" w14:textId="77777777" w:rsidR="0034471A" w:rsidRPr="0034471A" w:rsidRDefault="0034471A" w:rsidP="0034471A">
      <w:pPr>
        <w:spacing w:after="0" w:line="240" w:lineRule="auto"/>
        <w:rPr>
          <w:bCs/>
        </w:rPr>
      </w:pPr>
    </w:p>
    <w:p w14:paraId="28B24C95" w14:textId="77777777" w:rsidR="0034471A" w:rsidRPr="0034471A" w:rsidRDefault="0034471A" w:rsidP="0034471A">
      <w:pPr>
        <w:spacing w:after="0" w:line="240" w:lineRule="auto"/>
        <w:rPr>
          <w:bCs/>
        </w:rPr>
      </w:pPr>
      <w:r w:rsidRPr="0034471A">
        <w:rPr>
          <w:bCs/>
        </w:rPr>
        <w:lastRenderedPageBreak/>
        <w:t xml:space="preserve">(5) A step-by-step description of the manner in which the amount to be flowed through is calculated and a step-by-step description of the </w:t>
      </w:r>
      <w:proofErr w:type="spellStart"/>
      <w:r w:rsidRPr="0034471A">
        <w:rPr>
          <w:bCs/>
        </w:rPr>
        <w:t>flowthrough</w:t>
      </w:r>
      <w:proofErr w:type="spellEnd"/>
      <w:r w:rsidRPr="0034471A">
        <w:rPr>
          <w:bCs/>
        </w:rPr>
        <w:t xml:space="preserve"> mechanism, including how the costs are classified and allocated. Where the adjustment modifies a rate established under subpart D of this part, the methodology must be consistent with the methodology used in the proceeding under subpart D of this part; </w:t>
      </w:r>
    </w:p>
    <w:p w14:paraId="5B30BA28" w14:textId="77777777" w:rsidR="0034471A" w:rsidRPr="0034471A" w:rsidRDefault="0034471A" w:rsidP="0034471A">
      <w:pPr>
        <w:spacing w:after="0" w:line="240" w:lineRule="auto"/>
        <w:rPr>
          <w:bCs/>
        </w:rPr>
      </w:pPr>
    </w:p>
    <w:p w14:paraId="77627C0D" w14:textId="77777777" w:rsidR="0034471A" w:rsidRPr="0034471A" w:rsidRDefault="0034471A" w:rsidP="0034471A">
      <w:pPr>
        <w:spacing w:after="0" w:line="240" w:lineRule="auto"/>
        <w:rPr>
          <w:bCs/>
        </w:rPr>
      </w:pPr>
      <w:r w:rsidRPr="0034471A">
        <w:rPr>
          <w:bCs/>
        </w:rPr>
        <w:t xml:space="preserve">(6) Where costs or revenue credits are accumulated over a past period for periodic recovery or return, the past period must be defined and the mechanism for the recovery or return must be detailed on a step-by-step basis. Where the natural gas company proposes to use a surcharge to clear an account in which the difference between costs or revenues, recovered through rates, and actual costs and revenues accumulate, a statement must be included detailing, on a step-by-step basis, the mechanism for calculating the entries to the account and for passing through the account balance. </w:t>
      </w:r>
    </w:p>
    <w:p w14:paraId="183DF1AA" w14:textId="77777777" w:rsidR="0034471A" w:rsidRPr="0034471A" w:rsidRDefault="0034471A" w:rsidP="0034471A">
      <w:pPr>
        <w:spacing w:after="0" w:line="240" w:lineRule="auto"/>
        <w:rPr>
          <w:bCs/>
        </w:rPr>
      </w:pPr>
    </w:p>
    <w:p w14:paraId="1B6CD2AA" w14:textId="77777777" w:rsidR="0034471A" w:rsidRPr="0034471A" w:rsidRDefault="0034471A" w:rsidP="0034471A">
      <w:pPr>
        <w:spacing w:after="0" w:line="240" w:lineRule="auto"/>
        <w:rPr>
          <w:bCs/>
        </w:rPr>
      </w:pPr>
      <w:r w:rsidRPr="0034471A">
        <w:rPr>
          <w:bCs/>
        </w:rPr>
        <w:t xml:space="preserve">(7) Where carrying charges are computed, the calculations must be consistent with the methodology and reporting requirements set forth in §154.501 using the carrying charge rate required by that section. A natural gas company must normalize all income tax timing differences which are the result of differences between the </w:t>
      </w:r>
      <w:proofErr w:type="gramStart"/>
      <w:r w:rsidRPr="0034471A">
        <w:rPr>
          <w:bCs/>
        </w:rPr>
        <w:t>period</w:t>
      </w:r>
      <w:proofErr w:type="gramEnd"/>
      <w:r w:rsidRPr="0034471A">
        <w:rPr>
          <w:bCs/>
        </w:rPr>
        <w:t xml:space="preserve"> in which expense or revenue enters into the determination of taxable income and the period in which the expense or revenue enters into the determination of pre-tax book income. Any balance upon which the natural gas company calculates carrying charges must be adjusted for any recorded deferred income taxes. </w:t>
      </w:r>
    </w:p>
    <w:p w14:paraId="38DA774F" w14:textId="77777777" w:rsidR="0034471A" w:rsidRPr="0034471A" w:rsidRDefault="0034471A" w:rsidP="0034471A">
      <w:pPr>
        <w:spacing w:after="0" w:line="240" w:lineRule="auto"/>
        <w:rPr>
          <w:bCs/>
        </w:rPr>
      </w:pPr>
    </w:p>
    <w:p w14:paraId="301FEA57" w14:textId="77777777" w:rsidR="0034471A" w:rsidRPr="0034471A" w:rsidRDefault="0034471A" w:rsidP="0034471A">
      <w:pPr>
        <w:spacing w:after="0" w:line="240" w:lineRule="auto"/>
        <w:rPr>
          <w:bCs/>
        </w:rPr>
      </w:pPr>
      <w:r w:rsidRPr="0034471A">
        <w:rPr>
          <w:bCs/>
        </w:rPr>
        <w:t xml:space="preserve">(8) Where the natural gas company discounts the rate component calculated pursuant to this section, explain on a step-by-step basis how the natural gas company will adjust for rate discounts in its methodology to reflect changes in costs under this section. </w:t>
      </w:r>
    </w:p>
    <w:p w14:paraId="536DE0DF" w14:textId="77777777" w:rsidR="0034471A" w:rsidRPr="0034471A" w:rsidRDefault="0034471A" w:rsidP="0034471A">
      <w:pPr>
        <w:spacing w:after="0" w:line="240" w:lineRule="auto"/>
        <w:rPr>
          <w:bCs/>
        </w:rPr>
      </w:pPr>
    </w:p>
    <w:p w14:paraId="3958BFFA" w14:textId="77777777" w:rsidR="0034471A" w:rsidRPr="0034471A" w:rsidRDefault="0034471A" w:rsidP="0034471A">
      <w:pPr>
        <w:spacing w:after="0" w:line="240" w:lineRule="auto"/>
        <w:rPr>
          <w:bCs/>
        </w:rPr>
      </w:pPr>
      <w:r w:rsidRPr="0034471A">
        <w:rPr>
          <w:bCs/>
        </w:rPr>
        <w:t xml:space="preserve">(9) If the costs passed through under a mechanism approved under this section are billed by an upstream natural gas company, explain how refunds received from upstream natural gas companies will be passed through to the natural gas company's customers, including the allocation and classification of such refunds; </w:t>
      </w:r>
    </w:p>
    <w:p w14:paraId="1CC9A20E" w14:textId="77777777" w:rsidR="0034471A" w:rsidRPr="0034471A" w:rsidRDefault="0034471A" w:rsidP="0034471A">
      <w:pPr>
        <w:spacing w:after="0" w:line="240" w:lineRule="auto"/>
        <w:rPr>
          <w:bCs/>
        </w:rPr>
      </w:pPr>
    </w:p>
    <w:p w14:paraId="7E5AAA74" w14:textId="77777777" w:rsidR="0034471A" w:rsidRPr="0034471A" w:rsidRDefault="0034471A" w:rsidP="0034471A">
      <w:pPr>
        <w:spacing w:after="0" w:line="240" w:lineRule="auto"/>
        <w:rPr>
          <w:bCs/>
        </w:rPr>
      </w:pPr>
      <w:r w:rsidRPr="0034471A">
        <w:rPr>
          <w:bCs/>
        </w:rPr>
        <w:t xml:space="preserve">(10) A step-by-step explanation of the methodology used to reflect changes in the fuel reimbursement percentage, including the allocation and classification of the fuel use and unaccounted-for natural gas. Where the adjustment modifies a fuel reimbursement percentage established under subpart D of this part, the methodology must be consistent with the methodology used in the proceeding under subpart D of this part; </w:t>
      </w:r>
    </w:p>
    <w:p w14:paraId="774A2D42" w14:textId="77777777" w:rsidR="0034471A" w:rsidRPr="0034471A" w:rsidRDefault="0034471A" w:rsidP="0034471A">
      <w:pPr>
        <w:spacing w:after="0" w:line="240" w:lineRule="auto"/>
        <w:rPr>
          <w:bCs/>
        </w:rPr>
      </w:pPr>
    </w:p>
    <w:p w14:paraId="73B7263F" w14:textId="77777777" w:rsidR="0034471A" w:rsidRPr="0034471A" w:rsidRDefault="0034471A" w:rsidP="0034471A">
      <w:pPr>
        <w:spacing w:after="0" w:line="240" w:lineRule="auto"/>
        <w:rPr>
          <w:bCs/>
        </w:rPr>
      </w:pPr>
      <w:r w:rsidRPr="0034471A">
        <w:rPr>
          <w:bCs/>
        </w:rPr>
        <w:t xml:space="preserve">(11) A statement of whether the difference between quantities actually used or lost and the quantities retained from the customers for fuel use and loss will be recovered or returned in a future surcharge. Include a step-by-step explanation of the methodology used to calculate such surcharge. Any period during which these differences accumulate must be defined. </w:t>
      </w:r>
    </w:p>
    <w:p w14:paraId="54434708" w14:textId="77777777" w:rsidR="0034471A" w:rsidRPr="0034471A" w:rsidRDefault="0034471A" w:rsidP="0034471A">
      <w:pPr>
        <w:spacing w:after="0" w:line="240" w:lineRule="auto"/>
        <w:rPr>
          <w:bCs/>
        </w:rPr>
      </w:pPr>
    </w:p>
    <w:p w14:paraId="3408D965" w14:textId="77777777" w:rsidR="0034471A" w:rsidRPr="0034471A" w:rsidRDefault="0034471A" w:rsidP="0034471A">
      <w:pPr>
        <w:spacing w:after="0" w:line="240" w:lineRule="auto"/>
        <w:rPr>
          <w:bCs/>
        </w:rPr>
      </w:pPr>
      <w:r w:rsidRPr="0034471A">
        <w:rPr>
          <w:bCs/>
        </w:rPr>
        <w:t xml:space="preserve">(d) Filing requirements. (1) Filings under this section must include: </w:t>
      </w:r>
    </w:p>
    <w:p w14:paraId="5288C936" w14:textId="77777777" w:rsidR="0034471A" w:rsidRPr="0034471A" w:rsidRDefault="0034471A" w:rsidP="0034471A">
      <w:pPr>
        <w:spacing w:after="0" w:line="240" w:lineRule="auto"/>
        <w:rPr>
          <w:bCs/>
        </w:rPr>
      </w:pPr>
    </w:p>
    <w:p w14:paraId="649C0E6E" w14:textId="77777777" w:rsidR="0034471A" w:rsidRPr="0034471A" w:rsidRDefault="0034471A" w:rsidP="0034471A">
      <w:pPr>
        <w:spacing w:after="0" w:line="240" w:lineRule="auto"/>
        <w:rPr>
          <w:bCs/>
        </w:rPr>
      </w:pPr>
      <w:r w:rsidRPr="0034471A">
        <w:rPr>
          <w:bCs/>
        </w:rPr>
        <w:t xml:space="preserve">(i) A summary statement showing the rate component added to each rate schedule with </w:t>
      </w:r>
      <w:proofErr w:type="spellStart"/>
      <w:r w:rsidRPr="0034471A">
        <w:rPr>
          <w:bCs/>
        </w:rPr>
        <w:t>workpapers</w:t>
      </w:r>
      <w:proofErr w:type="spellEnd"/>
      <w:r w:rsidRPr="0034471A">
        <w:rPr>
          <w:bCs/>
        </w:rPr>
        <w:t xml:space="preserve"> showing all mathematical calculations. </w:t>
      </w:r>
    </w:p>
    <w:p w14:paraId="51E28ECA" w14:textId="77777777" w:rsidR="0034471A" w:rsidRPr="0034471A" w:rsidRDefault="0034471A" w:rsidP="0034471A">
      <w:pPr>
        <w:spacing w:after="0" w:line="240" w:lineRule="auto"/>
        <w:rPr>
          <w:bCs/>
        </w:rPr>
      </w:pPr>
    </w:p>
    <w:p w14:paraId="7B8CCCBF" w14:textId="77777777" w:rsidR="0034471A" w:rsidRPr="0034471A" w:rsidRDefault="0034471A" w:rsidP="0034471A">
      <w:pPr>
        <w:spacing w:after="0" w:line="240" w:lineRule="auto"/>
        <w:rPr>
          <w:bCs/>
        </w:rPr>
      </w:pPr>
      <w:r w:rsidRPr="0034471A">
        <w:rPr>
          <w:bCs/>
        </w:rPr>
        <w:lastRenderedPageBreak/>
        <w:t xml:space="preserve">(ii) If the filing establishes a new fuel reimbursement percentage or surcharge, include computations for each fuel reimbursement or surcharge calculated, broken out by service, classification, area, zone, or other subcategory. </w:t>
      </w:r>
    </w:p>
    <w:p w14:paraId="6397B4C5" w14:textId="77777777" w:rsidR="0034471A" w:rsidRPr="0034471A" w:rsidRDefault="0034471A" w:rsidP="0034471A">
      <w:pPr>
        <w:spacing w:after="0" w:line="240" w:lineRule="auto"/>
        <w:rPr>
          <w:bCs/>
        </w:rPr>
      </w:pPr>
    </w:p>
    <w:p w14:paraId="4DFECD4C" w14:textId="77777777" w:rsidR="0034471A" w:rsidRPr="0034471A" w:rsidRDefault="0034471A" w:rsidP="0034471A">
      <w:pPr>
        <w:spacing w:after="0" w:line="240" w:lineRule="auto"/>
        <w:rPr>
          <w:bCs/>
        </w:rPr>
      </w:pPr>
      <w:r w:rsidRPr="0034471A">
        <w:rPr>
          <w:bCs/>
        </w:rPr>
        <w:t xml:space="preserve">(iii) </w:t>
      </w:r>
      <w:proofErr w:type="spellStart"/>
      <w:r w:rsidRPr="0034471A">
        <w:rPr>
          <w:bCs/>
        </w:rPr>
        <w:t>Workpapers</w:t>
      </w:r>
      <w:proofErr w:type="spellEnd"/>
      <w:r w:rsidRPr="0034471A">
        <w:rPr>
          <w:bCs/>
        </w:rPr>
        <w:t xml:space="preserve"> showing the allocation of costs or revenue credits by rate schedule and step-by-step computations supporting the allocation, segregated into reservation and usage amounts, where appropriate. </w:t>
      </w:r>
    </w:p>
    <w:p w14:paraId="4316AD62" w14:textId="77777777" w:rsidR="0034471A" w:rsidRPr="0034471A" w:rsidRDefault="0034471A" w:rsidP="0034471A">
      <w:pPr>
        <w:spacing w:after="0" w:line="240" w:lineRule="auto"/>
        <w:rPr>
          <w:bCs/>
        </w:rPr>
      </w:pPr>
    </w:p>
    <w:p w14:paraId="58065B19" w14:textId="77777777" w:rsidR="0034471A" w:rsidRPr="0034471A" w:rsidRDefault="0034471A" w:rsidP="0034471A">
      <w:pPr>
        <w:spacing w:after="0" w:line="240" w:lineRule="auto"/>
        <w:rPr>
          <w:bCs/>
        </w:rPr>
      </w:pPr>
      <w:proofErr w:type="gramStart"/>
      <w:r w:rsidRPr="0034471A">
        <w:rPr>
          <w:bCs/>
        </w:rPr>
        <w:t>(iv) Where</w:t>
      </w:r>
      <w:proofErr w:type="gramEnd"/>
      <w:r w:rsidRPr="0034471A">
        <w:rPr>
          <w:bCs/>
        </w:rPr>
        <w:t xml:space="preserve"> the costs, revenues, rates, quantities, indices, load factors, percentages, or other numbers used in the calculations are publicly available, include references by source. </w:t>
      </w:r>
    </w:p>
    <w:p w14:paraId="06E1A766" w14:textId="77777777" w:rsidR="0034471A" w:rsidRPr="0034471A" w:rsidRDefault="0034471A" w:rsidP="0034471A">
      <w:pPr>
        <w:spacing w:after="0" w:line="240" w:lineRule="auto"/>
        <w:rPr>
          <w:bCs/>
        </w:rPr>
      </w:pPr>
    </w:p>
    <w:p w14:paraId="19DFBB50" w14:textId="77777777" w:rsidR="0034471A" w:rsidRPr="0034471A" w:rsidRDefault="0034471A" w:rsidP="0034471A">
      <w:pPr>
        <w:spacing w:after="0" w:line="240" w:lineRule="auto"/>
        <w:rPr>
          <w:bCs/>
        </w:rPr>
      </w:pPr>
      <w:r w:rsidRPr="0034471A">
        <w:rPr>
          <w:bCs/>
        </w:rPr>
        <w:t xml:space="preserve">(v) Where a rate or quantity underlying the costs or revenue credits is supported by publicly available data (such as another natural gas company's tariff or EBB), the source must be referenced to allow the Commission and interested parties to review the source. If the rate or quantity does not match the rate or quantity from the source referenced, provide step-by-step instructions to tie the rate in the referenced source to the rate in the filing. </w:t>
      </w:r>
    </w:p>
    <w:p w14:paraId="3721BBF0" w14:textId="77777777" w:rsidR="0034471A" w:rsidRPr="0034471A" w:rsidRDefault="0034471A" w:rsidP="0034471A">
      <w:pPr>
        <w:spacing w:after="0" w:line="240" w:lineRule="auto"/>
        <w:rPr>
          <w:bCs/>
        </w:rPr>
      </w:pPr>
    </w:p>
    <w:p w14:paraId="2433B1CB" w14:textId="77777777" w:rsidR="0034471A" w:rsidRPr="0034471A" w:rsidRDefault="0034471A" w:rsidP="0034471A">
      <w:pPr>
        <w:spacing w:after="0" w:line="240" w:lineRule="auto"/>
        <w:rPr>
          <w:bCs/>
        </w:rPr>
      </w:pPr>
      <w:r w:rsidRPr="0034471A">
        <w:rPr>
          <w:bCs/>
        </w:rPr>
        <w:t xml:space="preserve">(vi) Where a number is derived from another number by applying a load factor, percentage, or other adjusting factor not referenced in paragraph (d)(1)(i) of this section, include </w:t>
      </w:r>
      <w:proofErr w:type="spellStart"/>
      <w:r w:rsidRPr="0034471A">
        <w:rPr>
          <w:bCs/>
        </w:rPr>
        <w:t>workpapers</w:t>
      </w:r>
      <w:proofErr w:type="spellEnd"/>
      <w:r w:rsidRPr="0034471A">
        <w:rPr>
          <w:bCs/>
        </w:rPr>
        <w:t xml:space="preserve"> and a narrative to explain the calculation of the adjusting factor. </w:t>
      </w:r>
    </w:p>
    <w:p w14:paraId="6E3876C9" w14:textId="77777777" w:rsidR="0034471A" w:rsidRPr="0034471A" w:rsidRDefault="0034471A" w:rsidP="0034471A">
      <w:pPr>
        <w:spacing w:after="0" w:line="240" w:lineRule="auto"/>
        <w:rPr>
          <w:bCs/>
        </w:rPr>
      </w:pPr>
    </w:p>
    <w:p w14:paraId="0731E626" w14:textId="77777777" w:rsidR="0034471A" w:rsidRPr="0034471A" w:rsidRDefault="0034471A" w:rsidP="0034471A">
      <w:pPr>
        <w:spacing w:after="0" w:line="240" w:lineRule="auto"/>
        <w:rPr>
          <w:bCs/>
        </w:rPr>
      </w:pPr>
      <w:r w:rsidRPr="0034471A">
        <w:rPr>
          <w:bCs/>
        </w:rPr>
        <w:t xml:space="preserve">(2) If the natural gas company is adjusting its rates to reflect changes in transportation and compression costs paid to others: </w:t>
      </w:r>
    </w:p>
    <w:p w14:paraId="2056ED4A" w14:textId="77777777" w:rsidR="0034471A" w:rsidRPr="0034471A" w:rsidRDefault="0034471A" w:rsidP="0034471A">
      <w:pPr>
        <w:spacing w:after="0" w:line="240" w:lineRule="auto"/>
        <w:rPr>
          <w:bCs/>
        </w:rPr>
      </w:pPr>
    </w:p>
    <w:p w14:paraId="41D9ED2D" w14:textId="77777777" w:rsidR="0034471A" w:rsidRPr="0034471A" w:rsidRDefault="0034471A" w:rsidP="0034471A">
      <w:pPr>
        <w:spacing w:after="0" w:line="240" w:lineRule="auto"/>
        <w:rPr>
          <w:bCs/>
        </w:rPr>
      </w:pPr>
      <w:r w:rsidRPr="0034471A">
        <w:rPr>
          <w:bCs/>
        </w:rPr>
        <w:t xml:space="preserve">(i) The changes in transportation and compression costs must be based on the rate on file with the Commission. If the rate is not on file with the Commission or a discounted rate is paid, the rate reflected in the filing must be the rate the natural gas company is contractually obligated to pay; </w:t>
      </w:r>
    </w:p>
    <w:p w14:paraId="606CA126" w14:textId="77777777" w:rsidR="0034471A" w:rsidRPr="0034471A" w:rsidRDefault="0034471A" w:rsidP="0034471A">
      <w:pPr>
        <w:spacing w:after="0" w:line="240" w:lineRule="auto"/>
        <w:rPr>
          <w:bCs/>
        </w:rPr>
      </w:pPr>
    </w:p>
    <w:p w14:paraId="426F2BC9" w14:textId="77777777" w:rsidR="0034471A" w:rsidRPr="0034471A" w:rsidRDefault="0034471A" w:rsidP="0034471A">
      <w:pPr>
        <w:spacing w:after="0" w:line="240" w:lineRule="auto"/>
        <w:rPr>
          <w:bCs/>
        </w:rPr>
      </w:pPr>
      <w:r w:rsidRPr="0034471A">
        <w:rPr>
          <w:bCs/>
        </w:rPr>
        <w:t xml:space="preserve">(ii) The filing must include appropriate credits for capacity released under §284.243 of this chapter with </w:t>
      </w:r>
      <w:proofErr w:type="spellStart"/>
      <w:r w:rsidRPr="0034471A">
        <w:rPr>
          <w:bCs/>
        </w:rPr>
        <w:t>workpapers</w:t>
      </w:r>
      <w:proofErr w:type="spellEnd"/>
      <w:r w:rsidRPr="0034471A">
        <w:rPr>
          <w:bCs/>
        </w:rPr>
        <w:t xml:space="preserve"> showing the quantity released, the revenues received from the release, the time period of the release, and the natural gas pipeline on which the release took place; and, </w:t>
      </w:r>
    </w:p>
    <w:p w14:paraId="3DEF96F6" w14:textId="77777777" w:rsidR="0034471A" w:rsidRPr="0034471A" w:rsidRDefault="0034471A" w:rsidP="0034471A">
      <w:pPr>
        <w:spacing w:after="0" w:line="240" w:lineRule="auto"/>
        <w:rPr>
          <w:bCs/>
        </w:rPr>
      </w:pPr>
    </w:p>
    <w:p w14:paraId="2B7F2626" w14:textId="77777777" w:rsidR="0034471A" w:rsidRPr="0034471A" w:rsidRDefault="0034471A" w:rsidP="0034471A">
      <w:pPr>
        <w:spacing w:after="0" w:line="240" w:lineRule="auto"/>
        <w:rPr>
          <w:bCs/>
        </w:rPr>
      </w:pPr>
      <w:r w:rsidRPr="0034471A">
        <w:rPr>
          <w:bCs/>
        </w:rPr>
        <w:t xml:space="preserve">(iii) The filing must include a statement of the refunds received from each upstream natural gas company which are included in the rate adjustment. The statement must conform to the requirements set forth in §154.501. </w:t>
      </w:r>
    </w:p>
    <w:p w14:paraId="47E73DEC" w14:textId="77777777" w:rsidR="0034471A" w:rsidRPr="0034471A" w:rsidRDefault="0034471A" w:rsidP="0034471A">
      <w:pPr>
        <w:spacing w:after="0" w:line="240" w:lineRule="auto"/>
        <w:rPr>
          <w:bCs/>
        </w:rPr>
      </w:pPr>
    </w:p>
    <w:p w14:paraId="0D3F5078" w14:textId="77777777" w:rsidR="0034471A" w:rsidRPr="0034471A" w:rsidRDefault="0034471A" w:rsidP="0034471A">
      <w:pPr>
        <w:spacing w:after="0" w:line="240" w:lineRule="auto"/>
        <w:rPr>
          <w:bCs/>
        </w:rPr>
      </w:pPr>
      <w:r w:rsidRPr="0034471A">
        <w:rPr>
          <w:bCs/>
        </w:rPr>
        <w:t xml:space="preserve">(3) If the natural gas company is reflecting changes in its fuel reimbursement percentage, the filing must include: </w:t>
      </w:r>
    </w:p>
    <w:p w14:paraId="50FEB4E1" w14:textId="77777777" w:rsidR="0034471A" w:rsidRPr="0034471A" w:rsidRDefault="0034471A" w:rsidP="0034471A">
      <w:pPr>
        <w:spacing w:after="0" w:line="240" w:lineRule="auto"/>
        <w:rPr>
          <w:bCs/>
        </w:rPr>
      </w:pPr>
    </w:p>
    <w:p w14:paraId="566DF8CC" w14:textId="77777777" w:rsidR="0034471A" w:rsidRPr="0034471A" w:rsidRDefault="0034471A" w:rsidP="0034471A">
      <w:pPr>
        <w:spacing w:after="0" w:line="240" w:lineRule="auto"/>
        <w:rPr>
          <w:bCs/>
        </w:rPr>
      </w:pPr>
      <w:r w:rsidRPr="0034471A">
        <w:rPr>
          <w:bCs/>
        </w:rPr>
        <w:t xml:space="preserve">(i) A summary statement of actual gas inflows and outflows for each month used to calculate the fuel reimbursement percentage or surcharge. For purposes of establishing the surcharge, the summary statement must be included for each month of the period over which the differences defined in paragraph (c) of this section accumulate. </w:t>
      </w:r>
    </w:p>
    <w:p w14:paraId="53EE9AE0" w14:textId="77777777" w:rsidR="0034471A" w:rsidRPr="0034471A" w:rsidRDefault="0034471A" w:rsidP="0034471A">
      <w:pPr>
        <w:spacing w:after="0" w:line="240" w:lineRule="auto"/>
        <w:rPr>
          <w:bCs/>
        </w:rPr>
      </w:pPr>
    </w:p>
    <w:p w14:paraId="03B86B61" w14:textId="77777777" w:rsidR="0034471A" w:rsidRPr="0034471A" w:rsidRDefault="0034471A" w:rsidP="0034471A">
      <w:pPr>
        <w:spacing w:after="0" w:line="240" w:lineRule="auto"/>
        <w:rPr>
          <w:bCs/>
        </w:rPr>
      </w:pPr>
      <w:r w:rsidRPr="0034471A">
        <w:rPr>
          <w:bCs/>
        </w:rPr>
        <w:t xml:space="preserve">(ii) Where the fuel reimbursement percentage is calculated based on estimated activity over a future period, the period must be defined and the estimates used in the calculation must be justified. If any of the estimates are publicly available, include a reference to the source. </w:t>
      </w:r>
    </w:p>
    <w:p w14:paraId="54FC2035" w14:textId="77777777" w:rsidR="0034471A" w:rsidRPr="0034471A" w:rsidRDefault="0034471A" w:rsidP="0034471A">
      <w:pPr>
        <w:spacing w:after="0" w:line="240" w:lineRule="auto"/>
        <w:rPr>
          <w:bCs/>
        </w:rPr>
      </w:pPr>
    </w:p>
    <w:p w14:paraId="676C8564" w14:textId="77777777" w:rsidR="0034471A" w:rsidRPr="0034471A" w:rsidRDefault="0034471A" w:rsidP="0034471A">
      <w:pPr>
        <w:spacing w:after="0" w:line="240" w:lineRule="auto"/>
        <w:rPr>
          <w:bCs/>
        </w:rPr>
      </w:pPr>
      <w:r w:rsidRPr="0034471A">
        <w:rPr>
          <w:bCs/>
        </w:rPr>
        <w:lastRenderedPageBreak/>
        <w:t xml:space="preserve">(4) The natural gas company must not recover costs and is not obligated to return revenues which are applicable to the period pre-dating the effectiveness of the tariff language setting forth the periodic rate change mechanism, unless permitted or required to do so by the Commission. </w:t>
      </w:r>
    </w:p>
    <w:p w14:paraId="49463BFF" w14:textId="77777777" w:rsidR="0034471A" w:rsidRPr="0034471A" w:rsidRDefault="0034471A" w:rsidP="0034471A">
      <w:pPr>
        <w:spacing w:after="0" w:line="240" w:lineRule="auto"/>
        <w:rPr>
          <w:bCs/>
        </w:rPr>
      </w:pPr>
    </w:p>
    <w:p w14:paraId="26788A58" w14:textId="77777777" w:rsidR="0034471A" w:rsidRPr="0034471A" w:rsidRDefault="0034471A" w:rsidP="0034471A">
      <w:pPr>
        <w:spacing w:after="0" w:line="240" w:lineRule="auto"/>
        <w:rPr>
          <w:bCs/>
        </w:rPr>
      </w:pPr>
      <w:r w:rsidRPr="0034471A">
        <w:rPr>
          <w:bCs/>
        </w:rPr>
        <w:t xml:space="preserve">[Order 582, 60 FR 52996, Oct. 11, 1995, as amended by Order 714, 73 FR 57535, </w:t>
      </w:r>
      <w:proofErr w:type="gramStart"/>
      <w:r w:rsidRPr="0034471A">
        <w:rPr>
          <w:bCs/>
        </w:rPr>
        <w:t>Oct</w:t>
      </w:r>
      <w:proofErr w:type="gramEnd"/>
      <w:r w:rsidRPr="0034471A">
        <w:rPr>
          <w:bCs/>
        </w:rPr>
        <w:t>. 3, 2008]</w:t>
      </w:r>
    </w:p>
    <w:p w14:paraId="79600A3D" w14:textId="77777777" w:rsidR="00015B2A" w:rsidRDefault="00015B2A" w:rsidP="0034471A">
      <w:pPr>
        <w:spacing w:after="0" w:line="240" w:lineRule="auto"/>
      </w:pPr>
    </w:p>
    <w:sectPr w:rsidR="00015B2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0B0A6" w14:textId="77777777" w:rsidR="00DD2C9A" w:rsidRDefault="00DD2C9A" w:rsidP="00DD2C9A">
      <w:pPr>
        <w:spacing w:after="0" w:line="240" w:lineRule="auto"/>
      </w:pPr>
      <w:r>
        <w:separator/>
      </w:r>
    </w:p>
  </w:endnote>
  <w:endnote w:type="continuationSeparator" w:id="0">
    <w:p w14:paraId="14A28C98" w14:textId="77777777" w:rsidR="00DD2C9A" w:rsidRDefault="00DD2C9A" w:rsidP="00DD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2AFD9" w14:textId="77777777" w:rsidR="00DD2C9A" w:rsidRDefault="00DD2C9A" w:rsidP="00DD2C9A">
      <w:pPr>
        <w:spacing w:after="0" w:line="240" w:lineRule="auto"/>
      </w:pPr>
      <w:r>
        <w:separator/>
      </w:r>
    </w:p>
  </w:footnote>
  <w:footnote w:type="continuationSeparator" w:id="0">
    <w:p w14:paraId="46131AEE" w14:textId="77777777" w:rsidR="00DD2C9A" w:rsidRDefault="00DD2C9A" w:rsidP="00DD2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EE83" w14:textId="0FABB14A" w:rsidR="00DD2C9A" w:rsidRDefault="00DD2C9A">
    <w:pPr>
      <w:pStyle w:val="Header"/>
    </w:pPr>
    <w:r w:rsidRPr="00DD2C9A">
      <w:t>FERC-542, OMB Control No. 1902-0070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1A"/>
    <w:rsid w:val="00015B2A"/>
    <w:rsid w:val="000A5A47"/>
    <w:rsid w:val="0034471A"/>
    <w:rsid w:val="00BD2A76"/>
    <w:rsid w:val="00DD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71A"/>
    <w:rPr>
      <w:color w:val="0000FF" w:themeColor="hyperlink"/>
      <w:u w:val="single"/>
    </w:rPr>
  </w:style>
  <w:style w:type="paragraph" w:styleId="Header">
    <w:name w:val="header"/>
    <w:basedOn w:val="Normal"/>
    <w:link w:val="HeaderChar"/>
    <w:uiPriority w:val="99"/>
    <w:unhideWhenUsed/>
    <w:rsid w:val="00DD2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9A"/>
  </w:style>
  <w:style w:type="paragraph" w:styleId="Footer">
    <w:name w:val="footer"/>
    <w:basedOn w:val="Normal"/>
    <w:link w:val="FooterChar"/>
    <w:uiPriority w:val="99"/>
    <w:unhideWhenUsed/>
    <w:rsid w:val="00DD2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71A"/>
    <w:rPr>
      <w:color w:val="0000FF" w:themeColor="hyperlink"/>
      <w:u w:val="single"/>
    </w:rPr>
  </w:style>
  <w:style w:type="paragraph" w:styleId="Header">
    <w:name w:val="header"/>
    <w:basedOn w:val="Normal"/>
    <w:link w:val="HeaderChar"/>
    <w:uiPriority w:val="99"/>
    <w:unhideWhenUsed/>
    <w:rsid w:val="00DD2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9A"/>
  </w:style>
  <w:style w:type="paragraph" w:styleId="Footer">
    <w:name w:val="footer"/>
    <w:basedOn w:val="Normal"/>
    <w:link w:val="FooterChar"/>
    <w:uiPriority w:val="99"/>
    <w:unhideWhenUsed/>
    <w:rsid w:val="00DD2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463950">
      <w:bodyDiv w:val="1"/>
      <w:marLeft w:val="0"/>
      <w:marRight w:val="0"/>
      <w:marTop w:val="30"/>
      <w:marBottom w:val="750"/>
      <w:divBdr>
        <w:top w:val="none" w:sz="0" w:space="0" w:color="auto"/>
        <w:left w:val="none" w:sz="0" w:space="0" w:color="auto"/>
        <w:bottom w:val="none" w:sz="0" w:space="0" w:color="auto"/>
        <w:right w:val="none" w:sz="0" w:space="0" w:color="auto"/>
      </w:divBdr>
      <w:divsChild>
        <w:div w:id="1715888391">
          <w:marLeft w:val="0"/>
          <w:marRight w:val="0"/>
          <w:marTop w:val="0"/>
          <w:marBottom w:val="0"/>
          <w:divBdr>
            <w:top w:val="none" w:sz="0" w:space="0" w:color="auto"/>
            <w:left w:val="none" w:sz="0" w:space="0" w:color="auto"/>
            <w:bottom w:val="none" w:sz="0" w:space="0" w:color="auto"/>
            <w:right w:val="none" w:sz="0" w:space="0" w:color="auto"/>
          </w:divBdr>
        </w:div>
      </w:divsChild>
    </w:div>
    <w:div w:id="1249467265">
      <w:bodyDiv w:val="1"/>
      <w:marLeft w:val="0"/>
      <w:marRight w:val="0"/>
      <w:marTop w:val="30"/>
      <w:marBottom w:val="750"/>
      <w:divBdr>
        <w:top w:val="none" w:sz="0" w:space="0" w:color="auto"/>
        <w:left w:val="none" w:sz="0" w:space="0" w:color="auto"/>
        <w:bottom w:val="none" w:sz="0" w:space="0" w:color="auto"/>
        <w:right w:val="none" w:sz="0" w:space="0" w:color="auto"/>
      </w:divBdr>
      <w:divsChild>
        <w:div w:id="1595435500">
          <w:marLeft w:val="0"/>
          <w:marRight w:val="0"/>
          <w:marTop w:val="0"/>
          <w:marBottom w:val="0"/>
          <w:divBdr>
            <w:top w:val="none" w:sz="0" w:space="0" w:color="auto"/>
            <w:left w:val="none" w:sz="0" w:space="0" w:color="auto"/>
            <w:bottom w:val="none" w:sz="0" w:space="0" w:color="auto"/>
            <w:right w:val="none" w:sz="0" w:space="0" w:color="auto"/>
          </w:divBdr>
        </w:div>
      </w:divsChild>
    </w:div>
    <w:div w:id="1541085224">
      <w:bodyDiv w:val="1"/>
      <w:marLeft w:val="0"/>
      <w:marRight w:val="0"/>
      <w:marTop w:val="30"/>
      <w:marBottom w:val="750"/>
      <w:divBdr>
        <w:top w:val="none" w:sz="0" w:space="0" w:color="auto"/>
        <w:left w:val="none" w:sz="0" w:space="0" w:color="auto"/>
        <w:bottom w:val="none" w:sz="0" w:space="0" w:color="auto"/>
        <w:right w:val="none" w:sz="0" w:space="0" w:color="auto"/>
      </w:divBdr>
      <w:divsChild>
        <w:div w:id="1920601265">
          <w:marLeft w:val="0"/>
          <w:marRight w:val="0"/>
          <w:marTop w:val="0"/>
          <w:marBottom w:val="0"/>
          <w:divBdr>
            <w:top w:val="none" w:sz="0" w:space="0" w:color="auto"/>
            <w:left w:val="none" w:sz="0" w:space="0" w:color="auto"/>
            <w:bottom w:val="none" w:sz="0" w:space="0" w:color="auto"/>
            <w:right w:val="none" w:sz="0" w:space="0" w:color="auto"/>
          </w:divBdr>
        </w:div>
      </w:divsChild>
    </w:div>
    <w:div w:id="1547644976">
      <w:bodyDiv w:val="1"/>
      <w:marLeft w:val="0"/>
      <w:marRight w:val="0"/>
      <w:marTop w:val="30"/>
      <w:marBottom w:val="750"/>
      <w:divBdr>
        <w:top w:val="none" w:sz="0" w:space="0" w:color="auto"/>
        <w:left w:val="none" w:sz="0" w:space="0" w:color="auto"/>
        <w:bottom w:val="none" w:sz="0" w:space="0" w:color="auto"/>
        <w:right w:val="none" w:sz="0" w:space="0" w:color="auto"/>
      </w:divBdr>
      <w:divsChild>
        <w:div w:id="2166703">
          <w:marLeft w:val="0"/>
          <w:marRight w:val="0"/>
          <w:marTop w:val="0"/>
          <w:marBottom w:val="0"/>
          <w:divBdr>
            <w:top w:val="none" w:sz="0" w:space="0" w:color="auto"/>
            <w:left w:val="none" w:sz="0" w:space="0" w:color="auto"/>
            <w:bottom w:val="none" w:sz="0" w:space="0" w:color="auto"/>
            <w:right w:val="none" w:sz="0" w:space="0" w:color="auto"/>
          </w:divBdr>
          <w:divsChild>
            <w:div w:id="6878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46480">
      <w:bodyDiv w:val="1"/>
      <w:marLeft w:val="0"/>
      <w:marRight w:val="0"/>
      <w:marTop w:val="30"/>
      <w:marBottom w:val="750"/>
      <w:divBdr>
        <w:top w:val="none" w:sz="0" w:space="0" w:color="auto"/>
        <w:left w:val="none" w:sz="0" w:space="0" w:color="auto"/>
        <w:bottom w:val="none" w:sz="0" w:space="0" w:color="auto"/>
        <w:right w:val="none" w:sz="0" w:space="0" w:color="auto"/>
      </w:divBdr>
      <w:divsChild>
        <w:div w:id="293023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text-idx?gp=&amp;SID=c7816047dc19f8931c7898661c1cc33f&amp;mc=true&amp;tpl=/ecfrbrowse/Title18/18CIsubchapE.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text-idx?gp=&amp;SID=c7816047dc19f8931c7898661c1cc33f&amp;mc=true&amp;tpl=/ecfrbrowse/Title18/18chapterI.t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cfr.gov/cgi-bin/text-idx?gp=&amp;SID=c7816047dc19f8931c7898661c1cc33f&amp;mc=true&amp;tpl=/ecfrbrowse/Title18/18tab_02.t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542</_x0031__x002e__x0020_Collection_x0020_Number>
    <Date xmlns="d6eefc7d-9817-4fa6-84d5-3bc009be21b8">2016-02-25T00:00:00-05:00</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IC16-4</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66159857-7691-4A18-AE67-2D4325DAD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9FED7-3EEB-41CE-92D1-4956FCA0AA34}">
  <ds:schemaRefs>
    <ds:schemaRef ds:uri="http://schemas.microsoft.com/office/2006/metadata/customXsn"/>
  </ds:schemaRefs>
</ds:datastoreItem>
</file>

<file path=customXml/itemProps3.xml><?xml version="1.0" encoding="utf-8"?>
<ds:datastoreItem xmlns:ds="http://schemas.openxmlformats.org/officeDocument/2006/customXml" ds:itemID="{A4859F52-CB3A-4CD9-827D-4762B9CE0210}">
  <ds:schemaRefs>
    <ds:schemaRef ds:uri="http://schemas.microsoft.com/sharepoint/v3/contenttype/forms"/>
  </ds:schemaRefs>
</ds:datastoreItem>
</file>

<file path=customXml/itemProps4.xml><?xml version="1.0" encoding="utf-8"?>
<ds:datastoreItem xmlns:ds="http://schemas.openxmlformats.org/officeDocument/2006/customXml" ds:itemID="{0781CA12-F1AE-4DF0-93E5-AE29C12D55A6}">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18CFR154 regs.</dc:title>
  <dc:creator>Ellen Brown</dc:creator>
  <cp:lastModifiedBy>Ellen Brown</cp:lastModifiedBy>
  <cp:revision>4</cp:revision>
  <dcterms:created xsi:type="dcterms:W3CDTF">2016-02-25T14:10:00Z</dcterms:created>
  <dcterms:modified xsi:type="dcterms:W3CDTF">2016-02-25T14:20:00Z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