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54" w:rsidRDefault="00292854">
      <w:pPr>
        <w:tabs>
          <w:tab w:val="center" w:pos="4824"/>
        </w:tabs>
        <w:rPr>
          <w:rFonts w:ascii="Times New Roman" w:hAnsi="Times New Roman"/>
          <w:b/>
          <w:bCs/>
        </w:rPr>
      </w:pPr>
      <w:r>
        <w:rPr>
          <w:rFonts w:ascii="Times New Roman" w:hAnsi="Times New Roman"/>
        </w:rPr>
        <w:tab/>
      </w:r>
      <w:r>
        <w:rPr>
          <w:rFonts w:ascii="Times New Roman" w:hAnsi="Times New Roman"/>
          <w:b/>
          <w:bCs/>
        </w:rPr>
        <w:t xml:space="preserve">Supporting Statement </w:t>
      </w:r>
    </w:p>
    <w:p w:rsidR="00292854" w:rsidRDefault="00292854">
      <w:pPr>
        <w:tabs>
          <w:tab w:val="center" w:pos="4824"/>
        </w:tabs>
        <w:rPr>
          <w:rFonts w:ascii="Times New Roman" w:hAnsi="Times New Roman"/>
          <w:b/>
          <w:bCs/>
        </w:rPr>
      </w:pPr>
      <w:r>
        <w:rPr>
          <w:rFonts w:ascii="Times New Roman" w:hAnsi="Times New Roman"/>
          <w:b/>
          <w:bCs/>
        </w:rPr>
        <w:tab/>
        <w:t xml:space="preserve">Leasing </w:t>
      </w:r>
    </w:p>
    <w:p w:rsidR="00292854" w:rsidRDefault="00971D02">
      <w:pPr>
        <w:jc w:val="center"/>
        <w:rPr>
          <w:rFonts w:ascii="Times New Roman" w:hAnsi="Times New Roman"/>
          <w:b/>
          <w:bCs/>
        </w:rPr>
      </w:pPr>
      <w:r>
        <w:rPr>
          <w:rFonts w:ascii="Times New Roman" w:hAnsi="Times New Roman"/>
          <w:b/>
          <w:bCs/>
        </w:rPr>
        <w:t>OMB Control No.</w:t>
      </w:r>
      <w:r w:rsidR="00292854">
        <w:rPr>
          <w:rFonts w:ascii="Times New Roman" w:hAnsi="Times New Roman"/>
          <w:b/>
          <w:bCs/>
        </w:rPr>
        <w:t xml:space="preserve"> 1557-0206</w:t>
      </w:r>
    </w:p>
    <w:p w:rsidR="00292854" w:rsidRDefault="00292854">
      <w:pPr>
        <w:rPr>
          <w:rFonts w:ascii="Times New Roman" w:hAnsi="Times New Roman"/>
          <w:b/>
          <w:bCs/>
        </w:rPr>
      </w:pPr>
    </w:p>
    <w:p w:rsidR="00292854" w:rsidRDefault="00292854">
      <w:pPr>
        <w:tabs>
          <w:tab w:val="left" w:pos="-1440"/>
        </w:tabs>
        <w:ind w:left="720" w:hanging="720"/>
        <w:rPr>
          <w:rFonts w:ascii="Times New Roman" w:hAnsi="Times New Roman"/>
          <w:b/>
          <w:bCs/>
        </w:rPr>
      </w:pPr>
      <w:proofErr w:type="gramStart"/>
      <w:r>
        <w:rPr>
          <w:rFonts w:ascii="Times New Roman" w:hAnsi="Times New Roman"/>
          <w:b/>
          <w:bCs/>
        </w:rPr>
        <w:t>A.  Justification.</w:t>
      </w:r>
      <w:proofErr w:type="gramEnd"/>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w:t>
      </w:r>
      <w:r>
        <w:rPr>
          <w:rFonts w:ascii="Times New Roman" w:hAnsi="Times New Roman"/>
          <w:b/>
          <w:bCs/>
          <w:i/>
          <w:iCs/>
        </w:rPr>
        <w:tab/>
        <w:t>Circumstances that make the collection necessary:</w:t>
      </w:r>
    </w:p>
    <w:p w:rsidR="00292854" w:rsidRDefault="00292854" w:rsidP="006866A2">
      <w:pPr>
        <w:rPr>
          <w:rFonts w:ascii="Times New Roman" w:hAnsi="Times New Roman"/>
        </w:rPr>
      </w:pPr>
    </w:p>
    <w:p w:rsidR="006866A2" w:rsidRDefault="006866A2" w:rsidP="006866A2">
      <w:pPr>
        <w:ind w:firstLine="720"/>
      </w:pPr>
      <w:r>
        <w:t xml:space="preserve">Under 12 CFR 23.4(c), national banks must liquidate or re-lease personal property that is no longer subject to lease (off-lease property) within five years from the date of the lease expiration.  If a bank wishes to extend the five-year holding period for up to an additional five years, it must obtain OCC approval.  Permitting a bank to extend the holding period may result in cost savings to national banks.  It </w:t>
      </w:r>
      <w:r w:rsidR="00870497">
        <w:t xml:space="preserve">may </w:t>
      </w:r>
      <w:r>
        <w:t xml:space="preserve">also provide flexibility for a bank that experiences unusual or unforeseen conditions </w:t>
      </w:r>
      <w:r w:rsidR="00515048">
        <w:t xml:space="preserve">that </w:t>
      </w:r>
      <w:r>
        <w:t xml:space="preserve">would make it imprudent to dispose of the off-lease property.  Section 23.4(c) requires a bank seeking an extension to provide a clearly convincing demonstration as to why an additional holding period is necessary.  In addition, a bank must value off-lease property at the lower of current fair market value or book value promptly after the property </w:t>
      </w:r>
      <w:proofErr w:type="gramStart"/>
      <w:r>
        <w:t>comes</w:t>
      </w:r>
      <w:proofErr w:type="gramEnd"/>
      <w:r>
        <w:t xml:space="preserve"> off-lease.  These requirements enable the OCC to ensure that a bank is not holding the property for speculative reasons and that the value of the property </w:t>
      </w:r>
      <w:proofErr w:type="gramStart"/>
      <w:r>
        <w:t>is recorded</w:t>
      </w:r>
      <w:proofErr w:type="gramEnd"/>
      <w:r>
        <w:t xml:space="preserve"> in accordance with generally accepted accounting principles (GAAP).</w:t>
      </w:r>
    </w:p>
    <w:p w:rsidR="006866A2" w:rsidRDefault="006866A2" w:rsidP="006866A2"/>
    <w:p w:rsidR="006866A2" w:rsidRDefault="006866A2" w:rsidP="006866A2">
      <w:pPr>
        <w:ind w:firstLine="720"/>
      </w:pPr>
      <w:r>
        <w:t xml:space="preserve">Under 12 CFR </w:t>
      </w:r>
      <w:r w:rsidR="00DA0611">
        <w:t>23.6</w:t>
      </w:r>
      <w:r>
        <w:t xml:space="preserve">, leases are subject to the lending limits prescribed by 12 U.S.C. 84, as implemented by 12 CFR part 32, or, if the lessee is an affiliate of the bank, to the restrictions on transactions with affiliates prescribed by 12 U.S.C. 371c and 371c-1.  </w:t>
      </w:r>
      <w:proofErr w:type="gramStart"/>
      <w:r>
        <w:t>Twelve U.S.C. 24</w:t>
      </w:r>
      <w:proofErr w:type="gramEnd"/>
      <w:r>
        <w:t xml:space="preserve"> contains two separate provisions authorizing a national bank to acquire personal property for purposes of lease financing.  Twelve U.S.C. 24(Seventh) authorizes leases of personal property (Section 24(Seventh) Leases) if the lease </w:t>
      </w:r>
      <w:r w:rsidR="00DA0611">
        <w:t>is a conforming lease as defined in 12 CFR 23.2(d</w:t>
      </w:r>
      <w:proofErr w:type="gramStart"/>
      <w:r w:rsidR="00DA0611">
        <w:t>)</w:t>
      </w:r>
      <w:r w:rsidR="00515048">
        <w:t>(</w:t>
      </w:r>
      <w:proofErr w:type="gramEnd"/>
      <w:r w:rsidR="00515048">
        <w:t>2)</w:t>
      </w:r>
      <w:r w:rsidR="00DA0611">
        <w:t xml:space="preserve"> and represents a </w:t>
      </w:r>
      <w:proofErr w:type="spellStart"/>
      <w:r w:rsidR="00DA0611">
        <w:t>noncancelable</w:t>
      </w:r>
      <w:proofErr w:type="spellEnd"/>
      <w:r w:rsidR="00DA0611">
        <w:t xml:space="preserve"> obligation of the lessee (i.e., the lease </w:t>
      </w:r>
      <w:r>
        <w:t>serves as the functional equivalent of a loan</w:t>
      </w:r>
      <w:r w:rsidR="00DA0611">
        <w:t>)</w:t>
      </w:r>
      <w:r>
        <w:t>.  See 12 CFR 23.20.  A national bank may also acquire personal property for purposes of lease financing under the authority of 12 U.S.C. 24(Tenth) (CEBA Leases).  Section 23.5 requires that if a bank enters into both types of leases, its records must distinguish between the two types of leases.  This information is required to prove that the national bank is complying with the limitations and requirements applicable to the two types of leases.</w:t>
      </w:r>
    </w:p>
    <w:p w:rsidR="006866A2" w:rsidRDefault="006866A2" w:rsidP="006866A2">
      <w:pPr>
        <w:ind w:firstLine="720"/>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2.  Use of the information:</w:t>
      </w:r>
    </w:p>
    <w:p w:rsidR="006866A2" w:rsidRDefault="006866A2">
      <w:pPr>
        <w:tabs>
          <w:tab w:val="left" w:pos="-1440"/>
        </w:tabs>
        <w:ind w:left="720" w:hanging="720"/>
        <w:rPr>
          <w:rFonts w:ascii="Times New Roman" w:hAnsi="Times New Roman"/>
          <w:b/>
          <w:bCs/>
          <w:i/>
          <w:iCs/>
        </w:rPr>
      </w:pPr>
    </w:p>
    <w:p w:rsidR="006866A2" w:rsidRDefault="006866A2" w:rsidP="006866A2">
      <w:pPr>
        <w:ind w:firstLine="720"/>
      </w:pPr>
      <w:r>
        <w:t xml:space="preserve">National banks use the information to ensure their compliance with applicable Federal banking law and regulations and accounting principles.  The OCC uses the information in conducting bank examinations and as an auditing tool to verify bank compliance with laws and regulations.  In addition, the OCC uses national bank requests for permission to extend the holding period for off-lease property to ensure national bank compliance with relevant laws and regulations and to ensure bank safety and soundness.  </w:t>
      </w:r>
    </w:p>
    <w:p w:rsidR="006866A2" w:rsidRDefault="006866A2" w:rsidP="006866A2">
      <w:pPr>
        <w:ind w:firstLine="720"/>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3.  Consideration of the use of improved information technology:</w:t>
      </w:r>
    </w:p>
    <w:p w:rsidR="00292854" w:rsidRDefault="00292854">
      <w:pPr>
        <w:rPr>
          <w:rFonts w:ascii="Times New Roman" w:hAnsi="Times New Roman"/>
        </w:rPr>
      </w:pPr>
    </w:p>
    <w:p w:rsidR="00292854" w:rsidRDefault="00870497" w:rsidP="00510161">
      <w:pPr>
        <w:ind w:firstLine="720"/>
        <w:rPr>
          <w:rFonts w:ascii="Times New Roman" w:hAnsi="Times New Roman"/>
        </w:rPr>
      </w:pPr>
      <w:r>
        <w:rPr>
          <w:rFonts w:ascii="Times New Roman" w:hAnsi="Times New Roman"/>
        </w:rPr>
        <w:t>I</w:t>
      </w:r>
      <w:r w:rsidR="00292854">
        <w:rPr>
          <w:rFonts w:ascii="Times New Roman" w:hAnsi="Times New Roman"/>
        </w:rPr>
        <w:t>mproved information technology is not useful in reducing the reporting burden</w:t>
      </w:r>
      <w:r>
        <w:rPr>
          <w:rFonts w:ascii="Times New Roman" w:hAnsi="Times New Roman"/>
        </w:rPr>
        <w:t xml:space="preserve"> because </w:t>
      </w:r>
      <w:r>
        <w:rPr>
          <w:rFonts w:ascii="Times New Roman" w:hAnsi="Times New Roman"/>
        </w:rPr>
        <w:lastRenderedPageBreak/>
        <w:t>e</w:t>
      </w:r>
      <w:r w:rsidR="00292854">
        <w:rPr>
          <w:rFonts w:ascii="Times New Roman" w:hAnsi="Times New Roman"/>
        </w:rPr>
        <w:t>ach filing is unique to the individual bank.  However, the OCC would consider any request by a national bank to use improved information technology in these applications.  To satisfy the recordkeeping requirements of this submission, banks may use any information technology that permits retrieval and review by OCC examiners.</w:t>
      </w:r>
    </w:p>
    <w:p w:rsidR="00292854" w:rsidRDefault="00292854">
      <w:pPr>
        <w:rPr>
          <w:rFonts w:ascii="Times New Roman" w:hAnsi="Times New Roman"/>
          <w:b/>
          <w:bCs/>
          <w:i/>
          <w:iCs/>
        </w:rPr>
      </w:pPr>
    </w:p>
    <w:p w:rsidR="00292854" w:rsidRDefault="00292854">
      <w:pPr>
        <w:tabs>
          <w:tab w:val="left" w:pos="-1440"/>
        </w:tabs>
        <w:ind w:left="720" w:hanging="720"/>
        <w:rPr>
          <w:rFonts w:ascii="Times New Roman" w:hAnsi="Times New Roman"/>
        </w:rPr>
      </w:pPr>
      <w:r>
        <w:rPr>
          <w:rFonts w:ascii="Times New Roman" w:hAnsi="Times New Roman"/>
          <w:b/>
          <w:bCs/>
          <w:i/>
          <w:iCs/>
        </w:rPr>
        <w:t>4.  Efforts to identify duplication:</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The information collection is unique to the bank and the particular filing.  It </w:t>
      </w:r>
      <w:proofErr w:type="gramStart"/>
      <w:r>
        <w:rPr>
          <w:rFonts w:ascii="Times New Roman" w:hAnsi="Times New Roman"/>
        </w:rPr>
        <w:t>is not duplicated</w:t>
      </w:r>
      <w:proofErr w:type="gramEnd"/>
      <w:r>
        <w:rPr>
          <w:rFonts w:ascii="Times New Roman" w:hAnsi="Times New Roman"/>
        </w:rPr>
        <w:t xml:space="preserve"> elsewhere.</w:t>
      </w:r>
    </w:p>
    <w:p w:rsidR="00292854" w:rsidRDefault="00292854">
      <w:pPr>
        <w:rPr>
          <w:rFonts w:ascii="Times New Roman" w:hAnsi="Times New Roman"/>
        </w:rPr>
      </w:pPr>
    </w:p>
    <w:p w:rsidR="00292854" w:rsidRDefault="00292854">
      <w:pPr>
        <w:pStyle w:val="BodyText"/>
      </w:pPr>
      <w:r>
        <w:t>5.  Methods used to minimize burden if the collection has a significant impact on substantial number of small entities:</w:t>
      </w:r>
    </w:p>
    <w:p w:rsidR="00292854" w:rsidRDefault="00292854">
      <w:pPr>
        <w:rPr>
          <w:rFonts w:ascii="Times New Roman" w:hAnsi="Times New Roman"/>
        </w:rPr>
      </w:pPr>
    </w:p>
    <w:p w:rsidR="00292854" w:rsidRDefault="00B0131C" w:rsidP="00510161">
      <w:pPr>
        <w:ind w:firstLine="720"/>
        <w:rPr>
          <w:rFonts w:ascii="Times New Roman" w:hAnsi="Times New Roman"/>
        </w:rPr>
      </w:pPr>
      <w:proofErr w:type="gramStart"/>
      <w:r>
        <w:rPr>
          <w:rFonts w:ascii="Times New Roman" w:hAnsi="Times New Roman"/>
        </w:rPr>
        <w:t>Not applicable.</w:t>
      </w:r>
      <w:proofErr w:type="gramEnd"/>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 xml:space="preserve">6.  Consequences to the Federal program if the collection </w:t>
      </w:r>
      <w:proofErr w:type="gramStart"/>
      <w:r>
        <w:rPr>
          <w:rFonts w:ascii="Times New Roman" w:hAnsi="Times New Roman"/>
          <w:b/>
          <w:bCs/>
          <w:i/>
          <w:iCs/>
        </w:rPr>
        <w:t>were conducted</w:t>
      </w:r>
      <w:proofErr w:type="gramEnd"/>
      <w:r>
        <w:rPr>
          <w:rFonts w:ascii="Times New Roman" w:hAnsi="Times New Roman"/>
          <w:b/>
          <w:bCs/>
          <w:i/>
          <w:iCs/>
        </w:rPr>
        <w:t xml:space="preserve"> less frequently: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The information </w:t>
      </w:r>
      <w:proofErr w:type="gramStart"/>
      <w:r>
        <w:rPr>
          <w:rFonts w:ascii="Times New Roman" w:hAnsi="Times New Roman"/>
        </w:rPr>
        <w:t>is collected</w:t>
      </w:r>
      <w:proofErr w:type="gramEnd"/>
      <w:r>
        <w:rPr>
          <w:rFonts w:ascii="Times New Roman" w:hAnsi="Times New Roman"/>
        </w:rPr>
        <w:t xml:space="preserve"> infrequently, as covered situations arise.  Less frequent collection could impair OCC’s bank supervisory activities and would limit the utility of the information to bank management.  Less frequent collection could result in unsafe and unsound bank operations.</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 xml:space="preserve">7.  Special circumstances necessitating collection inconsistent with </w:t>
      </w:r>
      <w:proofErr w:type="gramStart"/>
      <w:r>
        <w:rPr>
          <w:rFonts w:ascii="Times New Roman" w:hAnsi="Times New Roman"/>
          <w:b/>
          <w:bCs/>
          <w:i/>
          <w:iCs/>
        </w:rPr>
        <w:t>5</w:t>
      </w:r>
      <w:proofErr w:type="gramEnd"/>
      <w:r>
        <w:rPr>
          <w:rFonts w:ascii="Times New Roman" w:hAnsi="Times New Roman"/>
          <w:b/>
          <w:bCs/>
          <w:i/>
          <w:iCs/>
        </w:rPr>
        <w:t xml:space="preserve"> CFR </w:t>
      </w:r>
      <w:r w:rsidR="00B0131C">
        <w:rPr>
          <w:rFonts w:ascii="Times New Roman" w:hAnsi="Times New Roman"/>
          <w:b/>
          <w:bCs/>
          <w:i/>
          <w:iCs/>
        </w:rPr>
        <w:t>p</w:t>
      </w:r>
      <w:r>
        <w:rPr>
          <w:rFonts w:ascii="Times New Roman" w:hAnsi="Times New Roman"/>
          <w:b/>
          <w:bCs/>
          <w:i/>
          <w:iCs/>
        </w:rPr>
        <w:t>art 1320:</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This information collection is conducted in accordance with OMB’s guidelines in 12 CFR </w:t>
      </w:r>
      <w:proofErr w:type="gramStart"/>
      <w:r w:rsidR="00C3765F">
        <w:rPr>
          <w:rFonts w:ascii="Times New Roman" w:hAnsi="Times New Roman"/>
        </w:rPr>
        <w:t>p</w:t>
      </w:r>
      <w:r>
        <w:rPr>
          <w:rFonts w:ascii="Times New Roman" w:hAnsi="Times New Roman"/>
        </w:rPr>
        <w:t>art</w:t>
      </w:r>
      <w:proofErr w:type="gramEnd"/>
      <w:r>
        <w:rPr>
          <w:rFonts w:ascii="Times New Roman" w:hAnsi="Times New Roman"/>
        </w:rPr>
        <w:t xml:space="preserve"> 1320.</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8.  Efforts to consult with persons outside the agency: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The OCC published a </w:t>
      </w:r>
      <w:r w:rsidRPr="00202E37">
        <w:rPr>
          <w:rFonts w:ascii="Times New Roman" w:hAnsi="Times New Roman"/>
          <w:i/>
        </w:rPr>
        <w:t xml:space="preserve">Federal Register </w:t>
      </w:r>
      <w:r>
        <w:rPr>
          <w:rFonts w:ascii="Times New Roman" w:hAnsi="Times New Roman"/>
        </w:rPr>
        <w:t>notice regarding the extension of OMB approval of the information collection r</w:t>
      </w:r>
      <w:r w:rsidR="00DB3C03">
        <w:rPr>
          <w:rFonts w:ascii="Times New Roman" w:hAnsi="Times New Roman"/>
        </w:rPr>
        <w:t xml:space="preserve">equirements in Part 23 on </w:t>
      </w:r>
      <w:r w:rsidR="00FB699A">
        <w:rPr>
          <w:rFonts w:ascii="Times New Roman" w:hAnsi="Times New Roman"/>
        </w:rPr>
        <w:t>January 20, 2016</w:t>
      </w:r>
      <w:r w:rsidR="00320067">
        <w:rPr>
          <w:rFonts w:ascii="Times New Roman" w:hAnsi="Times New Roman"/>
        </w:rPr>
        <w:t xml:space="preserve"> (81</w:t>
      </w:r>
      <w:r w:rsidR="00DB3C03">
        <w:rPr>
          <w:rFonts w:ascii="Times New Roman" w:hAnsi="Times New Roman"/>
        </w:rPr>
        <w:t xml:space="preserve"> FR </w:t>
      </w:r>
      <w:r w:rsidR="00FB699A">
        <w:rPr>
          <w:rFonts w:ascii="Times New Roman" w:hAnsi="Times New Roman"/>
        </w:rPr>
        <w:t>3236</w:t>
      </w:r>
      <w:r>
        <w:rPr>
          <w:rFonts w:ascii="Times New Roman" w:hAnsi="Times New Roman"/>
        </w:rPr>
        <w:t xml:space="preserve">).  </w:t>
      </w:r>
      <w:r w:rsidR="00FB699A">
        <w:rPr>
          <w:rFonts w:ascii="Times New Roman" w:hAnsi="Times New Roman"/>
        </w:rPr>
        <w:t xml:space="preserve">No comments </w:t>
      </w:r>
      <w:proofErr w:type="gramStart"/>
      <w:r w:rsidR="00FB699A">
        <w:rPr>
          <w:rFonts w:ascii="Times New Roman" w:hAnsi="Times New Roman"/>
        </w:rPr>
        <w:t>were received</w:t>
      </w:r>
      <w:proofErr w:type="gramEnd"/>
      <w:r w:rsidR="00FB699A">
        <w:rPr>
          <w:rFonts w:ascii="Times New Roman" w:hAnsi="Times New Roman"/>
        </w:rPr>
        <w:t>.</w:t>
      </w:r>
    </w:p>
    <w:p w:rsidR="00292854" w:rsidRDefault="00292854">
      <w:pPr>
        <w:rPr>
          <w:rFonts w:ascii="Times New Roman" w:hAnsi="Times New Roman"/>
        </w:rPr>
      </w:pPr>
    </w:p>
    <w:p w:rsidR="00292854" w:rsidRDefault="00292854">
      <w:pPr>
        <w:pStyle w:val="BodyText"/>
        <w:tabs>
          <w:tab w:val="clear" w:pos="-1440"/>
        </w:tabs>
      </w:pPr>
      <w:r>
        <w:t>9.  Payment to respondents:</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AE4350" w:rsidRDefault="00AE4350" w:rsidP="001F160F">
      <w:pPr>
        <w:tabs>
          <w:tab w:val="left" w:pos="-1440"/>
        </w:tabs>
        <w:rPr>
          <w:rFonts w:ascii="Times New Roman" w:hAnsi="Times New Roman"/>
          <w:b/>
          <w:bCs/>
          <w:i/>
          <w:iCs/>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10.  Any assurance of confidentiality: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No assurance of </w:t>
      </w:r>
      <w:bookmarkStart w:id="0" w:name="_GoBack"/>
      <w:r>
        <w:rPr>
          <w:rFonts w:ascii="Times New Roman" w:hAnsi="Times New Roman"/>
        </w:rPr>
        <w:t>confidentiality is given.</w:t>
      </w:r>
      <w:bookmarkEnd w:id="0"/>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11.  Justification for questions of a sensitive nature:</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No questions of a sensitive nature </w:t>
      </w:r>
      <w:proofErr w:type="gramStart"/>
      <w:r>
        <w:rPr>
          <w:rFonts w:ascii="Times New Roman" w:hAnsi="Times New Roman"/>
        </w:rPr>
        <w:t>are asked</w:t>
      </w:r>
      <w:proofErr w:type="gramEnd"/>
      <w:r>
        <w:rPr>
          <w:rFonts w:ascii="Times New Roman" w:hAnsi="Times New Roman"/>
        </w:rPr>
        <w:t>.</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lastRenderedPageBreak/>
        <w:t>12.  Burden estimate:</w:t>
      </w:r>
    </w:p>
    <w:p w:rsidR="00292854" w:rsidRDefault="00292854">
      <w:pPr>
        <w:rPr>
          <w:rFonts w:ascii="Times New Roman" w:hAnsi="Times New Roman"/>
        </w:rPr>
      </w:pPr>
    </w:p>
    <w:p w:rsidR="00292854" w:rsidRDefault="00292854">
      <w:pPr>
        <w:rPr>
          <w:rFonts w:ascii="Times New Roman" w:hAnsi="Times New Roman"/>
        </w:rPr>
      </w:pPr>
      <w:r>
        <w:rPr>
          <w:rFonts w:ascii="Times New Roman" w:hAnsi="Times New Roman"/>
        </w:rPr>
        <w:t>The OCC estimates the burden as follows:</w:t>
      </w:r>
    </w:p>
    <w:p w:rsidR="00292854" w:rsidRDefault="0029285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921"/>
        <w:gridCol w:w="1442"/>
        <w:gridCol w:w="1094"/>
        <w:gridCol w:w="1048"/>
        <w:gridCol w:w="1266"/>
      </w:tblGrid>
      <w:tr w:rsidR="00292854">
        <w:trPr>
          <w:tblHeader/>
        </w:trPr>
        <w:tc>
          <w:tcPr>
            <w:tcW w:w="1805" w:type="dxa"/>
          </w:tcPr>
          <w:p w:rsidR="00292854" w:rsidRDefault="00292854">
            <w:pPr>
              <w:pStyle w:val="ArticleNumber"/>
              <w:spacing w:line="240" w:lineRule="auto"/>
              <w:rPr>
                <w:b/>
                <w:bCs/>
                <w:sz w:val="20"/>
              </w:rPr>
            </w:pPr>
            <w:r>
              <w:rPr>
                <w:b/>
                <w:bCs/>
                <w:sz w:val="20"/>
              </w:rPr>
              <w:t>Cite</w:t>
            </w:r>
          </w:p>
          <w:p w:rsidR="00292854" w:rsidRDefault="00292854">
            <w:pPr>
              <w:jc w:val="center"/>
              <w:rPr>
                <w:rFonts w:ascii="Times New Roman" w:hAnsi="Times New Roman"/>
                <w:b/>
                <w:bCs/>
                <w:sz w:val="20"/>
              </w:rPr>
            </w:pPr>
            <w:r>
              <w:rPr>
                <w:rFonts w:ascii="Times New Roman" w:hAnsi="Times New Roman"/>
                <w:b/>
                <w:bCs/>
                <w:sz w:val="20"/>
              </w:rPr>
              <w:t>and</w:t>
            </w:r>
          </w:p>
          <w:p w:rsidR="00292854" w:rsidRDefault="00292854">
            <w:pPr>
              <w:jc w:val="center"/>
              <w:rPr>
                <w:rFonts w:ascii="Times New Roman" w:hAnsi="Times New Roman"/>
                <w:b/>
                <w:bCs/>
                <w:sz w:val="20"/>
              </w:rPr>
            </w:pPr>
            <w:r>
              <w:rPr>
                <w:rFonts w:ascii="Times New Roman" w:hAnsi="Times New Roman"/>
                <w:b/>
                <w:bCs/>
                <w:sz w:val="20"/>
              </w:rPr>
              <w:t>Burden Type</w:t>
            </w:r>
          </w:p>
        </w:tc>
        <w:tc>
          <w:tcPr>
            <w:tcW w:w="2921" w:type="dxa"/>
          </w:tcPr>
          <w:p w:rsidR="00292854" w:rsidRDefault="00292854">
            <w:pPr>
              <w:jc w:val="center"/>
              <w:rPr>
                <w:rFonts w:ascii="Times New Roman" w:hAnsi="Times New Roman"/>
                <w:b/>
                <w:bCs/>
                <w:sz w:val="20"/>
              </w:rPr>
            </w:pPr>
            <w:r>
              <w:rPr>
                <w:rFonts w:ascii="Times New Roman" w:hAnsi="Times New Roman"/>
                <w:b/>
                <w:bCs/>
                <w:sz w:val="20"/>
              </w:rPr>
              <w:t>Information Collection Requirements</w:t>
            </w:r>
          </w:p>
          <w:p w:rsidR="00292854" w:rsidRDefault="00292854">
            <w:pPr>
              <w:jc w:val="center"/>
              <w:rPr>
                <w:rFonts w:ascii="Times New Roman" w:hAnsi="Times New Roman"/>
                <w:b/>
                <w:bCs/>
                <w:sz w:val="20"/>
              </w:rPr>
            </w:pPr>
            <w:r>
              <w:rPr>
                <w:rFonts w:ascii="Times New Roman" w:hAnsi="Times New Roman"/>
                <w:b/>
                <w:bCs/>
                <w:sz w:val="20"/>
              </w:rPr>
              <w:t>in</w:t>
            </w:r>
          </w:p>
          <w:p w:rsidR="00292854" w:rsidRDefault="00292854">
            <w:pPr>
              <w:jc w:val="center"/>
              <w:rPr>
                <w:rFonts w:ascii="Times New Roman" w:hAnsi="Times New Roman"/>
                <w:b/>
                <w:bCs/>
                <w:sz w:val="20"/>
              </w:rPr>
            </w:pPr>
            <w:r>
              <w:rPr>
                <w:rFonts w:ascii="Times New Roman" w:hAnsi="Times New Roman"/>
                <w:b/>
                <w:bCs/>
                <w:sz w:val="20"/>
              </w:rPr>
              <w:t>12 CFR Part 23</w:t>
            </w:r>
          </w:p>
        </w:tc>
        <w:tc>
          <w:tcPr>
            <w:tcW w:w="1442" w:type="dxa"/>
          </w:tcPr>
          <w:p w:rsidR="00292854" w:rsidRDefault="00292854">
            <w:pPr>
              <w:pStyle w:val="ArticleNumber"/>
              <w:spacing w:line="240" w:lineRule="auto"/>
              <w:rPr>
                <w:b/>
                <w:bCs/>
                <w:sz w:val="20"/>
              </w:rPr>
            </w:pPr>
            <w:r>
              <w:rPr>
                <w:b/>
                <w:bCs/>
                <w:sz w:val="20"/>
              </w:rPr>
              <w:t>Number</w:t>
            </w:r>
          </w:p>
          <w:p w:rsidR="00292854" w:rsidRDefault="00292854">
            <w:pPr>
              <w:pStyle w:val="ArticleNumber"/>
              <w:spacing w:line="240" w:lineRule="auto"/>
              <w:rPr>
                <w:b/>
                <w:bCs/>
                <w:sz w:val="20"/>
              </w:rPr>
            </w:pPr>
            <w:r>
              <w:rPr>
                <w:b/>
                <w:bCs/>
                <w:sz w:val="20"/>
              </w:rPr>
              <w:t>of</w:t>
            </w:r>
          </w:p>
          <w:p w:rsidR="00292854" w:rsidRDefault="00292854">
            <w:pPr>
              <w:pStyle w:val="ArticleNumber"/>
              <w:spacing w:line="240" w:lineRule="auto"/>
              <w:rPr>
                <w:b/>
                <w:bCs/>
                <w:sz w:val="20"/>
              </w:rPr>
            </w:pPr>
            <w:r>
              <w:rPr>
                <w:b/>
                <w:bCs/>
                <w:sz w:val="20"/>
              </w:rPr>
              <w:t>Respondents</w:t>
            </w:r>
          </w:p>
        </w:tc>
        <w:tc>
          <w:tcPr>
            <w:tcW w:w="1094" w:type="dxa"/>
          </w:tcPr>
          <w:p w:rsidR="00292854" w:rsidRDefault="00292854">
            <w:pPr>
              <w:pStyle w:val="ArticleNumber"/>
              <w:spacing w:line="240" w:lineRule="auto"/>
              <w:rPr>
                <w:b/>
                <w:bCs/>
                <w:sz w:val="20"/>
              </w:rPr>
            </w:pPr>
            <w:r>
              <w:rPr>
                <w:b/>
                <w:bCs/>
                <w:sz w:val="20"/>
              </w:rPr>
              <w:t>Number</w:t>
            </w:r>
          </w:p>
          <w:p w:rsidR="00292854" w:rsidRDefault="00292854">
            <w:pPr>
              <w:pStyle w:val="ArticleNumber"/>
              <w:spacing w:line="240" w:lineRule="auto"/>
              <w:rPr>
                <w:b/>
                <w:bCs/>
                <w:sz w:val="20"/>
              </w:rPr>
            </w:pPr>
            <w:r>
              <w:rPr>
                <w:b/>
                <w:bCs/>
                <w:sz w:val="20"/>
              </w:rPr>
              <w:t>of</w:t>
            </w:r>
          </w:p>
          <w:p w:rsidR="00292854" w:rsidRDefault="00292854">
            <w:pPr>
              <w:pStyle w:val="ArticleNumber"/>
              <w:spacing w:line="240" w:lineRule="auto"/>
              <w:rPr>
                <w:b/>
                <w:bCs/>
                <w:sz w:val="20"/>
              </w:rPr>
            </w:pPr>
            <w:r>
              <w:rPr>
                <w:b/>
                <w:bCs/>
                <w:sz w:val="20"/>
              </w:rPr>
              <w:t>Responses</w:t>
            </w:r>
          </w:p>
        </w:tc>
        <w:tc>
          <w:tcPr>
            <w:tcW w:w="1048" w:type="dxa"/>
          </w:tcPr>
          <w:p w:rsidR="00292854" w:rsidRDefault="00292854">
            <w:pPr>
              <w:pStyle w:val="ArticleNumber"/>
              <w:spacing w:line="240" w:lineRule="auto"/>
              <w:rPr>
                <w:b/>
                <w:bCs/>
                <w:sz w:val="20"/>
              </w:rPr>
            </w:pPr>
            <w:r>
              <w:rPr>
                <w:b/>
                <w:bCs/>
                <w:sz w:val="20"/>
              </w:rPr>
              <w:t>Average</w:t>
            </w:r>
          </w:p>
          <w:p w:rsidR="00292854" w:rsidRDefault="00292854">
            <w:pPr>
              <w:jc w:val="center"/>
              <w:rPr>
                <w:rFonts w:ascii="Times New Roman" w:hAnsi="Times New Roman"/>
                <w:b/>
                <w:bCs/>
                <w:sz w:val="20"/>
              </w:rPr>
            </w:pPr>
            <w:r>
              <w:rPr>
                <w:rFonts w:ascii="Times New Roman" w:hAnsi="Times New Roman"/>
                <w:b/>
                <w:bCs/>
                <w:sz w:val="20"/>
              </w:rPr>
              <w:t>Hours Per</w:t>
            </w:r>
          </w:p>
          <w:p w:rsidR="00292854" w:rsidRDefault="00292854">
            <w:pPr>
              <w:jc w:val="center"/>
              <w:rPr>
                <w:rFonts w:ascii="Times New Roman" w:hAnsi="Times New Roman"/>
                <w:b/>
                <w:bCs/>
                <w:sz w:val="20"/>
              </w:rPr>
            </w:pPr>
            <w:r>
              <w:rPr>
                <w:rFonts w:ascii="Times New Roman" w:hAnsi="Times New Roman"/>
                <w:b/>
                <w:bCs/>
                <w:sz w:val="20"/>
              </w:rPr>
              <w:t>Response</w:t>
            </w:r>
          </w:p>
        </w:tc>
        <w:tc>
          <w:tcPr>
            <w:tcW w:w="1266" w:type="dxa"/>
          </w:tcPr>
          <w:p w:rsidR="00292854" w:rsidRDefault="00292854">
            <w:pPr>
              <w:pStyle w:val="ArticleNumber"/>
              <w:spacing w:line="240" w:lineRule="auto"/>
              <w:rPr>
                <w:b/>
                <w:bCs/>
                <w:sz w:val="20"/>
              </w:rPr>
            </w:pPr>
            <w:r>
              <w:rPr>
                <w:b/>
                <w:bCs/>
                <w:sz w:val="20"/>
              </w:rPr>
              <w:t>Estimated</w:t>
            </w:r>
          </w:p>
          <w:p w:rsidR="00292854" w:rsidRDefault="00292854">
            <w:pPr>
              <w:jc w:val="center"/>
              <w:rPr>
                <w:rFonts w:ascii="Times New Roman" w:hAnsi="Times New Roman"/>
                <w:b/>
                <w:bCs/>
                <w:sz w:val="20"/>
              </w:rPr>
            </w:pPr>
            <w:r>
              <w:rPr>
                <w:rFonts w:ascii="Times New Roman" w:hAnsi="Times New Roman"/>
                <w:b/>
                <w:bCs/>
                <w:sz w:val="20"/>
              </w:rPr>
              <w:t>Burden</w:t>
            </w:r>
          </w:p>
          <w:p w:rsidR="00292854" w:rsidRDefault="00292854">
            <w:pPr>
              <w:jc w:val="center"/>
              <w:rPr>
                <w:rFonts w:ascii="Times New Roman" w:hAnsi="Times New Roman"/>
                <w:b/>
                <w:bCs/>
                <w:sz w:val="20"/>
              </w:rPr>
            </w:pPr>
            <w:r>
              <w:rPr>
                <w:rFonts w:ascii="Times New Roman" w:hAnsi="Times New Roman"/>
                <w:b/>
                <w:bCs/>
                <w:sz w:val="20"/>
              </w:rPr>
              <w:t>Hours</w:t>
            </w:r>
          </w:p>
        </w:tc>
      </w:tr>
      <w:tr w:rsidR="00292854">
        <w:tc>
          <w:tcPr>
            <w:tcW w:w="1805" w:type="dxa"/>
          </w:tcPr>
          <w:p w:rsidR="00292854" w:rsidRDefault="00292854">
            <w:pPr>
              <w:rPr>
                <w:rFonts w:ascii="Times New Roman" w:hAnsi="Times New Roman"/>
                <w:sz w:val="20"/>
              </w:rPr>
            </w:pPr>
            <w:r>
              <w:rPr>
                <w:rFonts w:ascii="Times New Roman" w:hAnsi="Times New Roman"/>
                <w:sz w:val="20"/>
              </w:rPr>
              <w:t>12 CFR 23.4(c)</w:t>
            </w:r>
          </w:p>
          <w:p w:rsidR="00292854" w:rsidRDefault="00292854">
            <w:pPr>
              <w:rPr>
                <w:rFonts w:ascii="Times New Roman" w:hAnsi="Times New Roman"/>
                <w:sz w:val="20"/>
              </w:rPr>
            </w:pPr>
            <w:r>
              <w:rPr>
                <w:rFonts w:ascii="Times New Roman" w:hAnsi="Times New Roman"/>
                <w:sz w:val="20"/>
              </w:rPr>
              <w:t>Reporting</w:t>
            </w:r>
          </w:p>
        </w:tc>
        <w:tc>
          <w:tcPr>
            <w:tcW w:w="2921" w:type="dxa"/>
          </w:tcPr>
          <w:p w:rsidR="00292854" w:rsidRDefault="00292854">
            <w:pPr>
              <w:rPr>
                <w:rFonts w:ascii="Times New Roman" w:hAnsi="Times New Roman"/>
                <w:sz w:val="20"/>
              </w:rPr>
            </w:pPr>
            <w:r>
              <w:rPr>
                <w:rFonts w:ascii="Times New Roman" w:hAnsi="Times New Roman"/>
                <w:b/>
                <w:bCs/>
                <w:i/>
                <w:iCs/>
                <w:sz w:val="20"/>
              </w:rPr>
              <w:t>Investment in personal property – Holding period –</w:t>
            </w:r>
            <w:r>
              <w:rPr>
                <w:rFonts w:ascii="Times New Roman" w:hAnsi="Times New Roman"/>
                <w:sz w:val="20"/>
              </w:rPr>
              <w:t xml:space="preserve"> At the expiration of the lease (including any renewals or extensions with the same lessee), or in the event of a default on a lease agreement prior to the expiration of the lease term, a national bank shall either liquidate the off-lease property or re-lease it under a conforming lease as soon as practicable.  Liquidation or re-lease must occur not later than five years from the date that the bank acquires the legal right to possession or control of the property, except the OCC may extend the period for up to an additional five years, if the bank provides a clearly convincing demonstration why any additional holding period is necessary.</w:t>
            </w:r>
          </w:p>
        </w:tc>
        <w:tc>
          <w:tcPr>
            <w:tcW w:w="1442" w:type="dxa"/>
          </w:tcPr>
          <w:p w:rsidR="00292854" w:rsidRDefault="00381887">
            <w:pPr>
              <w:jc w:val="right"/>
              <w:rPr>
                <w:rFonts w:ascii="Times New Roman" w:hAnsi="Times New Roman"/>
                <w:sz w:val="20"/>
              </w:rPr>
            </w:pPr>
            <w:r>
              <w:rPr>
                <w:rFonts w:ascii="Times New Roman" w:hAnsi="Times New Roman"/>
                <w:sz w:val="20"/>
              </w:rPr>
              <w:t>37</w:t>
            </w:r>
          </w:p>
        </w:tc>
        <w:tc>
          <w:tcPr>
            <w:tcW w:w="1094" w:type="dxa"/>
          </w:tcPr>
          <w:p w:rsidR="00292854" w:rsidRDefault="00381887">
            <w:pPr>
              <w:jc w:val="right"/>
              <w:rPr>
                <w:rFonts w:ascii="Times New Roman" w:hAnsi="Times New Roman"/>
                <w:sz w:val="20"/>
              </w:rPr>
            </w:pPr>
            <w:r>
              <w:rPr>
                <w:rFonts w:ascii="Times New Roman" w:hAnsi="Times New Roman"/>
                <w:sz w:val="20"/>
              </w:rPr>
              <w:t>37</w:t>
            </w:r>
          </w:p>
        </w:tc>
        <w:tc>
          <w:tcPr>
            <w:tcW w:w="1048" w:type="dxa"/>
          </w:tcPr>
          <w:p w:rsidR="00292854" w:rsidRDefault="00292854">
            <w:pPr>
              <w:jc w:val="right"/>
              <w:rPr>
                <w:rFonts w:ascii="Times New Roman" w:hAnsi="Times New Roman"/>
                <w:sz w:val="20"/>
              </w:rPr>
            </w:pPr>
            <w:r>
              <w:rPr>
                <w:rFonts w:ascii="Times New Roman" w:hAnsi="Times New Roman"/>
                <w:sz w:val="20"/>
              </w:rPr>
              <w:t>10</w:t>
            </w:r>
          </w:p>
        </w:tc>
        <w:tc>
          <w:tcPr>
            <w:tcW w:w="1266" w:type="dxa"/>
          </w:tcPr>
          <w:p w:rsidR="00292854" w:rsidRDefault="00292854" w:rsidP="00381887">
            <w:pPr>
              <w:jc w:val="right"/>
              <w:rPr>
                <w:rFonts w:ascii="Times New Roman" w:hAnsi="Times New Roman"/>
                <w:sz w:val="20"/>
              </w:rPr>
            </w:pPr>
            <w:r>
              <w:rPr>
                <w:rFonts w:ascii="Times New Roman" w:hAnsi="Times New Roman"/>
                <w:sz w:val="20"/>
              </w:rPr>
              <w:t>3</w:t>
            </w:r>
            <w:r w:rsidR="00381887">
              <w:rPr>
                <w:rFonts w:ascii="Times New Roman" w:hAnsi="Times New Roman"/>
                <w:sz w:val="20"/>
              </w:rPr>
              <w:t>7</w:t>
            </w:r>
            <w:r>
              <w:rPr>
                <w:rFonts w:ascii="Times New Roman" w:hAnsi="Times New Roman"/>
                <w:sz w:val="20"/>
              </w:rPr>
              <w:t>0 hours</w:t>
            </w:r>
          </w:p>
        </w:tc>
      </w:tr>
      <w:tr w:rsidR="00292854">
        <w:tc>
          <w:tcPr>
            <w:tcW w:w="1805" w:type="dxa"/>
          </w:tcPr>
          <w:p w:rsidR="00292854" w:rsidRDefault="00292854">
            <w:pPr>
              <w:rPr>
                <w:rFonts w:ascii="Times New Roman" w:hAnsi="Times New Roman"/>
                <w:sz w:val="20"/>
              </w:rPr>
            </w:pPr>
            <w:r>
              <w:rPr>
                <w:rFonts w:ascii="Times New Roman" w:hAnsi="Times New Roman"/>
                <w:sz w:val="20"/>
              </w:rPr>
              <w:t>12 CFR 23.4(c)</w:t>
            </w:r>
          </w:p>
          <w:p w:rsidR="00292854" w:rsidRDefault="00292854">
            <w:pPr>
              <w:rPr>
                <w:rFonts w:ascii="Times New Roman" w:hAnsi="Times New Roman"/>
                <w:sz w:val="20"/>
              </w:rPr>
            </w:pPr>
            <w:r>
              <w:rPr>
                <w:rFonts w:ascii="Times New Roman" w:hAnsi="Times New Roman"/>
                <w:sz w:val="20"/>
              </w:rPr>
              <w:t>Recordkeeping</w:t>
            </w:r>
          </w:p>
        </w:tc>
        <w:tc>
          <w:tcPr>
            <w:tcW w:w="2921" w:type="dxa"/>
          </w:tcPr>
          <w:p w:rsidR="00292854" w:rsidRDefault="00292854" w:rsidP="00506918">
            <w:pPr>
              <w:rPr>
                <w:rFonts w:ascii="Times New Roman" w:hAnsi="Times New Roman"/>
                <w:sz w:val="20"/>
              </w:rPr>
            </w:pPr>
            <w:r>
              <w:rPr>
                <w:rFonts w:ascii="Times New Roman" w:hAnsi="Times New Roman"/>
                <w:b/>
                <w:bCs/>
                <w:i/>
                <w:iCs/>
                <w:sz w:val="20"/>
              </w:rPr>
              <w:t xml:space="preserve">Investment in personal property – </w:t>
            </w:r>
            <w:r w:rsidR="00506918">
              <w:rPr>
                <w:rFonts w:ascii="Times New Roman" w:hAnsi="Times New Roman"/>
                <w:b/>
                <w:bCs/>
                <w:i/>
                <w:iCs/>
                <w:sz w:val="20"/>
              </w:rPr>
              <w:t>Valuing Off-Lease Property</w:t>
            </w:r>
            <w:r>
              <w:rPr>
                <w:rFonts w:ascii="Times New Roman" w:hAnsi="Times New Roman"/>
                <w:b/>
                <w:bCs/>
                <w:i/>
                <w:iCs/>
                <w:sz w:val="20"/>
              </w:rPr>
              <w:t xml:space="preserve"> –</w:t>
            </w:r>
            <w:r>
              <w:rPr>
                <w:rFonts w:ascii="Times New Roman" w:hAnsi="Times New Roman"/>
                <w:sz w:val="20"/>
              </w:rPr>
              <w:t xml:space="preserve"> The bank must value off-lease property at the lower of current fair market value or book value promptly after the property becomes off-lease property.</w:t>
            </w:r>
            <w:r w:rsidRPr="00FC7710">
              <w:rPr>
                <w:rStyle w:val="FootnoteReference"/>
                <w:rFonts w:ascii="Times New Roman" w:hAnsi="Times New Roman"/>
                <w:sz w:val="20"/>
                <w:szCs w:val="20"/>
                <w:vertAlign w:val="superscript"/>
              </w:rPr>
              <w:footnoteReference w:id="1"/>
            </w:r>
          </w:p>
        </w:tc>
        <w:tc>
          <w:tcPr>
            <w:tcW w:w="1442" w:type="dxa"/>
          </w:tcPr>
          <w:p w:rsidR="00292854" w:rsidRDefault="00292854">
            <w:pPr>
              <w:jc w:val="right"/>
              <w:rPr>
                <w:rFonts w:ascii="Times New Roman" w:hAnsi="Times New Roman"/>
                <w:sz w:val="20"/>
              </w:rPr>
            </w:pPr>
            <w:r>
              <w:rPr>
                <w:rFonts w:ascii="Times New Roman" w:hAnsi="Times New Roman"/>
                <w:sz w:val="20"/>
              </w:rPr>
              <w:t>240</w:t>
            </w:r>
          </w:p>
        </w:tc>
        <w:tc>
          <w:tcPr>
            <w:tcW w:w="1094" w:type="dxa"/>
          </w:tcPr>
          <w:p w:rsidR="00292854" w:rsidRDefault="00292854">
            <w:pPr>
              <w:jc w:val="right"/>
              <w:rPr>
                <w:rFonts w:ascii="Times New Roman" w:hAnsi="Times New Roman"/>
                <w:sz w:val="20"/>
              </w:rPr>
            </w:pPr>
            <w:r>
              <w:rPr>
                <w:rFonts w:ascii="Times New Roman" w:hAnsi="Times New Roman"/>
                <w:sz w:val="20"/>
              </w:rPr>
              <w:t>240</w:t>
            </w:r>
          </w:p>
        </w:tc>
        <w:tc>
          <w:tcPr>
            <w:tcW w:w="1048" w:type="dxa"/>
          </w:tcPr>
          <w:p w:rsidR="00292854" w:rsidRDefault="00292854">
            <w:pPr>
              <w:jc w:val="right"/>
              <w:rPr>
                <w:rFonts w:ascii="Times New Roman" w:hAnsi="Times New Roman"/>
                <w:sz w:val="20"/>
              </w:rPr>
            </w:pPr>
            <w:r>
              <w:rPr>
                <w:rFonts w:ascii="Times New Roman" w:hAnsi="Times New Roman"/>
                <w:sz w:val="20"/>
              </w:rPr>
              <w:t>1</w:t>
            </w:r>
          </w:p>
        </w:tc>
        <w:tc>
          <w:tcPr>
            <w:tcW w:w="1266" w:type="dxa"/>
          </w:tcPr>
          <w:p w:rsidR="00292854" w:rsidRDefault="00292854">
            <w:pPr>
              <w:jc w:val="right"/>
              <w:rPr>
                <w:rFonts w:ascii="Times New Roman" w:hAnsi="Times New Roman"/>
                <w:sz w:val="20"/>
              </w:rPr>
            </w:pPr>
            <w:r>
              <w:rPr>
                <w:rFonts w:ascii="Times New Roman" w:hAnsi="Times New Roman"/>
                <w:sz w:val="20"/>
              </w:rPr>
              <w:t>240 hours</w:t>
            </w:r>
          </w:p>
        </w:tc>
      </w:tr>
      <w:tr w:rsidR="00292854">
        <w:trPr>
          <w:cantSplit/>
        </w:trPr>
        <w:tc>
          <w:tcPr>
            <w:tcW w:w="1805" w:type="dxa"/>
          </w:tcPr>
          <w:p w:rsidR="00292854" w:rsidRDefault="00292854">
            <w:pPr>
              <w:rPr>
                <w:rFonts w:ascii="Times New Roman" w:hAnsi="Times New Roman"/>
                <w:sz w:val="20"/>
              </w:rPr>
            </w:pPr>
            <w:r>
              <w:rPr>
                <w:rFonts w:ascii="Times New Roman" w:hAnsi="Times New Roman"/>
                <w:sz w:val="20"/>
              </w:rPr>
              <w:lastRenderedPageBreak/>
              <w:t>12 CFR 23.5</w:t>
            </w:r>
          </w:p>
          <w:p w:rsidR="00292854" w:rsidRDefault="00292854">
            <w:pPr>
              <w:rPr>
                <w:rFonts w:ascii="Times New Roman" w:hAnsi="Times New Roman"/>
                <w:sz w:val="20"/>
              </w:rPr>
            </w:pPr>
            <w:r>
              <w:rPr>
                <w:rFonts w:ascii="Times New Roman" w:hAnsi="Times New Roman"/>
                <w:sz w:val="20"/>
              </w:rPr>
              <w:t>Recordkeeping</w:t>
            </w:r>
          </w:p>
        </w:tc>
        <w:tc>
          <w:tcPr>
            <w:tcW w:w="2921" w:type="dxa"/>
          </w:tcPr>
          <w:p w:rsidR="00292854" w:rsidRDefault="00292854">
            <w:pPr>
              <w:rPr>
                <w:rFonts w:ascii="Times New Roman" w:hAnsi="Times New Roman"/>
                <w:sz w:val="20"/>
              </w:rPr>
            </w:pPr>
            <w:proofErr w:type="gramStart"/>
            <w:r>
              <w:rPr>
                <w:rFonts w:ascii="Times New Roman" w:hAnsi="Times New Roman"/>
                <w:b/>
                <w:bCs/>
                <w:i/>
                <w:iCs/>
                <w:sz w:val="20"/>
              </w:rPr>
              <w:t>Requirement for separate records –</w:t>
            </w:r>
            <w:r>
              <w:rPr>
                <w:rFonts w:ascii="Times New Roman" w:hAnsi="Times New Roman"/>
                <w:sz w:val="20"/>
              </w:rPr>
              <w:t xml:space="preserve"> If a national bank enters into both CEBA Leases and Section 24(Seventh) Leases, the bank’s records must distinguish the CEBA Leases from the Section 24(Seventh) Leases.</w:t>
            </w:r>
            <w:proofErr w:type="gramEnd"/>
            <w:r w:rsidRPr="00383BD0">
              <w:rPr>
                <w:rStyle w:val="FootnoteReference"/>
                <w:rFonts w:ascii="Times New Roman" w:hAnsi="Times New Roman"/>
                <w:sz w:val="20"/>
                <w:szCs w:val="20"/>
                <w:vertAlign w:val="superscript"/>
              </w:rPr>
              <w:footnoteReference w:id="2"/>
            </w:r>
          </w:p>
        </w:tc>
        <w:tc>
          <w:tcPr>
            <w:tcW w:w="1442" w:type="dxa"/>
          </w:tcPr>
          <w:p w:rsidR="00292854" w:rsidRDefault="00381887">
            <w:pPr>
              <w:jc w:val="right"/>
              <w:rPr>
                <w:rFonts w:ascii="Times New Roman" w:hAnsi="Times New Roman"/>
                <w:sz w:val="20"/>
              </w:rPr>
            </w:pPr>
            <w:r>
              <w:rPr>
                <w:rFonts w:ascii="Times New Roman" w:hAnsi="Times New Roman"/>
                <w:sz w:val="20"/>
              </w:rPr>
              <w:t>68</w:t>
            </w:r>
          </w:p>
        </w:tc>
        <w:tc>
          <w:tcPr>
            <w:tcW w:w="1094" w:type="dxa"/>
          </w:tcPr>
          <w:p w:rsidR="00292854" w:rsidRDefault="00381887">
            <w:pPr>
              <w:jc w:val="right"/>
              <w:rPr>
                <w:rFonts w:ascii="Times New Roman" w:hAnsi="Times New Roman"/>
                <w:sz w:val="20"/>
              </w:rPr>
            </w:pPr>
            <w:r>
              <w:rPr>
                <w:rFonts w:ascii="Times New Roman" w:hAnsi="Times New Roman"/>
                <w:sz w:val="20"/>
              </w:rPr>
              <w:t>68</w:t>
            </w:r>
          </w:p>
        </w:tc>
        <w:tc>
          <w:tcPr>
            <w:tcW w:w="1048" w:type="dxa"/>
          </w:tcPr>
          <w:p w:rsidR="00292854" w:rsidRDefault="00292854">
            <w:pPr>
              <w:jc w:val="right"/>
              <w:rPr>
                <w:rFonts w:ascii="Times New Roman" w:hAnsi="Times New Roman"/>
                <w:sz w:val="20"/>
              </w:rPr>
            </w:pPr>
            <w:r>
              <w:rPr>
                <w:rFonts w:ascii="Times New Roman" w:hAnsi="Times New Roman"/>
                <w:sz w:val="20"/>
              </w:rPr>
              <w:t>1</w:t>
            </w:r>
          </w:p>
        </w:tc>
        <w:tc>
          <w:tcPr>
            <w:tcW w:w="1266" w:type="dxa"/>
          </w:tcPr>
          <w:p w:rsidR="00292854" w:rsidRDefault="00381887" w:rsidP="00381887">
            <w:pPr>
              <w:jc w:val="right"/>
              <w:rPr>
                <w:rFonts w:ascii="Times New Roman" w:hAnsi="Times New Roman"/>
                <w:sz w:val="20"/>
              </w:rPr>
            </w:pPr>
            <w:r>
              <w:rPr>
                <w:rFonts w:ascii="Times New Roman" w:hAnsi="Times New Roman"/>
                <w:sz w:val="20"/>
              </w:rPr>
              <w:t>68</w:t>
            </w:r>
            <w:r w:rsidR="00292854">
              <w:rPr>
                <w:rFonts w:ascii="Times New Roman" w:hAnsi="Times New Roman"/>
                <w:sz w:val="20"/>
              </w:rPr>
              <w:t xml:space="preserve"> hours</w:t>
            </w:r>
          </w:p>
        </w:tc>
      </w:tr>
      <w:tr w:rsidR="00292854">
        <w:tc>
          <w:tcPr>
            <w:tcW w:w="1805" w:type="dxa"/>
          </w:tcPr>
          <w:p w:rsidR="00292854" w:rsidRDefault="00292854">
            <w:pPr>
              <w:pStyle w:val="Heading4"/>
            </w:pPr>
            <w:r>
              <w:t>Totals</w:t>
            </w:r>
          </w:p>
        </w:tc>
        <w:tc>
          <w:tcPr>
            <w:tcW w:w="2921" w:type="dxa"/>
          </w:tcPr>
          <w:p w:rsidR="00292854" w:rsidRDefault="00292854">
            <w:pPr>
              <w:rPr>
                <w:rFonts w:ascii="Times New Roman" w:hAnsi="Times New Roman"/>
                <w:sz w:val="20"/>
              </w:rPr>
            </w:pPr>
          </w:p>
        </w:tc>
        <w:tc>
          <w:tcPr>
            <w:tcW w:w="1442" w:type="dxa"/>
          </w:tcPr>
          <w:p w:rsidR="00292854" w:rsidRDefault="00292854">
            <w:pPr>
              <w:jc w:val="right"/>
              <w:rPr>
                <w:rFonts w:ascii="Times New Roman" w:hAnsi="Times New Roman"/>
                <w:b/>
                <w:bCs/>
                <w:sz w:val="20"/>
              </w:rPr>
            </w:pPr>
            <w:r>
              <w:rPr>
                <w:rFonts w:ascii="Times New Roman" w:hAnsi="Times New Roman"/>
                <w:b/>
                <w:bCs/>
                <w:sz w:val="20"/>
              </w:rPr>
              <w:t>3</w:t>
            </w:r>
            <w:r w:rsidR="00381887">
              <w:rPr>
                <w:rFonts w:ascii="Times New Roman" w:hAnsi="Times New Roman"/>
                <w:b/>
                <w:bCs/>
                <w:sz w:val="20"/>
              </w:rPr>
              <w:t>45</w:t>
            </w:r>
          </w:p>
        </w:tc>
        <w:tc>
          <w:tcPr>
            <w:tcW w:w="1094" w:type="dxa"/>
          </w:tcPr>
          <w:p w:rsidR="00292854" w:rsidRDefault="00292854">
            <w:pPr>
              <w:jc w:val="right"/>
              <w:rPr>
                <w:rFonts w:ascii="Times New Roman" w:hAnsi="Times New Roman"/>
                <w:b/>
                <w:bCs/>
                <w:sz w:val="20"/>
              </w:rPr>
            </w:pPr>
            <w:r>
              <w:rPr>
                <w:rFonts w:ascii="Times New Roman" w:hAnsi="Times New Roman"/>
                <w:b/>
                <w:bCs/>
                <w:sz w:val="20"/>
              </w:rPr>
              <w:t>3</w:t>
            </w:r>
            <w:r w:rsidR="00381887">
              <w:rPr>
                <w:rFonts w:ascii="Times New Roman" w:hAnsi="Times New Roman"/>
                <w:b/>
                <w:bCs/>
                <w:sz w:val="20"/>
              </w:rPr>
              <w:t>45</w:t>
            </w:r>
          </w:p>
        </w:tc>
        <w:tc>
          <w:tcPr>
            <w:tcW w:w="1048" w:type="dxa"/>
          </w:tcPr>
          <w:p w:rsidR="00292854" w:rsidRDefault="00292854">
            <w:pPr>
              <w:jc w:val="right"/>
              <w:rPr>
                <w:rFonts w:ascii="Times New Roman" w:hAnsi="Times New Roman"/>
                <w:b/>
                <w:bCs/>
                <w:sz w:val="20"/>
              </w:rPr>
            </w:pPr>
          </w:p>
        </w:tc>
        <w:tc>
          <w:tcPr>
            <w:tcW w:w="1266" w:type="dxa"/>
          </w:tcPr>
          <w:p w:rsidR="00292854" w:rsidRDefault="00381887">
            <w:pPr>
              <w:jc w:val="right"/>
              <w:rPr>
                <w:rFonts w:ascii="Times New Roman" w:hAnsi="Times New Roman"/>
                <w:b/>
                <w:bCs/>
                <w:sz w:val="20"/>
              </w:rPr>
            </w:pPr>
            <w:r>
              <w:rPr>
                <w:rFonts w:ascii="Times New Roman" w:hAnsi="Times New Roman"/>
                <w:b/>
                <w:bCs/>
                <w:sz w:val="20"/>
              </w:rPr>
              <w:t>678</w:t>
            </w:r>
            <w:r w:rsidR="00292854">
              <w:rPr>
                <w:rFonts w:ascii="Times New Roman" w:hAnsi="Times New Roman"/>
                <w:b/>
                <w:bCs/>
                <w:sz w:val="20"/>
              </w:rPr>
              <w:t xml:space="preserve"> hours</w:t>
            </w:r>
          </w:p>
        </w:tc>
      </w:tr>
    </w:tbl>
    <w:p w:rsidR="00292854" w:rsidRDefault="00292854">
      <w:pPr>
        <w:rPr>
          <w:rFonts w:ascii="Times New Roman" w:hAnsi="Times New Roman"/>
        </w:rPr>
      </w:pPr>
    </w:p>
    <w:p w:rsidR="00292854" w:rsidRDefault="00292854">
      <w:pPr>
        <w:rPr>
          <w:rFonts w:ascii="Times New Roman" w:hAnsi="Times New Roman"/>
          <w:b/>
          <w:bCs/>
        </w:rPr>
      </w:pPr>
      <w:r>
        <w:rPr>
          <w:rFonts w:ascii="Times New Roman" w:hAnsi="Times New Roman"/>
          <w:b/>
          <w:bCs/>
        </w:rPr>
        <w:t xml:space="preserve">Cost </w:t>
      </w:r>
      <w:proofErr w:type="gramStart"/>
      <w:r w:rsidR="00870497">
        <w:rPr>
          <w:rFonts w:ascii="Times New Roman" w:hAnsi="Times New Roman"/>
          <w:b/>
          <w:bCs/>
        </w:rPr>
        <w:t xml:space="preserve">per </w:t>
      </w:r>
      <w:r>
        <w:rPr>
          <w:rFonts w:ascii="Times New Roman" w:hAnsi="Times New Roman"/>
          <w:b/>
          <w:bCs/>
        </w:rPr>
        <w:t xml:space="preserve"> Hour</w:t>
      </w:r>
      <w:proofErr w:type="gramEnd"/>
      <w:r>
        <w:rPr>
          <w:rFonts w:ascii="Times New Roman" w:hAnsi="Times New Roman"/>
          <w:b/>
          <w:bCs/>
        </w:rPr>
        <w:t xml:space="preserve"> Burden to Respondents:</w:t>
      </w:r>
    </w:p>
    <w:p w:rsidR="00381887" w:rsidRDefault="00381887">
      <w:pPr>
        <w:rPr>
          <w:rFonts w:ascii="Times New Roman" w:hAnsi="Times New Roman"/>
          <w:b/>
          <w:bCs/>
        </w:rPr>
      </w:pPr>
    </w:p>
    <w:p w:rsidR="00381887" w:rsidRDefault="00381887">
      <w:pPr>
        <w:rPr>
          <w:rFonts w:ascii="Times New Roman" w:hAnsi="Times New Roman"/>
          <w:b/>
          <w:bCs/>
        </w:rPr>
      </w:pPr>
      <w:r>
        <w:rPr>
          <w:rFonts w:ascii="Times New Roman" w:hAnsi="Times New Roman"/>
          <w:b/>
          <w:bCs/>
        </w:rPr>
        <w:t>678 x $101 = $68,478</w:t>
      </w:r>
    </w:p>
    <w:p w:rsidR="00292854" w:rsidRDefault="00292854">
      <w:pPr>
        <w:rPr>
          <w:rFonts w:ascii="Times New Roman" w:hAnsi="Times New Roman"/>
          <w:b/>
          <w:bCs/>
        </w:rPr>
      </w:pPr>
    </w:p>
    <w:p w:rsidR="00381887" w:rsidRPr="00596CA3" w:rsidRDefault="00381887" w:rsidP="00381887">
      <w:pPr>
        <w:rPr>
          <w:rFonts w:ascii="Times New Roman" w:hAnsi="Times New Roman"/>
        </w:rPr>
      </w:pPr>
      <w:r w:rsidRPr="00596CA3">
        <w:rPr>
          <w:rFonts w:ascii="Times New Roman" w:hAnsi="Times New Roman"/>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7C12A3" w:rsidRDefault="007C12A3">
      <w:pPr>
        <w:tabs>
          <w:tab w:val="left" w:pos="-1440"/>
        </w:tabs>
        <w:ind w:left="720" w:hanging="720"/>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13.  Estimate of annualized costs to respondents:</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292854" w:rsidRDefault="00292854">
      <w:pPr>
        <w:rPr>
          <w:rFonts w:ascii="Times New Roman" w:hAnsi="Times New Roman"/>
        </w:rPr>
      </w:pPr>
    </w:p>
    <w:p w:rsidR="00292854" w:rsidRDefault="00292854">
      <w:pPr>
        <w:pStyle w:val="BodyText"/>
        <w:tabs>
          <w:tab w:val="clear" w:pos="-1440"/>
        </w:tabs>
      </w:pPr>
      <w:r>
        <w:t>14.  Estimate of annualized costs to the government:</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u w:val="single"/>
        </w:rPr>
      </w:pPr>
      <w:r>
        <w:rPr>
          <w:rFonts w:ascii="Times New Roman" w:hAnsi="Times New Roman"/>
          <w:b/>
          <w:bCs/>
          <w:i/>
          <w:iCs/>
        </w:rPr>
        <w:t>15.  Changes in burden:</w:t>
      </w:r>
    </w:p>
    <w:p w:rsidR="00292854" w:rsidRDefault="00292854">
      <w:pPr>
        <w:rPr>
          <w:rFonts w:ascii="Times New Roman" w:hAnsi="Times New Roman"/>
          <w:u w:val="single"/>
        </w:rPr>
      </w:pPr>
    </w:p>
    <w:p w:rsidR="00292854" w:rsidRDefault="00292854">
      <w:pPr>
        <w:rPr>
          <w:rFonts w:ascii="Times New Roman" w:hAnsi="Times New Roman"/>
        </w:rPr>
      </w:pPr>
      <w:r>
        <w:rPr>
          <w:rFonts w:ascii="Times New Roman" w:hAnsi="Times New Roman"/>
        </w:rPr>
        <w:t>Former burden:</w:t>
      </w:r>
      <w:r>
        <w:rPr>
          <w:rFonts w:ascii="Times New Roman" w:hAnsi="Times New Roman"/>
        </w:rPr>
        <w:tab/>
        <w:t>370 respondents; 685 total burden hours</w:t>
      </w:r>
    </w:p>
    <w:p w:rsidR="00292854" w:rsidRDefault="00292854">
      <w:pPr>
        <w:rPr>
          <w:rFonts w:ascii="Times New Roman" w:hAnsi="Times New Roman"/>
        </w:rPr>
      </w:pPr>
      <w:r>
        <w:rPr>
          <w:rFonts w:ascii="Times New Roman" w:hAnsi="Times New Roman"/>
        </w:rPr>
        <w:t>New burden:</w:t>
      </w:r>
      <w:r>
        <w:rPr>
          <w:rFonts w:ascii="Times New Roman" w:hAnsi="Times New Roman"/>
        </w:rPr>
        <w:tab/>
      </w:r>
      <w:r>
        <w:rPr>
          <w:rFonts w:ascii="Times New Roman" w:hAnsi="Times New Roman"/>
        </w:rPr>
        <w:tab/>
      </w:r>
      <w:r w:rsidR="00381887">
        <w:rPr>
          <w:rFonts w:ascii="Times New Roman" w:hAnsi="Times New Roman"/>
        </w:rPr>
        <w:t>345</w:t>
      </w:r>
      <w:r>
        <w:rPr>
          <w:rFonts w:ascii="Times New Roman" w:hAnsi="Times New Roman"/>
        </w:rPr>
        <w:t xml:space="preserve"> respondents; 6</w:t>
      </w:r>
      <w:r w:rsidR="00381887">
        <w:rPr>
          <w:rFonts w:ascii="Times New Roman" w:hAnsi="Times New Roman"/>
        </w:rPr>
        <w:t>78</w:t>
      </w:r>
      <w:r>
        <w:rPr>
          <w:rFonts w:ascii="Times New Roman" w:hAnsi="Times New Roman"/>
        </w:rPr>
        <w:t xml:space="preserve"> total burden hours</w:t>
      </w:r>
    </w:p>
    <w:p w:rsidR="00292854" w:rsidRDefault="00292854">
      <w:pPr>
        <w:rPr>
          <w:rFonts w:ascii="Times New Roman" w:hAnsi="Times New Roman"/>
        </w:rPr>
      </w:pPr>
      <w:r>
        <w:rPr>
          <w:rFonts w:ascii="Times New Roman" w:hAnsi="Times New Roman"/>
        </w:rPr>
        <w:t>Difference:</w:t>
      </w:r>
      <w:r>
        <w:rPr>
          <w:rFonts w:ascii="Times New Roman" w:hAnsi="Times New Roman"/>
        </w:rPr>
        <w:tab/>
      </w:r>
      <w:r>
        <w:rPr>
          <w:rFonts w:ascii="Times New Roman" w:hAnsi="Times New Roman"/>
        </w:rPr>
        <w:tab/>
      </w:r>
      <w:r w:rsidR="00381887">
        <w:rPr>
          <w:rFonts w:ascii="Times New Roman" w:hAnsi="Times New Roman"/>
        </w:rPr>
        <w:t>-25</w:t>
      </w:r>
      <w:r>
        <w:rPr>
          <w:rFonts w:ascii="Times New Roman" w:hAnsi="Times New Roman"/>
        </w:rPr>
        <w:t xml:space="preserve"> respondents; </w:t>
      </w:r>
      <w:r w:rsidR="00381887">
        <w:rPr>
          <w:rFonts w:ascii="Times New Roman" w:hAnsi="Times New Roman"/>
        </w:rPr>
        <w:t>-7</w:t>
      </w:r>
      <w:r>
        <w:rPr>
          <w:rFonts w:ascii="Times New Roman" w:hAnsi="Times New Roman"/>
        </w:rPr>
        <w:t xml:space="preserve"> total burden hours </w:t>
      </w:r>
    </w:p>
    <w:p w:rsidR="00381887" w:rsidRDefault="00381887">
      <w:pPr>
        <w:rPr>
          <w:rFonts w:ascii="Times New Roman" w:hAnsi="Times New Roman"/>
        </w:rPr>
      </w:pPr>
    </w:p>
    <w:p w:rsidR="00381887" w:rsidRDefault="00381887">
      <w:pPr>
        <w:rPr>
          <w:rFonts w:ascii="Times New Roman" w:hAnsi="Times New Roman"/>
        </w:rPr>
      </w:pPr>
      <w:r>
        <w:rPr>
          <w:rFonts w:ascii="Times New Roman" w:hAnsi="Times New Roman"/>
        </w:rPr>
        <w:t>The decrease in burden is due to the decrease in the number of regulated institutions.</w:t>
      </w:r>
    </w:p>
    <w:p w:rsidR="00292854" w:rsidRDefault="00292854">
      <w:pPr>
        <w:rPr>
          <w:rFonts w:ascii="Times New Roman" w:hAnsi="Times New Roman"/>
        </w:rPr>
      </w:pPr>
    </w:p>
    <w:p w:rsidR="007C12A3" w:rsidRDefault="007C12A3">
      <w:pPr>
        <w:pStyle w:val="BodyText"/>
        <w:tabs>
          <w:tab w:val="clear" w:pos="-1440"/>
        </w:tabs>
      </w:pPr>
    </w:p>
    <w:p w:rsidR="007C12A3" w:rsidRDefault="007C12A3">
      <w:pPr>
        <w:pStyle w:val="BodyText"/>
        <w:tabs>
          <w:tab w:val="clear" w:pos="-1440"/>
        </w:tabs>
      </w:pPr>
    </w:p>
    <w:p w:rsidR="007C12A3" w:rsidRDefault="007C12A3">
      <w:pPr>
        <w:pStyle w:val="BodyText"/>
        <w:tabs>
          <w:tab w:val="clear" w:pos="-1440"/>
        </w:tabs>
      </w:pPr>
    </w:p>
    <w:p w:rsidR="00292854" w:rsidRDefault="00292854">
      <w:pPr>
        <w:pStyle w:val="BodyText"/>
        <w:tabs>
          <w:tab w:val="clear" w:pos="-1440"/>
        </w:tabs>
      </w:pPr>
      <w:r>
        <w:lastRenderedPageBreak/>
        <w:t xml:space="preserve">16.  Information regarding collections whose results </w:t>
      </w:r>
      <w:proofErr w:type="gramStart"/>
      <w:r>
        <w:t>are planned to be published</w:t>
      </w:r>
      <w:proofErr w:type="gramEnd"/>
      <w:r>
        <w:t xml:space="preserve"> for statistical use:</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The OCC has no plans to publish the data for statistical purposes.</w:t>
      </w:r>
    </w:p>
    <w:p w:rsidR="00292854" w:rsidRDefault="00292854">
      <w:pPr>
        <w:rPr>
          <w:rFonts w:ascii="Times New Roman" w:hAnsi="Times New Roman"/>
        </w:rPr>
      </w:pPr>
    </w:p>
    <w:p w:rsidR="00292854" w:rsidRDefault="00292854">
      <w:pPr>
        <w:rPr>
          <w:rFonts w:ascii="Times New Roman" w:hAnsi="Times New Roman"/>
          <w:b/>
          <w:bCs/>
          <w:u w:val="single"/>
        </w:rPr>
      </w:pPr>
      <w:r>
        <w:rPr>
          <w:rFonts w:ascii="Times New Roman" w:hAnsi="Times New Roman"/>
          <w:b/>
          <w:bCs/>
        </w:rPr>
        <w:t>17.  Display of expiration date.</w:t>
      </w:r>
    </w:p>
    <w:p w:rsidR="00292854" w:rsidRDefault="00292854">
      <w:pPr>
        <w:rPr>
          <w:rFonts w:ascii="Times New Roman" w:hAnsi="Times New Roman"/>
          <w:u w:val="single"/>
        </w:rPr>
      </w:pPr>
    </w:p>
    <w:p w:rsidR="00292854" w:rsidRDefault="00292854" w:rsidP="00510161">
      <w:pPr>
        <w:ind w:firstLine="720"/>
        <w:rPr>
          <w:rFonts w:ascii="Times New Roman" w:hAnsi="Times New Roman"/>
        </w:rPr>
      </w:pPr>
      <w:proofErr w:type="gramStart"/>
      <w:r>
        <w:rPr>
          <w:rFonts w:ascii="Times New Roman" w:hAnsi="Times New Roman"/>
        </w:rPr>
        <w:t>Not applicable.</w:t>
      </w:r>
      <w:proofErr w:type="gramEnd"/>
    </w:p>
    <w:p w:rsidR="00292854" w:rsidRDefault="00292854">
      <w:pPr>
        <w:rPr>
          <w:rFonts w:ascii="Times New Roman" w:hAnsi="Times New Roman"/>
        </w:rPr>
      </w:pPr>
    </w:p>
    <w:p w:rsidR="00292854" w:rsidRDefault="00292854">
      <w:pPr>
        <w:rPr>
          <w:rFonts w:ascii="Times New Roman" w:hAnsi="Times New Roman"/>
          <w:b/>
          <w:bCs/>
        </w:rPr>
      </w:pPr>
      <w:proofErr w:type="gramStart"/>
      <w:r>
        <w:rPr>
          <w:rFonts w:ascii="Times New Roman" w:hAnsi="Times New Roman"/>
          <w:b/>
          <w:bCs/>
        </w:rPr>
        <w:t>18.  Exceptions to certification statement.</w:t>
      </w:r>
      <w:proofErr w:type="gramEnd"/>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r>
        <w:rPr>
          <w:rFonts w:ascii="Times New Roman" w:hAnsi="Times New Roman"/>
        </w:rPr>
        <w:t xml:space="preserve"> </w:t>
      </w:r>
    </w:p>
    <w:p w:rsidR="00292854" w:rsidRDefault="00292854">
      <w:pPr>
        <w:pStyle w:val="Footer"/>
        <w:tabs>
          <w:tab w:val="clear" w:pos="4320"/>
          <w:tab w:val="clear" w:pos="8640"/>
        </w:tabs>
        <w:rPr>
          <w:rFonts w:ascii="Times New Roman" w:hAnsi="Times New Roman"/>
        </w:rPr>
      </w:pPr>
    </w:p>
    <w:p w:rsidR="00292854" w:rsidRDefault="00292854">
      <w:pPr>
        <w:tabs>
          <w:tab w:val="left" w:pos="-1440"/>
        </w:tabs>
        <w:ind w:left="720" w:hanging="720"/>
        <w:rPr>
          <w:rFonts w:ascii="Times New Roman" w:hAnsi="Times New Roman"/>
          <w:b/>
          <w:bCs/>
          <w:u w:val="single"/>
        </w:rPr>
      </w:pPr>
      <w:proofErr w:type="gramStart"/>
      <w:r>
        <w:rPr>
          <w:rFonts w:ascii="Times New Roman" w:hAnsi="Times New Roman"/>
          <w:b/>
          <w:bCs/>
        </w:rPr>
        <w:t>B.  Collections of Information Employing Statistical Methods.</w:t>
      </w:r>
      <w:proofErr w:type="gramEnd"/>
    </w:p>
    <w:p w:rsidR="00292854" w:rsidRDefault="00292854">
      <w:pPr>
        <w:rPr>
          <w:rFonts w:ascii="Times New Roman" w:hAnsi="Times New Roman"/>
          <w:u w:val="single"/>
        </w:rPr>
      </w:pPr>
    </w:p>
    <w:p w:rsidR="00292854" w:rsidRDefault="00292854" w:rsidP="00510161">
      <w:pPr>
        <w:ind w:firstLine="720"/>
        <w:rPr>
          <w:rFonts w:ascii="Times New Roman" w:hAnsi="Times New Roman"/>
        </w:rPr>
      </w:pPr>
      <w:proofErr w:type="gramStart"/>
      <w:r>
        <w:rPr>
          <w:rFonts w:ascii="Times New Roman" w:hAnsi="Times New Roman"/>
        </w:rPr>
        <w:t>Not applicable.</w:t>
      </w:r>
      <w:proofErr w:type="gramEnd"/>
    </w:p>
    <w:p w:rsidR="00292854" w:rsidRDefault="00292854">
      <w:pPr>
        <w:rPr>
          <w:rFonts w:ascii="Times New Roman" w:hAnsi="Times New Roman"/>
        </w:rPr>
      </w:pPr>
    </w:p>
    <w:sectPr w:rsidR="00292854" w:rsidSect="00BB6544">
      <w:footerReference w:type="even" r:id="rId7"/>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7C" w:rsidRDefault="00BE257C" w:rsidP="00292854">
      <w:r>
        <w:separator/>
      </w:r>
    </w:p>
  </w:endnote>
  <w:endnote w:type="continuationSeparator" w:id="0">
    <w:p w:rsidR="00BE257C" w:rsidRDefault="00BE257C" w:rsidP="0029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end"/>
    </w:r>
  </w:p>
  <w:p w:rsidR="00510161" w:rsidRDefault="00510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separate"/>
    </w:r>
    <w:r w:rsidR="00B0131C">
      <w:rPr>
        <w:rStyle w:val="PageNumber"/>
        <w:noProof/>
      </w:rPr>
      <w:t>5</w:t>
    </w:r>
    <w:r>
      <w:rPr>
        <w:rStyle w:val="PageNumber"/>
      </w:rPr>
      <w:fldChar w:fldCharType="end"/>
    </w:r>
  </w:p>
  <w:p w:rsidR="00510161" w:rsidRDefault="00510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7C" w:rsidRDefault="00BE257C" w:rsidP="00292854">
      <w:r>
        <w:separator/>
      </w:r>
    </w:p>
  </w:footnote>
  <w:footnote w:type="continuationSeparator" w:id="0">
    <w:p w:rsidR="00BE257C" w:rsidRDefault="00BE257C" w:rsidP="00292854">
      <w:r>
        <w:continuationSeparator/>
      </w:r>
    </w:p>
  </w:footnote>
  <w:footnote w:id="1">
    <w:p w:rsidR="00510161" w:rsidRDefault="00510161">
      <w:pPr>
        <w:pStyle w:val="FootnoteText"/>
      </w:pPr>
      <w:r w:rsidRPr="00FC7710">
        <w:rPr>
          <w:rStyle w:val="FootnoteReference"/>
          <w:vertAlign w:val="superscript"/>
        </w:rPr>
        <w:footnoteRef/>
      </w:r>
      <w:r>
        <w:t xml:space="preserve"> Valuing property at the lower of fair market value or book value is a GAAP requirement.  Therefore, the burden attributable to this recordkeeping requirement </w:t>
      </w:r>
      <w:proofErr w:type="gramStart"/>
      <w:r>
        <w:t>is considered</w:t>
      </w:r>
      <w:proofErr w:type="gramEnd"/>
      <w:r>
        <w:t xml:space="preserve"> usual and customary business practice.  The OCC has assigned one burden hour per bank to prepare and retain these records.</w:t>
      </w:r>
    </w:p>
    <w:p w:rsidR="00510161" w:rsidRDefault="00510161">
      <w:pPr>
        <w:pStyle w:val="FootnoteText"/>
      </w:pPr>
    </w:p>
  </w:footnote>
  <w:footnote w:id="2">
    <w:p w:rsidR="00510161" w:rsidRDefault="00510161">
      <w:pPr>
        <w:pStyle w:val="FootnoteText"/>
      </w:pPr>
      <w:r w:rsidRPr="00383BD0">
        <w:rPr>
          <w:rStyle w:val="FootnoteReference"/>
          <w:vertAlign w:val="superscript"/>
        </w:rPr>
        <w:footnoteRef/>
      </w:r>
      <w:r>
        <w:t xml:space="preserve"> It is </w:t>
      </w:r>
      <w:r w:rsidR="00870497">
        <w:t xml:space="preserve">both a </w:t>
      </w:r>
      <w:r>
        <w:t xml:space="preserve">good management practice </w:t>
      </w:r>
      <w:r w:rsidR="00870497">
        <w:t xml:space="preserve">and a usual and customary business practice </w:t>
      </w:r>
      <w:r>
        <w:t>for a bank to distinguish between the two separate types of leases in its records.  The OCC has assigned one burden hour per bank to prepare and retain these records.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3"/>
    <w:rsid w:val="00103C25"/>
    <w:rsid w:val="001A10EF"/>
    <w:rsid w:val="001B6467"/>
    <w:rsid w:val="001B7287"/>
    <w:rsid w:val="001F160F"/>
    <w:rsid w:val="00202E37"/>
    <w:rsid w:val="002270B5"/>
    <w:rsid w:val="00274162"/>
    <w:rsid w:val="00292854"/>
    <w:rsid w:val="002E0CBE"/>
    <w:rsid w:val="00320067"/>
    <w:rsid w:val="00343EAD"/>
    <w:rsid w:val="00381887"/>
    <w:rsid w:val="00383BD0"/>
    <w:rsid w:val="003A0EAC"/>
    <w:rsid w:val="003D3787"/>
    <w:rsid w:val="00401B57"/>
    <w:rsid w:val="00470B4E"/>
    <w:rsid w:val="0047694E"/>
    <w:rsid w:val="00506918"/>
    <w:rsid w:val="00510161"/>
    <w:rsid w:val="00515048"/>
    <w:rsid w:val="005F1EF7"/>
    <w:rsid w:val="00631627"/>
    <w:rsid w:val="006621CA"/>
    <w:rsid w:val="00680713"/>
    <w:rsid w:val="00681BF0"/>
    <w:rsid w:val="006866A2"/>
    <w:rsid w:val="0070313C"/>
    <w:rsid w:val="0074413C"/>
    <w:rsid w:val="007563CA"/>
    <w:rsid w:val="00793EE7"/>
    <w:rsid w:val="007C12A3"/>
    <w:rsid w:val="008117FE"/>
    <w:rsid w:val="00813F51"/>
    <w:rsid w:val="00824229"/>
    <w:rsid w:val="0084152F"/>
    <w:rsid w:val="00850AE4"/>
    <w:rsid w:val="00870497"/>
    <w:rsid w:val="00876CF7"/>
    <w:rsid w:val="008B03B6"/>
    <w:rsid w:val="009019EB"/>
    <w:rsid w:val="009642FE"/>
    <w:rsid w:val="00971D02"/>
    <w:rsid w:val="009E2335"/>
    <w:rsid w:val="009F5307"/>
    <w:rsid w:val="00A110A5"/>
    <w:rsid w:val="00A1725F"/>
    <w:rsid w:val="00A55273"/>
    <w:rsid w:val="00A56AA9"/>
    <w:rsid w:val="00A634A5"/>
    <w:rsid w:val="00AB1FDC"/>
    <w:rsid w:val="00AE4350"/>
    <w:rsid w:val="00B0131C"/>
    <w:rsid w:val="00B66405"/>
    <w:rsid w:val="00B862AC"/>
    <w:rsid w:val="00BB6544"/>
    <w:rsid w:val="00BE257C"/>
    <w:rsid w:val="00C3765F"/>
    <w:rsid w:val="00CD4FE7"/>
    <w:rsid w:val="00CE24C9"/>
    <w:rsid w:val="00CF790A"/>
    <w:rsid w:val="00D07AFA"/>
    <w:rsid w:val="00D32A04"/>
    <w:rsid w:val="00DA0611"/>
    <w:rsid w:val="00DB3C03"/>
    <w:rsid w:val="00DD1737"/>
    <w:rsid w:val="00E37839"/>
    <w:rsid w:val="00EA67A3"/>
    <w:rsid w:val="00EC59FB"/>
    <w:rsid w:val="00F00540"/>
    <w:rsid w:val="00F525F5"/>
    <w:rsid w:val="00F5448C"/>
    <w:rsid w:val="00F60569"/>
    <w:rsid w:val="00F70885"/>
    <w:rsid w:val="00F91B79"/>
    <w:rsid w:val="00FB699A"/>
    <w:rsid w:val="00FC7710"/>
    <w:rsid w:val="00FD372E"/>
    <w:rsid w:val="00FD6E69"/>
    <w:rsid w:val="00FF4120"/>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544"/>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BB6544"/>
    <w:pPr>
      <w:keepNext/>
      <w:widowControl/>
      <w:autoSpaceDE/>
      <w:autoSpaceDN/>
      <w:adjustRightInd/>
      <w:outlineLvl w:val="3"/>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44"/>
  </w:style>
  <w:style w:type="paragraph" w:styleId="BodyText">
    <w:name w:val="Body Text"/>
    <w:basedOn w:val="Normal"/>
    <w:rsid w:val="00BB6544"/>
    <w:pPr>
      <w:tabs>
        <w:tab w:val="left" w:pos="-1440"/>
      </w:tabs>
    </w:pPr>
    <w:rPr>
      <w:rFonts w:ascii="Times New Roman" w:hAnsi="Times New Roman"/>
      <w:b/>
      <w:bCs/>
      <w:i/>
      <w:iCs/>
    </w:rPr>
  </w:style>
  <w:style w:type="paragraph" w:styleId="Footer">
    <w:name w:val="footer"/>
    <w:basedOn w:val="Normal"/>
    <w:rsid w:val="00BB6544"/>
    <w:pPr>
      <w:tabs>
        <w:tab w:val="center" w:pos="4320"/>
        <w:tab w:val="right" w:pos="8640"/>
      </w:tabs>
    </w:pPr>
  </w:style>
  <w:style w:type="character" w:styleId="PageNumber">
    <w:name w:val="page number"/>
    <w:basedOn w:val="DefaultParagraphFont"/>
    <w:rsid w:val="00BB6544"/>
  </w:style>
  <w:style w:type="paragraph" w:styleId="FootnoteText">
    <w:name w:val="footnote text"/>
    <w:basedOn w:val="Normal"/>
    <w:semiHidden/>
    <w:rsid w:val="00BB6544"/>
    <w:pPr>
      <w:widowControl/>
      <w:autoSpaceDE/>
      <w:autoSpaceDN/>
      <w:adjustRightInd/>
    </w:pPr>
    <w:rPr>
      <w:rFonts w:ascii="Times New Roman" w:hAnsi="Times New Roman"/>
      <w:sz w:val="20"/>
      <w:szCs w:val="20"/>
    </w:rPr>
  </w:style>
  <w:style w:type="paragraph" w:customStyle="1" w:styleId="ArticleNumber">
    <w:name w:val="Article Number"/>
    <w:basedOn w:val="Normal"/>
    <w:rsid w:val="00BB6544"/>
    <w:pPr>
      <w:widowControl/>
      <w:autoSpaceDE/>
      <w:autoSpaceDN/>
      <w:adjustRightInd/>
      <w:spacing w:line="480" w:lineRule="auto"/>
      <w:jc w:val="center"/>
    </w:pPr>
    <w:rPr>
      <w:rFonts w:ascii="Times New Roman" w:hAnsi="Times New Roman"/>
      <w:szCs w:val="20"/>
    </w:rPr>
  </w:style>
  <w:style w:type="paragraph" w:styleId="Header">
    <w:name w:val="header"/>
    <w:basedOn w:val="Normal"/>
    <w:rsid w:val="00BB6544"/>
    <w:pPr>
      <w:tabs>
        <w:tab w:val="center" w:pos="4320"/>
        <w:tab w:val="right" w:pos="8640"/>
      </w:tabs>
    </w:pPr>
  </w:style>
  <w:style w:type="paragraph" w:styleId="BalloonText">
    <w:name w:val="Balloon Text"/>
    <w:basedOn w:val="Normal"/>
    <w:semiHidden/>
    <w:rsid w:val="00D07AFA"/>
    <w:rPr>
      <w:rFonts w:ascii="Tahoma" w:hAnsi="Tahoma" w:cs="Tahoma"/>
      <w:sz w:val="16"/>
      <w:szCs w:val="16"/>
    </w:rPr>
  </w:style>
  <w:style w:type="character" w:styleId="CommentReference">
    <w:name w:val="annotation reference"/>
    <w:basedOn w:val="DefaultParagraphFont"/>
    <w:rsid w:val="00870497"/>
    <w:rPr>
      <w:sz w:val="16"/>
      <w:szCs w:val="16"/>
    </w:rPr>
  </w:style>
  <w:style w:type="paragraph" w:styleId="CommentText">
    <w:name w:val="annotation text"/>
    <w:basedOn w:val="Normal"/>
    <w:link w:val="CommentTextChar"/>
    <w:rsid w:val="00870497"/>
    <w:rPr>
      <w:sz w:val="20"/>
      <w:szCs w:val="20"/>
    </w:rPr>
  </w:style>
  <w:style w:type="character" w:customStyle="1" w:styleId="CommentTextChar">
    <w:name w:val="Comment Text Char"/>
    <w:basedOn w:val="DefaultParagraphFont"/>
    <w:link w:val="CommentText"/>
    <w:rsid w:val="00870497"/>
    <w:rPr>
      <w:rFonts w:ascii="CG Times" w:hAnsi="CG Times"/>
    </w:rPr>
  </w:style>
  <w:style w:type="paragraph" w:styleId="CommentSubject">
    <w:name w:val="annotation subject"/>
    <w:basedOn w:val="CommentText"/>
    <w:next w:val="CommentText"/>
    <w:link w:val="CommentSubjectChar"/>
    <w:rsid w:val="00870497"/>
    <w:rPr>
      <w:b/>
      <w:bCs/>
    </w:rPr>
  </w:style>
  <w:style w:type="character" w:customStyle="1" w:styleId="CommentSubjectChar">
    <w:name w:val="Comment Subject Char"/>
    <w:basedOn w:val="CommentTextChar"/>
    <w:link w:val="CommentSubject"/>
    <w:rsid w:val="00870497"/>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544"/>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BB6544"/>
    <w:pPr>
      <w:keepNext/>
      <w:widowControl/>
      <w:autoSpaceDE/>
      <w:autoSpaceDN/>
      <w:adjustRightInd/>
      <w:outlineLvl w:val="3"/>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44"/>
  </w:style>
  <w:style w:type="paragraph" w:styleId="BodyText">
    <w:name w:val="Body Text"/>
    <w:basedOn w:val="Normal"/>
    <w:rsid w:val="00BB6544"/>
    <w:pPr>
      <w:tabs>
        <w:tab w:val="left" w:pos="-1440"/>
      </w:tabs>
    </w:pPr>
    <w:rPr>
      <w:rFonts w:ascii="Times New Roman" w:hAnsi="Times New Roman"/>
      <w:b/>
      <w:bCs/>
      <w:i/>
      <w:iCs/>
    </w:rPr>
  </w:style>
  <w:style w:type="paragraph" w:styleId="Footer">
    <w:name w:val="footer"/>
    <w:basedOn w:val="Normal"/>
    <w:rsid w:val="00BB6544"/>
    <w:pPr>
      <w:tabs>
        <w:tab w:val="center" w:pos="4320"/>
        <w:tab w:val="right" w:pos="8640"/>
      </w:tabs>
    </w:pPr>
  </w:style>
  <w:style w:type="character" w:styleId="PageNumber">
    <w:name w:val="page number"/>
    <w:basedOn w:val="DefaultParagraphFont"/>
    <w:rsid w:val="00BB6544"/>
  </w:style>
  <w:style w:type="paragraph" w:styleId="FootnoteText">
    <w:name w:val="footnote text"/>
    <w:basedOn w:val="Normal"/>
    <w:semiHidden/>
    <w:rsid w:val="00BB6544"/>
    <w:pPr>
      <w:widowControl/>
      <w:autoSpaceDE/>
      <w:autoSpaceDN/>
      <w:adjustRightInd/>
    </w:pPr>
    <w:rPr>
      <w:rFonts w:ascii="Times New Roman" w:hAnsi="Times New Roman"/>
      <w:sz w:val="20"/>
      <w:szCs w:val="20"/>
    </w:rPr>
  </w:style>
  <w:style w:type="paragraph" w:customStyle="1" w:styleId="ArticleNumber">
    <w:name w:val="Article Number"/>
    <w:basedOn w:val="Normal"/>
    <w:rsid w:val="00BB6544"/>
    <w:pPr>
      <w:widowControl/>
      <w:autoSpaceDE/>
      <w:autoSpaceDN/>
      <w:adjustRightInd/>
      <w:spacing w:line="480" w:lineRule="auto"/>
      <w:jc w:val="center"/>
    </w:pPr>
    <w:rPr>
      <w:rFonts w:ascii="Times New Roman" w:hAnsi="Times New Roman"/>
      <w:szCs w:val="20"/>
    </w:rPr>
  </w:style>
  <w:style w:type="paragraph" w:styleId="Header">
    <w:name w:val="header"/>
    <w:basedOn w:val="Normal"/>
    <w:rsid w:val="00BB6544"/>
    <w:pPr>
      <w:tabs>
        <w:tab w:val="center" w:pos="4320"/>
        <w:tab w:val="right" w:pos="8640"/>
      </w:tabs>
    </w:pPr>
  </w:style>
  <w:style w:type="paragraph" w:styleId="BalloonText">
    <w:name w:val="Balloon Text"/>
    <w:basedOn w:val="Normal"/>
    <w:semiHidden/>
    <w:rsid w:val="00D07AFA"/>
    <w:rPr>
      <w:rFonts w:ascii="Tahoma" w:hAnsi="Tahoma" w:cs="Tahoma"/>
      <w:sz w:val="16"/>
      <w:szCs w:val="16"/>
    </w:rPr>
  </w:style>
  <w:style w:type="character" w:styleId="CommentReference">
    <w:name w:val="annotation reference"/>
    <w:basedOn w:val="DefaultParagraphFont"/>
    <w:rsid w:val="00870497"/>
    <w:rPr>
      <w:sz w:val="16"/>
      <w:szCs w:val="16"/>
    </w:rPr>
  </w:style>
  <w:style w:type="paragraph" w:styleId="CommentText">
    <w:name w:val="annotation text"/>
    <w:basedOn w:val="Normal"/>
    <w:link w:val="CommentTextChar"/>
    <w:rsid w:val="00870497"/>
    <w:rPr>
      <w:sz w:val="20"/>
      <w:szCs w:val="20"/>
    </w:rPr>
  </w:style>
  <w:style w:type="character" w:customStyle="1" w:styleId="CommentTextChar">
    <w:name w:val="Comment Text Char"/>
    <w:basedOn w:val="DefaultParagraphFont"/>
    <w:link w:val="CommentText"/>
    <w:rsid w:val="00870497"/>
    <w:rPr>
      <w:rFonts w:ascii="CG Times" w:hAnsi="CG Times"/>
    </w:rPr>
  </w:style>
  <w:style w:type="paragraph" w:styleId="CommentSubject">
    <w:name w:val="annotation subject"/>
    <w:basedOn w:val="CommentText"/>
    <w:next w:val="CommentText"/>
    <w:link w:val="CommentSubjectChar"/>
    <w:rsid w:val="00870497"/>
    <w:rPr>
      <w:b/>
      <w:bCs/>
    </w:rPr>
  </w:style>
  <w:style w:type="character" w:customStyle="1" w:styleId="CommentSubjectChar">
    <w:name w:val="Comment Subject Char"/>
    <w:basedOn w:val="CommentTextChar"/>
    <w:link w:val="CommentSubject"/>
    <w:rsid w:val="00870497"/>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1167</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2</cp:revision>
  <cp:lastPrinted>2016-02-18T19:37:00Z</cp:lastPrinted>
  <dcterms:created xsi:type="dcterms:W3CDTF">2016-02-19T17:17:00Z</dcterms:created>
  <dcterms:modified xsi:type="dcterms:W3CDTF">2016-02-19T17:17:00Z</dcterms:modified>
</cp:coreProperties>
</file>