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80" w:rsidRDefault="00DE35AD">
      <w:pPr>
        <w:pStyle w:val="NormalWeb"/>
        <w:spacing w:before="0" w:beforeAutospacing="0" w:after="0" w:afterAutospacing="0"/>
        <w:jc w:val="center"/>
        <w:rPr>
          <w:b/>
        </w:rPr>
      </w:pPr>
      <w:bookmarkStart w:id="0" w:name="_GoBack"/>
      <w:bookmarkEnd w:id="0"/>
      <w:r>
        <w:rPr>
          <w:b/>
        </w:rPr>
        <w:t>Annual Stress Test Rule and</w:t>
      </w:r>
    </w:p>
    <w:p w:rsidR="00206A80" w:rsidRDefault="00DE35AD">
      <w:pPr>
        <w:pStyle w:val="NormalWeb"/>
        <w:spacing w:before="0" w:beforeAutospacing="0" w:after="0" w:afterAutospacing="0"/>
        <w:jc w:val="center"/>
        <w:rPr>
          <w:rStyle w:val="trigger"/>
          <w:b/>
        </w:rPr>
      </w:pPr>
      <w:r>
        <w:rPr>
          <w:b/>
        </w:rPr>
        <w:t>Company-Run Annual Stress Test Reporting Template and Documentation for Covered Institutions with Total Consolidated Assets of over $50 Billion under the Dodd-Frank Wall Street Reform and Consumer Protection Act</w:t>
      </w:r>
    </w:p>
    <w:p w:rsidR="00206A80" w:rsidRDefault="00206A80">
      <w:pPr>
        <w:pStyle w:val="NormalWeb"/>
        <w:spacing w:before="0" w:beforeAutospacing="0" w:after="0" w:afterAutospacing="0"/>
        <w:jc w:val="center"/>
        <w:rPr>
          <w:rStyle w:val="trigger"/>
        </w:rPr>
      </w:pPr>
    </w:p>
    <w:p w:rsidR="00206A80" w:rsidRDefault="00DE35AD">
      <w:pPr>
        <w:pStyle w:val="NormalWeb"/>
        <w:spacing w:before="0" w:beforeAutospacing="0" w:after="0" w:afterAutospacing="0"/>
        <w:jc w:val="center"/>
        <w:rPr>
          <w:rStyle w:val="trigger"/>
        </w:rPr>
      </w:pPr>
      <w:r>
        <w:rPr>
          <w:bCs/>
        </w:rPr>
        <w:t xml:space="preserve">Supporting </w:t>
      </w:r>
      <w:r>
        <w:rPr>
          <w:bCs/>
        </w:rPr>
        <w:t>Statement A</w:t>
      </w:r>
      <w:r>
        <w:rPr>
          <w:rStyle w:val="trigger"/>
        </w:rPr>
        <w:t xml:space="preserve"> </w:t>
      </w:r>
    </w:p>
    <w:p w:rsidR="00206A80" w:rsidRDefault="00DE35AD">
      <w:pPr>
        <w:pStyle w:val="NormalWeb"/>
        <w:spacing w:before="0" w:beforeAutospacing="0" w:after="0" w:afterAutospacing="0"/>
        <w:jc w:val="center"/>
        <w:rPr>
          <w:rStyle w:val="trigger"/>
        </w:rPr>
      </w:pPr>
      <w:proofErr w:type="gramStart"/>
      <w:r>
        <w:rPr>
          <w:rStyle w:val="trigger"/>
        </w:rPr>
        <w:t>OMB CONTROL NO.</w:t>
      </w:r>
      <w:proofErr w:type="gramEnd"/>
      <w:r>
        <w:rPr>
          <w:rStyle w:val="trigger"/>
        </w:rPr>
        <w:t xml:space="preserve"> 1557-0319</w:t>
      </w:r>
    </w:p>
    <w:p w:rsidR="00206A80" w:rsidRDefault="00206A80">
      <w:pPr>
        <w:pStyle w:val="NormalWeb"/>
        <w:spacing w:before="0" w:beforeAutospacing="0" w:after="0" w:afterAutospacing="0"/>
        <w:jc w:val="center"/>
        <w:rPr>
          <w:bCs/>
        </w:rPr>
      </w:pPr>
    </w:p>
    <w:p w:rsidR="00206A80" w:rsidRDefault="00DE35AD">
      <w:pPr>
        <w:pStyle w:val="NormalWeb"/>
        <w:spacing w:before="0" w:beforeAutospacing="0" w:after="0" w:afterAutospacing="0" w:line="480" w:lineRule="auto"/>
      </w:pPr>
      <w:r>
        <w:rPr>
          <w:b/>
          <w:bCs/>
        </w:rPr>
        <w:t>A. Justification</w:t>
      </w:r>
    </w:p>
    <w:p w:rsidR="00206A80" w:rsidRDefault="00DE35AD">
      <w:pPr>
        <w:numPr>
          <w:ilvl w:val="0"/>
          <w:numId w:val="1"/>
        </w:numPr>
        <w:spacing w:line="480" w:lineRule="auto"/>
        <w:rPr>
          <w:u w:val="single"/>
        </w:rPr>
      </w:pPr>
      <w:r>
        <w:rPr>
          <w:u w:val="single"/>
        </w:rPr>
        <w:t xml:space="preserve">Circumstances Making the Collection of Information Necessary </w:t>
      </w:r>
    </w:p>
    <w:p w:rsidR="00206A80" w:rsidRDefault="00DE35AD">
      <w:pPr>
        <w:ind w:left="720"/>
      </w:pPr>
      <w:r>
        <w:t>OMB Control No. 1557-0319 currently encompasses information collection requirements contained in the OCC’s stress testing reporting templ</w:t>
      </w:r>
      <w:r>
        <w:t>ates for covered institutions with over $50 billion in total consolidated assets.  The OCC has separately requested to revise the collection under OMB Control No. 1557-0311 to reflect changes to the templates for institutions with total consolidated assets</w:t>
      </w:r>
      <w:r>
        <w:t xml:space="preserve"> of $10 billion to $50 billion.  </w:t>
      </w:r>
    </w:p>
    <w:p w:rsidR="00206A80" w:rsidRDefault="00206A80">
      <w:pPr>
        <w:ind w:left="720"/>
        <w:rPr>
          <w:u w:val="single"/>
        </w:rPr>
      </w:pPr>
    </w:p>
    <w:p w:rsidR="00206A80" w:rsidRDefault="00DE35AD">
      <w:pPr>
        <w:pStyle w:val="Header"/>
        <w:tabs>
          <w:tab w:val="left" w:pos="0"/>
          <w:tab w:val="left" w:pos="720"/>
          <w:tab w:val="left" w:pos="1440"/>
          <w:tab w:val="left" w:pos="2430"/>
        </w:tabs>
        <w:ind w:left="720"/>
        <w:rPr>
          <w:rFonts w:ascii="Times New Roman" w:hAnsi="Times New Roman"/>
        </w:rPr>
      </w:pPr>
      <w:r>
        <w:rPr>
          <w:rFonts w:ascii="Times New Roman" w:hAnsi="Times New Roman"/>
        </w:rPr>
        <w:t>The annual stress test rule</w:t>
      </w:r>
      <w:r>
        <w:rPr>
          <w:rStyle w:val="FootnoteReference"/>
        </w:rPr>
        <w:footnoteReference w:id="1"/>
      </w:r>
      <w:r>
        <w:rPr>
          <w:rFonts w:ascii="Times New Roman" w:hAnsi="Times New Roman"/>
        </w:rPr>
        <w:t xml:space="preserve"> implemented Section 165(</w:t>
      </w:r>
      <w:proofErr w:type="spellStart"/>
      <w:r>
        <w:rPr>
          <w:rFonts w:ascii="Times New Roman" w:hAnsi="Times New Roman"/>
        </w:rPr>
        <w:t>i</w:t>
      </w:r>
      <w:proofErr w:type="spellEnd"/>
      <w:r>
        <w:rPr>
          <w:rFonts w:ascii="Times New Roman" w:hAnsi="Times New Roman"/>
        </w:rPr>
        <w:t>) of the Dodd-Frank Wall Street Reform and Consumer Protection Act</w:t>
      </w:r>
      <w:r>
        <w:rPr>
          <w:rStyle w:val="FootnoteReference"/>
          <w:rFonts w:ascii="Times New Roman" w:hAnsi="Times New Roman"/>
        </w:rPr>
        <w:footnoteReference w:id="2"/>
      </w:r>
      <w:r>
        <w:rPr>
          <w:rFonts w:ascii="Times New Roman" w:hAnsi="Times New Roman"/>
        </w:rPr>
        <w:t xml:space="preserve"> (“Dodd-Frank Act”) which requires certain companies to conduct annual stress tests.  National banks</w:t>
      </w:r>
      <w:r>
        <w:rPr>
          <w:rFonts w:ascii="Times New Roman" w:hAnsi="Times New Roman"/>
        </w:rPr>
        <w:t xml:space="preserve"> and Federal savings associations with total consolidated assets of more than $10 billion are be required to conduct annual stress tests and comply with reporting and disclosure requirements under the rule. The reporting templates for institutions with tot</w:t>
      </w:r>
      <w:r>
        <w:rPr>
          <w:rFonts w:ascii="Times New Roman" w:hAnsi="Times New Roman"/>
        </w:rPr>
        <w:t xml:space="preserve">al consolidated assets of over $50 billion </w:t>
      </w:r>
      <w:proofErr w:type="gramStart"/>
      <w:r>
        <w:rPr>
          <w:rFonts w:ascii="Times New Roman" w:hAnsi="Times New Roman"/>
        </w:rPr>
        <w:t>were finalized</w:t>
      </w:r>
      <w:proofErr w:type="gramEnd"/>
      <w:r>
        <w:rPr>
          <w:rFonts w:ascii="Times New Roman" w:hAnsi="Times New Roman"/>
        </w:rPr>
        <w:t xml:space="preserve"> in 2012.</w:t>
      </w:r>
      <w:r>
        <w:rPr>
          <w:rStyle w:val="FootnoteReference"/>
          <w:rFonts w:ascii="Times New Roman" w:hAnsi="Times New Roman"/>
        </w:rPr>
        <w:footnoteReference w:id="3"/>
      </w:r>
    </w:p>
    <w:p w:rsidR="00206A80" w:rsidRDefault="00206A80">
      <w:pPr>
        <w:rPr>
          <w:color w:val="FF0000"/>
        </w:rPr>
      </w:pPr>
    </w:p>
    <w:p w:rsidR="00206A80" w:rsidRDefault="00DE35AD">
      <w:pPr>
        <w:ind w:left="720"/>
        <w:rPr>
          <w:u w:val="single"/>
        </w:rPr>
      </w:pPr>
      <w:r>
        <w:t>Section 165(</w:t>
      </w:r>
      <w:proofErr w:type="spellStart"/>
      <w:r>
        <w:t>i</w:t>
      </w:r>
      <w:proofErr w:type="spellEnd"/>
      <w:proofErr w:type="gramStart"/>
      <w:r>
        <w:t>)(</w:t>
      </w:r>
      <w:proofErr w:type="gramEnd"/>
      <w:r>
        <w:t>2) of the Dodd-Frank Wall Street Reform and Consumer Protection Act  (Dodd-Frank Act) requires certain financial companies, including national banks and Federal savings ass</w:t>
      </w:r>
      <w:r>
        <w:t>ociations, to conduct annual stress tests</w:t>
      </w:r>
      <w:r>
        <w:rPr>
          <w:rStyle w:val="FootnoteReference"/>
        </w:rPr>
        <w:footnoteReference w:id="4"/>
      </w:r>
      <w:r>
        <w:t xml:space="preserve"> and requires the primary financial regulatory agency</w:t>
      </w:r>
      <w:r>
        <w:rPr>
          <w:rStyle w:val="FootnoteReference"/>
        </w:rPr>
        <w:footnoteReference w:id="5"/>
      </w:r>
      <w:r>
        <w:t xml:space="preserve"> of those financial companies to issue regulations implementing the stress test requirements.</w:t>
      </w:r>
      <w:r>
        <w:rPr>
          <w:rStyle w:val="FootnoteReference"/>
        </w:rPr>
        <w:footnoteReference w:id="6"/>
      </w:r>
      <w:r>
        <w:t xml:space="preserve">  A national bank or Federal savings association is a “covered ins</w:t>
      </w:r>
      <w:r>
        <w:t xml:space="preserve">titution” and therefore subject to the stress test requirements if its’ total consolidated assets are more than $10 billion.  </w:t>
      </w:r>
    </w:p>
    <w:p w:rsidR="00206A80" w:rsidRDefault="00206A80">
      <w:pPr>
        <w:ind w:left="720"/>
      </w:pPr>
    </w:p>
    <w:p w:rsidR="00206A80" w:rsidRDefault="00DE35AD">
      <w:pPr>
        <w:ind w:left="720"/>
      </w:pPr>
      <w:r>
        <w:t>Under section 165(</w:t>
      </w:r>
      <w:proofErr w:type="spellStart"/>
      <w:r>
        <w:t>i</w:t>
      </w:r>
      <w:proofErr w:type="spellEnd"/>
      <w:proofErr w:type="gramStart"/>
      <w:r>
        <w:t>)(</w:t>
      </w:r>
      <w:proofErr w:type="gramEnd"/>
      <w:r>
        <w:t>2), a covered institution is required to submit to the Board of Governors of the Federal Reserve System (Bo</w:t>
      </w:r>
      <w:r>
        <w:t>ard) and to its primary financial regulatory agency a report at such time, in such form, and containing such information as the primary financial regulatory agency may require.</w:t>
      </w:r>
      <w:r>
        <w:rPr>
          <w:rStyle w:val="FootnoteReference"/>
        </w:rPr>
        <w:footnoteReference w:id="7"/>
      </w:r>
      <w:r>
        <w:t xml:space="preserve">   </w:t>
      </w:r>
    </w:p>
    <w:p w:rsidR="00206A80" w:rsidRDefault="00206A80">
      <w:pPr>
        <w:ind w:firstLine="720"/>
      </w:pPr>
    </w:p>
    <w:p w:rsidR="00206A80" w:rsidRDefault="00DE35AD">
      <w:pPr>
        <w:numPr>
          <w:ilvl w:val="0"/>
          <w:numId w:val="1"/>
        </w:numPr>
        <w:rPr>
          <w:u w:val="single"/>
        </w:rPr>
      </w:pPr>
      <w:r>
        <w:rPr>
          <w:u w:val="single"/>
        </w:rPr>
        <w:lastRenderedPageBreak/>
        <w:t xml:space="preserve">Purpose and Use of the Information Collection </w:t>
      </w:r>
    </w:p>
    <w:p w:rsidR="00206A80" w:rsidRDefault="00206A80"/>
    <w:p w:rsidR="00206A80" w:rsidRDefault="00DE35AD">
      <w:pPr>
        <w:autoSpaceDE w:val="0"/>
        <w:autoSpaceDN w:val="0"/>
        <w:adjustRightInd w:val="0"/>
        <w:ind w:left="720" w:right="-14"/>
      </w:pPr>
      <w:r>
        <w:rPr>
          <w:rFonts w:ascii="Times" w:hAnsi="Times" w:cs="Times"/>
          <w:color w:val="000000"/>
        </w:rPr>
        <w:t>The OCC intends uses the d</w:t>
      </w:r>
      <w:r>
        <w:rPr>
          <w:rFonts w:ascii="Times" w:hAnsi="Times" w:cs="Times"/>
          <w:color w:val="000000"/>
        </w:rPr>
        <w:t>ata collected through the current templates to</w:t>
      </w:r>
      <w:r>
        <w:rPr>
          <w:rFonts w:ascii="Times" w:eastAsia="Arial Unicode MS" w:hAnsi="Times" w:cs="Times"/>
          <w:color w:val="000000"/>
        </w:rPr>
        <w:t xml:space="preserve"> assess</w:t>
      </w:r>
      <w:r>
        <w:rPr>
          <w:rFonts w:ascii="Times" w:hAnsi="Times" w:cs="Times"/>
          <w:color w:val="000000"/>
        </w:rPr>
        <w:t xml:space="preserve"> the reasonableness of the stress test results</w:t>
      </w:r>
      <w:r>
        <w:rPr>
          <w:rFonts w:ascii="Times" w:eastAsia="Arial Unicode MS" w:hAnsi="Times" w:cs="Times"/>
          <w:color w:val="000000"/>
        </w:rPr>
        <w:t xml:space="preserve"> of covered institutions and to provide</w:t>
      </w:r>
      <w:r>
        <w:t xml:space="preserve"> forward-looking information to the OCC regarding a covered institution’s capital adequacy</w:t>
      </w:r>
      <w:r>
        <w:rPr>
          <w:rFonts w:ascii="Times" w:eastAsia="Arial Unicode MS" w:hAnsi="Times" w:cs="Times"/>
          <w:color w:val="000000"/>
        </w:rPr>
        <w:t xml:space="preserve">.  The </w:t>
      </w:r>
      <w:r>
        <w:t>OCC also uses the res</w:t>
      </w:r>
      <w:r>
        <w:t>ults of the stress tests to determine whether additional analytical techniques and exercises could be appropriate to identify, measure, and monitor risks at the covered institution.  The stress test results support ongoing improvement in a covered institut</w:t>
      </w:r>
      <w:r>
        <w:t xml:space="preserve">ion’s stress testing practices with respect to its internal assessments of capital adequacy and overall capital planning.  </w:t>
      </w:r>
    </w:p>
    <w:p w:rsidR="00206A80" w:rsidRDefault="00206A80">
      <w:pPr>
        <w:ind w:left="720"/>
        <w:rPr>
          <w:rFonts w:eastAsia="Arial Unicode MS"/>
        </w:rPr>
      </w:pPr>
    </w:p>
    <w:p w:rsidR="00206A80" w:rsidRDefault="00DE35AD">
      <w:pPr>
        <w:ind w:left="720"/>
      </w:pPr>
      <w:r>
        <w:rPr>
          <w:rFonts w:eastAsia="Arial Unicode MS"/>
        </w:rPr>
        <w:t>The Dodd-Frank Act stress testing requirements apply to all covered institutions, but the OCC recognizes that many covered institutions with consolidated total assets of $50 billion or more have been subject to stress testing requirements under the Board’s</w:t>
      </w:r>
      <w:r>
        <w:rPr>
          <w:rFonts w:eastAsia="Arial Unicode MS"/>
        </w:rPr>
        <w:t xml:space="preserve"> Comprehensive Capital Analysis and Review (CCAR).  The OCC also recognizes that these institutions’ stress tests are applied to </w:t>
      </w:r>
      <w:proofErr w:type="gramStart"/>
      <w:r>
        <w:rPr>
          <w:rFonts w:eastAsia="Arial Unicode MS"/>
        </w:rPr>
        <w:t>more complex portfolios</w:t>
      </w:r>
      <w:proofErr w:type="gramEnd"/>
      <w:r>
        <w:rPr>
          <w:rFonts w:eastAsia="Arial Unicode MS"/>
        </w:rPr>
        <w:t xml:space="preserve"> and therefore warrant a broader set of reports to adequately capture the results of the company-run str</w:t>
      </w:r>
      <w:r>
        <w:rPr>
          <w:rFonts w:eastAsia="Arial Unicode MS"/>
        </w:rPr>
        <w:t>ess tests.  These reports necessarily require more detail than would be appropriate for smaller, less complex institutions.  Therefore, the OCC has specified separate reporting templates for covered institutions with total consolidated assets between $10 a</w:t>
      </w:r>
      <w:r>
        <w:rPr>
          <w:rFonts w:eastAsia="Arial Unicode MS"/>
        </w:rPr>
        <w:t xml:space="preserve">nd $50 billion and for covered institutions with total consolidated assets of $50 billion or more.  In cases where a covered institution with assets less than $50 billion </w:t>
      </w:r>
      <w:proofErr w:type="gramStart"/>
      <w:r>
        <w:rPr>
          <w:rFonts w:eastAsia="Arial Unicode MS"/>
        </w:rPr>
        <w:t>is affiliated</w:t>
      </w:r>
      <w:proofErr w:type="gramEnd"/>
      <w:r>
        <w:rPr>
          <w:rFonts w:eastAsia="Arial Unicode MS"/>
        </w:rPr>
        <w:t xml:space="preserve"> with a banking organization with assets of $50 billion or more, the OCC</w:t>
      </w:r>
      <w:r>
        <w:rPr>
          <w:rFonts w:eastAsia="Arial Unicode MS"/>
        </w:rPr>
        <w:t xml:space="preserve"> reserves the authority to require that covered institution to use the reporting template for larger institutions with total consolidated assets of $50 billion or more.  The OCC </w:t>
      </w:r>
      <w:proofErr w:type="gramStart"/>
      <w:r>
        <w:rPr>
          <w:rFonts w:eastAsia="Arial Unicode MS"/>
        </w:rPr>
        <w:t>may also, on a case-by-case basis, require</w:t>
      </w:r>
      <w:proofErr w:type="gramEnd"/>
      <w:r>
        <w:rPr>
          <w:rFonts w:eastAsia="Arial Unicode MS"/>
        </w:rPr>
        <w:t xml:space="preserve"> a covered institution with assets o</w:t>
      </w:r>
      <w:r>
        <w:rPr>
          <w:rFonts w:eastAsia="Arial Unicode MS"/>
        </w:rPr>
        <w:t xml:space="preserve">f $50 billion or more to report stress test results using a simpler format to be specified by the OCC.  </w:t>
      </w:r>
    </w:p>
    <w:p w:rsidR="00206A80" w:rsidRDefault="00206A80"/>
    <w:p w:rsidR="00206A80" w:rsidRDefault="00DE35AD">
      <w:pPr>
        <w:pStyle w:val="BodyText"/>
        <w:spacing w:line="240" w:lineRule="auto"/>
        <w:ind w:left="720"/>
      </w:pPr>
      <w:r>
        <w:t>The revisions to the DFAST-14A reporting templates consist of adding data items, deleting data items, and redefining existing data items.  These chang</w:t>
      </w:r>
      <w:r>
        <w:t xml:space="preserve">es will (1) provide additional information to greatly enhance the ability of the OCC to analyze the validity and integrity of firms’ projections, (2) improve comparability across firms, and (3) increase consistency between the FR Y–14A reporting templates </w:t>
      </w:r>
      <w:r>
        <w:t xml:space="preserve">and DFAST-14A reporting templates. The OCC has conducted a thorough review of the changes and believes that the incremental burden of these changes is justified given the need for these data </w:t>
      </w:r>
      <w:proofErr w:type="gramStart"/>
      <w:r>
        <w:t>to properly conduct</w:t>
      </w:r>
      <w:proofErr w:type="gramEnd"/>
      <w:r>
        <w:t xml:space="preserve"> the OCC’s supervisory responsibilities relate</w:t>
      </w:r>
      <w:r>
        <w:t>d to the stress testing.</w:t>
      </w:r>
    </w:p>
    <w:p w:rsidR="00206A80" w:rsidRDefault="00206A80">
      <w:pPr>
        <w:rPr>
          <w:u w:val="single"/>
        </w:rPr>
      </w:pPr>
    </w:p>
    <w:p w:rsidR="00206A80" w:rsidRDefault="00DE35AD">
      <w:pPr>
        <w:numPr>
          <w:ilvl w:val="0"/>
          <w:numId w:val="1"/>
        </w:numPr>
        <w:ind w:right="-1440"/>
        <w:rPr>
          <w:u w:val="single"/>
        </w:rPr>
      </w:pPr>
      <w:r>
        <w:rPr>
          <w:u w:val="single"/>
        </w:rPr>
        <w:t xml:space="preserve">Use of Improved Information Technology and Burden Reduction </w:t>
      </w:r>
    </w:p>
    <w:p w:rsidR="00206A80" w:rsidRDefault="00206A80">
      <w:pPr>
        <w:pStyle w:val="ListParagraph"/>
      </w:pPr>
    </w:p>
    <w:p w:rsidR="00206A80" w:rsidRDefault="00DE35AD">
      <w:pPr>
        <w:ind w:left="720"/>
        <w:rPr>
          <w:u w:val="single"/>
        </w:rPr>
      </w:pPr>
      <w:r>
        <w:t>Respondents may use any method of improved technology that meets the requirements of the collection.</w:t>
      </w:r>
    </w:p>
    <w:p w:rsidR="00206A80" w:rsidRDefault="00DE35AD">
      <w:pPr>
        <w:pStyle w:val="HTMLPreformatted"/>
        <w:rPr>
          <w:rFonts w:ascii="Times New Roman" w:hAnsi="Times New Roman" w:cs="Times New Roman"/>
          <w:sz w:val="24"/>
          <w:szCs w:val="24"/>
        </w:rPr>
      </w:pPr>
      <w:r>
        <w:rPr>
          <w:rFonts w:ascii="Times New Roman" w:hAnsi="Times New Roman" w:cs="Times New Roman"/>
          <w:sz w:val="24"/>
          <w:szCs w:val="24"/>
        </w:rPr>
        <w:tab/>
      </w:r>
    </w:p>
    <w:p w:rsidR="00206A80" w:rsidRDefault="00DE35AD">
      <w:pPr>
        <w:numPr>
          <w:ilvl w:val="0"/>
          <w:numId w:val="1"/>
        </w:numPr>
        <w:rPr>
          <w:u w:val="single"/>
        </w:rPr>
      </w:pPr>
      <w:r>
        <w:rPr>
          <w:u w:val="single"/>
        </w:rPr>
        <w:t xml:space="preserve">Efforts to Identify Duplication and Use of Similar Information </w:t>
      </w:r>
    </w:p>
    <w:p w:rsidR="00206A80" w:rsidRDefault="00206A80">
      <w:pPr>
        <w:ind w:left="720" w:right="893"/>
      </w:pPr>
    </w:p>
    <w:p w:rsidR="00206A80" w:rsidRDefault="00DE35AD">
      <w:pPr>
        <w:ind w:left="720" w:right="893"/>
      </w:pPr>
      <w:r>
        <w:lastRenderedPageBreak/>
        <w:t>The required information is unique and is not duplicative of any other information already collected.</w:t>
      </w:r>
    </w:p>
    <w:p w:rsidR="00206A80" w:rsidRDefault="00206A80"/>
    <w:p w:rsidR="00206A80" w:rsidRDefault="00DE35AD">
      <w:pPr>
        <w:numPr>
          <w:ilvl w:val="0"/>
          <w:numId w:val="1"/>
        </w:numPr>
        <w:rPr>
          <w:u w:val="single"/>
        </w:rPr>
      </w:pPr>
      <w:r>
        <w:rPr>
          <w:u w:val="single"/>
        </w:rPr>
        <w:t>Methods used to Minimize burden if the collection has a significant impact on Small Businesses or Other Small Entities</w:t>
      </w:r>
    </w:p>
    <w:p w:rsidR="00206A80" w:rsidRDefault="00206A80">
      <w:pPr>
        <w:ind w:left="720" w:right="893"/>
      </w:pPr>
    </w:p>
    <w:p w:rsidR="00206A80" w:rsidRDefault="00DE35AD">
      <w:pPr>
        <w:ind w:left="720" w:right="893"/>
      </w:pPr>
      <w:r>
        <w:t>The information collection does n</w:t>
      </w:r>
      <w:r>
        <w:t>ot have a significant impact on a substantial number of small businesses or other small entities.</w:t>
      </w:r>
    </w:p>
    <w:p w:rsidR="00206A80" w:rsidRDefault="00206A80">
      <w:pPr>
        <w:ind w:firstLine="720"/>
      </w:pPr>
    </w:p>
    <w:p w:rsidR="00206A80" w:rsidRDefault="00DE35AD">
      <w:pPr>
        <w:numPr>
          <w:ilvl w:val="0"/>
          <w:numId w:val="1"/>
        </w:numPr>
        <w:rPr>
          <w:u w:val="single"/>
        </w:rPr>
      </w:pPr>
      <w:r>
        <w:rPr>
          <w:u w:val="single"/>
        </w:rPr>
        <w:t>Consequences of Collecting the Information Less Frequently</w:t>
      </w:r>
    </w:p>
    <w:p w:rsidR="00206A80" w:rsidRDefault="00206A80">
      <w:pPr>
        <w:ind w:left="720"/>
      </w:pPr>
    </w:p>
    <w:p w:rsidR="00206A80" w:rsidRDefault="00DE35AD">
      <w:pPr>
        <w:ind w:left="720"/>
      </w:pPr>
      <w:r>
        <w:t xml:space="preserve">The collection of information is required by federal statute. The consequences of collecting the </w:t>
      </w:r>
      <w:r>
        <w:t>information less frequently would prevent OCC from implementing Section 165(</w:t>
      </w:r>
      <w:proofErr w:type="spellStart"/>
      <w:r>
        <w:t>i</w:t>
      </w:r>
      <w:proofErr w:type="spellEnd"/>
      <w:proofErr w:type="gramStart"/>
      <w:r>
        <w:t>)(</w:t>
      </w:r>
      <w:proofErr w:type="gramEnd"/>
      <w:r>
        <w:t>2) of the Dodd-Frank Wall Street Reform and Consumer Protection Act.</w:t>
      </w:r>
      <w:r>
        <w:rPr>
          <w:rStyle w:val="FootnoteReference"/>
        </w:rPr>
        <w:footnoteReference w:id="8"/>
      </w:r>
    </w:p>
    <w:p w:rsidR="00206A80" w:rsidRDefault="00206A80">
      <w:pPr>
        <w:ind w:firstLine="720"/>
      </w:pPr>
    </w:p>
    <w:p w:rsidR="00206A80" w:rsidRDefault="00DE35AD">
      <w:pPr>
        <w:numPr>
          <w:ilvl w:val="0"/>
          <w:numId w:val="1"/>
        </w:numPr>
        <w:rPr>
          <w:u w:val="single"/>
        </w:rPr>
      </w:pPr>
      <w:r>
        <w:rPr>
          <w:u w:val="single"/>
        </w:rPr>
        <w:t>Special Circumstances Relating to the Guidelines of 5 CFR 1320.5</w:t>
      </w:r>
    </w:p>
    <w:p w:rsidR="00206A80" w:rsidRDefault="00206A80">
      <w:pPr>
        <w:ind w:left="720" w:right="893"/>
      </w:pPr>
    </w:p>
    <w:p w:rsidR="00206A80" w:rsidRDefault="00DE35AD">
      <w:pPr>
        <w:ind w:left="720" w:right="893"/>
      </w:pPr>
      <w:r>
        <w:t>The information collection would be cond</w:t>
      </w:r>
      <w:r>
        <w:t xml:space="preserve">ucted in a manner consistent with </w:t>
      </w:r>
      <w:proofErr w:type="gramStart"/>
      <w:r>
        <w:t>5</w:t>
      </w:r>
      <w:proofErr w:type="gramEnd"/>
      <w:r>
        <w:t xml:space="preserve"> CFR Part 1320.5.</w:t>
      </w:r>
    </w:p>
    <w:p w:rsidR="00206A80" w:rsidRDefault="00206A80">
      <w:pPr>
        <w:ind w:firstLine="720"/>
      </w:pPr>
    </w:p>
    <w:p w:rsidR="00206A80" w:rsidRDefault="00DE35AD">
      <w:pPr>
        <w:numPr>
          <w:ilvl w:val="0"/>
          <w:numId w:val="1"/>
        </w:numPr>
        <w:rPr>
          <w:u w:val="single"/>
        </w:rPr>
      </w:pPr>
      <w:r>
        <w:rPr>
          <w:u w:val="single"/>
        </w:rPr>
        <w:t>Comments in Response to the Federal Register Notice and Efforts to Consult Outside the Agency</w:t>
      </w:r>
    </w:p>
    <w:p w:rsidR="00206A80" w:rsidRDefault="00206A80">
      <w:pPr>
        <w:ind w:left="720"/>
      </w:pPr>
    </w:p>
    <w:p w:rsidR="00206A80" w:rsidRDefault="00DE35AD">
      <w:pPr>
        <w:pStyle w:val="BodyText"/>
        <w:spacing w:line="240" w:lineRule="auto"/>
        <w:ind w:left="720"/>
        <w:rPr>
          <w:rFonts w:eastAsia="Arial Unicode MS"/>
        </w:rPr>
      </w:pPr>
      <w:r>
        <w:rPr>
          <w:rFonts w:eastAsia="Arial Unicode MS"/>
        </w:rPr>
        <w:t xml:space="preserve">On November 17, 2015, the OCC published notice of its intention to revise these templates.  </w:t>
      </w:r>
      <w:proofErr w:type="gramStart"/>
      <w:r>
        <w:t>80</w:t>
      </w:r>
      <w:proofErr w:type="gramEnd"/>
      <w:r>
        <w:t xml:space="preserve"> FR 71915</w:t>
      </w:r>
      <w:r>
        <w:rPr>
          <w:rFonts w:eastAsia="Arial Unicode MS"/>
        </w:rPr>
        <w:t xml:space="preserve">.  The OCC received no comments.  </w:t>
      </w:r>
    </w:p>
    <w:p w:rsidR="00206A80" w:rsidRDefault="00206A80">
      <w:pPr>
        <w:pStyle w:val="BodyText"/>
        <w:spacing w:line="240" w:lineRule="auto"/>
        <w:ind w:left="720"/>
      </w:pPr>
    </w:p>
    <w:p w:rsidR="00206A80" w:rsidRDefault="00DE35AD">
      <w:pPr>
        <w:pStyle w:val="ListParagraph"/>
        <w:numPr>
          <w:ilvl w:val="0"/>
          <w:numId w:val="1"/>
        </w:numPr>
        <w:rPr>
          <w:u w:val="single"/>
        </w:rPr>
      </w:pPr>
      <w:r>
        <w:rPr>
          <w:u w:val="single"/>
        </w:rPr>
        <w:t>Explanation of Any Payment or Gift to Respondents</w:t>
      </w:r>
    </w:p>
    <w:p w:rsidR="00206A80" w:rsidRDefault="00206A80">
      <w:pPr>
        <w:ind w:left="720"/>
      </w:pPr>
    </w:p>
    <w:p w:rsidR="00206A80" w:rsidRDefault="00DE35AD">
      <w:pPr>
        <w:ind w:left="720"/>
      </w:pPr>
      <w:r>
        <w:t>OCC has not provided and has no intention to provide any payment or gift to respondents under this information collection.</w:t>
      </w:r>
    </w:p>
    <w:p w:rsidR="00206A80" w:rsidRDefault="00206A80">
      <w:pPr>
        <w:ind w:firstLine="720"/>
      </w:pPr>
    </w:p>
    <w:p w:rsidR="00206A80" w:rsidRDefault="00DE35AD">
      <w:pPr>
        <w:numPr>
          <w:ilvl w:val="0"/>
          <w:numId w:val="1"/>
        </w:numPr>
        <w:rPr>
          <w:u w:val="single"/>
        </w:rPr>
      </w:pPr>
      <w:r>
        <w:rPr>
          <w:u w:val="single"/>
        </w:rPr>
        <w:t>Assurance of Confidentiality Provided to Resp</w:t>
      </w:r>
      <w:r>
        <w:rPr>
          <w:u w:val="single"/>
        </w:rPr>
        <w:t>ondents</w:t>
      </w:r>
    </w:p>
    <w:p w:rsidR="00206A80" w:rsidRDefault="00206A80">
      <w:pPr>
        <w:numPr>
          <w:ilvl w:val="12"/>
          <w:numId w:val="0"/>
        </w:numPr>
        <w:tabs>
          <w:tab w:val="left" w:pos="720"/>
        </w:tabs>
        <w:ind w:left="720"/>
      </w:pPr>
    </w:p>
    <w:p w:rsidR="00206A80" w:rsidRDefault="00DE35AD">
      <w:pPr>
        <w:ind w:left="720"/>
      </w:pPr>
      <w:r>
        <w:t xml:space="preserve">The information collection request </w:t>
      </w:r>
      <w:proofErr w:type="gramStart"/>
      <w:r>
        <w:t>will be kept</w:t>
      </w:r>
      <w:proofErr w:type="gramEnd"/>
      <w:r>
        <w:t xml:space="preserve"> confidential to the extent permissible by law.</w:t>
      </w:r>
    </w:p>
    <w:p w:rsidR="00206A80" w:rsidRDefault="00206A80">
      <w:pPr>
        <w:numPr>
          <w:ilvl w:val="12"/>
          <w:numId w:val="0"/>
        </w:numPr>
        <w:tabs>
          <w:tab w:val="left" w:pos="720"/>
        </w:tabs>
        <w:ind w:left="720"/>
      </w:pPr>
    </w:p>
    <w:p w:rsidR="00206A80" w:rsidRDefault="00DE35AD">
      <w:pPr>
        <w:numPr>
          <w:ilvl w:val="0"/>
          <w:numId w:val="1"/>
        </w:numPr>
        <w:rPr>
          <w:u w:val="single"/>
        </w:rPr>
      </w:pPr>
      <w:r>
        <w:rPr>
          <w:u w:val="single"/>
        </w:rPr>
        <w:t>Justification for Sensitive Questions</w:t>
      </w:r>
    </w:p>
    <w:p w:rsidR="00206A80" w:rsidRDefault="00206A80">
      <w:pPr>
        <w:ind w:firstLine="720"/>
      </w:pPr>
    </w:p>
    <w:p w:rsidR="00206A80" w:rsidRDefault="00DE35AD">
      <w:pPr>
        <w:ind w:firstLine="720"/>
      </w:pPr>
      <w:r>
        <w:t>There are no questions of a sensitive nature.</w:t>
      </w:r>
    </w:p>
    <w:p w:rsidR="00206A80" w:rsidRDefault="00206A80">
      <w:pPr>
        <w:ind w:firstLine="720"/>
      </w:pPr>
    </w:p>
    <w:p w:rsidR="00206A80" w:rsidRDefault="00DE35AD">
      <w:pPr>
        <w:numPr>
          <w:ilvl w:val="0"/>
          <w:numId w:val="1"/>
        </w:numPr>
        <w:rPr>
          <w:u w:val="single"/>
        </w:rPr>
      </w:pPr>
      <w:r>
        <w:rPr>
          <w:u w:val="single"/>
        </w:rPr>
        <w:t>Estimates of Annualized Burden Hours and Costs</w:t>
      </w:r>
    </w:p>
    <w:p w:rsidR="00206A80" w:rsidRDefault="00206A80">
      <w:pPr>
        <w:ind w:left="720"/>
        <w:rPr>
          <w:u w:val="singl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350"/>
        <w:gridCol w:w="1080"/>
        <w:gridCol w:w="1257"/>
      </w:tblGrid>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Reporting Templat</w:t>
            </w:r>
            <w:r>
              <w:rPr>
                <w:sz w:val="20"/>
                <w:szCs w:val="20"/>
              </w:rPr>
              <w:t xml:space="preserve">es </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No. of Respondents</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No. of Responses</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 xml:space="preserve">Estimated average hours per </w:t>
            </w:r>
            <w:r>
              <w:rPr>
                <w:sz w:val="20"/>
                <w:szCs w:val="20"/>
              </w:rPr>
              <w:lastRenderedPageBreak/>
              <w:t>Response</w:t>
            </w:r>
          </w:p>
          <w:p w:rsidR="00206A80" w:rsidRDefault="00206A80">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lastRenderedPageBreak/>
              <w:t>Total Hours</w:t>
            </w:r>
          </w:p>
          <w:p w:rsidR="00206A80" w:rsidRDefault="00206A80">
            <w:pPr>
              <w:widowControl w:val="0"/>
              <w:snapToGrid w:val="0"/>
              <w:rPr>
                <w:sz w:val="20"/>
                <w:szCs w:val="20"/>
              </w:rPr>
            </w:pP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lastRenderedPageBreak/>
              <w:t>OCC DFAST-14A Summary Schedule</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22</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tabs>
                <w:tab w:val="left" w:pos="252"/>
                <w:tab w:val="center" w:pos="432"/>
              </w:tabs>
              <w:rPr>
                <w:sz w:val="20"/>
                <w:szCs w:val="20"/>
              </w:rPr>
            </w:pPr>
            <w:r>
              <w:rPr>
                <w:sz w:val="20"/>
                <w:szCs w:val="20"/>
              </w:rPr>
              <w:tab/>
              <w:t>514</w:t>
            </w: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11308</w:t>
            </w: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 xml:space="preserve">OCC DFAST-14A </w:t>
            </w:r>
            <w:proofErr w:type="spellStart"/>
            <w:r>
              <w:rPr>
                <w:sz w:val="20"/>
                <w:szCs w:val="20"/>
              </w:rPr>
              <w:t>RegCap</w:t>
            </w:r>
            <w:proofErr w:type="spellEnd"/>
            <w:r>
              <w:rPr>
                <w:sz w:val="20"/>
                <w:szCs w:val="20"/>
              </w:rPr>
              <w:t xml:space="preserve"> Transitions Template</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22</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11.5</w:t>
            </w: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253</w:t>
            </w: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OCC DFAST-14A Regulatory Capital Template</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22</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10</w:t>
            </w: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220</w:t>
            </w: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 xml:space="preserve">OCC </w:t>
            </w:r>
            <w:r>
              <w:rPr>
                <w:sz w:val="20"/>
                <w:szCs w:val="20"/>
              </w:rPr>
              <w:t>DFAST-14A Operational Risk Template</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22</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6</w:t>
            </w: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132</w:t>
            </w: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OCC DFAST-14A Scenario Template</w:t>
            </w:r>
          </w:p>
        </w:tc>
        <w:tc>
          <w:tcPr>
            <w:tcW w:w="126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22</w:t>
            </w:r>
          </w:p>
        </w:tc>
        <w:tc>
          <w:tcPr>
            <w:tcW w:w="1350"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sz w:val="20"/>
                <w:szCs w:val="20"/>
              </w:rPr>
            </w:pPr>
            <w:r>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15.5</w:t>
            </w: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jc w:val="center"/>
              <w:rPr>
                <w:sz w:val="20"/>
                <w:szCs w:val="20"/>
              </w:rPr>
            </w:pPr>
            <w:r>
              <w:rPr>
                <w:sz w:val="20"/>
                <w:szCs w:val="20"/>
              </w:rPr>
              <w:t>341</w:t>
            </w:r>
          </w:p>
        </w:tc>
      </w:tr>
      <w:tr w:rsidR="00206A80">
        <w:trPr>
          <w:jc w:val="center"/>
        </w:trPr>
        <w:tc>
          <w:tcPr>
            <w:tcW w:w="2538"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b/>
                <w:sz w:val="20"/>
                <w:szCs w:val="20"/>
              </w:rPr>
            </w:pPr>
            <w:r>
              <w:rPr>
                <w:b/>
                <w:sz w:val="20"/>
                <w:szCs w:val="20"/>
              </w:rPr>
              <w:t>50B or More Template Total</w:t>
            </w:r>
          </w:p>
        </w:tc>
        <w:tc>
          <w:tcPr>
            <w:tcW w:w="1260" w:type="dxa"/>
            <w:tcBorders>
              <w:top w:val="single" w:sz="6" w:space="0" w:color="000000"/>
              <w:left w:val="single" w:sz="6" w:space="0" w:color="000000"/>
              <w:bottom w:val="single" w:sz="6" w:space="0" w:color="000000"/>
              <w:right w:val="single" w:sz="6" w:space="0" w:color="000000"/>
            </w:tcBorders>
          </w:tcPr>
          <w:p w:rsidR="00206A80" w:rsidRDefault="00206A80">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206A80" w:rsidRDefault="00206A80">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206A80" w:rsidRDefault="00206A80">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rsidR="00206A80" w:rsidRDefault="00DE35AD">
            <w:pPr>
              <w:widowControl w:val="0"/>
              <w:snapToGrid w:val="0"/>
              <w:jc w:val="center"/>
              <w:rPr>
                <w:b/>
                <w:sz w:val="20"/>
                <w:szCs w:val="20"/>
              </w:rPr>
            </w:pPr>
            <w:r>
              <w:rPr>
                <w:b/>
                <w:sz w:val="20"/>
                <w:szCs w:val="20"/>
              </w:rPr>
              <w:t>12254</w:t>
            </w:r>
          </w:p>
        </w:tc>
      </w:tr>
    </w:tbl>
    <w:p w:rsidR="00206A80" w:rsidRDefault="00206A80">
      <w:pPr>
        <w:ind w:left="-180"/>
        <w:jc w:val="center"/>
      </w:pPr>
    </w:p>
    <w:p w:rsidR="00206A80" w:rsidRDefault="00206A80">
      <w:bookmarkStart w:id="1" w:name="OLE_LINK1"/>
    </w:p>
    <w:p w:rsidR="00206A80" w:rsidRDefault="00206A80">
      <w:pPr>
        <w:ind w:left="720"/>
      </w:pPr>
    </w:p>
    <w:bookmarkEnd w:id="1"/>
    <w:p w:rsidR="00206A80" w:rsidRDefault="00DE35AD">
      <w:pPr>
        <w:numPr>
          <w:ilvl w:val="0"/>
          <w:numId w:val="1"/>
        </w:numPr>
      </w:pPr>
      <w:r>
        <w:rPr>
          <w:u w:val="single"/>
        </w:rPr>
        <w:t>Estimates of Annual Cost Burden to Respondents and Record Keepers</w:t>
      </w:r>
    </w:p>
    <w:p w:rsidR="00206A80" w:rsidRDefault="00206A80">
      <w:pPr>
        <w:ind w:left="720"/>
      </w:pPr>
    </w:p>
    <w:p w:rsidR="00206A80" w:rsidRDefault="00DE35A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t>Total annual cost burden:</w:t>
      </w:r>
    </w:p>
    <w:p w:rsidR="00206A80" w:rsidRDefault="00206A8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206A80" w:rsidRDefault="00DE35A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(a)</w:t>
      </w:r>
      <w:r>
        <w:tab/>
      </w:r>
      <w:r>
        <w:t xml:space="preserve">Total annualized capital and start-up costs associated with the Templates </w:t>
      </w:r>
      <w:proofErr w:type="gramStart"/>
      <w:r>
        <w:t>are estimated</w:t>
      </w:r>
      <w:proofErr w:type="gramEnd"/>
      <w:r>
        <w:t xml:space="preserve"> to be $0 (zero dollars).  In general, reporting on the Templates requires neither specialized capital equipment, nor fixed or variable costs that are not already associ</w:t>
      </w:r>
      <w:r>
        <w:t>ated with the customary and usual business practices of respondents.</w:t>
      </w:r>
    </w:p>
    <w:p w:rsidR="00206A80" w:rsidRDefault="00206A8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206A80" w:rsidRDefault="00DE35A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pPr>
      <w:r>
        <w:t>(b)</w:t>
      </w:r>
      <w:r>
        <w:tab/>
        <w:t xml:space="preserve">Total annualized operations, maintenance, and purchases of services costs </w:t>
      </w:r>
      <w:proofErr w:type="gramStart"/>
      <w:r>
        <w:t>are estimated</w:t>
      </w:r>
      <w:proofErr w:type="gramEnd"/>
      <w:r>
        <w:t xml:space="preserve"> to be $0 (zero dollars).  Reporting on the forms does not in general impose operations, mainte</w:t>
      </w:r>
      <w:r>
        <w:t>nance, or specialized services costs that are not already associated with the customary and usual practices of respondents.</w:t>
      </w:r>
    </w:p>
    <w:p w:rsidR="00206A80" w:rsidRDefault="00206A80">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206A80" w:rsidRDefault="00DE35A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 xml:space="preserve">The above cost estimates </w:t>
      </w:r>
      <w:proofErr w:type="gramStart"/>
      <w:r>
        <w:t>are not expected</w:t>
      </w:r>
      <w:proofErr w:type="gramEnd"/>
      <w:r>
        <w:t xml:space="preserve"> to vary widely among respondents.</w:t>
      </w:r>
    </w:p>
    <w:p w:rsidR="00206A80" w:rsidRDefault="00206A80">
      <w:pPr>
        <w:ind w:left="720"/>
      </w:pPr>
    </w:p>
    <w:p w:rsidR="00206A80" w:rsidRDefault="00DE35AD">
      <w:pPr>
        <w:pStyle w:val="ListParagraph"/>
        <w:numPr>
          <w:ilvl w:val="0"/>
          <w:numId w:val="1"/>
        </w:numPr>
        <w:rPr>
          <w:u w:val="single"/>
        </w:rPr>
      </w:pPr>
      <w:r>
        <w:t xml:space="preserve"> </w:t>
      </w:r>
      <w:r>
        <w:rPr>
          <w:u w:val="single"/>
        </w:rPr>
        <w:t>Annualized Cost to the Federal Government</w:t>
      </w:r>
    </w:p>
    <w:p w:rsidR="00206A80" w:rsidRDefault="00206A80">
      <w:pPr>
        <w:autoSpaceDE w:val="0"/>
        <w:autoSpaceDN w:val="0"/>
        <w:adjustRightInd w:val="0"/>
        <w:ind w:firstLine="720"/>
      </w:pPr>
    </w:p>
    <w:p w:rsidR="00206A80" w:rsidRDefault="00DE35AD">
      <w:pPr>
        <w:autoSpaceDE w:val="0"/>
        <w:autoSpaceDN w:val="0"/>
        <w:adjustRightInd w:val="0"/>
        <w:ind w:firstLine="720"/>
      </w:pPr>
      <w:r>
        <w:t xml:space="preserve">OCC </w:t>
      </w:r>
      <w:r>
        <w:t>estimates no annualized cost to the Federal government.</w:t>
      </w:r>
    </w:p>
    <w:p w:rsidR="00206A80" w:rsidRDefault="00206A80">
      <w:pPr>
        <w:autoSpaceDE w:val="0"/>
        <w:autoSpaceDN w:val="0"/>
        <w:adjustRightInd w:val="0"/>
        <w:ind w:firstLine="720"/>
      </w:pPr>
    </w:p>
    <w:p w:rsidR="00206A80" w:rsidRDefault="00DE35AD">
      <w:pPr>
        <w:numPr>
          <w:ilvl w:val="0"/>
          <w:numId w:val="1"/>
        </w:numPr>
        <w:rPr>
          <w:u w:val="single"/>
        </w:rPr>
      </w:pPr>
      <w:r>
        <w:rPr>
          <w:u w:val="single"/>
        </w:rPr>
        <w:t>Explanation for Program Changes or Adjustments</w:t>
      </w:r>
    </w:p>
    <w:p w:rsidR="00206A80" w:rsidRDefault="00206A80">
      <w:pPr>
        <w:ind w:firstLine="720"/>
      </w:pPr>
    </w:p>
    <w:p w:rsidR="00206A80" w:rsidRDefault="00206A80">
      <w:pPr>
        <w:ind w:firstLine="720"/>
      </w:pPr>
    </w:p>
    <w:p w:rsidR="00206A80" w:rsidRDefault="00DE35AD">
      <w:pPr>
        <w:ind w:firstLine="720"/>
      </w:pPr>
      <w:proofErr w:type="gramStart"/>
      <w:r>
        <w:t>Prior Burden:  16,466 hours.</w:t>
      </w:r>
      <w:proofErr w:type="gramEnd"/>
    </w:p>
    <w:p w:rsidR="00206A80" w:rsidRDefault="00206A80">
      <w:pPr>
        <w:ind w:firstLine="720"/>
      </w:pPr>
    </w:p>
    <w:p w:rsidR="00206A80" w:rsidRDefault="00DE35AD">
      <w:pPr>
        <w:ind w:firstLine="720"/>
      </w:pPr>
      <w:proofErr w:type="gramStart"/>
      <w:r>
        <w:t>Proposed Burden: 12,254 hours.</w:t>
      </w:r>
      <w:proofErr w:type="gramEnd"/>
    </w:p>
    <w:p w:rsidR="00206A80" w:rsidRDefault="00206A80">
      <w:pPr>
        <w:ind w:firstLine="720"/>
      </w:pPr>
    </w:p>
    <w:p w:rsidR="00206A80" w:rsidRDefault="00DE35AD">
      <w:pPr>
        <w:ind w:firstLine="720"/>
      </w:pPr>
      <w:proofErr w:type="gramStart"/>
      <w:r>
        <w:t>Difference:  -4,212 hours.</w:t>
      </w:r>
      <w:proofErr w:type="gramEnd"/>
    </w:p>
    <w:p w:rsidR="00206A80" w:rsidRDefault="00206A80">
      <w:pPr>
        <w:ind w:firstLine="720"/>
      </w:pPr>
    </w:p>
    <w:p w:rsidR="00206A80" w:rsidRDefault="00206A80"/>
    <w:p w:rsidR="00206A80" w:rsidRDefault="00DE35AD">
      <w:pPr>
        <w:ind w:left="720"/>
      </w:pPr>
      <w:r>
        <w:lastRenderedPageBreak/>
        <w:t xml:space="preserve">The change is burden is </w:t>
      </w:r>
      <w:proofErr w:type="gramStart"/>
      <w:r>
        <w:t>due to the fact that</w:t>
      </w:r>
      <w:proofErr w:type="gramEnd"/>
      <w:r>
        <w:t xml:space="preserve"> fewer responde</w:t>
      </w:r>
      <w:r>
        <w:t xml:space="preserve">nts are expected to complete the templates.  </w:t>
      </w:r>
      <w:proofErr w:type="gramStart"/>
      <w:r>
        <w:t>Also</w:t>
      </w:r>
      <w:proofErr w:type="gramEnd"/>
      <w:r>
        <w:t>, the OCC’s burden estimate is based upon the Board’s estimate of the burden of completing the FR Y-14A reporting form, which is very similar to these reporting templates.  To the extent the burden of comple</w:t>
      </w:r>
      <w:r>
        <w:t>ting the FR Y-14A increases or decreases, the burden of completing the OCC’s reporting templates will also increase or decrease.</w:t>
      </w:r>
    </w:p>
    <w:p w:rsidR="00206A80" w:rsidRDefault="00206A80">
      <w:pPr>
        <w:ind w:firstLine="720"/>
      </w:pPr>
    </w:p>
    <w:p w:rsidR="00206A80" w:rsidRDefault="00DE35AD">
      <w:pPr>
        <w:numPr>
          <w:ilvl w:val="0"/>
          <w:numId w:val="1"/>
        </w:numPr>
        <w:rPr>
          <w:u w:val="single"/>
        </w:rPr>
      </w:pPr>
      <w:r>
        <w:rPr>
          <w:u w:val="single"/>
        </w:rPr>
        <w:t>Plans for Tabulation and Publication and Project Time Schedule</w:t>
      </w:r>
    </w:p>
    <w:p w:rsidR="00206A80" w:rsidRDefault="00206A80">
      <w:pPr>
        <w:ind w:firstLine="720"/>
      </w:pPr>
    </w:p>
    <w:p w:rsidR="00206A80" w:rsidRDefault="00DE35AD">
      <w:pPr>
        <w:ind w:firstLine="720"/>
      </w:pPr>
      <w:r>
        <w:t>There are no publications.</w:t>
      </w:r>
    </w:p>
    <w:p w:rsidR="00206A80" w:rsidRDefault="00206A80">
      <w:pPr>
        <w:ind w:firstLine="720"/>
      </w:pPr>
    </w:p>
    <w:p w:rsidR="00206A80" w:rsidRDefault="00DE35AD">
      <w:pPr>
        <w:numPr>
          <w:ilvl w:val="0"/>
          <w:numId w:val="1"/>
        </w:numPr>
        <w:rPr>
          <w:u w:val="single"/>
        </w:rPr>
      </w:pPr>
      <w:r>
        <w:rPr>
          <w:u w:val="single"/>
        </w:rPr>
        <w:t xml:space="preserve">Reason(s) Display of OMB </w:t>
      </w:r>
      <w:r>
        <w:rPr>
          <w:u w:val="single"/>
        </w:rPr>
        <w:t>Expiration Date is Inappropriate</w:t>
      </w:r>
    </w:p>
    <w:p w:rsidR="00206A80" w:rsidRDefault="00206A80">
      <w:pPr>
        <w:ind w:left="720"/>
      </w:pPr>
    </w:p>
    <w:p w:rsidR="00206A80" w:rsidRDefault="00DE35AD">
      <w:pPr>
        <w:ind w:left="720"/>
      </w:pPr>
      <w:r>
        <w:t>The agency is not seeking to display the expiration date of OMB approval of the information collection.</w:t>
      </w:r>
    </w:p>
    <w:p w:rsidR="00206A80" w:rsidRDefault="00206A80"/>
    <w:p w:rsidR="00206A80" w:rsidRDefault="00DE35AD">
      <w:pPr>
        <w:ind w:left="720" w:hanging="360"/>
      </w:pPr>
      <w:r>
        <w:t xml:space="preserve">18. </w:t>
      </w:r>
      <w:r>
        <w:rPr>
          <w:u w:val="single"/>
        </w:rPr>
        <w:t>Exceptions to Certification for Paperwork Reduction Act Submissions</w:t>
      </w:r>
      <w:r>
        <w:t xml:space="preserve"> </w:t>
      </w:r>
    </w:p>
    <w:p w:rsidR="00206A80" w:rsidRDefault="00206A80">
      <w:pPr>
        <w:ind w:firstLine="720"/>
      </w:pPr>
    </w:p>
    <w:p w:rsidR="00206A80" w:rsidRDefault="00DE35AD">
      <w:pPr>
        <w:ind w:firstLine="720"/>
      </w:pPr>
      <w:r>
        <w:t xml:space="preserve">There are no exceptions to the </w:t>
      </w:r>
      <w:r>
        <w:t>certification.</w:t>
      </w:r>
    </w:p>
    <w:p w:rsidR="00206A80" w:rsidRDefault="00206A8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06A80" w:rsidRDefault="00206A8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06A80" w:rsidRDefault="00DE35A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  </w:t>
      </w:r>
      <w:r>
        <w:rPr>
          <w:smallCaps/>
        </w:rPr>
        <w:t>Collections of Information Employing Statistical Methods</w:t>
      </w:r>
    </w:p>
    <w:p w:rsidR="00206A80" w:rsidRDefault="00206A80">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206A80" w:rsidRDefault="00DE35AD">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collection of this information does not employ statistical methods.  Statistical methods are not appropriate for the type of information collected and would not reduce burde</w:t>
      </w:r>
      <w:r>
        <w:t>n or improve accuracy of results.</w:t>
      </w:r>
    </w:p>
    <w:p w:rsidR="00206A80" w:rsidRDefault="00206A80"/>
    <w:sectPr w:rsidR="00206A8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A80" w:rsidRDefault="00DE35AD">
      <w:r>
        <w:separator/>
      </w:r>
    </w:p>
  </w:endnote>
  <w:endnote w:type="continuationSeparator" w:id="0">
    <w:p w:rsidR="00206A80" w:rsidRDefault="00DE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rsidR="00206A80" w:rsidRDefault="00DE35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06A80" w:rsidRDefault="00206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A80" w:rsidRDefault="00DE35AD">
      <w:r>
        <w:separator/>
      </w:r>
    </w:p>
  </w:footnote>
  <w:footnote w:type="continuationSeparator" w:id="0">
    <w:p w:rsidR="00206A80" w:rsidRDefault="00DE35AD">
      <w:r>
        <w:continuationSeparator/>
      </w:r>
    </w:p>
  </w:footnote>
  <w:footnote w:id="1">
    <w:p w:rsidR="00206A80" w:rsidRDefault="00DE35AD">
      <w:pPr>
        <w:pStyle w:val="FootnoteText"/>
      </w:pPr>
      <w:r>
        <w:rPr>
          <w:rStyle w:val="FootnoteReference"/>
        </w:rPr>
        <w:footnoteRef/>
      </w:r>
      <w:r>
        <w:t xml:space="preserve"> October 9, 2012 – Final Rule (77 FR 61238)</w:t>
      </w:r>
    </w:p>
  </w:footnote>
  <w:footnote w:id="2">
    <w:p w:rsidR="00206A80" w:rsidRDefault="00DE35AD">
      <w:pPr>
        <w:pStyle w:val="FootnoteText"/>
      </w:pPr>
      <w:r>
        <w:rPr>
          <w:rStyle w:val="FootnoteReference"/>
        </w:rPr>
        <w:footnoteRef/>
      </w:r>
      <w:r>
        <w:t xml:space="preserve"> </w:t>
      </w:r>
      <w:smartTag w:uri="urn:schemas-microsoft-com:office:smarttags" w:element="address">
        <w:smartTag w:uri="urn:schemas-microsoft-com:office:smarttags" w:element="Street">
          <w:r>
            <w:t>Dodd-Frank Wall Street</w:t>
          </w:r>
        </w:smartTag>
      </w:smartTag>
      <w:r>
        <w:t xml:space="preserve"> Reform and Consumer Protection Act, Pub. </w:t>
      </w:r>
      <w:proofErr w:type="gramStart"/>
      <w:r>
        <w:t xml:space="preserve">L. </w:t>
      </w:r>
      <w:r>
        <w:t>No. 111-203, 124 Stat. 1376 (2010).</w:t>
      </w:r>
      <w:proofErr w:type="gramEnd"/>
    </w:p>
  </w:footnote>
  <w:footnote w:id="3">
    <w:p w:rsidR="00206A80" w:rsidRDefault="00DE35AD">
      <w:pPr>
        <w:pStyle w:val="FootnoteText"/>
      </w:pPr>
      <w:r>
        <w:rPr>
          <w:rStyle w:val="FootnoteReference"/>
        </w:rPr>
        <w:footnoteRef/>
      </w:r>
      <w:r>
        <w:t xml:space="preserve"> </w:t>
      </w:r>
      <w:proofErr w:type="gramStart"/>
      <w:r>
        <w:t>77</w:t>
      </w:r>
      <w:proofErr w:type="gramEnd"/>
      <w:r>
        <w:t xml:space="preserve"> FR 49485 (August 16, 2012); 77 FR 66663 (November 6, 2012).</w:t>
      </w:r>
    </w:p>
  </w:footnote>
  <w:footnote w:id="4">
    <w:p w:rsidR="00206A80" w:rsidRDefault="00DE35AD">
      <w:pPr>
        <w:pStyle w:val="FootnoteText"/>
      </w:pPr>
      <w:r>
        <w:rPr>
          <w:rStyle w:val="FootnoteReference"/>
        </w:rPr>
        <w:footnoteRef/>
      </w:r>
      <w:r>
        <w:t xml:space="preserve"> 12 U.S.C. 5365(</w:t>
      </w:r>
      <w:proofErr w:type="spellStart"/>
      <w:r>
        <w:t>i</w:t>
      </w:r>
      <w:proofErr w:type="spellEnd"/>
      <w:proofErr w:type="gramStart"/>
      <w:r>
        <w:t>)(</w:t>
      </w:r>
      <w:proofErr w:type="gramEnd"/>
      <w:r>
        <w:t>2)(A).</w:t>
      </w:r>
    </w:p>
  </w:footnote>
  <w:footnote w:id="5">
    <w:p w:rsidR="00206A80" w:rsidRDefault="00DE35AD">
      <w:pPr>
        <w:pStyle w:val="FootnoteText"/>
      </w:pPr>
      <w:r>
        <w:rPr>
          <w:rStyle w:val="FootnoteReference"/>
        </w:rPr>
        <w:footnoteRef/>
      </w:r>
      <w:r>
        <w:t xml:space="preserve"> </w:t>
      </w:r>
      <w:proofErr w:type="gramStart"/>
      <w:r>
        <w:t>12</w:t>
      </w:r>
      <w:proofErr w:type="gramEnd"/>
      <w:r>
        <w:t xml:space="preserve"> U.S.C. 5301(12).</w:t>
      </w:r>
    </w:p>
  </w:footnote>
  <w:footnote w:id="6">
    <w:p w:rsidR="00206A80" w:rsidRDefault="00DE35AD">
      <w:pPr>
        <w:pStyle w:val="FootnoteText"/>
      </w:pPr>
      <w:r>
        <w:rPr>
          <w:rStyle w:val="FootnoteReference"/>
        </w:rPr>
        <w:footnoteRef/>
      </w:r>
      <w:r>
        <w:t xml:space="preserve"> 12 U.S.C. 5365(</w:t>
      </w:r>
      <w:proofErr w:type="spellStart"/>
      <w:r>
        <w:t>i</w:t>
      </w:r>
      <w:proofErr w:type="spellEnd"/>
      <w:proofErr w:type="gramStart"/>
      <w:r>
        <w:t>)(</w:t>
      </w:r>
      <w:proofErr w:type="gramEnd"/>
      <w:r>
        <w:t>2)(C).</w:t>
      </w:r>
    </w:p>
  </w:footnote>
  <w:footnote w:id="7">
    <w:p w:rsidR="00206A80" w:rsidRDefault="00DE35AD">
      <w:pPr>
        <w:pStyle w:val="FootnoteText"/>
      </w:pPr>
      <w:r>
        <w:rPr>
          <w:rStyle w:val="FootnoteReference"/>
        </w:rPr>
        <w:footnoteRef/>
      </w:r>
      <w:r>
        <w:t xml:space="preserve"> 12 U.S.C. 5365(</w:t>
      </w:r>
      <w:proofErr w:type="spellStart"/>
      <w:r>
        <w:t>i</w:t>
      </w:r>
      <w:proofErr w:type="spellEnd"/>
      <w:proofErr w:type="gramStart"/>
      <w:r>
        <w:t>)(</w:t>
      </w:r>
      <w:proofErr w:type="gramEnd"/>
      <w:r>
        <w:t>2)(B).</w:t>
      </w:r>
    </w:p>
  </w:footnote>
  <w:footnote w:id="8">
    <w:p w:rsidR="00206A80" w:rsidRDefault="00DE35AD">
      <w:pPr>
        <w:pStyle w:val="FootnoteText"/>
      </w:pPr>
      <w:r>
        <w:rPr>
          <w:rStyle w:val="FootnoteReference"/>
        </w:rPr>
        <w:footnoteRef/>
      </w:r>
      <w:r>
        <w:t xml:space="preserve"> Public Law 111-203, 124 Stat. 1376, July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80"/>
    <w:rsid w:val="00206A80"/>
    <w:rsid w:val="00D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odyText">
    <w:name w:val="Body Text"/>
    <w:basedOn w:val="Normal"/>
    <w:link w:val="BodyTextChar"/>
    <w:pPr>
      <w:spacing w:line="480" w:lineRule="auto"/>
    </w:pPr>
    <w:rPr>
      <w:rFonts w:ascii="Times" w:hAnsi="Times" w:cs="Times"/>
      <w:color w:val="000000"/>
    </w:rPr>
  </w:style>
  <w:style w:type="character" w:customStyle="1" w:styleId="BodyTextChar">
    <w:name w:val="Body Text Char"/>
    <w:basedOn w:val="DefaultParagraphFont"/>
    <w:link w:val="BodyText"/>
    <w:rPr>
      <w:rFonts w:ascii="Times"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091D-749A-4850-96AD-ECB60BE9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7934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mary.gottlieb</cp:lastModifiedBy>
  <cp:revision>2</cp:revision>
  <cp:lastPrinted>2014-12-04T21:35:00Z</cp:lastPrinted>
  <dcterms:created xsi:type="dcterms:W3CDTF">2016-02-01T21:02:00Z</dcterms:created>
  <dcterms:modified xsi:type="dcterms:W3CDTF">2016-02-01T21:02:00Z</dcterms:modified>
</cp:coreProperties>
</file>