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Pr="001C3794" w:rsidRDefault="000F53C2">
      <w:pPr>
        <w:rPr>
          <w:b/>
          <w:color w:val="FF0000"/>
        </w:rPr>
      </w:pPr>
    </w:p>
    <w:p w:rsidR="007E69B3" w:rsidRPr="001C3794" w:rsidRDefault="00B50861" w:rsidP="009F4D1C">
      <w:pPr>
        <w:jc w:val="center"/>
        <w:rPr>
          <w:b/>
          <w:color w:val="FF0000"/>
        </w:rPr>
      </w:pPr>
      <w:r w:rsidRPr="001C3794">
        <w:rPr>
          <w:b/>
          <w:color w:val="FF0000"/>
        </w:rPr>
        <w:t>Department of the Treasury, Departmental Offices</w:t>
      </w:r>
    </w:p>
    <w:p w:rsidR="00B50861" w:rsidRPr="001C3794" w:rsidRDefault="00754B52" w:rsidP="009F4D1C">
      <w:pPr>
        <w:jc w:val="center"/>
        <w:rPr>
          <w:b/>
          <w:color w:val="FF0000"/>
        </w:rPr>
      </w:pPr>
      <w:r w:rsidRPr="001C3794">
        <w:rPr>
          <w:b/>
          <w:color w:val="FF0000"/>
        </w:rPr>
        <w:t>Emergency Justification</w:t>
      </w:r>
    </w:p>
    <w:p w:rsidR="003C068B" w:rsidRPr="001C3794" w:rsidRDefault="00A73FE3" w:rsidP="00A73FE3">
      <w:pPr>
        <w:jc w:val="center"/>
        <w:rPr>
          <w:b/>
          <w:color w:val="FF0000"/>
        </w:rPr>
      </w:pPr>
      <w:r w:rsidRPr="001C3794">
        <w:rPr>
          <w:b/>
          <w:color w:val="FF0000"/>
        </w:rPr>
        <w:t xml:space="preserve">Troubled Asset Relief Program – </w:t>
      </w:r>
      <w:r w:rsidR="00754B52" w:rsidRPr="001C3794">
        <w:rPr>
          <w:b/>
          <w:color w:val="FF0000"/>
        </w:rPr>
        <w:t>Hardest Hit Fund</w:t>
      </w:r>
    </w:p>
    <w:p w:rsidR="00A73FE3" w:rsidRDefault="00A73FE3" w:rsidP="007460BF"/>
    <w:p w:rsidR="00887435" w:rsidRPr="007460BF" w:rsidRDefault="00887435" w:rsidP="00887435">
      <w:r>
        <w:t xml:space="preserve">The Department of the Treasury (Treasury) established the </w:t>
      </w:r>
      <w:r w:rsidRPr="007460BF">
        <w:t>Housing Finance Agency Innovation Fund for Hardest Hit Housing Markets (</w:t>
      </w:r>
      <w:r w:rsidR="0002128A">
        <w:t xml:space="preserve">Hardest Hit Fund or </w:t>
      </w:r>
      <w:r w:rsidRPr="007460BF">
        <w:t>HHF) in 20</w:t>
      </w:r>
      <w:r>
        <w:t>10</w:t>
      </w:r>
      <w:r w:rsidRPr="007460BF">
        <w:t>,</w:t>
      </w:r>
      <w:r>
        <w:t xml:space="preserve"> pursuant to the Emergency Economic Stabilization A</w:t>
      </w:r>
      <w:r w:rsidR="002576AB">
        <w:t>c</w:t>
      </w:r>
      <w:r>
        <w:t>t of 2008 (12 U.S.C. 5201, et seq.).  T</w:t>
      </w:r>
      <w:r w:rsidRPr="007460BF">
        <w:t>he objective of HHF is to provide funding to</w:t>
      </w:r>
      <w:r>
        <w:t xml:space="preserve"> </w:t>
      </w:r>
      <w:r w:rsidR="008512D1">
        <w:t>the</w:t>
      </w:r>
      <w:r w:rsidRPr="007460BF">
        <w:t xml:space="preserve"> states</w:t>
      </w:r>
      <w:r>
        <w:t xml:space="preserve"> </w:t>
      </w:r>
      <w:r w:rsidR="008512D1">
        <w:t>that were</w:t>
      </w:r>
      <w:r w:rsidRPr="007460BF">
        <w:t xml:space="preserve"> </w:t>
      </w:r>
      <w:r w:rsidR="00E55BBE">
        <w:t xml:space="preserve">most </w:t>
      </w:r>
      <w:r w:rsidRPr="007460BF">
        <w:t>severely impacted by the foreclosure crisis</w:t>
      </w:r>
      <w:r>
        <w:t xml:space="preserve">.  Funds are provided through Treasury’s Troubled Asset Relief Program (TARP), and are </w:t>
      </w:r>
      <w:bookmarkStart w:id="0" w:name="_GoBack"/>
      <w:bookmarkEnd w:id="0"/>
      <w:r>
        <w:t xml:space="preserve">used </w:t>
      </w:r>
      <w:r w:rsidR="00B61961">
        <w:t xml:space="preserve">by state housing finance agencies and their designated partners (collectively, HFAs) </w:t>
      </w:r>
      <w:r>
        <w:t xml:space="preserve">to help </w:t>
      </w:r>
      <w:r w:rsidRPr="007460BF">
        <w:t xml:space="preserve">prevent foreclosure and </w:t>
      </w:r>
      <w:r>
        <w:t>stabilize</w:t>
      </w:r>
      <w:r w:rsidRPr="007460BF">
        <w:t xml:space="preserve"> state housing markets</w:t>
      </w:r>
      <w:r>
        <w:t xml:space="preserve"> through programs tailored to local conditions.</w:t>
      </w:r>
      <w:r w:rsidR="0070202F">
        <w:t xml:space="preserve"> Some </w:t>
      </w:r>
      <w:r w:rsidR="00B61961">
        <w:t>HFAs</w:t>
      </w:r>
      <w:r w:rsidR="0070202F">
        <w:t xml:space="preserve"> have or will soon have exhausted all HHF funding, at which point </w:t>
      </w:r>
      <w:r w:rsidR="00B61961">
        <w:t>they</w:t>
      </w:r>
      <w:r w:rsidR="0070202F">
        <w:t xml:space="preserve"> must close their respective programs.</w:t>
      </w:r>
    </w:p>
    <w:p w:rsidR="00887435" w:rsidRPr="007460BF" w:rsidRDefault="00887435" w:rsidP="00887435"/>
    <w:p w:rsidR="00754B52" w:rsidRDefault="00887435">
      <w:r w:rsidRPr="007460BF">
        <w:t>Recognizing the current and persistent need among states participating in HHF, Congress enacted legislation in December 2015</w:t>
      </w:r>
      <w:r>
        <w:t>, authorizing</w:t>
      </w:r>
      <w:r w:rsidRPr="007460BF">
        <w:t xml:space="preserve"> Treasury to commit up to $2 billion in additional TARP funds to </w:t>
      </w:r>
      <w:r w:rsidR="0070202F">
        <w:t>that program</w:t>
      </w:r>
      <w:r w:rsidRPr="007460BF">
        <w:t xml:space="preserve">. </w:t>
      </w:r>
      <w:r>
        <w:t xml:space="preserve"> </w:t>
      </w:r>
      <w:r w:rsidRPr="007460BF">
        <w:t xml:space="preserve">Treasury </w:t>
      </w:r>
      <w:r w:rsidR="00C05931">
        <w:t>plans to</w:t>
      </w:r>
      <w:r w:rsidRPr="007460BF">
        <w:t xml:space="preserve"> </w:t>
      </w:r>
      <w:r w:rsidR="00C05931">
        <w:t xml:space="preserve">allocate these funds among participating </w:t>
      </w:r>
      <w:r w:rsidR="00213801">
        <w:t>HFAs</w:t>
      </w:r>
      <w:r w:rsidR="00C05931">
        <w:t xml:space="preserve"> based </w:t>
      </w:r>
      <w:r w:rsidR="00213801">
        <w:t xml:space="preserve">on </w:t>
      </w:r>
      <w:r>
        <w:t>each</w:t>
      </w:r>
      <w:r w:rsidRPr="007460BF">
        <w:t xml:space="preserve"> </w:t>
      </w:r>
      <w:r>
        <w:t xml:space="preserve">area’s </w:t>
      </w:r>
      <w:r w:rsidRPr="007460BF">
        <w:t xml:space="preserve">current needs and ability to effectively </w:t>
      </w:r>
      <w:r>
        <w:t>utilize the additional funds.</w:t>
      </w:r>
      <w:r w:rsidR="0070202F">
        <w:t xml:space="preserve">  </w:t>
      </w:r>
      <w:r>
        <w:t>In order to ensure uninterrupted assistance to homeowners and neighborhoods in HHF states</w:t>
      </w:r>
      <w:r w:rsidR="00213801">
        <w:t xml:space="preserve"> and promptly restore assistance for homeowners where HFAs have closed</w:t>
      </w:r>
      <w:r w:rsidR="009C04B6">
        <w:t xml:space="preserve"> programs</w:t>
      </w:r>
      <w:r w:rsidR="00213801">
        <w:t xml:space="preserve">, </w:t>
      </w:r>
      <w:r>
        <w:t xml:space="preserve">and to enable </w:t>
      </w:r>
      <w:r w:rsidR="00B61961">
        <w:t>the HFAs</w:t>
      </w:r>
      <w:r>
        <w:t xml:space="preserve"> to deploy the additional funds as expeditiously as possible, </w:t>
      </w:r>
      <w:r w:rsidR="00754B52" w:rsidRPr="007460BF">
        <w:t xml:space="preserve">it is critical that </w:t>
      </w:r>
      <w:r w:rsidR="002716F6">
        <w:t>Treasury</w:t>
      </w:r>
      <w:r w:rsidR="00754B52" w:rsidRPr="007460BF">
        <w:t xml:space="preserve"> </w:t>
      </w:r>
      <w:r w:rsidR="002716F6">
        <w:t xml:space="preserve">collect all information </w:t>
      </w:r>
      <w:r w:rsidR="0070202F">
        <w:t xml:space="preserve">necessary to </w:t>
      </w:r>
      <w:r w:rsidR="002716F6">
        <w:t xml:space="preserve">complete the allocation process </w:t>
      </w:r>
      <w:r w:rsidR="005A7F3D" w:rsidRPr="007460BF">
        <w:t>as soon as possible.</w:t>
      </w:r>
    </w:p>
    <w:p w:rsidR="00754B52" w:rsidRDefault="00754B52"/>
    <w:p w:rsidR="00754B52" w:rsidRDefault="00754B52"/>
    <w:p w:rsidR="00754B52" w:rsidRDefault="00754B52" w:rsidP="00754B52"/>
    <w:p w:rsidR="002716F6" w:rsidRDefault="002716F6">
      <w:r>
        <w:br w:type="page"/>
      </w:r>
    </w:p>
    <w:p w:rsidR="00754B52" w:rsidRPr="001C3794" w:rsidRDefault="00754B52" w:rsidP="00754B52">
      <w:pPr>
        <w:jc w:val="center"/>
        <w:rPr>
          <w:b/>
        </w:rPr>
      </w:pPr>
      <w:r w:rsidRPr="001C3794">
        <w:rPr>
          <w:b/>
        </w:rPr>
        <w:lastRenderedPageBreak/>
        <w:t>Department of the Treasury, Departmental Offices</w:t>
      </w:r>
    </w:p>
    <w:p w:rsidR="00754B52" w:rsidRPr="001C3794" w:rsidRDefault="00754B52" w:rsidP="00754B52">
      <w:pPr>
        <w:jc w:val="center"/>
        <w:rPr>
          <w:b/>
        </w:rPr>
      </w:pPr>
      <w:r w:rsidRPr="001C3794">
        <w:rPr>
          <w:b/>
        </w:rPr>
        <w:t>Supporting Statement and Request for Clearance</w:t>
      </w:r>
    </w:p>
    <w:p w:rsidR="00754B52" w:rsidRPr="001C3794" w:rsidRDefault="00754B52" w:rsidP="00887435">
      <w:pPr>
        <w:jc w:val="center"/>
        <w:rPr>
          <w:b/>
        </w:rPr>
      </w:pPr>
      <w:r w:rsidRPr="001C3794">
        <w:rPr>
          <w:b/>
        </w:rPr>
        <w:t>Troubled Asset Relief Program – Hardest Hit Fund</w:t>
      </w:r>
    </w:p>
    <w:p w:rsidR="00754B52" w:rsidRPr="0025604D" w:rsidRDefault="00754B52"/>
    <w:p w:rsidR="00B50861" w:rsidRDefault="00B50861" w:rsidP="005864D3">
      <w:pPr>
        <w:pStyle w:val="Heading1"/>
      </w:pPr>
      <w:r w:rsidRPr="0025604D">
        <w:t>Circumstances necessitating the collection of information</w:t>
      </w:r>
    </w:p>
    <w:p w:rsidR="00990870" w:rsidRPr="0025604D" w:rsidRDefault="00990870" w:rsidP="00990870">
      <w:pPr>
        <w:ind w:left="360"/>
        <w:rPr>
          <w:u w:val="single"/>
        </w:rPr>
      </w:pPr>
    </w:p>
    <w:p w:rsidR="00B61961" w:rsidRPr="007460BF" w:rsidRDefault="00B61961" w:rsidP="00B61961">
      <w:r>
        <w:t xml:space="preserve">The Department of the Treasury (Treasury) established the </w:t>
      </w:r>
      <w:r w:rsidRPr="007460BF">
        <w:t>Housing Finance Agency Innovation Fund for Hardest Hit Housing Markets (</w:t>
      </w:r>
      <w:r w:rsidR="0002128A">
        <w:t xml:space="preserve">Hardest Hit Fund or </w:t>
      </w:r>
      <w:r w:rsidRPr="007460BF">
        <w:t>HHF) in 20</w:t>
      </w:r>
      <w:r>
        <w:t>10</w:t>
      </w:r>
      <w:r w:rsidRPr="007460BF">
        <w:t>,</w:t>
      </w:r>
      <w:r>
        <w:t xml:space="preserve"> pursuant to the Emergency Economic Stabilization At of 2008 (12 U.S.C. 5201, et seq.).  T</w:t>
      </w:r>
      <w:r w:rsidRPr="007460BF">
        <w:t>he objective of HHF is to provide funding to</w:t>
      </w:r>
      <w:r>
        <w:t xml:space="preserve"> the</w:t>
      </w:r>
      <w:r w:rsidRPr="007460BF">
        <w:t xml:space="preserve"> states</w:t>
      </w:r>
      <w:r>
        <w:t xml:space="preserve"> that were</w:t>
      </w:r>
      <w:r w:rsidRPr="007460BF">
        <w:t xml:space="preserve"> </w:t>
      </w:r>
      <w:r w:rsidR="003A5084">
        <w:t xml:space="preserve">most </w:t>
      </w:r>
      <w:r w:rsidRPr="007460BF">
        <w:t>severely impacted by the foreclosure crisis</w:t>
      </w:r>
      <w:r>
        <w:t xml:space="preserve">.  Funds are provided through Treasury’s Troubled Asset Relief Program (TARP), and are used by state housing finance agencies and their designated partners (collectively, HFAs) to help </w:t>
      </w:r>
      <w:r w:rsidRPr="007460BF">
        <w:t xml:space="preserve">prevent foreclosure and </w:t>
      </w:r>
      <w:r>
        <w:t>stabilize</w:t>
      </w:r>
      <w:r w:rsidRPr="007460BF">
        <w:t xml:space="preserve"> state housing markets</w:t>
      </w:r>
      <w:r>
        <w:t xml:space="preserve"> through programs tailored to local conditions. Some HFAs have or will soon have exhausted all HHF funding, at which points they must close their respective programs.</w:t>
      </w:r>
    </w:p>
    <w:p w:rsidR="00B61961" w:rsidRPr="007460BF" w:rsidRDefault="00B61961" w:rsidP="00B61961"/>
    <w:p w:rsidR="0070202F" w:rsidRDefault="00B61961" w:rsidP="0070202F">
      <w:r w:rsidRPr="007460BF">
        <w:t>Recognizing the current and persistent need among states participating in HHF, Congress enacted legislation in December 2015</w:t>
      </w:r>
      <w:r>
        <w:t>, authorizing</w:t>
      </w:r>
      <w:r w:rsidRPr="007460BF">
        <w:t xml:space="preserve"> Treasury to commit up to $2 billion in additional TARP funds to </w:t>
      </w:r>
      <w:r>
        <w:t>that program</w:t>
      </w:r>
      <w:r w:rsidRPr="007460BF">
        <w:t xml:space="preserve">. </w:t>
      </w:r>
      <w:r>
        <w:t xml:space="preserve"> </w:t>
      </w:r>
      <w:r w:rsidRPr="007460BF">
        <w:t xml:space="preserve">Treasury </w:t>
      </w:r>
      <w:r>
        <w:t>plans to</w:t>
      </w:r>
      <w:r w:rsidRPr="007460BF">
        <w:t xml:space="preserve"> </w:t>
      </w:r>
      <w:r>
        <w:t xml:space="preserve">allocate these funds among participating </w:t>
      </w:r>
      <w:r w:rsidR="00213801">
        <w:t>HFAs</w:t>
      </w:r>
      <w:r>
        <w:t xml:space="preserve"> based </w:t>
      </w:r>
      <w:r w:rsidR="00213801">
        <w:t xml:space="preserve">on </w:t>
      </w:r>
      <w:r>
        <w:t>each</w:t>
      </w:r>
      <w:r w:rsidRPr="007460BF">
        <w:t xml:space="preserve"> </w:t>
      </w:r>
      <w:r>
        <w:t xml:space="preserve">area’s </w:t>
      </w:r>
      <w:r w:rsidRPr="007460BF">
        <w:t xml:space="preserve">current needs and ability to effectively </w:t>
      </w:r>
      <w:r>
        <w:t>utilize the additional funds.  In order to ensure uninterrupted assistance to homeowners and neighborhoods in HHF states</w:t>
      </w:r>
      <w:r w:rsidR="00213801">
        <w:t xml:space="preserve"> and promptly restore assistance for homeowners where HFAs have closed</w:t>
      </w:r>
      <w:r w:rsidR="009C04B6">
        <w:t xml:space="preserve"> programs</w:t>
      </w:r>
      <w:r w:rsidR="00213801">
        <w:t xml:space="preserve">, </w:t>
      </w:r>
      <w:r>
        <w:t xml:space="preserve">and to enable the HFAs to deploy the additional funds as expeditiously as possible, </w:t>
      </w:r>
      <w:r w:rsidRPr="007460BF">
        <w:t xml:space="preserve">it is critical that </w:t>
      </w:r>
      <w:r>
        <w:t>Treasury</w:t>
      </w:r>
      <w:r w:rsidRPr="007460BF">
        <w:t xml:space="preserve"> </w:t>
      </w:r>
      <w:r>
        <w:t xml:space="preserve">collect all information necessary to complete the allocation process </w:t>
      </w:r>
      <w:r w:rsidRPr="007460BF">
        <w:t>as soon as possible.</w:t>
      </w:r>
    </w:p>
    <w:p w:rsidR="005D5588" w:rsidRPr="0025604D" w:rsidRDefault="005D5588" w:rsidP="00CE2D06"/>
    <w:p w:rsidR="003C1AB8" w:rsidRPr="0025604D" w:rsidRDefault="00F72D0B" w:rsidP="005864D3">
      <w:pPr>
        <w:pStyle w:val="Heading1"/>
      </w:pPr>
      <w:r w:rsidRPr="0025604D">
        <w:t>U</w:t>
      </w:r>
      <w:r w:rsidR="003C1AB8" w:rsidRPr="0025604D">
        <w:t>se of the data</w:t>
      </w:r>
    </w:p>
    <w:p w:rsidR="003C1AB8" w:rsidRPr="0025604D" w:rsidRDefault="003C1AB8" w:rsidP="003C1AB8">
      <w:pPr>
        <w:rPr>
          <w:u w:val="single"/>
        </w:rPr>
      </w:pPr>
    </w:p>
    <w:p w:rsidR="005D5588" w:rsidRDefault="006536E9" w:rsidP="003C1AB8">
      <w:r>
        <w:t xml:space="preserve">The information </w:t>
      </w:r>
      <w:r w:rsidR="002716F6">
        <w:t>will be</w:t>
      </w:r>
      <w:r>
        <w:t xml:space="preserve"> used </w:t>
      </w:r>
      <w:r w:rsidR="00767399">
        <w:t>to inform</w:t>
      </w:r>
      <w:r w:rsidR="002716F6">
        <w:t xml:space="preserve"> Treasury</w:t>
      </w:r>
      <w:r w:rsidR="00767399">
        <w:t>’s</w:t>
      </w:r>
      <w:r w:rsidR="002716F6">
        <w:t xml:space="preserve"> </w:t>
      </w:r>
      <w:r w:rsidR="00767399">
        <w:t xml:space="preserve">decisions as to the </w:t>
      </w:r>
      <w:r w:rsidR="0070202F">
        <w:t>allocat</w:t>
      </w:r>
      <w:r w:rsidR="00767399">
        <w:t>ion of</w:t>
      </w:r>
      <w:r w:rsidR="0070202F">
        <w:t xml:space="preserve"> $2 billion of additional TARP funds among the</w:t>
      </w:r>
      <w:r w:rsidR="00767399">
        <w:t xml:space="preserve"> states </w:t>
      </w:r>
      <w:r w:rsidR="00B61961">
        <w:t xml:space="preserve">participating in HHF </w:t>
      </w:r>
      <w:r w:rsidR="00767399">
        <w:t>(</w:t>
      </w:r>
      <w:r w:rsidR="00767399" w:rsidRPr="00767399">
        <w:rPr>
          <w:i/>
        </w:rPr>
        <w:t>i.e.</w:t>
      </w:r>
      <w:r w:rsidR="00767399">
        <w:t>, 18 states and the District of Columbia)</w:t>
      </w:r>
      <w:r w:rsidR="0070202F">
        <w:t>.</w:t>
      </w:r>
    </w:p>
    <w:p w:rsidR="0070202F" w:rsidRPr="0025604D" w:rsidRDefault="0070202F" w:rsidP="003C1AB8"/>
    <w:p w:rsidR="003C1AB8" w:rsidRPr="0025604D" w:rsidRDefault="00F72D0B" w:rsidP="00AA15C9">
      <w:pPr>
        <w:pStyle w:val="Heading1"/>
      </w:pPr>
      <w:r w:rsidRPr="00AA15C9">
        <w:t>Use of information technology</w:t>
      </w:r>
    </w:p>
    <w:p w:rsidR="003C1AB8" w:rsidRPr="0025604D" w:rsidRDefault="003C1AB8" w:rsidP="00961823">
      <w:pPr>
        <w:keepNext/>
      </w:pPr>
    </w:p>
    <w:p w:rsidR="00F72D0B" w:rsidRDefault="00B61961" w:rsidP="00F72D0B">
      <w:r>
        <w:t>HFAs</w:t>
      </w:r>
      <w:r w:rsidR="00767399">
        <w:t xml:space="preserve"> </w:t>
      </w:r>
      <w:r w:rsidR="00C910A8">
        <w:t xml:space="preserve">requesting additional funds </w:t>
      </w:r>
      <w:r w:rsidR="00767399">
        <w:t xml:space="preserve">will be required to provide </w:t>
      </w:r>
      <w:r w:rsidR="00C910A8">
        <w:t xml:space="preserve">the requested </w:t>
      </w:r>
      <w:r w:rsidR="00767399">
        <w:t xml:space="preserve">information </w:t>
      </w:r>
      <w:r>
        <w:t xml:space="preserve">to </w:t>
      </w:r>
      <w:r w:rsidR="00767399">
        <w:t xml:space="preserve">Treasury </w:t>
      </w:r>
      <w:r w:rsidR="001C3794">
        <w:t xml:space="preserve">in a written application submitted </w:t>
      </w:r>
      <w:r w:rsidR="00767399">
        <w:t>via</w:t>
      </w:r>
      <w:r w:rsidR="00AD022F">
        <w:t xml:space="preserve"> electronic mail</w:t>
      </w:r>
      <w:r w:rsidR="00767399">
        <w:t xml:space="preserve">.  We believe this will reduce the administrative burden on </w:t>
      </w:r>
      <w:r>
        <w:t>the HFAs</w:t>
      </w:r>
      <w:r w:rsidR="00767399">
        <w:t xml:space="preserve"> and generally expedite the allocation process.</w:t>
      </w:r>
    </w:p>
    <w:p w:rsidR="00D24A88" w:rsidRPr="0025604D" w:rsidRDefault="00D24A88" w:rsidP="00F72D0B"/>
    <w:p w:rsidR="00F72D0B" w:rsidRPr="0025604D" w:rsidRDefault="00F72D0B" w:rsidP="00AA15C9">
      <w:pPr>
        <w:pStyle w:val="Heading1"/>
      </w:pPr>
      <w:r w:rsidRPr="0025604D">
        <w:t>Efforts to identify duplication</w:t>
      </w:r>
    </w:p>
    <w:p w:rsidR="00406DAA" w:rsidRDefault="00406DAA" w:rsidP="00CC4534"/>
    <w:p w:rsidR="00F72D0B" w:rsidRPr="0025604D" w:rsidRDefault="00C910A8" w:rsidP="00856DD0">
      <w:r>
        <w:t xml:space="preserve">HHF is an unprecedented program, developed in the aftermath of the nation’s worst housing crisis since the Great Depression.  The information requested by Treasury includes the views of </w:t>
      </w:r>
      <w:r w:rsidR="00B61961">
        <w:t xml:space="preserve">each HFA </w:t>
      </w:r>
      <w:r>
        <w:t>as to the state’s need for additional funding for its respective programs</w:t>
      </w:r>
      <w:r w:rsidR="001C3794">
        <w:t xml:space="preserve"> funded through HHF</w:t>
      </w:r>
      <w:r>
        <w:t xml:space="preserve">, and the HFA’s </w:t>
      </w:r>
      <w:r w:rsidR="001C3794">
        <w:t xml:space="preserve">plan </w:t>
      </w:r>
      <w:r>
        <w:t xml:space="preserve">to effectively utilize such </w:t>
      </w:r>
      <w:r>
        <w:lastRenderedPageBreak/>
        <w:t>funds to prevent foreclosure and stabilize state housing markets.</w:t>
      </w:r>
      <w:r w:rsidR="001C3794">
        <w:t xml:space="preserve">  </w:t>
      </w:r>
      <w:r>
        <w:t>Accordingly, we do not believe the information will overlap with information previously collected by Treasury or elsewhere in the Federal government.</w:t>
      </w:r>
    </w:p>
    <w:p w:rsidR="00D24A88" w:rsidRPr="0025604D" w:rsidRDefault="00D24A88" w:rsidP="00F72D0B"/>
    <w:p w:rsidR="00F72D0B" w:rsidRPr="0025604D" w:rsidRDefault="00F72D0B" w:rsidP="00AA15C9">
      <w:pPr>
        <w:pStyle w:val="Heading1"/>
      </w:pPr>
      <w:r w:rsidRPr="0025604D">
        <w:t>Impact on small entities</w:t>
      </w:r>
    </w:p>
    <w:p w:rsidR="008512D1" w:rsidRDefault="008512D1" w:rsidP="00F72D0B"/>
    <w:p w:rsidR="008512D1" w:rsidRDefault="001C3794" w:rsidP="00F72D0B">
      <w:r>
        <w:t>The</w:t>
      </w:r>
      <w:r w:rsidR="008512D1" w:rsidRPr="008512D1">
        <w:t xml:space="preserve"> </w:t>
      </w:r>
      <w:r w:rsidR="00C910A8">
        <w:t xml:space="preserve">allocation is </w:t>
      </w:r>
      <w:r w:rsidR="008512D1" w:rsidRPr="008512D1">
        <w:t xml:space="preserve">voluntary </w:t>
      </w:r>
      <w:r w:rsidR="00C910A8">
        <w:t xml:space="preserve">on the part of each </w:t>
      </w:r>
      <w:r w:rsidR="00B61961">
        <w:t>HFA</w:t>
      </w:r>
      <w:r w:rsidR="00C910A8">
        <w:t>.  Accordingly, those HFAs who choose to request additional funds</w:t>
      </w:r>
      <w:r w:rsidR="008512D1" w:rsidRPr="008512D1">
        <w:t xml:space="preserve"> must establish </w:t>
      </w:r>
      <w:r w:rsidR="00B61961">
        <w:t>a process</w:t>
      </w:r>
      <w:r w:rsidR="00C910A8">
        <w:t xml:space="preserve"> for the preparation </w:t>
      </w:r>
      <w:r w:rsidR="008512D1" w:rsidRPr="008512D1">
        <w:t>and transmission</w:t>
      </w:r>
      <w:r w:rsidR="00C910A8">
        <w:t xml:space="preserve"> of the requested information</w:t>
      </w:r>
      <w:r w:rsidR="008512D1" w:rsidRPr="008512D1">
        <w:t>, and must take into account the burden to do so.</w:t>
      </w:r>
      <w:r w:rsidR="00C910A8">
        <w:t xml:space="preserve">  </w:t>
      </w:r>
      <w:r>
        <w:t>We</w:t>
      </w:r>
      <w:r w:rsidR="00C910A8">
        <w:t xml:space="preserve"> believe the information collection will not place a</w:t>
      </w:r>
      <w:r>
        <w:t xml:space="preserve"> significant </w:t>
      </w:r>
      <w:r w:rsidR="00C910A8">
        <w:t xml:space="preserve">burden on small </w:t>
      </w:r>
      <w:r w:rsidR="00B61961">
        <w:t>HFAs</w:t>
      </w:r>
      <w:r w:rsidR="00C910A8">
        <w:t>.</w:t>
      </w:r>
    </w:p>
    <w:p w:rsidR="00C910A8" w:rsidRPr="0025604D" w:rsidRDefault="00C910A8" w:rsidP="00F72D0B"/>
    <w:p w:rsidR="00F72D0B" w:rsidRPr="0025604D" w:rsidRDefault="00F72D0B" w:rsidP="00AA15C9">
      <w:pPr>
        <w:pStyle w:val="Heading1"/>
      </w:pPr>
      <w:r w:rsidRPr="0025604D">
        <w:t>Consequences of less frequent collection and obstacles to burden reduction</w:t>
      </w:r>
    </w:p>
    <w:p w:rsidR="00F72D0B" w:rsidRPr="0025604D" w:rsidRDefault="00F72D0B" w:rsidP="00F72D0B"/>
    <w:p w:rsidR="00D24A88" w:rsidRDefault="001C3794" w:rsidP="008A5AEA">
      <w:r>
        <w:t xml:space="preserve">The information will </w:t>
      </w:r>
      <w:r w:rsidR="00B61961">
        <w:t>not be collected on a recurring basis</w:t>
      </w:r>
      <w:r>
        <w:t>.</w:t>
      </w:r>
    </w:p>
    <w:p w:rsidR="00F72D0B" w:rsidRPr="0025604D" w:rsidRDefault="00F72D0B" w:rsidP="00F72D0B"/>
    <w:p w:rsidR="00F72D0B" w:rsidRPr="0025604D" w:rsidRDefault="00CB003A" w:rsidP="00AA15C9">
      <w:pPr>
        <w:pStyle w:val="Heading1"/>
      </w:pPr>
      <w:r w:rsidRPr="0025604D">
        <w:t>Circumstances requiring special information collection</w:t>
      </w:r>
    </w:p>
    <w:p w:rsidR="00FB7F1C" w:rsidRDefault="00FB7F1C" w:rsidP="00CB003A">
      <w:pPr>
        <w:rPr>
          <w:u w:val="single"/>
        </w:rPr>
      </w:pPr>
    </w:p>
    <w:p w:rsidR="00D24A88" w:rsidRDefault="00B61961" w:rsidP="00D24A88">
      <w:r>
        <w:t>HFAs</w:t>
      </w:r>
      <w:r w:rsidR="001C3794">
        <w:t xml:space="preserve"> </w:t>
      </w:r>
      <w:r>
        <w:t xml:space="preserve">that </w:t>
      </w:r>
      <w:r w:rsidR="001C3794">
        <w:t>choose to request additional funds will be required to provide the requested information within approximately two weeks</w:t>
      </w:r>
      <w:r>
        <w:t xml:space="preserve"> from receipt of the information collection notice</w:t>
      </w:r>
      <w:r w:rsidR="001C3794">
        <w:t>.  For the reasons described above, it is critical that Treasury collect the information and complete the allocation process as soon as possible.</w:t>
      </w:r>
    </w:p>
    <w:p w:rsidR="005D5588" w:rsidRPr="0025604D" w:rsidRDefault="005D5588" w:rsidP="00CB003A"/>
    <w:p w:rsidR="00CB003A" w:rsidRPr="0025604D" w:rsidRDefault="00CB003A" w:rsidP="00AA15C9">
      <w:pPr>
        <w:pStyle w:val="Heading1"/>
      </w:pPr>
      <w:r w:rsidRPr="0025604D">
        <w:t>Solicitation of comments on information collection</w:t>
      </w:r>
    </w:p>
    <w:p w:rsidR="00CB003A" w:rsidRPr="0025604D" w:rsidRDefault="00CB003A" w:rsidP="00CB003A"/>
    <w:p w:rsidR="00D24A88" w:rsidRDefault="00F31337" w:rsidP="00CB003A">
      <w:r>
        <w:t xml:space="preserve">Treasury </w:t>
      </w:r>
      <w:r w:rsidR="001C3794">
        <w:t>has</w:t>
      </w:r>
      <w:r>
        <w:t xml:space="preserve"> consulted </w:t>
      </w:r>
      <w:r w:rsidR="001C3794">
        <w:t>with an interagency group</w:t>
      </w:r>
      <w:r w:rsidR="00D24A88">
        <w:t xml:space="preserve"> </w:t>
      </w:r>
      <w:r w:rsidR="001C3794">
        <w:t>with respect to the type of information to be collected</w:t>
      </w:r>
      <w:r w:rsidR="00D24A88">
        <w:t>.</w:t>
      </w:r>
      <w:r w:rsidR="005864D3">
        <w:t xml:space="preserve">  A </w:t>
      </w:r>
      <w:r w:rsidR="005864D3" w:rsidRPr="00AA15C9">
        <w:rPr>
          <w:i/>
        </w:rPr>
        <w:t>Federal Register</w:t>
      </w:r>
      <w:r w:rsidR="005864D3">
        <w:t xml:space="preserve"> notice inviting public comment will be published.</w:t>
      </w:r>
    </w:p>
    <w:p w:rsidR="001C3794" w:rsidRPr="0025604D" w:rsidRDefault="001C3794" w:rsidP="00CB003A"/>
    <w:p w:rsidR="00147A26" w:rsidRPr="0025604D" w:rsidRDefault="00147A26" w:rsidP="00AA15C9">
      <w:pPr>
        <w:pStyle w:val="Heading1"/>
      </w:pPr>
      <w:r w:rsidRPr="0025604D">
        <w:t>Provision of payments to recordkeepers</w:t>
      </w:r>
    </w:p>
    <w:p w:rsidR="00D24A88" w:rsidRDefault="00D24A88" w:rsidP="00CB003A"/>
    <w:p w:rsidR="00B61961" w:rsidRDefault="00B61961" w:rsidP="00CB003A">
      <w:r>
        <w:t xml:space="preserve">As described above, HFAs receive funding through TARP for use in preventing foreclosure and stabilizing state housing markets.  The requested information will be considered by Treasury when deciding how to allocate the additional TARP funds among states participating in HHF.  </w:t>
      </w:r>
    </w:p>
    <w:p w:rsidR="00B61961" w:rsidRPr="0025604D" w:rsidRDefault="00B61961" w:rsidP="00CB003A"/>
    <w:p w:rsidR="00147A26" w:rsidRPr="0025604D" w:rsidRDefault="00147A26" w:rsidP="00AA15C9">
      <w:pPr>
        <w:pStyle w:val="Heading1"/>
      </w:pPr>
      <w:r w:rsidRPr="0025604D">
        <w:t>Assurance of confidentiality</w:t>
      </w:r>
    </w:p>
    <w:p w:rsidR="00147A26" w:rsidRPr="0025604D" w:rsidRDefault="00147A26" w:rsidP="00666B6D">
      <w:pPr>
        <w:keepNext/>
      </w:pPr>
    </w:p>
    <w:p w:rsidR="00147A26" w:rsidRDefault="00B61961" w:rsidP="0060168D">
      <w:r>
        <w:t>There will not be any assurance of confidentiality.</w:t>
      </w:r>
    </w:p>
    <w:p w:rsidR="00147A26" w:rsidRPr="0025604D" w:rsidRDefault="00147A26" w:rsidP="00CB003A"/>
    <w:p w:rsidR="00147A26" w:rsidRPr="0025604D" w:rsidRDefault="00147A26" w:rsidP="00AA15C9">
      <w:pPr>
        <w:pStyle w:val="Heading1"/>
      </w:pPr>
      <w:r w:rsidRPr="0025604D">
        <w:t>Justification of sensitive questions</w:t>
      </w:r>
    </w:p>
    <w:p w:rsidR="00147A26" w:rsidRPr="0025604D" w:rsidRDefault="00147A26" w:rsidP="00CB003A"/>
    <w:p w:rsidR="00147A26" w:rsidRDefault="005864D3" w:rsidP="00CB003A">
      <w:r w:rsidRPr="0025604D">
        <w:t>The information collect</w:t>
      </w:r>
      <w:r>
        <w:t>ed will not contain  information.</w:t>
      </w:r>
      <w:r w:rsidR="00475731">
        <w:t>.</w:t>
      </w:r>
    </w:p>
    <w:p w:rsidR="00147A26" w:rsidRDefault="00147A26" w:rsidP="00CB003A"/>
    <w:p w:rsidR="00213801" w:rsidRDefault="00213801" w:rsidP="00CB003A"/>
    <w:p w:rsidR="00213801" w:rsidRPr="0025604D" w:rsidRDefault="00213801" w:rsidP="00CB003A"/>
    <w:p w:rsidR="00147A26" w:rsidRPr="0025604D" w:rsidRDefault="00961823" w:rsidP="00AA15C9">
      <w:pPr>
        <w:pStyle w:val="Heading1"/>
      </w:pPr>
      <w:bookmarkStart w:id="1" w:name="OLE_LINK1"/>
      <w:r w:rsidRPr="0025604D">
        <w:lastRenderedPageBreak/>
        <w:t>Estimated burden of information collection</w:t>
      </w:r>
    </w:p>
    <w:bookmarkEnd w:id="1"/>
    <w:p w:rsidR="00D20127" w:rsidRDefault="00D20127" w:rsidP="00D950EA"/>
    <w:p w:rsidR="000B60B7" w:rsidRDefault="00D20127" w:rsidP="00D950EA">
      <w:r>
        <w:t xml:space="preserve"> </w:t>
      </w:r>
    </w:p>
    <w:tbl>
      <w:tblPr>
        <w:tblStyle w:val="TableGrid"/>
        <w:tblW w:w="0" w:type="auto"/>
        <w:tblInd w:w="108" w:type="dxa"/>
        <w:tblLook w:val="04A0" w:firstRow="1" w:lastRow="0" w:firstColumn="1" w:lastColumn="0" w:noHBand="0" w:noVBand="1"/>
      </w:tblPr>
      <w:tblGrid>
        <w:gridCol w:w="1728"/>
        <w:gridCol w:w="1620"/>
        <w:gridCol w:w="1710"/>
        <w:gridCol w:w="1620"/>
        <w:gridCol w:w="1710"/>
      </w:tblGrid>
      <w:tr w:rsidR="00D950EA" w:rsidTr="005864D3">
        <w:tc>
          <w:tcPr>
            <w:tcW w:w="1728" w:type="dxa"/>
            <w:vAlign w:val="center"/>
          </w:tcPr>
          <w:p w:rsidR="00D950EA" w:rsidRPr="005864D3" w:rsidRDefault="00D950EA" w:rsidP="005864D3">
            <w:pPr>
              <w:jc w:val="center"/>
              <w:rPr>
                <w:sz w:val="22"/>
                <w:szCs w:val="22"/>
              </w:rPr>
            </w:pPr>
            <w:r w:rsidRPr="005864D3">
              <w:rPr>
                <w:sz w:val="22"/>
                <w:szCs w:val="22"/>
              </w:rPr>
              <w:t># Respondents</w:t>
            </w:r>
          </w:p>
        </w:tc>
        <w:tc>
          <w:tcPr>
            <w:tcW w:w="1620" w:type="dxa"/>
          </w:tcPr>
          <w:p w:rsidR="00D950EA" w:rsidRPr="005864D3" w:rsidRDefault="00D950EA" w:rsidP="005864D3">
            <w:pPr>
              <w:jc w:val="center"/>
              <w:rPr>
                <w:sz w:val="22"/>
                <w:szCs w:val="22"/>
              </w:rPr>
            </w:pPr>
            <w:r w:rsidRPr="005864D3">
              <w:rPr>
                <w:sz w:val="22"/>
                <w:szCs w:val="22"/>
              </w:rPr>
              <w:t># Responses Per Respondent</w:t>
            </w:r>
          </w:p>
        </w:tc>
        <w:tc>
          <w:tcPr>
            <w:tcW w:w="1710" w:type="dxa"/>
          </w:tcPr>
          <w:p w:rsidR="00D950EA" w:rsidRPr="005864D3" w:rsidRDefault="00D950EA" w:rsidP="005864D3">
            <w:pPr>
              <w:jc w:val="center"/>
              <w:rPr>
                <w:sz w:val="22"/>
                <w:szCs w:val="22"/>
              </w:rPr>
            </w:pPr>
            <w:r w:rsidRPr="005864D3">
              <w:rPr>
                <w:sz w:val="22"/>
                <w:szCs w:val="22"/>
              </w:rPr>
              <w:t>Annual Responses</w:t>
            </w:r>
          </w:p>
        </w:tc>
        <w:tc>
          <w:tcPr>
            <w:tcW w:w="1620" w:type="dxa"/>
          </w:tcPr>
          <w:p w:rsidR="00D950EA" w:rsidRPr="005864D3" w:rsidRDefault="00D950EA" w:rsidP="005864D3">
            <w:pPr>
              <w:jc w:val="center"/>
              <w:rPr>
                <w:sz w:val="22"/>
                <w:szCs w:val="22"/>
              </w:rPr>
            </w:pPr>
            <w:r w:rsidRPr="005864D3">
              <w:rPr>
                <w:sz w:val="22"/>
                <w:szCs w:val="22"/>
              </w:rPr>
              <w:t>Hours Per Response</w:t>
            </w:r>
          </w:p>
        </w:tc>
        <w:tc>
          <w:tcPr>
            <w:tcW w:w="1710" w:type="dxa"/>
          </w:tcPr>
          <w:p w:rsidR="00D950EA" w:rsidRPr="005864D3" w:rsidRDefault="00D950EA" w:rsidP="005864D3">
            <w:pPr>
              <w:jc w:val="center"/>
              <w:rPr>
                <w:sz w:val="22"/>
                <w:szCs w:val="22"/>
              </w:rPr>
            </w:pPr>
            <w:r w:rsidRPr="005864D3">
              <w:rPr>
                <w:sz w:val="22"/>
                <w:szCs w:val="22"/>
              </w:rPr>
              <w:t>Total Annual Burden</w:t>
            </w:r>
          </w:p>
        </w:tc>
      </w:tr>
      <w:tr w:rsidR="00D950EA" w:rsidTr="00D950EA">
        <w:trPr>
          <w:trHeight w:val="422"/>
        </w:trPr>
        <w:tc>
          <w:tcPr>
            <w:tcW w:w="1728" w:type="dxa"/>
            <w:vAlign w:val="center"/>
          </w:tcPr>
          <w:p w:rsidR="00D950EA" w:rsidRPr="005864D3" w:rsidRDefault="00D950EA" w:rsidP="00D950EA">
            <w:pPr>
              <w:jc w:val="center"/>
              <w:rPr>
                <w:sz w:val="22"/>
                <w:szCs w:val="22"/>
              </w:rPr>
            </w:pPr>
            <w:r w:rsidRPr="005864D3">
              <w:rPr>
                <w:sz w:val="22"/>
                <w:szCs w:val="22"/>
              </w:rPr>
              <w:t>1</w:t>
            </w:r>
            <w:r w:rsidR="00B61961" w:rsidRPr="005864D3">
              <w:rPr>
                <w:sz w:val="22"/>
                <w:szCs w:val="22"/>
              </w:rPr>
              <w:t>9</w:t>
            </w:r>
          </w:p>
        </w:tc>
        <w:tc>
          <w:tcPr>
            <w:tcW w:w="1620" w:type="dxa"/>
            <w:vAlign w:val="center"/>
          </w:tcPr>
          <w:p w:rsidR="00D950EA" w:rsidRPr="005864D3" w:rsidRDefault="00B61961" w:rsidP="00D950EA">
            <w:pPr>
              <w:jc w:val="center"/>
              <w:rPr>
                <w:sz w:val="22"/>
                <w:szCs w:val="22"/>
              </w:rPr>
            </w:pPr>
            <w:r w:rsidRPr="005864D3">
              <w:rPr>
                <w:sz w:val="22"/>
                <w:szCs w:val="22"/>
              </w:rPr>
              <w:t>1</w:t>
            </w:r>
          </w:p>
        </w:tc>
        <w:tc>
          <w:tcPr>
            <w:tcW w:w="1710" w:type="dxa"/>
            <w:vAlign w:val="center"/>
          </w:tcPr>
          <w:p w:rsidR="00D950EA" w:rsidRPr="005864D3" w:rsidRDefault="000B60B7" w:rsidP="00D950EA">
            <w:pPr>
              <w:jc w:val="center"/>
              <w:rPr>
                <w:sz w:val="22"/>
                <w:szCs w:val="22"/>
              </w:rPr>
            </w:pPr>
            <w:r w:rsidRPr="005864D3">
              <w:rPr>
                <w:sz w:val="22"/>
                <w:szCs w:val="22"/>
              </w:rPr>
              <w:t>1</w:t>
            </w:r>
            <w:r w:rsidR="0090444C" w:rsidRPr="005864D3">
              <w:rPr>
                <w:sz w:val="22"/>
                <w:szCs w:val="22"/>
              </w:rPr>
              <w:t>9</w:t>
            </w:r>
          </w:p>
        </w:tc>
        <w:tc>
          <w:tcPr>
            <w:tcW w:w="1620" w:type="dxa"/>
            <w:vAlign w:val="center"/>
          </w:tcPr>
          <w:p w:rsidR="00D950EA" w:rsidRPr="005864D3" w:rsidRDefault="000B60B7" w:rsidP="00D950EA">
            <w:pPr>
              <w:jc w:val="center"/>
              <w:rPr>
                <w:sz w:val="22"/>
                <w:szCs w:val="22"/>
              </w:rPr>
            </w:pPr>
            <w:r w:rsidRPr="005864D3">
              <w:rPr>
                <w:sz w:val="22"/>
                <w:szCs w:val="22"/>
              </w:rPr>
              <w:t>40</w:t>
            </w:r>
          </w:p>
        </w:tc>
        <w:tc>
          <w:tcPr>
            <w:tcW w:w="1710" w:type="dxa"/>
            <w:vAlign w:val="center"/>
          </w:tcPr>
          <w:p w:rsidR="00D950EA" w:rsidRPr="005864D3" w:rsidRDefault="000B60B7" w:rsidP="00D950EA">
            <w:pPr>
              <w:jc w:val="center"/>
              <w:rPr>
                <w:sz w:val="22"/>
                <w:szCs w:val="22"/>
              </w:rPr>
            </w:pPr>
            <w:r w:rsidRPr="005864D3">
              <w:rPr>
                <w:sz w:val="22"/>
                <w:szCs w:val="22"/>
              </w:rPr>
              <w:t>760</w:t>
            </w:r>
          </w:p>
        </w:tc>
      </w:tr>
    </w:tbl>
    <w:p w:rsidR="005D5588" w:rsidRPr="0025604D" w:rsidRDefault="005D5588" w:rsidP="00780878">
      <w:pPr>
        <w:ind w:firstLine="360"/>
      </w:pPr>
    </w:p>
    <w:p w:rsidR="00FB7F1C" w:rsidRDefault="00961823" w:rsidP="00AA15C9">
      <w:pPr>
        <w:pStyle w:val="Heading1"/>
      </w:pPr>
      <w:r w:rsidRPr="0025604D">
        <w:t>Estimated total annual cost burden to respondents</w:t>
      </w:r>
      <w:r w:rsidR="00FB7F1C">
        <w:t>  </w:t>
      </w:r>
    </w:p>
    <w:p w:rsidR="00961823" w:rsidRPr="0025604D" w:rsidRDefault="00961823" w:rsidP="00FB7F1C">
      <w:pPr>
        <w:keepNext/>
      </w:pPr>
    </w:p>
    <w:p w:rsidR="00961823" w:rsidRDefault="00D20127" w:rsidP="00CB003A">
      <w:r>
        <w:t xml:space="preserve">The estimated annual cost burden will vary and </w:t>
      </w:r>
      <w:r w:rsidR="00B42209">
        <w:t>consist</w:t>
      </w:r>
      <w:r>
        <w:t xml:space="preserve"> </w:t>
      </w:r>
      <w:r w:rsidR="00B42209">
        <w:t>primarily</w:t>
      </w:r>
      <w:r>
        <w:t xml:space="preserve"> </w:t>
      </w:r>
      <w:r w:rsidR="00B42209">
        <w:t>of</w:t>
      </w:r>
      <w:r>
        <w:t xml:space="preserve"> the cost of labor associated with preparing the written application. </w:t>
      </w:r>
      <w:r w:rsidR="001139DB" w:rsidRPr="001139DB">
        <w:t xml:space="preserve"> </w:t>
      </w:r>
      <w:r w:rsidR="00B42209">
        <w:t>Requesting additional HHF funds is voluntary on the part of HFAs.  Those who choose to do so may be reimbursed for the cost of the information collection from HHF funds</w:t>
      </w:r>
      <w:r>
        <w:t xml:space="preserve">, in accordance with </w:t>
      </w:r>
      <w:r w:rsidR="00B42209">
        <w:t>the existing contract</w:t>
      </w:r>
      <w:r>
        <w:t xml:space="preserve"> between each HFA and Treasury.</w:t>
      </w:r>
    </w:p>
    <w:p w:rsidR="00156E23" w:rsidRPr="0025604D" w:rsidRDefault="00156E23" w:rsidP="00CB003A"/>
    <w:p w:rsidR="00961823" w:rsidRPr="0025604D" w:rsidRDefault="00961823" w:rsidP="00AA15C9">
      <w:pPr>
        <w:pStyle w:val="Heading1"/>
      </w:pPr>
      <w:r w:rsidRPr="0025604D">
        <w:t>Estimated cost to the federal government.</w:t>
      </w:r>
    </w:p>
    <w:p w:rsidR="00961823" w:rsidRPr="0025604D" w:rsidRDefault="00961823" w:rsidP="00CB003A"/>
    <w:p w:rsidR="00961823" w:rsidRDefault="000F53C2" w:rsidP="00CB003A">
      <w:r w:rsidRPr="0025604D">
        <w:t>The</w:t>
      </w:r>
      <w:r w:rsidR="005D5588">
        <w:t xml:space="preserve">re is no estimated cost to the federal government to receive this information.    </w:t>
      </w:r>
    </w:p>
    <w:p w:rsidR="005D5588" w:rsidRDefault="005D5588" w:rsidP="00CB003A"/>
    <w:p w:rsidR="00961823" w:rsidRPr="0025604D" w:rsidRDefault="00961823" w:rsidP="00AA15C9">
      <w:pPr>
        <w:pStyle w:val="Heading1"/>
      </w:pPr>
      <w:r w:rsidRPr="0025604D">
        <w:t>Reasons for change in burden</w:t>
      </w:r>
    </w:p>
    <w:p w:rsidR="00961823" w:rsidRPr="0025604D" w:rsidRDefault="00961823" w:rsidP="00666B6D">
      <w:pPr>
        <w:keepNext/>
      </w:pPr>
    </w:p>
    <w:p w:rsidR="005D5588" w:rsidRPr="0025604D" w:rsidRDefault="005864D3" w:rsidP="00CB003A">
      <w:r>
        <w:t>This is a new information collection</w:t>
      </w:r>
      <w:r w:rsidR="00B42209">
        <w:t>.</w:t>
      </w:r>
    </w:p>
    <w:p w:rsidR="00961823" w:rsidRPr="0025604D" w:rsidRDefault="00961823" w:rsidP="00CB003A"/>
    <w:p w:rsidR="00961823" w:rsidRPr="0025604D" w:rsidRDefault="00961823" w:rsidP="00AA15C9">
      <w:pPr>
        <w:pStyle w:val="Heading1"/>
      </w:pPr>
      <w:r w:rsidRPr="0025604D">
        <w:t>Plans for tabulation, statistical analysis</w:t>
      </w:r>
      <w:r w:rsidR="00A2596F" w:rsidRPr="0025604D">
        <w:t xml:space="preserve"> and publication</w:t>
      </w:r>
    </w:p>
    <w:p w:rsidR="00A2596F" w:rsidRPr="0025604D" w:rsidRDefault="00A2596F" w:rsidP="00CB003A"/>
    <w:p w:rsidR="00A2596F" w:rsidRDefault="00484F1E" w:rsidP="00DA5F5B">
      <w:r>
        <w:t>Treasury will provide HFAs with application instructions and related materials on February 19</w:t>
      </w:r>
      <w:r w:rsidR="005864D3">
        <w:t>, 2016</w:t>
      </w:r>
      <w:r>
        <w:t>.  HFAs must submit written applications no later than March 11</w:t>
      </w:r>
      <w:r w:rsidRPr="00484F1E">
        <w:rPr>
          <w:vertAlign w:val="superscript"/>
        </w:rPr>
        <w:t>th</w:t>
      </w:r>
      <w:r>
        <w:t xml:space="preserve">.  Treasury will review all written applications received </w:t>
      </w:r>
      <w:r w:rsidR="009D4AFB">
        <w:t xml:space="preserve">by such date </w:t>
      </w:r>
      <w:r>
        <w:t>and score them based on the extent to which they address all required elements.</w:t>
      </w:r>
      <w:r w:rsidR="009D4AFB">
        <w:t xml:space="preserve">  </w:t>
      </w:r>
      <w:r>
        <w:t xml:space="preserve">Treasury may publish the written applications at </w:t>
      </w:r>
      <w:hyperlink r:id="rId8" w:history="1">
        <w:r w:rsidRPr="00EA349F">
          <w:rPr>
            <w:rStyle w:val="Hyperlink"/>
            <w:rFonts w:ascii="Times New Roman" w:hAnsi="Times New Roman" w:cs="Times New Roman"/>
          </w:rPr>
          <w:t>www.financialstability.gov</w:t>
        </w:r>
      </w:hyperlink>
      <w:r>
        <w:t>.  Treasury will publish t</w:t>
      </w:r>
      <w:r w:rsidR="009D4AFB">
        <w:t xml:space="preserve">he total amount of additional funds allocated to each HFA </w:t>
      </w:r>
      <w:r w:rsidR="00877C00">
        <w:t>by the end of</w:t>
      </w:r>
      <w:r w:rsidR="009D4AFB">
        <w:t xml:space="preserve"> April</w:t>
      </w:r>
      <w:r w:rsidR="000B75BD">
        <w:t xml:space="preserve"> </w:t>
      </w:r>
      <w:r w:rsidR="009D4AFB">
        <w:t>2016.</w:t>
      </w:r>
    </w:p>
    <w:p w:rsidR="00A2596F" w:rsidRPr="0025604D" w:rsidRDefault="00A2596F" w:rsidP="00CB003A"/>
    <w:p w:rsidR="00A2596F" w:rsidRPr="0025604D" w:rsidRDefault="00A2596F" w:rsidP="00AA15C9">
      <w:pPr>
        <w:pStyle w:val="Heading1"/>
      </w:pPr>
      <w:r w:rsidRPr="0025604D">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w:t>
      </w:r>
      <w:r w:rsidR="00EB5E62">
        <w:t xml:space="preserve"> this </w:t>
      </w:r>
      <w:r w:rsidR="00484F1E">
        <w:t>information collection will not occur on a recurring basis.</w:t>
      </w:r>
      <w:r>
        <w:t xml:space="preserve"> </w:t>
      </w:r>
    </w:p>
    <w:p w:rsidR="005D5588" w:rsidRPr="0025604D" w:rsidRDefault="005D5588" w:rsidP="00CB003A"/>
    <w:p w:rsidR="00A2596F" w:rsidRPr="0025604D" w:rsidRDefault="00A2596F" w:rsidP="00AA15C9">
      <w:pPr>
        <w:pStyle w:val="Heading1"/>
      </w:pPr>
      <w:r w:rsidRPr="0025604D">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A2596F" w:rsidRPr="0025604D" w:rsidRDefault="00A2596F" w:rsidP="00CB003A"/>
    <w:sectPr w:rsidR="00A2596F" w:rsidRPr="0025604D" w:rsidSect="00EB5E62">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E2D" w:rsidRDefault="00945E2D">
      <w:r>
        <w:separator/>
      </w:r>
    </w:p>
  </w:endnote>
  <w:endnote w:type="continuationSeparator" w:id="0">
    <w:p w:rsidR="00945E2D" w:rsidRDefault="0094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2162CE" w:rsidP="00105553">
    <w:pPr>
      <w:pStyle w:val="Footer"/>
      <w:framePr w:wrap="around" w:vAnchor="text" w:hAnchor="margin" w:xAlign="center" w:y="1"/>
      <w:rPr>
        <w:rStyle w:val="PageNumber"/>
      </w:rPr>
    </w:pPr>
    <w:r>
      <w:rPr>
        <w:rStyle w:val="PageNumber"/>
      </w:rPr>
      <w:fldChar w:fldCharType="begin"/>
    </w:r>
    <w:r w:rsidR="00762A91">
      <w:rPr>
        <w:rStyle w:val="PageNumber"/>
      </w:rPr>
      <w:instrText xml:space="preserve">PAGE  </w:instrText>
    </w:r>
    <w:r>
      <w:rPr>
        <w:rStyle w:val="PageNumber"/>
      </w:rPr>
      <w:fldChar w:fldCharType="end"/>
    </w:r>
  </w:p>
  <w:p w:rsidR="00762A91" w:rsidRDefault="00762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2162CE" w:rsidP="00105553">
    <w:pPr>
      <w:pStyle w:val="Footer"/>
      <w:framePr w:wrap="around" w:vAnchor="text" w:hAnchor="margin" w:xAlign="center" w:y="1"/>
      <w:rPr>
        <w:rStyle w:val="PageNumber"/>
      </w:rPr>
    </w:pPr>
    <w:r>
      <w:rPr>
        <w:rStyle w:val="PageNumber"/>
      </w:rPr>
      <w:fldChar w:fldCharType="begin"/>
    </w:r>
    <w:r w:rsidR="00762A91">
      <w:rPr>
        <w:rStyle w:val="PageNumber"/>
      </w:rPr>
      <w:instrText xml:space="preserve">PAGE  </w:instrText>
    </w:r>
    <w:r>
      <w:rPr>
        <w:rStyle w:val="PageNumber"/>
      </w:rPr>
      <w:fldChar w:fldCharType="separate"/>
    </w:r>
    <w:r w:rsidR="002576AB">
      <w:rPr>
        <w:rStyle w:val="PageNumber"/>
        <w:noProof/>
      </w:rPr>
      <w:t>4</w:t>
    </w:r>
    <w:r>
      <w:rPr>
        <w:rStyle w:val="PageNumber"/>
      </w:rPr>
      <w:fldChar w:fldCharType="end"/>
    </w:r>
  </w:p>
  <w:p w:rsidR="00762A91" w:rsidRDefault="0076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E2D" w:rsidRDefault="00945E2D">
      <w:r>
        <w:separator/>
      </w:r>
    </w:p>
  </w:footnote>
  <w:footnote w:type="continuationSeparator" w:id="0">
    <w:p w:rsidR="00945E2D" w:rsidRDefault="0094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Default="001C3794" w:rsidP="001C3794">
    <w:pPr>
      <w:pStyle w:val="Header"/>
      <w:jc w:val="right"/>
    </w:pPr>
    <w:r>
      <w:t xml:space="preserve">OMB Control Number </w:t>
    </w:r>
    <w:r w:rsidR="005864D3">
      <w:t>1505-NEW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91" w:rsidRPr="00762A91" w:rsidRDefault="00754B52" w:rsidP="00754B52">
    <w:pPr>
      <w:pStyle w:val="Header"/>
    </w:pPr>
    <w:r>
      <w:t xml:space="preserve">Draft / Pre-Decisional / Deliberative </w:t>
    </w:r>
    <w:r>
      <w:tab/>
    </w:r>
    <w:r>
      <w:tab/>
    </w:r>
    <w:r w:rsidR="00762A91" w:rsidRPr="00762A91">
      <w:t xml:space="preserve">OMB Control Number </w:t>
    </w:r>
    <w:r w:rsidR="005864D3">
      <w:t>1505-NEW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F600CE"/>
    <w:multiLevelType w:val="hybridMultilevel"/>
    <w:tmpl w:val="00B6A62C"/>
    <w:lvl w:ilvl="0" w:tplc="B114C1A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4"/>
  </w:num>
  <w:num w:numId="5">
    <w:abstractNumId w:val="11"/>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1560A"/>
    <w:rsid w:val="0002128A"/>
    <w:rsid w:val="00022F56"/>
    <w:rsid w:val="000571EA"/>
    <w:rsid w:val="00073704"/>
    <w:rsid w:val="00094620"/>
    <w:rsid w:val="000A4F16"/>
    <w:rsid w:val="000B0264"/>
    <w:rsid w:val="000B60B7"/>
    <w:rsid w:val="000B75BD"/>
    <w:rsid w:val="000C7031"/>
    <w:rsid w:val="000E1F44"/>
    <w:rsid w:val="000F2AE6"/>
    <w:rsid w:val="000F53C2"/>
    <w:rsid w:val="000F7F5E"/>
    <w:rsid w:val="001022FC"/>
    <w:rsid w:val="00105553"/>
    <w:rsid w:val="001110E6"/>
    <w:rsid w:val="001139DB"/>
    <w:rsid w:val="00122583"/>
    <w:rsid w:val="00147A26"/>
    <w:rsid w:val="00156E23"/>
    <w:rsid w:val="00161711"/>
    <w:rsid w:val="001819F2"/>
    <w:rsid w:val="00181F21"/>
    <w:rsid w:val="0018375D"/>
    <w:rsid w:val="001B50A0"/>
    <w:rsid w:val="001C3794"/>
    <w:rsid w:val="001E4BCF"/>
    <w:rsid w:val="001E5EE4"/>
    <w:rsid w:val="0020169F"/>
    <w:rsid w:val="00201F4D"/>
    <w:rsid w:val="00213801"/>
    <w:rsid w:val="002162CE"/>
    <w:rsid w:val="00237FAA"/>
    <w:rsid w:val="0024000F"/>
    <w:rsid w:val="0025604D"/>
    <w:rsid w:val="00256911"/>
    <w:rsid w:val="002576AB"/>
    <w:rsid w:val="002716F6"/>
    <w:rsid w:val="00271992"/>
    <w:rsid w:val="00281A00"/>
    <w:rsid w:val="00291137"/>
    <w:rsid w:val="00293974"/>
    <w:rsid w:val="00296510"/>
    <w:rsid w:val="002C2A5D"/>
    <w:rsid w:val="002D5DF3"/>
    <w:rsid w:val="003265D6"/>
    <w:rsid w:val="00343303"/>
    <w:rsid w:val="00347226"/>
    <w:rsid w:val="00365005"/>
    <w:rsid w:val="0036556D"/>
    <w:rsid w:val="00380639"/>
    <w:rsid w:val="00394A61"/>
    <w:rsid w:val="003A5084"/>
    <w:rsid w:val="003C068B"/>
    <w:rsid w:val="003C1AB8"/>
    <w:rsid w:val="003F3118"/>
    <w:rsid w:val="00405D6E"/>
    <w:rsid w:val="00406DAA"/>
    <w:rsid w:val="0044510E"/>
    <w:rsid w:val="00460B20"/>
    <w:rsid w:val="00475731"/>
    <w:rsid w:val="00484F1E"/>
    <w:rsid w:val="004B06B5"/>
    <w:rsid w:val="004B1400"/>
    <w:rsid w:val="004B32A0"/>
    <w:rsid w:val="004C062B"/>
    <w:rsid w:val="004C4B00"/>
    <w:rsid w:val="004D541D"/>
    <w:rsid w:val="004D55B3"/>
    <w:rsid w:val="004E4899"/>
    <w:rsid w:val="004E6996"/>
    <w:rsid w:val="004F5145"/>
    <w:rsid w:val="00515461"/>
    <w:rsid w:val="0052662E"/>
    <w:rsid w:val="00534EA9"/>
    <w:rsid w:val="00535AD0"/>
    <w:rsid w:val="005366FC"/>
    <w:rsid w:val="00557980"/>
    <w:rsid w:val="00572466"/>
    <w:rsid w:val="00572D2C"/>
    <w:rsid w:val="0057312D"/>
    <w:rsid w:val="005864D3"/>
    <w:rsid w:val="005A5C1B"/>
    <w:rsid w:val="005A7F3D"/>
    <w:rsid w:val="005C533B"/>
    <w:rsid w:val="005D5588"/>
    <w:rsid w:val="0060168D"/>
    <w:rsid w:val="006049CB"/>
    <w:rsid w:val="00610580"/>
    <w:rsid w:val="00612025"/>
    <w:rsid w:val="006137E1"/>
    <w:rsid w:val="00616A24"/>
    <w:rsid w:val="00633442"/>
    <w:rsid w:val="0064051D"/>
    <w:rsid w:val="0064314F"/>
    <w:rsid w:val="006536E9"/>
    <w:rsid w:val="00666B6D"/>
    <w:rsid w:val="00681FB6"/>
    <w:rsid w:val="006B22D1"/>
    <w:rsid w:val="006B3E5B"/>
    <w:rsid w:val="006E0C80"/>
    <w:rsid w:val="006F02DD"/>
    <w:rsid w:val="0070202F"/>
    <w:rsid w:val="00707BDE"/>
    <w:rsid w:val="0072166B"/>
    <w:rsid w:val="00741F3C"/>
    <w:rsid w:val="00745F3D"/>
    <w:rsid w:val="007460BF"/>
    <w:rsid w:val="00754B52"/>
    <w:rsid w:val="00755D8C"/>
    <w:rsid w:val="007615CA"/>
    <w:rsid w:val="00762A91"/>
    <w:rsid w:val="00767399"/>
    <w:rsid w:val="00775C08"/>
    <w:rsid w:val="00780878"/>
    <w:rsid w:val="00795CCA"/>
    <w:rsid w:val="007A0410"/>
    <w:rsid w:val="007A1A87"/>
    <w:rsid w:val="007A4053"/>
    <w:rsid w:val="007A606D"/>
    <w:rsid w:val="007E4238"/>
    <w:rsid w:val="007E69B3"/>
    <w:rsid w:val="007F0335"/>
    <w:rsid w:val="00810E73"/>
    <w:rsid w:val="008512D1"/>
    <w:rsid w:val="00856DD0"/>
    <w:rsid w:val="00877C00"/>
    <w:rsid w:val="00887435"/>
    <w:rsid w:val="0089127A"/>
    <w:rsid w:val="008A5AEA"/>
    <w:rsid w:val="008B7CB1"/>
    <w:rsid w:val="008D644B"/>
    <w:rsid w:val="008E6884"/>
    <w:rsid w:val="008E6FAB"/>
    <w:rsid w:val="0090444C"/>
    <w:rsid w:val="00907B7E"/>
    <w:rsid w:val="00921EA8"/>
    <w:rsid w:val="00945E2D"/>
    <w:rsid w:val="00950A9E"/>
    <w:rsid w:val="00953166"/>
    <w:rsid w:val="00953311"/>
    <w:rsid w:val="00961823"/>
    <w:rsid w:val="00983B56"/>
    <w:rsid w:val="00986077"/>
    <w:rsid w:val="00990870"/>
    <w:rsid w:val="009C04B6"/>
    <w:rsid w:val="009D4A4F"/>
    <w:rsid w:val="009D4AFB"/>
    <w:rsid w:val="009F45CC"/>
    <w:rsid w:val="009F4D1C"/>
    <w:rsid w:val="00A00740"/>
    <w:rsid w:val="00A10A09"/>
    <w:rsid w:val="00A2596F"/>
    <w:rsid w:val="00A42757"/>
    <w:rsid w:val="00A67505"/>
    <w:rsid w:val="00A73FE3"/>
    <w:rsid w:val="00A90BAB"/>
    <w:rsid w:val="00A91D99"/>
    <w:rsid w:val="00AA15C9"/>
    <w:rsid w:val="00AD022F"/>
    <w:rsid w:val="00B002FE"/>
    <w:rsid w:val="00B17726"/>
    <w:rsid w:val="00B279A8"/>
    <w:rsid w:val="00B42209"/>
    <w:rsid w:val="00B50861"/>
    <w:rsid w:val="00B61494"/>
    <w:rsid w:val="00B61961"/>
    <w:rsid w:val="00B716A8"/>
    <w:rsid w:val="00B923DC"/>
    <w:rsid w:val="00BA0D32"/>
    <w:rsid w:val="00BA59A6"/>
    <w:rsid w:val="00BA5A05"/>
    <w:rsid w:val="00BD01FA"/>
    <w:rsid w:val="00BE37D2"/>
    <w:rsid w:val="00BF7366"/>
    <w:rsid w:val="00C0391A"/>
    <w:rsid w:val="00C05931"/>
    <w:rsid w:val="00C36F16"/>
    <w:rsid w:val="00C60DF5"/>
    <w:rsid w:val="00C75252"/>
    <w:rsid w:val="00C910A8"/>
    <w:rsid w:val="00C954EA"/>
    <w:rsid w:val="00CB003A"/>
    <w:rsid w:val="00CC0B33"/>
    <w:rsid w:val="00CC4534"/>
    <w:rsid w:val="00CE2D06"/>
    <w:rsid w:val="00D16B69"/>
    <w:rsid w:val="00D20127"/>
    <w:rsid w:val="00D22DAE"/>
    <w:rsid w:val="00D24A88"/>
    <w:rsid w:val="00D50D50"/>
    <w:rsid w:val="00D54A8F"/>
    <w:rsid w:val="00D8477F"/>
    <w:rsid w:val="00D950EA"/>
    <w:rsid w:val="00DA5F5B"/>
    <w:rsid w:val="00DD6760"/>
    <w:rsid w:val="00E16809"/>
    <w:rsid w:val="00E20513"/>
    <w:rsid w:val="00E55BBE"/>
    <w:rsid w:val="00E71397"/>
    <w:rsid w:val="00E7150A"/>
    <w:rsid w:val="00E8070F"/>
    <w:rsid w:val="00E81344"/>
    <w:rsid w:val="00EB5E62"/>
    <w:rsid w:val="00EE0B0E"/>
    <w:rsid w:val="00F24F5A"/>
    <w:rsid w:val="00F27C5F"/>
    <w:rsid w:val="00F31337"/>
    <w:rsid w:val="00F41911"/>
    <w:rsid w:val="00F51DC7"/>
    <w:rsid w:val="00F54B3D"/>
    <w:rsid w:val="00F704D9"/>
    <w:rsid w:val="00F72D0B"/>
    <w:rsid w:val="00F7395C"/>
    <w:rsid w:val="00F95781"/>
    <w:rsid w:val="00FB2673"/>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4D3"/>
    <w:rPr>
      <w:sz w:val="24"/>
      <w:szCs w:val="24"/>
    </w:rPr>
  </w:style>
  <w:style w:type="paragraph" w:styleId="Heading1">
    <w:name w:val="heading 1"/>
    <w:basedOn w:val="Normal"/>
    <w:next w:val="Normal"/>
    <w:link w:val="Heading1Char"/>
    <w:qFormat/>
    <w:rsid w:val="005864D3"/>
    <w:pPr>
      <w:keepNext/>
      <w:keepLines/>
      <w:numPr>
        <w:numId w:val="13"/>
      </w:numPr>
      <w:ind w:left="360"/>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755D8C"/>
    <w:rPr>
      <w:sz w:val="16"/>
      <w:szCs w:val="16"/>
    </w:rPr>
  </w:style>
  <w:style w:type="paragraph" w:styleId="CommentText">
    <w:name w:val="annotation text"/>
    <w:basedOn w:val="Normal"/>
    <w:link w:val="CommentTextChar"/>
    <w:rsid w:val="00755D8C"/>
    <w:rPr>
      <w:sz w:val="20"/>
      <w:szCs w:val="20"/>
    </w:rPr>
  </w:style>
  <w:style w:type="character" w:customStyle="1" w:styleId="CommentTextChar">
    <w:name w:val="Comment Text Char"/>
    <w:basedOn w:val="DefaultParagraphFont"/>
    <w:link w:val="CommentText"/>
    <w:rsid w:val="00755D8C"/>
  </w:style>
  <w:style w:type="paragraph" w:styleId="CommentSubject">
    <w:name w:val="annotation subject"/>
    <w:basedOn w:val="CommentText"/>
    <w:next w:val="CommentText"/>
    <w:link w:val="CommentSubjectChar"/>
    <w:rsid w:val="00755D8C"/>
    <w:rPr>
      <w:b/>
      <w:bCs/>
    </w:rPr>
  </w:style>
  <w:style w:type="character" w:customStyle="1" w:styleId="CommentSubjectChar">
    <w:name w:val="Comment Subject Char"/>
    <w:basedOn w:val="CommentTextChar"/>
    <w:link w:val="CommentSubject"/>
    <w:rsid w:val="00755D8C"/>
    <w:rPr>
      <w:b/>
      <w:bCs/>
    </w:rPr>
  </w:style>
  <w:style w:type="table" w:styleId="TableGrid">
    <w:name w:val="Table Grid"/>
    <w:basedOn w:val="TableNormal"/>
    <w:rsid w:val="00D9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64D3"/>
    <w:rPr>
      <w:rFonts w:eastAsiaTheme="majorEastAsia" w:cstheme="majorBidi"/>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4D3"/>
    <w:rPr>
      <w:sz w:val="24"/>
      <w:szCs w:val="24"/>
    </w:rPr>
  </w:style>
  <w:style w:type="paragraph" w:styleId="Heading1">
    <w:name w:val="heading 1"/>
    <w:basedOn w:val="Normal"/>
    <w:next w:val="Normal"/>
    <w:link w:val="Heading1Char"/>
    <w:qFormat/>
    <w:rsid w:val="005864D3"/>
    <w:pPr>
      <w:keepNext/>
      <w:keepLines/>
      <w:numPr>
        <w:numId w:val="13"/>
      </w:numPr>
      <w:ind w:left="360"/>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755D8C"/>
    <w:rPr>
      <w:sz w:val="16"/>
      <w:szCs w:val="16"/>
    </w:rPr>
  </w:style>
  <w:style w:type="paragraph" w:styleId="CommentText">
    <w:name w:val="annotation text"/>
    <w:basedOn w:val="Normal"/>
    <w:link w:val="CommentTextChar"/>
    <w:rsid w:val="00755D8C"/>
    <w:rPr>
      <w:sz w:val="20"/>
      <w:szCs w:val="20"/>
    </w:rPr>
  </w:style>
  <w:style w:type="character" w:customStyle="1" w:styleId="CommentTextChar">
    <w:name w:val="Comment Text Char"/>
    <w:basedOn w:val="DefaultParagraphFont"/>
    <w:link w:val="CommentText"/>
    <w:rsid w:val="00755D8C"/>
  </w:style>
  <w:style w:type="paragraph" w:styleId="CommentSubject">
    <w:name w:val="annotation subject"/>
    <w:basedOn w:val="CommentText"/>
    <w:next w:val="CommentText"/>
    <w:link w:val="CommentSubjectChar"/>
    <w:rsid w:val="00755D8C"/>
    <w:rPr>
      <w:b/>
      <w:bCs/>
    </w:rPr>
  </w:style>
  <w:style w:type="character" w:customStyle="1" w:styleId="CommentSubjectChar">
    <w:name w:val="Comment Subject Char"/>
    <w:basedOn w:val="CommentTextChar"/>
    <w:link w:val="CommentSubject"/>
    <w:rsid w:val="00755D8C"/>
    <w:rPr>
      <w:b/>
      <w:bCs/>
    </w:rPr>
  </w:style>
  <w:style w:type="table" w:styleId="TableGrid">
    <w:name w:val="Table Grid"/>
    <w:basedOn w:val="TableNormal"/>
    <w:rsid w:val="00D9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64D3"/>
    <w:rPr>
      <w:rFonts w:eastAsiaTheme="majorEastAsia" w:cstheme="majorBidi"/>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alstability.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1383</Words>
  <Characters>6514</Characters>
  <Application>Microsoft Office Word</Application>
  <DocSecurity>0</DocSecurity>
  <Lines>98</Lines>
  <Paragraphs>117</Paragraphs>
  <ScaleCrop>false</ScaleCrop>
  <HeadingPairs>
    <vt:vector size="2" baseType="variant">
      <vt:variant>
        <vt:lpstr>Title</vt:lpstr>
      </vt:variant>
      <vt:variant>
        <vt:i4>1</vt:i4>
      </vt:variant>
    </vt:vector>
  </HeadingPairs>
  <TitlesOfParts>
    <vt:vector size="1" baseType="lpstr">
      <vt:lpstr>#1505-NEW supporting statement</vt:lpstr>
    </vt:vector>
  </TitlesOfParts>
  <Company>U.S. Department of the Treasury</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dc:title>
  <dc:creator>Office of Financial Stability</dc:creator>
  <cp:keywords>TARP; Hardest Hit Fund</cp:keywords>
  <cp:lastModifiedBy>B. Simms, PTR</cp:lastModifiedBy>
  <cp:revision>4</cp:revision>
  <cp:lastPrinted>2013-02-19T17:31:00Z</cp:lastPrinted>
  <dcterms:created xsi:type="dcterms:W3CDTF">2016-02-18T23:02:00Z</dcterms:created>
  <dcterms:modified xsi:type="dcterms:W3CDTF">2016-02-18T23:12:00Z</dcterms:modified>
</cp:coreProperties>
</file>