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D114F" w14:textId="77777777" w:rsidR="00CB47C5" w:rsidRDefault="00CB47C5" w:rsidP="00CB47C5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  <w:bookmarkStart w:id="0" w:name="_GoBack"/>
      <w:bookmarkEnd w:id="0"/>
    </w:p>
    <w:p w14:paraId="7DDDEB53" w14:textId="3CF88E22" w:rsidR="00CB47C5" w:rsidRPr="00B56F53" w:rsidRDefault="00CB47C5" w:rsidP="00CB47C5">
      <w:pPr>
        <w:pStyle w:val="MarkforAttachmentTitle"/>
        <w:spacing w:before="0" w:after="0"/>
      </w:pPr>
      <w:r>
        <w:t xml:space="preserve">ATTACHMENT </w:t>
      </w:r>
      <w:bookmarkStart w:id="1" w:name="AttLetter"/>
      <w:bookmarkEnd w:id="1"/>
      <w:r w:rsidR="00050C15">
        <w:t>C</w:t>
      </w:r>
      <w:r>
        <w:br/>
      </w:r>
      <w:r>
        <w:br/>
      </w:r>
      <w:bookmarkStart w:id="2" w:name="AttTitle"/>
      <w:bookmarkEnd w:id="2"/>
      <w:r w:rsidR="005301F8">
        <w:t xml:space="preserve">Stakeholder </w:t>
      </w:r>
      <w:r>
        <w:t>INTERVIEW TOPIC GUIDE</w:t>
      </w:r>
    </w:p>
    <w:p w14:paraId="5B5BCC1B" w14:textId="77777777" w:rsidR="00CB47C5" w:rsidRDefault="00CB47C5" w:rsidP="00CB47C5"/>
    <w:p w14:paraId="50D0796E" w14:textId="77777777" w:rsidR="00053E1D" w:rsidRDefault="00053E1D" w:rsidP="00CB47C5">
      <w:pPr>
        <w:sectPr w:rsidR="00053E1D" w:rsidSect="00CB47C5">
          <w:headerReference w:type="default" r:id="rId8"/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741BFB62" w14:textId="41BBB95B" w:rsidR="0085028F" w:rsidRDefault="009F4305" w:rsidP="00B66C18">
      <w:pPr>
        <w:pStyle w:val="H2Chapter"/>
        <w:tabs>
          <w:tab w:val="clear" w:pos="432"/>
        </w:tabs>
        <w:ind w:left="0" w:firstLine="0"/>
      </w:pPr>
      <w:bookmarkStart w:id="3" w:name="AppLetter"/>
      <w:bookmarkStart w:id="4" w:name="AppTitle"/>
      <w:bookmarkEnd w:id="3"/>
      <w:bookmarkEnd w:id="4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F49E3C" wp14:editId="2D4AED2A">
                <wp:simplePos x="0" y="0"/>
                <wp:positionH relativeFrom="margin">
                  <wp:posOffset>6562725</wp:posOffset>
                </wp:positionH>
                <wp:positionV relativeFrom="paragraph">
                  <wp:posOffset>-54280</wp:posOffset>
                </wp:positionV>
                <wp:extent cx="1638300" cy="400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92327" w14:textId="77777777" w:rsidR="004839B3" w:rsidRPr="001A39C6" w:rsidRDefault="004839B3" w:rsidP="00CB47C5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sz w:val="20"/>
                              </w:rPr>
                            </w:pPr>
                            <w:r w:rsidRPr="001A39C6">
                              <w:rPr>
                                <w:sz w:val="20"/>
                              </w:rPr>
                              <w:t>OMB No.: xxxx-xxxx</w:t>
                            </w:r>
                          </w:p>
                          <w:p w14:paraId="21A608CA" w14:textId="31964066" w:rsidR="004839B3" w:rsidRPr="001A39C6" w:rsidRDefault="004839B3" w:rsidP="00CB47C5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sz w:val="20"/>
                              </w:rPr>
                            </w:pPr>
                            <w:r w:rsidRPr="001A39C6">
                              <w:rPr>
                                <w:sz w:val="20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49E3C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516.75pt;margin-top:-4.25pt;width:129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" fillcolor="white [3201]" stroked="f" strokeweight=".5pt">
                <v:textbox>
                  <w:txbxContent>
                    <w:p w14:paraId="18092327" w14:textId="77777777" w:rsidR="004839B3" w:rsidRPr="001A39C6" w:rsidRDefault="004839B3" w:rsidP="00CB47C5">
                      <w:pPr>
                        <w:spacing w:line="240" w:lineRule="auto"/>
                        <w:ind w:firstLine="0"/>
                        <w:jc w:val="right"/>
                        <w:rPr>
                          <w:sz w:val="20"/>
                        </w:rPr>
                      </w:pPr>
                      <w:r w:rsidRPr="001A39C6">
                        <w:rPr>
                          <w:sz w:val="20"/>
                        </w:rPr>
                        <w:t>OMB No.: xxxx-xxxx</w:t>
                      </w:r>
                    </w:p>
                    <w:p w14:paraId="21A608CA" w14:textId="31964066" w:rsidR="004839B3" w:rsidRPr="001A39C6" w:rsidRDefault="004839B3" w:rsidP="00CB47C5">
                      <w:pPr>
                        <w:spacing w:line="240" w:lineRule="auto"/>
                        <w:ind w:firstLine="0"/>
                        <w:jc w:val="right"/>
                        <w:rPr>
                          <w:sz w:val="20"/>
                        </w:rPr>
                      </w:pPr>
                      <w:r w:rsidRPr="001A39C6">
                        <w:rPr>
                          <w:sz w:val="20"/>
                        </w:rPr>
                        <w:t>Expiration date: xx/xx/xxxx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01F8">
        <w:t xml:space="preserve">Stakeholder </w:t>
      </w:r>
      <w:r w:rsidR="00890B06">
        <w:t>interview</w:t>
      </w:r>
      <w:r w:rsidR="00D853B0">
        <w:t xml:space="preserve"> Topic Guide</w:t>
      </w:r>
    </w:p>
    <w:p w14:paraId="7087CFAA" w14:textId="3333E2EC" w:rsidR="00890B06" w:rsidRDefault="00890B06" w:rsidP="00067CD6">
      <w:pPr>
        <w:pStyle w:val="NormalSS"/>
        <w:spacing w:after="360"/>
        <w:jc w:val="both"/>
      </w:pPr>
      <w:r>
        <w:t xml:space="preserve">The </w:t>
      </w:r>
      <w:r w:rsidR="005301F8">
        <w:t>National Center on</w:t>
      </w:r>
      <w:r>
        <w:t xml:space="preserve"> Early Head Start</w:t>
      </w:r>
      <w:r w:rsidR="00C95C1F">
        <w:t>–</w:t>
      </w:r>
      <w:r>
        <w:t xml:space="preserve">Child Care Partnerships </w:t>
      </w:r>
      <w:r w:rsidR="005301F8">
        <w:t xml:space="preserve">(NCEHS-CCP) evaluation </w:t>
      </w:r>
      <w:r>
        <w:t xml:space="preserve">will </w:t>
      </w:r>
      <w:r w:rsidR="005301F8">
        <w:t>include hour</w:t>
      </w:r>
      <w:r w:rsidR="00C95C1F">
        <w:t>-</w:t>
      </w:r>
      <w:r w:rsidR="005301F8">
        <w:t>long interviews with key stakeholders who participate in training and technical assistance (T</w:t>
      </w:r>
      <w:r w:rsidR="005301F8" w:rsidRPr="0055382D">
        <w:t>/</w:t>
      </w:r>
      <w:r w:rsidR="005301F8">
        <w:t>TA) offered by NCEHS-CCP</w:t>
      </w:r>
      <w:r>
        <w:t xml:space="preserve">. </w:t>
      </w:r>
      <w:r w:rsidR="007F5DA3">
        <w:t>The interviews will</w:t>
      </w:r>
      <w:r>
        <w:t xml:space="preserve"> focus on </w:t>
      </w:r>
      <w:r w:rsidR="002B2A94">
        <w:t xml:space="preserve">the types of and your overall experience with the T/TA you have received from NCEHS-CCP and your recommendations for improving the supports available from NCEHS-CCP. </w:t>
      </w:r>
    </w:p>
    <w:p w14:paraId="712D4C43" w14:textId="4CF511AF" w:rsidR="00E53167" w:rsidRDefault="00E53167" w:rsidP="008D5714">
      <w:pPr>
        <w:pStyle w:val="NormalSS"/>
        <w:spacing w:after="360"/>
        <w:ind w:firstLine="360"/>
        <w:jc w:val="both"/>
      </w:pPr>
      <w:r>
        <w:t xml:space="preserve">At the start of each interview, we will read a consent statement to the participant: </w:t>
      </w:r>
    </w:p>
    <w:p w14:paraId="7C17D2BF" w14:textId="62E04108" w:rsidR="00E53167" w:rsidRDefault="00E53167" w:rsidP="00A607F6">
      <w:pPr>
        <w:pStyle w:val="NormalSS"/>
        <w:ind w:left="360" w:firstLine="0"/>
        <w:jc w:val="both"/>
      </w:pPr>
      <w:r w:rsidRPr="00B36EF4">
        <w:rPr>
          <w:i/>
        </w:rPr>
        <w:t xml:space="preserve">Thank you very much for agreeing to </w:t>
      </w:r>
      <w:r w:rsidR="00DF6817" w:rsidRPr="00B36EF4">
        <w:rPr>
          <w:i/>
        </w:rPr>
        <w:t xml:space="preserve">participate in this discussion. </w:t>
      </w:r>
      <w:r w:rsidRPr="00B36EF4">
        <w:rPr>
          <w:i/>
        </w:rPr>
        <w:t xml:space="preserve">Your participation is very important to the study. </w:t>
      </w:r>
      <w:r w:rsidR="00DF6817" w:rsidRPr="00B36EF4">
        <w:rPr>
          <w:i/>
        </w:rPr>
        <w:t>My name is</w:t>
      </w:r>
      <w:r w:rsidRPr="00B36EF4">
        <w:rPr>
          <w:i/>
        </w:rPr>
        <w:t xml:space="preserve"> __________ and I work for Mathematica Policy Research, an independent social policy research firm</w:t>
      </w:r>
      <w:r>
        <w:t xml:space="preserve">. </w:t>
      </w:r>
    </w:p>
    <w:p w14:paraId="38FCF6B4" w14:textId="06F55CA4" w:rsidR="00E53167" w:rsidRPr="00B36EF4" w:rsidRDefault="00E53167" w:rsidP="00A607F6">
      <w:pPr>
        <w:pStyle w:val="NormalSS"/>
        <w:ind w:left="360" w:firstLine="0"/>
        <w:jc w:val="both"/>
        <w:rPr>
          <w:i/>
        </w:rPr>
      </w:pPr>
      <w:r w:rsidRPr="00B36EF4">
        <w:rPr>
          <w:i/>
        </w:rPr>
        <w:t>We are conducting a study</w:t>
      </w:r>
      <w:r w:rsidR="00C95C1F">
        <w:rPr>
          <w:i/>
        </w:rPr>
        <w:t xml:space="preserve"> of</w:t>
      </w:r>
      <w:r w:rsidR="00C95C1F" w:rsidRPr="00B36EF4">
        <w:rPr>
          <w:i/>
        </w:rPr>
        <w:t xml:space="preserve"> the </w:t>
      </w:r>
      <w:r w:rsidR="00C95C1F">
        <w:rPr>
          <w:i/>
        </w:rPr>
        <w:t xml:space="preserve">National Center on </w:t>
      </w:r>
      <w:r w:rsidR="00C95C1F" w:rsidRPr="00B36EF4">
        <w:rPr>
          <w:i/>
        </w:rPr>
        <w:t>Early Head Start</w:t>
      </w:r>
      <w:r w:rsidR="00C95C1F">
        <w:rPr>
          <w:i/>
        </w:rPr>
        <w:t>–C</w:t>
      </w:r>
      <w:r w:rsidR="00C95C1F" w:rsidRPr="00B36EF4">
        <w:rPr>
          <w:i/>
        </w:rPr>
        <w:t xml:space="preserve">hild </w:t>
      </w:r>
      <w:r w:rsidR="00C95C1F">
        <w:rPr>
          <w:i/>
        </w:rPr>
        <w:t>Care P</w:t>
      </w:r>
      <w:r w:rsidR="00C95C1F" w:rsidRPr="00B36EF4">
        <w:rPr>
          <w:i/>
        </w:rPr>
        <w:t>artnership</w:t>
      </w:r>
      <w:r w:rsidR="00C95C1F">
        <w:rPr>
          <w:i/>
        </w:rPr>
        <w:t>s</w:t>
      </w:r>
      <w:r w:rsidRPr="00B36EF4">
        <w:rPr>
          <w:i/>
        </w:rPr>
        <w:t xml:space="preserve"> </w:t>
      </w:r>
      <w:r w:rsidR="00A47E39">
        <w:rPr>
          <w:i/>
        </w:rPr>
        <w:t xml:space="preserve">commissioned by the NCEHS-CCP at </w:t>
      </w:r>
      <w:r w:rsidR="007623DE">
        <w:rPr>
          <w:i/>
        </w:rPr>
        <w:t>ZERO TO THREE</w:t>
      </w:r>
      <w:r w:rsidR="00A47E39">
        <w:rPr>
          <w:i/>
        </w:rPr>
        <w:t xml:space="preserve"> and funded by the </w:t>
      </w:r>
      <w:r w:rsidRPr="00B36EF4">
        <w:rPr>
          <w:i/>
        </w:rPr>
        <w:t xml:space="preserve">Administration for Children and Families within the U.S. Department of Health and Human Services </w:t>
      </w:r>
      <w:r w:rsidR="005301F8">
        <w:rPr>
          <w:i/>
        </w:rPr>
        <w:t xml:space="preserve">to </w:t>
      </w:r>
      <w:r w:rsidR="00E63878">
        <w:rPr>
          <w:i/>
        </w:rPr>
        <w:t>learn about the supports offered by NCEHS-CCP and solicit feedback from participants on how supports can be improved.</w:t>
      </w:r>
      <w:r w:rsidRPr="00B36EF4">
        <w:rPr>
          <w:i/>
        </w:rPr>
        <w:t xml:space="preserve"> Being part of this discussion is up to you</w:t>
      </w:r>
      <w:r w:rsidR="00C95C1F">
        <w:rPr>
          <w:i/>
        </w:rPr>
        <w:t>.</w:t>
      </w:r>
      <w:r w:rsidRPr="00B36EF4">
        <w:rPr>
          <w:i/>
        </w:rPr>
        <w:t xml:space="preserve"> </w:t>
      </w:r>
      <w:r w:rsidR="00C95C1F">
        <w:rPr>
          <w:i/>
        </w:rPr>
        <w:t>Y</w:t>
      </w:r>
      <w:r w:rsidRPr="00B36EF4">
        <w:rPr>
          <w:i/>
        </w:rPr>
        <w:t xml:space="preserve">ou can choose to not answer a question if you wish. </w:t>
      </w:r>
      <w:r w:rsidRPr="00B36EF4">
        <w:rPr>
          <w:bCs/>
          <w:i/>
        </w:rPr>
        <w:t xml:space="preserve">We will not share your comments with other individuals involved in the partnership. </w:t>
      </w:r>
      <w:r w:rsidRPr="00B36EF4">
        <w:rPr>
          <w:i/>
        </w:rPr>
        <w:t xml:space="preserve">Our report will describe the experiences and viewpoints expressed, but comments will not be attributed to specific individuals or programs. No individuals will be quoted by name.  </w:t>
      </w:r>
    </w:p>
    <w:p w14:paraId="3A5534B1" w14:textId="48F598F0" w:rsidR="00E53167" w:rsidRDefault="00E53167" w:rsidP="00067CD6">
      <w:pPr>
        <w:pStyle w:val="NormalSS"/>
        <w:spacing w:after="360"/>
        <w:jc w:val="both"/>
      </w:pPr>
    </w:p>
    <w:p w14:paraId="40B69A8A" w14:textId="782AD37F" w:rsidR="0077561B" w:rsidRDefault="0077561B" w:rsidP="00F51C91">
      <w:pPr>
        <w:pStyle w:val="NormalSS"/>
        <w:spacing w:after="360"/>
        <w:ind w:firstLine="0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5E7D0A16" wp14:editId="1FB1919B">
                <wp:extent cx="8277225" cy="416560"/>
                <wp:effectExtent l="0" t="0" r="28575" b="13970"/>
                <wp:docPr id="102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722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E6ED9" w14:textId="764B4708" w:rsidR="004839B3" w:rsidRPr="00827346" w:rsidRDefault="004839B3" w:rsidP="0082734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 w:rsidRPr="00827346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The Paperwork Reduction Act Burden Statement: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This collection of information is voluntary and will be used to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learn about 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training and technical assistance delivered by the National Center on Early Head Start–Child Care Partnerships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. Public reporting burden for this collection of information is estimated to average </w:t>
                            </w:r>
                            <w:r w:rsidR="002B2A94">
                              <w:rPr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>0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</w:t>
                            </w:r>
                            <w:r w:rsidR="000C2A2B">
                              <w:rPr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Pr="000C2A2B">
                              <w:rPr>
                                <w:color w:val="000000"/>
                                <w:sz w:val="20"/>
                                <w:szCs w:val="20"/>
                              </w:rPr>
                              <w:t>[Contact Name]; [Contact Address]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>; Attn: OMB-PRA (0970-[XXXX]).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7D0A16" id="Text Box 1" o:spid="_x0000_s1027" type="#_x0000_t202" style="width:651.75pt;height: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">
                <v:textbox style="mso-fit-shape-to-text:t">
                  <w:txbxContent>
                    <w:p w14:paraId="6BDE6ED9" w14:textId="764B4708" w:rsidR="004839B3" w:rsidRPr="00827346" w:rsidRDefault="004839B3" w:rsidP="00827346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 w:rsidRPr="00827346">
                        <w:rPr>
                          <w:bCs/>
                          <w:color w:val="000000"/>
                          <w:sz w:val="20"/>
                          <w:szCs w:val="20"/>
                        </w:rPr>
                        <w:t>The Paperwork Reduction Act Burden Statement: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 xml:space="preserve"> This collection of information is voluntary and will be used to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learn about 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training and technical assistance delivered by the National Center on Early Head Start–Child Care Partnerships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 xml:space="preserve">. Public reporting burden for this collection of information is estimated to average </w:t>
                      </w:r>
                      <w:r w:rsidR="002B2A94">
                        <w:rPr>
                          <w:color w:val="000000"/>
                          <w:sz w:val="20"/>
                          <w:szCs w:val="20"/>
                        </w:rPr>
                        <w:t>6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>0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</w:t>
                      </w:r>
                      <w:r w:rsidR="000C2A2B">
                        <w:rPr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 xml:space="preserve"> to </w:t>
                      </w:r>
                      <w:r w:rsidRPr="000C2A2B">
                        <w:rPr>
                          <w:color w:val="000000"/>
                          <w:sz w:val="20"/>
                          <w:szCs w:val="20"/>
                        </w:rPr>
                        <w:t>[Contact Name]; [Contact Address]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>; Attn: OMB-PRA (0970-[XXXX]).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996F1B" w14:textId="77777777" w:rsidR="00E63878" w:rsidRDefault="00E63878" w:rsidP="00F51C91">
      <w:pPr>
        <w:pStyle w:val="NormalSS"/>
        <w:spacing w:after="360"/>
        <w:ind w:firstLine="0"/>
        <w:jc w:val="both"/>
      </w:pPr>
    </w:p>
    <w:p w14:paraId="1C654705" w14:textId="77777777" w:rsidR="00E63878" w:rsidRDefault="00E63878" w:rsidP="00F51C91">
      <w:pPr>
        <w:pStyle w:val="NormalSS"/>
        <w:spacing w:after="360"/>
        <w:ind w:firstLine="0"/>
        <w:jc w:val="both"/>
      </w:pPr>
    </w:p>
    <w:p w14:paraId="3F05A800" w14:textId="77777777" w:rsidR="00C95C1F" w:rsidRDefault="00C95C1F" w:rsidP="00C95C1F">
      <w:pPr>
        <w:pStyle w:val="TableHeaderLeft"/>
        <w:rPr>
          <w:bCs/>
        </w:rPr>
        <w:sectPr w:rsidR="00C95C1F" w:rsidSect="00053E1D">
          <w:headerReference w:type="default" r:id="rId10"/>
          <w:footerReference w:type="default" r:id="rId11"/>
          <w:pgSz w:w="15840" w:h="12240" w:orient="landscape" w:code="1"/>
          <w:pgMar w:top="1440" w:right="1440" w:bottom="576" w:left="1440" w:header="720" w:footer="720" w:gutter="0"/>
          <w:cols w:space="720"/>
          <w:docGrid w:linePitch="360"/>
        </w:sectPr>
      </w:pPr>
    </w:p>
    <w:tbl>
      <w:tblPr>
        <w:tblStyle w:val="LightLis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 w:firstRow="1" w:lastRow="0" w:firstColumn="0" w:lastColumn="0" w:noHBand="1" w:noVBand="1"/>
      </w:tblPr>
      <w:tblGrid>
        <w:gridCol w:w="3202"/>
        <w:gridCol w:w="9974"/>
      </w:tblGrid>
      <w:tr w:rsidR="005301F8" w:rsidRPr="00F878AA" w14:paraId="714EE06E" w14:textId="77777777" w:rsidTr="001E6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15" w:type="pct"/>
            <w:tcBorders>
              <w:bottom w:val="single" w:sz="8" w:space="0" w:color="FFFFFF" w:themeColor="background1"/>
            </w:tcBorders>
            <w:shd w:val="clear" w:color="auto" w:fill="6C6F70"/>
          </w:tcPr>
          <w:p w14:paraId="2536B0B5" w14:textId="247BDE23" w:rsidR="005301F8" w:rsidRPr="00F878AA" w:rsidRDefault="005301F8" w:rsidP="00C95C1F">
            <w:pPr>
              <w:pStyle w:val="TableHeaderLeft"/>
              <w:rPr>
                <w:b/>
              </w:rPr>
            </w:pPr>
            <w:r>
              <w:rPr>
                <w:b/>
              </w:rPr>
              <w:lastRenderedPageBreak/>
              <w:t>Topic</w:t>
            </w:r>
          </w:p>
        </w:tc>
        <w:tc>
          <w:tcPr>
            <w:tcW w:w="3785" w:type="pct"/>
            <w:tcBorders>
              <w:bottom w:val="single" w:sz="8" w:space="0" w:color="FFFFFF" w:themeColor="background1"/>
            </w:tcBorders>
            <w:shd w:val="clear" w:color="auto" w:fill="6C6F70"/>
          </w:tcPr>
          <w:p w14:paraId="3E25E4A6" w14:textId="77777777" w:rsidR="005301F8" w:rsidRPr="00F878AA" w:rsidRDefault="005301F8" w:rsidP="00C95C1F">
            <w:pPr>
              <w:pStyle w:val="TableHeaderCenter"/>
              <w:rPr>
                <w:b/>
              </w:rPr>
            </w:pPr>
            <w:r>
              <w:rPr>
                <w:b/>
              </w:rPr>
              <w:t>Subtopic</w:t>
            </w:r>
          </w:p>
        </w:tc>
      </w:tr>
      <w:tr w:rsidR="005301F8" w:rsidRPr="00AA795E" w14:paraId="2880818D" w14:textId="77777777" w:rsidTr="001E60AC">
        <w:trPr>
          <w:trHeight w:val="142"/>
        </w:trPr>
        <w:tc>
          <w:tcPr>
            <w:tcW w:w="1215" w:type="pct"/>
            <w:vMerge w:val="restart"/>
            <w:tcBorders>
              <w:top w:val="single" w:sz="8" w:space="0" w:color="000000" w:themeColor="text1"/>
            </w:tcBorders>
          </w:tcPr>
          <w:p w14:paraId="7A04DE2F" w14:textId="5DC67A45" w:rsidR="005301F8" w:rsidRPr="00AA795E" w:rsidRDefault="00044E09" w:rsidP="00044E09">
            <w:pPr>
              <w:pStyle w:val="TableText"/>
              <w:spacing w:before="60"/>
            </w:pPr>
            <w:r>
              <w:t>Characteristics of T/TA supports used</w:t>
            </w:r>
          </w:p>
        </w:tc>
        <w:tc>
          <w:tcPr>
            <w:tcW w:w="3785" w:type="pct"/>
            <w:tcBorders>
              <w:top w:val="single" w:sz="8" w:space="0" w:color="000000" w:themeColor="text1"/>
            </w:tcBorders>
          </w:tcPr>
          <w:p w14:paraId="27CCA597" w14:textId="3D2ABC6D" w:rsidR="005301F8" w:rsidRPr="00AA795E" w:rsidRDefault="005301F8" w:rsidP="00044E09">
            <w:pPr>
              <w:pStyle w:val="TableText"/>
              <w:numPr>
                <w:ilvl w:val="0"/>
                <w:numId w:val="34"/>
              </w:numPr>
              <w:spacing w:before="60"/>
              <w:ind w:left="346" w:hanging="274"/>
            </w:pPr>
            <w:r>
              <w:t xml:space="preserve">Types of </w:t>
            </w:r>
            <w:r w:rsidR="00CB1533">
              <w:t xml:space="preserve">T/TA </w:t>
            </w:r>
            <w:r w:rsidR="00044E09">
              <w:t>supports</w:t>
            </w:r>
            <w:r w:rsidR="00CB1533">
              <w:t xml:space="preserve"> used</w:t>
            </w:r>
          </w:p>
        </w:tc>
      </w:tr>
      <w:tr w:rsidR="005301F8" w:rsidRPr="00AA795E" w14:paraId="5B16D365" w14:textId="77777777" w:rsidTr="001E60AC">
        <w:tc>
          <w:tcPr>
            <w:tcW w:w="1215" w:type="pct"/>
            <w:vMerge/>
          </w:tcPr>
          <w:p w14:paraId="64F6B465" w14:textId="77777777" w:rsidR="005301F8" w:rsidRPr="00AA795E" w:rsidRDefault="005301F8" w:rsidP="00C95C1F">
            <w:pPr>
              <w:pStyle w:val="TableText"/>
            </w:pPr>
          </w:p>
        </w:tc>
        <w:tc>
          <w:tcPr>
            <w:tcW w:w="3785" w:type="pct"/>
          </w:tcPr>
          <w:p w14:paraId="04B8AEC2" w14:textId="203972CD" w:rsidR="005301F8" w:rsidRDefault="00044E09" w:rsidP="00E714FB">
            <w:pPr>
              <w:pStyle w:val="TableText"/>
              <w:numPr>
                <w:ilvl w:val="0"/>
                <w:numId w:val="34"/>
              </w:numPr>
              <w:ind w:left="342" w:hanging="270"/>
            </w:pPr>
            <w:r>
              <w:t xml:space="preserve">Content of </w:t>
            </w:r>
            <w:r w:rsidR="00CB1533">
              <w:t xml:space="preserve">T/TA </w:t>
            </w:r>
            <w:r>
              <w:t>supports</w:t>
            </w:r>
            <w:r w:rsidR="00CB1533">
              <w:t xml:space="preserve"> used</w:t>
            </w:r>
          </w:p>
          <w:p w14:paraId="67736D0B" w14:textId="0AC7C585" w:rsidR="00CB1533" w:rsidRPr="00AA795E" w:rsidRDefault="00CB1533" w:rsidP="00E714FB">
            <w:pPr>
              <w:pStyle w:val="TableText"/>
              <w:numPr>
                <w:ilvl w:val="0"/>
                <w:numId w:val="34"/>
              </w:numPr>
              <w:ind w:left="342" w:hanging="270"/>
            </w:pPr>
            <w:r>
              <w:t>How participants learned about available T/TA supports</w:t>
            </w:r>
          </w:p>
        </w:tc>
      </w:tr>
      <w:tr w:rsidR="005301F8" w:rsidRPr="00AA795E" w14:paraId="5C8095B2" w14:textId="77777777" w:rsidTr="001E60AC">
        <w:tc>
          <w:tcPr>
            <w:tcW w:w="1215" w:type="pct"/>
          </w:tcPr>
          <w:p w14:paraId="29B49C08" w14:textId="77777777" w:rsidR="005301F8" w:rsidRPr="00305679" w:rsidRDefault="005301F8" w:rsidP="00C95C1F">
            <w:pPr>
              <w:pStyle w:val="TableText"/>
              <w:rPr>
                <w:sz w:val="12"/>
                <w:szCs w:val="12"/>
              </w:rPr>
            </w:pPr>
          </w:p>
        </w:tc>
        <w:tc>
          <w:tcPr>
            <w:tcW w:w="3785" w:type="pct"/>
          </w:tcPr>
          <w:p w14:paraId="10D2B77A" w14:textId="77777777" w:rsidR="005301F8" w:rsidRPr="00305679" w:rsidRDefault="005301F8" w:rsidP="00305679">
            <w:pPr>
              <w:pStyle w:val="TableText"/>
              <w:rPr>
                <w:sz w:val="12"/>
                <w:szCs w:val="12"/>
              </w:rPr>
            </w:pPr>
          </w:p>
        </w:tc>
      </w:tr>
      <w:tr w:rsidR="005301F8" w:rsidRPr="00AA795E" w14:paraId="095C8047" w14:textId="77777777" w:rsidTr="001E60AC">
        <w:tc>
          <w:tcPr>
            <w:tcW w:w="1215" w:type="pct"/>
            <w:vMerge w:val="restart"/>
          </w:tcPr>
          <w:p w14:paraId="4BFBBBE2" w14:textId="30465FFF" w:rsidR="005301F8" w:rsidRPr="00AA795E" w:rsidRDefault="00044E09" w:rsidP="00C95C1F">
            <w:pPr>
              <w:pStyle w:val="TableText"/>
            </w:pPr>
            <w:r>
              <w:t>Satisfaction with T/TA supports</w:t>
            </w:r>
          </w:p>
        </w:tc>
        <w:tc>
          <w:tcPr>
            <w:tcW w:w="3785" w:type="pct"/>
          </w:tcPr>
          <w:p w14:paraId="1363AE5D" w14:textId="2C1D5DF5" w:rsidR="005301F8" w:rsidRPr="00AA795E" w:rsidRDefault="00CB1533" w:rsidP="00E714FB">
            <w:pPr>
              <w:pStyle w:val="TableText"/>
              <w:numPr>
                <w:ilvl w:val="0"/>
                <w:numId w:val="34"/>
              </w:numPr>
              <w:ind w:left="342" w:hanging="270"/>
            </w:pPr>
            <w:r>
              <w:t xml:space="preserve">Accessibility of T/TA supports </w:t>
            </w:r>
          </w:p>
        </w:tc>
      </w:tr>
      <w:tr w:rsidR="005301F8" w:rsidRPr="00AA795E" w14:paraId="686D7512" w14:textId="77777777" w:rsidTr="001E60AC">
        <w:tc>
          <w:tcPr>
            <w:tcW w:w="1215" w:type="pct"/>
            <w:vMerge/>
          </w:tcPr>
          <w:p w14:paraId="3CB1CA62" w14:textId="77777777" w:rsidR="005301F8" w:rsidRPr="00AA795E" w:rsidRDefault="005301F8" w:rsidP="00C95C1F">
            <w:pPr>
              <w:pStyle w:val="TableText"/>
            </w:pPr>
          </w:p>
        </w:tc>
        <w:tc>
          <w:tcPr>
            <w:tcW w:w="3785" w:type="pct"/>
          </w:tcPr>
          <w:p w14:paraId="0BADD9FC" w14:textId="6B9D4BFE" w:rsidR="005301F8" w:rsidRPr="00043497" w:rsidRDefault="00CB1533" w:rsidP="00E714FB">
            <w:pPr>
              <w:pStyle w:val="TableText"/>
              <w:numPr>
                <w:ilvl w:val="0"/>
                <w:numId w:val="34"/>
              </w:numPr>
              <w:ind w:left="342" w:hanging="270"/>
              <w:rPr>
                <w:szCs w:val="18"/>
              </w:rPr>
            </w:pPr>
            <w:r>
              <w:rPr>
                <w:szCs w:val="18"/>
              </w:rPr>
              <w:t>Relevancy of T/TA supports for work with EHS-CCP grantees</w:t>
            </w:r>
          </w:p>
        </w:tc>
      </w:tr>
      <w:tr w:rsidR="005301F8" w:rsidRPr="00AA795E" w14:paraId="76ECF24A" w14:textId="77777777" w:rsidTr="001E60AC">
        <w:tc>
          <w:tcPr>
            <w:tcW w:w="1215" w:type="pct"/>
            <w:vMerge/>
          </w:tcPr>
          <w:p w14:paraId="4A311D90" w14:textId="77777777" w:rsidR="005301F8" w:rsidRPr="00AA795E" w:rsidRDefault="005301F8" w:rsidP="00C95C1F">
            <w:pPr>
              <w:pStyle w:val="TableText"/>
            </w:pPr>
          </w:p>
        </w:tc>
        <w:tc>
          <w:tcPr>
            <w:tcW w:w="3785" w:type="pct"/>
          </w:tcPr>
          <w:p w14:paraId="5947F7F9" w14:textId="33A9C89C" w:rsidR="005301F8" w:rsidRPr="00043497" w:rsidRDefault="001E60AC" w:rsidP="00E714FB">
            <w:pPr>
              <w:pStyle w:val="TableText"/>
              <w:numPr>
                <w:ilvl w:val="0"/>
                <w:numId w:val="34"/>
              </w:numPr>
              <w:ind w:left="342" w:hanging="270"/>
              <w:rPr>
                <w:szCs w:val="18"/>
              </w:rPr>
            </w:pPr>
            <w:r>
              <w:rPr>
                <w:szCs w:val="18"/>
              </w:rPr>
              <w:t>Accuracy of the information gleaned from T/TA supports</w:t>
            </w:r>
          </w:p>
        </w:tc>
      </w:tr>
      <w:tr w:rsidR="005301F8" w:rsidRPr="00AA795E" w14:paraId="101A6685" w14:textId="77777777" w:rsidTr="001E60AC">
        <w:tc>
          <w:tcPr>
            <w:tcW w:w="1215" w:type="pct"/>
            <w:vMerge/>
          </w:tcPr>
          <w:p w14:paraId="7B17F997" w14:textId="77777777" w:rsidR="005301F8" w:rsidRPr="00AA795E" w:rsidRDefault="005301F8" w:rsidP="00C95C1F">
            <w:pPr>
              <w:pStyle w:val="TableText"/>
            </w:pPr>
          </w:p>
        </w:tc>
        <w:tc>
          <w:tcPr>
            <w:tcW w:w="3785" w:type="pct"/>
          </w:tcPr>
          <w:p w14:paraId="276E7531" w14:textId="66752487" w:rsidR="00CB1533" w:rsidRDefault="00CB1533" w:rsidP="00CB1533">
            <w:pPr>
              <w:pStyle w:val="TableText"/>
              <w:numPr>
                <w:ilvl w:val="0"/>
                <w:numId w:val="34"/>
              </w:numPr>
              <w:ind w:left="342" w:hanging="270"/>
            </w:pPr>
            <w:r>
              <w:t xml:space="preserve">Availability of T/TA supports focused on addressing the needs of culturally and linguistically diverse children and families </w:t>
            </w:r>
          </w:p>
          <w:p w14:paraId="61CF07AB" w14:textId="6D9F9465" w:rsidR="005301F8" w:rsidRPr="00043497" w:rsidRDefault="00CB1533" w:rsidP="00CB1533">
            <w:pPr>
              <w:pStyle w:val="TableText"/>
              <w:numPr>
                <w:ilvl w:val="0"/>
                <w:numId w:val="34"/>
              </w:numPr>
              <w:ind w:left="342" w:hanging="270"/>
              <w:rPr>
                <w:szCs w:val="18"/>
              </w:rPr>
            </w:pPr>
            <w:r>
              <w:rPr>
                <w:szCs w:val="18"/>
              </w:rPr>
              <w:t>Availability of T/TA supports focused on addressing the needs of children and families from high-need communities</w:t>
            </w:r>
          </w:p>
        </w:tc>
      </w:tr>
      <w:tr w:rsidR="005301F8" w:rsidRPr="00AA795E" w14:paraId="5D9984F6" w14:textId="77777777" w:rsidTr="001E60AC">
        <w:tc>
          <w:tcPr>
            <w:tcW w:w="1215" w:type="pct"/>
            <w:vMerge/>
          </w:tcPr>
          <w:p w14:paraId="5FDBA4DA" w14:textId="77777777" w:rsidR="005301F8" w:rsidRPr="00AA795E" w:rsidRDefault="005301F8" w:rsidP="00C95C1F">
            <w:pPr>
              <w:pStyle w:val="TableText"/>
            </w:pPr>
          </w:p>
        </w:tc>
        <w:tc>
          <w:tcPr>
            <w:tcW w:w="3785" w:type="pct"/>
          </w:tcPr>
          <w:p w14:paraId="0850234E" w14:textId="7290B0F7" w:rsidR="005301F8" w:rsidRPr="00043497" w:rsidRDefault="001E60AC" w:rsidP="001E60AC">
            <w:pPr>
              <w:pStyle w:val="TableText"/>
              <w:numPr>
                <w:ilvl w:val="0"/>
                <w:numId w:val="34"/>
              </w:numPr>
              <w:ind w:left="342" w:hanging="270"/>
              <w:rPr>
                <w:szCs w:val="18"/>
              </w:rPr>
            </w:pPr>
            <w:r>
              <w:rPr>
                <w:szCs w:val="18"/>
              </w:rPr>
              <w:t xml:space="preserve">Knowledge and skills of the trainers and facilitators </w:t>
            </w:r>
          </w:p>
        </w:tc>
      </w:tr>
      <w:tr w:rsidR="005301F8" w:rsidRPr="00AA795E" w14:paraId="1BC49F4A" w14:textId="77777777" w:rsidTr="001E60AC">
        <w:tc>
          <w:tcPr>
            <w:tcW w:w="1215" w:type="pct"/>
            <w:vMerge/>
          </w:tcPr>
          <w:p w14:paraId="658EAC8E" w14:textId="77777777" w:rsidR="005301F8" w:rsidRPr="00AA795E" w:rsidRDefault="005301F8" w:rsidP="00C95C1F">
            <w:pPr>
              <w:pStyle w:val="TableText"/>
            </w:pPr>
          </w:p>
        </w:tc>
        <w:tc>
          <w:tcPr>
            <w:tcW w:w="3785" w:type="pct"/>
          </w:tcPr>
          <w:p w14:paraId="2D7E9F99" w14:textId="193A392D" w:rsidR="005301F8" w:rsidRPr="00043497" w:rsidRDefault="001E60AC" w:rsidP="001E60AC">
            <w:pPr>
              <w:pStyle w:val="TableText"/>
              <w:numPr>
                <w:ilvl w:val="0"/>
                <w:numId w:val="34"/>
              </w:numPr>
              <w:ind w:left="342" w:hanging="270"/>
              <w:rPr>
                <w:szCs w:val="18"/>
              </w:rPr>
            </w:pPr>
            <w:r>
              <w:rPr>
                <w:szCs w:val="18"/>
              </w:rPr>
              <w:t>Barriers to accessing T/TA supports</w:t>
            </w:r>
          </w:p>
        </w:tc>
      </w:tr>
      <w:tr w:rsidR="005301F8" w:rsidRPr="00AA795E" w14:paraId="1AAC5CC7" w14:textId="77777777" w:rsidTr="001E60AC">
        <w:tc>
          <w:tcPr>
            <w:tcW w:w="1215" w:type="pct"/>
            <w:vMerge/>
          </w:tcPr>
          <w:p w14:paraId="611F8CC2" w14:textId="77777777" w:rsidR="005301F8" w:rsidRPr="00AA795E" w:rsidRDefault="005301F8" w:rsidP="00C95C1F">
            <w:pPr>
              <w:pStyle w:val="TableText"/>
            </w:pPr>
          </w:p>
        </w:tc>
        <w:tc>
          <w:tcPr>
            <w:tcW w:w="3785" w:type="pct"/>
          </w:tcPr>
          <w:p w14:paraId="1267D522" w14:textId="724D3EDC" w:rsidR="005301F8" w:rsidRPr="00043497" w:rsidRDefault="001E60AC" w:rsidP="00E714FB">
            <w:pPr>
              <w:pStyle w:val="TableText"/>
              <w:numPr>
                <w:ilvl w:val="0"/>
                <w:numId w:val="34"/>
              </w:numPr>
              <w:ind w:left="342" w:hanging="270"/>
              <w:rPr>
                <w:szCs w:val="18"/>
              </w:rPr>
            </w:pPr>
            <w:r>
              <w:rPr>
                <w:szCs w:val="18"/>
              </w:rPr>
              <w:t>Strengths of T/TA supports</w:t>
            </w:r>
          </w:p>
        </w:tc>
      </w:tr>
      <w:tr w:rsidR="005301F8" w:rsidRPr="00AA795E" w14:paraId="57F9CA2C" w14:textId="77777777" w:rsidTr="001E60AC">
        <w:tc>
          <w:tcPr>
            <w:tcW w:w="1215" w:type="pct"/>
          </w:tcPr>
          <w:p w14:paraId="576BF34F" w14:textId="77777777" w:rsidR="005301F8" w:rsidRPr="00305679" w:rsidRDefault="005301F8" w:rsidP="00C95C1F">
            <w:pPr>
              <w:pStyle w:val="TableText"/>
              <w:rPr>
                <w:sz w:val="12"/>
                <w:szCs w:val="12"/>
              </w:rPr>
            </w:pPr>
          </w:p>
        </w:tc>
        <w:tc>
          <w:tcPr>
            <w:tcW w:w="3785" w:type="pct"/>
          </w:tcPr>
          <w:p w14:paraId="63620805" w14:textId="77777777" w:rsidR="005301F8" w:rsidRPr="00305679" w:rsidRDefault="005301F8" w:rsidP="00E714FB">
            <w:pPr>
              <w:pStyle w:val="TableText"/>
              <w:ind w:left="342" w:hanging="270"/>
              <w:rPr>
                <w:sz w:val="12"/>
                <w:szCs w:val="12"/>
              </w:rPr>
            </w:pPr>
          </w:p>
        </w:tc>
      </w:tr>
      <w:tr w:rsidR="005301F8" w:rsidRPr="00AA795E" w14:paraId="520B76B4" w14:textId="77777777" w:rsidTr="001E60AC">
        <w:tc>
          <w:tcPr>
            <w:tcW w:w="1215" w:type="pct"/>
            <w:vMerge w:val="restart"/>
          </w:tcPr>
          <w:p w14:paraId="24CDCDE8" w14:textId="1DA7DD01" w:rsidR="005301F8" w:rsidRPr="00AA795E" w:rsidRDefault="00044E09" w:rsidP="00C95C1F">
            <w:pPr>
              <w:pStyle w:val="TableText"/>
            </w:pPr>
            <w:r>
              <w:t xml:space="preserve">How participants used information </w:t>
            </w:r>
          </w:p>
        </w:tc>
        <w:tc>
          <w:tcPr>
            <w:tcW w:w="3785" w:type="pct"/>
          </w:tcPr>
          <w:p w14:paraId="168B6629" w14:textId="4DDBF465" w:rsidR="001E60AC" w:rsidRDefault="001E60AC" w:rsidP="00E714FB">
            <w:pPr>
              <w:pStyle w:val="TableText"/>
              <w:numPr>
                <w:ilvl w:val="0"/>
                <w:numId w:val="34"/>
              </w:numPr>
              <w:ind w:left="342" w:hanging="270"/>
              <w:rPr>
                <w:szCs w:val="18"/>
              </w:rPr>
            </w:pPr>
            <w:r>
              <w:rPr>
                <w:szCs w:val="18"/>
              </w:rPr>
              <w:t xml:space="preserve">Whether information gleaned from T/TA was applied </w:t>
            </w:r>
            <w:r w:rsidR="000C2A2B">
              <w:rPr>
                <w:szCs w:val="18"/>
              </w:rPr>
              <w:t xml:space="preserve">in </w:t>
            </w:r>
            <w:r>
              <w:rPr>
                <w:szCs w:val="18"/>
              </w:rPr>
              <w:t>work with EHS-CCP grantees</w:t>
            </w:r>
            <w:r w:rsidR="00087CB7">
              <w:rPr>
                <w:szCs w:val="18"/>
              </w:rPr>
              <w:t xml:space="preserve"> and child care partners</w:t>
            </w:r>
          </w:p>
          <w:p w14:paraId="0661018B" w14:textId="23FC6B3B" w:rsidR="005301F8" w:rsidRPr="002276FC" w:rsidRDefault="001E60AC">
            <w:pPr>
              <w:pStyle w:val="TableText"/>
              <w:numPr>
                <w:ilvl w:val="0"/>
                <w:numId w:val="34"/>
              </w:numPr>
              <w:ind w:left="342" w:hanging="270"/>
              <w:rPr>
                <w:szCs w:val="18"/>
              </w:rPr>
            </w:pPr>
            <w:r>
              <w:rPr>
                <w:szCs w:val="18"/>
              </w:rPr>
              <w:t xml:space="preserve">How information gleaned from T/TA was applied </w:t>
            </w:r>
            <w:r w:rsidR="000C2A2B">
              <w:rPr>
                <w:szCs w:val="18"/>
              </w:rPr>
              <w:t xml:space="preserve">in </w:t>
            </w:r>
            <w:r>
              <w:rPr>
                <w:szCs w:val="18"/>
              </w:rPr>
              <w:t>work with EHS-CCP grantees</w:t>
            </w:r>
            <w:r w:rsidR="00087CB7">
              <w:rPr>
                <w:szCs w:val="18"/>
              </w:rPr>
              <w:t xml:space="preserve"> and child care partners</w:t>
            </w:r>
          </w:p>
        </w:tc>
      </w:tr>
      <w:tr w:rsidR="005301F8" w:rsidRPr="00AA795E" w14:paraId="6DDA4DC9" w14:textId="77777777" w:rsidTr="001E60AC">
        <w:tc>
          <w:tcPr>
            <w:tcW w:w="1215" w:type="pct"/>
            <w:vMerge/>
          </w:tcPr>
          <w:p w14:paraId="1CD5ACD0" w14:textId="77777777" w:rsidR="005301F8" w:rsidRPr="00AA795E" w:rsidRDefault="005301F8" w:rsidP="00C95C1F">
            <w:pPr>
              <w:pStyle w:val="TableText"/>
            </w:pPr>
          </w:p>
        </w:tc>
        <w:tc>
          <w:tcPr>
            <w:tcW w:w="3785" w:type="pct"/>
          </w:tcPr>
          <w:p w14:paraId="4C535DBC" w14:textId="25AA6CFC" w:rsidR="005301F8" w:rsidRPr="002276FC" w:rsidRDefault="001E60AC">
            <w:pPr>
              <w:pStyle w:val="TableText"/>
              <w:numPr>
                <w:ilvl w:val="0"/>
                <w:numId w:val="34"/>
              </w:numPr>
              <w:ind w:left="342" w:hanging="270"/>
              <w:rPr>
                <w:szCs w:val="18"/>
              </w:rPr>
            </w:pPr>
            <w:r>
              <w:rPr>
                <w:szCs w:val="18"/>
              </w:rPr>
              <w:t xml:space="preserve">Barriers to using information </w:t>
            </w:r>
            <w:r w:rsidRPr="000C2A2B">
              <w:rPr>
                <w:szCs w:val="18"/>
              </w:rPr>
              <w:t xml:space="preserve">in work with </w:t>
            </w:r>
            <w:r w:rsidRPr="001E60AC">
              <w:rPr>
                <w:szCs w:val="18"/>
              </w:rPr>
              <w:t>EHS-CCP grantees</w:t>
            </w:r>
            <w:r>
              <w:rPr>
                <w:szCs w:val="18"/>
              </w:rPr>
              <w:t xml:space="preserve"> </w:t>
            </w:r>
            <w:r w:rsidR="00087CB7">
              <w:rPr>
                <w:szCs w:val="18"/>
              </w:rPr>
              <w:t>and child care partners</w:t>
            </w:r>
          </w:p>
        </w:tc>
      </w:tr>
      <w:tr w:rsidR="005301F8" w:rsidRPr="00AA795E" w14:paraId="6D0EF1A7" w14:textId="77777777" w:rsidTr="001E60AC">
        <w:tc>
          <w:tcPr>
            <w:tcW w:w="1215" w:type="pct"/>
            <w:vMerge/>
          </w:tcPr>
          <w:p w14:paraId="6AE71A18" w14:textId="77777777" w:rsidR="005301F8" w:rsidRPr="00AA795E" w:rsidRDefault="005301F8" w:rsidP="00C95C1F">
            <w:pPr>
              <w:pStyle w:val="TableText"/>
            </w:pPr>
          </w:p>
        </w:tc>
        <w:tc>
          <w:tcPr>
            <w:tcW w:w="3785" w:type="pct"/>
          </w:tcPr>
          <w:p w14:paraId="3EE0F125" w14:textId="73F0AF54" w:rsidR="005301F8" w:rsidRPr="002276FC" w:rsidRDefault="001E60AC">
            <w:pPr>
              <w:pStyle w:val="TableText"/>
              <w:numPr>
                <w:ilvl w:val="0"/>
                <w:numId w:val="34"/>
              </w:numPr>
              <w:ind w:left="342" w:hanging="270"/>
              <w:rPr>
                <w:szCs w:val="18"/>
              </w:rPr>
            </w:pPr>
            <w:r>
              <w:rPr>
                <w:szCs w:val="18"/>
              </w:rPr>
              <w:t xml:space="preserve">Successes in using </w:t>
            </w:r>
            <w:r w:rsidRPr="001E60AC">
              <w:rPr>
                <w:szCs w:val="18"/>
              </w:rPr>
              <w:t xml:space="preserve">information </w:t>
            </w:r>
            <w:r w:rsidRPr="000C2A2B">
              <w:rPr>
                <w:szCs w:val="18"/>
              </w:rPr>
              <w:t xml:space="preserve">in work with </w:t>
            </w:r>
            <w:r w:rsidRPr="001E60AC">
              <w:rPr>
                <w:szCs w:val="18"/>
              </w:rPr>
              <w:t>EHS-CCP grantees</w:t>
            </w:r>
            <w:r w:rsidR="00087CB7">
              <w:rPr>
                <w:szCs w:val="18"/>
              </w:rPr>
              <w:t xml:space="preserve"> and child care partners</w:t>
            </w:r>
          </w:p>
        </w:tc>
      </w:tr>
      <w:tr w:rsidR="005301F8" w:rsidRPr="00AA795E" w14:paraId="381630D4" w14:textId="77777777" w:rsidTr="001E60AC">
        <w:tc>
          <w:tcPr>
            <w:tcW w:w="1215" w:type="pct"/>
            <w:vMerge/>
          </w:tcPr>
          <w:p w14:paraId="71597659" w14:textId="77777777" w:rsidR="005301F8" w:rsidRPr="00AA795E" w:rsidRDefault="005301F8" w:rsidP="00C95C1F">
            <w:pPr>
              <w:pStyle w:val="TableText"/>
            </w:pPr>
          </w:p>
        </w:tc>
        <w:tc>
          <w:tcPr>
            <w:tcW w:w="3785" w:type="pct"/>
          </w:tcPr>
          <w:p w14:paraId="101E16B7" w14:textId="0A740321" w:rsidR="005301F8" w:rsidRPr="002276FC" w:rsidRDefault="001E60AC" w:rsidP="00E714FB">
            <w:pPr>
              <w:pStyle w:val="TableText"/>
              <w:numPr>
                <w:ilvl w:val="0"/>
                <w:numId w:val="34"/>
              </w:numPr>
              <w:ind w:left="342" w:hanging="270"/>
              <w:rPr>
                <w:szCs w:val="18"/>
              </w:rPr>
            </w:pPr>
            <w:r>
              <w:rPr>
                <w:szCs w:val="18"/>
              </w:rPr>
              <w:t>Lessons learned about using information in work with EHS-CCP grantees</w:t>
            </w:r>
            <w:r w:rsidR="00087CB7">
              <w:rPr>
                <w:szCs w:val="18"/>
              </w:rPr>
              <w:t xml:space="preserve"> and child care partners</w:t>
            </w:r>
          </w:p>
        </w:tc>
      </w:tr>
      <w:tr w:rsidR="005301F8" w:rsidRPr="00AA795E" w14:paraId="36A35E03" w14:textId="77777777" w:rsidTr="001E60AC">
        <w:tc>
          <w:tcPr>
            <w:tcW w:w="1215" w:type="pct"/>
          </w:tcPr>
          <w:p w14:paraId="53C21AD5" w14:textId="77777777" w:rsidR="005301F8" w:rsidRPr="00305679" w:rsidRDefault="005301F8" w:rsidP="00C95C1F">
            <w:pPr>
              <w:pStyle w:val="TableText"/>
              <w:rPr>
                <w:sz w:val="12"/>
                <w:szCs w:val="12"/>
              </w:rPr>
            </w:pPr>
          </w:p>
        </w:tc>
        <w:tc>
          <w:tcPr>
            <w:tcW w:w="3785" w:type="pct"/>
          </w:tcPr>
          <w:p w14:paraId="588C5124" w14:textId="77777777" w:rsidR="005301F8" w:rsidRPr="00305679" w:rsidRDefault="005301F8" w:rsidP="00305679">
            <w:pPr>
              <w:pStyle w:val="TableText"/>
              <w:ind w:hanging="270"/>
              <w:rPr>
                <w:sz w:val="12"/>
                <w:szCs w:val="12"/>
              </w:rPr>
            </w:pPr>
          </w:p>
        </w:tc>
      </w:tr>
      <w:tr w:rsidR="003800F0" w:rsidRPr="00AA795E" w14:paraId="69AAB464" w14:textId="77777777" w:rsidTr="001E60AC">
        <w:tc>
          <w:tcPr>
            <w:tcW w:w="1215" w:type="pct"/>
            <w:vMerge w:val="restart"/>
          </w:tcPr>
          <w:p w14:paraId="345A75DA" w14:textId="5595D259" w:rsidR="003800F0" w:rsidRPr="00AA795E" w:rsidRDefault="003800F0" w:rsidP="003800F0">
            <w:pPr>
              <w:pStyle w:val="TableText"/>
            </w:pPr>
            <w:r>
              <w:t xml:space="preserve">Recommendations for improvements </w:t>
            </w:r>
          </w:p>
        </w:tc>
        <w:tc>
          <w:tcPr>
            <w:tcW w:w="3785" w:type="pct"/>
          </w:tcPr>
          <w:p w14:paraId="0D680118" w14:textId="35BA3250" w:rsidR="003800F0" w:rsidRPr="00AA795E" w:rsidRDefault="003800F0" w:rsidP="003800F0">
            <w:pPr>
              <w:pStyle w:val="TableText"/>
              <w:numPr>
                <w:ilvl w:val="0"/>
                <w:numId w:val="34"/>
              </w:numPr>
              <w:ind w:left="342" w:hanging="270"/>
            </w:pPr>
            <w:r>
              <w:t>Recommendations for improving content of T/TA supports</w:t>
            </w:r>
          </w:p>
        </w:tc>
      </w:tr>
      <w:tr w:rsidR="003800F0" w:rsidRPr="00AA795E" w14:paraId="28CADE39" w14:textId="77777777" w:rsidTr="001E60AC">
        <w:tc>
          <w:tcPr>
            <w:tcW w:w="1215" w:type="pct"/>
            <w:vMerge/>
          </w:tcPr>
          <w:p w14:paraId="54D754B1" w14:textId="77777777" w:rsidR="003800F0" w:rsidRPr="00AA795E" w:rsidRDefault="003800F0" w:rsidP="003800F0">
            <w:pPr>
              <w:pStyle w:val="TableText"/>
            </w:pPr>
          </w:p>
        </w:tc>
        <w:tc>
          <w:tcPr>
            <w:tcW w:w="3785" w:type="pct"/>
          </w:tcPr>
          <w:p w14:paraId="63D8E782" w14:textId="4329083F" w:rsidR="003800F0" w:rsidRPr="00AA795E" w:rsidRDefault="003800F0" w:rsidP="003800F0">
            <w:pPr>
              <w:pStyle w:val="TableText"/>
              <w:numPr>
                <w:ilvl w:val="0"/>
                <w:numId w:val="34"/>
              </w:numPr>
              <w:ind w:left="342" w:hanging="270"/>
            </w:pPr>
            <w:r>
              <w:t>Recommendations for improving accessibility of T/TA supports</w:t>
            </w:r>
          </w:p>
        </w:tc>
      </w:tr>
      <w:tr w:rsidR="003800F0" w:rsidRPr="00AA795E" w14:paraId="7EB856B5" w14:textId="77777777" w:rsidTr="001E60AC">
        <w:tc>
          <w:tcPr>
            <w:tcW w:w="1215" w:type="pct"/>
            <w:vMerge/>
          </w:tcPr>
          <w:p w14:paraId="09BBE96E" w14:textId="77777777" w:rsidR="003800F0" w:rsidRPr="00AA795E" w:rsidRDefault="003800F0" w:rsidP="003800F0">
            <w:pPr>
              <w:pStyle w:val="TableText"/>
            </w:pPr>
          </w:p>
        </w:tc>
        <w:tc>
          <w:tcPr>
            <w:tcW w:w="3785" w:type="pct"/>
          </w:tcPr>
          <w:p w14:paraId="08F6E7B2" w14:textId="32B15B8D" w:rsidR="003800F0" w:rsidRPr="00AA795E" w:rsidRDefault="003800F0" w:rsidP="003800F0">
            <w:pPr>
              <w:pStyle w:val="TableText"/>
              <w:numPr>
                <w:ilvl w:val="0"/>
                <w:numId w:val="34"/>
              </w:numPr>
              <w:ind w:left="342" w:hanging="270"/>
            </w:pPr>
            <w:r>
              <w:t>Preferred format</w:t>
            </w:r>
            <w:r w:rsidR="00EA78FC">
              <w:t xml:space="preserve"> or </w:t>
            </w:r>
            <w:r w:rsidR="00045351">
              <w:t>mode</w:t>
            </w:r>
            <w:r>
              <w:t xml:space="preserve"> for</w:t>
            </w:r>
            <w:r w:rsidR="00045351">
              <w:t xml:space="preserve"> T/TA</w:t>
            </w:r>
          </w:p>
        </w:tc>
      </w:tr>
      <w:tr w:rsidR="003800F0" w:rsidRPr="00AA795E" w14:paraId="04FEB6D1" w14:textId="77777777" w:rsidTr="001E60AC">
        <w:tc>
          <w:tcPr>
            <w:tcW w:w="1215" w:type="pct"/>
            <w:vMerge/>
          </w:tcPr>
          <w:p w14:paraId="00E365E8" w14:textId="77777777" w:rsidR="003800F0" w:rsidRPr="00AA795E" w:rsidRDefault="003800F0" w:rsidP="003800F0">
            <w:pPr>
              <w:pStyle w:val="TableText"/>
            </w:pPr>
          </w:p>
        </w:tc>
        <w:tc>
          <w:tcPr>
            <w:tcW w:w="3785" w:type="pct"/>
          </w:tcPr>
          <w:p w14:paraId="2EC91AF9" w14:textId="262DC018" w:rsidR="003800F0" w:rsidRPr="00AA795E" w:rsidRDefault="00045351" w:rsidP="00045351">
            <w:pPr>
              <w:pStyle w:val="TableText"/>
              <w:numPr>
                <w:ilvl w:val="0"/>
                <w:numId w:val="34"/>
              </w:numPr>
              <w:ind w:left="342" w:hanging="270"/>
            </w:pPr>
            <w:r>
              <w:t>Recommendations for increasing applicability for work with EHS-CCP grantees</w:t>
            </w:r>
            <w:r w:rsidR="00087CB7">
              <w:t xml:space="preserve"> </w:t>
            </w:r>
            <w:r w:rsidR="00087CB7">
              <w:rPr>
                <w:szCs w:val="18"/>
              </w:rPr>
              <w:t>and child care partners</w:t>
            </w:r>
          </w:p>
        </w:tc>
      </w:tr>
      <w:tr w:rsidR="003800F0" w:rsidRPr="00AA795E" w14:paraId="3AD92237" w14:textId="77777777" w:rsidTr="001E60AC">
        <w:tc>
          <w:tcPr>
            <w:tcW w:w="1215" w:type="pct"/>
            <w:vMerge/>
          </w:tcPr>
          <w:p w14:paraId="3AB82E57" w14:textId="77777777" w:rsidR="003800F0" w:rsidRPr="00AA795E" w:rsidRDefault="003800F0" w:rsidP="003800F0">
            <w:pPr>
              <w:pStyle w:val="TableText"/>
            </w:pPr>
          </w:p>
        </w:tc>
        <w:tc>
          <w:tcPr>
            <w:tcW w:w="3785" w:type="pct"/>
          </w:tcPr>
          <w:p w14:paraId="46D6A535" w14:textId="6162ED3E" w:rsidR="003800F0" w:rsidRPr="00AA795E" w:rsidRDefault="00045351" w:rsidP="00045351">
            <w:pPr>
              <w:pStyle w:val="TableText"/>
              <w:numPr>
                <w:ilvl w:val="0"/>
                <w:numId w:val="34"/>
              </w:numPr>
              <w:ind w:left="342" w:hanging="270"/>
            </w:pPr>
            <w:r>
              <w:t xml:space="preserve">Recommendations for increasing applicability for work with EHS-CCP grantees </w:t>
            </w:r>
            <w:r w:rsidR="00087CB7">
              <w:rPr>
                <w:szCs w:val="18"/>
              </w:rPr>
              <w:t>and child care partners</w:t>
            </w:r>
            <w:r w:rsidR="00087CB7">
              <w:t xml:space="preserve"> </w:t>
            </w:r>
            <w:r>
              <w:t xml:space="preserve">serving culturally and linguistically diverse children and families </w:t>
            </w:r>
          </w:p>
        </w:tc>
      </w:tr>
      <w:tr w:rsidR="003800F0" w:rsidRPr="00AA795E" w14:paraId="25AAB1B6" w14:textId="77777777" w:rsidTr="001E60AC">
        <w:tc>
          <w:tcPr>
            <w:tcW w:w="1215" w:type="pct"/>
          </w:tcPr>
          <w:p w14:paraId="6684DE8E" w14:textId="77777777" w:rsidR="003800F0" w:rsidRPr="00305679" w:rsidRDefault="003800F0" w:rsidP="003800F0">
            <w:pPr>
              <w:pStyle w:val="TableText"/>
              <w:rPr>
                <w:sz w:val="12"/>
                <w:szCs w:val="12"/>
              </w:rPr>
            </w:pPr>
          </w:p>
        </w:tc>
        <w:tc>
          <w:tcPr>
            <w:tcW w:w="3785" w:type="pct"/>
          </w:tcPr>
          <w:p w14:paraId="125ACD6C" w14:textId="77777777" w:rsidR="003800F0" w:rsidRPr="00305679" w:rsidRDefault="003800F0" w:rsidP="003800F0">
            <w:pPr>
              <w:pStyle w:val="TableText"/>
              <w:ind w:hanging="270"/>
              <w:rPr>
                <w:sz w:val="12"/>
                <w:szCs w:val="12"/>
              </w:rPr>
            </w:pPr>
          </w:p>
        </w:tc>
      </w:tr>
      <w:tr w:rsidR="003800F0" w:rsidRPr="00AA795E" w14:paraId="3A683EF9" w14:textId="77777777" w:rsidTr="001E60AC">
        <w:tc>
          <w:tcPr>
            <w:tcW w:w="1215" w:type="pct"/>
          </w:tcPr>
          <w:p w14:paraId="7DD43B11" w14:textId="77777777" w:rsidR="003800F0" w:rsidRPr="00305679" w:rsidRDefault="003800F0" w:rsidP="003800F0">
            <w:pPr>
              <w:pStyle w:val="TableText"/>
              <w:rPr>
                <w:sz w:val="12"/>
                <w:szCs w:val="12"/>
              </w:rPr>
            </w:pPr>
          </w:p>
        </w:tc>
        <w:tc>
          <w:tcPr>
            <w:tcW w:w="3785" w:type="pct"/>
          </w:tcPr>
          <w:p w14:paraId="51EB07AA" w14:textId="77777777" w:rsidR="003800F0" w:rsidRPr="00305679" w:rsidRDefault="003800F0" w:rsidP="003800F0">
            <w:pPr>
              <w:spacing w:line="240" w:lineRule="auto"/>
              <w:ind w:hanging="270"/>
              <w:rPr>
                <w:color w:val="000000"/>
                <w:sz w:val="12"/>
                <w:szCs w:val="12"/>
              </w:rPr>
            </w:pPr>
          </w:p>
        </w:tc>
      </w:tr>
      <w:tr w:rsidR="003800F0" w:rsidRPr="00AA795E" w14:paraId="606959E8" w14:textId="77777777" w:rsidTr="001E60AC">
        <w:tc>
          <w:tcPr>
            <w:tcW w:w="1215" w:type="pct"/>
            <w:vMerge w:val="restart"/>
          </w:tcPr>
          <w:p w14:paraId="4C44B7A3" w14:textId="05BFB690" w:rsidR="003800F0" w:rsidRPr="00AA795E" w:rsidRDefault="003800F0" w:rsidP="003800F0">
            <w:pPr>
              <w:pStyle w:val="TableText"/>
            </w:pPr>
            <w:r>
              <w:t>Additional T/TA needs</w:t>
            </w:r>
          </w:p>
        </w:tc>
        <w:tc>
          <w:tcPr>
            <w:tcW w:w="3785" w:type="pct"/>
          </w:tcPr>
          <w:p w14:paraId="0345D89C" w14:textId="19BECD69" w:rsidR="003800F0" w:rsidRDefault="00045351" w:rsidP="003800F0">
            <w:pPr>
              <w:pStyle w:val="TableText"/>
              <w:numPr>
                <w:ilvl w:val="0"/>
                <w:numId w:val="34"/>
              </w:numPr>
              <w:ind w:left="342" w:hanging="270"/>
            </w:pPr>
            <w:r>
              <w:t>Additional training needs</w:t>
            </w:r>
          </w:p>
        </w:tc>
      </w:tr>
      <w:tr w:rsidR="003800F0" w:rsidRPr="00AA795E" w14:paraId="27D67EE4" w14:textId="77777777" w:rsidTr="001E60AC">
        <w:tc>
          <w:tcPr>
            <w:tcW w:w="1215" w:type="pct"/>
            <w:vMerge/>
            <w:tcBorders>
              <w:bottom w:val="single" w:sz="4" w:space="0" w:color="auto"/>
            </w:tcBorders>
          </w:tcPr>
          <w:p w14:paraId="49AC8E16" w14:textId="77777777" w:rsidR="003800F0" w:rsidRPr="00AA795E" w:rsidRDefault="003800F0" w:rsidP="003800F0">
            <w:pPr>
              <w:pStyle w:val="TableText"/>
            </w:pPr>
          </w:p>
        </w:tc>
        <w:tc>
          <w:tcPr>
            <w:tcW w:w="3785" w:type="pct"/>
            <w:tcBorders>
              <w:bottom w:val="single" w:sz="4" w:space="0" w:color="auto"/>
            </w:tcBorders>
          </w:tcPr>
          <w:p w14:paraId="7BD3B89B" w14:textId="5BEA2A94" w:rsidR="003800F0" w:rsidRDefault="00045351" w:rsidP="003800F0">
            <w:pPr>
              <w:pStyle w:val="TableText"/>
              <w:numPr>
                <w:ilvl w:val="0"/>
                <w:numId w:val="34"/>
              </w:numPr>
              <w:spacing w:after="40"/>
              <w:ind w:left="346" w:hanging="274"/>
            </w:pPr>
            <w:r>
              <w:t>Additional information needs</w:t>
            </w:r>
          </w:p>
        </w:tc>
      </w:tr>
    </w:tbl>
    <w:p w14:paraId="18365880" w14:textId="77777777" w:rsidR="007F18A0" w:rsidRPr="00890B06" w:rsidRDefault="007F18A0" w:rsidP="00305679">
      <w:pPr>
        <w:pStyle w:val="NormalSS"/>
        <w:ind w:firstLine="0"/>
      </w:pPr>
    </w:p>
    <w:sectPr w:rsidR="007F18A0" w:rsidRPr="00890B06" w:rsidSect="00053E1D">
      <w:pgSz w:w="15840" w:h="12240" w:orient="landscape" w:code="1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89B2F" w14:textId="77777777" w:rsidR="004839B3" w:rsidRDefault="004839B3" w:rsidP="002E3E35">
      <w:pPr>
        <w:spacing w:line="240" w:lineRule="auto"/>
      </w:pPr>
      <w:r>
        <w:separator/>
      </w:r>
    </w:p>
  </w:endnote>
  <w:endnote w:type="continuationSeparator" w:id="0">
    <w:p w14:paraId="5A7ACF20" w14:textId="77777777" w:rsidR="004839B3" w:rsidRDefault="004839B3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5E9E5" w14:textId="5ABA9517" w:rsidR="004839B3" w:rsidRPr="00964AB7" w:rsidRDefault="004839B3" w:rsidP="008D5714">
    <w:pPr>
      <w:spacing w:line="240" w:lineRule="auto"/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6DA50" w14:textId="711BCF59" w:rsidR="004839B3" w:rsidRPr="008D5714" w:rsidRDefault="00897732" w:rsidP="008D5714">
    <w:pPr>
      <w:tabs>
        <w:tab w:val="center" w:pos="6480"/>
      </w:tabs>
      <w:spacing w:before="120" w:line="240" w:lineRule="auto"/>
      <w:ind w:firstLine="0"/>
      <w:rPr>
        <w:rStyle w:val="PageNumber"/>
        <w:rFonts w:cs="Arial"/>
      </w:rPr>
    </w:pPr>
    <w:r w:rsidRPr="008D5714">
      <w:rPr>
        <w:rStyle w:val="PageNumber"/>
        <w:rFonts w:cs="Arial"/>
      </w:rPr>
      <w:tab/>
    </w:r>
    <w:r w:rsidR="009265A9" w:rsidRPr="008D5714">
      <w:rPr>
        <w:rStyle w:val="PageNumber"/>
        <w:rFonts w:cs="Arial"/>
      </w:rPr>
      <w:t>C.</w:t>
    </w:r>
    <w:r w:rsidR="009265A9" w:rsidRPr="008D5714">
      <w:rPr>
        <w:rStyle w:val="PageNumber"/>
        <w:rFonts w:cs="Arial"/>
      </w:rPr>
      <w:fldChar w:fldCharType="begin"/>
    </w:r>
    <w:r w:rsidR="009265A9" w:rsidRPr="008D5714">
      <w:rPr>
        <w:rStyle w:val="PageNumber"/>
        <w:rFonts w:cs="Arial"/>
      </w:rPr>
      <w:instrText xml:space="preserve"> PAGE   \* MERGEFORMAT </w:instrText>
    </w:r>
    <w:r w:rsidR="009265A9" w:rsidRPr="008D5714">
      <w:rPr>
        <w:rStyle w:val="PageNumber"/>
        <w:rFonts w:cs="Arial"/>
      </w:rPr>
      <w:fldChar w:fldCharType="separate"/>
    </w:r>
    <w:r w:rsidR="00554797">
      <w:rPr>
        <w:rStyle w:val="PageNumber"/>
        <w:rFonts w:cs="Arial"/>
        <w:noProof/>
      </w:rPr>
      <w:t>3</w:t>
    </w:r>
    <w:r w:rsidR="009265A9" w:rsidRPr="008D5714">
      <w:rPr>
        <w:rStyle w:val="PageNumber"/>
        <w:rFonts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7E48C" w14:textId="77777777" w:rsidR="004839B3" w:rsidRDefault="004839B3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545BC9AB" w14:textId="77777777" w:rsidR="004839B3" w:rsidRDefault="004839B3" w:rsidP="00203E3B">
      <w:pPr>
        <w:spacing w:line="240" w:lineRule="auto"/>
        <w:ind w:firstLine="0"/>
      </w:pPr>
      <w:r>
        <w:separator/>
      </w:r>
    </w:p>
    <w:p w14:paraId="605480E8" w14:textId="77777777" w:rsidR="004839B3" w:rsidRPr="00157CA2" w:rsidRDefault="004839B3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4D249" w14:textId="78F3D328" w:rsidR="004839B3" w:rsidRPr="00C44B5B" w:rsidRDefault="004839B3" w:rsidP="008D5714">
    <w:pPr>
      <w:spacing w:line="240" w:lineRule="auto"/>
      <w:rPr>
        <w:rFonts w:cs="Arial"/>
        <w:i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2BE4B" w14:textId="42F681E0" w:rsidR="004839B3" w:rsidRPr="008D5714" w:rsidRDefault="00897732">
    <w:pPr>
      <w:spacing w:line="240" w:lineRule="auto"/>
      <w:ind w:firstLine="0"/>
      <w:rPr>
        <w:rFonts w:ascii="Arial" w:hAnsi="Arial" w:cs="Arial"/>
        <w:sz w:val="16"/>
      </w:rPr>
    </w:pPr>
    <w:r w:rsidRPr="008D5714">
      <w:rPr>
        <w:rFonts w:ascii="Arial" w:hAnsi="Arial" w:cs="Arial"/>
        <w:sz w:val="16"/>
      </w:rPr>
      <w:t>ATTACHMENT C: STAKEHOLDER INTERVIEW TOPIC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E72BD3"/>
    <w:multiLevelType w:val="hybridMultilevel"/>
    <w:tmpl w:val="ABEC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6"/>
  </w:num>
  <w:num w:numId="5">
    <w:abstractNumId w:val="22"/>
  </w:num>
  <w:num w:numId="6">
    <w:abstractNumId w:val="24"/>
  </w:num>
  <w:num w:numId="7">
    <w:abstractNumId w:val="18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10"/>
  </w:num>
  <w:num w:numId="19">
    <w:abstractNumId w:val="15"/>
  </w:num>
  <w:num w:numId="20">
    <w:abstractNumId w:val="4"/>
  </w:num>
  <w:num w:numId="21">
    <w:abstractNumId w:val="16"/>
  </w:num>
  <w:num w:numId="22">
    <w:abstractNumId w:val="2"/>
  </w:num>
  <w:num w:numId="23">
    <w:abstractNumId w:val="11"/>
  </w:num>
  <w:num w:numId="24">
    <w:abstractNumId w:val="20"/>
  </w:num>
  <w:num w:numId="25">
    <w:abstractNumId w:val="5"/>
  </w:num>
  <w:num w:numId="26">
    <w:abstractNumId w:val="1"/>
  </w:num>
  <w:num w:numId="27">
    <w:abstractNumId w:val="8"/>
  </w:num>
  <w:num w:numId="28">
    <w:abstractNumId w:val="12"/>
  </w:num>
  <w:num w:numId="29">
    <w:abstractNumId w:val="19"/>
  </w:num>
  <w:num w:numId="30">
    <w:abstractNumId w:val="17"/>
  </w:num>
  <w:num w:numId="31">
    <w:abstractNumId w:val="3"/>
  </w:num>
  <w:num w:numId="32">
    <w:abstractNumId w:val="13"/>
    <w:lvlOverride w:ilvl="0">
      <w:startOverride w:val="1"/>
    </w:lvlOverride>
  </w:num>
  <w:num w:numId="33">
    <w:abstractNumId w:val="9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06"/>
    <w:rsid w:val="000030B1"/>
    <w:rsid w:val="00010CEE"/>
    <w:rsid w:val="00011630"/>
    <w:rsid w:val="00013360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0D39"/>
    <w:rsid w:val="000423BE"/>
    <w:rsid w:val="00042419"/>
    <w:rsid w:val="00042FA8"/>
    <w:rsid w:val="00043329"/>
    <w:rsid w:val="00043497"/>
    <w:rsid w:val="00043B27"/>
    <w:rsid w:val="00044069"/>
    <w:rsid w:val="00044E09"/>
    <w:rsid w:val="00045351"/>
    <w:rsid w:val="00047BDD"/>
    <w:rsid w:val="00050C15"/>
    <w:rsid w:val="00053E1D"/>
    <w:rsid w:val="000568CD"/>
    <w:rsid w:val="00056BC1"/>
    <w:rsid w:val="000575D5"/>
    <w:rsid w:val="000578BB"/>
    <w:rsid w:val="00060579"/>
    <w:rsid w:val="000633AA"/>
    <w:rsid w:val="00067CD6"/>
    <w:rsid w:val="0007041A"/>
    <w:rsid w:val="000777DB"/>
    <w:rsid w:val="000855BD"/>
    <w:rsid w:val="00086066"/>
    <w:rsid w:val="00087CB7"/>
    <w:rsid w:val="0009143A"/>
    <w:rsid w:val="00095543"/>
    <w:rsid w:val="000972E1"/>
    <w:rsid w:val="000A2181"/>
    <w:rsid w:val="000A2330"/>
    <w:rsid w:val="000A379C"/>
    <w:rsid w:val="000A5A8D"/>
    <w:rsid w:val="000A6591"/>
    <w:rsid w:val="000A7604"/>
    <w:rsid w:val="000A7FB4"/>
    <w:rsid w:val="000B521D"/>
    <w:rsid w:val="000B555A"/>
    <w:rsid w:val="000B764C"/>
    <w:rsid w:val="000C2A2B"/>
    <w:rsid w:val="000C2E3B"/>
    <w:rsid w:val="000C413E"/>
    <w:rsid w:val="000C4CDA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6C9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A39C6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0AC"/>
    <w:rsid w:val="001E6A60"/>
    <w:rsid w:val="001E6E5A"/>
    <w:rsid w:val="00201178"/>
    <w:rsid w:val="00201E7E"/>
    <w:rsid w:val="00203E3B"/>
    <w:rsid w:val="00204AB9"/>
    <w:rsid w:val="00204B23"/>
    <w:rsid w:val="002050B7"/>
    <w:rsid w:val="00205AA9"/>
    <w:rsid w:val="00214E0B"/>
    <w:rsid w:val="00215C5A"/>
    <w:rsid w:val="00215E4D"/>
    <w:rsid w:val="002166BC"/>
    <w:rsid w:val="00217FA0"/>
    <w:rsid w:val="00225954"/>
    <w:rsid w:val="0022714B"/>
    <w:rsid w:val="002272CB"/>
    <w:rsid w:val="002276FC"/>
    <w:rsid w:val="00230846"/>
    <w:rsid w:val="00231607"/>
    <w:rsid w:val="0023638D"/>
    <w:rsid w:val="00246DEE"/>
    <w:rsid w:val="00247945"/>
    <w:rsid w:val="00254C89"/>
    <w:rsid w:val="00254E2D"/>
    <w:rsid w:val="00256D04"/>
    <w:rsid w:val="0026025C"/>
    <w:rsid w:val="00261270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2A94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17C6"/>
    <w:rsid w:val="0030242C"/>
    <w:rsid w:val="00302890"/>
    <w:rsid w:val="00305679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00F0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D626F"/>
    <w:rsid w:val="003E1520"/>
    <w:rsid w:val="003E21DB"/>
    <w:rsid w:val="003E3505"/>
    <w:rsid w:val="003E418E"/>
    <w:rsid w:val="003E7979"/>
    <w:rsid w:val="003F4ADD"/>
    <w:rsid w:val="003F7027"/>
    <w:rsid w:val="003F757D"/>
    <w:rsid w:val="003F7D6D"/>
    <w:rsid w:val="00402901"/>
    <w:rsid w:val="00403304"/>
    <w:rsid w:val="00406760"/>
    <w:rsid w:val="00413779"/>
    <w:rsid w:val="00430A83"/>
    <w:rsid w:val="00431084"/>
    <w:rsid w:val="00431873"/>
    <w:rsid w:val="0043349B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73E4C"/>
    <w:rsid w:val="00480779"/>
    <w:rsid w:val="004839B3"/>
    <w:rsid w:val="004848FB"/>
    <w:rsid w:val="004867C2"/>
    <w:rsid w:val="0049195D"/>
    <w:rsid w:val="00491AB9"/>
    <w:rsid w:val="004934BE"/>
    <w:rsid w:val="00495DE3"/>
    <w:rsid w:val="0049692E"/>
    <w:rsid w:val="00496AC9"/>
    <w:rsid w:val="004A4935"/>
    <w:rsid w:val="004B47D3"/>
    <w:rsid w:val="004C3768"/>
    <w:rsid w:val="004C498B"/>
    <w:rsid w:val="004C67B1"/>
    <w:rsid w:val="004D1EAA"/>
    <w:rsid w:val="004D2C35"/>
    <w:rsid w:val="004D6B97"/>
    <w:rsid w:val="004E049B"/>
    <w:rsid w:val="004E1972"/>
    <w:rsid w:val="004E69F7"/>
    <w:rsid w:val="004E7409"/>
    <w:rsid w:val="004E74D1"/>
    <w:rsid w:val="004F2BAC"/>
    <w:rsid w:val="004F36C4"/>
    <w:rsid w:val="00500104"/>
    <w:rsid w:val="0050038C"/>
    <w:rsid w:val="00502E5E"/>
    <w:rsid w:val="00505804"/>
    <w:rsid w:val="00506F79"/>
    <w:rsid w:val="00511D22"/>
    <w:rsid w:val="00520A61"/>
    <w:rsid w:val="005257EC"/>
    <w:rsid w:val="00525FE4"/>
    <w:rsid w:val="00526576"/>
    <w:rsid w:val="00526D08"/>
    <w:rsid w:val="005301F8"/>
    <w:rsid w:val="00535221"/>
    <w:rsid w:val="0053540D"/>
    <w:rsid w:val="00537E01"/>
    <w:rsid w:val="005400FC"/>
    <w:rsid w:val="00540352"/>
    <w:rsid w:val="005403E8"/>
    <w:rsid w:val="00551D48"/>
    <w:rsid w:val="0055382D"/>
    <w:rsid w:val="00554797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21C6"/>
    <w:rsid w:val="005A7F69"/>
    <w:rsid w:val="005B3BFB"/>
    <w:rsid w:val="005C2E96"/>
    <w:rsid w:val="005C40D5"/>
    <w:rsid w:val="005C40E0"/>
    <w:rsid w:val="005D00AB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1F96"/>
    <w:rsid w:val="0067223B"/>
    <w:rsid w:val="0067358F"/>
    <w:rsid w:val="0067395C"/>
    <w:rsid w:val="00675402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5716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284E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479D1"/>
    <w:rsid w:val="0075488B"/>
    <w:rsid w:val="0075589A"/>
    <w:rsid w:val="00756044"/>
    <w:rsid w:val="00756E06"/>
    <w:rsid w:val="007614D4"/>
    <w:rsid w:val="00761C9D"/>
    <w:rsid w:val="00761DA6"/>
    <w:rsid w:val="007623DE"/>
    <w:rsid w:val="00764A19"/>
    <w:rsid w:val="007700B1"/>
    <w:rsid w:val="0077561B"/>
    <w:rsid w:val="00780B38"/>
    <w:rsid w:val="00781F52"/>
    <w:rsid w:val="007825D9"/>
    <w:rsid w:val="0078758E"/>
    <w:rsid w:val="00787CE7"/>
    <w:rsid w:val="007940B9"/>
    <w:rsid w:val="007963EB"/>
    <w:rsid w:val="007A1493"/>
    <w:rsid w:val="007A1569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7E784A"/>
    <w:rsid w:val="007F0EA3"/>
    <w:rsid w:val="007F18A0"/>
    <w:rsid w:val="007F5DA3"/>
    <w:rsid w:val="0080264C"/>
    <w:rsid w:val="008059AC"/>
    <w:rsid w:val="008065F4"/>
    <w:rsid w:val="00811638"/>
    <w:rsid w:val="00814AE7"/>
    <w:rsid w:val="00815382"/>
    <w:rsid w:val="00821341"/>
    <w:rsid w:val="00827346"/>
    <w:rsid w:val="00830296"/>
    <w:rsid w:val="008321D0"/>
    <w:rsid w:val="00833B51"/>
    <w:rsid w:val="008403EE"/>
    <w:rsid w:val="008405D8"/>
    <w:rsid w:val="00841251"/>
    <w:rsid w:val="00841793"/>
    <w:rsid w:val="008453D2"/>
    <w:rsid w:val="00845E62"/>
    <w:rsid w:val="0085028F"/>
    <w:rsid w:val="00850F24"/>
    <w:rsid w:val="00852D7A"/>
    <w:rsid w:val="008540D9"/>
    <w:rsid w:val="00854CC7"/>
    <w:rsid w:val="00854FD1"/>
    <w:rsid w:val="0086419D"/>
    <w:rsid w:val="00865AD4"/>
    <w:rsid w:val="00865E7D"/>
    <w:rsid w:val="00872A9C"/>
    <w:rsid w:val="00877B02"/>
    <w:rsid w:val="008813AB"/>
    <w:rsid w:val="0088174A"/>
    <w:rsid w:val="00882E5C"/>
    <w:rsid w:val="00884277"/>
    <w:rsid w:val="00890B06"/>
    <w:rsid w:val="0089611E"/>
    <w:rsid w:val="00897391"/>
    <w:rsid w:val="00897732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5714"/>
    <w:rsid w:val="008D625E"/>
    <w:rsid w:val="008D680C"/>
    <w:rsid w:val="008D6AB9"/>
    <w:rsid w:val="008E0151"/>
    <w:rsid w:val="008E2336"/>
    <w:rsid w:val="008E725C"/>
    <w:rsid w:val="008F2984"/>
    <w:rsid w:val="008F3DDC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0CD"/>
    <w:rsid w:val="0092292E"/>
    <w:rsid w:val="009250ED"/>
    <w:rsid w:val="009259C2"/>
    <w:rsid w:val="009265A9"/>
    <w:rsid w:val="00931483"/>
    <w:rsid w:val="009315B2"/>
    <w:rsid w:val="0093204A"/>
    <w:rsid w:val="00932372"/>
    <w:rsid w:val="00932E4E"/>
    <w:rsid w:val="00935598"/>
    <w:rsid w:val="00940BA2"/>
    <w:rsid w:val="009449F9"/>
    <w:rsid w:val="00944C5E"/>
    <w:rsid w:val="00953BA2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305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2A1F"/>
    <w:rsid w:val="00A343A5"/>
    <w:rsid w:val="00A3715B"/>
    <w:rsid w:val="00A40FBE"/>
    <w:rsid w:val="00A469D3"/>
    <w:rsid w:val="00A47E39"/>
    <w:rsid w:val="00A570A0"/>
    <w:rsid w:val="00A60379"/>
    <w:rsid w:val="00A606CF"/>
    <w:rsid w:val="00A607F6"/>
    <w:rsid w:val="00A66515"/>
    <w:rsid w:val="00A66A4E"/>
    <w:rsid w:val="00A70EF5"/>
    <w:rsid w:val="00A74AFC"/>
    <w:rsid w:val="00A74D33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839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5B2F"/>
    <w:rsid w:val="00B176FD"/>
    <w:rsid w:val="00B30F06"/>
    <w:rsid w:val="00B331F4"/>
    <w:rsid w:val="00B33BD4"/>
    <w:rsid w:val="00B36EF4"/>
    <w:rsid w:val="00B42423"/>
    <w:rsid w:val="00B45465"/>
    <w:rsid w:val="00B45B86"/>
    <w:rsid w:val="00B518EB"/>
    <w:rsid w:val="00B57DCF"/>
    <w:rsid w:val="00B6037C"/>
    <w:rsid w:val="00B615B1"/>
    <w:rsid w:val="00B66C18"/>
    <w:rsid w:val="00B70200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D5057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5C1F"/>
    <w:rsid w:val="00C971DE"/>
    <w:rsid w:val="00CA1FFC"/>
    <w:rsid w:val="00CA6471"/>
    <w:rsid w:val="00CA73BC"/>
    <w:rsid w:val="00CA7F45"/>
    <w:rsid w:val="00CB1533"/>
    <w:rsid w:val="00CB1CB6"/>
    <w:rsid w:val="00CB3552"/>
    <w:rsid w:val="00CB47C5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D7C95"/>
    <w:rsid w:val="00CE181B"/>
    <w:rsid w:val="00CE347E"/>
    <w:rsid w:val="00CE55BF"/>
    <w:rsid w:val="00CE614C"/>
    <w:rsid w:val="00CF1928"/>
    <w:rsid w:val="00CF429F"/>
    <w:rsid w:val="00CF6E72"/>
    <w:rsid w:val="00CF773F"/>
    <w:rsid w:val="00CF7C68"/>
    <w:rsid w:val="00D04B5A"/>
    <w:rsid w:val="00D05BD4"/>
    <w:rsid w:val="00D100F8"/>
    <w:rsid w:val="00D13A18"/>
    <w:rsid w:val="00D154AE"/>
    <w:rsid w:val="00D15E8A"/>
    <w:rsid w:val="00D16BA1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66195"/>
    <w:rsid w:val="00D71B98"/>
    <w:rsid w:val="00D849EE"/>
    <w:rsid w:val="00D853B0"/>
    <w:rsid w:val="00D854D7"/>
    <w:rsid w:val="00D864BC"/>
    <w:rsid w:val="00D8659F"/>
    <w:rsid w:val="00D934D1"/>
    <w:rsid w:val="00D9439C"/>
    <w:rsid w:val="00DA37FA"/>
    <w:rsid w:val="00DA4E74"/>
    <w:rsid w:val="00DB0CFD"/>
    <w:rsid w:val="00DB1FC6"/>
    <w:rsid w:val="00DB2324"/>
    <w:rsid w:val="00DC02C5"/>
    <w:rsid w:val="00DC0518"/>
    <w:rsid w:val="00DC1F96"/>
    <w:rsid w:val="00DC2044"/>
    <w:rsid w:val="00DC57DB"/>
    <w:rsid w:val="00DD2ADB"/>
    <w:rsid w:val="00DD5E7B"/>
    <w:rsid w:val="00DE061D"/>
    <w:rsid w:val="00DE17B4"/>
    <w:rsid w:val="00DE222B"/>
    <w:rsid w:val="00DE4BDB"/>
    <w:rsid w:val="00DE4FC5"/>
    <w:rsid w:val="00DF3111"/>
    <w:rsid w:val="00DF4330"/>
    <w:rsid w:val="00DF4F75"/>
    <w:rsid w:val="00DF6817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3167"/>
    <w:rsid w:val="00E55240"/>
    <w:rsid w:val="00E56206"/>
    <w:rsid w:val="00E57389"/>
    <w:rsid w:val="00E57A14"/>
    <w:rsid w:val="00E6337E"/>
    <w:rsid w:val="00E63878"/>
    <w:rsid w:val="00E64671"/>
    <w:rsid w:val="00E655FB"/>
    <w:rsid w:val="00E67AF9"/>
    <w:rsid w:val="00E714FB"/>
    <w:rsid w:val="00E71EDC"/>
    <w:rsid w:val="00E742E4"/>
    <w:rsid w:val="00E77099"/>
    <w:rsid w:val="00E77EEF"/>
    <w:rsid w:val="00E81DAA"/>
    <w:rsid w:val="00E82C2F"/>
    <w:rsid w:val="00E85F06"/>
    <w:rsid w:val="00E877DB"/>
    <w:rsid w:val="00E97688"/>
    <w:rsid w:val="00EA2F43"/>
    <w:rsid w:val="00EA7592"/>
    <w:rsid w:val="00EA78FC"/>
    <w:rsid w:val="00EB175C"/>
    <w:rsid w:val="00EB62F9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EF792A"/>
    <w:rsid w:val="00F03913"/>
    <w:rsid w:val="00F04524"/>
    <w:rsid w:val="00F0490D"/>
    <w:rsid w:val="00F07599"/>
    <w:rsid w:val="00F1029B"/>
    <w:rsid w:val="00F108B0"/>
    <w:rsid w:val="00F12333"/>
    <w:rsid w:val="00F14FDC"/>
    <w:rsid w:val="00F220AC"/>
    <w:rsid w:val="00F2315C"/>
    <w:rsid w:val="00F318F6"/>
    <w:rsid w:val="00F326A0"/>
    <w:rsid w:val="00F43593"/>
    <w:rsid w:val="00F44272"/>
    <w:rsid w:val="00F51C91"/>
    <w:rsid w:val="00F540F2"/>
    <w:rsid w:val="00F553C3"/>
    <w:rsid w:val="00F567E2"/>
    <w:rsid w:val="00F6063A"/>
    <w:rsid w:val="00F60738"/>
    <w:rsid w:val="00F61242"/>
    <w:rsid w:val="00F6274E"/>
    <w:rsid w:val="00F70118"/>
    <w:rsid w:val="00F7515D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9A3686D"/>
  <w15:docId w15:val="{AB2EA4FE-9654-4B1D-8E2F-2281A4D1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6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AC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AC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AC9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7B4"/>
    <w:pPr>
      <w:spacing w:after="0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3F757D"/>
    <w:pPr>
      <w:spacing w:before="100" w:beforeAutospacing="1" w:after="100" w:afterAutospacing="1" w:line="240" w:lineRule="auto"/>
      <w:ind w:firstLine="0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New Collection</Request_x0020_Type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OCC-0336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220BEB9D-1E3A-41C2-9CC5-70D19D2534E9}"/>
</file>

<file path=customXml/itemProps2.xml><?xml version="1.0" encoding="utf-8"?>
<ds:datastoreItem xmlns:ds="http://schemas.openxmlformats.org/officeDocument/2006/customXml" ds:itemID="{3C3D250A-6098-4336-A627-95095FCF3281}"/>
</file>

<file path=customXml/itemProps3.xml><?xml version="1.0" encoding="utf-8"?>
<ds:datastoreItem xmlns:ds="http://schemas.openxmlformats.org/officeDocument/2006/customXml" ds:itemID="{08185C9E-1F14-413A-B83C-E8984B2F839B}"/>
</file>

<file path=customXml/itemProps4.xml><?xml version="1.0" encoding="utf-8"?>
<ds:datastoreItem xmlns:ds="http://schemas.openxmlformats.org/officeDocument/2006/customXml" ds:itemID="{3D98E7AE-B2DC-4DE9-8153-45A982E32D43}"/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16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</dc:title>
  <dc:creator>Diane Paulsell</dc:creator>
  <cp:lastModifiedBy>PDelGrosso</cp:lastModifiedBy>
  <cp:revision>11</cp:revision>
  <dcterms:created xsi:type="dcterms:W3CDTF">2015-06-30T15:16:00Z</dcterms:created>
  <dcterms:modified xsi:type="dcterms:W3CDTF">2016-01-08T15:12:00Z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