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E82" w:rsidRPr="00A1221F" w:rsidRDefault="00EB0E82" w:rsidP="00EB0E82">
      <w:pPr>
        <w:pStyle w:val="BodyText"/>
        <w:spacing w:line="360" w:lineRule="auto"/>
        <w:jc w:val="center"/>
        <w:rPr>
          <w:sz w:val="28"/>
        </w:rPr>
      </w:pPr>
      <w:bookmarkStart w:id="0" w:name="_Toc129590325"/>
      <w:bookmarkStart w:id="1" w:name="_Toc129668567"/>
      <w:r w:rsidRPr="00A1221F">
        <w:rPr>
          <w:sz w:val="28"/>
        </w:rPr>
        <w:t xml:space="preserve">Supporting Statement </w:t>
      </w:r>
      <w:r>
        <w:rPr>
          <w:sz w:val="28"/>
        </w:rPr>
        <w:t>B</w:t>
      </w:r>
    </w:p>
    <w:p w:rsidR="00EB0E82" w:rsidRPr="00A1221F" w:rsidRDefault="00EB0E82" w:rsidP="00EB0E82">
      <w:pPr>
        <w:pStyle w:val="BodyText"/>
        <w:spacing w:line="360" w:lineRule="auto"/>
        <w:jc w:val="center"/>
        <w:rPr>
          <w:i/>
          <w:sz w:val="28"/>
        </w:rPr>
      </w:pPr>
      <w:r w:rsidRPr="00A1221F">
        <w:rPr>
          <w:i/>
          <w:sz w:val="28"/>
        </w:rPr>
        <w:t xml:space="preserve">The Sister Study PHASE </w:t>
      </w:r>
      <w:r w:rsidR="00F70588" w:rsidRPr="00F70588">
        <w:rPr>
          <w:i/>
          <w:sz w:val="28"/>
          <w:highlight w:val="yellow"/>
        </w:rPr>
        <w:t>3</w:t>
      </w:r>
      <w:r w:rsidRPr="00A1221F">
        <w:rPr>
          <w:i/>
          <w:sz w:val="28"/>
        </w:rPr>
        <w:t xml:space="preserve">: </w:t>
      </w:r>
    </w:p>
    <w:p w:rsidR="00EB0E82" w:rsidRPr="00A1221F" w:rsidRDefault="00EB0E82" w:rsidP="00EB0E82">
      <w:pPr>
        <w:pStyle w:val="BodyText"/>
        <w:spacing w:line="360" w:lineRule="auto"/>
        <w:jc w:val="center"/>
        <w:rPr>
          <w:i/>
          <w:sz w:val="28"/>
        </w:rPr>
      </w:pPr>
      <w:r w:rsidRPr="00A1221F">
        <w:rPr>
          <w:i/>
          <w:sz w:val="28"/>
        </w:rPr>
        <w:t>Environmental and Genetic Risk Factors for Breast Cancer</w:t>
      </w:r>
    </w:p>
    <w:p w:rsidR="00EB0E82" w:rsidRPr="00A1221F" w:rsidRDefault="00EB0E82" w:rsidP="00EB0E82">
      <w:pPr>
        <w:pStyle w:val="BodyText"/>
        <w:spacing w:line="360" w:lineRule="auto"/>
        <w:jc w:val="center"/>
        <w:rPr>
          <w:i/>
          <w:sz w:val="28"/>
        </w:rPr>
      </w:pPr>
      <w:r w:rsidRPr="00A1221F">
        <w:rPr>
          <w:i/>
          <w:sz w:val="28"/>
        </w:rPr>
        <w:t>(NIH/NIEHS)</w:t>
      </w:r>
    </w:p>
    <w:p w:rsidR="009559F3" w:rsidRPr="000C621A" w:rsidRDefault="009559F3" w:rsidP="009559F3">
      <w:pPr>
        <w:pStyle w:val="BodyText"/>
        <w:spacing w:line="360" w:lineRule="auto"/>
        <w:jc w:val="center"/>
        <w:rPr>
          <w:smallCaps/>
          <w:color w:val="000000"/>
          <w:sz w:val="28"/>
          <w:szCs w:val="28"/>
        </w:rPr>
      </w:pPr>
      <w:r w:rsidRPr="000C621A">
        <w:rPr>
          <w:smallCaps/>
          <w:color w:val="000000"/>
          <w:sz w:val="28"/>
          <w:szCs w:val="28"/>
        </w:rPr>
        <w:t>Revision</w:t>
      </w:r>
    </w:p>
    <w:p w:rsidR="009559F3" w:rsidRPr="00F0730C" w:rsidRDefault="009559F3" w:rsidP="009559F3">
      <w:pPr>
        <w:pStyle w:val="BodyText"/>
        <w:spacing w:line="360" w:lineRule="auto"/>
        <w:jc w:val="center"/>
        <w:rPr>
          <w:b w:val="0"/>
          <w:sz w:val="22"/>
          <w:szCs w:val="22"/>
        </w:rPr>
      </w:pPr>
      <w:r w:rsidRPr="00F0730C">
        <w:rPr>
          <w:color w:val="000000"/>
          <w:sz w:val="22"/>
          <w:szCs w:val="22"/>
        </w:rPr>
        <w:t>OMB Control Number 0925-0522, Expiration Date: 2/29/2016</w:t>
      </w:r>
    </w:p>
    <w:p w:rsidR="009559F3" w:rsidRPr="00FF2565" w:rsidRDefault="00FF2565" w:rsidP="009559F3">
      <w:pPr>
        <w:pStyle w:val="BodyText"/>
        <w:spacing w:line="360" w:lineRule="auto"/>
        <w:jc w:val="center"/>
        <w:rPr>
          <w:sz w:val="22"/>
          <w:szCs w:val="22"/>
        </w:rPr>
      </w:pPr>
      <w:r w:rsidRPr="00FF2565">
        <w:rPr>
          <w:sz w:val="22"/>
          <w:szCs w:val="22"/>
        </w:rPr>
        <w:t>Submitted: 02/17/2016</w:t>
      </w:r>
    </w:p>
    <w:p w:rsidR="009559F3" w:rsidRPr="000C621A" w:rsidRDefault="009559F3" w:rsidP="009559F3">
      <w:pPr>
        <w:pStyle w:val="BodyText"/>
        <w:spacing w:line="240" w:lineRule="auto"/>
        <w:jc w:val="center"/>
        <w:rPr>
          <w:b w:val="0"/>
          <w:sz w:val="20"/>
        </w:rPr>
      </w:pPr>
      <w:r w:rsidRPr="004103F4">
        <w:rPr>
          <w:b w:val="0"/>
          <w:sz w:val="20"/>
          <w:highlight w:val="yellow"/>
        </w:rPr>
        <w:t>Yellow highlights indicate changes since the last submission in 2012;</w:t>
      </w:r>
    </w:p>
    <w:p w:rsidR="00E00BE1" w:rsidRDefault="00E00BE1" w:rsidP="009559F3">
      <w:pPr>
        <w:pStyle w:val="BodyText"/>
        <w:spacing w:line="240" w:lineRule="auto"/>
        <w:jc w:val="center"/>
        <w:rPr>
          <w:b w:val="0"/>
          <w:sz w:val="20"/>
        </w:rPr>
      </w:pPr>
    </w:p>
    <w:p w:rsidR="00EB0E82" w:rsidRPr="00A1221F" w:rsidRDefault="00EB0E82" w:rsidP="00EB0E82">
      <w:pPr>
        <w:pStyle w:val="BodyText"/>
        <w:spacing w:line="320" w:lineRule="exact"/>
        <w:rPr>
          <w:sz w:val="22"/>
        </w:rPr>
      </w:pPr>
      <w:r w:rsidRPr="00A1221F">
        <w:rPr>
          <w:sz w:val="22"/>
        </w:rPr>
        <w:t>Principal Investigator and Co-Project Officer:</w:t>
      </w:r>
    </w:p>
    <w:p w:rsidR="00EB0E82" w:rsidRPr="00A1221F" w:rsidRDefault="00EB0E82" w:rsidP="00EB0E82">
      <w:pPr>
        <w:pStyle w:val="BodyText"/>
        <w:tabs>
          <w:tab w:val="left" w:pos="1440"/>
        </w:tabs>
        <w:spacing w:line="320" w:lineRule="exact"/>
        <w:ind w:left="360"/>
        <w:rPr>
          <w:b w:val="0"/>
          <w:sz w:val="22"/>
        </w:rPr>
      </w:pPr>
      <w:r w:rsidRPr="00A1221F">
        <w:rPr>
          <w:b w:val="0"/>
          <w:sz w:val="22"/>
        </w:rPr>
        <w:t>Dale P Sandler PhD</w:t>
      </w:r>
    </w:p>
    <w:p w:rsidR="00EB0E82" w:rsidRPr="00A1221F" w:rsidRDefault="00EB0E82" w:rsidP="00EB0E82">
      <w:pPr>
        <w:pStyle w:val="BodyText"/>
        <w:tabs>
          <w:tab w:val="left" w:pos="1440"/>
        </w:tabs>
        <w:spacing w:line="320" w:lineRule="exact"/>
        <w:ind w:left="360"/>
        <w:rPr>
          <w:b w:val="0"/>
          <w:sz w:val="22"/>
        </w:rPr>
      </w:pPr>
      <w:r w:rsidRPr="00A1221F">
        <w:rPr>
          <w:b w:val="0"/>
          <w:sz w:val="22"/>
        </w:rPr>
        <w:t>Chief, Epidemiology Branch</w:t>
      </w:r>
    </w:p>
    <w:p w:rsidR="00EB0E82" w:rsidRPr="00A1221F" w:rsidRDefault="00EB0E82" w:rsidP="00EB0E82">
      <w:pPr>
        <w:pStyle w:val="BodyText"/>
        <w:tabs>
          <w:tab w:val="left" w:pos="1440"/>
        </w:tabs>
        <w:spacing w:line="320" w:lineRule="exact"/>
        <w:ind w:left="360"/>
        <w:rPr>
          <w:b w:val="0"/>
          <w:sz w:val="22"/>
        </w:rPr>
      </w:pPr>
      <w:r w:rsidRPr="00A1221F">
        <w:rPr>
          <w:b w:val="0"/>
          <w:sz w:val="22"/>
        </w:rPr>
        <w:t>National Institute of Environmental Health Sciences</w:t>
      </w:r>
    </w:p>
    <w:p w:rsidR="00EB0E82" w:rsidRPr="00A1221F" w:rsidRDefault="00EB0E82" w:rsidP="00EB0E82">
      <w:pPr>
        <w:pStyle w:val="BodyText"/>
        <w:tabs>
          <w:tab w:val="left" w:pos="1440"/>
        </w:tabs>
        <w:spacing w:line="320" w:lineRule="exact"/>
        <w:ind w:left="360"/>
        <w:rPr>
          <w:b w:val="0"/>
          <w:sz w:val="22"/>
        </w:rPr>
      </w:pPr>
      <w:r w:rsidRPr="00A1221F">
        <w:rPr>
          <w:b w:val="0"/>
          <w:sz w:val="22"/>
        </w:rPr>
        <w:t>PO Box 12233</w:t>
      </w:r>
    </w:p>
    <w:p w:rsidR="00EB0E82" w:rsidRPr="00A1221F" w:rsidRDefault="00EB0E82" w:rsidP="00EB0E82">
      <w:pPr>
        <w:pStyle w:val="BodyText"/>
        <w:tabs>
          <w:tab w:val="left" w:pos="1440"/>
        </w:tabs>
        <w:spacing w:line="320" w:lineRule="exact"/>
        <w:ind w:left="360"/>
        <w:rPr>
          <w:b w:val="0"/>
          <w:sz w:val="22"/>
        </w:rPr>
      </w:pPr>
      <w:r w:rsidRPr="00A1221F">
        <w:rPr>
          <w:b w:val="0"/>
          <w:sz w:val="22"/>
        </w:rPr>
        <w:t>Research Triangle Park NC 27709</w:t>
      </w:r>
    </w:p>
    <w:p w:rsidR="00EB0E82" w:rsidRPr="00A1221F" w:rsidRDefault="00EB0E82" w:rsidP="00EB0E82">
      <w:pPr>
        <w:pStyle w:val="BodyText"/>
        <w:tabs>
          <w:tab w:val="left" w:pos="1440"/>
        </w:tabs>
        <w:spacing w:line="320" w:lineRule="exact"/>
        <w:ind w:left="360"/>
        <w:rPr>
          <w:b w:val="0"/>
          <w:sz w:val="22"/>
        </w:rPr>
      </w:pPr>
      <w:r w:rsidRPr="00A1221F">
        <w:rPr>
          <w:b w:val="0"/>
          <w:sz w:val="22"/>
        </w:rPr>
        <w:t>Phone:</w:t>
      </w:r>
      <w:r w:rsidRPr="00A1221F">
        <w:rPr>
          <w:b w:val="0"/>
          <w:sz w:val="22"/>
        </w:rPr>
        <w:tab/>
        <w:t>919-541-4668</w:t>
      </w:r>
    </w:p>
    <w:p w:rsidR="00EB0E82" w:rsidRPr="00A1221F" w:rsidRDefault="00EB0E82" w:rsidP="00EB0E82">
      <w:pPr>
        <w:pStyle w:val="BodyText"/>
        <w:tabs>
          <w:tab w:val="left" w:pos="1440"/>
        </w:tabs>
        <w:spacing w:line="320" w:lineRule="exact"/>
        <w:ind w:left="360"/>
        <w:rPr>
          <w:b w:val="0"/>
          <w:sz w:val="22"/>
        </w:rPr>
      </w:pPr>
      <w:r w:rsidRPr="00A1221F">
        <w:rPr>
          <w:b w:val="0"/>
          <w:sz w:val="22"/>
        </w:rPr>
        <w:t>Fax:</w:t>
      </w:r>
      <w:r w:rsidRPr="00A1221F">
        <w:rPr>
          <w:b w:val="0"/>
          <w:sz w:val="22"/>
        </w:rPr>
        <w:tab/>
        <w:t>919-541-2511</w:t>
      </w:r>
    </w:p>
    <w:p w:rsidR="00EB0E82" w:rsidRPr="00A1221F" w:rsidRDefault="00EB0E82" w:rsidP="00EB0E82">
      <w:pPr>
        <w:pStyle w:val="BodyText"/>
        <w:tabs>
          <w:tab w:val="left" w:pos="1440"/>
        </w:tabs>
        <w:spacing w:line="320" w:lineRule="exact"/>
        <w:ind w:left="360"/>
        <w:rPr>
          <w:b w:val="0"/>
          <w:sz w:val="22"/>
        </w:rPr>
      </w:pPr>
      <w:r w:rsidRPr="00A1221F">
        <w:rPr>
          <w:b w:val="0"/>
          <w:sz w:val="22"/>
        </w:rPr>
        <w:t>Email:</w:t>
      </w:r>
      <w:r w:rsidRPr="00A1221F">
        <w:rPr>
          <w:b w:val="0"/>
          <w:sz w:val="22"/>
        </w:rPr>
        <w:tab/>
        <w:t>sandler@niehs.nih.gov</w:t>
      </w:r>
    </w:p>
    <w:p w:rsidR="00EB0E82" w:rsidRPr="00A1221F" w:rsidRDefault="00EB0E82" w:rsidP="00EB0E82">
      <w:pPr>
        <w:pStyle w:val="BodyText"/>
        <w:tabs>
          <w:tab w:val="left" w:pos="1440"/>
        </w:tabs>
        <w:spacing w:line="320" w:lineRule="exact"/>
        <w:ind w:left="360"/>
        <w:rPr>
          <w:b w:val="0"/>
          <w:sz w:val="22"/>
        </w:rPr>
      </w:pPr>
    </w:p>
    <w:p w:rsidR="00EB0E82" w:rsidRPr="00A1221F" w:rsidRDefault="00EB0E82" w:rsidP="00EB0E82">
      <w:pPr>
        <w:pStyle w:val="BodyText"/>
        <w:spacing w:line="320" w:lineRule="exact"/>
        <w:rPr>
          <w:sz w:val="22"/>
        </w:rPr>
      </w:pPr>
      <w:r w:rsidRPr="00A1221F">
        <w:rPr>
          <w:sz w:val="22"/>
        </w:rPr>
        <w:t>Co-Principal Investigator:</w:t>
      </w:r>
    </w:p>
    <w:p w:rsidR="00EB0E82" w:rsidRPr="00A1221F" w:rsidRDefault="00EB0E82" w:rsidP="00EB0E82">
      <w:pPr>
        <w:pStyle w:val="BodyText"/>
        <w:tabs>
          <w:tab w:val="left" w:pos="1440"/>
        </w:tabs>
        <w:spacing w:line="320" w:lineRule="exact"/>
        <w:ind w:left="360"/>
        <w:rPr>
          <w:b w:val="0"/>
          <w:sz w:val="22"/>
        </w:rPr>
      </w:pPr>
      <w:r w:rsidRPr="00A1221F">
        <w:rPr>
          <w:b w:val="0"/>
          <w:sz w:val="22"/>
        </w:rPr>
        <w:t>Clarice Weinberg PhD</w:t>
      </w:r>
    </w:p>
    <w:p w:rsidR="00EB0E82" w:rsidRPr="00A1221F" w:rsidRDefault="00EB0E82" w:rsidP="00EB0E82">
      <w:pPr>
        <w:pStyle w:val="BodyText"/>
        <w:tabs>
          <w:tab w:val="left" w:pos="1440"/>
        </w:tabs>
        <w:spacing w:line="320" w:lineRule="exact"/>
        <w:ind w:left="360"/>
        <w:rPr>
          <w:b w:val="0"/>
          <w:sz w:val="22"/>
        </w:rPr>
      </w:pPr>
      <w:r w:rsidRPr="00A1221F">
        <w:rPr>
          <w:b w:val="0"/>
          <w:sz w:val="22"/>
        </w:rPr>
        <w:t>Chief, Biostatistics Branch</w:t>
      </w:r>
    </w:p>
    <w:p w:rsidR="00EB0E82" w:rsidRPr="00A1221F" w:rsidRDefault="00EB0E82" w:rsidP="00EB0E82">
      <w:pPr>
        <w:pStyle w:val="BodyText"/>
        <w:tabs>
          <w:tab w:val="left" w:pos="1440"/>
        </w:tabs>
        <w:spacing w:line="320" w:lineRule="exact"/>
        <w:ind w:left="360"/>
        <w:rPr>
          <w:b w:val="0"/>
          <w:sz w:val="22"/>
        </w:rPr>
      </w:pPr>
      <w:r w:rsidRPr="00A1221F">
        <w:rPr>
          <w:b w:val="0"/>
          <w:sz w:val="22"/>
        </w:rPr>
        <w:t>PO Box 12233</w:t>
      </w:r>
    </w:p>
    <w:p w:rsidR="00EB0E82" w:rsidRPr="00A1221F" w:rsidRDefault="00EB0E82" w:rsidP="00EB0E82">
      <w:pPr>
        <w:pStyle w:val="BodyText"/>
        <w:tabs>
          <w:tab w:val="left" w:pos="1440"/>
        </w:tabs>
        <w:spacing w:line="320" w:lineRule="exact"/>
        <w:ind w:left="360"/>
        <w:rPr>
          <w:b w:val="0"/>
          <w:sz w:val="22"/>
        </w:rPr>
      </w:pPr>
      <w:r w:rsidRPr="00A1221F">
        <w:rPr>
          <w:b w:val="0"/>
          <w:sz w:val="22"/>
        </w:rPr>
        <w:t>Research Triangle Park NC 27709</w:t>
      </w:r>
    </w:p>
    <w:p w:rsidR="00EB0E82" w:rsidRPr="00A1221F" w:rsidRDefault="00EB0E82" w:rsidP="00EB0E82">
      <w:pPr>
        <w:pStyle w:val="BodyText"/>
        <w:tabs>
          <w:tab w:val="left" w:pos="1440"/>
        </w:tabs>
        <w:spacing w:line="320" w:lineRule="exact"/>
        <w:ind w:left="360"/>
        <w:rPr>
          <w:b w:val="0"/>
          <w:sz w:val="22"/>
        </w:rPr>
      </w:pPr>
      <w:r w:rsidRPr="00A1221F">
        <w:rPr>
          <w:b w:val="0"/>
          <w:sz w:val="22"/>
        </w:rPr>
        <w:t>Phone:</w:t>
      </w:r>
      <w:r w:rsidRPr="00A1221F">
        <w:rPr>
          <w:b w:val="0"/>
          <w:sz w:val="22"/>
        </w:rPr>
        <w:tab/>
        <w:t>919-541-4927</w:t>
      </w:r>
    </w:p>
    <w:p w:rsidR="00EB0E82" w:rsidRPr="00A1221F" w:rsidRDefault="00EB0E82" w:rsidP="00EB0E82">
      <w:pPr>
        <w:pStyle w:val="BodyText"/>
        <w:tabs>
          <w:tab w:val="left" w:pos="1440"/>
        </w:tabs>
        <w:spacing w:line="320" w:lineRule="exact"/>
        <w:ind w:left="360"/>
        <w:rPr>
          <w:b w:val="0"/>
          <w:sz w:val="22"/>
        </w:rPr>
      </w:pPr>
      <w:r w:rsidRPr="00A1221F">
        <w:rPr>
          <w:b w:val="0"/>
          <w:sz w:val="22"/>
        </w:rPr>
        <w:t>Fax:</w:t>
      </w:r>
      <w:r w:rsidRPr="00A1221F">
        <w:rPr>
          <w:b w:val="0"/>
          <w:sz w:val="22"/>
        </w:rPr>
        <w:tab/>
        <w:t>919-541-4311</w:t>
      </w:r>
    </w:p>
    <w:p w:rsidR="00EB0E82" w:rsidRPr="00A1221F" w:rsidRDefault="00EB0E82" w:rsidP="00EB0E82">
      <w:pPr>
        <w:pStyle w:val="BodyText"/>
        <w:tabs>
          <w:tab w:val="left" w:pos="1440"/>
        </w:tabs>
        <w:spacing w:line="320" w:lineRule="exact"/>
        <w:ind w:left="360"/>
        <w:rPr>
          <w:b w:val="0"/>
          <w:sz w:val="22"/>
        </w:rPr>
      </w:pPr>
      <w:r w:rsidRPr="00A1221F">
        <w:rPr>
          <w:b w:val="0"/>
          <w:sz w:val="22"/>
        </w:rPr>
        <w:t>Email:</w:t>
      </w:r>
      <w:r w:rsidRPr="00A1221F">
        <w:rPr>
          <w:b w:val="0"/>
          <w:sz w:val="22"/>
        </w:rPr>
        <w:tab/>
        <w:t>weinberg@niehs.nih.gov</w:t>
      </w:r>
    </w:p>
    <w:p w:rsidR="00EB0E82" w:rsidRPr="00A1221F" w:rsidRDefault="00EB0E82" w:rsidP="00EB0E82">
      <w:pPr>
        <w:pStyle w:val="BodyText"/>
        <w:spacing w:line="320" w:lineRule="exact"/>
        <w:rPr>
          <w:b w:val="0"/>
          <w:sz w:val="22"/>
        </w:rPr>
      </w:pPr>
    </w:p>
    <w:p w:rsidR="00EB0E82" w:rsidRPr="00A1221F" w:rsidRDefault="00EB0E82" w:rsidP="00EB0E82">
      <w:pPr>
        <w:pStyle w:val="BodyText"/>
        <w:spacing w:line="320" w:lineRule="exact"/>
        <w:rPr>
          <w:sz w:val="22"/>
        </w:rPr>
      </w:pPr>
      <w:r w:rsidRPr="00A1221F">
        <w:rPr>
          <w:sz w:val="22"/>
        </w:rPr>
        <w:t>Project Officer:</w:t>
      </w:r>
    </w:p>
    <w:p w:rsidR="00EB0E82" w:rsidRPr="00A1221F" w:rsidRDefault="00EB0E82" w:rsidP="00EB0E82">
      <w:pPr>
        <w:pStyle w:val="BodyText"/>
        <w:tabs>
          <w:tab w:val="left" w:pos="1440"/>
        </w:tabs>
        <w:spacing w:line="320" w:lineRule="exact"/>
        <w:ind w:left="360"/>
        <w:rPr>
          <w:b w:val="0"/>
          <w:sz w:val="22"/>
        </w:rPr>
      </w:pPr>
      <w:r w:rsidRPr="00A1221F">
        <w:rPr>
          <w:b w:val="0"/>
          <w:sz w:val="22"/>
        </w:rPr>
        <w:t>Paula S Juras PhD</w:t>
      </w:r>
    </w:p>
    <w:p w:rsidR="00EB0E82" w:rsidRPr="00A1221F" w:rsidRDefault="00EB0E82" w:rsidP="00EB0E82">
      <w:pPr>
        <w:pStyle w:val="BodyText"/>
        <w:tabs>
          <w:tab w:val="left" w:pos="1440"/>
        </w:tabs>
        <w:spacing w:line="320" w:lineRule="exact"/>
        <w:ind w:left="360"/>
        <w:rPr>
          <w:b w:val="0"/>
          <w:sz w:val="22"/>
        </w:rPr>
      </w:pPr>
      <w:r w:rsidRPr="00A1221F">
        <w:rPr>
          <w:b w:val="0"/>
          <w:sz w:val="22"/>
        </w:rPr>
        <w:t>Epidemiology Branch</w:t>
      </w:r>
    </w:p>
    <w:p w:rsidR="00EB0E82" w:rsidRPr="00A1221F" w:rsidRDefault="00EB0E82" w:rsidP="00EB0E82">
      <w:pPr>
        <w:pStyle w:val="BodyText"/>
        <w:tabs>
          <w:tab w:val="left" w:pos="1440"/>
        </w:tabs>
        <w:spacing w:line="320" w:lineRule="exact"/>
        <w:ind w:left="360"/>
        <w:rPr>
          <w:b w:val="0"/>
          <w:sz w:val="22"/>
        </w:rPr>
      </w:pPr>
      <w:r w:rsidRPr="00A1221F">
        <w:rPr>
          <w:b w:val="0"/>
          <w:sz w:val="22"/>
        </w:rPr>
        <w:t>National Institute of Environmental Health Sciences</w:t>
      </w:r>
    </w:p>
    <w:p w:rsidR="00EB0E82" w:rsidRPr="00A1221F" w:rsidRDefault="00EB0E82" w:rsidP="00EB0E82">
      <w:pPr>
        <w:pStyle w:val="BodyText"/>
        <w:tabs>
          <w:tab w:val="left" w:pos="1440"/>
        </w:tabs>
        <w:spacing w:line="320" w:lineRule="exact"/>
        <w:ind w:left="360"/>
        <w:rPr>
          <w:b w:val="0"/>
          <w:sz w:val="22"/>
        </w:rPr>
      </w:pPr>
      <w:r w:rsidRPr="00A1221F">
        <w:rPr>
          <w:b w:val="0"/>
          <w:sz w:val="22"/>
        </w:rPr>
        <w:t>PO Box 12233</w:t>
      </w:r>
    </w:p>
    <w:p w:rsidR="00EB0E82" w:rsidRPr="00A1221F" w:rsidRDefault="00EB0E82" w:rsidP="00EB0E82">
      <w:pPr>
        <w:pStyle w:val="BodyText"/>
        <w:tabs>
          <w:tab w:val="left" w:pos="1440"/>
        </w:tabs>
        <w:spacing w:line="320" w:lineRule="exact"/>
        <w:ind w:left="360"/>
        <w:rPr>
          <w:b w:val="0"/>
          <w:sz w:val="22"/>
        </w:rPr>
      </w:pPr>
      <w:r w:rsidRPr="00A1221F">
        <w:rPr>
          <w:b w:val="0"/>
          <w:sz w:val="22"/>
        </w:rPr>
        <w:t>Research Triangle Park NC 27709</w:t>
      </w:r>
    </w:p>
    <w:p w:rsidR="00EB0E82" w:rsidRPr="00A1221F" w:rsidRDefault="00EB0E82" w:rsidP="00EB0E82">
      <w:pPr>
        <w:pStyle w:val="BodyText"/>
        <w:tabs>
          <w:tab w:val="left" w:pos="1440"/>
          <w:tab w:val="left" w:pos="3240"/>
        </w:tabs>
        <w:spacing w:line="320" w:lineRule="exact"/>
        <w:ind w:left="360"/>
        <w:rPr>
          <w:b w:val="0"/>
          <w:sz w:val="22"/>
        </w:rPr>
      </w:pPr>
      <w:r w:rsidRPr="00A1221F">
        <w:rPr>
          <w:b w:val="0"/>
          <w:sz w:val="22"/>
        </w:rPr>
        <w:t>Phone:</w:t>
      </w:r>
      <w:r w:rsidRPr="00A1221F">
        <w:rPr>
          <w:b w:val="0"/>
          <w:sz w:val="22"/>
        </w:rPr>
        <w:tab/>
        <w:t>919-541-4668</w:t>
      </w:r>
    </w:p>
    <w:p w:rsidR="00EB0E82" w:rsidRPr="00A1221F" w:rsidRDefault="00EB0E82" w:rsidP="00EB0E82">
      <w:pPr>
        <w:pStyle w:val="BodyText"/>
        <w:tabs>
          <w:tab w:val="left" w:pos="1440"/>
          <w:tab w:val="left" w:pos="3240"/>
        </w:tabs>
        <w:spacing w:line="320" w:lineRule="exact"/>
        <w:ind w:left="360"/>
        <w:rPr>
          <w:b w:val="0"/>
          <w:sz w:val="22"/>
        </w:rPr>
      </w:pPr>
      <w:r w:rsidRPr="00A1221F">
        <w:rPr>
          <w:b w:val="0"/>
          <w:sz w:val="22"/>
        </w:rPr>
        <w:t>Fax:</w:t>
      </w:r>
      <w:r w:rsidRPr="00A1221F">
        <w:rPr>
          <w:b w:val="0"/>
          <w:sz w:val="22"/>
        </w:rPr>
        <w:tab/>
        <w:t>919-541-2511</w:t>
      </w:r>
    </w:p>
    <w:p w:rsidR="00EB0E82" w:rsidRPr="00A1221F" w:rsidRDefault="00EB0E82" w:rsidP="00EB0E82">
      <w:pPr>
        <w:pStyle w:val="BodyText"/>
        <w:tabs>
          <w:tab w:val="left" w:pos="1440"/>
          <w:tab w:val="left" w:pos="3240"/>
        </w:tabs>
        <w:spacing w:line="320" w:lineRule="exact"/>
        <w:ind w:left="360"/>
        <w:rPr>
          <w:b w:val="0"/>
          <w:sz w:val="22"/>
        </w:rPr>
      </w:pPr>
      <w:r w:rsidRPr="00A1221F">
        <w:rPr>
          <w:b w:val="0"/>
          <w:sz w:val="22"/>
        </w:rPr>
        <w:t>Email:</w:t>
      </w:r>
      <w:r w:rsidRPr="00A1221F">
        <w:rPr>
          <w:b w:val="0"/>
          <w:sz w:val="22"/>
        </w:rPr>
        <w:tab/>
        <w:t>juras@niehs.nih.gov</w:t>
      </w:r>
    </w:p>
    <w:p w:rsidR="000F6D13" w:rsidRPr="000F6D13" w:rsidRDefault="005D5D3C" w:rsidP="000F6D13">
      <w:pPr>
        <w:pStyle w:val="P1-StandPara"/>
        <w:tabs>
          <w:tab w:val="left" w:pos="720"/>
          <w:tab w:val="right" w:leader="dot" w:pos="9360"/>
        </w:tabs>
        <w:ind w:firstLine="0"/>
        <w:jc w:val="center"/>
        <w:rPr>
          <w:b/>
          <w:smallCaps/>
          <w:szCs w:val="22"/>
        </w:rPr>
      </w:pPr>
      <w:r>
        <w:rPr>
          <w:b/>
        </w:rPr>
        <w:br w:type="page"/>
      </w:r>
      <w:r w:rsidR="000F6D13" w:rsidRPr="000F6D13">
        <w:rPr>
          <w:b/>
          <w:smallCaps/>
          <w:szCs w:val="22"/>
        </w:rPr>
        <w:lastRenderedPageBreak/>
        <w:t>Table of contents</w:t>
      </w:r>
    </w:p>
    <w:p w:rsidR="000F6D13" w:rsidRPr="000F6D13" w:rsidRDefault="000F6D13" w:rsidP="00A87459">
      <w:pPr>
        <w:pStyle w:val="TOC1"/>
      </w:pPr>
    </w:p>
    <w:p w:rsidR="000F6D13" w:rsidRPr="00A87459" w:rsidRDefault="000F6D13" w:rsidP="004F5AD2">
      <w:pPr>
        <w:pStyle w:val="TOC1"/>
        <w:tabs>
          <w:tab w:val="clear" w:pos="720"/>
          <w:tab w:val="left" w:pos="540"/>
        </w:tabs>
        <w:ind w:left="540" w:hanging="540"/>
      </w:pPr>
      <w:r w:rsidRPr="00A87459">
        <w:t>B.</w:t>
      </w:r>
      <w:r w:rsidRPr="00A87459">
        <w:tab/>
        <w:t>Collections Of Information Employing Statistical Methods</w:t>
      </w:r>
      <w:r w:rsidRPr="00A87459">
        <w:tab/>
      </w:r>
      <w:r w:rsidR="00456373">
        <w:t>3</w:t>
      </w:r>
    </w:p>
    <w:p w:rsidR="000F6D13" w:rsidRPr="000F6D13" w:rsidRDefault="000F6D13" w:rsidP="004F5AD2">
      <w:pPr>
        <w:pStyle w:val="TOC2"/>
        <w:tabs>
          <w:tab w:val="clear" w:pos="9350"/>
          <w:tab w:val="left" w:pos="540"/>
          <w:tab w:val="right" w:leader="dot" w:pos="9360"/>
        </w:tabs>
        <w:spacing w:line="480" w:lineRule="auto"/>
        <w:ind w:left="540" w:hanging="540"/>
        <w:rPr>
          <w:smallCaps/>
        </w:rPr>
      </w:pPr>
      <w:r w:rsidRPr="000F6D13">
        <w:rPr>
          <w:smallCaps/>
        </w:rPr>
        <w:t>B.1</w:t>
      </w:r>
      <w:r w:rsidRPr="000F6D13">
        <w:rPr>
          <w:smallCaps/>
        </w:rPr>
        <w:tab/>
        <w:t xml:space="preserve">Respondent Universe </w:t>
      </w:r>
      <w:smartTag w:uri="urn:schemas-microsoft-com:office:smarttags" w:element="stockticker">
        <w:r w:rsidRPr="000F6D13">
          <w:rPr>
            <w:smallCaps/>
          </w:rPr>
          <w:t>and</w:t>
        </w:r>
      </w:smartTag>
      <w:r w:rsidRPr="000F6D13">
        <w:rPr>
          <w:smallCaps/>
        </w:rPr>
        <w:t xml:space="preserve"> Sampling Methods</w:t>
      </w:r>
      <w:r w:rsidRPr="000F6D13">
        <w:rPr>
          <w:smallCaps/>
        </w:rPr>
        <w:tab/>
      </w:r>
      <w:r w:rsidR="00456373">
        <w:rPr>
          <w:smallCaps/>
        </w:rPr>
        <w:t>3</w:t>
      </w:r>
    </w:p>
    <w:p w:rsidR="000F6D13" w:rsidRPr="000F6D13" w:rsidRDefault="000F6D13" w:rsidP="004F5AD2">
      <w:pPr>
        <w:pStyle w:val="TOC2"/>
        <w:tabs>
          <w:tab w:val="clear" w:pos="9350"/>
          <w:tab w:val="left" w:pos="540"/>
          <w:tab w:val="right" w:leader="dot" w:pos="9360"/>
        </w:tabs>
        <w:spacing w:line="480" w:lineRule="auto"/>
        <w:ind w:left="540" w:hanging="540"/>
        <w:rPr>
          <w:smallCaps/>
        </w:rPr>
      </w:pPr>
      <w:r w:rsidRPr="000F6D13">
        <w:rPr>
          <w:smallCaps/>
        </w:rPr>
        <w:t>B.2</w:t>
      </w:r>
      <w:r w:rsidRPr="000F6D13">
        <w:rPr>
          <w:smallCaps/>
        </w:rPr>
        <w:tab/>
        <w:t>Procedures for the Collection of Information</w:t>
      </w:r>
      <w:r w:rsidRPr="000F6D13">
        <w:rPr>
          <w:smallCaps/>
        </w:rPr>
        <w:tab/>
      </w:r>
      <w:r w:rsidR="00456373">
        <w:rPr>
          <w:smallCaps/>
        </w:rPr>
        <w:t>6</w:t>
      </w:r>
    </w:p>
    <w:p w:rsidR="000F6D13" w:rsidRPr="000F6D13" w:rsidRDefault="000F6D13" w:rsidP="004F5AD2">
      <w:pPr>
        <w:pStyle w:val="TOC2"/>
        <w:tabs>
          <w:tab w:val="clear" w:pos="9350"/>
          <w:tab w:val="left" w:pos="540"/>
          <w:tab w:val="right" w:leader="dot" w:pos="9360"/>
        </w:tabs>
        <w:spacing w:line="480" w:lineRule="auto"/>
        <w:ind w:left="540" w:hanging="540"/>
        <w:rPr>
          <w:smallCaps/>
        </w:rPr>
      </w:pPr>
      <w:r w:rsidRPr="000F6D13">
        <w:rPr>
          <w:smallCaps/>
        </w:rPr>
        <w:t>B.3</w:t>
      </w:r>
      <w:r w:rsidRPr="000F6D13">
        <w:rPr>
          <w:smallCaps/>
        </w:rPr>
        <w:tab/>
        <w:t xml:space="preserve">Methods to Maximize Response Rates </w:t>
      </w:r>
      <w:smartTag w:uri="urn:schemas-microsoft-com:office:smarttags" w:element="stockticker">
        <w:r w:rsidRPr="000F6D13">
          <w:rPr>
            <w:smallCaps/>
          </w:rPr>
          <w:t>and</w:t>
        </w:r>
      </w:smartTag>
      <w:r w:rsidRPr="000F6D13">
        <w:rPr>
          <w:smallCaps/>
        </w:rPr>
        <w:t xml:space="preserve"> Deal with Non-response</w:t>
      </w:r>
      <w:r w:rsidRPr="000F6D13">
        <w:rPr>
          <w:smallCaps/>
        </w:rPr>
        <w:tab/>
      </w:r>
      <w:r w:rsidR="00456373">
        <w:rPr>
          <w:smallCaps/>
        </w:rPr>
        <w:t>6</w:t>
      </w:r>
    </w:p>
    <w:p w:rsidR="000F6D13" w:rsidRPr="000F6D13" w:rsidRDefault="000F6D13" w:rsidP="004F5AD2">
      <w:pPr>
        <w:pStyle w:val="TOC2"/>
        <w:tabs>
          <w:tab w:val="clear" w:pos="9350"/>
          <w:tab w:val="left" w:pos="540"/>
          <w:tab w:val="right" w:leader="dot" w:pos="9360"/>
        </w:tabs>
        <w:spacing w:line="480" w:lineRule="auto"/>
        <w:ind w:left="540" w:hanging="540"/>
        <w:rPr>
          <w:smallCaps/>
        </w:rPr>
      </w:pPr>
      <w:r w:rsidRPr="000F6D13">
        <w:rPr>
          <w:smallCaps/>
        </w:rPr>
        <w:t>B.4</w:t>
      </w:r>
      <w:r w:rsidRPr="000F6D13">
        <w:rPr>
          <w:smallCaps/>
        </w:rPr>
        <w:tab/>
        <w:t>Test of Procedures or Methods to be Undertaken</w:t>
      </w:r>
      <w:r w:rsidRPr="000F6D13">
        <w:rPr>
          <w:smallCaps/>
        </w:rPr>
        <w:tab/>
      </w:r>
      <w:r w:rsidR="00456373">
        <w:rPr>
          <w:smallCaps/>
        </w:rPr>
        <w:t>7</w:t>
      </w:r>
    </w:p>
    <w:p w:rsidR="00A87459" w:rsidRDefault="000F6D13" w:rsidP="004F5AD2">
      <w:pPr>
        <w:pStyle w:val="P1-StandPara"/>
        <w:tabs>
          <w:tab w:val="left" w:pos="540"/>
          <w:tab w:val="right" w:leader="dot" w:pos="9360"/>
        </w:tabs>
        <w:ind w:left="540" w:hanging="540"/>
        <w:rPr>
          <w:smallCaps/>
          <w:noProof/>
          <w:sz w:val="20"/>
        </w:rPr>
      </w:pPr>
      <w:r w:rsidRPr="000F6D13">
        <w:rPr>
          <w:smallCaps/>
          <w:noProof/>
          <w:sz w:val="20"/>
        </w:rPr>
        <w:t>B.5</w:t>
      </w:r>
      <w:r w:rsidRPr="000F6D13">
        <w:rPr>
          <w:smallCaps/>
          <w:noProof/>
          <w:sz w:val="20"/>
        </w:rPr>
        <w:tab/>
        <w:t xml:space="preserve">Individuals Consulted on Statistical Aspects </w:t>
      </w:r>
      <w:smartTag w:uri="urn:schemas-microsoft-com:office:smarttags" w:element="stockticker">
        <w:r w:rsidRPr="000F6D13">
          <w:rPr>
            <w:smallCaps/>
            <w:noProof/>
            <w:sz w:val="20"/>
          </w:rPr>
          <w:t>and</w:t>
        </w:r>
      </w:smartTag>
      <w:r w:rsidRPr="000F6D13">
        <w:rPr>
          <w:smallCaps/>
          <w:noProof/>
          <w:sz w:val="20"/>
        </w:rPr>
        <w:t xml:space="preserve"> Individuals Collecting </w:t>
      </w:r>
      <w:r>
        <w:rPr>
          <w:smallCaps/>
          <w:noProof/>
          <w:sz w:val="20"/>
        </w:rPr>
        <w:t xml:space="preserve"> </w:t>
      </w:r>
      <w:smartTag w:uri="urn:schemas-microsoft-com:office:smarttags" w:element="stockticker">
        <w:r w:rsidRPr="000F6D13">
          <w:rPr>
            <w:smallCaps/>
            <w:noProof/>
            <w:sz w:val="20"/>
          </w:rPr>
          <w:t>and</w:t>
        </w:r>
      </w:smartTag>
      <w:r>
        <w:rPr>
          <w:smallCaps/>
          <w:noProof/>
          <w:sz w:val="20"/>
        </w:rPr>
        <w:t xml:space="preserve">/or </w:t>
      </w:r>
      <w:r w:rsidRPr="000F6D13">
        <w:rPr>
          <w:smallCaps/>
          <w:noProof/>
          <w:sz w:val="20"/>
        </w:rPr>
        <w:t>Analyzing Data</w:t>
      </w:r>
      <w:r>
        <w:rPr>
          <w:smallCaps/>
          <w:noProof/>
          <w:sz w:val="20"/>
        </w:rPr>
        <w:tab/>
      </w:r>
      <w:r w:rsidR="00BC2687">
        <w:rPr>
          <w:smallCaps/>
          <w:noProof/>
          <w:sz w:val="20"/>
        </w:rPr>
        <w:t>7</w:t>
      </w:r>
    </w:p>
    <w:p w:rsidR="004103F4" w:rsidRDefault="004103F4" w:rsidP="00554806">
      <w:pPr>
        <w:pStyle w:val="P1-StandPara"/>
        <w:tabs>
          <w:tab w:val="left" w:pos="720"/>
          <w:tab w:val="right" w:leader="dot" w:pos="9360"/>
        </w:tabs>
        <w:ind w:left="720" w:hanging="720"/>
        <w:jc w:val="center"/>
        <w:rPr>
          <w:b/>
          <w:smallCaps/>
          <w:noProof/>
          <w:sz w:val="28"/>
          <w:szCs w:val="24"/>
        </w:rPr>
      </w:pPr>
    </w:p>
    <w:p w:rsidR="006D061C" w:rsidRPr="004103F4" w:rsidRDefault="00A87459" w:rsidP="004103F4">
      <w:pPr>
        <w:pStyle w:val="P1-StandPara"/>
        <w:tabs>
          <w:tab w:val="left" w:pos="720"/>
          <w:tab w:val="right" w:leader="dot" w:pos="9360"/>
        </w:tabs>
        <w:ind w:left="720" w:hanging="720"/>
        <w:rPr>
          <w:b/>
        </w:rPr>
      </w:pPr>
      <w:r>
        <w:rPr>
          <w:smallCaps/>
          <w:noProof/>
          <w:sz w:val="20"/>
        </w:rPr>
        <w:br w:type="page"/>
      </w:r>
      <w:r w:rsidR="006D061C" w:rsidRPr="004103F4">
        <w:rPr>
          <w:b/>
        </w:rPr>
        <w:lastRenderedPageBreak/>
        <w:t>Collections of Information Employing Statistical Methods</w:t>
      </w:r>
      <w:bookmarkEnd w:id="0"/>
      <w:bookmarkEnd w:id="1"/>
    </w:p>
    <w:p w:rsidR="006D061C" w:rsidRDefault="006D061C" w:rsidP="000C088E">
      <w:pPr>
        <w:pStyle w:val="Heading2"/>
      </w:pPr>
      <w:bookmarkStart w:id="2" w:name="_Toc129590326"/>
      <w:bookmarkStart w:id="3" w:name="_Toc129668568"/>
      <w:r>
        <w:t>B.1</w:t>
      </w:r>
      <w:proofErr w:type="gramStart"/>
      <w:r>
        <w:t xml:space="preserve">. </w:t>
      </w:r>
      <w:r w:rsidR="000606CA">
        <w:t xml:space="preserve"> </w:t>
      </w:r>
      <w:r>
        <w:t>Respondent</w:t>
      </w:r>
      <w:proofErr w:type="gramEnd"/>
      <w:r>
        <w:t xml:space="preserve"> Universe and Sampling Methods</w:t>
      </w:r>
      <w:bookmarkEnd w:id="2"/>
      <w:bookmarkEnd w:id="3"/>
    </w:p>
    <w:p w:rsidR="00FB7A31" w:rsidRPr="00FB7A31" w:rsidRDefault="00FB7A31" w:rsidP="00B35F76">
      <w:pPr>
        <w:spacing w:line="480" w:lineRule="auto"/>
        <w:ind w:firstLine="360"/>
        <w:rPr>
          <w:i/>
          <w:sz w:val="22"/>
        </w:rPr>
      </w:pPr>
      <w:r w:rsidRPr="00FB7A31">
        <w:rPr>
          <w:i/>
          <w:sz w:val="22"/>
        </w:rPr>
        <w:t>(Note: enrollment concluded in 2009)</w:t>
      </w:r>
    </w:p>
    <w:p w:rsidR="006D061C" w:rsidRDefault="006D061C" w:rsidP="00B35F76">
      <w:pPr>
        <w:spacing w:line="480" w:lineRule="auto"/>
        <w:ind w:firstLine="360"/>
        <w:rPr>
          <w:sz w:val="22"/>
        </w:rPr>
      </w:pPr>
      <w:r>
        <w:rPr>
          <w:sz w:val="22"/>
        </w:rPr>
        <w:t xml:space="preserve">A total of </w:t>
      </w:r>
      <w:r w:rsidR="00CD137F">
        <w:rPr>
          <w:sz w:val="22"/>
        </w:rPr>
        <w:t>214,640</w:t>
      </w:r>
      <w:r>
        <w:rPr>
          <w:sz w:val="22"/>
        </w:rPr>
        <w:t xml:space="preserve"> new cases of female breast cancer </w:t>
      </w:r>
      <w:r w:rsidR="00EB0E82">
        <w:rPr>
          <w:sz w:val="22"/>
        </w:rPr>
        <w:t>were</w:t>
      </w:r>
      <w:r>
        <w:rPr>
          <w:sz w:val="22"/>
        </w:rPr>
        <w:t xml:space="preserve"> expected in the US in </w:t>
      </w:r>
      <w:r w:rsidR="00CD137F">
        <w:rPr>
          <w:sz w:val="22"/>
        </w:rPr>
        <w:t>2006</w:t>
      </w:r>
      <w:r w:rsidR="00FB7A31">
        <w:rPr>
          <w:sz w:val="22"/>
        </w:rPr>
        <w:t>, a time period early in Phase I of the Sister Study,</w:t>
      </w:r>
      <w:r w:rsidR="00CD137F">
        <w:rPr>
          <w:sz w:val="22"/>
        </w:rPr>
        <w:t xml:space="preserve"> </w:t>
      </w:r>
      <w:r>
        <w:rPr>
          <w:sz w:val="22"/>
        </w:rPr>
        <w:t xml:space="preserve">according to SEER estimates. In 1990 there were approximately 140,000 new cases, and in 1980, approximately </w:t>
      </w:r>
      <w:r w:rsidRPr="0016660F">
        <w:rPr>
          <w:sz w:val="22"/>
        </w:rPr>
        <w:t xml:space="preserve">100,000. On average, since 1980, there </w:t>
      </w:r>
      <w:r w:rsidR="00EB0E82">
        <w:rPr>
          <w:sz w:val="22"/>
        </w:rPr>
        <w:t>were</w:t>
      </w:r>
      <w:r w:rsidRPr="0016660F">
        <w:rPr>
          <w:sz w:val="22"/>
        </w:rPr>
        <w:t xml:space="preserve"> 150,000 new cases a year for a total of 3,750,000 women diagnosed </w:t>
      </w:r>
      <w:r w:rsidRPr="00B35F76">
        <w:rPr>
          <w:color w:val="000000"/>
          <w:sz w:val="22"/>
        </w:rPr>
        <w:t xml:space="preserve">with breast cancer over </w:t>
      </w:r>
      <w:r w:rsidR="00EB0E82">
        <w:rPr>
          <w:color w:val="000000"/>
          <w:sz w:val="22"/>
        </w:rPr>
        <w:t xml:space="preserve">those </w:t>
      </w:r>
      <w:r w:rsidRPr="00B35F76">
        <w:rPr>
          <w:color w:val="000000"/>
          <w:sz w:val="22"/>
        </w:rPr>
        <w:t>25 years. Based on data from three large population-</w:t>
      </w:r>
      <w:r w:rsidR="00B35F76">
        <w:rPr>
          <w:color w:val="000000"/>
          <w:sz w:val="22"/>
        </w:rPr>
        <w:t>based breast cancer studies [</w:t>
      </w:r>
      <w:r w:rsidR="00B35F76" w:rsidRPr="00B35F76">
        <w:rPr>
          <w:color w:val="000000"/>
          <w:sz w:val="22"/>
        </w:rPr>
        <w:t xml:space="preserve">personal communications from investigators </w:t>
      </w:r>
      <w:r w:rsidR="00B35F76">
        <w:rPr>
          <w:color w:val="000000"/>
          <w:sz w:val="22"/>
        </w:rPr>
        <w:t>with the</w:t>
      </w:r>
      <w:r w:rsidR="00B35F76" w:rsidRPr="00B35F76">
        <w:rPr>
          <w:color w:val="000000"/>
          <w:sz w:val="22"/>
        </w:rPr>
        <w:t xml:space="preserve"> </w:t>
      </w:r>
      <w:r w:rsidR="00B35F76" w:rsidRPr="00B35F76">
        <w:rPr>
          <w:color w:val="000000"/>
          <w:sz w:val="22"/>
          <w:szCs w:val="24"/>
        </w:rPr>
        <w:t>Women's</w:t>
      </w:r>
      <w:r w:rsidR="00B35F76">
        <w:rPr>
          <w:color w:val="000000"/>
          <w:sz w:val="22"/>
          <w:szCs w:val="24"/>
        </w:rPr>
        <w:t xml:space="preserve"> </w:t>
      </w:r>
      <w:r w:rsidR="00B35F76" w:rsidRPr="00B35F76">
        <w:rPr>
          <w:color w:val="000000"/>
          <w:sz w:val="22"/>
          <w:szCs w:val="24"/>
        </w:rPr>
        <w:t>Contraceptive and Reproductive Experiences Study</w:t>
      </w:r>
      <w:r w:rsidR="00B35F76">
        <w:rPr>
          <w:color w:val="000000"/>
          <w:sz w:val="22"/>
          <w:szCs w:val="24"/>
        </w:rPr>
        <w:t xml:space="preserve"> (</w:t>
      </w:r>
      <w:r w:rsidR="00B35F76" w:rsidRPr="00B35F76">
        <w:rPr>
          <w:color w:val="000000"/>
          <w:sz w:val="22"/>
          <w:szCs w:val="24"/>
        </w:rPr>
        <w:t>Bernstein</w:t>
      </w:r>
      <w:r w:rsidR="00B35F76">
        <w:rPr>
          <w:color w:val="000000"/>
          <w:sz w:val="22"/>
          <w:szCs w:val="24"/>
        </w:rPr>
        <w:t xml:space="preserve">), </w:t>
      </w:r>
      <w:r w:rsidR="00B35F76" w:rsidRPr="00B35F76">
        <w:rPr>
          <w:color w:val="000000"/>
          <w:sz w:val="22"/>
          <w:szCs w:val="24"/>
        </w:rPr>
        <w:t>Carolina Breast Cancer Study</w:t>
      </w:r>
      <w:r w:rsidR="00B35F76">
        <w:rPr>
          <w:color w:val="000000"/>
          <w:sz w:val="22"/>
          <w:szCs w:val="24"/>
        </w:rPr>
        <w:t xml:space="preserve"> (</w:t>
      </w:r>
      <w:r w:rsidR="00B35F76" w:rsidRPr="00B35F76">
        <w:rPr>
          <w:color w:val="000000"/>
          <w:sz w:val="22"/>
          <w:szCs w:val="24"/>
        </w:rPr>
        <w:t>Newman</w:t>
      </w:r>
      <w:r w:rsidR="00B35F76">
        <w:rPr>
          <w:color w:val="000000"/>
          <w:sz w:val="22"/>
          <w:szCs w:val="24"/>
        </w:rPr>
        <w:t xml:space="preserve">), </w:t>
      </w:r>
      <w:r w:rsidR="00B35F76" w:rsidRPr="00B35F76">
        <w:rPr>
          <w:rFonts w:cs="Arial"/>
          <w:color w:val="000000"/>
          <w:sz w:val="22"/>
        </w:rPr>
        <w:t xml:space="preserve">Long Island Breast Cancer Study Project </w:t>
      </w:r>
      <w:r w:rsidR="00B35F76">
        <w:rPr>
          <w:rFonts w:cs="Arial"/>
          <w:color w:val="000000"/>
          <w:sz w:val="22"/>
        </w:rPr>
        <w:t>(</w:t>
      </w:r>
      <w:r w:rsidR="00B35F76" w:rsidRPr="00B35F76">
        <w:rPr>
          <w:rFonts w:cs="Arial"/>
          <w:color w:val="000000"/>
          <w:sz w:val="22"/>
        </w:rPr>
        <w:t>Gammon</w:t>
      </w:r>
      <w:r w:rsidR="00B35F76">
        <w:rPr>
          <w:rFonts w:cs="Arial"/>
          <w:color w:val="000000"/>
          <w:sz w:val="22"/>
        </w:rPr>
        <w:t>)]</w:t>
      </w:r>
      <w:r w:rsidRPr="0016660F">
        <w:rPr>
          <w:sz w:val="22"/>
        </w:rPr>
        <w:t xml:space="preserve"> we estimate</w:t>
      </w:r>
      <w:r w:rsidR="00EB0E82">
        <w:rPr>
          <w:sz w:val="22"/>
        </w:rPr>
        <w:t>d</w:t>
      </w:r>
      <w:r w:rsidRPr="0016660F">
        <w:rPr>
          <w:sz w:val="22"/>
        </w:rPr>
        <w:t xml:space="preserve"> that 2/3 of these breast cancer cases </w:t>
      </w:r>
      <w:r w:rsidR="00FB7A31" w:rsidRPr="0016660F">
        <w:rPr>
          <w:sz w:val="22"/>
        </w:rPr>
        <w:t>ha</w:t>
      </w:r>
      <w:r w:rsidR="00FB7A31">
        <w:rPr>
          <w:sz w:val="22"/>
        </w:rPr>
        <w:t>d</w:t>
      </w:r>
      <w:r w:rsidR="00FB7A31" w:rsidRPr="0016660F">
        <w:rPr>
          <w:sz w:val="22"/>
        </w:rPr>
        <w:t xml:space="preserve"> </w:t>
      </w:r>
      <w:r w:rsidRPr="0016660F">
        <w:rPr>
          <w:sz w:val="22"/>
        </w:rPr>
        <w:t>at least one living sister. Although the estimate of 2/3 with a sister seems high, all three studies</w:t>
      </w:r>
      <w:r>
        <w:rPr>
          <w:sz w:val="22"/>
        </w:rPr>
        <w:t xml:space="preserve"> were remarkably consistent. Our </w:t>
      </w:r>
      <w:r w:rsidR="00FB7A31">
        <w:rPr>
          <w:sz w:val="22"/>
        </w:rPr>
        <w:t xml:space="preserve">enrollment </w:t>
      </w:r>
      <w:r>
        <w:rPr>
          <w:sz w:val="22"/>
        </w:rPr>
        <w:t>goal o</w:t>
      </w:r>
      <w:r w:rsidR="00EB0E82">
        <w:rPr>
          <w:sz w:val="22"/>
        </w:rPr>
        <w:t>f 50,000 sisters thus represented</w:t>
      </w:r>
      <w:r>
        <w:rPr>
          <w:sz w:val="22"/>
        </w:rPr>
        <w:t xml:space="preserve"> just 2% of possible sisters. Even if we attract</w:t>
      </w:r>
      <w:r w:rsidR="00EB0E82">
        <w:rPr>
          <w:sz w:val="22"/>
        </w:rPr>
        <w:t>ed</w:t>
      </w:r>
      <w:r>
        <w:rPr>
          <w:sz w:val="22"/>
        </w:rPr>
        <w:t xml:space="preserve"> women whose sisters were diagnosed only since 1990, with </w:t>
      </w:r>
      <w:r w:rsidR="00EB0E82">
        <w:rPr>
          <w:sz w:val="22"/>
        </w:rPr>
        <w:t xml:space="preserve">more than </w:t>
      </w:r>
      <w:r>
        <w:rPr>
          <w:sz w:val="22"/>
        </w:rPr>
        <w:t xml:space="preserve">15 years of cases (by the time recruitment </w:t>
      </w:r>
      <w:r w:rsidR="00EB0E82">
        <w:rPr>
          <w:sz w:val="22"/>
        </w:rPr>
        <w:t>was</w:t>
      </w:r>
      <w:r>
        <w:rPr>
          <w:sz w:val="22"/>
        </w:rPr>
        <w:t xml:space="preserve"> completed), we </w:t>
      </w:r>
      <w:r w:rsidR="00EB0E82">
        <w:rPr>
          <w:sz w:val="22"/>
        </w:rPr>
        <w:t>would</w:t>
      </w:r>
      <w:r>
        <w:rPr>
          <w:sz w:val="22"/>
        </w:rPr>
        <w:t xml:space="preserve"> need to enroll a little over 3% of the available sisters. Thus, enrolling a cohort of 50,000 sisters </w:t>
      </w:r>
      <w:r w:rsidR="00EB0E82">
        <w:rPr>
          <w:sz w:val="22"/>
        </w:rPr>
        <w:t>was</w:t>
      </w:r>
      <w:r>
        <w:rPr>
          <w:sz w:val="22"/>
        </w:rPr>
        <w:t xml:space="preserve"> feasible from a numbers standpoint. No sampling methods </w:t>
      </w:r>
      <w:r w:rsidR="00EB0E82">
        <w:rPr>
          <w:sz w:val="22"/>
        </w:rPr>
        <w:t>were</w:t>
      </w:r>
      <w:r>
        <w:rPr>
          <w:sz w:val="22"/>
        </w:rPr>
        <w:t xml:space="preserve"> used; all women in the target population of women, aged 35-74 without breast cancer, who have a sister that has been diagnosed with breast cancer, either living or dead, </w:t>
      </w:r>
      <w:r w:rsidR="00EB0E82">
        <w:rPr>
          <w:sz w:val="22"/>
        </w:rPr>
        <w:t>were</w:t>
      </w:r>
      <w:r>
        <w:rPr>
          <w:sz w:val="22"/>
        </w:rPr>
        <w:t xml:space="preserve"> eligible.</w:t>
      </w:r>
    </w:p>
    <w:p w:rsidR="006D061C" w:rsidRDefault="006D061C" w:rsidP="00F26B3F">
      <w:pPr>
        <w:spacing w:line="480" w:lineRule="auto"/>
        <w:ind w:firstLine="360"/>
        <w:rPr>
          <w:sz w:val="22"/>
        </w:rPr>
      </w:pPr>
      <w:r>
        <w:rPr>
          <w:sz w:val="22"/>
        </w:rPr>
        <w:t xml:space="preserve">We used SEER age-specific incidence rates for the years 1993-1997 and an estimate of the population from the 2000 census to estimate the average number of female breast cancer cases by age group per year. Using the age distribution of the expected cases between ages 35-74 (assuming that the sisters with and without cancer would be, on average, the same age), we estimated the expected age distribution of sisters who </w:t>
      </w:r>
      <w:r w:rsidR="00EB0E82">
        <w:rPr>
          <w:sz w:val="22"/>
        </w:rPr>
        <w:t>would</w:t>
      </w:r>
      <w:r>
        <w:rPr>
          <w:sz w:val="22"/>
        </w:rPr>
        <w:t xml:space="preserve"> enroll in the cohort, assuming that women in each age group </w:t>
      </w:r>
      <w:r w:rsidR="00EB0E82">
        <w:rPr>
          <w:sz w:val="22"/>
        </w:rPr>
        <w:t>were</w:t>
      </w:r>
      <w:r>
        <w:rPr>
          <w:sz w:val="22"/>
        </w:rPr>
        <w:t xml:space="preserve"> equally </w:t>
      </w:r>
      <w:r w:rsidRPr="00F77004">
        <w:rPr>
          <w:sz w:val="22"/>
        </w:rPr>
        <w:t>likely to enroll (see table).</w:t>
      </w:r>
    </w:p>
    <w:p w:rsidR="00863CA2" w:rsidRDefault="00863CA2">
      <w:pPr>
        <w:rPr>
          <w:sz w:val="22"/>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1596"/>
        <w:gridCol w:w="1596"/>
        <w:gridCol w:w="1596"/>
        <w:gridCol w:w="1596"/>
        <w:gridCol w:w="1596"/>
      </w:tblGrid>
      <w:tr w:rsidR="006D061C" w:rsidRPr="00863CA2">
        <w:trPr>
          <w:cantSplit/>
        </w:trPr>
        <w:tc>
          <w:tcPr>
            <w:tcW w:w="9576" w:type="dxa"/>
            <w:gridSpan w:val="6"/>
            <w:tcBorders>
              <w:top w:val="nil"/>
              <w:left w:val="nil"/>
              <w:bottom w:val="single" w:sz="4" w:space="0" w:color="auto"/>
              <w:right w:val="nil"/>
            </w:tcBorders>
          </w:tcPr>
          <w:p w:rsidR="006D061C" w:rsidRPr="00863CA2" w:rsidRDefault="006D061C">
            <w:pPr>
              <w:pStyle w:val="Heading3"/>
              <w:rPr>
                <w:b/>
              </w:rPr>
            </w:pPr>
            <w:r w:rsidRPr="00863CA2">
              <w:rPr>
                <w:b/>
              </w:rPr>
              <w:lastRenderedPageBreak/>
              <w:t>Age distribution of incident breast cancer cases</w:t>
            </w:r>
          </w:p>
        </w:tc>
      </w:tr>
      <w:tr w:rsidR="006D061C">
        <w:tc>
          <w:tcPr>
            <w:tcW w:w="1596" w:type="dxa"/>
            <w:tcBorders>
              <w:top w:val="single" w:sz="4" w:space="0" w:color="auto"/>
              <w:left w:val="nil"/>
              <w:bottom w:val="single" w:sz="4" w:space="0" w:color="auto"/>
              <w:right w:val="nil"/>
            </w:tcBorders>
          </w:tcPr>
          <w:p w:rsidR="006D061C" w:rsidRDefault="006D061C"/>
          <w:p w:rsidR="006D061C" w:rsidRDefault="006D061C"/>
          <w:p w:rsidR="006D061C" w:rsidRDefault="006D061C">
            <w:r>
              <w:t>Age group</w:t>
            </w:r>
          </w:p>
        </w:tc>
        <w:tc>
          <w:tcPr>
            <w:tcW w:w="1596" w:type="dxa"/>
            <w:tcBorders>
              <w:top w:val="single" w:sz="4" w:space="0" w:color="auto"/>
              <w:left w:val="nil"/>
              <w:bottom w:val="single" w:sz="4" w:space="0" w:color="auto"/>
              <w:right w:val="nil"/>
            </w:tcBorders>
          </w:tcPr>
          <w:p w:rsidR="006D061C" w:rsidRDefault="006D061C">
            <w:r>
              <w:t>Female population (millions)</w:t>
            </w:r>
          </w:p>
        </w:tc>
        <w:tc>
          <w:tcPr>
            <w:tcW w:w="1596" w:type="dxa"/>
            <w:tcBorders>
              <w:top w:val="single" w:sz="4" w:space="0" w:color="auto"/>
              <w:left w:val="nil"/>
              <w:bottom w:val="single" w:sz="4" w:space="0" w:color="auto"/>
              <w:right w:val="nil"/>
            </w:tcBorders>
          </w:tcPr>
          <w:p w:rsidR="006D061C" w:rsidRDefault="006D061C"/>
          <w:p w:rsidR="006D061C" w:rsidRDefault="006D061C">
            <w:r>
              <w:t>Rate per 100,000</w:t>
            </w:r>
          </w:p>
        </w:tc>
        <w:tc>
          <w:tcPr>
            <w:tcW w:w="1596" w:type="dxa"/>
            <w:tcBorders>
              <w:top w:val="single" w:sz="4" w:space="0" w:color="auto"/>
              <w:left w:val="nil"/>
              <w:bottom w:val="single" w:sz="4" w:space="0" w:color="auto"/>
              <w:right w:val="nil"/>
            </w:tcBorders>
          </w:tcPr>
          <w:p w:rsidR="006D061C" w:rsidRDefault="006D061C"/>
          <w:p w:rsidR="006D061C" w:rsidRDefault="006D061C"/>
          <w:p w:rsidR="006D061C" w:rsidRDefault="006D061C">
            <w:r>
              <w:t>Cases</w:t>
            </w:r>
          </w:p>
        </w:tc>
        <w:tc>
          <w:tcPr>
            <w:tcW w:w="1596" w:type="dxa"/>
            <w:tcBorders>
              <w:top w:val="single" w:sz="4" w:space="0" w:color="auto"/>
              <w:left w:val="nil"/>
              <w:bottom w:val="single" w:sz="4" w:space="0" w:color="auto"/>
              <w:right w:val="nil"/>
            </w:tcBorders>
          </w:tcPr>
          <w:p w:rsidR="006D061C" w:rsidRDefault="006D061C"/>
          <w:p w:rsidR="006D061C" w:rsidRDefault="006D061C">
            <w:r>
              <w:t>Age distribution</w:t>
            </w:r>
          </w:p>
        </w:tc>
        <w:tc>
          <w:tcPr>
            <w:tcW w:w="1596" w:type="dxa"/>
            <w:tcBorders>
              <w:top w:val="single" w:sz="4" w:space="0" w:color="auto"/>
              <w:left w:val="nil"/>
              <w:bottom w:val="single" w:sz="4" w:space="0" w:color="auto"/>
              <w:right w:val="nil"/>
            </w:tcBorders>
          </w:tcPr>
          <w:p w:rsidR="006D061C" w:rsidRDefault="006D061C"/>
          <w:p w:rsidR="006D061C" w:rsidRDefault="006D061C">
            <w:r>
              <w:t>Predicted cohort</w:t>
            </w:r>
          </w:p>
        </w:tc>
      </w:tr>
      <w:tr w:rsidR="006D061C">
        <w:tc>
          <w:tcPr>
            <w:tcW w:w="1596" w:type="dxa"/>
            <w:tcBorders>
              <w:top w:val="single" w:sz="4" w:space="0" w:color="auto"/>
              <w:left w:val="nil"/>
              <w:bottom w:val="nil"/>
              <w:right w:val="nil"/>
            </w:tcBorders>
          </w:tcPr>
          <w:p w:rsidR="006D061C" w:rsidRDefault="006D061C">
            <w:r>
              <w:t>35-39</w:t>
            </w:r>
          </w:p>
        </w:tc>
        <w:tc>
          <w:tcPr>
            <w:tcW w:w="1596" w:type="dxa"/>
            <w:tcBorders>
              <w:top w:val="single" w:sz="4" w:space="0" w:color="auto"/>
              <w:left w:val="nil"/>
              <w:bottom w:val="nil"/>
              <w:right w:val="nil"/>
            </w:tcBorders>
          </w:tcPr>
          <w:p w:rsidR="006D061C" w:rsidRDefault="006D061C">
            <w:r>
              <w:t>11.4</w:t>
            </w:r>
          </w:p>
        </w:tc>
        <w:tc>
          <w:tcPr>
            <w:tcW w:w="1596" w:type="dxa"/>
            <w:tcBorders>
              <w:top w:val="single" w:sz="4" w:space="0" w:color="auto"/>
              <w:left w:val="nil"/>
              <w:bottom w:val="nil"/>
              <w:right w:val="nil"/>
            </w:tcBorders>
          </w:tcPr>
          <w:p w:rsidR="006D061C" w:rsidRDefault="006D061C">
            <w:r>
              <w:t xml:space="preserve">  58.4</w:t>
            </w:r>
          </w:p>
        </w:tc>
        <w:tc>
          <w:tcPr>
            <w:tcW w:w="1596" w:type="dxa"/>
            <w:tcBorders>
              <w:top w:val="single" w:sz="4" w:space="0" w:color="auto"/>
              <w:left w:val="nil"/>
              <w:bottom w:val="nil"/>
              <w:right w:val="nil"/>
            </w:tcBorders>
          </w:tcPr>
          <w:p w:rsidR="006D061C" w:rsidRDefault="006D061C">
            <w:r>
              <w:t xml:space="preserve">  6,658</w:t>
            </w:r>
          </w:p>
        </w:tc>
        <w:tc>
          <w:tcPr>
            <w:tcW w:w="1596" w:type="dxa"/>
            <w:tcBorders>
              <w:top w:val="single" w:sz="4" w:space="0" w:color="auto"/>
              <w:left w:val="nil"/>
              <w:bottom w:val="nil"/>
              <w:right w:val="nil"/>
            </w:tcBorders>
          </w:tcPr>
          <w:p w:rsidR="006D061C" w:rsidRDefault="006D061C">
            <w:r>
              <w:t>0.04472</w:t>
            </w:r>
          </w:p>
        </w:tc>
        <w:tc>
          <w:tcPr>
            <w:tcW w:w="1596" w:type="dxa"/>
            <w:tcBorders>
              <w:top w:val="single" w:sz="4" w:space="0" w:color="auto"/>
              <w:left w:val="nil"/>
              <w:bottom w:val="nil"/>
              <w:right w:val="nil"/>
            </w:tcBorders>
          </w:tcPr>
          <w:p w:rsidR="006D061C" w:rsidRDefault="006D061C">
            <w:r>
              <w:t>2,236</w:t>
            </w:r>
          </w:p>
        </w:tc>
      </w:tr>
      <w:tr w:rsidR="006D061C">
        <w:tc>
          <w:tcPr>
            <w:tcW w:w="1596" w:type="dxa"/>
            <w:tcBorders>
              <w:top w:val="nil"/>
              <w:left w:val="nil"/>
              <w:bottom w:val="nil"/>
              <w:right w:val="nil"/>
            </w:tcBorders>
          </w:tcPr>
          <w:p w:rsidR="006D061C" w:rsidRDefault="006D061C">
            <w:r>
              <w:t>40-44</w:t>
            </w:r>
          </w:p>
        </w:tc>
        <w:tc>
          <w:tcPr>
            <w:tcW w:w="1596" w:type="dxa"/>
            <w:tcBorders>
              <w:top w:val="nil"/>
              <w:left w:val="nil"/>
              <w:bottom w:val="nil"/>
              <w:right w:val="nil"/>
            </w:tcBorders>
          </w:tcPr>
          <w:p w:rsidR="006D061C" w:rsidRDefault="006D061C">
            <w:r>
              <w:t>11.3</w:t>
            </w:r>
          </w:p>
        </w:tc>
        <w:tc>
          <w:tcPr>
            <w:tcW w:w="1596" w:type="dxa"/>
            <w:tcBorders>
              <w:top w:val="nil"/>
              <w:left w:val="nil"/>
              <w:bottom w:val="nil"/>
              <w:right w:val="nil"/>
            </w:tcBorders>
          </w:tcPr>
          <w:p w:rsidR="006D061C" w:rsidRDefault="006D061C">
            <w:r>
              <w:t>116.1</w:t>
            </w:r>
          </w:p>
        </w:tc>
        <w:tc>
          <w:tcPr>
            <w:tcW w:w="1596" w:type="dxa"/>
            <w:tcBorders>
              <w:top w:val="nil"/>
              <w:left w:val="nil"/>
              <w:bottom w:val="nil"/>
              <w:right w:val="nil"/>
            </w:tcBorders>
          </w:tcPr>
          <w:p w:rsidR="006D061C" w:rsidRDefault="006D061C">
            <w:r>
              <w:t>13,119</w:t>
            </w:r>
          </w:p>
        </w:tc>
        <w:tc>
          <w:tcPr>
            <w:tcW w:w="1596" w:type="dxa"/>
            <w:tcBorders>
              <w:top w:val="nil"/>
              <w:left w:val="nil"/>
              <w:bottom w:val="nil"/>
              <w:right w:val="nil"/>
            </w:tcBorders>
          </w:tcPr>
          <w:p w:rsidR="006D061C" w:rsidRDefault="006D061C">
            <w:r>
              <w:t>0.08812</w:t>
            </w:r>
          </w:p>
        </w:tc>
        <w:tc>
          <w:tcPr>
            <w:tcW w:w="1596" w:type="dxa"/>
            <w:tcBorders>
              <w:top w:val="nil"/>
              <w:left w:val="nil"/>
              <w:bottom w:val="nil"/>
              <w:right w:val="nil"/>
            </w:tcBorders>
          </w:tcPr>
          <w:p w:rsidR="006D061C" w:rsidRDefault="006D061C">
            <w:r>
              <w:t>4,406</w:t>
            </w:r>
          </w:p>
        </w:tc>
      </w:tr>
      <w:tr w:rsidR="006D061C">
        <w:tc>
          <w:tcPr>
            <w:tcW w:w="1596" w:type="dxa"/>
            <w:tcBorders>
              <w:top w:val="nil"/>
              <w:left w:val="nil"/>
              <w:bottom w:val="nil"/>
              <w:right w:val="nil"/>
            </w:tcBorders>
          </w:tcPr>
          <w:p w:rsidR="006D061C" w:rsidRDefault="006D061C">
            <w:r>
              <w:t>45-49</w:t>
            </w:r>
          </w:p>
        </w:tc>
        <w:tc>
          <w:tcPr>
            <w:tcW w:w="1596" w:type="dxa"/>
            <w:tcBorders>
              <w:top w:val="nil"/>
              <w:left w:val="nil"/>
              <w:bottom w:val="nil"/>
              <w:right w:val="nil"/>
            </w:tcBorders>
          </w:tcPr>
          <w:p w:rsidR="006D061C" w:rsidRDefault="006D061C">
            <w:r>
              <w:t>10.2</w:t>
            </w:r>
          </w:p>
        </w:tc>
        <w:tc>
          <w:tcPr>
            <w:tcW w:w="1596" w:type="dxa"/>
            <w:tcBorders>
              <w:top w:val="nil"/>
              <w:left w:val="nil"/>
              <w:bottom w:val="nil"/>
              <w:right w:val="nil"/>
            </w:tcBorders>
          </w:tcPr>
          <w:p w:rsidR="006D061C" w:rsidRDefault="006D061C">
            <w:r>
              <w:t>198.5</w:t>
            </w:r>
          </w:p>
        </w:tc>
        <w:tc>
          <w:tcPr>
            <w:tcW w:w="1596" w:type="dxa"/>
            <w:tcBorders>
              <w:top w:val="nil"/>
              <w:left w:val="nil"/>
              <w:bottom w:val="nil"/>
              <w:right w:val="nil"/>
            </w:tcBorders>
          </w:tcPr>
          <w:p w:rsidR="006D061C" w:rsidRDefault="006D061C">
            <w:r>
              <w:t>20,247</w:t>
            </w:r>
          </w:p>
        </w:tc>
        <w:tc>
          <w:tcPr>
            <w:tcW w:w="1596" w:type="dxa"/>
            <w:tcBorders>
              <w:top w:val="nil"/>
              <w:left w:val="nil"/>
              <w:bottom w:val="nil"/>
              <w:right w:val="nil"/>
            </w:tcBorders>
          </w:tcPr>
          <w:p w:rsidR="006D061C" w:rsidRDefault="006D061C">
            <w:r>
              <w:t>0.13600</w:t>
            </w:r>
          </w:p>
        </w:tc>
        <w:tc>
          <w:tcPr>
            <w:tcW w:w="1596" w:type="dxa"/>
            <w:tcBorders>
              <w:top w:val="nil"/>
              <w:left w:val="nil"/>
              <w:bottom w:val="nil"/>
              <w:right w:val="nil"/>
            </w:tcBorders>
          </w:tcPr>
          <w:p w:rsidR="006D061C" w:rsidRDefault="006D061C">
            <w:r>
              <w:t>6,800</w:t>
            </w:r>
          </w:p>
        </w:tc>
      </w:tr>
      <w:tr w:rsidR="006D061C">
        <w:tc>
          <w:tcPr>
            <w:tcW w:w="1596" w:type="dxa"/>
            <w:tcBorders>
              <w:top w:val="nil"/>
              <w:left w:val="nil"/>
              <w:bottom w:val="nil"/>
              <w:right w:val="nil"/>
            </w:tcBorders>
          </w:tcPr>
          <w:p w:rsidR="006D061C" w:rsidRDefault="006D061C">
            <w:r>
              <w:t>50-54</w:t>
            </w:r>
          </w:p>
        </w:tc>
        <w:tc>
          <w:tcPr>
            <w:tcW w:w="1596" w:type="dxa"/>
            <w:tcBorders>
              <w:top w:val="nil"/>
              <w:left w:val="nil"/>
              <w:bottom w:val="nil"/>
              <w:right w:val="nil"/>
            </w:tcBorders>
          </w:tcPr>
          <w:p w:rsidR="006D061C" w:rsidRDefault="006D061C">
            <w:r>
              <w:t xml:space="preserve">  9.0</w:t>
            </w:r>
          </w:p>
        </w:tc>
        <w:tc>
          <w:tcPr>
            <w:tcW w:w="1596" w:type="dxa"/>
            <w:tcBorders>
              <w:top w:val="nil"/>
              <w:left w:val="nil"/>
              <w:bottom w:val="nil"/>
              <w:right w:val="nil"/>
            </w:tcBorders>
          </w:tcPr>
          <w:p w:rsidR="006D061C" w:rsidRDefault="006D061C">
            <w:r>
              <w:t>263.7</w:t>
            </w:r>
          </w:p>
        </w:tc>
        <w:tc>
          <w:tcPr>
            <w:tcW w:w="1596" w:type="dxa"/>
            <w:tcBorders>
              <w:top w:val="nil"/>
              <w:left w:val="nil"/>
              <w:bottom w:val="nil"/>
              <w:right w:val="nil"/>
            </w:tcBorders>
          </w:tcPr>
          <w:p w:rsidR="006D061C" w:rsidRDefault="006D061C">
            <w:r>
              <w:t>23,733</w:t>
            </w:r>
          </w:p>
        </w:tc>
        <w:tc>
          <w:tcPr>
            <w:tcW w:w="1596" w:type="dxa"/>
            <w:tcBorders>
              <w:top w:val="nil"/>
              <w:left w:val="nil"/>
              <w:bottom w:val="nil"/>
              <w:right w:val="nil"/>
            </w:tcBorders>
          </w:tcPr>
          <w:p w:rsidR="006D061C" w:rsidRDefault="006D061C">
            <w:r>
              <w:t>0.15942</w:t>
            </w:r>
          </w:p>
        </w:tc>
        <w:tc>
          <w:tcPr>
            <w:tcW w:w="1596" w:type="dxa"/>
            <w:tcBorders>
              <w:top w:val="nil"/>
              <w:left w:val="nil"/>
              <w:bottom w:val="nil"/>
              <w:right w:val="nil"/>
            </w:tcBorders>
          </w:tcPr>
          <w:p w:rsidR="006D061C" w:rsidRDefault="006D061C">
            <w:r>
              <w:t>7,971</w:t>
            </w:r>
          </w:p>
        </w:tc>
      </w:tr>
      <w:tr w:rsidR="006D061C">
        <w:tc>
          <w:tcPr>
            <w:tcW w:w="1596" w:type="dxa"/>
            <w:tcBorders>
              <w:top w:val="nil"/>
              <w:left w:val="nil"/>
              <w:bottom w:val="nil"/>
              <w:right w:val="nil"/>
            </w:tcBorders>
          </w:tcPr>
          <w:p w:rsidR="006D061C" w:rsidRDefault="006D061C">
            <w:r>
              <w:t>55-59</w:t>
            </w:r>
          </w:p>
        </w:tc>
        <w:tc>
          <w:tcPr>
            <w:tcW w:w="1596" w:type="dxa"/>
            <w:tcBorders>
              <w:top w:val="nil"/>
              <w:left w:val="nil"/>
              <w:bottom w:val="nil"/>
              <w:right w:val="nil"/>
            </w:tcBorders>
          </w:tcPr>
          <w:p w:rsidR="006D061C" w:rsidRDefault="006D061C">
            <w:r>
              <w:t xml:space="preserve">  7.0</w:t>
            </w:r>
          </w:p>
        </w:tc>
        <w:tc>
          <w:tcPr>
            <w:tcW w:w="1596" w:type="dxa"/>
            <w:tcBorders>
              <w:top w:val="nil"/>
              <w:left w:val="nil"/>
              <w:bottom w:val="nil"/>
              <w:right w:val="nil"/>
            </w:tcBorders>
          </w:tcPr>
          <w:p w:rsidR="006D061C" w:rsidRDefault="006D061C">
            <w:r>
              <w:t>305.0</w:t>
            </w:r>
          </w:p>
        </w:tc>
        <w:tc>
          <w:tcPr>
            <w:tcW w:w="1596" w:type="dxa"/>
            <w:tcBorders>
              <w:top w:val="nil"/>
              <w:left w:val="nil"/>
              <w:bottom w:val="nil"/>
              <w:right w:val="nil"/>
            </w:tcBorders>
          </w:tcPr>
          <w:p w:rsidR="006D061C" w:rsidRDefault="006D061C">
            <w:r>
              <w:t>21,350</w:t>
            </w:r>
          </w:p>
        </w:tc>
        <w:tc>
          <w:tcPr>
            <w:tcW w:w="1596" w:type="dxa"/>
            <w:tcBorders>
              <w:top w:val="nil"/>
              <w:left w:val="nil"/>
              <w:bottom w:val="nil"/>
              <w:right w:val="nil"/>
            </w:tcBorders>
          </w:tcPr>
          <w:p w:rsidR="006D061C" w:rsidRDefault="006D061C">
            <w:r>
              <w:t>0.14341</w:t>
            </w:r>
          </w:p>
        </w:tc>
        <w:tc>
          <w:tcPr>
            <w:tcW w:w="1596" w:type="dxa"/>
            <w:tcBorders>
              <w:top w:val="nil"/>
              <w:left w:val="nil"/>
              <w:bottom w:val="nil"/>
              <w:right w:val="nil"/>
            </w:tcBorders>
          </w:tcPr>
          <w:p w:rsidR="006D061C" w:rsidRDefault="006D061C">
            <w:r>
              <w:t>7,170</w:t>
            </w:r>
          </w:p>
        </w:tc>
      </w:tr>
      <w:tr w:rsidR="006D061C">
        <w:tc>
          <w:tcPr>
            <w:tcW w:w="1596" w:type="dxa"/>
            <w:tcBorders>
              <w:top w:val="nil"/>
              <w:left w:val="nil"/>
              <w:bottom w:val="nil"/>
              <w:right w:val="nil"/>
            </w:tcBorders>
          </w:tcPr>
          <w:p w:rsidR="006D061C" w:rsidRDefault="006D061C">
            <w:r>
              <w:t>60-64</w:t>
            </w:r>
          </w:p>
        </w:tc>
        <w:tc>
          <w:tcPr>
            <w:tcW w:w="1596" w:type="dxa"/>
            <w:tcBorders>
              <w:top w:val="nil"/>
              <w:left w:val="nil"/>
              <w:bottom w:val="nil"/>
              <w:right w:val="nil"/>
            </w:tcBorders>
          </w:tcPr>
          <w:p w:rsidR="006D061C" w:rsidRDefault="006D061C">
            <w:r>
              <w:t xml:space="preserve">  5.7</w:t>
            </w:r>
          </w:p>
        </w:tc>
        <w:tc>
          <w:tcPr>
            <w:tcW w:w="1596" w:type="dxa"/>
            <w:tcBorders>
              <w:top w:val="nil"/>
              <w:left w:val="nil"/>
              <w:bottom w:val="nil"/>
              <w:right w:val="nil"/>
            </w:tcBorders>
          </w:tcPr>
          <w:p w:rsidR="006D061C" w:rsidRDefault="006D061C">
            <w:r>
              <w:t>353.6</w:t>
            </w:r>
          </w:p>
        </w:tc>
        <w:tc>
          <w:tcPr>
            <w:tcW w:w="1596" w:type="dxa"/>
            <w:tcBorders>
              <w:top w:val="nil"/>
              <w:left w:val="nil"/>
              <w:bottom w:val="nil"/>
              <w:right w:val="nil"/>
            </w:tcBorders>
          </w:tcPr>
          <w:p w:rsidR="006D061C" w:rsidRDefault="006D061C">
            <w:r>
              <w:t>200,155</w:t>
            </w:r>
          </w:p>
        </w:tc>
        <w:tc>
          <w:tcPr>
            <w:tcW w:w="1596" w:type="dxa"/>
            <w:tcBorders>
              <w:top w:val="nil"/>
              <w:left w:val="nil"/>
              <w:bottom w:val="nil"/>
              <w:right w:val="nil"/>
            </w:tcBorders>
          </w:tcPr>
          <w:p w:rsidR="006D061C" w:rsidRDefault="006D061C">
            <w:r>
              <w:t>0.13538</w:t>
            </w:r>
          </w:p>
        </w:tc>
        <w:tc>
          <w:tcPr>
            <w:tcW w:w="1596" w:type="dxa"/>
            <w:tcBorders>
              <w:top w:val="nil"/>
              <w:left w:val="nil"/>
              <w:bottom w:val="nil"/>
              <w:right w:val="nil"/>
            </w:tcBorders>
          </w:tcPr>
          <w:p w:rsidR="006D061C" w:rsidRDefault="006D061C">
            <w:r>
              <w:t>6,769</w:t>
            </w:r>
          </w:p>
        </w:tc>
      </w:tr>
      <w:tr w:rsidR="006D061C">
        <w:tc>
          <w:tcPr>
            <w:tcW w:w="1596" w:type="dxa"/>
            <w:tcBorders>
              <w:top w:val="nil"/>
              <w:left w:val="nil"/>
              <w:bottom w:val="nil"/>
              <w:right w:val="nil"/>
            </w:tcBorders>
          </w:tcPr>
          <w:p w:rsidR="006D061C" w:rsidRDefault="006D061C">
            <w:r>
              <w:t>65-69</w:t>
            </w:r>
          </w:p>
        </w:tc>
        <w:tc>
          <w:tcPr>
            <w:tcW w:w="1596" w:type="dxa"/>
            <w:tcBorders>
              <w:top w:val="nil"/>
              <w:left w:val="nil"/>
              <w:bottom w:val="nil"/>
              <w:right w:val="nil"/>
            </w:tcBorders>
          </w:tcPr>
          <w:p w:rsidR="006D061C" w:rsidRDefault="006D061C">
            <w:r>
              <w:t xml:space="preserve">  5.1</w:t>
            </w:r>
          </w:p>
        </w:tc>
        <w:tc>
          <w:tcPr>
            <w:tcW w:w="1596" w:type="dxa"/>
            <w:tcBorders>
              <w:top w:val="nil"/>
              <w:left w:val="nil"/>
              <w:bottom w:val="nil"/>
              <w:right w:val="nil"/>
            </w:tcBorders>
          </w:tcPr>
          <w:p w:rsidR="006D061C" w:rsidRDefault="006D061C">
            <w:r>
              <w:t>402.7</w:t>
            </w:r>
          </w:p>
        </w:tc>
        <w:tc>
          <w:tcPr>
            <w:tcW w:w="1596" w:type="dxa"/>
            <w:tcBorders>
              <w:top w:val="nil"/>
              <w:left w:val="nil"/>
              <w:bottom w:val="nil"/>
              <w:right w:val="nil"/>
            </w:tcBorders>
          </w:tcPr>
          <w:p w:rsidR="006D061C" w:rsidRDefault="006D061C">
            <w:r>
              <w:t>20,538</w:t>
            </w:r>
          </w:p>
        </w:tc>
        <w:tc>
          <w:tcPr>
            <w:tcW w:w="1596" w:type="dxa"/>
            <w:tcBorders>
              <w:top w:val="nil"/>
              <w:left w:val="nil"/>
              <w:bottom w:val="nil"/>
              <w:right w:val="nil"/>
            </w:tcBorders>
          </w:tcPr>
          <w:p w:rsidR="006D061C" w:rsidRDefault="006D061C">
            <w:r>
              <w:t>0.13795</w:t>
            </w:r>
          </w:p>
        </w:tc>
        <w:tc>
          <w:tcPr>
            <w:tcW w:w="1596" w:type="dxa"/>
            <w:tcBorders>
              <w:top w:val="nil"/>
              <w:left w:val="nil"/>
              <w:bottom w:val="nil"/>
              <w:right w:val="nil"/>
            </w:tcBorders>
          </w:tcPr>
          <w:p w:rsidR="006D061C" w:rsidRDefault="006D061C">
            <w:r>
              <w:t>6,898</w:t>
            </w:r>
          </w:p>
        </w:tc>
      </w:tr>
      <w:tr w:rsidR="006D061C">
        <w:tc>
          <w:tcPr>
            <w:tcW w:w="1596" w:type="dxa"/>
            <w:tcBorders>
              <w:top w:val="nil"/>
              <w:left w:val="nil"/>
              <w:bottom w:val="nil"/>
              <w:right w:val="nil"/>
            </w:tcBorders>
          </w:tcPr>
          <w:p w:rsidR="006D061C" w:rsidRDefault="006D061C">
            <w:r>
              <w:t>70-74</w:t>
            </w:r>
          </w:p>
        </w:tc>
        <w:tc>
          <w:tcPr>
            <w:tcW w:w="1596" w:type="dxa"/>
            <w:tcBorders>
              <w:top w:val="nil"/>
              <w:left w:val="nil"/>
              <w:bottom w:val="nil"/>
              <w:right w:val="nil"/>
            </w:tcBorders>
          </w:tcPr>
          <w:p w:rsidR="006D061C" w:rsidRDefault="006D061C">
            <w:r>
              <w:t xml:space="preserve">  5.0</w:t>
            </w:r>
          </w:p>
        </w:tc>
        <w:tc>
          <w:tcPr>
            <w:tcW w:w="1596" w:type="dxa"/>
            <w:tcBorders>
              <w:top w:val="nil"/>
              <w:left w:val="nil"/>
              <w:bottom w:val="nil"/>
              <w:right w:val="nil"/>
            </w:tcBorders>
          </w:tcPr>
          <w:p w:rsidR="006D061C" w:rsidRDefault="006D061C">
            <w:r>
              <w:t>461.5</w:t>
            </w:r>
          </w:p>
        </w:tc>
        <w:tc>
          <w:tcPr>
            <w:tcW w:w="1596" w:type="dxa"/>
            <w:tcBorders>
              <w:top w:val="nil"/>
              <w:left w:val="nil"/>
              <w:bottom w:val="single" w:sz="4" w:space="0" w:color="auto"/>
              <w:right w:val="nil"/>
            </w:tcBorders>
          </w:tcPr>
          <w:p w:rsidR="006D061C" w:rsidRDefault="006D061C">
            <w:r>
              <w:t>23,075</w:t>
            </w:r>
          </w:p>
        </w:tc>
        <w:tc>
          <w:tcPr>
            <w:tcW w:w="1596" w:type="dxa"/>
            <w:tcBorders>
              <w:top w:val="nil"/>
              <w:left w:val="nil"/>
              <w:bottom w:val="single" w:sz="4" w:space="0" w:color="auto"/>
              <w:right w:val="nil"/>
            </w:tcBorders>
          </w:tcPr>
          <w:p w:rsidR="006D061C" w:rsidRDefault="006D061C">
            <w:r>
              <w:t>0.15500</w:t>
            </w:r>
          </w:p>
        </w:tc>
        <w:tc>
          <w:tcPr>
            <w:tcW w:w="1596" w:type="dxa"/>
            <w:tcBorders>
              <w:top w:val="nil"/>
              <w:left w:val="nil"/>
              <w:bottom w:val="single" w:sz="4" w:space="0" w:color="auto"/>
              <w:right w:val="nil"/>
            </w:tcBorders>
          </w:tcPr>
          <w:p w:rsidR="006D061C" w:rsidRDefault="006D061C">
            <w:r>
              <w:t>7,750</w:t>
            </w:r>
          </w:p>
        </w:tc>
      </w:tr>
      <w:tr w:rsidR="006D061C">
        <w:tc>
          <w:tcPr>
            <w:tcW w:w="1596" w:type="dxa"/>
            <w:tcBorders>
              <w:top w:val="nil"/>
              <w:left w:val="nil"/>
              <w:bottom w:val="single" w:sz="4" w:space="0" w:color="auto"/>
              <w:right w:val="nil"/>
            </w:tcBorders>
          </w:tcPr>
          <w:p w:rsidR="006D061C" w:rsidRDefault="006D061C"/>
        </w:tc>
        <w:tc>
          <w:tcPr>
            <w:tcW w:w="1596" w:type="dxa"/>
            <w:tcBorders>
              <w:top w:val="nil"/>
              <w:left w:val="nil"/>
              <w:bottom w:val="single" w:sz="4" w:space="0" w:color="auto"/>
              <w:right w:val="nil"/>
            </w:tcBorders>
          </w:tcPr>
          <w:p w:rsidR="006D061C" w:rsidRDefault="006D061C"/>
        </w:tc>
        <w:tc>
          <w:tcPr>
            <w:tcW w:w="1596" w:type="dxa"/>
            <w:tcBorders>
              <w:top w:val="nil"/>
              <w:left w:val="nil"/>
              <w:bottom w:val="single" w:sz="4" w:space="0" w:color="auto"/>
              <w:right w:val="nil"/>
            </w:tcBorders>
          </w:tcPr>
          <w:p w:rsidR="006D061C" w:rsidRDefault="006D061C"/>
        </w:tc>
        <w:tc>
          <w:tcPr>
            <w:tcW w:w="1596" w:type="dxa"/>
            <w:tcBorders>
              <w:top w:val="single" w:sz="4" w:space="0" w:color="auto"/>
              <w:left w:val="nil"/>
              <w:bottom w:val="single" w:sz="4" w:space="0" w:color="auto"/>
              <w:right w:val="nil"/>
            </w:tcBorders>
          </w:tcPr>
          <w:p w:rsidR="006D061C" w:rsidRDefault="006D061C">
            <w:r>
              <w:t>148,875</w:t>
            </w:r>
          </w:p>
        </w:tc>
        <w:tc>
          <w:tcPr>
            <w:tcW w:w="1596" w:type="dxa"/>
            <w:tcBorders>
              <w:top w:val="single" w:sz="4" w:space="0" w:color="auto"/>
              <w:left w:val="nil"/>
              <w:bottom w:val="single" w:sz="4" w:space="0" w:color="auto"/>
              <w:right w:val="nil"/>
            </w:tcBorders>
          </w:tcPr>
          <w:p w:rsidR="006D061C" w:rsidRDefault="006D061C">
            <w:r>
              <w:t>1.00000</w:t>
            </w:r>
          </w:p>
        </w:tc>
        <w:tc>
          <w:tcPr>
            <w:tcW w:w="1596" w:type="dxa"/>
            <w:tcBorders>
              <w:top w:val="single" w:sz="4" w:space="0" w:color="auto"/>
              <w:left w:val="nil"/>
              <w:bottom w:val="single" w:sz="4" w:space="0" w:color="auto"/>
              <w:right w:val="nil"/>
            </w:tcBorders>
          </w:tcPr>
          <w:p w:rsidR="006D061C" w:rsidRDefault="006D061C">
            <w:r>
              <w:t>50,000</w:t>
            </w:r>
          </w:p>
        </w:tc>
      </w:tr>
      <w:tr w:rsidR="006D061C">
        <w:trPr>
          <w:cantSplit/>
        </w:trPr>
        <w:tc>
          <w:tcPr>
            <w:tcW w:w="9576" w:type="dxa"/>
            <w:gridSpan w:val="6"/>
            <w:tcBorders>
              <w:top w:val="single" w:sz="4" w:space="0" w:color="auto"/>
              <w:left w:val="nil"/>
              <w:bottom w:val="single" w:sz="4" w:space="0" w:color="auto"/>
              <w:right w:val="nil"/>
            </w:tcBorders>
          </w:tcPr>
          <w:p w:rsidR="006D061C" w:rsidRDefault="006D061C">
            <w:r>
              <w:t>Applying age-specific rates to the predicted number of women in each age group in the cohort, we expect</w:t>
            </w:r>
            <w:r w:rsidR="00EB0E82">
              <w:t>ed</w:t>
            </w:r>
            <w:r>
              <w:t xml:space="preserve"> a total of 150,287 cases per year under the assumption of no excess risk. If sisters are truly at 2-fold risk, there will be approximately 300 incident breast cancers per year, or 1,500 over </w:t>
            </w:r>
            <w:r w:rsidR="00EB0E82">
              <w:t xml:space="preserve">the first </w:t>
            </w:r>
            <w:r>
              <w:t>5 years.</w:t>
            </w:r>
          </w:p>
        </w:tc>
      </w:tr>
    </w:tbl>
    <w:p w:rsidR="006D061C" w:rsidRDefault="006D061C">
      <w:pPr>
        <w:spacing w:line="480" w:lineRule="auto"/>
        <w:ind w:firstLine="720"/>
        <w:rPr>
          <w:sz w:val="22"/>
        </w:rPr>
      </w:pPr>
    </w:p>
    <w:p w:rsidR="006D061C" w:rsidRDefault="006D061C" w:rsidP="00F26B3F">
      <w:pPr>
        <w:spacing w:line="480" w:lineRule="auto"/>
        <w:ind w:firstLine="360"/>
      </w:pPr>
      <w:r>
        <w:rPr>
          <w:sz w:val="22"/>
        </w:rPr>
        <w:t>Then, applying current age specific incidence rates, we estimate</w:t>
      </w:r>
      <w:r w:rsidR="00EB0E82">
        <w:rPr>
          <w:sz w:val="22"/>
        </w:rPr>
        <w:t>d</w:t>
      </w:r>
      <w:r>
        <w:rPr>
          <w:sz w:val="22"/>
        </w:rPr>
        <w:t xml:space="preserve"> that there </w:t>
      </w:r>
      <w:r w:rsidR="00B4109A">
        <w:rPr>
          <w:sz w:val="22"/>
        </w:rPr>
        <w:t>would</w:t>
      </w:r>
      <w:r>
        <w:rPr>
          <w:sz w:val="22"/>
        </w:rPr>
        <w:t xml:space="preserve"> be 150 cases per year diagnosed among members of the cohort if their rates </w:t>
      </w:r>
      <w:r w:rsidR="00EB0E82">
        <w:rPr>
          <w:sz w:val="22"/>
        </w:rPr>
        <w:t>are</w:t>
      </w:r>
      <w:r>
        <w:rPr>
          <w:sz w:val="22"/>
        </w:rPr>
        <w:t xml:space="preserve"> similar to those in the population as a whole. But, assuming a 2-fold risk for sisters based on studies reported in the literature, we would expect 300 cases per year for a total of 1500 cases after five years of follow-up. This estimate </w:t>
      </w:r>
      <w:r w:rsidR="00EB0E82">
        <w:rPr>
          <w:sz w:val="22"/>
        </w:rPr>
        <w:t>did</w:t>
      </w:r>
      <w:r>
        <w:rPr>
          <w:sz w:val="22"/>
        </w:rPr>
        <w:t xml:space="preserve"> not take into account the increasing risks as women in the cohort pass through one age/risk group to the next, or the possibility that incidence rates </w:t>
      </w:r>
      <w:r w:rsidR="007B6452">
        <w:rPr>
          <w:sz w:val="22"/>
        </w:rPr>
        <w:t>may</w:t>
      </w:r>
      <w:r>
        <w:rPr>
          <w:sz w:val="22"/>
        </w:rPr>
        <w:t xml:space="preserve"> continue to increase. On the other hand, no allowance was made for the possibility that the sisters who enroll </w:t>
      </w:r>
      <w:r w:rsidR="0099082E">
        <w:rPr>
          <w:sz w:val="22"/>
        </w:rPr>
        <w:t>would</w:t>
      </w:r>
      <w:r>
        <w:rPr>
          <w:sz w:val="22"/>
        </w:rPr>
        <w:t xml:space="preserve"> be disproportionately younger since we monitor</w:t>
      </w:r>
      <w:r w:rsidR="0099082E">
        <w:rPr>
          <w:sz w:val="22"/>
        </w:rPr>
        <w:t>ed</w:t>
      </w:r>
      <w:r>
        <w:rPr>
          <w:sz w:val="22"/>
        </w:rPr>
        <w:t xml:space="preserve"> recruitment by age and </w:t>
      </w:r>
      <w:r w:rsidR="0099082E">
        <w:rPr>
          <w:sz w:val="22"/>
        </w:rPr>
        <w:t>made</w:t>
      </w:r>
      <w:r>
        <w:rPr>
          <w:sz w:val="22"/>
        </w:rPr>
        <w:t xml:space="preserve"> special efforts to enroll older sisters. While this </w:t>
      </w:r>
      <w:r w:rsidR="0099082E">
        <w:rPr>
          <w:sz w:val="22"/>
        </w:rPr>
        <w:t>could have le</w:t>
      </w:r>
      <w:r>
        <w:rPr>
          <w:sz w:val="22"/>
        </w:rPr>
        <w:t xml:space="preserve">d to fewer cases being diagnosed among a younger cohort, it </w:t>
      </w:r>
      <w:r w:rsidR="0099082E">
        <w:rPr>
          <w:sz w:val="22"/>
        </w:rPr>
        <w:t>was</w:t>
      </w:r>
      <w:r>
        <w:rPr>
          <w:sz w:val="22"/>
        </w:rPr>
        <w:t xml:space="preserve"> also likely that these younger sisters </w:t>
      </w:r>
      <w:r w:rsidR="0099082E">
        <w:rPr>
          <w:sz w:val="22"/>
        </w:rPr>
        <w:t>would</w:t>
      </w:r>
      <w:r>
        <w:rPr>
          <w:sz w:val="22"/>
        </w:rPr>
        <w:t xml:space="preserve"> be at even greater than 2-fold risk by virtue of being the sister of someone diagnosed at an early age. </w:t>
      </w:r>
      <w:r w:rsidR="001B47BA">
        <w:rPr>
          <w:sz w:val="22"/>
        </w:rPr>
        <w:t>Analysis of data from the fi</w:t>
      </w:r>
      <w:r w:rsidR="0099082E">
        <w:rPr>
          <w:sz w:val="22"/>
        </w:rPr>
        <w:t>rst 10,000 participants suggested</w:t>
      </w:r>
      <w:r w:rsidR="001B47BA">
        <w:rPr>
          <w:sz w:val="22"/>
        </w:rPr>
        <w:t xml:space="preserve"> a higher than expected percentage of women with a sister diagnosed before age 45.  Thus the power to detect genetic effects and gene-environment interactions may be even greater than expected. </w:t>
      </w:r>
    </w:p>
    <w:p w:rsidR="00006BEE" w:rsidRDefault="006D061C" w:rsidP="00F26B3F">
      <w:pPr>
        <w:spacing w:line="480" w:lineRule="auto"/>
        <w:ind w:firstLine="360"/>
        <w:rPr>
          <w:sz w:val="22"/>
        </w:rPr>
      </w:pPr>
      <w:r>
        <w:rPr>
          <w:sz w:val="22"/>
        </w:rPr>
        <w:t xml:space="preserve">The study of gene-environment interactions requires large sample sizes. The cohort size </w:t>
      </w:r>
      <w:r w:rsidR="000F250D">
        <w:rPr>
          <w:sz w:val="22"/>
        </w:rPr>
        <w:t>is</w:t>
      </w:r>
      <w:r>
        <w:rPr>
          <w:sz w:val="22"/>
        </w:rPr>
        <w:t xml:space="preserve"> large enough to test many but not all hypotheses regarding such interactions. In many instances, analyses require assessing gene status among the full </w:t>
      </w:r>
      <w:r w:rsidR="000F250D">
        <w:rPr>
          <w:sz w:val="22"/>
        </w:rPr>
        <w:t>number of</w:t>
      </w:r>
      <w:r>
        <w:rPr>
          <w:sz w:val="22"/>
        </w:rPr>
        <w:t xml:space="preserve"> </w:t>
      </w:r>
      <w:r w:rsidR="000F250D">
        <w:rPr>
          <w:sz w:val="22"/>
        </w:rPr>
        <w:t xml:space="preserve">incident </w:t>
      </w:r>
      <w:r>
        <w:rPr>
          <w:sz w:val="22"/>
        </w:rPr>
        <w:t xml:space="preserve">cases after 5 years of follow-up or waiting even longer </w:t>
      </w:r>
      <w:r w:rsidR="0099082E">
        <w:rPr>
          <w:sz w:val="22"/>
        </w:rPr>
        <w:t xml:space="preserve">as </w:t>
      </w:r>
      <w:r>
        <w:rPr>
          <w:sz w:val="22"/>
        </w:rPr>
        <w:t>additional cases</w:t>
      </w:r>
      <w:r w:rsidR="0099082E">
        <w:rPr>
          <w:sz w:val="22"/>
        </w:rPr>
        <w:t xml:space="preserve"> accrue</w:t>
      </w:r>
      <w:r>
        <w:rPr>
          <w:sz w:val="22"/>
        </w:rPr>
        <w:t xml:space="preserve">. The power of the study will depend on the frequency of </w:t>
      </w:r>
      <w:r>
        <w:rPr>
          <w:sz w:val="22"/>
        </w:rPr>
        <w:lastRenderedPageBreak/>
        <w:t>the polymorphism and the exposure as well as on the number of cases that accrue.</w:t>
      </w:r>
      <w:r w:rsidR="00006BEE">
        <w:rPr>
          <w:sz w:val="22"/>
        </w:rPr>
        <w:t xml:space="preserve"> In all cases,</w:t>
      </w:r>
      <w:r>
        <w:rPr>
          <w:sz w:val="22"/>
        </w:rPr>
        <w:t xml:space="preserve"> </w:t>
      </w:r>
      <w:r w:rsidR="00006BEE">
        <w:rPr>
          <w:sz w:val="22"/>
        </w:rPr>
        <w:t xml:space="preserve">power will be greater than in a similarly sized cohort from the general population.  </w:t>
      </w:r>
    </w:p>
    <w:p w:rsidR="006D061C" w:rsidRDefault="00006BEE" w:rsidP="00F26B3F">
      <w:pPr>
        <w:spacing w:line="480" w:lineRule="auto"/>
        <w:ind w:firstLine="360"/>
        <w:rPr>
          <w:sz w:val="22"/>
        </w:rPr>
      </w:pPr>
      <w:r>
        <w:rPr>
          <w:sz w:val="22"/>
        </w:rPr>
        <w:t>P</w:t>
      </w:r>
      <w:r w:rsidR="006D061C">
        <w:rPr>
          <w:sz w:val="22"/>
        </w:rPr>
        <w:t xml:space="preserve">ower will be sufficient for testing most main gene or environment effects of interest, often using smaller subsets of the cases that develop. For example, for alleles that occur in 40% of the population, with a Type I error of 5%, we will have 80% power to detect </w:t>
      </w:r>
      <w:r w:rsidR="006D061C" w:rsidRPr="00F77004">
        <w:rPr>
          <w:sz w:val="22"/>
        </w:rPr>
        <w:t>an odds ratio of 2.0 with approximately 130 cases and an equal number of controls (see table). With 450</w:t>
      </w:r>
      <w:r w:rsidR="006D061C">
        <w:rPr>
          <w:sz w:val="22"/>
        </w:rPr>
        <w:t xml:space="preserve"> cases, we can detect an OR of about 4.0 (80% power, 5% Type I error) for a mutation in a cancer gene that affects 1% of the population. </w:t>
      </w:r>
    </w:p>
    <w:p w:rsidR="006D061C" w:rsidRDefault="006D061C" w:rsidP="00F26B3F">
      <w:pPr>
        <w:spacing w:line="480" w:lineRule="auto"/>
        <w:ind w:firstLine="360"/>
      </w:pPr>
      <w:r>
        <w:rPr>
          <w:sz w:val="22"/>
        </w:rPr>
        <w:t xml:space="preserve">When studying an interaction between two relatively rare factors, one achieves the best power by weighting the sampling toward people who have the factors under study. Thus, the sampling of sisters provides a benefit, not just by increasing the number of cases to be accrued, but precisely because it over samples for genetic factors. </w:t>
      </w:r>
    </w:p>
    <w:tbl>
      <w:tblPr>
        <w:tblW w:w="0" w:type="auto"/>
        <w:tblInd w:w="1020" w:type="dxa"/>
        <w:tblLayout w:type="fixed"/>
        <w:tblCellMar>
          <w:left w:w="120" w:type="dxa"/>
          <w:right w:w="120" w:type="dxa"/>
        </w:tblCellMar>
        <w:tblLook w:val="0000" w:firstRow="0" w:lastRow="0" w:firstColumn="0" w:lastColumn="0" w:noHBand="0" w:noVBand="0"/>
      </w:tblPr>
      <w:tblGrid>
        <w:gridCol w:w="2430"/>
        <w:gridCol w:w="1350"/>
        <w:gridCol w:w="1530"/>
        <w:gridCol w:w="1800"/>
      </w:tblGrid>
      <w:tr w:rsidR="006D061C">
        <w:tc>
          <w:tcPr>
            <w:tcW w:w="7110" w:type="dxa"/>
            <w:gridSpan w:val="4"/>
            <w:tcBorders>
              <w:top w:val="single" w:sz="4" w:space="0" w:color="auto"/>
              <w:bottom w:val="single" w:sz="4" w:space="0" w:color="auto"/>
            </w:tcBorders>
          </w:tcPr>
          <w:p w:rsidR="006D061C" w:rsidRDefault="006D061C">
            <w:pPr>
              <w:spacing w:after="58"/>
            </w:pPr>
            <w:r>
              <w:rPr>
                <w:sz w:val="22"/>
              </w:rPr>
              <w:br w:type="page"/>
            </w:r>
            <w:r>
              <w:rPr>
                <w:b/>
              </w:rPr>
              <w:t>Approximate number of cases needed to detect odds ratios of 1.5, 2.0 and 3.0 with 80% power. Type I error = 5% and an equal number of cases and controls.</w:t>
            </w:r>
          </w:p>
        </w:tc>
      </w:tr>
      <w:tr w:rsidR="006D061C">
        <w:tc>
          <w:tcPr>
            <w:tcW w:w="2430" w:type="dxa"/>
            <w:tcBorders>
              <w:top w:val="single" w:sz="4" w:space="0" w:color="auto"/>
            </w:tcBorders>
          </w:tcPr>
          <w:p w:rsidR="006D061C" w:rsidRDefault="006D061C">
            <w:pPr>
              <w:spacing w:line="120" w:lineRule="exact"/>
            </w:pPr>
          </w:p>
          <w:p w:rsidR="006D061C" w:rsidRDefault="006D061C">
            <w:pPr>
              <w:spacing w:after="58"/>
            </w:pPr>
          </w:p>
        </w:tc>
        <w:tc>
          <w:tcPr>
            <w:tcW w:w="4680" w:type="dxa"/>
            <w:gridSpan w:val="3"/>
            <w:tcBorders>
              <w:top w:val="single" w:sz="4" w:space="0" w:color="auto"/>
            </w:tcBorders>
          </w:tcPr>
          <w:p w:rsidR="006D061C" w:rsidRDefault="006D061C">
            <w:pPr>
              <w:spacing w:line="120" w:lineRule="exact"/>
            </w:pPr>
          </w:p>
          <w:p w:rsidR="006D061C" w:rsidRDefault="006D061C">
            <w:pPr>
              <w:tabs>
                <w:tab w:val="center" w:pos="2220"/>
              </w:tabs>
              <w:spacing w:after="58"/>
            </w:pPr>
            <w:r>
              <w:rPr>
                <w:b/>
              </w:rPr>
              <w:tab/>
              <w:t>Odds Ratio</w:t>
            </w:r>
          </w:p>
        </w:tc>
      </w:tr>
      <w:tr w:rsidR="006D061C">
        <w:tc>
          <w:tcPr>
            <w:tcW w:w="2430" w:type="dxa"/>
            <w:tcBorders>
              <w:bottom w:val="single" w:sz="4" w:space="0" w:color="auto"/>
            </w:tcBorders>
          </w:tcPr>
          <w:p w:rsidR="006D061C" w:rsidRDefault="006D061C">
            <w:pPr>
              <w:spacing w:after="58"/>
              <w:rPr>
                <w:b/>
              </w:rPr>
            </w:pPr>
            <w:r>
              <w:rPr>
                <w:b/>
              </w:rPr>
              <w:t>Gene frequency (%)</w:t>
            </w:r>
          </w:p>
        </w:tc>
        <w:tc>
          <w:tcPr>
            <w:tcW w:w="1350" w:type="dxa"/>
            <w:tcBorders>
              <w:bottom w:val="single" w:sz="4" w:space="0" w:color="auto"/>
            </w:tcBorders>
          </w:tcPr>
          <w:p w:rsidR="006D061C" w:rsidRDefault="006D061C">
            <w:pPr>
              <w:spacing w:line="120" w:lineRule="exact"/>
              <w:rPr>
                <w:b/>
              </w:rPr>
            </w:pPr>
          </w:p>
          <w:p w:rsidR="006D061C" w:rsidRDefault="006D061C">
            <w:pPr>
              <w:spacing w:after="58"/>
              <w:jc w:val="right"/>
              <w:rPr>
                <w:b/>
              </w:rPr>
            </w:pPr>
            <w:r>
              <w:rPr>
                <w:b/>
              </w:rPr>
              <w:t>1.5</w:t>
            </w:r>
          </w:p>
        </w:tc>
        <w:tc>
          <w:tcPr>
            <w:tcW w:w="1530" w:type="dxa"/>
            <w:tcBorders>
              <w:bottom w:val="single" w:sz="4" w:space="0" w:color="auto"/>
            </w:tcBorders>
          </w:tcPr>
          <w:p w:rsidR="006D061C" w:rsidRDefault="006D061C">
            <w:pPr>
              <w:spacing w:line="120" w:lineRule="exact"/>
              <w:rPr>
                <w:b/>
              </w:rPr>
            </w:pPr>
          </w:p>
          <w:p w:rsidR="006D061C" w:rsidRDefault="006D061C">
            <w:pPr>
              <w:spacing w:after="58"/>
              <w:jc w:val="right"/>
              <w:rPr>
                <w:b/>
              </w:rPr>
            </w:pPr>
            <w:r>
              <w:rPr>
                <w:b/>
              </w:rPr>
              <w:t>2.0</w:t>
            </w:r>
          </w:p>
        </w:tc>
        <w:tc>
          <w:tcPr>
            <w:tcW w:w="1800" w:type="dxa"/>
            <w:tcBorders>
              <w:bottom w:val="single" w:sz="4" w:space="0" w:color="auto"/>
            </w:tcBorders>
          </w:tcPr>
          <w:p w:rsidR="006D061C" w:rsidRDefault="006D061C">
            <w:pPr>
              <w:spacing w:line="120" w:lineRule="exact"/>
              <w:rPr>
                <w:b/>
              </w:rPr>
            </w:pPr>
          </w:p>
          <w:p w:rsidR="006D061C" w:rsidRDefault="006D061C">
            <w:pPr>
              <w:spacing w:after="58"/>
              <w:jc w:val="right"/>
              <w:rPr>
                <w:b/>
              </w:rPr>
            </w:pPr>
            <w:r>
              <w:rPr>
                <w:b/>
              </w:rPr>
              <w:t>3.0</w:t>
            </w:r>
          </w:p>
        </w:tc>
      </w:tr>
      <w:tr w:rsidR="006D061C">
        <w:tc>
          <w:tcPr>
            <w:tcW w:w="2430" w:type="dxa"/>
            <w:tcBorders>
              <w:top w:val="single" w:sz="4" w:space="0" w:color="auto"/>
            </w:tcBorders>
          </w:tcPr>
          <w:p w:rsidR="006D061C" w:rsidRDefault="006D061C">
            <w:pPr>
              <w:spacing w:before="120" w:after="58"/>
            </w:pPr>
            <w:r>
              <w:t>1</w:t>
            </w:r>
          </w:p>
        </w:tc>
        <w:tc>
          <w:tcPr>
            <w:tcW w:w="1350" w:type="dxa"/>
            <w:tcBorders>
              <w:top w:val="single" w:sz="4" w:space="0" w:color="auto"/>
            </w:tcBorders>
          </w:tcPr>
          <w:p w:rsidR="006D061C" w:rsidRDefault="006D061C">
            <w:pPr>
              <w:spacing w:before="120" w:after="58"/>
              <w:jc w:val="right"/>
            </w:pPr>
          </w:p>
        </w:tc>
        <w:tc>
          <w:tcPr>
            <w:tcW w:w="1530" w:type="dxa"/>
            <w:tcBorders>
              <w:top w:val="single" w:sz="4" w:space="0" w:color="auto"/>
            </w:tcBorders>
          </w:tcPr>
          <w:p w:rsidR="006D061C" w:rsidRDefault="006D061C">
            <w:pPr>
              <w:spacing w:before="120" w:after="58"/>
              <w:jc w:val="right"/>
            </w:pPr>
            <w:r>
              <w:t>2400</w:t>
            </w:r>
          </w:p>
        </w:tc>
        <w:tc>
          <w:tcPr>
            <w:tcW w:w="1800" w:type="dxa"/>
            <w:tcBorders>
              <w:top w:val="single" w:sz="4" w:space="0" w:color="auto"/>
            </w:tcBorders>
          </w:tcPr>
          <w:p w:rsidR="006D061C" w:rsidRDefault="006D061C">
            <w:pPr>
              <w:spacing w:before="120" w:after="58"/>
              <w:jc w:val="right"/>
            </w:pPr>
            <w:r>
              <w:t>800</w:t>
            </w:r>
          </w:p>
        </w:tc>
      </w:tr>
      <w:tr w:rsidR="006D061C">
        <w:tc>
          <w:tcPr>
            <w:tcW w:w="2430" w:type="dxa"/>
          </w:tcPr>
          <w:p w:rsidR="006D061C" w:rsidRDefault="006D061C">
            <w:pPr>
              <w:spacing w:before="120"/>
            </w:pPr>
            <w:r>
              <w:t>5</w:t>
            </w:r>
          </w:p>
        </w:tc>
        <w:tc>
          <w:tcPr>
            <w:tcW w:w="1350" w:type="dxa"/>
          </w:tcPr>
          <w:p w:rsidR="006D061C" w:rsidRDefault="006D061C">
            <w:pPr>
              <w:spacing w:before="120"/>
              <w:jc w:val="right"/>
            </w:pPr>
            <w:r>
              <w:t>1650</w:t>
            </w:r>
          </w:p>
        </w:tc>
        <w:tc>
          <w:tcPr>
            <w:tcW w:w="1530" w:type="dxa"/>
          </w:tcPr>
          <w:p w:rsidR="006D061C" w:rsidRDefault="006D061C">
            <w:pPr>
              <w:spacing w:before="120"/>
              <w:jc w:val="right"/>
            </w:pPr>
            <w:r>
              <w:t>550</w:t>
            </w:r>
          </w:p>
        </w:tc>
        <w:tc>
          <w:tcPr>
            <w:tcW w:w="1800" w:type="dxa"/>
          </w:tcPr>
          <w:p w:rsidR="006D061C" w:rsidRDefault="006D061C">
            <w:pPr>
              <w:spacing w:before="120"/>
              <w:jc w:val="right"/>
            </w:pPr>
            <w:r>
              <w:t>200</w:t>
            </w:r>
          </w:p>
        </w:tc>
      </w:tr>
      <w:tr w:rsidR="006D061C">
        <w:tc>
          <w:tcPr>
            <w:tcW w:w="2430" w:type="dxa"/>
          </w:tcPr>
          <w:p w:rsidR="006D061C" w:rsidRDefault="006D061C">
            <w:pPr>
              <w:pStyle w:val="Header"/>
              <w:tabs>
                <w:tab w:val="clear" w:pos="4320"/>
                <w:tab w:val="clear" w:pos="8640"/>
              </w:tabs>
              <w:spacing w:before="120" w:after="58"/>
            </w:pPr>
            <w:r>
              <w:t>10</w:t>
            </w:r>
          </w:p>
        </w:tc>
        <w:tc>
          <w:tcPr>
            <w:tcW w:w="1350" w:type="dxa"/>
          </w:tcPr>
          <w:p w:rsidR="006D061C" w:rsidRDefault="006D061C">
            <w:pPr>
              <w:spacing w:before="120" w:after="58"/>
              <w:jc w:val="right"/>
            </w:pPr>
            <w:r>
              <w:t>950</w:t>
            </w:r>
          </w:p>
        </w:tc>
        <w:tc>
          <w:tcPr>
            <w:tcW w:w="1530" w:type="dxa"/>
          </w:tcPr>
          <w:p w:rsidR="006D061C" w:rsidRDefault="006D061C">
            <w:pPr>
              <w:spacing w:before="120" w:after="58"/>
              <w:jc w:val="right"/>
            </w:pPr>
            <w:r>
              <w:t>400</w:t>
            </w:r>
          </w:p>
        </w:tc>
        <w:tc>
          <w:tcPr>
            <w:tcW w:w="1800" w:type="dxa"/>
          </w:tcPr>
          <w:p w:rsidR="006D061C" w:rsidRDefault="006D061C">
            <w:pPr>
              <w:spacing w:before="120" w:after="58"/>
              <w:jc w:val="right"/>
            </w:pPr>
            <w:r>
              <w:t>180</w:t>
            </w:r>
          </w:p>
        </w:tc>
      </w:tr>
      <w:tr w:rsidR="006D061C">
        <w:tc>
          <w:tcPr>
            <w:tcW w:w="2430" w:type="dxa"/>
          </w:tcPr>
          <w:p w:rsidR="006D061C" w:rsidRDefault="006D061C">
            <w:pPr>
              <w:spacing w:before="120" w:after="58"/>
            </w:pPr>
            <w:r>
              <w:t>20</w:t>
            </w:r>
          </w:p>
        </w:tc>
        <w:tc>
          <w:tcPr>
            <w:tcW w:w="1350" w:type="dxa"/>
          </w:tcPr>
          <w:p w:rsidR="006D061C" w:rsidRDefault="006D061C">
            <w:pPr>
              <w:spacing w:before="120" w:after="58"/>
              <w:jc w:val="right"/>
            </w:pPr>
            <w:r>
              <w:t>550</w:t>
            </w:r>
          </w:p>
        </w:tc>
        <w:tc>
          <w:tcPr>
            <w:tcW w:w="1530" w:type="dxa"/>
          </w:tcPr>
          <w:p w:rsidR="006D061C" w:rsidRDefault="006D061C">
            <w:pPr>
              <w:spacing w:before="120" w:after="58"/>
              <w:jc w:val="right"/>
            </w:pPr>
            <w:r>
              <w:t>200</w:t>
            </w:r>
          </w:p>
        </w:tc>
        <w:tc>
          <w:tcPr>
            <w:tcW w:w="1800" w:type="dxa"/>
          </w:tcPr>
          <w:p w:rsidR="006D061C" w:rsidRDefault="006D061C">
            <w:pPr>
              <w:spacing w:before="120" w:after="58"/>
              <w:jc w:val="right"/>
            </w:pPr>
            <w:r>
              <w:t>80</w:t>
            </w:r>
          </w:p>
        </w:tc>
      </w:tr>
      <w:tr w:rsidR="006D061C">
        <w:tc>
          <w:tcPr>
            <w:tcW w:w="2430" w:type="dxa"/>
          </w:tcPr>
          <w:p w:rsidR="006D061C" w:rsidRDefault="006D061C">
            <w:pPr>
              <w:spacing w:before="120" w:after="58"/>
            </w:pPr>
            <w:r>
              <w:t>30</w:t>
            </w:r>
          </w:p>
        </w:tc>
        <w:tc>
          <w:tcPr>
            <w:tcW w:w="1350" w:type="dxa"/>
          </w:tcPr>
          <w:p w:rsidR="006D061C" w:rsidRDefault="006D061C">
            <w:pPr>
              <w:spacing w:before="120" w:after="58"/>
              <w:jc w:val="right"/>
            </w:pPr>
            <w:r>
              <w:t>500</w:t>
            </w:r>
          </w:p>
        </w:tc>
        <w:tc>
          <w:tcPr>
            <w:tcW w:w="1530" w:type="dxa"/>
          </w:tcPr>
          <w:p w:rsidR="006D061C" w:rsidRDefault="006D061C">
            <w:pPr>
              <w:spacing w:before="120" w:after="58"/>
              <w:jc w:val="right"/>
            </w:pPr>
            <w:r>
              <w:t>160</w:t>
            </w:r>
          </w:p>
        </w:tc>
        <w:tc>
          <w:tcPr>
            <w:tcW w:w="1800" w:type="dxa"/>
          </w:tcPr>
          <w:p w:rsidR="006D061C" w:rsidRDefault="006D061C">
            <w:pPr>
              <w:spacing w:before="120" w:after="58"/>
              <w:jc w:val="right"/>
            </w:pPr>
            <w:r>
              <w:t>75</w:t>
            </w:r>
          </w:p>
        </w:tc>
      </w:tr>
      <w:tr w:rsidR="006D061C">
        <w:tc>
          <w:tcPr>
            <w:tcW w:w="2430" w:type="dxa"/>
            <w:tcBorders>
              <w:bottom w:val="single" w:sz="7" w:space="0" w:color="000000"/>
            </w:tcBorders>
          </w:tcPr>
          <w:p w:rsidR="006D061C" w:rsidRDefault="006D061C">
            <w:pPr>
              <w:spacing w:before="120" w:after="58"/>
            </w:pPr>
            <w:r>
              <w:t>40</w:t>
            </w:r>
          </w:p>
        </w:tc>
        <w:tc>
          <w:tcPr>
            <w:tcW w:w="1350" w:type="dxa"/>
            <w:tcBorders>
              <w:bottom w:val="single" w:sz="7" w:space="0" w:color="000000"/>
            </w:tcBorders>
          </w:tcPr>
          <w:p w:rsidR="006D061C" w:rsidRDefault="006D061C">
            <w:pPr>
              <w:spacing w:before="120" w:after="58"/>
              <w:jc w:val="right"/>
            </w:pPr>
            <w:r>
              <w:t>425</w:t>
            </w:r>
          </w:p>
        </w:tc>
        <w:tc>
          <w:tcPr>
            <w:tcW w:w="1530" w:type="dxa"/>
            <w:tcBorders>
              <w:bottom w:val="single" w:sz="7" w:space="0" w:color="000000"/>
            </w:tcBorders>
          </w:tcPr>
          <w:p w:rsidR="006D061C" w:rsidRDefault="006D061C">
            <w:pPr>
              <w:spacing w:before="120" w:after="58"/>
              <w:jc w:val="right"/>
            </w:pPr>
            <w:r>
              <w:t>130</w:t>
            </w:r>
          </w:p>
        </w:tc>
        <w:tc>
          <w:tcPr>
            <w:tcW w:w="1800" w:type="dxa"/>
            <w:tcBorders>
              <w:bottom w:val="single" w:sz="7" w:space="0" w:color="000000"/>
            </w:tcBorders>
          </w:tcPr>
          <w:p w:rsidR="006D061C" w:rsidRDefault="006D061C">
            <w:pPr>
              <w:spacing w:before="120" w:after="58"/>
              <w:jc w:val="right"/>
            </w:pPr>
            <w:r>
              <w:t>50</w:t>
            </w:r>
          </w:p>
        </w:tc>
      </w:tr>
    </w:tbl>
    <w:p w:rsidR="006D061C" w:rsidRDefault="006D061C"/>
    <w:p w:rsidR="006D061C" w:rsidRDefault="006D061C" w:rsidP="00F26B3F">
      <w:pPr>
        <w:spacing w:line="480" w:lineRule="auto"/>
        <w:ind w:firstLine="360"/>
        <w:rPr>
          <w:sz w:val="22"/>
        </w:rPr>
      </w:pPr>
      <w:r>
        <w:rPr>
          <w:sz w:val="22"/>
        </w:rPr>
        <w:t>Presumably the most powerful design for studying gene</w:t>
      </w:r>
      <w:r>
        <w:rPr>
          <w:sz w:val="22"/>
        </w:rPr>
        <w:noBreakHyphen/>
        <w:t>environment interactions would over-sample people likely to be carrying genetic risk factors (as in the sister design) and would simultaneously over-sample women in high</w:t>
      </w:r>
      <w:r>
        <w:rPr>
          <w:sz w:val="22"/>
        </w:rPr>
        <w:noBreakHyphen/>
        <w:t>risk areas where there might be more exposure to some important environmental co-factor. Thus, we concentrate</w:t>
      </w:r>
      <w:r w:rsidR="00572D4A">
        <w:rPr>
          <w:sz w:val="22"/>
        </w:rPr>
        <w:t>d</w:t>
      </w:r>
      <w:r>
        <w:rPr>
          <w:sz w:val="22"/>
        </w:rPr>
        <w:t xml:space="preserve"> efforts to recruit in areas</w:t>
      </w:r>
      <w:r w:rsidR="00F77004">
        <w:rPr>
          <w:sz w:val="22"/>
        </w:rPr>
        <w:t xml:space="preserve"> </w:t>
      </w:r>
      <w:r w:rsidR="004D58F4">
        <w:rPr>
          <w:sz w:val="22"/>
        </w:rPr>
        <w:t>where</w:t>
      </w:r>
      <w:r>
        <w:rPr>
          <w:sz w:val="22"/>
        </w:rPr>
        <w:t xml:space="preserve"> women </w:t>
      </w:r>
      <w:r w:rsidR="00572D4A">
        <w:rPr>
          <w:sz w:val="22"/>
        </w:rPr>
        <w:t>were</w:t>
      </w:r>
      <w:r w:rsidR="004D58F4">
        <w:rPr>
          <w:sz w:val="22"/>
        </w:rPr>
        <w:t xml:space="preserve"> more likely to have </w:t>
      </w:r>
      <w:r>
        <w:rPr>
          <w:sz w:val="22"/>
        </w:rPr>
        <w:t>exposure to environmental factors that may relate to risk. It will also be possible to over-sample for rare exposures in choosing controls for the nested case-control studies.</w:t>
      </w:r>
    </w:p>
    <w:p w:rsidR="006D061C" w:rsidRDefault="006D061C" w:rsidP="000C088E">
      <w:pPr>
        <w:pStyle w:val="Heading2"/>
      </w:pPr>
      <w:bookmarkStart w:id="4" w:name="_Toc129590327"/>
      <w:bookmarkStart w:id="5" w:name="_Toc129668569"/>
      <w:r>
        <w:lastRenderedPageBreak/>
        <w:t xml:space="preserve">B.2. </w:t>
      </w:r>
      <w:r w:rsidR="000606CA">
        <w:t xml:space="preserve"> </w:t>
      </w:r>
      <w:r>
        <w:t>Procedures for the Collection of Information</w:t>
      </w:r>
      <w:bookmarkEnd w:id="4"/>
      <w:bookmarkEnd w:id="5"/>
    </w:p>
    <w:p w:rsidR="006D061C" w:rsidRDefault="006D061C" w:rsidP="00F26B3F">
      <w:pPr>
        <w:spacing w:line="480" w:lineRule="auto"/>
        <w:ind w:firstLine="360"/>
        <w:rPr>
          <w:sz w:val="22"/>
        </w:rPr>
      </w:pPr>
      <w:r>
        <w:rPr>
          <w:sz w:val="22"/>
        </w:rPr>
        <w:t>This is a non-probability sample and represents a subset of the population whose risk is relatively high. The women who volunteer</w:t>
      </w:r>
      <w:r w:rsidR="00D729E2">
        <w:rPr>
          <w:sz w:val="22"/>
        </w:rPr>
        <w:t>ed</w:t>
      </w:r>
      <w:r>
        <w:rPr>
          <w:sz w:val="22"/>
        </w:rPr>
        <w:t xml:space="preserve"> are more interested, more informed, more concerned, and highly motivated to follow through with study requirements, thus minimizing dropout rates. </w:t>
      </w:r>
      <w:r w:rsidR="00027D20">
        <w:rPr>
          <w:sz w:val="22"/>
        </w:rPr>
        <w:t>Follow-up data is collected via telephone interview and self-completed written or web-based forms</w:t>
      </w:r>
      <w:r w:rsidR="000F250D">
        <w:rPr>
          <w:sz w:val="22"/>
        </w:rPr>
        <w:t>.</w:t>
      </w:r>
    </w:p>
    <w:p w:rsidR="006D061C" w:rsidRDefault="006D061C" w:rsidP="00F26B3F">
      <w:pPr>
        <w:pStyle w:val="Level1"/>
        <w:tabs>
          <w:tab w:val="left" w:pos="-1440"/>
        </w:tabs>
        <w:spacing w:line="480" w:lineRule="auto"/>
        <w:ind w:left="0" w:firstLine="360"/>
        <w:rPr>
          <w:sz w:val="22"/>
        </w:rPr>
      </w:pPr>
      <w:r>
        <w:rPr>
          <w:sz w:val="22"/>
        </w:rPr>
        <w:t>The analysis plan includes a nested comparison of sisters who do and do not develop breast cancer during the course of follow-up. Using the questionnaire data and biological and environmental samples, we will assess the separate and combined effects of exposures and genes. Ancillary studies include</w:t>
      </w:r>
      <w:r w:rsidR="004D58F4">
        <w:rPr>
          <w:sz w:val="22"/>
        </w:rPr>
        <w:t xml:space="preserve"> </w:t>
      </w:r>
      <w:r>
        <w:rPr>
          <w:sz w:val="22"/>
        </w:rPr>
        <w:t xml:space="preserve">exploring the etiology of other diseases (e.g. </w:t>
      </w:r>
      <w:r w:rsidR="00027D20">
        <w:rPr>
          <w:sz w:val="22"/>
          <w:szCs w:val="22"/>
        </w:rPr>
        <w:t>asthma, uterine fibroids, diabetes, thyroid disease, osteoporosis, rheumatoid arthritis and other autoimmune diseases, neurodegenerative diseases, and other cancers</w:t>
      </w:r>
      <w:r>
        <w:rPr>
          <w:sz w:val="22"/>
        </w:rPr>
        <w:t xml:space="preserve">) and studying genetic and environmental effects on prognosis and prevention strategies. </w:t>
      </w:r>
    </w:p>
    <w:p w:rsidR="006D061C" w:rsidRDefault="000606CA" w:rsidP="000C088E">
      <w:pPr>
        <w:pStyle w:val="Heading2"/>
      </w:pPr>
      <w:bookmarkStart w:id="6" w:name="_Toc129590328"/>
      <w:bookmarkStart w:id="7" w:name="_Toc129668570"/>
      <w:r>
        <w:t>B.</w:t>
      </w:r>
      <w:r w:rsidR="006D061C">
        <w:t>3.</w:t>
      </w:r>
      <w:r>
        <w:t xml:space="preserve"> </w:t>
      </w:r>
      <w:r w:rsidR="006D061C">
        <w:t xml:space="preserve"> Methods to Maximize Response Rates and Deal with Nonresponse</w:t>
      </w:r>
      <w:bookmarkEnd w:id="6"/>
      <w:bookmarkEnd w:id="7"/>
    </w:p>
    <w:p w:rsidR="006D061C" w:rsidRDefault="006D061C">
      <w:pPr>
        <w:pStyle w:val="BodyTextIndent"/>
      </w:pPr>
      <w:r>
        <w:t xml:space="preserve">Since this is a volunteer cohort of motivated women we expect </w:t>
      </w:r>
      <w:r w:rsidR="0046784E">
        <w:t>participation to</w:t>
      </w:r>
      <w:r>
        <w:t xml:space="preserve"> </w:t>
      </w:r>
      <w:r w:rsidR="00027D20">
        <w:t>remain</w:t>
      </w:r>
      <w:r>
        <w:t xml:space="preserve"> quite high throughout the follow-up. </w:t>
      </w:r>
      <w:r w:rsidR="0046784E">
        <w:t xml:space="preserve"> Over </w:t>
      </w:r>
      <w:bookmarkStart w:id="8" w:name="_GoBack"/>
      <w:bookmarkEnd w:id="8"/>
      <w:r w:rsidR="000F250D" w:rsidRPr="000F250D">
        <w:rPr>
          <w:highlight w:val="yellow"/>
        </w:rPr>
        <w:t xml:space="preserve"> 91</w:t>
      </w:r>
      <w:r w:rsidR="0046784E" w:rsidRPr="000F250D">
        <w:rPr>
          <w:highlight w:val="yellow"/>
        </w:rPr>
        <w:t>%</w:t>
      </w:r>
      <w:r w:rsidR="0046784E">
        <w:t xml:space="preserve"> of</w:t>
      </w:r>
      <w:r w:rsidR="00027D20">
        <w:t xml:space="preserve"> participants have completed</w:t>
      </w:r>
      <w:r w:rsidR="0046784E">
        <w:t xml:space="preserve"> </w:t>
      </w:r>
      <w:r w:rsidR="006D4398">
        <w:t xml:space="preserve">Annual Update </w:t>
      </w:r>
      <w:r w:rsidR="0046784E">
        <w:t xml:space="preserve">forms with a protocol that included </w:t>
      </w:r>
      <w:r w:rsidR="00287B62">
        <w:t xml:space="preserve">only minimal </w:t>
      </w:r>
      <w:r w:rsidR="00B47060">
        <w:t>email, mail, and phone</w:t>
      </w:r>
      <w:r w:rsidR="0046784E">
        <w:t xml:space="preserve"> attempts to contact the women.  </w:t>
      </w:r>
      <w:r w:rsidR="008608C0">
        <w:t>Follow-Up</w:t>
      </w:r>
      <w:r w:rsidR="000F250D">
        <w:t xml:space="preserve"> II</w:t>
      </w:r>
      <w:r w:rsidR="008608C0">
        <w:t xml:space="preserve"> response rates </w:t>
      </w:r>
      <w:r w:rsidR="000F250D">
        <w:t>were</w:t>
      </w:r>
      <w:r w:rsidR="0060089B">
        <w:t xml:space="preserve"> over </w:t>
      </w:r>
      <w:r w:rsidR="00027D20">
        <w:t>9</w:t>
      </w:r>
      <w:r w:rsidR="000F250D">
        <w:t>2</w:t>
      </w:r>
      <w:r w:rsidR="00027D20">
        <w:t>%</w:t>
      </w:r>
      <w:r w:rsidR="000F250D">
        <w:t xml:space="preserve">.  </w:t>
      </w:r>
      <w:r w:rsidR="0046784E">
        <w:t>These response rates are comparable</w:t>
      </w:r>
      <w:r w:rsidR="008608C0">
        <w:t xml:space="preserve"> or better than</w:t>
      </w:r>
      <w:r w:rsidR="0046784E">
        <w:t xml:space="preserve"> those achieved in other highly motivated cohorts.  Such high response rates in the </w:t>
      </w:r>
      <w:proofErr w:type="spellStart"/>
      <w:r w:rsidR="0046784E">
        <w:t>Nurses</w:t>
      </w:r>
      <w:proofErr w:type="spellEnd"/>
      <w:r w:rsidR="0046784E">
        <w:t xml:space="preserve"> Health Study and the Black Women’s cohort are achieved o</w:t>
      </w:r>
      <w:r w:rsidR="004240BE">
        <w:t>n</w:t>
      </w:r>
      <w:r w:rsidR="0046784E">
        <w:t xml:space="preserve">ly after as many as a dozen or more questionnaire mailings to participants. </w:t>
      </w:r>
    </w:p>
    <w:p w:rsidR="001F74EF" w:rsidRDefault="00287B62">
      <w:pPr>
        <w:pStyle w:val="BodyTextIndent"/>
      </w:pPr>
      <w:r>
        <w:t>Secure</w:t>
      </w:r>
      <w:r w:rsidR="00E274C5">
        <w:t xml:space="preserve"> </w:t>
      </w:r>
      <w:r w:rsidR="008608C0">
        <w:t xml:space="preserve">Annual Update and Follow-Up forms are available for self-completion on the Web.  </w:t>
      </w:r>
      <w:r w:rsidR="006D061C">
        <w:t>CATI interview</w:t>
      </w:r>
      <w:r w:rsidR="00F155C8">
        <w:t>s</w:t>
      </w:r>
      <w:r w:rsidR="006D061C">
        <w:t xml:space="preserve"> </w:t>
      </w:r>
      <w:r w:rsidR="00F155C8">
        <w:t>are</w:t>
      </w:r>
      <w:r w:rsidR="006D061C">
        <w:t xml:space="preserve"> scheduled at the convenience of the participant. </w:t>
      </w:r>
      <w:r w:rsidR="00B47060">
        <w:t xml:space="preserve">About half of all questionnaire completes are obtained within a few weeks of the initial yearly request sent by email (or mail for those without an email address on file). </w:t>
      </w:r>
      <w:r w:rsidR="006D061C">
        <w:t xml:space="preserve">Non-responders </w:t>
      </w:r>
      <w:r w:rsidR="00D15883">
        <w:t>are</w:t>
      </w:r>
      <w:r w:rsidR="006D061C">
        <w:t xml:space="preserve"> sent follow-up reminders by </w:t>
      </w:r>
      <w:r w:rsidR="006D4398">
        <w:t xml:space="preserve">email and </w:t>
      </w:r>
      <w:r w:rsidR="006D061C">
        <w:t>mail</w:t>
      </w:r>
      <w:r w:rsidR="00D15883">
        <w:t xml:space="preserve">, and are subsequently contacted by </w:t>
      </w:r>
      <w:r w:rsidR="006D061C">
        <w:t>phone</w:t>
      </w:r>
      <w:r w:rsidR="006D4398">
        <w:t xml:space="preserve"> if the initial series of email and mail attempts are unsuccessful</w:t>
      </w:r>
      <w:r w:rsidR="006D061C">
        <w:t xml:space="preserve">. </w:t>
      </w:r>
      <w:r w:rsidR="00B24843">
        <w:t>For participants indicating a Span</w:t>
      </w:r>
      <w:r w:rsidR="00E274C5">
        <w:t>ish language preference,</w:t>
      </w:r>
      <w:r w:rsidR="001F74EF">
        <w:t xml:space="preserve"> study activities and correspondence </w:t>
      </w:r>
      <w:r w:rsidR="00B24843">
        <w:t xml:space="preserve">are made </w:t>
      </w:r>
      <w:r w:rsidR="001F74EF">
        <w:t>available in Spanish.</w:t>
      </w:r>
    </w:p>
    <w:p w:rsidR="006D061C" w:rsidRDefault="000606CA" w:rsidP="000C088E">
      <w:pPr>
        <w:pStyle w:val="Heading2"/>
      </w:pPr>
      <w:bookmarkStart w:id="9" w:name="_Toc129590329"/>
      <w:bookmarkStart w:id="10" w:name="_Toc129668571"/>
      <w:r>
        <w:lastRenderedPageBreak/>
        <w:t>B.</w:t>
      </w:r>
      <w:r w:rsidR="006D061C">
        <w:t xml:space="preserve">4. </w:t>
      </w:r>
      <w:r>
        <w:t xml:space="preserve"> </w:t>
      </w:r>
      <w:r w:rsidR="006D061C">
        <w:t>Test of Procedures or Methods to be Undertaken</w:t>
      </w:r>
      <w:bookmarkEnd w:id="9"/>
      <w:bookmarkEnd w:id="10"/>
    </w:p>
    <w:p w:rsidR="006D061C" w:rsidRDefault="006D061C">
      <w:pPr>
        <w:pStyle w:val="BodyTextIndent3"/>
        <w:ind w:left="0"/>
      </w:pPr>
      <w:r>
        <w:t>Meetings with breast cancer patients and different groups of sisters of breast cancer patients were held during 1999-2000</w:t>
      </w:r>
      <w:r w:rsidR="00E66957">
        <w:t>, prior to the start of recruitment,</w:t>
      </w:r>
      <w:r>
        <w:t xml:space="preserve"> to determine acceptability of study and recruitment methods. The overwhelming response was </w:t>
      </w:r>
      <w:r w:rsidR="00D15883">
        <w:t xml:space="preserve">not only </w:t>
      </w:r>
      <w:r w:rsidR="000E6F72">
        <w:t>that the study was</w:t>
      </w:r>
      <w:r>
        <w:t xml:space="preserve"> vitally important, but </w:t>
      </w:r>
      <w:r w:rsidR="00D15883">
        <w:t xml:space="preserve">also </w:t>
      </w:r>
      <w:r>
        <w:t>that women were eager to know more about it</w:t>
      </w:r>
      <w:r w:rsidR="00D15883">
        <w:t>,</w:t>
      </w:r>
      <w:r>
        <w:t xml:space="preserve"> </w:t>
      </w:r>
      <w:r w:rsidR="00D15883">
        <w:t>and</w:t>
      </w:r>
      <w:r>
        <w:t xml:space="preserve"> </w:t>
      </w:r>
      <w:r w:rsidR="00D15883">
        <w:t xml:space="preserve">eager to </w:t>
      </w:r>
      <w:r>
        <w:t>convey the information to their sisters or others who would be eligible. Their feedback helped us design our screening methods and recruitment strategies. Interestingly many women noted that although it might be too late to help them</w:t>
      </w:r>
      <w:r w:rsidR="004A2793">
        <w:t>selves</w:t>
      </w:r>
      <w:r>
        <w:t>, they would participate in the study in the hope that it would provide information that might prevent breast cancer in their daughters!</w:t>
      </w:r>
    </w:p>
    <w:p w:rsidR="006D061C" w:rsidRDefault="006D061C">
      <w:pPr>
        <w:spacing w:line="480" w:lineRule="auto"/>
        <w:ind w:firstLine="270"/>
        <w:rPr>
          <w:sz w:val="22"/>
        </w:rPr>
      </w:pPr>
      <w:r>
        <w:rPr>
          <w:sz w:val="22"/>
        </w:rPr>
        <w:t xml:space="preserve">All procedures and the questionnaires </w:t>
      </w:r>
      <w:r w:rsidR="004A2793">
        <w:rPr>
          <w:sz w:val="22"/>
        </w:rPr>
        <w:t>underwent</w:t>
      </w:r>
      <w:r>
        <w:rPr>
          <w:sz w:val="22"/>
        </w:rPr>
        <w:t xml:space="preserve"> internal testing prior to implementation. </w:t>
      </w:r>
      <w:r w:rsidR="004A2793">
        <w:rPr>
          <w:sz w:val="22"/>
        </w:rPr>
        <w:t xml:space="preserve">Finally, the information gleaned from </w:t>
      </w:r>
      <w:r w:rsidR="00E66957">
        <w:rPr>
          <w:sz w:val="22"/>
        </w:rPr>
        <w:t>successive study activities</w:t>
      </w:r>
      <w:r w:rsidR="002A4FCE">
        <w:rPr>
          <w:sz w:val="22"/>
        </w:rPr>
        <w:t xml:space="preserve"> allows</w:t>
      </w:r>
      <w:r w:rsidR="004A2793">
        <w:rPr>
          <w:sz w:val="22"/>
        </w:rPr>
        <w:t xml:space="preserve"> further refinement of all study materials and procedures</w:t>
      </w:r>
      <w:r w:rsidR="00E66957">
        <w:rPr>
          <w:sz w:val="22"/>
        </w:rPr>
        <w:t>, including the shortening and modification of f</w:t>
      </w:r>
      <w:r w:rsidR="002A4FCE">
        <w:rPr>
          <w:sz w:val="22"/>
        </w:rPr>
        <w:t>orms</w:t>
      </w:r>
      <w:r w:rsidR="004A2793">
        <w:rPr>
          <w:sz w:val="22"/>
        </w:rPr>
        <w:t xml:space="preserve"> to streamline data collection</w:t>
      </w:r>
      <w:r w:rsidR="00E66957">
        <w:rPr>
          <w:sz w:val="22"/>
        </w:rPr>
        <w:t xml:space="preserve"> and</w:t>
      </w:r>
      <w:r w:rsidR="004A2793">
        <w:rPr>
          <w:sz w:val="22"/>
        </w:rPr>
        <w:t xml:space="preserve"> reduc</w:t>
      </w:r>
      <w:r w:rsidR="00E66957">
        <w:rPr>
          <w:sz w:val="22"/>
        </w:rPr>
        <w:t>e</w:t>
      </w:r>
      <w:r w:rsidR="002A4FCE">
        <w:rPr>
          <w:sz w:val="22"/>
        </w:rPr>
        <w:t xml:space="preserve"> the burden on participants.</w:t>
      </w:r>
    </w:p>
    <w:p w:rsidR="006D061C" w:rsidRDefault="006D061C" w:rsidP="000C088E">
      <w:pPr>
        <w:pStyle w:val="Heading2"/>
      </w:pPr>
      <w:bookmarkStart w:id="11" w:name="_Toc129590330"/>
      <w:bookmarkStart w:id="12" w:name="_Toc129668572"/>
      <w:r>
        <w:t xml:space="preserve">B.5. </w:t>
      </w:r>
      <w:r w:rsidR="000606CA">
        <w:t xml:space="preserve"> </w:t>
      </w:r>
      <w:r>
        <w:t>Individuals Consulted on Statistical Aspects and Individuals Collecting and/or Analyzing Data</w:t>
      </w:r>
      <w:bookmarkEnd w:id="11"/>
      <w:bookmarkEnd w:id="12"/>
    </w:p>
    <w:p w:rsidR="00C40B8A" w:rsidRDefault="006D061C" w:rsidP="00695FDB">
      <w:pPr>
        <w:spacing w:line="480" w:lineRule="auto"/>
        <w:ind w:firstLine="360"/>
        <w:rPr>
          <w:color w:val="000000"/>
          <w:sz w:val="22"/>
        </w:rPr>
      </w:pPr>
      <w:r>
        <w:rPr>
          <w:sz w:val="22"/>
        </w:rPr>
        <w:t>Dr. Clarice Weinberg</w:t>
      </w:r>
      <w:r w:rsidR="00095636">
        <w:rPr>
          <w:sz w:val="22"/>
        </w:rPr>
        <w:t xml:space="preserve"> (</w:t>
      </w:r>
      <w:r>
        <w:rPr>
          <w:sz w:val="22"/>
        </w:rPr>
        <w:t>919-541-4927</w:t>
      </w:r>
      <w:r w:rsidR="00095636">
        <w:rPr>
          <w:sz w:val="22"/>
        </w:rPr>
        <w:t>).</w:t>
      </w:r>
      <w:r>
        <w:rPr>
          <w:sz w:val="22"/>
        </w:rPr>
        <w:t xml:space="preserve"> Chief, Biostatistics Branch, NIEHS, a Co-Investigator on this study, developed the statistical approach for the study in conjunction with Dr. Sandler. Data </w:t>
      </w:r>
      <w:r w:rsidR="005C5E19">
        <w:rPr>
          <w:sz w:val="22"/>
        </w:rPr>
        <w:t>is</w:t>
      </w:r>
      <w:r>
        <w:rPr>
          <w:sz w:val="22"/>
        </w:rPr>
        <w:t xml:space="preserve"> collected and managed by</w:t>
      </w:r>
      <w:r w:rsidR="00095636">
        <w:rPr>
          <w:sz w:val="22"/>
        </w:rPr>
        <w:t xml:space="preserve"> </w:t>
      </w:r>
      <w:r w:rsidR="005C5E19">
        <w:rPr>
          <w:sz w:val="22"/>
        </w:rPr>
        <w:t xml:space="preserve">SSS, with </w:t>
      </w:r>
      <w:r w:rsidR="00DD3531">
        <w:rPr>
          <w:sz w:val="22"/>
        </w:rPr>
        <w:t>Dr. Sandra Deming Halverson (919-287-4502</w:t>
      </w:r>
      <w:r w:rsidR="00234231">
        <w:rPr>
          <w:sz w:val="22"/>
        </w:rPr>
        <w:t>)</w:t>
      </w:r>
      <w:r w:rsidR="005C5E19">
        <w:rPr>
          <w:sz w:val="22"/>
        </w:rPr>
        <w:t xml:space="preserve"> as the Project Director </w:t>
      </w:r>
      <w:r w:rsidR="00654C89">
        <w:rPr>
          <w:sz w:val="22"/>
        </w:rPr>
        <w:t xml:space="preserve">with offices at </w:t>
      </w:r>
      <w:r>
        <w:rPr>
          <w:sz w:val="22"/>
        </w:rPr>
        <w:t xml:space="preserve">1009 Slater Road, Suite 120, Durham, NC 27703. Data will be analyzed by Drs. Dale Sandler, </w:t>
      </w:r>
      <w:r w:rsidR="00DD3531">
        <w:rPr>
          <w:sz w:val="22"/>
        </w:rPr>
        <w:t xml:space="preserve">Honglei Chen, </w:t>
      </w:r>
      <w:r w:rsidRPr="00CF5EA6">
        <w:rPr>
          <w:color w:val="000000"/>
          <w:sz w:val="22"/>
        </w:rPr>
        <w:t xml:space="preserve">Jack Taylor, </w:t>
      </w:r>
      <w:r w:rsidR="00367D86">
        <w:rPr>
          <w:color w:val="000000"/>
          <w:sz w:val="22"/>
        </w:rPr>
        <w:t xml:space="preserve">other NIEHS </w:t>
      </w:r>
      <w:r w:rsidRPr="00CF5EA6">
        <w:rPr>
          <w:color w:val="000000"/>
          <w:sz w:val="22"/>
        </w:rPr>
        <w:t>Epidemiology Branch</w:t>
      </w:r>
      <w:r w:rsidR="00367D86">
        <w:rPr>
          <w:color w:val="000000"/>
          <w:sz w:val="22"/>
        </w:rPr>
        <w:t xml:space="preserve"> collaborators</w:t>
      </w:r>
      <w:r w:rsidRPr="00CF5EA6">
        <w:rPr>
          <w:color w:val="000000"/>
          <w:sz w:val="22"/>
        </w:rPr>
        <w:t xml:space="preserve">, </w:t>
      </w:r>
      <w:r w:rsidR="006C238C" w:rsidRPr="00CF5EA6">
        <w:rPr>
          <w:color w:val="000000"/>
          <w:sz w:val="22"/>
        </w:rPr>
        <w:t xml:space="preserve">and </w:t>
      </w:r>
      <w:r w:rsidRPr="00CF5EA6">
        <w:rPr>
          <w:color w:val="000000"/>
          <w:sz w:val="22"/>
        </w:rPr>
        <w:t>Dr. Weinberg</w:t>
      </w:r>
      <w:r w:rsidR="006C238C" w:rsidRPr="00CF5EA6">
        <w:rPr>
          <w:color w:val="000000"/>
          <w:sz w:val="22"/>
        </w:rPr>
        <w:t>.</w:t>
      </w:r>
    </w:p>
    <w:sectPr w:rsidR="00C40B8A" w:rsidSect="00D81793">
      <w:footerReference w:type="default" r:id="rId8"/>
      <w:footerReference w:type="firs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CAA" w:rsidRDefault="00E52CAA">
      <w:r>
        <w:separator/>
      </w:r>
    </w:p>
  </w:endnote>
  <w:endnote w:type="continuationSeparator" w:id="0">
    <w:p w:rsidR="00E52CAA" w:rsidRDefault="00E5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66B" w:rsidRPr="00C57D52" w:rsidRDefault="007C566B" w:rsidP="00C57D52">
    <w:pPr>
      <w:pStyle w:val="Footer"/>
      <w:tabs>
        <w:tab w:val="clear" w:pos="8640"/>
        <w:tab w:val="right" w:pos="9360"/>
      </w:tabs>
      <w:rPr>
        <w:i/>
        <w:sz w:val="18"/>
        <w:szCs w:val="18"/>
      </w:rPr>
    </w:pPr>
    <w:r w:rsidRPr="00C57D52">
      <w:rPr>
        <w:i/>
        <w:sz w:val="18"/>
        <w:szCs w:val="18"/>
      </w:rPr>
      <w:t>Sister Study</w:t>
    </w:r>
    <w:r>
      <w:rPr>
        <w:i/>
        <w:sz w:val="18"/>
        <w:szCs w:val="18"/>
      </w:rPr>
      <w:t>—OMB 201</w:t>
    </w:r>
    <w:r w:rsidR="009559F3">
      <w:rPr>
        <w:i/>
        <w:sz w:val="18"/>
        <w:szCs w:val="18"/>
      </w:rPr>
      <w:t>6</w:t>
    </w:r>
    <w:r>
      <w:rPr>
        <w:i/>
        <w:sz w:val="18"/>
        <w:szCs w:val="18"/>
      </w:rPr>
      <w:t>: Supporting Statements</w:t>
    </w:r>
    <w:r w:rsidRPr="00C57D52">
      <w:rPr>
        <w:i/>
        <w:sz w:val="18"/>
        <w:szCs w:val="18"/>
      </w:rPr>
      <w:t xml:space="preserve"> B</w:t>
    </w:r>
    <w:r w:rsidRPr="00C57D52">
      <w:rPr>
        <w:i/>
        <w:sz w:val="18"/>
        <w:szCs w:val="18"/>
      </w:rPr>
      <w:tab/>
    </w:r>
    <w:r w:rsidRPr="00C57D52">
      <w:rPr>
        <w:i/>
        <w:sz w:val="18"/>
        <w:szCs w:val="18"/>
      </w:rPr>
      <w:tab/>
      <w:t xml:space="preserve">page </w:t>
    </w:r>
    <w:r w:rsidRPr="00C57D52">
      <w:rPr>
        <w:rStyle w:val="PageNumber"/>
        <w:i/>
        <w:sz w:val="18"/>
        <w:szCs w:val="18"/>
      </w:rPr>
      <w:fldChar w:fldCharType="begin"/>
    </w:r>
    <w:r w:rsidRPr="00C57D52">
      <w:rPr>
        <w:rStyle w:val="PageNumber"/>
        <w:i/>
        <w:sz w:val="18"/>
        <w:szCs w:val="18"/>
      </w:rPr>
      <w:instrText xml:space="preserve"> PAGE </w:instrText>
    </w:r>
    <w:r w:rsidRPr="00C57D52">
      <w:rPr>
        <w:rStyle w:val="PageNumber"/>
        <w:i/>
        <w:sz w:val="18"/>
        <w:szCs w:val="18"/>
      </w:rPr>
      <w:fldChar w:fldCharType="separate"/>
    </w:r>
    <w:r w:rsidR="0045716D">
      <w:rPr>
        <w:rStyle w:val="PageNumber"/>
        <w:i/>
        <w:noProof/>
        <w:sz w:val="18"/>
        <w:szCs w:val="18"/>
      </w:rPr>
      <w:t>1</w:t>
    </w:r>
    <w:r w:rsidRPr="00C57D52">
      <w:rPr>
        <w:rStyle w:val="PageNumber"/>
        <w:i/>
        <w:sz w:val="18"/>
        <w:szCs w:val="18"/>
      </w:rPr>
      <w:fldChar w:fldCharType="end"/>
    </w:r>
    <w:r w:rsidRPr="00C57D52">
      <w:rPr>
        <w:rStyle w:val="PageNumber"/>
        <w:i/>
        <w:sz w:val="18"/>
        <w:szCs w:val="18"/>
      </w:rPr>
      <w:t xml:space="preserve"> of </w:t>
    </w:r>
    <w:r w:rsidRPr="00C57D52">
      <w:rPr>
        <w:rStyle w:val="PageNumber"/>
        <w:i/>
        <w:sz w:val="18"/>
        <w:szCs w:val="18"/>
      </w:rPr>
      <w:fldChar w:fldCharType="begin"/>
    </w:r>
    <w:r w:rsidRPr="00C57D52">
      <w:rPr>
        <w:rStyle w:val="PageNumber"/>
        <w:i/>
        <w:sz w:val="18"/>
        <w:szCs w:val="18"/>
      </w:rPr>
      <w:instrText xml:space="preserve"> NUMPAGES </w:instrText>
    </w:r>
    <w:r w:rsidRPr="00C57D52">
      <w:rPr>
        <w:rStyle w:val="PageNumber"/>
        <w:i/>
        <w:sz w:val="18"/>
        <w:szCs w:val="18"/>
      </w:rPr>
      <w:fldChar w:fldCharType="separate"/>
    </w:r>
    <w:r w:rsidR="0045716D">
      <w:rPr>
        <w:rStyle w:val="PageNumber"/>
        <w:i/>
        <w:noProof/>
        <w:sz w:val="18"/>
        <w:szCs w:val="18"/>
      </w:rPr>
      <w:t>7</w:t>
    </w:r>
    <w:r w:rsidRPr="00C57D52">
      <w:rPr>
        <w:rStyle w:val="PageNumber"/>
        <w: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66B" w:rsidRPr="00D51D6C" w:rsidRDefault="007C566B" w:rsidP="00D51D6C">
    <w:pPr>
      <w:pStyle w:val="Footer"/>
      <w:tabs>
        <w:tab w:val="clear" w:pos="4320"/>
        <w:tab w:val="clear" w:pos="8640"/>
        <w:tab w:val="center" w:pos="5040"/>
        <w:tab w:val="right" w:pos="9360"/>
      </w:tabs>
      <w:rPr>
        <w:i/>
        <w:sz w:val="18"/>
        <w:szCs w:val="18"/>
      </w:rPr>
    </w:pPr>
    <w:r w:rsidRPr="00D51D6C">
      <w:rPr>
        <w:i/>
        <w:snapToGrid w:val="0"/>
        <w:sz w:val="18"/>
        <w:szCs w:val="18"/>
      </w:rPr>
      <w:t>Sister Study OMB Supporting Statement</w:t>
    </w:r>
    <w:r w:rsidRPr="00D51D6C">
      <w:rPr>
        <w:i/>
        <w:snapToGrid w:val="0"/>
        <w:sz w:val="18"/>
        <w:szCs w:val="18"/>
      </w:rPr>
      <w:tab/>
      <w:t>08 March 2006</w:t>
    </w:r>
    <w:r w:rsidRPr="00D51D6C">
      <w:rPr>
        <w:i/>
        <w:snapToGrid w:val="0"/>
        <w:sz w:val="18"/>
        <w:szCs w:val="18"/>
      </w:rPr>
      <w:tab/>
      <w:t xml:space="preserve">page </w:t>
    </w:r>
    <w:r w:rsidRPr="00D51D6C">
      <w:rPr>
        <w:rStyle w:val="PageNumber"/>
        <w:i/>
        <w:sz w:val="18"/>
        <w:szCs w:val="18"/>
      </w:rPr>
      <w:fldChar w:fldCharType="begin"/>
    </w:r>
    <w:r w:rsidRPr="00D51D6C">
      <w:rPr>
        <w:rStyle w:val="PageNumber"/>
        <w:i/>
        <w:sz w:val="18"/>
        <w:szCs w:val="18"/>
      </w:rPr>
      <w:instrText xml:space="preserve"> PAGE </w:instrText>
    </w:r>
    <w:r w:rsidRPr="00D51D6C">
      <w:rPr>
        <w:rStyle w:val="PageNumber"/>
        <w:i/>
        <w:sz w:val="18"/>
        <w:szCs w:val="18"/>
      </w:rPr>
      <w:fldChar w:fldCharType="separate"/>
    </w:r>
    <w:r>
      <w:rPr>
        <w:rStyle w:val="PageNumber"/>
        <w:i/>
        <w:noProof/>
        <w:sz w:val="18"/>
        <w:szCs w:val="18"/>
      </w:rPr>
      <w:t>1</w:t>
    </w:r>
    <w:r w:rsidRPr="00D51D6C">
      <w:rPr>
        <w:rStyle w:val="PageNumber"/>
        <w:i/>
        <w:sz w:val="18"/>
        <w:szCs w:val="18"/>
      </w:rPr>
      <w:fldChar w:fldCharType="end"/>
    </w:r>
    <w:r w:rsidRPr="00D51D6C">
      <w:rPr>
        <w:rStyle w:val="PageNumber"/>
        <w:i/>
        <w:sz w:val="18"/>
        <w:szCs w:val="18"/>
      </w:rPr>
      <w:t xml:space="preserve"> of </w:t>
    </w:r>
    <w:r w:rsidRPr="00D51D6C">
      <w:rPr>
        <w:rStyle w:val="PageNumber"/>
        <w:i/>
        <w:sz w:val="18"/>
        <w:szCs w:val="18"/>
      </w:rPr>
      <w:fldChar w:fldCharType="begin"/>
    </w:r>
    <w:r w:rsidRPr="00D51D6C">
      <w:rPr>
        <w:rStyle w:val="PageNumber"/>
        <w:i/>
        <w:sz w:val="18"/>
        <w:szCs w:val="18"/>
      </w:rPr>
      <w:instrText xml:space="preserve"> NUMPAGES </w:instrText>
    </w:r>
    <w:r w:rsidRPr="00D51D6C">
      <w:rPr>
        <w:rStyle w:val="PageNumber"/>
        <w:i/>
        <w:sz w:val="18"/>
        <w:szCs w:val="18"/>
      </w:rPr>
      <w:fldChar w:fldCharType="separate"/>
    </w:r>
    <w:r w:rsidR="009559F3">
      <w:rPr>
        <w:rStyle w:val="PageNumber"/>
        <w:i/>
        <w:noProof/>
        <w:sz w:val="18"/>
        <w:szCs w:val="18"/>
      </w:rPr>
      <w:t>1</w:t>
    </w:r>
    <w:r w:rsidRPr="00D51D6C">
      <w:rPr>
        <w:rStyle w:val="PageNumbe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CAA" w:rsidRDefault="00E52CAA">
      <w:r>
        <w:separator/>
      </w:r>
    </w:p>
  </w:footnote>
  <w:footnote w:type="continuationSeparator" w:id="0">
    <w:p w:rsidR="00E52CAA" w:rsidRDefault="00E52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D324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DFC0E1B"/>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3">
    <w:nsid w:val="207849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A647A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4BF4E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13004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82914FD"/>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8">
    <w:nsid w:val="52E86348"/>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9">
    <w:nsid w:val="54B31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200265"/>
    <w:multiLevelType w:val="hybridMultilevel"/>
    <w:tmpl w:val="0BB0C33C"/>
    <w:lvl w:ilvl="0" w:tplc="752EBF20">
      <w:start w:val="1"/>
      <w:numFmt w:val="bullet"/>
      <w:lvlText w:val=""/>
      <w:lvlJc w:val="left"/>
      <w:pPr>
        <w:tabs>
          <w:tab w:val="num" w:pos="1560"/>
        </w:tabs>
        <w:ind w:left="1560" w:hanging="360"/>
      </w:pPr>
      <w:rPr>
        <w:rFonts w:ascii="Symbol" w:hAnsi="Symbol" w:hint="default"/>
      </w:rPr>
    </w:lvl>
    <w:lvl w:ilvl="1" w:tplc="C0B4493E" w:tentative="1">
      <w:start w:val="1"/>
      <w:numFmt w:val="bullet"/>
      <w:lvlText w:val="o"/>
      <w:lvlJc w:val="left"/>
      <w:pPr>
        <w:tabs>
          <w:tab w:val="num" w:pos="2280"/>
        </w:tabs>
        <w:ind w:left="2280" w:hanging="360"/>
      </w:pPr>
      <w:rPr>
        <w:rFonts w:ascii="Courier New" w:hAnsi="Courier New" w:hint="default"/>
      </w:rPr>
    </w:lvl>
    <w:lvl w:ilvl="2" w:tplc="3B663E3E" w:tentative="1">
      <w:start w:val="1"/>
      <w:numFmt w:val="bullet"/>
      <w:lvlText w:val=""/>
      <w:lvlJc w:val="left"/>
      <w:pPr>
        <w:tabs>
          <w:tab w:val="num" w:pos="3000"/>
        </w:tabs>
        <w:ind w:left="3000" w:hanging="360"/>
      </w:pPr>
      <w:rPr>
        <w:rFonts w:ascii="Wingdings" w:hAnsi="Wingdings" w:hint="default"/>
      </w:rPr>
    </w:lvl>
    <w:lvl w:ilvl="3" w:tplc="42E2443C" w:tentative="1">
      <w:start w:val="1"/>
      <w:numFmt w:val="bullet"/>
      <w:lvlText w:val=""/>
      <w:lvlJc w:val="left"/>
      <w:pPr>
        <w:tabs>
          <w:tab w:val="num" w:pos="3720"/>
        </w:tabs>
        <w:ind w:left="3720" w:hanging="360"/>
      </w:pPr>
      <w:rPr>
        <w:rFonts w:ascii="Symbol" w:hAnsi="Symbol" w:hint="default"/>
      </w:rPr>
    </w:lvl>
    <w:lvl w:ilvl="4" w:tplc="11BE2DAA" w:tentative="1">
      <w:start w:val="1"/>
      <w:numFmt w:val="bullet"/>
      <w:lvlText w:val="o"/>
      <w:lvlJc w:val="left"/>
      <w:pPr>
        <w:tabs>
          <w:tab w:val="num" w:pos="4440"/>
        </w:tabs>
        <w:ind w:left="4440" w:hanging="360"/>
      </w:pPr>
      <w:rPr>
        <w:rFonts w:ascii="Courier New" w:hAnsi="Courier New" w:hint="default"/>
      </w:rPr>
    </w:lvl>
    <w:lvl w:ilvl="5" w:tplc="49E2EAAA" w:tentative="1">
      <w:start w:val="1"/>
      <w:numFmt w:val="bullet"/>
      <w:lvlText w:val=""/>
      <w:lvlJc w:val="left"/>
      <w:pPr>
        <w:tabs>
          <w:tab w:val="num" w:pos="5160"/>
        </w:tabs>
        <w:ind w:left="5160" w:hanging="360"/>
      </w:pPr>
      <w:rPr>
        <w:rFonts w:ascii="Wingdings" w:hAnsi="Wingdings" w:hint="default"/>
      </w:rPr>
    </w:lvl>
    <w:lvl w:ilvl="6" w:tplc="2A66004C" w:tentative="1">
      <w:start w:val="1"/>
      <w:numFmt w:val="bullet"/>
      <w:lvlText w:val=""/>
      <w:lvlJc w:val="left"/>
      <w:pPr>
        <w:tabs>
          <w:tab w:val="num" w:pos="5880"/>
        </w:tabs>
        <w:ind w:left="5880" w:hanging="360"/>
      </w:pPr>
      <w:rPr>
        <w:rFonts w:ascii="Symbol" w:hAnsi="Symbol" w:hint="default"/>
      </w:rPr>
    </w:lvl>
    <w:lvl w:ilvl="7" w:tplc="D7EC0C5E" w:tentative="1">
      <w:start w:val="1"/>
      <w:numFmt w:val="bullet"/>
      <w:lvlText w:val="o"/>
      <w:lvlJc w:val="left"/>
      <w:pPr>
        <w:tabs>
          <w:tab w:val="num" w:pos="6600"/>
        </w:tabs>
        <w:ind w:left="6600" w:hanging="360"/>
      </w:pPr>
      <w:rPr>
        <w:rFonts w:ascii="Courier New" w:hAnsi="Courier New" w:hint="default"/>
      </w:rPr>
    </w:lvl>
    <w:lvl w:ilvl="8" w:tplc="D124F244" w:tentative="1">
      <w:start w:val="1"/>
      <w:numFmt w:val="bullet"/>
      <w:lvlText w:val=""/>
      <w:lvlJc w:val="left"/>
      <w:pPr>
        <w:tabs>
          <w:tab w:val="num" w:pos="7320"/>
        </w:tabs>
        <w:ind w:left="7320" w:hanging="360"/>
      </w:pPr>
      <w:rPr>
        <w:rFonts w:ascii="Wingdings" w:hAnsi="Wingdings" w:hint="default"/>
      </w:rPr>
    </w:lvl>
  </w:abstractNum>
  <w:abstractNum w:abstractNumId="11">
    <w:nsid w:val="5A565C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DFC4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EB048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F875B9"/>
    <w:multiLevelType w:val="singleLevel"/>
    <w:tmpl w:val="0409000F"/>
    <w:lvl w:ilvl="0">
      <w:start w:val="19"/>
      <w:numFmt w:val="decimal"/>
      <w:lvlText w:val="%1."/>
      <w:lvlJc w:val="left"/>
      <w:pPr>
        <w:tabs>
          <w:tab w:val="num" w:pos="360"/>
        </w:tabs>
        <w:ind w:left="360" w:hanging="360"/>
      </w:pPr>
      <w:rPr>
        <w:rFonts w:hint="default"/>
      </w:rPr>
    </w:lvl>
  </w:abstractNum>
  <w:abstractNum w:abstractNumId="15">
    <w:nsid w:val="65343C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7625A95"/>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7">
    <w:nsid w:val="6A227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DD30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5D82ED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nsid w:val="7A601186"/>
    <w:multiLevelType w:val="singleLevel"/>
    <w:tmpl w:val="FC480D8E"/>
    <w:lvl w:ilvl="0">
      <w:start w:val="1"/>
      <w:numFmt w:val="upperLetter"/>
      <w:lvlText w:val="%1."/>
      <w:lvlJc w:val="left"/>
      <w:pPr>
        <w:tabs>
          <w:tab w:val="num" w:pos="720"/>
        </w:tabs>
        <w:ind w:left="720" w:hanging="720"/>
      </w:pPr>
      <w:rPr>
        <w:rFonts w:hint="default"/>
      </w:rPr>
    </w:lvl>
  </w:abstractNum>
  <w:num w:numId="1">
    <w:abstractNumId w:val="20"/>
  </w:num>
  <w:num w:numId="2">
    <w:abstractNumId w:val="17"/>
  </w:num>
  <w:num w:numId="3">
    <w:abstractNumId w:val="8"/>
  </w:num>
  <w:num w:numId="4">
    <w:abstractNumId w:val="1"/>
  </w:num>
  <w:num w:numId="5">
    <w:abstractNumId w:val="18"/>
  </w:num>
  <w:num w:numId="6">
    <w:abstractNumId w:val="2"/>
  </w:num>
  <w:num w:numId="7">
    <w:abstractNumId w:val="16"/>
  </w:num>
  <w:num w:numId="8">
    <w:abstractNumId w:val="7"/>
  </w:num>
  <w:num w:numId="9">
    <w:abstractNumId w:val="14"/>
  </w:num>
  <w:num w:numId="10">
    <w:abstractNumId w:val="4"/>
  </w:num>
  <w:num w:numId="11">
    <w:abstractNumId w:val="9"/>
  </w:num>
  <w:num w:numId="12">
    <w:abstractNumId w:val="3"/>
  </w:num>
  <w:num w:numId="13">
    <w:abstractNumId w:val="11"/>
  </w:num>
  <w:num w:numId="14">
    <w:abstractNumId w:val="13"/>
  </w:num>
  <w:num w:numId="15">
    <w:abstractNumId w:val="19"/>
  </w:num>
  <w:num w:numId="16">
    <w:abstractNumId w:val="15"/>
  </w:num>
  <w:num w:numId="17">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18">
    <w:abstractNumId w:val="6"/>
  </w:num>
  <w:num w:numId="19">
    <w:abstractNumId w:val="5"/>
  </w:num>
  <w:num w:numId="20">
    <w:abstractNumId w:val="12"/>
  </w:num>
  <w:num w:numId="21">
    <w:abstractNumId w:val="0"/>
    <w:lvlOverride w:ilvl="0">
      <w:lvl w:ilvl="0">
        <w:numFmt w:val="bullet"/>
        <w:lvlText w:val=""/>
        <w:legacy w:legacy="1" w:legacySpace="0" w:legacyIndent="0"/>
        <w:lvlJc w:val="left"/>
        <w:rPr>
          <w:rFonts w:ascii="Symbol" w:hAnsi="Symbol" w:hint="default"/>
        </w:rPr>
      </w:lvl>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48"/>
    <w:rsid w:val="000032CF"/>
    <w:rsid w:val="00006BEE"/>
    <w:rsid w:val="00011DEF"/>
    <w:rsid w:val="00027D20"/>
    <w:rsid w:val="0003311A"/>
    <w:rsid w:val="000468E5"/>
    <w:rsid w:val="00051C2F"/>
    <w:rsid w:val="000606CA"/>
    <w:rsid w:val="00061D71"/>
    <w:rsid w:val="000801A3"/>
    <w:rsid w:val="000917D5"/>
    <w:rsid w:val="00095636"/>
    <w:rsid w:val="00095B90"/>
    <w:rsid w:val="000979CD"/>
    <w:rsid w:val="000A0AC3"/>
    <w:rsid w:val="000A4927"/>
    <w:rsid w:val="000B74E2"/>
    <w:rsid w:val="000C088E"/>
    <w:rsid w:val="000C0BC5"/>
    <w:rsid w:val="000C73DF"/>
    <w:rsid w:val="000D7526"/>
    <w:rsid w:val="000E6F72"/>
    <w:rsid w:val="000F250D"/>
    <w:rsid w:val="000F6D13"/>
    <w:rsid w:val="001029C3"/>
    <w:rsid w:val="00106C29"/>
    <w:rsid w:val="001077D5"/>
    <w:rsid w:val="00121061"/>
    <w:rsid w:val="00126AF1"/>
    <w:rsid w:val="001305B9"/>
    <w:rsid w:val="00133A4D"/>
    <w:rsid w:val="0013477D"/>
    <w:rsid w:val="00141BA6"/>
    <w:rsid w:val="0016660F"/>
    <w:rsid w:val="00175D56"/>
    <w:rsid w:val="00184F98"/>
    <w:rsid w:val="00185A3B"/>
    <w:rsid w:val="00187E90"/>
    <w:rsid w:val="001A3374"/>
    <w:rsid w:val="001B31ED"/>
    <w:rsid w:val="001B3A37"/>
    <w:rsid w:val="001B47BA"/>
    <w:rsid w:val="001D1581"/>
    <w:rsid w:val="001E5A3D"/>
    <w:rsid w:val="001F74EF"/>
    <w:rsid w:val="0020142C"/>
    <w:rsid w:val="00201D1E"/>
    <w:rsid w:val="00210393"/>
    <w:rsid w:val="00215A1F"/>
    <w:rsid w:val="00232CA9"/>
    <w:rsid w:val="00234231"/>
    <w:rsid w:val="0024065E"/>
    <w:rsid w:val="00244552"/>
    <w:rsid w:val="00251279"/>
    <w:rsid w:val="0025129D"/>
    <w:rsid w:val="00287B62"/>
    <w:rsid w:val="00290F8E"/>
    <w:rsid w:val="002966AA"/>
    <w:rsid w:val="002A1C7C"/>
    <w:rsid w:val="002A4FCE"/>
    <w:rsid w:val="002A601C"/>
    <w:rsid w:val="002D2087"/>
    <w:rsid w:val="002D782E"/>
    <w:rsid w:val="002F054D"/>
    <w:rsid w:val="00321AB1"/>
    <w:rsid w:val="00325102"/>
    <w:rsid w:val="00325DA5"/>
    <w:rsid w:val="0033159D"/>
    <w:rsid w:val="003443AA"/>
    <w:rsid w:val="00345C5E"/>
    <w:rsid w:val="00365306"/>
    <w:rsid w:val="00367D86"/>
    <w:rsid w:val="00394E69"/>
    <w:rsid w:val="003C36B5"/>
    <w:rsid w:val="003C6465"/>
    <w:rsid w:val="003C7950"/>
    <w:rsid w:val="003E45A7"/>
    <w:rsid w:val="003F0C59"/>
    <w:rsid w:val="003F203F"/>
    <w:rsid w:val="003F68C1"/>
    <w:rsid w:val="003F7DF7"/>
    <w:rsid w:val="00410125"/>
    <w:rsid w:val="004103F4"/>
    <w:rsid w:val="004228A1"/>
    <w:rsid w:val="004240BE"/>
    <w:rsid w:val="00427549"/>
    <w:rsid w:val="00430617"/>
    <w:rsid w:val="004453E4"/>
    <w:rsid w:val="00450BF4"/>
    <w:rsid w:val="004529D8"/>
    <w:rsid w:val="00456373"/>
    <w:rsid w:val="0045716D"/>
    <w:rsid w:val="0046784E"/>
    <w:rsid w:val="00471FE8"/>
    <w:rsid w:val="0047409D"/>
    <w:rsid w:val="00477957"/>
    <w:rsid w:val="004841AF"/>
    <w:rsid w:val="0049418E"/>
    <w:rsid w:val="004A21E6"/>
    <w:rsid w:val="004A2793"/>
    <w:rsid w:val="004B7F3F"/>
    <w:rsid w:val="004C4F7D"/>
    <w:rsid w:val="004C5D32"/>
    <w:rsid w:val="004D12B6"/>
    <w:rsid w:val="004D58F4"/>
    <w:rsid w:val="004E3C54"/>
    <w:rsid w:val="004F5AD2"/>
    <w:rsid w:val="0051257E"/>
    <w:rsid w:val="00547943"/>
    <w:rsid w:val="00552483"/>
    <w:rsid w:val="00554806"/>
    <w:rsid w:val="005607C3"/>
    <w:rsid w:val="00572078"/>
    <w:rsid w:val="00572D4A"/>
    <w:rsid w:val="005B18AE"/>
    <w:rsid w:val="005C5E19"/>
    <w:rsid w:val="005D26B3"/>
    <w:rsid w:val="005D5D3C"/>
    <w:rsid w:val="005D676D"/>
    <w:rsid w:val="005E45CC"/>
    <w:rsid w:val="005E6066"/>
    <w:rsid w:val="0060089B"/>
    <w:rsid w:val="006058DA"/>
    <w:rsid w:val="00612FC5"/>
    <w:rsid w:val="006252AF"/>
    <w:rsid w:val="00636D16"/>
    <w:rsid w:val="00652392"/>
    <w:rsid w:val="00654C89"/>
    <w:rsid w:val="00677D18"/>
    <w:rsid w:val="00686A93"/>
    <w:rsid w:val="00686EF2"/>
    <w:rsid w:val="00691387"/>
    <w:rsid w:val="006918CD"/>
    <w:rsid w:val="00694A6D"/>
    <w:rsid w:val="00695FDB"/>
    <w:rsid w:val="006A4A4E"/>
    <w:rsid w:val="006B2A5D"/>
    <w:rsid w:val="006C238C"/>
    <w:rsid w:val="006D061C"/>
    <w:rsid w:val="006D4398"/>
    <w:rsid w:val="006D6390"/>
    <w:rsid w:val="006F2D99"/>
    <w:rsid w:val="0070466B"/>
    <w:rsid w:val="007128AA"/>
    <w:rsid w:val="00715800"/>
    <w:rsid w:val="00717365"/>
    <w:rsid w:val="007658B9"/>
    <w:rsid w:val="00766A0B"/>
    <w:rsid w:val="00795FDE"/>
    <w:rsid w:val="007A3E2D"/>
    <w:rsid w:val="007B0336"/>
    <w:rsid w:val="007B29B3"/>
    <w:rsid w:val="007B3F26"/>
    <w:rsid w:val="007B6452"/>
    <w:rsid w:val="007C566B"/>
    <w:rsid w:val="007D196D"/>
    <w:rsid w:val="007D38BF"/>
    <w:rsid w:val="007E6510"/>
    <w:rsid w:val="007F4C84"/>
    <w:rsid w:val="0081173E"/>
    <w:rsid w:val="00812FCB"/>
    <w:rsid w:val="0081479E"/>
    <w:rsid w:val="008608C0"/>
    <w:rsid w:val="00863CA2"/>
    <w:rsid w:val="00864FC6"/>
    <w:rsid w:val="008819D1"/>
    <w:rsid w:val="00883494"/>
    <w:rsid w:val="00895106"/>
    <w:rsid w:val="008A17DF"/>
    <w:rsid w:val="008A4F11"/>
    <w:rsid w:val="008C1864"/>
    <w:rsid w:val="008D0737"/>
    <w:rsid w:val="008D5008"/>
    <w:rsid w:val="008F76DF"/>
    <w:rsid w:val="00926EEF"/>
    <w:rsid w:val="00932633"/>
    <w:rsid w:val="009559F3"/>
    <w:rsid w:val="009606FA"/>
    <w:rsid w:val="00970C49"/>
    <w:rsid w:val="00972E25"/>
    <w:rsid w:val="0099082E"/>
    <w:rsid w:val="009B6016"/>
    <w:rsid w:val="009D2250"/>
    <w:rsid w:val="009D3E32"/>
    <w:rsid w:val="009E0E3C"/>
    <w:rsid w:val="009E105B"/>
    <w:rsid w:val="009E1FE4"/>
    <w:rsid w:val="009E4E7E"/>
    <w:rsid w:val="009E6560"/>
    <w:rsid w:val="009F7EBC"/>
    <w:rsid w:val="00A119F9"/>
    <w:rsid w:val="00A1221F"/>
    <w:rsid w:val="00A24579"/>
    <w:rsid w:val="00A271E2"/>
    <w:rsid w:val="00A31043"/>
    <w:rsid w:val="00A41B4E"/>
    <w:rsid w:val="00A462F3"/>
    <w:rsid w:val="00A55E4D"/>
    <w:rsid w:val="00A576F6"/>
    <w:rsid w:val="00A60D9B"/>
    <w:rsid w:val="00A87459"/>
    <w:rsid w:val="00A96E92"/>
    <w:rsid w:val="00AB6AC5"/>
    <w:rsid w:val="00AD08D4"/>
    <w:rsid w:val="00AD6C9E"/>
    <w:rsid w:val="00AD712A"/>
    <w:rsid w:val="00AF2992"/>
    <w:rsid w:val="00AF2C8F"/>
    <w:rsid w:val="00AF76BF"/>
    <w:rsid w:val="00AF7AC3"/>
    <w:rsid w:val="00B11A2C"/>
    <w:rsid w:val="00B24843"/>
    <w:rsid w:val="00B25744"/>
    <w:rsid w:val="00B30AA6"/>
    <w:rsid w:val="00B35EB0"/>
    <w:rsid w:val="00B35F76"/>
    <w:rsid w:val="00B37E97"/>
    <w:rsid w:val="00B4109A"/>
    <w:rsid w:val="00B41E27"/>
    <w:rsid w:val="00B438C8"/>
    <w:rsid w:val="00B47060"/>
    <w:rsid w:val="00B5469F"/>
    <w:rsid w:val="00B563A3"/>
    <w:rsid w:val="00B64409"/>
    <w:rsid w:val="00B77074"/>
    <w:rsid w:val="00B86934"/>
    <w:rsid w:val="00B91BE2"/>
    <w:rsid w:val="00B94EE1"/>
    <w:rsid w:val="00B95442"/>
    <w:rsid w:val="00BA0F8A"/>
    <w:rsid w:val="00BA2320"/>
    <w:rsid w:val="00BA2ADA"/>
    <w:rsid w:val="00BA745A"/>
    <w:rsid w:val="00BC2687"/>
    <w:rsid w:val="00BE0E53"/>
    <w:rsid w:val="00BE475E"/>
    <w:rsid w:val="00C203E3"/>
    <w:rsid w:val="00C216A8"/>
    <w:rsid w:val="00C21E73"/>
    <w:rsid w:val="00C22D8B"/>
    <w:rsid w:val="00C33BF5"/>
    <w:rsid w:val="00C40754"/>
    <w:rsid w:val="00C40B8A"/>
    <w:rsid w:val="00C44F7C"/>
    <w:rsid w:val="00C57D52"/>
    <w:rsid w:val="00C634D6"/>
    <w:rsid w:val="00C67835"/>
    <w:rsid w:val="00C74131"/>
    <w:rsid w:val="00C76834"/>
    <w:rsid w:val="00C771D0"/>
    <w:rsid w:val="00C822C6"/>
    <w:rsid w:val="00C907CE"/>
    <w:rsid w:val="00C9409E"/>
    <w:rsid w:val="00CA2A56"/>
    <w:rsid w:val="00CA6186"/>
    <w:rsid w:val="00CB0A31"/>
    <w:rsid w:val="00CC0F38"/>
    <w:rsid w:val="00CC207B"/>
    <w:rsid w:val="00CD137F"/>
    <w:rsid w:val="00CD386A"/>
    <w:rsid w:val="00CF07C1"/>
    <w:rsid w:val="00CF0959"/>
    <w:rsid w:val="00CF2D76"/>
    <w:rsid w:val="00CF4B1F"/>
    <w:rsid w:val="00CF5EA6"/>
    <w:rsid w:val="00D15883"/>
    <w:rsid w:val="00D26C4E"/>
    <w:rsid w:val="00D3772B"/>
    <w:rsid w:val="00D455C9"/>
    <w:rsid w:val="00D4564E"/>
    <w:rsid w:val="00D51D6C"/>
    <w:rsid w:val="00D60B4E"/>
    <w:rsid w:val="00D67CD8"/>
    <w:rsid w:val="00D729E2"/>
    <w:rsid w:val="00D81793"/>
    <w:rsid w:val="00D82D92"/>
    <w:rsid w:val="00D87D6A"/>
    <w:rsid w:val="00DA02E4"/>
    <w:rsid w:val="00DB718D"/>
    <w:rsid w:val="00DC0029"/>
    <w:rsid w:val="00DD3531"/>
    <w:rsid w:val="00DE057B"/>
    <w:rsid w:val="00DF6692"/>
    <w:rsid w:val="00DF69C6"/>
    <w:rsid w:val="00E00BE1"/>
    <w:rsid w:val="00E20461"/>
    <w:rsid w:val="00E221FB"/>
    <w:rsid w:val="00E274C5"/>
    <w:rsid w:val="00E34C33"/>
    <w:rsid w:val="00E4547D"/>
    <w:rsid w:val="00E52CAA"/>
    <w:rsid w:val="00E65E3E"/>
    <w:rsid w:val="00E66957"/>
    <w:rsid w:val="00E67C9B"/>
    <w:rsid w:val="00E74795"/>
    <w:rsid w:val="00E74CA1"/>
    <w:rsid w:val="00E74E95"/>
    <w:rsid w:val="00E85183"/>
    <w:rsid w:val="00E92638"/>
    <w:rsid w:val="00EA0974"/>
    <w:rsid w:val="00EA0A56"/>
    <w:rsid w:val="00EA489C"/>
    <w:rsid w:val="00EB0E82"/>
    <w:rsid w:val="00EB3238"/>
    <w:rsid w:val="00EB5C73"/>
    <w:rsid w:val="00EB65F2"/>
    <w:rsid w:val="00EC4D45"/>
    <w:rsid w:val="00EF2C01"/>
    <w:rsid w:val="00EF3756"/>
    <w:rsid w:val="00F10148"/>
    <w:rsid w:val="00F145BB"/>
    <w:rsid w:val="00F155C8"/>
    <w:rsid w:val="00F26B3F"/>
    <w:rsid w:val="00F61895"/>
    <w:rsid w:val="00F61E02"/>
    <w:rsid w:val="00F62654"/>
    <w:rsid w:val="00F70588"/>
    <w:rsid w:val="00F714E5"/>
    <w:rsid w:val="00F71899"/>
    <w:rsid w:val="00F73AFB"/>
    <w:rsid w:val="00F77004"/>
    <w:rsid w:val="00F770CA"/>
    <w:rsid w:val="00F82987"/>
    <w:rsid w:val="00F83D0F"/>
    <w:rsid w:val="00F85BEA"/>
    <w:rsid w:val="00F87B1B"/>
    <w:rsid w:val="00F925C8"/>
    <w:rsid w:val="00F92D2C"/>
    <w:rsid w:val="00FA614E"/>
    <w:rsid w:val="00FA6412"/>
    <w:rsid w:val="00FA6685"/>
    <w:rsid w:val="00FB548F"/>
    <w:rsid w:val="00FB7A31"/>
    <w:rsid w:val="00FE3A0D"/>
    <w:rsid w:val="00FE79F9"/>
    <w:rsid w:val="00FF1013"/>
    <w:rsid w:val="00FF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autoRedefine/>
    <w:qFormat/>
    <w:rsid w:val="00B64409"/>
    <w:pPr>
      <w:keepNext/>
      <w:spacing w:line="480" w:lineRule="auto"/>
      <w:outlineLvl w:val="0"/>
    </w:pPr>
    <w:rPr>
      <w:b/>
      <w:sz w:val="22"/>
    </w:rPr>
  </w:style>
  <w:style w:type="paragraph" w:styleId="Heading2">
    <w:name w:val="heading 2"/>
    <w:basedOn w:val="Normal"/>
    <w:next w:val="Normal"/>
    <w:autoRedefine/>
    <w:qFormat/>
    <w:rsid w:val="00B64409"/>
    <w:pPr>
      <w:keepNext/>
      <w:spacing w:line="480" w:lineRule="auto"/>
      <w:outlineLvl w:val="1"/>
    </w:pPr>
    <w:rPr>
      <w:b/>
      <w:sz w:val="22"/>
    </w:rPr>
  </w:style>
  <w:style w:type="paragraph" w:styleId="Heading3">
    <w:name w:val="heading 3"/>
    <w:basedOn w:val="Normal"/>
    <w:next w:val="Normal"/>
    <w:qFormat/>
    <w:pPr>
      <w:keepNext/>
      <w:spacing w:before="120"/>
      <w:jc w:val="center"/>
      <w:outlineLvl w:val="2"/>
    </w:pPr>
    <w:rPr>
      <w:sz w:val="24"/>
    </w:rPr>
  </w:style>
  <w:style w:type="paragraph" w:styleId="Heading4">
    <w:name w:val="heading 4"/>
    <w:basedOn w:val="Normal"/>
    <w:next w:val="Normal"/>
    <w:qFormat/>
    <w:pPr>
      <w:keepNext/>
      <w:spacing w:line="480" w:lineRule="auto"/>
      <w:outlineLvl w:val="3"/>
    </w:pPr>
    <w:rPr>
      <w:b/>
      <w:sz w:val="22"/>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ind w:left="720"/>
      <w:outlineLvl w:val="5"/>
    </w:pPr>
    <w:rPr>
      <w:u w:val="single"/>
    </w:rPr>
  </w:style>
  <w:style w:type="paragraph" w:styleId="Heading7">
    <w:name w:val="heading 7"/>
    <w:basedOn w:val="Normal"/>
    <w:next w:val="Normal"/>
    <w:qFormat/>
    <w:pPr>
      <w:keepNext/>
      <w:ind w:hanging="9"/>
      <w:outlineLvl w:val="6"/>
    </w:pPr>
    <w:rPr>
      <w:b/>
    </w:rPr>
  </w:style>
  <w:style w:type="paragraph" w:styleId="Heading8">
    <w:name w:val="heading 8"/>
    <w:basedOn w:val="Normal"/>
    <w:next w:val="Normal"/>
    <w:qFormat/>
    <w:pPr>
      <w:keepNext/>
      <w:ind w:left="720"/>
      <w:outlineLvl w:val="7"/>
    </w:pPr>
    <w:rPr>
      <w:b/>
    </w:rPr>
  </w:style>
  <w:style w:type="paragraph" w:styleId="Heading9">
    <w:name w:val="heading 9"/>
    <w:basedOn w:val="Normal"/>
    <w:next w:val="Normal"/>
    <w:qFormat/>
    <w:pPr>
      <w:keepNext/>
      <w:spacing w:before="120" w:line="480" w:lineRule="auto"/>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2"/>
    </w:rPr>
  </w:style>
  <w:style w:type="paragraph" w:styleId="BodyTextIndent">
    <w:name w:val="Body Text Indent"/>
    <w:basedOn w:val="Normal"/>
    <w:pPr>
      <w:spacing w:line="480" w:lineRule="auto"/>
      <w:ind w:firstLine="360"/>
    </w:pPr>
    <w:rPr>
      <w:sz w:val="22"/>
    </w:rPr>
  </w:style>
  <w:style w:type="paragraph" w:styleId="BodyTextIndent2">
    <w:name w:val="Body Text Indent 2"/>
    <w:basedOn w:val="Normal"/>
    <w:pPr>
      <w:ind w:left="7200" w:hanging="2880"/>
    </w:pPr>
    <w:rPr>
      <w:sz w:val="22"/>
    </w:rPr>
  </w:style>
  <w:style w:type="paragraph" w:customStyle="1" w:styleId="Level1">
    <w:name w:val="Level 1"/>
    <w:basedOn w:val="Normal"/>
    <w:pPr>
      <w:widowControl w:val="0"/>
      <w:ind w:left="720" w:hanging="720"/>
    </w:pPr>
    <w:rPr>
      <w:snapToGrid w:val="0"/>
      <w:sz w:val="24"/>
    </w:rPr>
  </w:style>
  <w:style w:type="paragraph" w:styleId="BodyTextIndent3">
    <w:name w:val="Body Text Indent 3"/>
    <w:basedOn w:val="Normal"/>
    <w:pPr>
      <w:spacing w:line="480" w:lineRule="auto"/>
      <w:ind w:left="450" w:firstLine="270"/>
    </w:pPr>
    <w:rPr>
      <w:sz w:val="22"/>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CF4B1F"/>
    <w:rPr>
      <w:rFonts w:ascii="Tahoma" w:hAnsi="Tahoma" w:cs="Tahoma"/>
      <w:sz w:val="16"/>
      <w:szCs w:val="16"/>
    </w:rPr>
  </w:style>
  <w:style w:type="character" w:styleId="CommentReference">
    <w:name w:val="annotation reference"/>
    <w:basedOn w:val="DefaultParagraphFont"/>
    <w:semiHidden/>
    <w:rsid w:val="00F82987"/>
    <w:rPr>
      <w:sz w:val="16"/>
      <w:szCs w:val="16"/>
    </w:rPr>
  </w:style>
  <w:style w:type="paragraph" w:styleId="CommentText">
    <w:name w:val="annotation text"/>
    <w:basedOn w:val="Normal"/>
    <w:semiHidden/>
    <w:rsid w:val="00F82987"/>
  </w:style>
  <w:style w:type="paragraph" w:styleId="CommentSubject">
    <w:name w:val="annotation subject"/>
    <w:basedOn w:val="CommentText"/>
    <w:next w:val="CommentText"/>
    <w:semiHidden/>
    <w:rsid w:val="00F82987"/>
    <w:rPr>
      <w:b/>
      <w:bCs/>
    </w:rPr>
  </w:style>
  <w:style w:type="paragraph" w:styleId="NormalWeb">
    <w:name w:val="Normal (Web)"/>
    <w:basedOn w:val="Normal"/>
    <w:rsid w:val="00B35F76"/>
    <w:pPr>
      <w:spacing w:before="100" w:beforeAutospacing="1" w:after="100" w:afterAutospacing="1"/>
    </w:pPr>
    <w:rPr>
      <w:sz w:val="24"/>
      <w:szCs w:val="24"/>
    </w:rPr>
  </w:style>
  <w:style w:type="paragraph" w:styleId="TOC1">
    <w:name w:val="toc 1"/>
    <w:basedOn w:val="Normal"/>
    <w:next w:val="Normal"/>
    <w:autoRedefine/>
    <w:semiHidden/>
    <w:rsid w:val="00A87459"/>
    <w:pPr>
      <w:tabs>
        <w:tab w:val="left" w:pos="720"/>
        <w:tab w:val="right" w:leader="dot" w:pos="9360"/>
      </w:tabs>
      <w:spacing w:line="480" w:lineRule="auto"/>
      <w:ind w:left="720" w:hanging="720"/>
    </w:pPr>
    <w:rPr>
      <w:b/>
      <w:smallCaps/>
    </w:rPr>
  </w:style>
  <w:style w:type="paragraph" w:styleId="TOC3">
    <w:name w:val="toc 3"/>
    <w:basedOn w:val="Normal"/>
    <w:next w:val="Normal"/>
    <w:autoRedefine/>
    <w:semiHidden/>
    <w:rsid w:val="00B77074"/>
    <w:pPr>
      <w:ind w:left="400"/>
    </w:pPr>
  </w:style>
  <w:style w:type="paragraph" w:styleId="TOC2">
    <w:name w:val="toc 2"/>
    <w:basedOn w:val="Normal"/>
    <w:next w:val="Normal"/>
    <w:autoRedefine/>
    <w:semiHidden/>
    <w:rsid w:val="00E34C33"/>
    <w:pPr>
      <w:tabs>
        <w:tab w:val="right" w:leader="dot" w:pos="9350"/>
      </w:tabs>
      <w:spacing w:line="360" w:lineRule="auto"/>
      <w:ind w:left="200"/>
    </w:pPr>
    <w:rPr>
      <w:noProof/>
      <w:color w:val="000000"/>
    </w:rPr>
  </w:style>
  <w:style w:type="paragraph" w:styleId="HTMLPreformatted">
    <w:name w:val="HTML Preformatted"/>
    <w:basedOn w:val="Normal"/>
    <w:rsid w:val="00E4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1-StandPara">
    <w:name w:val="P1-Stand Para"/>
    <w:rsid w:val="000F6D13"/>
    <w:pPr>
      <w:spacing w:line="480" w:lineRule="auto"/>
      <w:ind w:firstLine="7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autoRedefine/>
    <w:qFormat/>
    <w:rsid w:val="00B64409"/>
    <w:pPr>
      <w:keepNext/>
      <w:spacing w:line="480" w:lineRule="auto"/>
      <w:outlineLvl w:val="0"/>
    </w:pPr>
    <w:rPr>
      <w:b/>
      <w:sz w:val="22"/>
    </w:rPr>
  </w:style>
  <w:style w:type="paragraph" w:styleId="Heading2">
    <w:name w:val="heading 2"/>
    <w:basedOn w:val="Normal"/>
    <w:next w:val="Normal"/>
    <w:autoRedefine/>
    <w:qFormat/>
    <w:rsid w:val="00B64409"/>
    <w:pPr>
      <w:keepNext/>
      <w:spacing w:line="480" w:lineRule="auto"/>
      <w:outlineLvl w:val="1"/>
    </w:pPr>
    <w:rPr>
      <w:b/>
      <w:sz w:val="22"/>
    </w:rPr>
  </w:style>
  <w:style w:type="paragraph" w:styleId="Heading3">
    <w:name w:val="heading 3"/>
    <w:basedOn w:val="Normal"/>
    <w:next w:val="Normal"/>
    <w:qFormat/>
    <w:pPr>
      <w:keepNext/>
      <w:spacing w:before="120"/>
      <w:jc w:val="center"/>
      <w:outlineLvl w:val="2"/>
    </w:pPr>
    <w:rPr>
      <w:sz w:val="24"/>
    </w:rPr>
  </w:style>
  <w:style w:type="paragraph" w:styleId="Heading4">
    <w:name w:val="heading 4"/>
    <w:basedOn w:val="Normal"/>
    <w:next w:val="Normal"/>
    <w:qFormat/>
    <w:pPr>
      <w:keepNext/>
      <w:spacing w:line="480" w:lineRule="auto"/>
      <w:outlineLvl w:val="3"/>
    </w:pPr>
    <w:rPr>
      <w:b/>
      <w:sz w:val="22"/>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ind w:left="720"/>
      <w:outlineLvl w:val="5"/>
    </w:pPr>
    <w:rPr>
      <w:u w:val="single"/>
    </w:rPr>
  </w:style>
  <w:style w:type="paragraph" w:styleId="Heading7">
    <w:name w:val="heading 7"/>
    <w:basedOn w:val="Normal"/>
    <w:next w:val="Normal"/>
    <w:qFormat/>
    <w:pPr>
      <w:keepNext/>
      <w:ind w:hanging="9"/>
      <w:outlineLvl w:val="6"/>
    </w:pPr>
    <w:rPr>
      <w:b/>
    </w:rPr>
  </w:style>
  <w:style w:type="paragraph" w:styleId="Heading8">
    <w:name w:val="heading 8"/>
    <w:basedOn w:val="Normal"/>
    <w:next w:val="Normal"/>
    <w:qFormat/>
    <w:pPr>
      <w:keepNext/>
      <w:ind w:left="720"/>
      <w:outlineLvl w:val="7"/>
    </w:pPr>
    <w:rPr>
      <w:b/>
    </w:rPr>
  </w:style>
  <w:style w:type="paragraph" w:styleId="Heading9">
    <w:name w:val="heading 9"/>
    <w:basedOn w:val="Normal"/>
    <w:next w:val="Normal"/>
    <w:qFormat/>
    <w:pPr>
      <w:keepNext/>
      <w:spacing w:before="120" w:line="480" w:lineRule="auto"/>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2"/>
    </w:rPr>
  </w:style>
  <w:style w:type="paragraph" w:styleId="BodyTextIndent">
    <w:name w:val="Body Text Indent"/>
    <w:basedOn w:val="Normal"/>
    <w:pPr>
      <w:spacing w:line="480" w:lineRule="auto"/>
      <w:ind w:firstLine="360"/>
    </w:pPr>
    <w:rPr>
      <w:sz w:val="22"/>
    </w:rPr>
  </w:style>
  <w:style w:type="paragraph" w:styleId="BodyTextIndent2">
    <w:name w:val="Body Text Indent 2"/>
    <w:basedOn w:val="Normal"/>
    <w:pPr>
      <w:ind w:left="7200" w:hanging="2880"/>
    </w:pPr>
    <w:rPr>
      <w:sz w:val="22"/>
    </w:rPr>
  </w:style>
  <w:style w:type="paragraph" w:customStyle="1" w:styleId="Level1">
    <w:name w:val="Level 1"/>
    <w:basedOn w:val="Normal"/>
    <w:pPr>
      <w:widowControl w:val="0"/>
      <w:ind w:left="720" w:hanging="720"/>
    </w:pPr>
    <w:rPr>
      <w:snapToGrid w:val="0"/>
      <w:sz w:val="24"/>
    </w:rPr>
  </w:style>
  <w:style w:type="paragraph" w:styleId="BodyTextIndent3">
    <w:name w:val="Body Text Indent 3"/>
    <w:basedOn w:val="Normal"/>
    <w:pPr>
      <w:spacing w:line="480" w:lineRule="auto"/>
      <w:ind w:left="450" w:firstLine="270"/>
    </w:pPr>
    <w:rPr>
      <w:sz w:val="22"/>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CF4B1F"/>
    <w:rPr>
      <w:rFonts w:ascii="Tahoma" w:hAnsi="Tahoma" w:cs="Tahoma"/>
      <w:sz w:val="16"/>
      <w:szCs w:val="16"/>
    </w:rPr>
  </w:style>
  <w:style w:type="character" w:styleId="CommentReference">
    <w:name w:val="annotation reference"/>
    <w:basedOn w:val="DefaultParagraphFont"/>
    <w:semiHidden/>
    <w:rsid w:val="00F82987"/>
    <w:rPr>
      <w:sz w:val="16"/>
      <w:szCs w:val="16"/>
    </w:rPr>
  </w:style>
  <w:style w:type="paragraph" w:styleId="CommentText">
    <w:name w:val="annotation text"/>
    <w:basedOn w:val="Normal"/>
    <w:semiHidden/>
    <w:rsid w:val="00F82987"/>
  </w:style>
  <w:style w:type="paragraph" w:styleId="CommentSubject">
    <w:name w:val="annotation subject"/>
    <w:basedOn w:val="CommentText"/>
    <w:next w:val="CommentText"/>
    <w:semiHidden/>
    <w:rsid w:val="00F82987"/>
    <w:rPr>
      <w:b/>
      <w:bCs/>
    </w:rPr>
  </w:style>
  <w:style w:type="paragraph" w:styleId="NormalWeb">
    <w:name w:val="Normal (Web)"/>
    <w:basedOn w:val="Normal"/>
    <w:rsid w:val="00B35F76"/>
    <w:pPr>
      <w:spacing w:before="100" w:beforeAutospacing="1" w:after="100" w:afterAutospacing="1"/>
    </w:pPr>
    <w:rPr>
      <w:sz w:val="24"/>
      <w:szCs w:val="24"/>
    </w:rPr>
  </w:style>
  <w:style w:type="paragraph" w:styleId="TOC1">
    <w:name w:val="toc 1"/>
    <w:basedOn w:val="Normal"/>
    <w:next w:val="Normal"/>
    <w:autoRedefine/>
    <w:semiHidden/>
    <w:rsid w:val="00A87459"/>
    <w:pPr>
      <w:tabs>
        <w:tab w:val="left" w:pos="720"/>
        <w:tab w:val="right" w:leader="dot" w:pos="9360"/>
      </w:tabs>
      <w:spacing w:line="480" w:lineRule="auto"/>
      <w:ind w:left="720" w:hanging="720"/>
    </w:pPr>
    <w:rPr>
      <w:b/>
      <w:smallCaps/>
    </w:rPr>
  </w:style>
  <w:style w:type="paragraph" w:styleId="TOC3">
    <w:name w:val="toc 3"/>
    <w:basedOn w:val="Normal"/>
    <w:next w:val="Normal"/>
    <w:autoRedefine/>
    <w:semiHidden/>
    <w:rsid w:val="00B77074"/>
    <w:pPr>
      <w:ind w:left="400"/>
    </w:pPr>
  </w:style>
  <w:style w:type="paragraph" w:styleId="TOC2">
    <w:name w:val="toc 2"/>
    <w:basedOn w:val="Normal"/>
    <w:next w:val="Normal"/>
    <w:autoRedefine/>
    <w:semiHidden/>
    <w:rsid w:val="00E34C33"/>
    <w:pPr>
      <w:tabs>
        <w:tab w:val="right" w:leader="dot" w:pos="9350"/>
      </w:tabs>
      <w:spacing w:line="360" w:lineRule="auto"/>
      <w:ind w:left="200"/>
    </w:pPr>
    <w:rPr>
      <w:noProof/>
      <w:color w:val="000000"/>
    </w:rPr>
  </w:style>
  <w:style w:type="paragraph" w:styleId="HTMLPreformatted">
    <w:name w:val="HTML Preformatted"/>
    <w:basedOn w:val="Normal"/>
    <w:rsid w:val="00E4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1-StandPara">
    <w:name w:val="P1-Stand Para"/>
    <w:rsid w:val="000F6D13"/>
    <w:pPr>
      <w:spacing w:line="480" w:lineRule="auto"/>
      <w:ind w:firstLine="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91901">
      <w:bodyDiv w:val="1"/>
      <w:marLeft w:val="0"/>
      <w:marRight w:val="0"/>
      <w:marTop w:val="0"/>
      <w:marBottom w:val="0"/>
      <w:divBdr>
        <w:top w:val="none" w:sz="0" w:space="0" w:color="auto"/>
        <w:left w:val="none" w:sz="0" w:space="0" w:color="auto"/>
        <w:bottom w:val="none" w:sz="0" w:space="0" w:color="auto"/>
        <w:right w:val="none" w:sz="0" w:space="0" w:color="auto"/>
      </w:divBdr>
      <w:divsChild>
        <w:div w:id="626813173">
          <w:marLeft w:val="0"/>
          <w:marRight w:val="0"/>
          <w:marTop w:val="0"/>
          <w:marBottom w:val="0"/>
          <w:divBdr>
            <w:top w:val="none" w:sz="0" w:space="0" w:color="auto"/>
            <w:left w:val="none" w:sz="0" w:space="0" w:color="auto"/>
            <w:bottom w:val="none" w:sz="0" w:space="0" w:color="auto"/>
            <w:right w:val="none" w:sz="0" w:space="0" w:color="auto"/>
          </w:divBdr>
        </w:div>
      </w:divsChild>
    </w:div>
    <w:div w:id="156722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vt:lpstr>
    </vt:vector>
  </TitlesOfParts>
  <Company>Microsoft</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NIEHS</dc:creator>
  <cp:lastModifiedBy>Abdelmouti, Tawanda (NIH/NCI) [E]</cp:lastModifiedBy>
  <cp:revision>2</cp:revision>
  <cp:lastPrinted>2012-05-22T15:30:00Z</cp:lastPrinted>
  <dcterms:created xsi:type="dcterms:W3CDTF">2016-02-24T16:00:00Z</dcterms:created>
  <dcterms:modified xsi:type="dcterms:W3CDTF">2016-02-24T16:00:00Z</dcterms:modified>
</cp:coreProperties>
</file>